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9908A" w14:textId="13CE84CF" w:rsidR="00D8493A" w:rsidRPr="00270D45" w:rsidRDefault="00D8493A" w:rsidP="00270D45">
      <w:pPr>
        <w:spacing w:after="100" w:afterAutospacing="1"/>
      </w:pPr>
      <w:bookmarkStart w:id="0" w:name="_Toc382821590"/>
    </w:p>
    <w:p w14:paraId="7B121A33" w14:textId="2D80E12C" w:rsidR="00270D45" w:rsidRPr="00270D45" w:rsidRDefault="00270D45" w:rsidP="00270D45">
      <w:pPr>
        <w:spacing w:after="100" w:afterAutospacing="1"/>
      </w:pPr>
      <w:r>
        <w:rPr>
          <w:noProof/>
        </w:rPr>
        <mc:AlternateContent>
          <mc:Choice Requires="wps">
            <w:drawing>
              <wp:anchor distT="0" distB="0" distL="114300" distR="114300" simplePos="0" relativeHeight="251694592" behindDoc="0" locked="0" layoutInCell="1" allowOverlap="1" wp14:anchorId="117B4754" wp14:editId="083CD86A">
                <wp:simplePos x="0" y="0"/>
                <wp:positionH relativeFrom="margin">
                  <wp:posOffset>307576</wp:posOffset>
                </wp:positionH>
                <wp:positionV relativeFrom="margin">
                  <wp:posOffset>2353974</wp:posOffset>
                </wp:positionV>
                <wp:extent cx="4756150" cy="5730240"/>
                <wp:effectExtent l="0" t="0" r="635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573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D7997" w14:textId="77777777" w:rsidR="00262AAF" w:rsidRPr="000130D1" w:rsidRDefault="00262AAF" w:rsidP="00270D45">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Environmental Water</w:t>
                            </w:r>
                          </w:p>
                          <w:p w14:paraId="220E668E" w14:textId="6A255B72" w:rsidR="00262AAF" w:rsidRPr="000130D1" w:rsidRDefault="00262AAF" w:rsidP="00270D45">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Portfolio Management Plan</w:t>
                            </w:r>
                            <w:r>
                              <w:rPr>
                                <w:color w:val="808080" w:themeColor="background1" w:themeShade="80"/>
                                <w:sz w:val="36"/>
                                <w:szCs w:val="36"/>
                                <w:lang w:val="en-GB" w:eastAsia="en-US"/>
                              </w:rPr>
                              <w:t>ning</w:t>
                            </w:r>
                            <w:r w:rsidRPr="000130D1">
                              <w:rPr>
                                <w:color w:val="808080" w:themeColor="background1" w:themeShade="80"/>
                                <w:sz w:val="36"/>
                                <w:szCs w:val="36"/>
                                <w:lang w:val="en-GB" w:eastAsia="en-US"/>
                              </w:rPr>
                              <w:t xml:space="preserve"> </w:t>
                            </w:r>
                          </w:p>
                          <w:p w14:paraId="1D81211E" w14:textId="77777777" w:rsidR="00262AAF" w:rsidRDefault="00262AAF" w:rsidP="00270D45">
                            <w:pPr>
                              <w:spacing w:after="0"/>
                              <w:jc w:val="left"/>
                              <w:rPr>
                                <w:b/>
                                <w:color w:val="5F497A" w:themeColor="accent4" w:themeShade="BF"/>
                                <w:sz w:val="52"/>
                                <w:szCs w:val="52"/>
                                <w:lang w:val="en-GB" w:eastAsia="en-US"/>
                              </w:rPr>
                            </w:pPr>
                          </w:p>
                          <w:p w14:paraId="7DE032F8" w14:textId="77777777" w:rsidR="00262AAF" w:rsidRDefault="00262AAF" w:rsidP="00270D45">
                            <w:pPr>
                              <w:spacing w:after="0"/>
                              <w:jc w:val="left"/>
                              <w:rPr>
                                <w:b/>
                                <w:color w:val="5F497A" w:themeColor="accent4" w:themeShade="BF"/>
                                <w:sz w:val="52"/>
                                <w:szCs w:val="52"/>
                                <w:lang w:val="en-GB" w:eastAsia="en-US"/>
                              </w:rPr>
                            </w:pPr>
                          </w:p>
                          <w:p w14:paraId="1D104157" w14:textId="77777777" w:rsidR="00262AAF" w:rsidRDefault="00262AAF" w:rsidP="00270D45">
                            <w:pPr>
                              <w:spacing w:after="0"/>
                              <w:jc w:val="left"/>
                              <w:rPr>
                                <w:b/>
                                <w:color w:val="5F497A" w:themeColor="accent4" w:themeShade="BF"/>
                                <w:sz w:val="52"/>
                                <w:szCs w:val="52"/>
                                <w:lang w:val="en-GB" w:eastAsia="en-US"/>
                              </w:rPr>
                            </w:pPr>
                          </w:p>
                          <w:p w14:paraId="13A77A27" w14:textId="77777777" w:rsidR="00262AAF" w:rsidRDefault="00262AAF" w:rsidP="00270D45">
                            <w:pPr>
                              <w:spacing w:after="0"/>
                              <w:jc w:val="left"/>
                              <w:rPr>
                                <w:b/>
                                <w:color w:val="5F497A" w:themeColor="accent4" w:themeShade="BF"/>
                                <w:sz w:val="52"/>
                                <w:szCs w:val="52"/>
                                <w:lang w:val="en-GB" w:eastAsia="en-US"/>
                              </w:rPr>
                            </w:pPr>
                          </w:p>
                          <w:p w14:paraId="1B05F1F4" w14:textId="4AE360CA" w:rsidR="00262AAF" w:rsidRPr="00F87E44" w:rsidRDefault="00262AAF" w:rsidP="00270D45">
                            <w:pPr>
                              <w:spacing w:after="0"/>
                              <w:jc w:val="left"/>
                              <w:rPr>
                                <w:b/>
                                <w:color w:val="5F497A" w:themeColor="accent4" w:themeShade="BF"/>
                                <w:sz w:val="52"/>
                                <w:szCs w:val="52"/>
                                <w:lang w:val="en-GB" w:eastAsia="en-US"/>
                              </w:rPr>
                            </w:pPr>
                            <w:r>
                              <w:rPr>
                                <w:b/>
                                <w:color w:val="5F497A" w:themeColor="accent4" w:themeShade="BF"/>
                                <w:sz w:val="52"/>
                                <w:szCs w:val="52"/>
                                <w:lang w:val="en-GB" w:eastAsia="en-US"/>
                              </w:rPr>
                              <w:t>Approach to planning for the use, carryover and trade of Commonwea</w:t>
                            </w:r>
                            <w:bookmarkStart w:id="1" w:name="_GoBack"/>
                            <w:bookmarkEnd w:id="1"/>
                            <w:r>
                              <w:rPr>
                                <w:b/>
                                <w:color w:val="5F497A" w:themeColor="accent4" w:themeShade="BF"/>
                                <w:sz w:val="52"/>
                                <w:szCs w:val="52"/>
                                <w:lang w:val="en-GB" w:eastAsia="en-US"/>
                              </w:rPr>
                              <w:t>lth environmental water</w:t>
                            </w:r>
                          </w:p>
                          <w:p w14:paraId="4E1FD191" w14:textId="77777777" w:rsidR="00262AAF" w:rsidRDefault="00262AAF" w:rsidP="00270D45">
                            <w:pPr>
                              <w:spacing w:after="0"/>
                              <w:jc w:val="left"/>
                              <w:rPr>
                                <w:b/>
                                <w:color w:val="5F497A" w:themeColor="accent4" w:themeShade="BF"/>
                                <w:sz w:val="52"/>
                                <w:szCs w:val="52"/>
                                <w:lang w:val="en-GB" w:eastAsia="en-US"/>
                              </w:rPr>
                            </w:pPr>
                          </w:p>
                          <w:p w14:paraId="35B77CCC" w14:textId="77777777" w:rsidR="00262AAF" w:rsidRDefault="00262AAF" w:rsidP="00270D45">
                            <w:pPr>
                              <w:spacing w:after="0"/>
                              <w:jc w:val="left"/>
                              <w:rPr>
                                <w:color w:val="808080" w:themeColor="background1" w:themeShade="80"/>
                                <w:sz w:val="36"/>
                                <w:szCs w:val="36"/>
                                <w:lang w:val="en-GB" w:eastAsia="en-US"/>
                              </w:rPr>
                            </w:pPr>
                          </w:p>
                          <w:p w14:paraId="5B3B5EC5" w14:textId="77777777" w:rsidR="00262AAF" w:rsidRDefault="00262AAF" w:rsidP="00270D45">
                            <w:pPr>
                              <w:spacing w:after="0"/>
                              <w:jc w:val="left"/>
                              <w:rPr>
                                <w:color w:val="808080" w:themeColor="background1" w:themeShade="80"/>
                                <w:sz w:val="36"/>
                                <w:szCs w:val="36"/>
                                <w:lang w:val="en-GB" w:eastAsia="en-US"/>
                              </w:rPr>
                            </w:pPr>
                          </w:p>
                          <w:p w14:paraId="0FAFA268" w14:textId="77777777" w:rsidR="00262AAF" w:rsidRDefault="00262AAF" w:rsidP="00270D45">
                            <w:pPr>
                              <w:spacing w:after="0"/>
                              <w:jc w:val="left"/>
                              <w:rPr>
                                <w:color w:val="808080" w:themeColor="background1" w:themeShade="80"/>
                                <w:sz w:val="36"/>
                                <w:szCs w:val="36"/>
                                <w:lang w:val="en-GB" w:eastAsia="en-US"/>
                              </w:rPr>
                            </w:pPr>
                          </w:p>
                          <w:p w14:paraId="5FF62667" w14:textId="77777777" w:rsidR="00262AAF" w:rsidRDefault="00262AAF" w:rsidP="00270D45">
                            <w:pPr>
                              <w:spacing w:after="0"/>
                              <w:jc w:val="left"/>
                              <w:rPr>
                                <w:color w:val="808080" w:themeColor="background1" w:themeShade="80"/>
                                <w:sz w:val="36"/>
                                <w:szCs w:val="36"/>
                                <w:lang w:val="en-GB" w:eastAsia="en-US"/>
                              </w:rPr>
                            </w:pPr>
                          </w:p>
                          <w:p w14:paraId="012C2739" w14:textId="77777777" w:rsidR="00262AAF" w:rsidRDefault="00262AAF" w:rsidP="00270D45">
                            <w:pPr>
                              <w:spacing w:after="0"/>
                              <w:jc w:val="left"/>
                              <w:rPr>
                                <w:color w:val="808080" w:themeColor="background1" w:themeShade="80"/>
                                <w:sz w:val="36"/>
                                <w:szCs w:val="36"/>
                                <w:lang w:val="en-GB" w:eastAsia="en-US"/>
                              </w:rPr>
                            </w:pPr>
                          </w:p>
                          <w:p w14:paraId="15E9551B" w14:textId="77777777" w:rsidR="00262AAF" w:rsidRPr="000130D1" w:rsidRDefault="00262AAF" w:rsidP="00270D45">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p w14:paraId="3372A468" w14:textId="77777777" w:rsidR="00262AAF" w:rsidRDefault="00262AAF" w:rsidP="00270D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B4754" id="_x0000_t202" coordsize="21600,21600" o:spt="202" path="m,l,21600r21600,l21600,xe">
                <v:stroke joinstyle="miter"/>
                <v:path gradientshapeok="t" o:connecttype="rect"/>
              </v:shapetype>
              <v:shape id="Text Box 5" o:spid="_x0000_s1026" type="#_x0000_t202" style="position:absolute;left:0;text-align:left;margin-left:24.2pt;margin-top:185.35pt;width:374.5pt;height:451.2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54ggIAABA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" stroked="f">
                <v:textbox>
                  <w:txbxContent>
                    <w:p w14:paraId="495D7997" w14:textId="77777777" w:rsidR="00262AAF" w:rsidRPr="000130D1" w:rsidRDefault="00262AAF" w:rsidP="00270D45">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Environmental Water</w:t>
                      </w:r>
                    </w:p>
                    <w:p w14:paraId="220E668E" w14:textId="6A255B72" w:rsidR="00262AAF" w:rsidRPr="000130D1" w:rsidRDefault="00262AAF" w:rsidP="00270D45">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Portfolio Management Plan</w:t>
                      </w:r>
                      <w:r>
                        <w:rPr>
                          <w:color w:val="808080" w:themeColor="background1" w:themeShade="80"/>
                          <w:sz w:val="36"/>
                          <w:szCs w:val="36"/>
                          <w:lang w:val="en-GB" w:eastAsia="en-US"/>
                        </w:rPr>
                        <w:t>ning</w:t>
                      </w:r>
                      <w:r w:rsidRPr="000130D1">
                        <w:rPr>
                          <w:color w:val="808080" w:themeColor="background1" w:themeShade="80"/>
                          <w:sz w:val="36"/>
                          <w:szCs w:val="36"/>
                          <w:lang w:val="en-GB" w:eastAsia="en-US"/>
                        </w:rPr>
                        <w:t xml:space="preserve"> </w:t>
                      </w:r>
                    </w:p>
                    <w:p w14:paraId="1D81211E" w14:textId="77777777" w:rsidR="00262AAF" w:rsidRDefault="00262AAF" w:rsidP="00270D45">
                      <w:pPr>
                        <w:spacing w:after="0"/>
                        <w:jc w:val="left"/>
                        <w:rPr>
                          <w:b/>
                          <w:color w:val="5F497A" w:themeColor="accent4" w:themeShade="BF"/>
                          <w:sz w:val="52"/>
                          <w:szCs w:val="52"/>
                          <w:lang w:val="en-GB" w:eastAsia="en-US"/>
                        </w:rPr>
                      </w:pPr>
                    </w:p>
                    <w:p w14:paraId="7DE032F8" w14:textId="77777777" w:rsidR="00262AAF" w:rsidRDefault="00262AAF" w:rsidP="00270D45">
                      <w:pPr>
                        <w:spacing w:after="0"/>
                        <w:jc w:val="left"/>
                        <w:rPr>
                          <w:b/>
                          <w:color w:val="5F497A" w:themeColor="accent4" w:themeShade="BF"/>
                          <w:sz w:val="52"/>
                          <w:szCs w:val="52"/>
                          <w:lang w:val="en-GB" w:eastAsia="en-US"/>
                        </w:rPr>
                      </w:pPr>
                    </w:p>
                    <w:p w14:paraId="1D104157" w14:textId="77777777" w:rsidR="00262AAF" w:rsidRDefault="00262AAF" w:rsidP="00270D45">
                      <w:pPr>
                        <w:spacing w:after="0"/>
                        <w:jc w:val="left"/>
                        <w:rPr>
                          <w:b/>
                          <w:color w:val="5F497A" w:themeColor="accent4" w:themeShade="BF"/>
                          <w:sz w:val="52"/>
                          <w:szCs w:val="52"/>
                          <w:lang w:val="en-GB" w:eastAsia="en-US"/>
                        </w:rPr>
                      </w:pPr>
                    </w:p>
                    <w:p w14:paraId="13A77A27" w14:textId="77777777" w:rsidR="00262AAF" w:rsidRDefault="00262AAF" w:rsidP="00270D45">
                      <w:pPr>
                        <w:spacing w:after="0"/>
                        <w:jc w:val="left"/>
                        <w:rPr>
                          <w:b/>
                          <w:color w:val="5F497A" w:themeColor="accent4" w:themeShade="BF"/>
                          <w:sz w:val="52"/>
                          <w:szCs w:val="52"/>
                          <w:lang w:val="en-GB" w:eastAsia="en-US"/>
                        </w:rPr>
                      </w:pPr>
                    </w:p>
                    <w:p w14:paraId="1B05F1F4" w14:textId="4AE360CA" w:rsidR="00262AAF" w:rsidRPr="00F87E44" w:rsidRDefault="00262AAF" w:rsidP="00270D45">
                      <w:pPr>
                        <w:spacing w:after="0"/>
                        <w:jc w:val="left"/>
                        <w:rPr>
                          <w:b/>
                          <w:color w:val="5F497A" w:themeColor="accent4" w:themeShade="BF"/>
                          <w:sz w:val="52"/>
                          <w:szCs w:val="52"/>
                          <w:lang w:val="en-GB" w:eastAsia="en-US"/>
                        </w:rPr>
                      </w:pPr>
                      <w:r>
                        <w:rPr>
                          <w:b/>
                          <w:color w:val="5F497A" w:themeColor="accent4" w:themeShade="BF"/>
                          <w:sz w:val="52"/>
                          <w:szCs w:val="52"/>
                          <w:lang w:val="en-GB" w:eastAsia="en-US"/>
                        </w:rPr>
                        <w:t>Approach to planning for the use, carryover and trade of Commonwealth environmental water</w:t>
                      </w:r>
                    </w:p>
                    <w:p w14:paraId="4E1FD191" w14:textId="77777777" w:rsidR="00262AAF" w:rsidRDefault="00262AAF" w:rsidP="00270D45">
                      <w:pPr>
                        <w:spacing w:after="0"/>
                        <w:jc w:val="left"/>
                        <w:rPr>
                          <w:b/>
                          <w:color w:val="5F497A" w:themeColor="accent4" w:themeShade="BF"/>
                          <w:sz w:val="52"/>
                          <w:szCs w:val="52"/>
                          <w:lang w:val="en-GB" w:eastAsia="en-US"/>
                        </w:rPr>
                      </w:pPr>
                    </w:p>
                    <w:p w14:paraId="35B77CCC" w14:textId="77777777" w:rsidR="00262AAF" w:rsidRDefault="00262AAF" w:rsidP="00270D45">
                      <w:pPr>
                        <w:spacing w:after="0"/>
                        <w:jc w:val="left"/>
                        <w:rPr>
                          <w:color w:val="808080" w:themeColor="background1" w:themeShade="80"/>
                          <w:sz w:val="36"/>
                          <w:szCs w:val="36"/>
                          <w:lang w:val="en-GB" w:eastAsia="en-US"/>
                        </w:rPr>
                      </w:pPr>
                    </w:p>
                    <w:p w14:paraId="5B3B5EC5" w14:textId="77777777" w:rsidR="00262AAF" w:rsidRDefault="00262AAF" w:rsidP="00270D45">
                      <w:pPr>
                        <w:spacing w:after="0"/>
                        <w:jc w:val="left"/>
                        <w:rPr>
                          <w:color w:val="808080" w:themeColor="background1" w:themeShade="80"/>
                          <w:sz w:val="36"/>
                          <w:szCs w:val="36"/>
                          <w:lang w:val="en-GB" w:eastAsia="en-US"/>
                        </w:rPr>
                      </w:pPr>
                    </w:p>
                    <w:p w14:paraId="0FAFA268" w14:textId="77777777" w:rsidR="00262AAF" w:rsidRDefault="00262AAF" w:rsidP="00270D45">
                      <w:pPr>
                        <w:spacing w:after="0"/>
                        <w:jc w:val="left"/>
                        <w:rPr>
                          <w:color w:val="808080" w:themeColor="background1" w:themeShade="80"/>
                          <w:sz w:val="36"/>
                          <w:szCs w:val="36"/>
                          <w:lang w:val="en-GB" w:eastAsia="en-US"/>
                        </w:rPr>
                      </w:pPr>
                    </w:p>
                    <w:p w14:paraId="5FF62667" w14:textId="77777777" w:rsidR="00262AAF" w:rsidRDefault="00262AAF" w:rsidP="00270D45">
                      <w:pPr>
                        <w:spacing w:after="0"/>
                        <w:jc w:val="left"/>
                        <w:rPr>
                          <w:color w:val="808080" w:themeColor="background1" w:themeShade="80"/>
                          <w:sz w:val="36"/>
                          <w:szCs w:val="36"/>
                          <w:lang w:val="en-GB" w:eastAsia="en-US"/>
                        </w:rPr>
                      </w:pPr>
                    </w:p>
                    <w:p w14:paraId="012C2739" w14:textId="77777777" w:rsidR="00262AAF" w:rsidRDefault="00262AAF" w:rsidP="00270D45">
                      <w:pPr>
                        <w:spacing w:after="0"/>
                        <w:jc w:val="left"/>
                        <w:rPr>
                          <w:color w:val="808080" w:themeColor="background1" w:themeShade="80"/>
                          <w:sz w:val="36"/>
                          <w:szCs w:val="36"/>
                          <w:lang w:val="en-GB" w:eastAsia="en-US"/>
                        </w:rPr>
                      </w:pPr>
                    </w:p>
                    <w:p w14:paraId="15E9551B" w14:textId="77777777" w:rsidR="00262AAF" w:rsidRPr="000130D1" w:rsidRDefault="00262AAF" w:rsidP="00270D45">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p w14:paraId="3372A468" w14:textId="77777777" w:rsidR="00262AAF" w:rsidRDefault="00262AAF" w:rsidP="00270D45"/>
                  </w:txbxContent>
                </v:textbox>
                <w10:wrap anchorx="margin" anchory="margin"/>
              </v:shape>
            </w:pict>
          </mc:Fallback>
        </mc:AlternateContent>
      </w:r>
      <w:r w:rsidR="00D8493A">
        <w:rPr>
          <w:rFonts w:ascii="Century Gothic" w:hAnsi="Century Gothic" w:cstheme="minorHAnsi"/>
          <w:b/>
          <w:color w:val="07601F"/>
          <w:sz w:val="44"/>
          <w:szCs w:val="44"/>
        </w:rPr>
        <w:tab/>
      </w:r>
      <w:r>
        <w:rPr>
          <w:rFonts w:ascii="Century Gothic" w:hAnsi="Century Gothic" w:cstheme="minorHAnsi"/>
          <w:b/>
          <w:color w:val="07601F"/>
          <w:sz w:val="44"/>
          <w:szCs w:val="44"/>
        </w:rPr>
        <w:br w:type="page"/>
      </w:r>
    </w:p>
    <w:p w14:paraId="6C650065" w14:textId="31894B14" w:rsidR="007A7A94" w:rsidRDefault="007A7A94" w:rsidP="00270D45">
      <w:pPr>
        <w:tabs>
          <w:tab w:val="left" w:pos="630"/>
        </w:tabs>
        <w:spacing w:after="120"/>
        <w:ind w:left="114" w:hanging="1418"/>
        <w:jc w:val="left"/>
        <w:rPr>
          <w:rFonts w:ascii="Century Gothic" w:hAnsi="Century Gothic"/>
        </w:rPr>
      </w:pPr>
    </w:p>
    <w:p w14:paraId="7E668C74" w14:textId="77777777" w:rsidR="00D8493A" w:rsidRDefault="00D8493A" w:rsidP="00D8493A">
      <w:pPr>
        <w:spacing w:before="40" w:after="40"/>
        <w:rPr>
          <w:rFonts w:ascii="Century Gothic" w:hAnsi="Century Gothic" w:cs="Century Gothic"/>
          <w:color w:val="000000"/>
        </w:rPr>
      </w:pPr>
    </w:p>
    <w:p w14:paraId="44B6F2C8" w14:textId="77777777" w:rsidR="00270D45" w:rsidRDefault="00270D45" w:rsidP="00D8493A">
      <w:pPr>
        <w:spacing w:before="40" w:after="40"/>
        <w:rPr>
          <w:rFonts w:ascii="Century Gothic" w:hAnsi="Century Gothic" w:cs="Century Gothic"/>
          <w:color w:val="000000"/>
        </w:rPr>
      </w:pPr>
    </w:p>
    <w:p w14:paraId="3F27271E" w14:textId="77777777" w:rsidR="00D8493A" w:rsidRDefault="00D8493A" w:rsidP="00D8493A">
      <w:pPr>
        <w:rPr>
          <w:rFonts w:ascii="Century Gothic" w:hAnsi="Century Gothic"/>
        </w:rPr>
      </w:pPr>
    </w:p>
    <w:p w14:paraId="5C146FCE" w14:textId="77777777" w:rsidR="00D8493A" w:rsidRDefault="00D8493A" w:rsidP="00D8493A">
      <w:pPr>
        <w:rPr>
          <w:rFonts w:ascii="Century Gothic" w:hAnsi="Century Gothic"/>
          <w:b/>
          <w:color w:val="5F497A" w:themeColor="accent4" w:themeShade="BF"/>
          <w:sz w:val="24"/>
          <w:szCs w:val="24"/>
        </w:rPr>
      </w:pPr>
      <w:r>
        <w:rPr>
          <w:rFonts w:ascii="Century Gothic" w:hAnsi="Century Gothic"/>
          <w:b/>
          <w:color w:val="5F497A" w:themeColor="accent4" w:themeShade="BF"/>
          <w:sz w:val="24"/>
          <w:szCs w:val="24"/>
        </w:rPr>
        <w:t>Acknowledgement of the traditional owners of the Murray–Darling Basin</w:t>
      </w:r>
    </w:p>
    <w:p w14:paraId="17121DBC" w14:textId="77777777" w:rsidR="00D8493A" w:rsidRDefault="00D8493A" w:rsidP="00D8493A">
      <w:pPr>
        <w:jc w:val="left"/>
        <w:rPr>
          <w:rFonts w:ascii="Century Gothic" w:hAnsi="Century Gothic"/>
        </w:rPr>
      </w:pPr>
      <w:r>
        <w:rPr>
          <w:rFonts w:ascii="Century Gothic" w:hAnsi="Century Gothic" w:cs="Century Gothic"/>
          <w:color w:val="000000"/>
        </w:rPr>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2D0B7E5A" w14:textId="77777777" w:rsidR="00D8493A" w:rsidRDefault="00D8493A" w:rsidP="00D8493A">
      <w:pPr>
        <w:rPr>
          <w:rFonts w:ascii="Century Gothic" w:hAnsi="Century Gothic"/>
        </w:rPr>
      </w:pPr>
    </w:p>
    <w:p w14:paraId="2CFB205B" w14:textId="525E3317" w:rsidR="00D8493A" w:rsidRDefault="00D8493A" w:rsidP="00D8493A">
      <w:pPr>
        <w:spacing w:after="0"/>
        <w:jc w:val="left"/>
        <w:rPr>
          <w:rFonts w:ascii="Century Gothic" w:hAnsi="Century Gothic" w:cs="Century Gothic"/>
          <w:color w:val="000000"/>
        </w:rPr>
      </w:pPr>
      <w:r>
        <w:rPr>
          <w:rFonts w:ascii="Century Gothic" w:hAnsi="Century Gothic" w:cs="Century Gothic"/>
          <w:color w:val="000000"/>
        </w:rPr>
        <w:t>© Copyright Commonwealth of Australia, 201</w:t>
      </w:r>
      <w:r w:rsidR="00B75B52">
        <w:rPr>
          <w:rFonts w:ascii="Century Gothic" w:hAnsi="Century Gothic" w:cs="Century Gothic"/>
          <w:color w:val="000000"/>
        </w:rPr>
        <w:t>9</w:t>
      </w:r>
      <w:r>
        <w:rPr>
          <w:rFonts w:ascii="Century Gothic" w:hAnsi="Century Gothic" w:cs="Century Gothic"/>
          <w:color w:val="000000"/>
        </w:rPr>
        <w:t>.</w:t>
      </w:r>
    </w:p>
    <w:p w14:paraId="39151ED9" w14:textId="77777777" w:rsidR="00D8493A" w:rsidRDefault="00D8493A" w:rsidP="00D8493A">
      <w:pPr>
        <w:spacing w:after="0"/>
        <w:jc w:val="left"/>
        <w:rPr>
          <w:rFonts w:ascii="Century Gothic" w:hAnsi="Century Gothic" w:cs="Century Gothic"/>
          <w:color w:val="000000"/>
        </w:rPr>
      </w:pPr>
    </w:p>
    <w:p w14:paraId="7A4D31DC" w14:textId="77777777" w:rsidR="00D8493A" w:rsidRDefault="00D8493A" w:rsidP="00D8493A">
      <w:pPr>
        <w:spacing w:after="0"/>
        <w:jc w:val="left"/>
        <w:rPr>
          <w:rFonts w:ascii="Century Gothic" w:hAnsi="Century Gothic" w:cs="Century Gothic"/>
          <w:color w:val="000000"/>
        </w:rPr>
      </w:pPr>
      <w:r>
        <w:rPr>
          <w:rFonts w:ascii="Century Gothic" w:hAnsi="Century Gothic" w:cs="Century Gothic"/>
          <w:noProof/>
          <w:color w:val="000000"/>
        </w:rPr>
        <w:drawing>
          <wp:inline distT="0" distB="0" distL="0" distR="0" wp14:anchorId="53207217" wp14:editId="1EC5C87B">
            <wp:extent cx="1821180" cy="525780"/>
            <wp:effectExtent l="0" t="0" r="7620" b="7620"/>
            <wp:docPr id="10" name="Picture 10"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1180" cy="525780"/>
                    </a:xfrm>
                    <a:prstGeom prst="rect">
                      <a:avLst/>
                    </a:prstGeom>
                    <a:noFill/>
                    <a:ln>
                      <a:noFill/>
                    </a:ln>
                  </pic:spPr>
                </pic:pic>
              </a:graphicData>
            </a:graphic>
          </wp:inline>
        </w:drawing>
      </w:r>
    </w:p>
    <w:p w14:paraId="7E7ECC9D" w14:textId="24ADF03C" w:rsidR="00D8493A" w:rsidRDefault="00D8493A" w:rsidP="00D8493A">
      <w:pPr>
        <w:pStyle w:val="Pa4"/>
        <w:spacing w:before="220"/>
        <w:rPr>
          <w:rFonts w:ascii="Century Gothic" w:hAnsi="Century Gothic" w:cs="Century Gothic"/>
          <w:color w:val="000000"/>
          <w:sz w:val="20"/>
          <w:szCs w:val="20"/>
        </w:rPr>
      </w:pPr>
      <w:r w:rsidRPr="005C5FFB">
        <w:rPr>
          <w:rFonts w:ascii="Century Gothic" w:hAnsi="Century Gothic" w:cs="Century Gothic"/>
          <w:i/>
          <w:color w:val="000000"/>
          <w:sz w:val="20"/>
          <w:szCs w:val="20"/>
        </w:rPr>
        <w:t xml:space="preserve">Commonwealth Environmental Water Portfolio Management Planning: Approach to planning for the use, carryover and trade of Commonwealth environmental water </w:t>
      </w:r>
      <w:r>
        <w:rPr>
          <w:rFonts w:ascii="Century Gothic" w:hAnsi="Century Gothic" w:cs="Century Gothic"/>
          <w:color w:val="000000"/>
          <w:sz w:val="20"/>
          <w:szCs w:val="20"/>
        </w:rPr>
        <w:t xml:space="preserve">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617CA170" w14:textId="4BCFBC46" w:rsidR="00D8493A" w:rsidRDefault="00D8493A" w:rsidP="00D8493A">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This report should be attributed as ‘</w:t>
      </w:r>
      <w:r w:rsidRPr="005C5FFB">
        <w:rPr>
          <w:rFonts w:ascii="Century Gothic" w:hAnsi="Century Gothic" w:cs="Century Gothic"/>
          <w:i/>
          <w:color w:val="000000"/>
          <w:sz w:val="20"/>
          <w:szCs w:val="20"/>
        </w:rPr>
        <w:t>Commonwealth Environmental Water Portfolio Management Planning: Approach to planning for the use, carryover and trade of Commonwealth environmental water</w:t>
      </w:r>
      <w:r>
        <w:rPr>
          <w:rFonts w:ascii="Century Gothic" w:hAnsi="Century Gothic" w:cs="Century Gothic"/>
          <w:color w:val="000000"/>
          <w:sz w:val="20"/>
          <w:szCs w:val="20"/>
        </w:rPr>
        <w:t>, Commonwealth of Australia, 201</w:t>
      </w:r>
      <w:r w:rsidR="00270D45">
        <w:rPr>
          <w:rFonts w:ascii="Century Gothic" w:hAnsi="Century Gothic" w:cs="Century Gothic"/>
          <w:color w:val="000000"/>
          <w:sz w:val="20"/>
          <w:szCs w:val="20"/>
        </w:rPr>
        <w:t>9</w:t>
      </w:r>
      <w:r>
        <w:rPr>
          <w:rFonts w:ascii="Century Gothic" w:hAnsi="Century Gothic" w:cs="Century Gothic"/>
          <w:color w:val="000000"/>
          <w:sz w:val="20"/>
          <w:szCs w:val="20"/>
        </w:rPr>
        <w:t>’.</w:t>
      </w:r>
    </w:p>
    <w:p w14:paraId="054A3004" w14:textId="77777777" w:rsidR="00D8493A" w:rsidRDefault="00D8493A" w:rsidP="00D8493A">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14:paraId="0A20B344" w14:textId="77777777" w:rsidR="00D8493A" w:rsidRDefault="00D8493A" w:rsidP="00D8493A">
      <w:pPr>
        <w:pStyle w:val="Pa4"/>
        <w:spacing w:before="220"/>
        <w:rPr>
          <w:rFonts w:ascii="Century Gothic" w:hAnsi="Century Gothic" w:cs="Century Gothic"/>
          <w:color w:val="000000"/>
          <w:sz w:val="20"/>
          <w:szCs w:val="20"/>
        </w:rPr>
      </w:pPr>
      <w:r>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and Energy. </w:t>
      </w:r>
    </w:p>
    <w:p w14:paraId="2389F8D1" w14:textId="77777777" w:rsidR="00D8493A" w:rsidRPr="005C5FFB" w:rsidRDefault="00D8493A" w:rsidP="00D8493A"/>
    <w:p w14:paraId="6C650066" w14:textId="24A8CE48" w:rsidR="007A7A94" w:rsidRDefault="00D8493A" w:rsidP="00D8493A">
      <w:pPr>
        <w:spacing w:after="120"/>
        <w:rPr>
          <w:rFonts w:ascii="Century Gothic" w:hAnsi="Century Gothic"/>
        </w:rPr>
      </w:pPr>
      <w:r>
        <w:rPr>
          <w:rFonts w:ascii="Century Gothic" w:hAnsi="Century Gothic" w:cs="Century Gothic"/>
          <w:color w:val="00000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rFonts w:cs="Adobe Garamond Pro"/>
          <w:color w:val="808284"/>
          <w:sz w:val="18"/>
          <w:szCs w:val="18"/>
        </w:rPr>
        <w:t xml:space="preserve"> </w:t>
      </w:r>
    </w:p>
    <w:p w14:paraId="6C650067" w14:textId="4411FE70" w:rsidR="007A7A94" w:rsidRDefault="007A7A94">
      <w:pPr>
        <w:spacing w:after="120"/>
        <w:rPr>
          <w:rFonts w:ascii="Century Gothic" w:hAnsi="Century Gothic"/>
        </w:rPr>
      </w:pPr>
    </w:p>
    <w:p w14:paraId="0EB363D5" w14:textId="77777777" w:rsidR="009020A7" w:rsidRPr="00D76454" w:rsidRDefault="009020A7" w:rsidP="009020A7">
      <w:pPr>
        <w:rPr>
          <w:rFonts w:ascii="Century Gothic" w:hAnsi="Century Gothic"/>
        </w:rPr>
      </w:pPr>
      <w:r w:rsidRPr="00D76454">
        <w:rPr>
          <w:rFonts w:ascii="Century Gothic" w:hAnsi="Century Gothic"/>
        </w:rPr>
        <w:t>For more information about Commonwealth environmental water, please contact us at:</w:t>
      </w:r>
    </w:p>
    <w:p w14:paraId="13099B7A" w14:textId="77777777" w:rsidR="009020A7" w:rsidRPr="00D76454" w:rsidRDefault="009020A7" w:rsidP="009020A7">
      <w:pPr>
        <w:rPr>
          <w:rFonts w:ascii="Century Gothic" w:hAnsi="Century Gothic"/>
        </w:rPr>
      </w:pPr>
      <w:r w:rsidRPr="00D76454">
        <w:rPr>
          <w:rFonts w:ascii="Century Gothic" w:hAnsi="Century Gothic"/>
        </w:rPr>
        <w:t>1800 803 772</w:t>
      </w:r>
    </w:p>
    <w:p w14:paraId="729E5A87" w14:textId="77777777" w:rsidR="009020A7" w:rsidRPr="00D76454" w:rsidRDefault="00B75AA8" w:rsidP="009020A7">
      <w:pPr>
        <w:rPr>
          <w:rFonts w:ascii="Century Gothic" w:hAnsi="Century Gothic"/>
        </w:rPr>
      </w:pPr>
      <w:hyperlink r:id="rId9" w:history="1">
        <w:r w:rsidR="009020A7" w:rsidRPr="00D76454">
          <w:rPr>
            <w:rStyle w:val="Hyperlink"/>
            <w:rFonts w:ascii="Century Gothic" w:hAnsi="Century Gothic"/>
          </w:rPr>
          <w:t>ewater@environment.gov.au</w:t>
        </w:r>
      </w:hyperlink>
    </w:p>
    <w:p w14:paraId="4003EAA0" w14:textId="77777777" w:rsidR="009020A7" w:rsidRPr="00D76454" w:rsidRDefault="00B75AA8" w:rsidP="009020A7">
      <w:pPr>
        <w:rPr>
          <w:rFonts w:ascii="Century Gothic" w:hAnsi="Century Gothic"/>
        </w:rPr>
      </w:pPr>
      <w:hyperlink r:id="rId10" w:history="1">
        <w:r w:rsidR="009020A7" w:rsidRPr="00D76454">
          <w:rPr>
            <w:rStyle w:val="Hyperlink"/>
            <w:rFonts w:ascii="Century Gothic" w:hAnsi="Century Gothic"/>
          </w:rPr>
          <w:t>www.environment.gov.au/water/cewo</w:t>
        </w:r>
      </w:hyperlink>
    </w:p>
    <w:p w14:paraId="714CC015" w14:textId="77777777" w:rsidR="009020A7" w:rsidRPr="00D76454" w:rsidRDefault="009020A7" w:rsidP="009020A7">
      <w:pPr>
        <w:rPr>
          <w:rFonts w:ascii="Century Gothic" w:hAnsi="Century Gothic"/>
        </w:rPr>
      </w:pPr>
      <w:r w:rsidRPr="00D76454">
        <w:rPr>
          <w:rFonts w:ascii="Century Gothic" w:hAnsi="Century Gothic"/>
        </w:rPr>
        <w:t>@theCEWH</w:t>
      </w:r>
    </w:p>
    <w:p w14:paraId="2871DC2B" w14:textId="77777777" w:rsidR="009020A7" w:rsidRDefault="009020A7" w:rsidP="009020A7">
      <w:r w:rsidRPr="00D76454">
        <w:rPr>
          <w:rFonts w:ascii="Century Gothic" w:hAnsi="Century Gothic"/>
        </w:rPr>
        <w:t>GPO Box 787, Canberra ACT 2601</w:t>
      </w:r>
    </w:p>
    <w:p w14:paraId="37D14C1D" w14:textId="77777777" w:rsidR="009020A7" w:rsidRDefault="009020A7">
      <w:pPr>
        <w:spacing w:after="120"/>
        <w:rPr>
          <w:rFonts w:ascii="Century Gothic" w:hAnsi="Century Gothic"/>
        </w:rPr>
      </w:pPr>
    </w:p>
    <w:p w14:paraId="6C650068" w14:textId="18E140FA" w:rsidR="007A7A94" w:rsidRDefault="007A7A94">
      <w:pPr>
        <w:spacing w:after="120"/>
        <w:rPr>
          <w:rFonts w:ascii="Century Gothic" w:hAnsi="Century Gothic"/>
        </w:rPr>
      </w:pPr>
    </w:p>
    <w:p w14:paraId="1BAB0A78" w14:textId="0577C0CA" w:rsidR="003B1AD9" w:rsidRDefault="003B1AD9">
      <w:pPr>
        <w:spacing w:after="0"/>
        <w:jc w:val="left"/>
        <w:rPr>
          <w:rFonts w:ascii="Century Gothic" w:hAnsi="Century Gothic"/>
          <w:b/>
          <w:color w:val="5F497A" w:themeColor="accent4" w:themeShade="BF"/>
          <w:sz w:val="24"/>
          <w:szCs w:val="24"/>
        </w:rPr>
        <w:sectPr w:rsidR="003B1AD9" w:rsidSect="00D8493A">
          <w:headerReference w:type="even" r:id="rId11"/>
          <w:headerReference w:type="default" r:id="rId12"/>
          <w:footerReference w:type="even" r:id="rId13"/>
          <w:footerReference w:type="default" r:id="rId14"/>
          <w:headerReference w:type="first" r:id="rId15"/>
          <w:footerReference w:type="first" r:id="rId16"/>
          <w:pgSz w:w="11906" w:h="16838"/>
          <w:pgMar w:top="851" w:right="1418" w:bottom="1134" w:left="1418" w:header="425" w:footer="187" w:gutter="0"/>
          <w:pgNumType w:start="0"/>
          <w:cols w:space="708"/>
          <w:titlePg/>
          <w:docGrid w:linePitch="360"/>
        </w:sectPr>
      </w:pPr>
    </w:p>
    <w:bookmarkEnd w:id="0" w:displacedByCustomXml="next"/>
    <w:bookmarkStart w:id="2" w:name="_Toc382821591" w:displacedByCustomXml="next"/>
    <w:sdt>
      <w:sdtPr>
        <w:rPr>
          <w:rFonts w:ascii="Calibri" w:eastAsia="Times New Roman" w:hAnsi="Calibri" w:cs="Times New Roman"/>
          <w:b w:val="0"/>
          <w:bCs w:val="0"/>
          <w:color w:val="auto"/>
          <w:sz w:val="20"/>
          <w:szCs w:val="20"/>
          <w:lang w:val="en-AU" w:eastAsia="en-AU"/>
        </w:rPr>
        <w:id w:val="34341674"/>
        <w:docPartObj>
          <w:docPartGallery w:val="Table of Contents"/>
          <w:docPartUnique/>
        </w:docPartObj>
      </w:sdtPr>
      <w:sdtEndPr/>
      <w:sdtContent>
        <w:p w14:paraId="6C65007D" w14:textId="77777777" w:rsidR="007A7A94" w:rsidRPr="00CD24AC" w:rsidRDefault="00D13EAF">
          <w:pPr>
            <w:pStyle w:val="TOCHeading"/>
            <w:numPr>
              <w:ilvl w:val="0"/>
              <w:numId w:val="0"/>
            </w:numPr>
            <w:spacing w:before="0" w:after="120"/>
            <w:rPr>
              <w:rFonts w:ascii="Century Gothic" w:hAnsi="Century Gothic"/>
            </w:rPr>
          </w:pPr>
          <w:r w:rsidRPr="00CD24AC">
            <w:rPr>
              <w:rFonts w:ascii="Century Gothic" w:hAnsi="Century Gothic"/>
            </w:rPr>
            <w:t>Contents</w:t>
          </w:r>
        </w:p>
        <w:p w14:paraId="7602EF09" w14:textId="77777777" w:rsidR="00CE5A67" w:rsidRPr="00CD24AC" w:rsidRDefault="00D848C1" w:rsidP="00CE0FAD">
          <w:pPr>
            <w:pStyle w:val="TOC1"/>
            <w:rPr>
              <w:rFonts w:eastAsiaTheme="minorEastAsia" w:cstheme="minorBidi"/>
              <w:noProof/>
              <w:sz w:val="22"/>
              <w:szCs w:val="22"/>
            </w:rPr>
          </w:pPr>
          <w:r w:rsidRPr="00CD24AC">
            <w:fldChar w:fldCharType="begin"/>
          </w:r>
          <w:r w:rsidR="00D13EAF" w:rsidRPr="00CD24AC">
            <w:instrText xml:space="preserve"> TOC \o "1-3" \h \z \u </w:instrText>
          </w:r>
          <w:r w:rsidRPr="00CD24AC">
            <w:fldChar w:fldCharType="separate"/>
          </w:r>
          <w:hyperlink w:anchor="_Toc517264633" w:history="1">
            <w:r w:rsidR="00CE5A67" w:rsidRPr="00CD24AC">
              <w:rPr>
                <w:rStyle w:val="Hyperlink"/>
                <w:rFonts w:ascii="Century Gothic" w:hAnsi="Century Gothic"/>
                <w:b/>
                <w:noProof/>
              </w:rPr>
              <w:t>1.</w:t>
            </w:r>
            <w:r w:rsidR="00CE5A67" w:rsidRPr="00CD24AC">
              <w:rPr>
                <w:rFonts w:eastAsiaTheme="minorEastAsia" w:cstheme="minorBidi"/>
                <w:noProof/>
                <w:sz w:val="22"/>
                <w:szCs w:val="22"/>
              </w:rPr>
              <w:tab/>
            </w:r>
            <w:r w:rsidR="00CE5A67" w:rsidRPr="00CD24AC">
              <w:rPr>
                <w:rStyle w:val="Hyperlink"/>
                <w:rFonts w:ascii="Century Gothic" w:hAnsi="Century Gothic"/>
                <w:b/>
                <w:noProof/>
              </w:rPr>
              <w:t>Introduction</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_Toc517264633 \h </w:instrText>
            </w:r>
            <w:r w:rsidR="00CE5A67" w:rsidRPr="00CD24AC">
              <w:rPr>
                <w:noProof/>
                <w:webHidden/>
              </w:rPr>
            </w:r>
            <w:r w:rsidR="00CE5A67" w:rsidRPr="00CD24AC">
              <w:rPr>
                <w:noProof/>
                <w:webHidden/>
              </w:rPr>
              <w:fldChar w:fldCharType="separate"/>
            </w:r>
            <w:r w:rsidR="0044680F">
              <w:rPr>
                <w:noProof/>
                <w:webHidden/>
              </w:rPr>
              <w:t>1</w:t>
            </w:r>
            <w:r w:rsidR="00CE5A67" w:rsidRPr="00CD24AC">
              <w:rPr>
                <w:noProof/>
                <w:webHidden/>
              </w:rPr>
              <w:fldChar w:fldCharType="end"/>
            </w:r>
          </w:hyperlink>
        </w:p>
        <w:p w14:paraId="69991D2F" w14:textId="792FD3A6" w:rsidR="00CE5A67" w:rsidRPr="00CD24AC" w:rsidRDefault="00B75AA8" w:rsidP="00CE0FAD">
          <w:pPr>
            <w:pStyle w:val="TOC1"/>
            <w:rPr>
              <w:rFonts w:eastAsiaTheme="minorEastAsia" w:cstheme="minorBidi"/>
              <w:noProof/>
              <w:sz w:val="22"/>
              <w:szCs w:val="22"/>
            </w:rPr>
          </w:pPr>
          <w:hyperlink w:anchor="_Toc517264634" w:history="1">
            <w:r w:rsidR="00CE5A67" w:rsidRPr="00CD24AC">
              <w:rPr>
                <w:rStyle w:val="Hyperlink"/>
                <w:rFonts w:ascii="Century Gothic" w:hAnsi="Century Gothic"/>
                <w:noProof/>
              </w:rPr>
              <w:t>1.1.</w:t>
            </w:r>
            <w:r w:rsidR="00CE5A67" w:rsidRPr="00CD24AC">
              <w:rPr>
                <w:rFonts w:eastAsiaTheme="minorEastAsia" w:cstheme="minorBidi"/>
                <w:noProof/>
                <w:sz w:val="22"/>
                <w:szCs w:val="22"/>
              </w:rPr>
              <w:tab/>
            </w:r>
            <w:r w:rsidR="00CE5A67" w:rsidRPr="00CD24AC">
              <w:rPr>
                <w:rStyle w:val="Hyperlink"/>
                <w:rFonts w:ascii="Century Gothic" w:hAnsi="Century Gothic"/>
                <w:noProof/>
              </w:rPr>
              <w:t>Purpose of the document</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_Toc517264634 \h </w:instrText>
            </w:r>
            <w:r w:rsidR="00CE5A67" w:rsidRPr="00CD24AC">
              <w:rPr>
                <w:noProof/>
                <w:webHidden/>
              </w:rPr>
            </w:r>
            <w:r w:rsidR="00CE5A67" w:rsidRPr="00CD24AC">
              <w:rPr>
                <w:noProof/>
                <w:webHidden/>
              </w:rPr>
              <w:fldChar w:fldCharType="separate"/>
            </w:r>
            <w:r w:rsidR="0044680F">
              <w:rPr>
                <w:noProof/>
                <w:webHidden/>
              </w:rPr>
              <w:t>1</w:t>
            </w:r>
            <w:r w:rsidR="00CE5A67" w:rsidRPr="00CD24AC">
              <w:rPr>
                <w:noProof/>
                <w:webHidden/>
              </w:rPr>
              <w:fldChar w:fldCharType="end"/>
            </w:r>
          </w:hyperlink>
        </w:p>
        <w:p w14:paraId="32018A16" w14:textId="77777777" w:rsidR="00CE5A67" w:rsidRPr="00CD24AC" w:rsidRDefault="00B75AA8" w:rsidP="00CE0FAD">
          <w:pPr>
            <w:pStyle w:val="TOC1"/>
            <w:rPr>
              <w:rFonts w:eastAsiaTheme="minorEastAsia" w:cstheme="minorBidi"/>
              <w:noProof/>
              <w:sz w:val="22"/>
              <w:szCs w:val="22"/>
            </w:rPr>
          </w:pPr>
          <w:hyperlink w:anchor="_Toc517264635" w:history="1">
            <w:r w:rsidR="00CE5A67" w:rsidRPr="00CD24AC">
              <w:rPr>
                <w:rStyle w:val="Hyperlink"/>
                <w:rFonts w:ascii="Century Gothic" w:hAnsi="Century Gothic"/>
                <w:noProof/>
              </w:rPr>
              <w:t>1.2.</w:t>
            </w:r>
            <w:r w:rsidR="00CE5A67" w:rsidRPr="00CD24AC">
              <w:rPr>
                <w:rFonts w:eastAsiaTheme="minorEastAsia" w:cstheme="minorBidi"/>
                <w:noProof/>
                <w:sz w:val="22"/>
                <w:szCs w:val="22"/>
              </w:rPr>
              <w:tab/>
            </w:r>
            <w:r w:rsidR="00CE5A67" w:rsidRPr="00CD24AC">
              <w:rPr>
                <w:rStyle w:val="Hyperlink"/>
                <w:rFonts w:ascii="Century Gothic" w:hAnsi="Century Gothic"/>
                <w:noProof/>
              </w:rPr>
              <w:t>About Commonwealth environmental water</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_Toc517264635 \h </w:instrText>
            </w:r>
            <w:r w:rsidR="00CE5A67" w:rsidRPr="00CD24AC">
              <w:rPr>
                <w:noProof/>
                <w:webHidden/>
              </w:rPr>
            </w:r>
            <w:r w:rsidR="00CE5A67" w:rsidRPr="00CD24AC">
              <w:rPr>
                <w:noProof/>
                <w:webHidden/>
              </w:rPr>
              <w:fldChar w:fldCharType="separate"/>
            </w:r>
            <w:r w:rsidR="0044680F">
              <w:rPr>
                <w:noProof/>
                <w:webHidden/>
              </w:rPr>
              <w:t>1</w:t>
            </w:r>
            <w:r w:rsidR="00CE5A67" w:rsidRPr="00CD24AC">
              <w:rPr>
                <w:noProof/>
                <w:webHidden/>
              </w:rPr>
              <w:fldChar w:fldCharType="end"/>
            </w:r>
          </w:hyperlink>
        </w:p>
        <w:p w14:paraId="001B4B0F" w14:textId="77777777" w:rsidR="00CE5A67" w:rsidRPr="00CD24AC" w:rsidRDefault="00B75AA8" w:rsidP="00CE0FAD">
          <w:pPr>
            <w:pStyle w:val="TOC1"/>
            <w:rPr>
              <w:rFonts w:eastAsiaTheme="minorEastAsia" w:cstheme="minorBidi"/>
              <w:noProof/>
              <w:sz w:val="22"/>
              <w:szCs w:val="22"/>
            </w:rPr>
          </w:pPr>
          <w:hyperlink w:anchor="_Toc517264636" w:history="1">
            <w:r w:rsidR="00CE5A67" w:rsidRPr="00CD24AC">
              <w:rPr>
                <w:rStyle w:val="Hyperlink"/>
                <w:rFonts w:ascii="Century Gothic" w:hAnsi="Century Gothic"/>
                <w:noProof/>
              </w:rPr>
              <w:t>1.3.</w:t>
            </w:r>
            <w:r w:rsidR="00CE5A67" w:rsidRPr="00CD24AC">
              <w:rPr>
                <w:rFonts w:eastAsiaTheme="minorEastAsia" w:cstheme="minorBidi"/>
                <w:noProof/>
                <w:sz w:val="22"/>
                <w:szCs w:val="22"/>
              </w:rPr>
              <w:tab/>
            </w:r>
            <w:r w:rsidR="00CE5A67" w:rsidRPr="00CD24AC">
              <w:rPr>
                <w:rStyle w:val="Hyperlink"/>
                <w:rFonts w:ascii="Century Gothic" w:hAnsi="Century Gothic"/>
                <w:noProof/>
              </w:rPr>
              <w:t>About the Commonwealth Environmental Water Holder</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_Toc517264636 \h </w:instrText>
            </w:r>
            <w:r w:rsidR="00CE5A67" w:rsidRPr="00CD24AC">
              <w:rPr>
                <w:noProof/>
                <w:webHidden/>
              </w:rPr>
            </w:r>
            <w:r w:rsidR="00CE5A67" w:rsidRPr="00CD24AC">
              <w:rPr>
                <w:noProof/>
                <w:webHidden/>
              </w:rPr>
              <w:fldChar w:fldCharType="separate"/>
            </w:r>
            <w:r w:rsidR="0044680F">
              <w:rPr>
                <w:noProof/>
                <w:webHidden/>
              </w:rPr>
              <w:t>1</w:t>
            </w:r>
            <w:r w:rsidR="00CE5A67" w:rsidRPr="00CD24AC">
              <w:rPr>
                <w:noProof/>
                <w:webHidden/>
              </w:rPr>
              <w:fldChar w:fldCharType="end"/>
            </w:r>
          </w:hyperlink>
        </w:p>
        <w:p w14:paraId="321B227E" w14:textId="77777777" w:rsidR="00CE5A67" w:rsidRPr="00CD24AC" w:rsidRDefault="00B75AA8" w:rsidP="00CE0FAD">
          <w:pPr>
            <w:pStyle w:val="TOC1"/>
            <w:rPr>
              <w:rFonts w:eastAsiaTheme="minorEastAsia" w:cstheme="minorBidi"/>
              <w:noProof/>
              <w:sz w:val="22"/>
              <w:szCs w:val="22"/>
            </w:rPr>
          </w:pPr>
          <w:hyperlink w:anchor="_Toc517264637" w:history="1">
            <w:r w:rsidR="00CE5A67" w:rsidRPr="00CD24AC">
              <w:rPr>
                <w:rStyle w:val="Hyperlink"/>
                <w:rFonts w:ascii="Century Gothic" w:hAnsi="Century Gothic" w:cs="Arial"/>
                <w:noProof/>
              </w:rPr>
              <w:t>1.3.1.</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Good neighbour policy</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_Toc517264637 \h </w:instrText>
            </w:r>
            <w:r w:rsidR="00CE5A67" w:rsidRPr="00CD24AC">
              <w:rPr>
                <w:noProof/>
                <w:webHidden/>
              </w:rPr>
            </w:r>
            <w:r w:rsidR="00CE5A67" w:rsidRPr="00CD24AC">
              <w:rPr>
                <w:noProof/>
                <w:webHidden/>
              </w:rPr>
              <w:fldChar w:fldCharType="separate"/>
            </w:r>
            <w:r w:rsidR="0044680F">
              <w:rPr>
                <w:noProof/>
                <w:webHidden/>
              </w:rPr>
              <w:t>1</w:t>
            </w:r>
            <w:r w:rsidR="00CE5A67" w:rsidRPr="00CD24AC">
              <w:rPr>
                <w:noProof/>
                <w:webHidden/>
              </w:rPr>
              <w:fldChar w:fldCharType="end"/>
            </w:r>
          </w:hyperlink>
        </w:p>
        <w:p w14:paraId="5606FD69" w14:textId="77777777" w:rsidR="00CE5A67" w:rsidRPr="00CD24AC" w:rsidRDefault="00B75AA8" w:rsidP="00CE0FAD">
          <w:pPr>
            <w:pStyle w:val="TOC1"/>
            <w:rPr>
              <w:rFonts w:eastAsiaTheme="minorEastAsia" w:cstheme="minorBidi"/>
              <w:noProof/>
              <w:sz w:val="22"/>
              <w:szCs w:val="22"/>
            </w:rPr>
          </w:pPr>
          <w:hyperlink w:anchor="_Toc517264638" w:history="1">
            <w:r w:rsidR="00CE5A67" w:rsidRPr="00CD24AC">
              <w:rPr>
                <w:rStyle w:val="Hyperlink"/>
                <w:rFonts w:ascii="Century Gothic" w:hAnsi="Century Gothic" w:cs="Arial"/>
                <w:noProof/>
              </w:rPr>
              <w:t>1.3.2.</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Basin Plan obligations</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_Toc517264638 \h </w:instrText>
            </w:r>
            <w:r w:rsidR="00CE5A67" w:rsidRPr="00CD24AC">
              <w:rPr>
                <w:noProof/>
                <w:webHidden/>
              </w:rPr>
            </w:r>
            <w:r w:rsidR="00CE5A67" w:rsidRPr="00CD24AC">
              <w:rPr>
                <w:noProof/>
                <w:webHidden/>
              </w:rPr>
              <w:fldChar w:fldCharType="separate"/>
            </w:r>
            <w:r w:rsidR="0044680F">
              <w:rPr>
                <w:noProof/>
                <w:webHidden/>
              </w:rPr>
              <w:t>2</w:t>
            </w:r>
            <w:r w:rsidR="00CE5A67" w:rsidRPr="00CD24AC">
              <w:rPr>
                <w:noProof/>
                <w:webHidden/>
              </w:rPr>
              <w:fldChar w:fldCharType="end"/>
            </w:r>
          </w:hyperlink>
        </w:p>
        <w:p w14:paraId="653491DD" w14:textId="77777777" w:rsidR="00CE5A67" w:rsidRPr="00CD24AC" w:rsidRDefault="00B75AA8" w:rsidP="00CE0FAD">
          <w:pPr>
            <w:pStyle w:val="TOC1"/>
            <w:rPr>
              <w:rFonts w:eastAsiaTheme="minorEastAsia" w:cstheme="minorBidi"/>
              <w:noProof/>
              <w:sz w:val="22"/>
              <w:szCs w:val="22"/>
            </w:rPr>
          </w:pPr>
          <w:hyperlink w:anchor="_Toc517264639" w:history="1">
            <w:r w:rsidR="00CE5A67" w:rsidRPr="00CD24AC">
              <w:rPr>
                <w:rStyle w:val="Hyperlink"/>
                <w:rFonts w:ascii="Century Gothic" w:hAnsi="Century Gothic"/>
                <w:noProof/>
              </w:rPr>
              <w:t>1.4.</w:t>
            </w:r>
            <w:r w:rsidR="00CE5A67" w:rsidRPr="00CD24AC">
              <w:rPr>
                <w:rFonts w:eastAsiaTheme="minorEastAsia" w:cstheme="minorBidi"/>
                <w:noProof/>
                <w:sz w:val="22"/>
                <w:szCs w:val="22"/>
              </w:rPr>
              <w:tab/>
            </w:r>
            <w:r w:rsidR="00CE5A67" w:rsidRPr="00CD24AC">
              <w:rPr>
                <w:rStyle w:val="Hyperlink"/>
                <w:rFonts w:ascii="Century Gothic" w:hAnsi="Century Gothic"/>
                <w:noProof/>
              </w:rPr>
              <w:t>Working with others</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_Toc517264639 \h </w:instrText>
            </w:r>
            <w:r w:rsidR="00CE5A67" w:rsidRPr="00CD24AC">
              <w:rPr>
                <w:noProof/>
                <w:webHidden/>
              </w:rPr>
            </w:r>
            <w:r w:rsidR="00CE5A67" w:rsidRPr="00CD24AC">
              <w:rPr>
                <w:noProof/>
                <w:webHidden/>
              </w:rPr>
              <w:fldChar w:fldCharType="separate"/>
            </w:r>
            <w:r w:rsidR="0044680F">
              <w:rPr>
                <w:noProof/>
                <w:webHidden/>
              </w:rPr>
              <w:t>2</w:t>
            </w:r>
            <w:r w:rsidR="00CE5A67" w:rsidRPr="00CD24AC">
              <w:rPr>
                <w:noProof/>
                <w:webHidden/>
              </w:rPr>
              <w:fldChar w:fldCharType="end"/>
            </w:r>
          </w:hyperlink>
        </w:p>
        <w:p w14:paraId="2CCCBAA1" w14:textId="77777777" w:rsidR="00CE5A67" w:rsidRPr="00CD24AC" w:rsidRDefault="00B75AA8" w:rsidP="00CE0FAD">
          <w:pPr>
            <w:pStyle w:val="TOC1"/>
            <w:rPr>
              <w:rFonts w:eastAsiaTheme="minorEastAsia" w:cstheme="minorBidi"/>
              <w:noProof/>
              <w:sz w:val="22"/>
              <w:szCs w:val="22"/>
            </w:rPr>
          </w:pPr>
          <w:hyperlink w:anchor="_Toc517264640" w:history="1">
            <w:r w:rsidR="00CE5A67" w:rsidRPr="00CD24AC">
              <w:rPr>
                <w:rStyle w:val="Hyperlink"/>
                <w:rFonts w:ascii="Century Gothic" w:hAnsi="Century Gothic" w:cs="Arial"/>
                <w:noProof/>
              </w:rPr>
              <w:t>1.4.1.</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Delivery partners</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_Toc517264640 \h </w:instrText>
            </w:r>
            <w:r w:rsidR="00CE5A67" w:rsidRPr="00CD24AC">
              <w:rPr>
                <w:noProof/>
                <w:webHidden/>
              </w:rPr>
            </w:r>
            <w:r w:rsidR="00CE5A67" w:rsidRPr="00CD24AC">
              <w:rPr>
                <w:noProof/>
                <w:webHidden/>
              </w:rPr>
              <w:fldChar w:fldCharType="separate"/>
            </w:r>
            <w:r w:rsidR="0044680F">
              <w:rPr>
                <w:noProof/>
                <w:webHidden/>
              </w:rPr>
              <w:t>3</w:t>
            </w:r>
            <w:r w:rsidR="00CE5A67" w:rsidRPr="00CD24AC">
              <w:rPr>
                <w:noProof/>
                <w:webHidden/>
              </w:rPr>
              <w:fldChar w:fldCharType="end"/>
            </w:r>
          </w:hyperlink>
        </w:p>
        <w:p w14:paraId="4520892E" w14:textId="77777777" w:rsidR="00CE5A67" w:rsidRPr="00CD24AC" w:rsidRDefault="00B75AA8" w:rsidP="00CE0FAD">
          <w:pPr>
            <w:pStyle w:val="TOC1"/>
            <w:rPr>
              <w:rFonts w:eastAsiaTheme="minorEastAsia" w:cstheme="minorBidi"/>
              <w:noProof/>
              <w:sz w:val="22"/>
              <w:szCs w:val="22"/>
            </w:rPr>
          </w:pPr>
          <w:hyperlink w:anchor="_Toc517264641" w:history="1">
            <w:r w:rsidR="00CE5A67" w:rsidRPr="00CD24AC">
              <w:rPr>
                <w:rStyle w:val="Hyperlink"/>
                <w:rFonts w:ascii="Century Gothic" w:hAnsi="Century Gothic" w:cs="Arial"/>
                <w:noProof/>
              </w:rPr>
              <w:t>1.4.2.</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Community engagement</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_Toc517264641 \h </w:instrText>
            </w:r>
            <w:r w:rsidR="00CE5A67" w:rsidRPr="00CD24AC">
              <w:rPr>
                <w:noProof/>
                <w:webHidden/>
              </w:rPr>
            </w:r>
            <w:r w:rsidR="00CE5A67" w:rsidRPr="00CD24AC">
              <w:rPr>
                <w:noProof/>
                <w:webHidden/>
              </w:rPr>
              <w:fldChar w:fldCharType="separate"/>
            </w:r>
            <w:r w:rsidR="0044680F">
              <w:rPr>
                <w:noProof/>
                <w:webHidden/>
              </w:rPr>
              <w:t>3</w:t>
            </w:r>
            <w:r w:rsidR="00CE5A67" w:rsidRPr="00CD24AC">
              <w:rPr>
                <w:noProof/>
                <w:webHidden/>
              </w:rPr>
              <w:fldChar w:fldCharType="end"/>
            </w:r>
          </w:hyperlink>
        </w:p>
        <w:p w14:paraId="0C3B899F" w14:textId="77777777" w:rsidR="00CE5A67" w:rsidRPr="00CD24AC" w:rsidRDefault="00B75AA8" w:rsidP="00CE0FAD">
          <w:pPr>
            <w:pStyle w:val="TOC1"/>
            <w:rPr>
              <w:rFonts w:eastAsiaTheme="minorEastAsia" w:cstheme="minorBidi"/>
              <w:noProof/>
              <w:sz w:val="22"/>
              <w:szCs w:val="22"/>
            </w:rPr>
          </w:pPr>
          <w:hyperlink w:anchor="_Toc517264642" w:history="1">
            <w:r w:rsidR="00CE5A67" w:rsidRPr="00CD24AC">
              <w:rPr>
                <w:rStyle w:val="Hyperlink"/>
                <w:rFonts w:ascii="Century Gothic" w:hAnsi="Century Gothic" w:cs="Arial"/>
                <w:noProof/>
              </w:rPr>
              <w:t>1.4.3.</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Indigenous engagement</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_Toc517264642 \h </w:instrText>
            </w:r>
            <w:r w:rsidR="00CE5A67" w:rsidRPr="00CD24AC">
              <w:rPr>
                <w:noProof/>
                <w:webHidden/>
              </w:rPr>
            </w:r>
            <w:r w:rsidR="00CE5A67" w:rsidRPr="00CD24AC">
              <w:rPr>
                <w:noProof/>
                <w:webHidden/>
              </w:rPr>
              <w:fldChar w:fldCharType="separate"/>
            </w:r>
            <w:r w:rsidR="0044680F">
              <w:rPr>
                <w:noProof/>
                <w:webHidden/>
              </w:rPr>
              <w:t>3</w:t>
            </w:r>
            <w:r w:rsidR="00CE5A67" w:rsidRPr="00CD24AC">
              <w:rPr>
                <w:noProof/>
                <w:webHidden/>
              </w:rPr>
              <w:fldChar w:fldCharType="end"/>
            </w:r>
          </w:hyperlink>
        </w:p>
        <w:p w14:paraId="631B5F6B" w14:textId="77777777" w:rsidR="00CE5A67" w:rsidRPr="00CD24AC" w:rsidRDefault="00B75AA8" w:rsidP="00CE0FAD">
          <w:pPr>
            <w:pStyle w:val="TOC1"/>
            <w:rPr>
              <w:rFonts w:eastAsiaTheme="minorEastAsia" w:cstheme="minorBidi"/>
              <w:noProof/>
              <w:sz w:val="22"/>
              <w:szCs w:val="22"/>
            </w:rPr>
          </w:pPr>
          <w:hyperlink w:anchor="_Toc517264643" w:history="1">
            <w:r w:rsidR="00CE5A67" w:rsidRPr="00CD24AC">
              <w:rPr>
                <w:rStyle w:val="Hyperlink"/>
                <w:rFonts w:ascii="Century Gothic" w:hAnsi="Century Gothic"/>
                <w:noProof/>
              </w:rPr>
              <w:t>1.5.</w:t>
            </w:r>
            <w:r w:rsidR="00CE5A67" w:rsidRPr="00CD24AC">
              <w:rPr>
                <w:rFonts w:eastAsiaTheme="minorEastAsia" w:cstheme="minorBidi"/>
                <w:noProof/>
                <w:sz w:val="22"/>
                <w:szCs w:val="22"/>
              </w:rPr>
              <w:tab/>
            </w:r>
            <w:r w:rsidR="00CE5A67" w:rsidRPr="00CD24AC">
              <w:rPr>
                <w:rStyle w:val="Hyperlink"/>
                <w:rFonts w:ascii="Century Gothic" w:hAnsi="Century Gothic"/>
                <w:noProof/>
              </w:rPr>
              <w:t>Supporting multiple outcomes</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_Toc517264643 \h </w:instrText>
            </w:r>
            <w:r w:rsidR="00CE5A67" w:rsidRPr="00CD24AC">
              <w:rPr>
                <w:noProof/>
                <w:webHidden/>
              </w:rPr>
            </w:r>
            <w:r w:rsidR="00CE5A67" w:rsidRPr="00CD24AC">
              <w:rPr>
                <w:noProof/>
                <w:webHidden/>
              </w:rPr>
              <w:fldChar w:fldCharType="separate"/>
            </w:r>
            <w:r w:rsidR="0044680F">
              <w:rPr>
                <w:noProof/>
                <w:webHidden/>
              </w:rPr>
              <w:t>4</w:t>
            </w:r>
            <w:r w:rsidR="00CE5A67" w:rsidRPr="00CD24AC">
              <w:rPr>
                <w:noProof/>
                <w:webHidden/>
              </w:rPr>
              <w:fldChar w:fldCharType="end"/>
            </w:r>
          </w:hyperlink>
        </w:p>
        <w:p w14:paraId="2C2870BA" w14:textId="77777777" w:rsidR="00CE5A67" w:rsidRPr="00CD24AC" w:rsidRDefault="00B75AA8" w:rsidP="00CE0FAD">
          <w:pPr>
            <w:pStyle w:val="TOC1"/>
            <w:rPr>
              <w:rFonts w:eastAsiaTheme="minorEastAsia" w:cstheme="minorBidi"/>
              <w:noProof/>
              <w:sz w:val="22"/>
              <w:szCs w:val="22"/>
            </w:rPr>
          </w:pPr>
          <w:hyperlink w:anchor="_Toc517264644" w:history="1">
            <w:r w:rsidR="00CE5A67" w:rsidRPr="00CD24AC">
              <w:rPr>
                <w:rStyle w:val="Hyperlink"/>
                <w:rFonts w:ascii="Century Gothic" w:hAnsi="Century Gothic" w:cs="Arial"/>
                <w:noProof/>
              </w:rPr>
              <w:t>1.5.1.</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Aboriginal cultural outcomes</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_Toc517264644 \h </w:instrText>
            </w:r>
            <w:r w:rsidR="00CE5A67" w:rsidRPr="00CD24AC">
              <w:rPr>
                <w:noProof/>
                <w:webHidden/>
              </w:rPr>
            </w:r>
            <w:r w:rsidR="00CE5A67" w:rsidRPr="00CD24AC">
              <w:rPr>
                <w:noProof/>
                <w:webHidden/>
              </w:rPr>
              <w:fldChar w:fldCharType="separate"/>
            </w:r>
            <w:r w:rsidR="0044680F">
              <w:rPr>
                <w:noProof/>
                <w:webHidden/>
              </w:rPr>
              <w:t>4</w:t>
            </w:r>
            <w:r w:rsidR="00CE5A67" w:rsidRPr="00CD24AC">
              <w:rPr>
                <w:noProof/>
                <w:webHidden/>
              </w:rPr>
              <w:fldChar w:fldCharType="end"/>
            </w:r>
          </w:hyperlink>
        </w:p>
        <w:p w14:paraId="267955C8" w14:textId="77777777" w:rsidR="00CE5A67" w:rsidRPr="00CD24AC" w:rsidRDefault="00B75AA8" w:rsidP="00CE0FAD">
          <w:pPr>
            <w:pStyle w:val="TOC1"/>
            <w:rPr>
              <w:rFonts w:eastAsiaTheme="minorEastAsia" w:cstheme="minorBidi"/>
              <w:noProof/>
              <w:sz w:val="22"/>
              <w:szCs w:val="22"/>
            </w:rPr>
          </w:pPr>
          <w:hyperlink w:anchor="_Toc517264645" w:history="1">
            <w:r w:rsidR="00CE5A67" w:rsidRPr="00CD24AC">
              <w:rPr>
                <w:rStyle w:val="Hyperlink"/>
                <w:rFonts w:ascii="Century Gothic" w:hAnsi="Century Gothic" w:cs="Arial"/>
                <w:noProof/>
              </w:rPr>
              <w:t>1.5.2.</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Benefits to other water users</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_Toc517264645 \h </w:instrText>
            </w:r>
            <w:r w:rsidR="00CE5A67" w:rsidRPr="00CD24AC">
              <w:rPr>
                <w:noProof/>
                <w:webHidden/>
              </w:rPr>
            </w:r>
            <w:r w:rsidR="00CE5A67" w:rsidRPr="00CD24AC">
              <w:rPr>
                <w:noProof/>
                <w:webHidden/>
              </w:rPr>
              <w:fldChar w:fldCharType="separate"/>
            </w:r>
            <w:r w:rsidR="0044680F">
              <w:rPr>
                <w:noProof/>
                <w:webHidden/>
              </w:rPr>
              <w:t>4</w:t>
            </w:r>
            <w:r w:rsidR="00CE5A67" w:rsidRPr="00CD24AC">
              <w:rPr>
                <w:noProof/>
                <w:webHidden/>
              </w:rPr>
              <w:fldChar w:fldCharType="end"/>
            </w:r>
          </w:hyperlink>
        </w:p>
        <w:p w14:paraId="17DC94B4" w14:textId="77777777" w:rsidR="00CE5A67" w:rsidRPr="00CD24AC" w:rsidRDefault="00B75AA8" w:rsidP="00CE0FAD">
          <w:pPr>
            <w:pStyle w:val="TOC1"/>
            <w:rPr>
              <w:rFonts w:eastAsiaTheme="minorEastAsia" w:cstheme="minorBidi"/>
              <w:noProof/>
              <w:sz w:val="22"/>
              <w:szCs w:val="22"/>
            </w:rPr>
          </w:pPr>
          <w:hyperlink w:anchor="_Toc517264646" w:history="1">
            <w:r w:rsidR="00CE5A67" w:rsidRPr="00CD24AC">
              <w:rPr>
                <w:rStyle w:val="Hyperlink"/>
                <w:rFonts w:ascii="Century Gothic" w:hAnsi="Century Gothic"/>
                <w:noProof/>
              </w:rPr>
              <w:t>1.6.</w:t>
            </w:r>
            <w:r w:rsidR="00CE5A67" w:rsidRPr="00CD24AC">
              <w:rPr>
                <w:rFonts w:eastAsiaTheme="minorEastAsia" w:cstheme="minorBidi"/>
                <w:noProof/>
                <w:sz w:val="22"/>
                <w:szCs w:val="22"/>
              </w:rPr>
              <w:tab/>
            </w:r>
            <w:r w:rsidR="00CE5A67" w:rsidRPr="00CD24AC">
              <w:rPr>
                <w:rStyle w:val="Hyperlink"/>
                <w:rFonts w:ascii="Century Gothic" w:hAnsi="Century Gothic"/>
                <w:noProof/>
              </w:rPr>
              <w:t>Contact information</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_Toc517264646 \h </w:instrText>
            </w:r>
            <w:r w:rsidR="00CE5A67" w:rsidRPr="00CD24AC">
              <w:rPr>
                <w:noProof/>
                <w:webHidden/>
              </w:rPr>
            </w:r>
            <w:r w:rsidR="00CE5A67" w:rsidRPr="00CD24AC">
              <w:rPr>
                <w:noProof/>
                <w:webHidden/>
              </w:rPr>
              <w:fldChar w:fldCharType="separate"/>
            </w:r>
            <w:r w:rsidR="0044680F">
              <w:rPr>
                <w:noProof/>
                <w:webHidden/>
              </w:rPr>
              <w:t>4</w:t>
            </w:r>
            <w:r w:rsidR="00CE5A67" w:rsidRPr="00CD24AC">
              <w:rPr>
                <w:noProof/>
                <w:webHidden/>
              </w:rPr>
              <w:fldChar w:fldCharType="end"/>
            </w:r>
          </w:hyperlink>
        </w:p>
        <w:p w14:paraId="044175F7" w14:textId="77777777" w:rsidR="00CE5A67" w:rsidRPr="00CD24AC" w:rsidRDefault="00B75AA8" w:rsidP="00CE0FAD">
          <w:pPr>
            <w:pStyle w:val="TOC1"/>
            <w:rPr>
              <w:rFonts w:eastAsiaTheme="minorEastAsia" w:cstheme="minorBidi"/>
              <w:noProof/>
              <w:sz w:val="22"/>
              <w:szCs w:val="22"/>
            </w:rPr>
          </w:pPr>
          <w:hyperlink w:anchor="_Toc517264647" w:history="1">
            <w:r w:rsidR="00CE5A67" w:rsidRPr="00CD24AC">
              <w:rPr>
                <w:rStyle w:val="Hyperlink"/>
                <w:rFonts w:ascii="Century Gothic" w:hAnsi="Century Gothic"/>
                <w:b/>
                <w:noProof/>
              </w:rPr>
              <w:t>2.</w:t>
            </w:r>
            <w:r w:rsidR="00CE5A67" w:rsidRPr="00CD24AC">
              <w:rPr>
                <w:rFonts w:eastAsiaTheme="minorEastAsia" w:cstheme="minorBidi"/>
                <w:noProof/>
                <w:sz w:val="22"/>
                <w:szCs w:val="22"/>
              </w:rPr>
              <w:tab/>
            </w:r>
            <w:r w:rsidR="00CE5A67" w:rsidRPr="00CD24AC">
              <w:rPr>
                <w:rStyle w:val="Hyperlink"/>
                <w:rFonts w:ascii="Century Gothic" w:hAnsi="Century Gothic"/>
                <w:b/>
                <w:noProof/>
              </w:rPr>
              <w:t>Portfolio management planning</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_Toc517264647 \h </w:instrText>
            </w:r>
            <w:r w:rsidR="00CE5A67" w:rsidRPr="00CD24AC">
              <w:rPr>
                <w:noProof/>
                <w:webHidden/>
              </w:rPr>
            </w:r>
            <w:r w:rsidR="00CE5A67" w:rsidRPr="00CD24AC">
              <w:rPr>
                <w:noProof/>
                <w:webHidden/>
              </w:rPr>
              <w:fldChar w:fldCharType="separate"/>
            </w:r>
            <w:r w:rsidR="0044680F">
              <w:rPr>
                <w:noProof/>
                <w:webHidden/>
              </w:rPr>
              <w:t>5</w:t>
            </w:r>
            <w:r w:rsidR="00CE5A67" w:rsidRPr="00CD24AC">
              <w:rPr>
                <w:noProof/>
                <w:webHidden/>
              </w:rPr>
              <w:fldChar w:fldCharType="end"/>
            </w:r>
          </w:hyperlink>
        </w:p>
        <w:p w14:paraId="5E573D86" w14:textId="77777777" w:rsidR="00CE5A67" w:rsidRPr="00CD24AC" w:rsidRDefault="00B75AA8" w:rsidP="00CE0FAD">
          <w:pPr>
            <w:pStyle w:val="TOC1"/>
            <w:rPr>
              <w:rFonts w:eastAsiaTheme="minorEastAsia" w:cstheme="minorBidi"/>
              <w:noProof/>
              <w:sz w:val="22"/>
              <w:szCs w:val="22"/>
            </w:rPr>
          </w:pPr>
          <w:hyperlink w:anchor="_Toc517264648" w:history="1">
            <w:r w:rsidR="00CE5A67" w:rsidRPr="00CD24AC">
              <w:rPr>
                <w:rStyle w:val="Hyperlink"/>
                <w:rFonts w:ascii="Century Gothic" w:hAnsi="Century Gothic"/>
                <w:noProof/>
              </w:rPr>
              <w:t>2.1.</w:t>
            </w:r>
            <w:r w:rsidR="00CE5A67" w:rsidRPr="00CD24AC">
              <w:rPr>
                <w:rFonts w:eastAsiaTheme="minorEastAsia" w:cstheme="minorBidi"/>
                <w:noProof/>
                <w:sz w:val="22"/>
                <w:szCs w:val="22"/>
              </w:rPr>
              <w:tab/>
            </w:r>
            <w:r w:rsidR="00CE5A67" w:rsidRPr="00CD24AC">
              <w:rPr>
                <w:rStyle w:val="Hyperlink"/>
                <w:rFonts w:ascii="Century Gothic" w:hAnsi="Century Gothic"/>
                <w:noProof/>
              </w:rPr>
              <w:t>Management options</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_Toc517264648 \h </w:instrText>
            </w:r>
            <w:r w:rsidR="00CE5A67" w:rsidRPr="00CD24AC">
              <w:rPr>
                <w:noProof/>
                <w:webHidden/>
              </w:rPr>
            </w:r>
            <w:r w:rsidR="00CE5A67" w:rsidRPr="00CD24AC">
              <w:rPr>
                <w:noProof/>
                <w:webHidden/>
              </w:rPr>
              <w:fldChar w:fldCharType="separate"/>
            </w:r>
            <w:r w:rsidR="0044680F">
              <w:rPr>
                <w:noProof/>
                <w:webHidden/>
              </w:rPr>
              <w:t>5</w:t>
            </w:r>
            <w:r w:rsidR="00CE5A67" w:rsidRPr="00CD24AC">
              <w:rPr>
                <w:noProof/>
                <w:webHidden/>
              </w:rPr>
              <w:fldChar w:fldCharType="end"/>
            </w:r>
          </w:hyperlink>
        </w:p>
        <w:p w14:paraId="53E031BE" w14:textId="77777777" w:rsidR="00CE5A67" w:rsidRPr="00CD24AC" w:rsidRDefault="00B75AA8" w:rsidP="00CE0FAD">
          <w:pPr>
            <w:pStyle w:val="TOC1"/>
            <w:rPr>
              <w:rFonts w:eastAsiaTheme="minorEastAsia" w:cstheme="minorBidi"/>
              <w:noProof/>
              <w:sz w:val="22"/>
              <w:szCs w:val="22"/>
            </w:rPr>
          </w:pPr>
          <w:hyperlink w:anchor="_Toc517264649" w:history="1">
            <w:r w:rsidR="00CE5A67" w:rsidRPr="00CD24AC">
              <w:rPr>
                <w:rStyle w:val="Hyperlink"/>
                <w:rFonts w:ascii="Century Gothic" w:hAnsi="Century Gothic"/>
                <w:noProof/>
              </w:rPr>
              <w:t>2.2.</w:t>
            </w:r>
            <w:r w:rsidR="00CE5A67" w:rsidRPr="00CD24AC">
              <w:rPr>
                <w:rFonts w:eastAsiaTheme="minorEastAsia" w:cstheme="minorBidi"/>
                <w:noProof/>
                <w:sz w:val="22"/>
                <w:szCs w:val="22"/>
              </w:rPr>
              <w:tab/>
            </w:r>
            <w:r w:rsidR="00CE5A67" w:rsidRPr="00CD24AC">
              <w:rPr>
                <w:rStyle w:val="Hyperlink"/>
                <w:rFonts w:ascii="Century Gothic" w:hAnsi="Century Gothic"/>
                <w:noProof/>
              </w:rPr>
              <w:t>Why do we undertake portfolio management planning</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_Toc517264649 \h </w:instrText>
            </w:r>
            <w:r w:rsidR="00CE5A67" w:rsidRPr="00CD24AC">
              <w:rPr>
                <w:noProof/>
                <w:webHidden/>
              </w:rPr>
            </w:r>
            <w:r w:rsidR="00CE5A67" w:rsidRPr="00CD24AC">
              <w:rPr>
                <w:noProof/>
                <w:webHidden/>
              </w:rPr>
              <w:fldChar w:fldCharType="separate"/>
            </w:r>
            <w:r w:rsidR="0044680F">
              <w:rPr>
                <w:noProof/>
                <w:webHidden/>
              </w:rPr>
              <w:t>5</w:t>
            </w:r>
            <w:r w:rsidR="00CE5A67" w:rsidRPr="00CD24AC">
              <w:rPr>
                <w:noProof/>
                <w:webHidden/>
              </w:rPr>
              <w:fldChar w:fldCharType="end"/>
            </w:r>
          </w:hyperlink>
        </w:p>
        <w:p w14:paraId="5AE12DB9" w14:textId="77777777" w:rsidR="00CE5A67" w:rsidRPr="00CD24AC" w:rsidRDefault="00B75AA8" w:rsidP="00CE0FAD">
          <w:pPr>
            <w:pStyle w:val="TOC1"/>
            <w:rPr>
              <w:rFonts w:eastAsiaTheme="minorEastAsia" w:cstheme="minorBidi"/>
              <w:noProof/>
              <w:sz w:val="22"/>
              <w:szCs w:val="22"/>
            </w:rPr>
          </w:pPr>
          <w:hyperlink w:anchor="_Toc517264650" w:history="1">
            <w:r w:rsidR="00CE5A67" w:rsidRPr="00CD24AC">
              <w:rPr>
                <w:rStyle w:val="Hyperlink"/>
                <w:rFonts w:ascii="Century Gothic" w:hAnsi="Century Gothic"/>
                <w:noProof/>
              </w:rPr>
              <w:t>2.3.</w:t>
            </w:r>
            <w:r w:rsidR="00CE5A67" w:rsidRPr="00CD24AC">
              <w:rPr>
                <w:rFonts w:eastAsiaTheme="minorEastAsia" w:cstheme="minorBidi"/>
                <w:noProof/>
                <w:sz w:val="22"/>
                <w:szCs w:val="22"/>
              </w:rPr>
              <w:tab/>
            </w:r>
            <w:r w:rsidR="00CE5A67" w:rsidRPr="00CD24AC">
              <w:rPr>
                <w:rStyle w:val="Hyperlink"/>
                <w:rFonts w:ascii="Century Gothic" w:hAnsi="Century Gothic"/>
                <w:noProof/>
              </w:rPr>
              <w:t>What are we trying to achieve?</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_Toc517264650 \h </w:instrText>
            </w:r>
            <w:r w:rsidR="00CE5A67" w:rsidRPr="00CD24AC">
              <w:rPr>
                <w:noProof/>
                <w:webHidden/>
              </w:rPr>
            </w:r>
            <w:r w:rsidR="00CE5A67" w:rsidRPr="00CD24AC">
              <w:rPr>
                <w:noProof/>
                <w:webHidden/>
              </w:rPr>
              <w:fldChar w:fldCharType="separate"/>
            </w:r>
            <w:r w:rsidR="0044680F">
              <w:rPr>
                <w:noProof/>
                <w:webHidden/>
              </w:rPr>
              <w:t>6</w:t>
            </w:r>
            <w:r w:rsidR="00CE5A67" w:rsidRPr="00CD24AC">
              <w:rPr>
                <w:noProof/>
                <w:webHidden/>
              </w:rPr>
              <w:fldChar w:fldCharType="end"/>
            </w:r>
          </w:hyperlink>
        </w:p>
        <w:p w14:paraId="0BA3FB09" w14:textId="77777777" w:rsidR="00CE5A67" w:rsidRPr="00CD24AC" w:rsidRDefault="00B75AA8" w:rsidP="00CE0FAD">
          <w:pPr>
            <w:pStyle w:val="TOC1"/>
            <w:rPr>
              <w:rFonts w:eastAsiaTheme="minorEastAsia" w:cstheme="minorBidi"/>
              <w:noProof/>
              <w:sz w:val="22"/>
              <w:szCs w:val="22"/>
            </w:rPr>
          </w:pPr>
          <w:hyperlink w:anchor="_Toc517264651" w:history="1">
            <w:r w:rsidR="00CE5A67" w:rsidRPr="00CD24AC">
              <w:rPr>
                <w:rStyle w:val="Hyperlink"/>
                <w:rFonts w:ascii="Century Gothic" w:hAnsi="Century Gothic" w:cs="Arial"/>
                <w:noProof/>
              </w:rPr>
              <w:t>2.3.1.</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Basin-wide long-term environmental objectives and outcomes</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_Toc517264651 \h </w:instrText>
            </w:r>
            <w:r w:rsidR="00CE5A67" w:rsidRPr="00CD24AC">
              <w:rPr>
                <w:noProof/>
                <w:webHidden/>
              </w:rPr>
            </w:r>
            <w:r w:rsidR="00CE5A67" w:rsidRPr="00CD24AC">
              <w:rPr>
                <w:noProof/>
                <w:webHidden/>
              </w:rPr>
              <w:fldChar w:fldCharType="separate"/>
            </w:r>
            <w:r w:rsidR="0044680F">
              <w:rPr>
                <w:noProof/>
                <w:webHidden/>
              </w:rPr>
              <w:t>6</w:t>
            </w:r>
            <w:r w:rsidR="00CE5A67" w:rsidRPr="00CD24AC">
              <w:rPr>
                <w:noProof/>
                <w:webHidden/>
              </w:rPr>
              <w:fldChar w:fldCharType="end"/>
            </w:r>
          </w:hyperlink>
        </w:p>
        <w:p w14:paraId="2CE2402B" w14:textId="77777777" w:rsidR="00CE5A67" w:rsidRPr="00CD24AC" w:rsidRDefault="00B75AA8" w:rsidP="00CE0FAD">
          <w:pPr>
            <w:pStyle w:val="TOC1"/>
            <w:rPr>
              <w:rFonts w:eastAsiaTheme="minorEastAsia" w:cstheme="minorBidi"/>
              <w:noProof/>
              <w:sz w:val="22"/>
              <w:szCs w:val="22"/>
            </w:rPr>
          </w:pPr>
          <w:hyperlink w:anchor="_Toc517264652" w:history="1">
            <w:r w:rsidR="00CE5A67" w:rsidRPr="00CD24AC">
              <w:rPr>
                <w:rStyle w:val="Hyperlink"/>
                <w:rFonts w:ascii="Century Gothic" w:hAnsi="Century Gothic" w:cs="Arial"/>
                <w:noProof/>
              </w:rPr>
              <w:t>2.3.2.</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Catchment long-term environmental objectives and outcomes</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_Toc517264652 \h </w:instrText>
            </w:r>
            <w:r w:rsidR="00CE5A67" w:rsidRPr="00CD24AC">
              <w:rPr>
                <w:noProof/>
                <w:webHidden/>
              </w:rPr>
            </w:r>
            <w:r w:rsidR="00CE5A67" w:rsidRPr="00CD24AC">
              <w:rPr>
                <w:noProof/>
                <w:webHidden/>
              </w:rPr>
              <w:fldChar w:fldCharType="separate"/>
            </w:r>
            <w:r w:rsidR="0044680F">
              <w:rPr>
                <w:noProof/>
                <w:webHidden/>
              </w:rPr>
              <w:t>6</w:t>
            </w:r>
            <w:r w:rsidR="00CE5A67" w:rsidRPr="00CD24AC">
              <w:rPr>
                <w:noProof/>
                <w:webHidden/>
              </w:rPr>
              <w:fldChar w:fldCharType="end"/>
            </w:r>
          </w:hyperlink>
        </w:p>
        <w:p w14:paraId="7EC4786D" w14:textId="77777777" w:rsidR="00CE5A67" w:rsidRPr="00CD24AC" w:rsidRDefault="00B75AA8" w:rsidP="00CE0FAD">
          <w:pPr>
            <w:pStyle w:val="TOC1"/>
            <w:rPr>
              <w:rFonts w:eastAsiaTheme="minorEastAsia" w:cstheme="minorBidi"/>
              <w:noProof/>
              <w:sz w:val="22"/>
              <w:szCs w:val="22"/>
            </w:rPr>
          </w:pPr>
          <w:hyperlink w:anchor="_Toc517264653" w:history="1">
            <w:r w:rsidR="00CE5A67" w:rsidRPr="00CD24AC">
              <w:rPr>
                <w:rStyle w:val="Hyperlink"/>
                <w:rFonts w:ascii="Century Gothic" w:hAnsi="Century Gothic" w:cs="Arial"/>
                <w:noProof/>
              </w:rPr>
              <w:t>2.3.3.</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Outcomes from Commonwealth environmental water</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_Toc517264653 \h </w:instrText>
            </w:r>
            <w:r w:rsidR="00CE5A67" w:rsidRPr="00CD24AC">
              <w:rPr>
                <w:noProof/>
                <w:webHidden/>
              </w:rPr>
            </w:r>
            <w:r w:rsidR="00CE5A67" w:rsidRPr="00CD24AC">
              <w:rPr>
                <w:noProof/>
                <w:webHidden/>
              </w:rPr>
              <w:fldChar w:fldCharType="separate"/>
            </w:r>
            <w:r w:rsidR="0044680F">
              <w:rPr>
                <w:noProof/>
                <w:webHidden/>
              </w:rPr>
              <w:t>6</w:t>
            </w:r>
            <w:r w:rsidR="00CE5A67" w:rsidRPr="00CD24AC">
              <w:rPr>
                <w:noProof/>
                <w:webHidden/>
              </w:rPr>
              <w:fldChar w:fldCharType="end"/>
            </w:r>
          </w:hyperlink>
        </w:p>
        <w:p w14:paraId="524CE063" w14:textId="77777777" w:rsidR="00CE5A67" w:rsidRPr="00CD24AC" w:rsidRDefault="00B75AA8" w:rsidP="00CE0FAD">
          <w:pPr>
            <w:pStyle w:val="TOC1"/>
            <w:rPr>
              <w:rFonts w:eastAsiaTheme="minorEastAsia" w:cstheme="minorBidi"/>
              <w:noProof/>
              <w:sz w:val="22"/>
              <w:szCs w:val="22"/>
            </w:rPr>
          </w:pPr>
          <w:hyperlink w:anchor="_Toc517264654" w:history="1">
            <w:r w:rsidR="00CE5A67" w:rsidRPr="00CD24AC">
              <w:rPr>
                <w:rStyle w:val="Hyperlink"/>
                <w:rFonts w:ascii="Century Gothic" w:hAnsi="Century Gothic" w:cs="Arial"/>
                <w:noProof/>
              </w:rPr>
              <w:t>2.3.4.</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Annual environmental water demands</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_Toc517264654 \h </w:instrText>
            </w:r>
            <w:r w:rsidR="00CE5A67" w:rsidRPr="00CD24AC">
              <w:rPr>
                <w:noProof/>
                <w:webHidden/>
              </w:rPr>
            </w:r>
            <w:r w:rsidR="00CE5A67" w:rsidRPr="00CD24AC">
              <w:rPr>
                <w:noProof/>
                <w:webHidden/>
              </w:rPr>
              <w:fldChar w:fldCharType="separate"/>
            </w:r>
            <w:r w:rsidR="0044680F">
              <w:rPr>
                <w:noProof/>
                <w:webHidden/>
              </w:rPr>
              <w:t>7</w:t>
            </w:r>
            <w:r w:rsidR="00CE5A67" w:rsidRPr="00CD24AC">
              <w:rPr>
                <w:noProof/>
                <w:webHidden/>
              </w:rPr>
              <w:fldChar w:fldCharType="end"/>
            </w:r>
          </w:hyperlink>
        </w:p>
        <w:p w14:paraId="6A491A4B" w14:textId="77777777" w:rsidR="00CE5A67" w:rsidRPr="00CD24AC" w:rsidRDefault="00B75AA8" w:rsidP="00CE0FAD">
          <w:pPr>
            <w:pStyle w:val="TOC1"/>
            <w:rPr>
              <w:rFonts w:eastAsiaTheme="minorEastAsia" w:cstheme="minorBidi"/>
              <w:noProof/>
              <w:sz w:val="22"/>
              <w:szCs w:val="22"/>
            </w:rPr>
          </w:pPr>
          <w:hyperlink w:anchor="_Toc517264655" w:history="1">
            <w:r w:rsidR="00CE5A67" w:rsidRPr="00CD24AC">
              <w:rPr>
                <w:rStyle w:val="Hyperlink"/>
                <w:rFonts w:ascii="Century Gothic" w:hAnsi="Century Gothic"/>
                <w:noProof/>
              </w:rPr>
              <w:t>2.4.</w:t>
            </w:r>
            <w:r w:rsidR="00CE5A67" w:rsidRPr="00CD24AC">
              <w:rPr>
                <w:rFonts w:eastAsiaTheme="minorEastAsia" w:cstheme="minorBidi"/>
                <w:noProof/>
                <w:sz w:val="22"/>
                <w:szCs w:val="22"/>
              </w:rPr>
              <w:tab/>
            </w:r>
            <w:r w:rsidR="00CE5A67" w:rsidRPr="00CD24AC">
              <w:rPr>
                <w:rStyle w:val="Hyperlink"/>
                <w:rFonts w:ascii="Century Gothic" w:hAnsi="Century Gothic"/>
                <w:noProof/>
              </w:rPr>
              <w:t>How much water is available to manage?</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_Toc517264655 \h </w:instrText>
            </w:r>
            <w:r w:rsidR="00CE5A67" w:rsidRPr="00CD24AC">
              <w:rPr>
                <w:noProof/>
                <w:webHidden/>
              </w:rPr>
            </w:r>
            <w:r w:rsidR="00CE5A67" w:rsidRPr="00CD24AC">
              <w:rPr>
                <w:noProof/>
                <w:webHidden/>
              </w:rPr>
              <w:fldChar w:fldCharType="separate"/>
            </w:r>
            <w:r w:rsidR="0044680F">
              <w:rPr>
                <w:noProof/>
                <w:webHidden/>
              </w:rPr>
              <w:t>9</w:t>
            </w:r>
            <w:r w:rsidR="00CE5A67" w:rsidRPr="00CD24AC">
              <w:rPr>
                <w:noProof/>
                <w:webHidden/>
              </w:rPr>
              <w:fldChar w:fldCharType="end"/>
            </w:r>
          </w:hyperlink>
        </w:p>
        <w:p w14:paraId="11829168" w14:textId="77777777" w:rsidR="00CE5A67" w:rsidRPr="00CD24AC" w:rsidRDefault="00B75AA8" w:rsidP="00CE0FAD">
          <w:pPr>
            <w:pStyle w:val="TOC1"/>
            <w:rPr>
              <w:rFonts w:eastAsiaTheme="minorEastAsia" w:cstheme="minorBidi"/>
              <w:noProof/>
              <w:sz w:val="22"/>
              <w:szCs w:val="22"/>
            </w:rPr>
          </w:pPr>
          <w:hyperlink w:anchor="_Toc517264656" w:history="1">
            <w:r w:rsidR="00CE5A67" w:rsidRPr="00CD24AC">
              <w:rPr>
                <w:rStyle w:val="Hyperlink"/>
                <w:rFonts w:ascii="Century Gothic" w:hAnsi="Century Gothic" w:cs="Arial"/>
                <w:noProof/>
              </w:rPr>
              <w:t>2.4.1.</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Commonwealth environmental water holdings</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_Toc517264656 \h </w:instrText>
            </w:r>
            <w:r w:rsidR="00CE5A67" w:rsidRPr="00CD24AC">
              <w:rPr>
                <w:noProof/>
                <w:webHidden/>
              </w:rPr>
            </w:r>
            <w:r w:rsidR="00CE5A67" w:rsidRPr="00CD24AC">
              <w:rPr>
                <w:noProof/>
                <w:webHidden/>
              </w:rPr>
              <w:fldChar w:fldCharType="separate"/>
            </w:r>
            <w:r w:rsidR="0044680F">
              <w:rPr>
                <w:noProof/>
                <w:webHidden/>
              </w:rPr>
              <w:t>9</w:t>
            </w:r>
            <w:r w:rsidR="00CE5A67" w:rsidRPr="00CD24AC">
              <w:rPr>
                <w:noProof/>
                <w:webHidden/>
              </w:rPr>
              <w:fldChar w:fldCharType="end"/>
            </w:r>
          </w:hyperlink>
        </w:p>
        <w:p w14:paraId="5910F44F" w14:textId="77777777" w:rsidR="00CE5A67" w:rsidRPr="00CD24AC" w:rsidRDefault="00B75AA8" w:rsidP="00CE0FAD">
          <w:pPr>
            <w:pStyle w:val="TOC1"/>
            <w:rPr>
              <w:rFonts w:eastAsiaTheme="minorEastAsia" w:cstheme="minorBidi"/>
              <w:noProof/>
              <w:sz w:val="22"/>
              <w:szCs w:val="22"/>
            </w:rPr>
          </w:pPr>
          <w:hyperlink w:anchor="_Toc517264657" w:history="1">
            <w:r w:rsidR="00CE5A67" w:rsidRPr="00CD24AC">
              <w:rPr>
                <w:rStyle w:val="Hyperlink"/>
                <w:rFonts w:ascii="Century Gothic" w:hAnsi="Century Gothic" w:cs="Arial"/>
                <w:noProof/>
              </w:rPr>
              <w:t>2.4.2.</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Complementary water resources</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_Toc517264657 \h </w:instrText>
            </w:r>
            <w:r w:rsidR="00CE5A67" w:rsidRPr="00CD24AC">
              <w:rPr>
                <w:noProof/>
                <w:webHidden/>
              </w:rPr>
            </w:r>
            <w:r w:rsidR="00CE5A67" w:rsidRPr="00CD24AC">
              <w:rPr>
                <w:noProof/>
                <w:webHidden/>
              </w:rPr>
              <w:fldChar w:fldCharType="separate"/>
            </w:r>
            <w:r w:rsidR="0044680F">
              <w:rPr>
                <w:noProof/>
                <w:webHidden/>
              </w:rPr>
              <w:t>9</w:t>
            </w:r>
            <w:r w:rsidR="00CE5A67" w:rsidRPr="00CD24AC">
              <w:rPr>
                <w:noProof/>
                <w:webHidden/>
              </w:rPr>
              <w:fldChar w:fldCharType="end"/>
            </w:r>
          </w:hyperlink>
        </w:p>
        <w:p w14:paraId="7A795702" w14:textId="77777777" w:rsidR="00CE5A67" w:rsidRPr="00CD24AC" w:rsidRDefault="00B75AA8" w:rsidP="00CE0FAD">
          <w:pPr>
            <w:pStyle w:val="TOC1"/>
            <w:rPr>
              <w:rFonts w:eastAsiaTheme="minorEastAsia" w:cstheme="minorBidi"/>
              <w:noProof/>
              <w:sz w:val="22"/>
              <w:szCs w:val="22"/>
            </w:rPr>
          </w:pPr>
          <w:hyperlink w:anchor="_Toc517264658" w:history="1">
            <w:r w:rsidR="00CE5A67" w:rsidRPr="00CD24AC">
              <w:rPr>
                <w:rStyle w:val="Hyperlink"/>
                <w:rFonts w:ascii="Century Gothic" w:hAnsi="Century Gothic"/>
                <w:noProof/>
              </w:rPr>
              <w:t>2.5.</w:t>
            </w:r>
            <w:r w:rsidR="00CE5A67" w:rsidRPr="00CD24AC">
              <w:rPr>
                <w:rFonts w:eastAsiaTheme="minorEastAsia" w:cstheme="minorBidi"/>
                <w:noProof/>
                <w:sz w:val="22"/>
                <w:szCs w:val="22"/>
              </w:rPr>
              <w:tab/>
            </w:r>
            <w:r w:rsidR="00CE5A67" w:rsidRPr="00CD24AC">
              <w:rPr>
                <w:rStyle w:val="Hyperlink"/>
                <w:rFonts w:ascii="Century Gothic" w:hAnsi="Century Gothic"/>
                <w:noProof/>
              </w:rPr>
              <w:t>How do we plan?</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_Toc517264658 \h </w:instrText>
            </w:r>
            <w:r w:rsidR="00CE5A67" w:rsidRPr="00CD24AC">
              <w:rPr>
                <w:noProof/>
                <w:webHidden/>
              </w:rPr>
            </w:r>
            <w:r w:rsidR="00CE5A67" w:rsidRPr="00CD24AC">
              <w:rPr>
                <w:noProof/>
                <w:webHidden/>
              </w:rPr>
              <w:fldChar w:fldCharType="separate"/>
            </w:r>
            <w:r w:rsidR="0044680F">
              <w:rPr>
                <w:noProof/>
                <w:webHidden/>
              </w:rPr>
              <w:t>9</w:t>
            </w:r>
            <w:r w:rsidR="00CE5A67" w:rsidRPr="00CD24AC">
              <w:rPr>
                <w:noProof/>
                <w:webHidden/>
              </w:rPr>
              <w:fldChar w:fldCharType="end"/>
            </w:r>
          </w:hyperlink>
        </w:p>
        <w:p w14:paraId="1C0BDF8A" w14:textId="77777777" w:rsidR="00CE5A67" w:rsidRPr="00CD24AC" w:rsidRDefault="00B75AA8" w:rsidP="00CE0FAD">
          <w:pPr>
            <w:pStyle w:val="TOC1"/>
            <w:rPr>
              <w:rFonts w:eastAsiaTheme="minorEastAsia" w:cstheme="minorBidi"/>
              <w:noProof/>
              <w:sz w:val="22"/>
              <w:szCs w:val="22"/>
            </w:rPr>
          </w:pPr>
          <w:hyperlink w:anchor="_Toc517264659" w:history="1">
            <w:r w:rsidR="00CE5A67" w:rsidRPr="00CD24AC">
              <w:rPr>
                <w:rStyle w:val="Hyperlink"/>
                <w:rFonts w:ascii="Century Gothic" w:hAnsi="Century Gothic" w:cs="Arial"/>
                <w:noProof/>
              </w:rPr>
              <w:t>2.5.1.</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Catchment planning</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_Toc517264659 \h </w:instrText>
            </w:r>
            <w:r w:rsidR="00CE5A67" w:rsidRPr="00CD24AC">
              <w:rPr>
                <w:noProof/>
                <w:webHidden/>
              </w:rPr>
            </w:r>
            <w:r w:rsidR="00CE5A67" w:rsidRPr="00CD24AC">
              <w:rPr>
                <w:noProof/>
                <w:webHidden/>
              </w:rPr>
              <w:fldChar w:fldCharType="separate"/>
            </w:r>
            <w:r w:rsidR="0044680F">
              <w:rPr>
                <w:noProof/>
                <w:webHidden/>
              </w:rPr>
              <w:t>12</w:t>
            </w:r>
            <w:r w:rsidR="00CE5A67" w:rsidRPr="00CD24AC">
              <w:rPr>
                <w:noProof/>
                <w:webHidden/>
              </w:rPr>
              <w:fldChar w:fldCharType="end"/>
            </w:r>
          </w:hyperlink>
        </w:p>
        <w:p w14:paraId="0E8B75B2" w14:textId="77777777" w:rsidR="00CE5A67" w:rsidRPr="00CD24AC" w:rsidRDefault="00B75AA8" w:rsidP="00CE0FAD">
          <w:pPr>
            <w:pStyle w:val="TOC1"/>
            <w:rPr>
              <w:rFonts w:eastAsiaTheme="minorEastAsia" w:cstheme="minorBidi"/>
              <w:noProof/>
              <w:sz w:val="22"/>
              <w:szCs w:val="22"/>
            </w:rPr>
          </w:pPr>
          <w:hyperlink w:anchor="_Toc517264660" w:history="1">
            <w:r w:rsidR="00CE5A67" w:rsidRPr="00CD24AC">
              <w:rPr>
                <w:rStyle w:val="Hyperlink"/>
                <w:rFonts w:ascii="Century Gothic" w:hAnsi="Century Gothic" w:cs="Arial"/>
                <w:noProof/>
              </w:rPr>
              <w:t>2.5.2.</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Basin-wide planning</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_Toc517264660 \h </w:instrText>
            </w:r>
            <w:r w:rsidR="00CE5A67" w:rsidRPr="00CD24AC">
              <w:rPr>
                <w:noProof/>
                <w:webHidden/>
              </w:rPr>
            </w:r>
            <w:r w:rsidR="00CE5A67" w:rsidRPr="00CD24AC">
              <w:rPr>
                <w:noProof/>
                <w:webHidden/>
              </w:rPr>
              <w:fldChar w:fldCharType="separate"/>
            </w:r>
            <w:r w:rsidR="0044680F">
              <w:rPr>
                <w:noProof/>
                <w:webHidden/>
              </w:rPr>
              <w:t>12</w:t>
            </w:r>
            <w:r w:rsidR="00CE5A67" w:rsidRPr="00CD24AC">
              <w:rPr>
                <w:noProof/>
                <w:webHidden/>
              </w:rPr>
              <w:fldChar w:fldCharType="end"/>
            </w:r>
          </w:hyperlink>
        </w:p>
        <w:p w14:paraId="172EE8DC" w14:textId="77777777" w:rsidR="00CE5A67" w:rsidRPr="00CD24AC" w:rsidRDefault="00B75AA8" w:rsidP="00CE0FAD">
          <w:pPr>
            <w:pStyle w:val="TOC1"/>
            <w:rPr>
              <w:rFonts w:eastAsiaTheme="minorEastAsia" w:cstheme="minorBidi"/>
              <w:noProof/>
              <w:sz w:val="22"/>
              <w:szCs w:val="22"/>
            </w:rPr>
          </w:pPr>
          <w:hyperlink w:anchor="_Toc517264661" w:history="1">
            <w:r w:rsidR="00CE5A67" w:rsidRPr="00CD24AC">
              <w:rPr>
                <w:rStyle w:val="Hyperlink"/>
                <w:rFonts w:ascii="Century Gothic" w:hAnsi="Century Gothic"/>
                <w:noProof/>
              </w:rPr>
              <w:t>2.6.</w:t>
            </w:r>
            <w:r w:rsidR="00CE5A67" w:rsidRPr="00CD24AC">
              <w:rPr>
                <w:rFonts w:eastAsiaTheme="minorEastAsia" w:cstheme="minorBidi"/>
                <w:noProof/>
                <w:sz w:val="22"/>
                <w:szCs w:val="22"/>
              </w:rPr>
              <w:tab/>
            </w:r>
            <w:r w:rsidR="00CE5A67" w:rsidRPr="00CD24AC">
              <w:rPr>
                <w:rStyle w:val="Hyperlink"/>
                <w:rFonts w:ascii="Century Gothic" w:hAnsi="Century Gothic"/>
                <w:noProof/>
              </w:rPr>
              <w:t>Constraints to Commonwealth environmental watering</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_Toc517264661 \h </w:instrText>
            </w:r>
            <w:r w:rsidR="00CE5A67" w:rsidRPr="00CD24AC">
              <w:rPr>
                <w:noProof/>
                <w:webHidden/>
              </w:rPr>
            </w:r>
            <w:r w:rsidR="00CE5A67" w:rsidRPr="00CD24AC">
              <w:rPr>
                <w:noProof/>
                <w:webHidden/>
              </w:rPr>
              <w:fldChar w:fldCharType="separate"/>
            </w:r>
            <w:r w:rsidR="0044680F">
              <w:rPr>
                <w:noProof/>
                <w:webHidden/>
              </w:rPr>
              <w:t>12</w:t>
            </w:r>
            <w:r w:rsidR="00CE5A67" w:rsidRPr="00CD24AC">
              <w:rPr>
                <w:noProof/>
                <w:webHidden/>
              </w:rPr>
              <w:fldChar w:fldCharType="end"/>
            </w:r>
          </w:hyperlink>
        </w:p>
        <w:p w14:paraId="7DA8066D" w14:textId="77777777" w:rsidR="00CE5A67" w:rsidRPr="00CD24AC" w:rsidRDefault="00B75AA8" w:rsidP="00CE0FAD">
          <w:pPr>
            <w:pStyle w:val="TOC1"/>
            <w:rPr>
              <w:rFonts w:eastAsiaTheme="minorEastAsia" w:cstheme="minorBidi"/>
              <w:noProof/>
              <w:sz w:val="22"/>
              <w:szCs w:val="22"/>
            </w:rPr>
          </w:pPr>
          <w:hyperlink w:anchor="_Toc517264662" w:history="1">
            <w:r w:rsidR="00CE5A67" w:rsidRPr="00CD24AC">
              <w:rPr>
                <w:rStyle w:val="Hyperlink"/>
                <w:rFonts w:ascii="Century Gothic" w:hAnsi="Century Gothic"/>
                <w:noProof/>
              </w:rPr>
              <w:t>2.6.1.</w:t>
            </w:r>
            <w:r w:rsidR="00CE5A67" w:rsidRPr="00CD24AC">
              <w:rPr>
                <w:rFonts w:eastAsiaTheme="minorEastAsia" w:cstheme="minorBidi"/>
                <w:noProof/>
                <w:sz w:val="22"/>
                <w:szCs w:val="22"/>
              </w:rPr>
              <w:tab/>
            </w:r>
            <w:r w:rsidR="00CE5A67" w:rsidRPr="00CD24AC">
              <w:rPr>
                <w:rStyle w:val="Hyperlink"/>
                <w:rFonts w:ascii="Century Gothic" w:hAnsi="Century Gothic" w:cs="Arial"/>
                <w:noProof/>
              </w:rPr>
              <w:t>Constraints relaxation</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_Toc517264662 \h </w:instrText>
            </w:r>
            <w:r w:rsidR="00CE5A67" w:rsidRPr="00CD24AC">
              <w:rPr>
                <w:noProof/>
                <w:webHidden/>
              </w:rPr>
            </w:r>
            <w:r w:rsidR="00CE5A67" w:rsidRPr="00CD24AC">
              <w:rPr>
                <w:noProof/>
                <w:webHidden/>
              </w:rPr>
              <w:fldChar w:fldCharType="separate"/>
            </w:r>
            <w:r w:rsidR="0044680F">
              <w:rPr>
                <w:noProof/>
                <w:webHidden/>
              </w:rPr>
              <w:t>13</w:t>
            </w:r>
            <w:r w:rsidR="00CE5A67" w:rsidRPr="00CD24AC">
              <w:rPr>
                <w:noProof/>
                <w:webHidden/>
              </w:rPr>
              <w:fldChar w:fldCharType="end"/>
            </w:r>
          </w:hyperlink>
        </w:p>
        <w:p w14:paraId="320B80E1" w14:textId="77777777" w:rsidR="00CE5A67" w:rsidRPr="00CD24AC" w:rsidRDefault="00B75AA8" w:rsidP="00CE0FAD">
          <w:pPr>
            <w:pStyle w:val="TOC1"/>
            <w:rPr>
              <w:rFonts w:eastAsiaTheme="minorEastAsia" w:cstheme="minorBidi"/>
              <w:noProof/>
              <w:sz w:val="22"/>
              <w:szCs w:val="22"/>
            </w:rPr>
          </w:pPr>
          <w:hyperlink w:anchor="_Toc517264663" w:history="1">
            <w:r w:rsidR="00CE5A67" w:rsidRPr="00CD24AC">
              <w:rPr>
                <w:rStyle w:val="Hyperlink"/>
                <w:rFonts w:ascii="Century Gothic" w:hAnsi="Century Gothic"/>
                <w:b/>
                <w:noProof/>
              </w:rPr>
              <w:t>3.</w:t>
            </w:r>
            <w:r w:rsidR="00CE5A67" w:rsidRPr="00CD24AC">
              <w:rPr>
                <w:rFonts w:eastAsiaTheme="minorEastAsia" w:cstheme="minorBidi"/>
                <w:noProof/>
                <w:sz w:val="22"/>
                <w:szCs w:val="22"/>
              </w:rPr>
              <w:tab/>
            </w:r>
            <w:r w:rsidR="00CE5A67" w:rsidRPr="00CD24AC">
              <w:rPr>
                <w:rStyle w:val="Hyperlink"/>
                <w:rFonts w:ascii="Century Gothic" w:hAnsi="Century Gothic"/>
                <w:b/>
                <w:noProof/>
              </w:rPr>
              <w:t>From planning to decision-making</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_Toc517264663 \h </w:instrText>
            </w:r>
            <w:r w:rsidR="00CE5A67" w:rsidRPr="00CD24AC">
              <w:rPr>
                <w:noProof/>
                <w:webHidden/>
              </w:rPr>
            </w:r>
            <w:r w:rsidR="00CE5A67" w:rsidRPr="00CD24AC">
              <w:rPr>
                <w:noProof/>
                <w:webHidden/>
              </w:rPr>
              <w:fldChar w:fldCharType="separate"/>
            </w:r>
            <w:r w:rsidR="0044680F">
              <w:rPr>
                <w:noProof/>
                <w:webHidden/>
              </w:rPr>
              <w:t>14</w:t>
            </w:r>
            <w:r w:rsidR="00CE5A67" w:rsidRPr="00CD24AC">
              <w:rPr>
                <w:noProof/>
                <w:webHidden/>
              </w:rPr>
              <w:fldChar w:fldCharType="end"/>
            </w:r>
          </w:hyperlink>
        </w:p>
        <w:p w14:paraId="7E5C062F" w14:textId="77777777" w:rsidR="00CE5A67" w:rsidRPr="00CD24AC" w:rsidRDefault="00B75AA8" w:rsidP="00CE0FAD">
          <w:pPr>
            <w:pStyle w:val="TOC1"/>
            <w:rPr>
              <w:rFonts w:eastAsiaTheme="minorEastAsia" w:cstheme="minorBidi"/>
              <w:noProof/>
              <w:sz w:val="22"/>
              <w:szCs w:val="22"/>
            </w:rPr>
          </w:pPr>
          <w:hyperlink w:anchor="_Toc517264664" w:history="1">
            <w:r w:rsidR="00CE5A67" w:rsidRPr="00CD24AC">
              <w:rPr>
                <w:rStyle w:val="Hyperlink"/>
                <w:rFonts w:ascii="Century Gothic" w:hAnsi="Century Gothic"/>
                <w:noProof/>
              </w:rPr>
              <w:t>3.1.</w:t>
            </w:r>
            <w:r w:rsidR="00CE5A67" w:rsidRPr="00CD24AC">
              <w:rPr>
                <w:rFonts w:eastAsiaTheme="minorEastAsia" w:cstheme="minorBidi"/>
                <w:noProof/>
                <w:sz w:val="22"/>
                <w:szCs w:val="22"/>
              </w:rPr>
              <w:tab/>
            </w:r>
            <w:r w:rsidR="00CE5A67" w:rsidRPr="00CD24AC">
              <w:rPr>
                <w:rStyle w:val="Hyperlink"/>
                <w:rFonts w:ascii="Century Gothic" w:hAnsi="Century Gothic"/>
                <w:noProof/>
              </w:rPr>
              <w:t>Commonwealth environmental watering decisions</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_Toc517264664 \h </w:instrText>
            </w:r>
            <w:r w:rsidR="00CE5A67" w:rsidRPr="00CD24AC">
              <w:rPr>
                <w:noProof/>
                <w:webHidden/>
              </w:rPr>
            </w:r>
            <w:r w:rsidR="00CE5A67" w:rsidRPr="00CD24AC">
              <w:rPr>
                <w:noProof/>
                <w:webHidden/>
              </w:rPr>
              <w:fldChar w:fldCharType="separate"/>
            </w:r>
            <w:r w:rsidR="0044680F">
              <w:rPr>
                <w:noProof/>
                <w:webHidden/>
              </w:rPr>
              <w:t>14</w:t>
            </w:r>
            <w:r w:rsidR="00CE5A67" w:rsidRPr="00CD24AC">
              <w:rPr>
                <w:noProof/>
                <w:webHidden/>
              </w:rPr>
              <w:fldChar w:fldCharType="end"/>
            </w:r>
          </w:hyperlink>
        </w:p>
        <w:p w14:paraId="2B664019" w14:textId="77777777" w:rsidR="00CE5A67" w:rsidRPr="00CD24AC" w:rsidRDefault="00B75AA8" w:rsidP="00CE0FAD">
          <w:pPr>
            <w:pStyle w:val="TOC1"/>
            <w:rPr>
              <w:rFonts w:eastAsiaTheme="minorEastAsia" w:cstheme="minorBidi"/>
              <w:noProof/>
              <w:sz w:val="22"/>
              <w:szCs w:val="22"/>
            </w:rPr>
          </w:pPr>
          <w:hyperlink w:anchor="_Toc517264665" w:history="1">
            <w:r w:rsidR="00CE5A67" w:rsidRPr="00CD24AC">
              <w:rPr>
                <w:rStyle w:val="Hyperlink"/>
                <w:rFonts w:ascii="Century Gothic" w:hAnsi="Century Gothic"/>
                <w:noProof/>
              </w:rPr>
              <w:t>3.2.</w:t>
            </w:r>
            <w:r w:rsidR="00CE5A67" w:rsidRPr="00CD24AC">
              <w:rPr>
                <w:rFonts w:eastAsiaTheme="minorEastAsia" w:cstheme="minorBidi"/>
                <w:noProof/>
                <w:sz w:val="22"/>
                <w:szCs w:val="22"/>
              </w:rPr>
              <w:tab/>
            </w:r>
            <w:r w:rsidR="00CE5A67" w:rsidRPr="00CD24AC">
              <w:rPr>
                <w:rStyle w:val="Hyperlink"/>
                <w:rFonts w:ascii="Century Gothic" w:hAnsi="Century Gothic"/>
                <w:noProof/>
              </w:rPr>
              <w:t>Carryover decision-making</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_Toc517264665 \h </w:instrText>
            </w:r>
            <w:r w:rsidR="00CE5A67" w:rsidRPr="00CD24AC">
              <w:rPr>
                <w:noProof/>
                <w:webHidden/>
              </w:rPr>
            </w:r>
            <w:r w:rsidR="00CE5A67" w:rsidRPr="00CD24AC">
              <w:rPr>
                <w:noProof/>
                <w:webHidden/>
              </w:rPr>
              <w:fldChar w:fldCharType="separate"/>
            </w:r>
            <w:r w:rsidR="0044680F">
              <w:rPr>
                <w:noProof/>
                <w:webHidden/>
              </w:rPr>
              <w:t>16</w:t>
            </w:r>
            <w:r w:rsidR="00CE5A67" w:rsidRPr="00CD24AC">
              <w:rPr>
                <w:noProof/>
                <w:webHidden/>
              </w:rPr>
              <w:fldChar w:fldCharType="end"/>
            </w:r>
          </w:hyperlink>
        </w:p>
        <w:p w14:paraId="0CB5BED9" w14:textId="77777777" w:rsidR="00CE5A67" w:rsidRPr="00CD24AC" w:rsidRDefault="00B75AA8" w:rsidP="00CE0FAD">
          <w:pPr>
            <w:pStyle w:val="TOC1"/>
            <w:rPr>
              <w:rFonts w:eastAsiaTheme="minorEastAsia" w:cstheme="minorBidi"/>
              <w:noProof/>
              <w:sz w:val="22"/>
              <w:szCs w:val="22"/>
            </w:rPr>
          </w:pPr>
          <w:hyperlink w:anchor="_Toc517264666" w:history="1">
            <w:r w:rsidR="00CE5A67" w:rsidRPr="00CD24AC">
              <w:rPr>
                <w:rStyle w:val="Hyperlink"/>
                <w:rFonts w:ascii="Century Gothic" w:hAnsi="Century Gothic"/>
                <w:noProof/>
              </w:rPr>
              <w:t>3.3.</w:t>
            </w:r>
            <w:r w:rsidR="00CE5A67" w:rsidRPr="00CD24AC">
              <w:rPr>
                <w:rFonts w:eastAsiaTheme="minorEastAsia" w:cstheme="minorBidi"/>
                <w:noProof/>
                <w:sz w:val="22"/>
                <w:szCs w:val="22"/>
              </w:rPr>
              <w:tab/>
            </w:r>
            <w:r w:rsidR="00CE5A67" w:rsidRPr="00CD24AC">
              <w:rPr>
                <w:rStyle w:val="Hyperlink"/>
                <w:rFonts w:ascii="Century Gothic" w:hAnsi="Century Gothic"/>
                <w:noProof/>
              </w:rPr>
              <w:t>Trade of environmental water allocations</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_Toc517264666 \h </w:instrText>
            </w:r>
            <w:r w:rsidR="00CE5A67" w:rsidRPr="00CD24AC">
              <w:rPr>
                <w:noProof/>
                <w:webHidden/>
              </w:rPr>
            </w:r>
            <w:r w:rsidR="00CE5A67" w:rsidRPr="00CD24AC">
              <w:rPr>
                <w:noProof/>
                <w:webHidden/>
              </w:rPr>
              <w:fldChar w:fldCharType="separate"/>
            </w:r>
            <w:r w:rsidR="0044680F">
              <w:rPr>
                <w:noProof/>
                <w:webHidden/>
              </w:rPr>
              <w:t>16</w:t>
            </w:r>
            <w:r w:rsidR="00CE5A67" w:rsidRPr="00CD24AC">
              <w:rPr>
                <w:noProof/>
                <w:webHidden/>
              </w:rPr>
              <w:fldChar w:fldCharType="end"/>
            </w:r>
          </w:hyperlink>
        </w:p>
        <w:p w14:paraId="3367546A" w14:textId="77777777" w:rsidR="00CE5A67" w:rsidRPr="00CD24AC" w:rsidRDefault="00B75AA8" w:rsidP="00CE0FAD">
          <w:pPr>
            <w:pStyle w:val="TOC1"/>
            <w:rPr>
              <w:rFonts w:eastAsiaTheme="minorEastAsia" w:cstheme="minorBidi"/>
              <w:noProof/>
              <w:sz w:val="22"/>
              <w:szCs w:val="22"/>
            </w:rPr>
          </w:pPr>
          <w:hyperlink w:anchor="_Toc517264667" w:history="1">
            <w:r w:rsidR="00CE5A67" w:rsidRPr="00CD24AC">
              <w:rPr>
                <w:rStyle w:val="Hyperlink"/>
                <w:rFonts w:ascii="Century Gothic" w:hAnsi="Century Gothic"/>
                <w:noProof/>
              </w:rPr>
              <w:t>3.4.</w:t>
            </w:r>
            <w:r w:rsidR="00CE5A67" w:rsidRPr="00CD24AC">
              <w:rPr>
                <w:rFonts w:eastAsiaTheme="minorEastAsia" w:cstheme="minorBidi"/>
                <w:noProof/>
                <w:sz w:val="22"/>
                <w:szCs w:val="22"/>
              </w:rPr>
              <w:tab/>
            </w:r>
            <w:r w:rsidR="00CE5A67" w:rsidRPr="00CD24AC">
              <w:rPr>
                <w:rStyle w:val="Hyperlink"/>
                <w:rFonts w:ascii="Century Gothic" w:hAnsi="Century Gothic"/>
                <w:noProof/>
              </w:rPr>
              <w:t>Investing in environmental activities</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_Toc517264667 \h </w:instrText>
            </w:r>
            <w:r w:rsidR="00CE5A67" w:rsidRPr="00CD24AC">
              <w:rPr>
                <w:noProof/>
                <w:webHidden/>
              </w:rPr>
            </w:r>
            <w:r w:rsidR="00CE5A67" w:rsidRPr="00CD24AC">
              <w:rPr>
                <w:noProof/>
                <w:webHidden/>
              </w:rPr>
              <w:fldChar w:fldCharType="separate"/>
            </w:r>
            <w:r w:rsidR="0044680F">
              <w:rPr>
                <w:noProof/>
                <w:webHidden/>
              </w:rPr>
              <w:t>18</w:t>
            </w:r>
            <w:r w:rsidR="00CE5A67" w:rsidRPr="00CD24AC">
              <w:rPr>
                <w:noProof/>
                <w:webHidden/>
              </w:rPr>
              <w:fldChar w:fldCharType="end"/>
            </w:r>
          </w:hyperlink>
        </w:p>
        <w:p w14:paraId="1E1E2839" w14:textId="77777777" w:rsidR="00CE5A67" w:rsidRPr="00CD24AC" w:rsidRDefault="00B75AA8" w:rsidP="00CE0FAD">
          <w:pPr>
            <w:pStyle w:val="TOC1"/>
            <w:rPr>
              <w:rFonts w:eastAsiaTheme="minorEastAsia" w:cstheme="minorBidi"/>
              <w:noProof/>
              <w:sz w:val="22"/>
              <w:szCs w:val="22"/>
            </w:rPr>
          </w:pPr>
          <w:hyperlink w:anchor="_Toc517264668" w:history="1">
            <w:r w:rsidR="00CE5A67" w:rsidRPr="00CD24AC">
              <w:rPr>
                <w:rStyle w:val="Hyperlink"/>
                <w:rFonts w:ascii="Century Gothic" w:hAnsi="Century Gothic"/>
                <w:b/>
                <w:noProof/>
              </w:rPr>
              <w:t>4.</w:t>
            </w:r>
            <w:r w:rsidR="00CE5A67" w:rsidRPr="00CD24AC">
              <w:rPr>
                <w:rFonts w:eastAsiaTheme="minorEastAsia" w:cstheme="minorBidi"/>
                <w:noProof/>
                <w:sz w:val="22"/>
                <w:szCs w:val="22"/>
              </w:rPr>
              <w:tab/>
            </w:r>
            <w:r w:rsidR="00CE5A67" w:rsidRPr="00CD24AC">
              <w:rPr>
                <w:rStyle w:val="Hyperlink"/>
                <w:rFonts w:ascii="Century Gothic" w:hAnsi="Century Gothic"/>
                <w:b/>
                <w:noProof/>
              </w:rPr>
              <w:t>Monitoring and Evaluation</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_Toc517264668 \h </w:instrText>
            </w:r>
            <w:r w:rsidR="00CE5A67" w:rsidRPr="00CD24AC">
              <w:rPr>
                <w:noProof/>
                <w:webHidden/>
              </w:rPr>
            </w:r>
            <w:r w:rsidR="00CE5A67" w:rsidRPr="00CD24AC">
              <w:rPr>
                <w:noProof/>
                <w:webHidden/>
              </w:rPr>
              <w:fldChar w:fldCharType="separate"/>
            </w:r>
            <w:r w:rsidR="0044680F">
              <w:rPr>
                <w:noProof/>
                <w:webHidden/>
              </w:rPr>
              <w:t>19</w:t>
            </w:r>
            <w:r w:rsidR="00CE5A67" w:rsidRPr="00CD24AC">
              <w:rPr>
                <w:noProof/>
                <w:webHidden/>
              </w:rPr>
              <w:fldChar w:fldCharType="end"/>
            </w:r>
          </w:hyperlink>
        </w:p>
        <w:p w14:paraId="05F9D1A7" w14:textId="77777777" w:rsidR="00CE5A67" w:rsidRPr="00CD24AC" w:rsidRDefault="00B75AA8" w:rsidP="00CE0FAD">
          <w:pPr>
            <w:pStyle w:val="TOC1"/>
            <w:rPr>
              <w:noProof/>
            </w:rPr>
          </w:pPr>
          <w:hyperlink w:anchor="_Toc517264669" w:history="1">
            <w:r w:rsidR="00CE5A67" w:rsidRPr="00CD24AC">
              <w:rPr>
                <w:rStyle w:val="Hyperlink"/>
                <w:rFonts w:ascii="Century Gothic" w:hAnsi="Century Gothic"/>
                <w:b/>
                <w:noProof/>
              </w:rPr>
              <w:t>5.</w:t>
            </w:r>
            <w:r w:rsidR="00CE5A67" w:rsidRPr="00CD24AC">
              <w:rPr>
                <w:rFonts w:eastAsiaTheme="minorEastAsia" w:cstheme="minorBidi"/>
                <w:noProof/>
                <w:sz w:val="22"/>
                <w:szCs w:val="22"/>
              </w:rPr>
              <w:tab/>
            </w:r>
            <w:r w:rsidR="00CE5A67" w:rsidRPr="00CD24AC">
              <w:rPr>
                <w:rStyle w:val="Hyperlink"/>
                <w:rFonts w:ascii="Century Gothic" w:hAnsi="Century Gothic"/>
                <w:b/>
                <w:noProof/>
              </w:rPr>
              <w:t>Adaptive management</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_Toc517264669 \h </w:instrText>
            </w:r>
            <w:r w:rsidR="00CE5A67" w:rsidRPr="00CD24AC">
              <w:rPr>
                <w:noProof/>
                <w:webHidden/>
              </w:rPr>
            </w:r>
            <w:r w:rsidR="00CE5A67" w:rsidRPr="00CD24AC">
              <w:rPr>
                <w:noProof/>
                <w:webHidden/>
              </w:rPr>
              <w:fldChar w:fldCharType="separate"/>
            </w:r>
            <w:r w:rsidR="0044680F">
              <w:rPr>
                <w:noProof/>
                <w:webHidden/>
              </w:rPr>
              <w:t>21</w:t>
            </w:r>
            <w:r w:rsidR="00CE5A67" w:rsidRPr="00CD24AC">
              <w:rPr>
                <w:noProof/>
                <w:webHidden/>
              </w:rPr>
              <w:fldChar w:fldCharType="end"/>
            </w:r>
          </w:hyperlink>
        </w:p>
        <w:p w14:paraId="1C3BC18B" w14:textId="77777777" w:rsidR="00CE5A67" w:rsidRPr="00CD24AC" w:rsidRDefault="00B75AA8" w:rsidP="00CE0FAD">
          <w:pPr>
            <w:pStyle w:val="TOC1"/>
            <w:rPr>
              <w:rFonts w:eastAsiaTheme="minorEastAsia" w:cstheme="minorBidi"/>
              <w:noProof/>
              <w:sz w:val="22"/>
              <w:szCs w:val="22"/>
            </w:rPr>
          </w:pPr>
          <w:hyperlink w:anchor="_Toc517264672" w:history="1">
            <w:r w:rsidR="00CE5A67" w:rsidRPr="00CD24AC">
              <w:rPr>
                <w:rStyle w:val="Hyperlink"/>
                <w:rFonts w:ascii="Century Gothic" w:hAnsi="Century Gothic"/>
                <w:b/>
                <w:noProof/>
              </w:rPr>
              <w:t>Attachment A: Basin–wide environmental watering strategy</w:t>
            </w:r>
            <w:r w:rsidR="00CE5A67" w:rsidRPr="00CD24AC">
              <w:rPr>
                <w:noProof/>
                <w:webHidden/>
              </w:rPr>
              <w:tab/>
            </w:r>
            <w:r w:rsidR="00CE5A67" w:rsidRPr="00CD24AC">
              <w:rPr>
                <w:noProof/>
                <w:webHidden/>
              </w:rPr>
              <w:fldChar w:fldCharType="begin"/>
            </w:r>
            <w:r w:rsidR="00CE5A67" w:rsidRPr="00CD24AC">
              <w:rPr>
                <w:noProof/>
                <w:webHidden/>
              </w:rPr>
              <w:instrText xml:space="preserve"> PAGEREF _Toc517264672 \h </w:instrText>
            </w:r>
            <w:r w:rsidR="00CE5A67" w:rsidRPr="00CD24AC">
              <w:rPr>
                <w:noProof/>
                <w:webHidden/>
              </w:rPr>
            </w:r>
            <w:r w:rsidR="00CE5A67" w:rsidRPr="00CD24AC">
              <w:rPr>
                <w:noProof/>
                <w:webHidden/>
              </w:rPr>
              <w:fldChar w:fldCharType="separate"/>
            </w:r>
            <w:r w:rsidR="0044680F">
              <w:rPr>
                <w:noProof/>
                <w:webHidden/>
              </w:rPr>
              <w:t>22</w:t>
            </w:r>
            <w:r w:rsidR="00CE5A67" w:rsidRPr="00CD24AC">
              <w:rPr>
                <w:noProof/>
                <w:webHidden/>
              </w:rPr>
              <w:fldChar w:fldCharType="end"/>
            </w:r>
          </w:hyperlink>
        </w:p>
        <w:p w14:paraId="6C6500A3" w14:textId="77777777" w:rsidR="007A7A94" w:rsidRDefault="00D848C1">
          <w:pPr>
            <w:spacing w:after="120"/>
          </w:pPr>
          <w:r w:rsidRPr="00CD24AC">
            <w:rPr>
              <w:rFonts w:ascii="Century Gothic" w:hAnsi="Century Gothic"/>
            </w:rPr>
            <w:fldChar w:fldCharType="end"/>
          </w:r>
        </w:p>
      </w:sdtContent>
    </w:sdt>
    <w:p w14:paraId="09F517DF" w14:textId="77777777" w:rsidR="00CE0FAD" w:rsidRDefault="00CE0FAD" w:rsidP="00CE0FAD">
      <w:pPr>
        <w:pStyle w:val="Heading1"/>
        <w:numPr>
          <w:ilvl w:val="0"/>
          <w:numId w:val="0"/>
        </w:numPr>
        <w:spacing w:after="120"/>
        <w:rPr>
          <w:rFonts w:ascii="Century Gothic" w:hAnsi="Century Gothic"/>
          <w:noProof/>
        </w:rPr>
        <w:sectPr w:rsidR="00CE0FAD" w:rsidSect="00CE0FAD">
          <w:headerReference w:type="default" r:id="rId17"/>
          <w:footerReference w:type="default" r:id="rId18"/>
          <w:headerReference w:type="first" r:id="rId19"/>
          <w:footerReference w:type="first" r:id="rId20"/>
          <w:pgSz w:w="11906" w:h="16838"/>
          <w:pgMar w:top="851" w:right="1276" w:bottom="567" w:left="1418" w:header="425" w:footer="187" w:gutter="0"/>
          <w:pgNumType w:start="0"/>
          <w:cols w:space="708"/>
          <w:docGrid w:linePitch="360"/>
        </w:sectPr>
      </w:pPr>
    </w:p>
    <w:p w14:paraId="6C6500A4" w14:textId="39D858EC" w:rsidR="007A7A94" w:rsidRDefault="00E84CFF">
      <w:pPr>
        <w:pStyle w:val="Heading1"/>
        <w:spacing w:after="120"/>
      </w:pPr>
      <w:bookmarkStart w:id="3" w:name="_Toc517264633"/>
      <w:r w:rsidRPr="00AF520B">
        <w:t>Introduction</w:t>
      </w:r>
      <w:bookmarkStart w:id="4" w:name="_Toc415473564"/>
      <w:bookmarkEnd w:id="3"/>
    </w:p>
    <w:p w14:paraId="6C6500A5" w14:textId="145171CE" w:rsidR="007A7A94" w:rsidRDefault="00DD1D21">
      <w:pPr>
        <w:pStyle w:val="Heading11"/>
        <w:spacing w:before="0" w:after="120"/>
        <w:ind w:left="851" w:hanging="851"/>
      </w:pPr>
      <w:bookmarkStart w:id="5" w:name="_Toc517264634"/>
      <w:bookmarkEnd w:id="4"/>
      <w:bookmarkEnd w:id="2"/>
      <w:r>
        <w:t>Pu</w:t>
      </w:r>
      <w:r w:rsidRPr="008471EB">
        <w:t>rpose</w:t>
      </w:r>
      <w:r>
        <w:t xml:space="preserve"> of the document</w:t>
      </w:r>
      <w:bookmarkEnd w:id="5"/>
    </w:p>
    <w:p w14:paraId="6C6500A6" w14:textId="7744A929" w:rsidR="00B17604" w:rsidRDefault="00561C3B">
      <w:pPr>
        <w:tabs>
          <w:tab w:val="left" w:pos="1134"/>
        </w:tabs>
        <w:spacing w:after="120"/>
        <w:rPr>
          <w:rFonts w:ascii="Century Gothic" w:hAnsi="Century Gothic" w:cs="Arial"/>
        </w:rPr>
      </w:pPr>
      <w:r>
        <w:rPr>
          <w:rFonts w:ascii="Century Gothic" w:hAnsi="Century Gothic" w:cs="Arial"/>
        </w:rPr>
        <w:t xml:space="preserve">Each year, </w:t>
      </w:r>
      <w:r w:rsidR="004068CA">
        <w:rPr>
          <w:rFonts w:ascii="Century Gothic" w:hAnsi="Century Gothic" w:cs="Arial"/>
        </w:rPr>
        <w:t xml:space="preserve">plans are </w:t>
      </w:r>
      <w:r w:rsidR="00A7437A">
        <w:rPr>
          <w:rFonts w:ascii="Century Gothic" w:hAnsi="Century Gothic" w:cs="Arial"/>
        </w:rPr>
        <w:t>published</w:t>
      </w:r>
      <w:r w:rsidR="0096429A">
        <w:rPr>
          <w:rFonts w:ascii="Century Gothic" w:hAnsi="Century Gothic" w:cs="Arial"/>
        </w:rPr>
        <w:t xml:space="preserve"> to support the management and use of t</w:t>
      </w:r>
      <w:r w:rsidR="004068CA">
        <w:rPr>
          <w:rFonts w:ascii="Century Gothic" w:hAnsi="Century Gothic" w:cs="Arial"/>
        </w:rPr>
        <w:t>he Commonwealth environmental water</w:t>
      </w:r>
      <w:r w:rsidR="00A7437A">
        <w:rPr>
          <w:rFonts w:ascii="Century Gothic" w:hAnsi="Century Gothic" w:cs="Arial"/>
        </w:rPr>
        <w:t xml:space="preserve"> portfolio</w:t>
      </w:r>
      <w:r w:rsidR="0096429A">
        <w:rPr>
          <w:rFonts w:ascii="Century Gothic" w:hAnsi="Century Gothic" w:cs="Arial"/>
        </w:rPr>
        <w:t xml:space="preserve">. </w:t>
      </w:r>
      <w:r w:rsidR="00A7437A">
        <w:rPr>
          <w:rFonts w:ascii="Century Gothic" w:hAnsi="Century Gothic" w:cs="Arial"/>
        </w:rPr>
        <w:t xml:space="preserve">In preparing these plans, the Commonwealth Environmental Water Office adopts a mutil-year approach that integrates all management options, including </w:t>
      </w:r>
      <w:r w:rsidR="00A501D0">
        <w:rPr>
          <w:rFonts w:ascii="Century Gothic" w:hAnsi="Century Gothic" w:cs="Arial"/>
        </w:rPr>
        <w:t xml:space="preserve">water delivery, carryover and trade. </w:t>
      </w:r>
    </w:p>
    <w:p w14:paraId="6C6500A7" w14:textId="77777777" w:rsidR="00B17604" w:rsidRDefault="0096429A" w:rsidP="0021084B">
      <w:pPr>
        <w:tabs>
          <w:tab w:val="left" w:pos="1134"/>
        </w:tabs>
        <w:spacing w:after="120"/>
        <w:rPr>
          <w:rFonts w:ascii="Century Gothic" w:hAnsi="Century Gothic" w:cs="Arial"/>
        </w:rPr>
      </w:pPr>
      <w:r>
        <w:rPr>
          <w:rFonts w:ascii="Century Gothic" w:hAnsi="Century Gothic" w:cs="Arial"/>
        </w:rPr>
        <w:t xml:space="preserve">This document provides an overview </w:t>
      </w:r>
      <w:r w:rsidR="006A5874">
        <w:rPr>
          <w:rFonts w:ascii="Century Gothic" w:hAnsi="Century Gothic" w:cs="Arial"/>
        </w:rPr>
        <w:t>of th</w:t>
      </w:r>
      <w:r w:rsidR="00A501D0">
        <w:rPr>
          <w:rFonts w:ascii="Century Gothic" w:hAnsi="Century Gothic" w:cs="Arial"/>
        </w:rPr>
        <w:t>is approach</w:t>
      </w:r>
      <w:r w:rsidR="00A7437A">
        <w:rPr>
          <w:rFonts w:ascii="Century Gothic" w:hAnsi="Century Gothic" w:cs="Arial"/>
        </w:rPr>
        <w:t>, including the processes and factors considered in the planning process and how this informs decisions of the use of Commonwealth environmental water</w:t>
      </w:r>
      <w:r>
        <w:rPr>
          <w:rFonts w:ascii="Century Gothic" w:hAnsi="Century Gothic" w:cs="Arial"/>
        </w:rPr>
        <w:t xml:space="preserve">. </w:t>
      </w:r>
      <w:r w:rsidR="00A7437A">
        <w:rPr>
          <w:rFonts w:ascii="Century Gothic" w:hAnsi="Century Gothic" w:cs="Arial"/>
        </w:rPr>
        <w:t>P</w:t>
      </w:r>
      <w:r>
        <w:rPr>
          <w:rFonts w:ascii="Century Gothic" w:hAnsi="Century Gothic" w:cs="Arial"/>
        </w:rPr>
        <w:t xml:space="preserve">lans for specific </w:t>
      </w:r>
      <w:r w:rsidR="008B5430">
        <w:rPr>
          <w:rFonts w:ascii="Century Gothic" w:hAnsi="Century Gothic" w:cs="Arial"/>
        </w:rPr>
        <w:t xml:space="preserve">Basin </w:t>
      </w:r>
      <w:r>
        <w:rPr>
          <w:rFonts w:ascii="Century Gothic" w:hAnsi="Century Gothic" w:cs="Arial"/>
        </w:rPr>
        <w:t xml:space="preserve">regions are available </w:t>
      </w:r>
      <w:r w:rsidR="00A00F57">
        <w:rPr>
          <w:rFonts w:ascii="Century Gothic" w:hAnsi="Century Gothic"/>
        </w:rPr>
        <w:t xml:space="preserve">at: </w:t>
      </w:r>
      <w:hyperlink r:id="rId21" w:history="1">
        <w:r w:rsidR="00A00F57" w:rsidRPr="003D2FF0">
          <w:rPr>
            <w:rStyle w:val="Hyperlink"/>
            <w:rFonts w:ascii="Century Gothic" w:hAnsi="Century Gothic"/>
          </w:rPr>
          <w:t>http://www.environment.gov.au/water/cewo/publications</w:t>
        </w:r>
      </w:hyperlink>
      <w:r w:rsidR="00A00F57">
        <w:rPr>
          <w:rFonts w:ascii="Century Gothic" w:hAnsi="Century Gothic"/>
        </w:rPr>
        <w:t>).</w:t>
      </w:r>
    </w:p>
    <w:p w14:paraId="6C6500A8" w14:textId="5EB5D9D2" w:rsidR="008B5430" w:rsidRDefault="008B5430" w:rsidP="008B5430">
      <w:pPr>
        <w:pStyle w:val="Heading11"/>
        <w:spacing w:before="0" w:after="120"/>
        <w:ind w:left="851" w:hanging="851"/>
      </w:pPr>
      <w:bookmarkStart w:id="6" w:name="_Toc517264635"/>
      <w:r w:rsidRPr="000E3C60">
        <w:t>About Commonwealth environmental water</w:t>
      </w:r>
      <w:bookmarkEnd w:id="6"/>
    </w:p>
    <w:p w14:paraId="6C6500A9" w14:textId="47BC6333" w:rsidR="00B17604" w:rsidRDefault="00AA6D13">
      <w:pPr>
        <w:tabs>
          <w:tab w:val="left" w:pos="1134"/>
        </w:tabs>
        <w:spacing w:after="120"/>
        <w:rPr>
          <w:rFonts w:ascii="Century Gothic" w:hAnsi="Century Gothic" w:cs="Arial"/>
        </w:rPr>
      </w:pPr>
      <w:r>
        <w:rPr>
          <w:rFonts w:ascii="Century Gothic" w:hAnsi="Century Gothic" w:cs="Arial"/>
        </w:rPr>
        <w:t xml:space="preserve">The </w:t>
      </w:r>
      <w:r w:rsidR="008B5430" w:rsidRPr="00DF2AB6">
        <w:rPr>
          <w:rFonts w:ascii="Century Gothic" w:hAnsi="Century Gothic" w:cs="Arial"/>
        </w:rPr>
        <w:t>Commonwealth environmental water holdings are water entitlements</w:t>
      </w:r>
      <w:r>
        <w:rPr>
          <w:rFonts w:ascii="Century Gothic" w:hAnsi="Century Gothic" w:cs="Arial"/>
        </w:rPr>
        <w:t xml:space="preserve"> and rights</w:t>
      </w:r>
      <w:r w:rsidR="008B5430" w:rsidRPr="00DF2AB6">
        <w:rPr>
          <w:rFonts w:ascii="Century Gothic" w:hAnsi="Century Gothic" w:cs="Arial"/>
        </w:rPr>
        <w:t xml:space="preserve">, issued by </w:t>
      </w:r>
      <w:r>
        <w:rPr>
          <w:rFonts w:ascii="Century Gothic" w:hAnsi="Century Gothic" w:cs="Arial"/>
        </w:rPr>
        <w:t>Basin S</w:t>
      </w:r>
      <w:r w:rsidR="008B5430" w:rsidRPr="00DF2AB6">
        <w:rPr>
          <w:rFonts w:ascii="Century Gothic" w:hAnsi="Century Gothic" w:cs="Arial"/>
        </w:rPr>
        <w:t xml:space="preserve">tate governments that </w:t>
      </w:r>
      <w:r w:rsidR="007A1E75">
        <w:rPr>
          <w:rFonts w:ascii="Century Gothic" w:hAnsi="Century Gothic" w:cs="Arial"/>
        </w:rPr>
        <w:t xml:space="preserve">were </w:t>
      </w:r>
      <w:r w:rsidR="008B5430" w:rsidRPr="00DF2AB6">
        <w:rPr>
          <w:rFonts w:ascii="Century Gothic" w:hAnsi="Century Gothic" w:cs="Arial"/>
        </w:rPr>
        <w:t xml:space="preserve"> acquired by the Australia</w:t>
      </w:r>
      <w:r w:rsidR="008B5430">
        <w:rPr>
          <w:rFonts w:ascii="Century Gothic" w:hAnsi="Century Gothic" w:cs="Arial"/>
        </w:rPr>
        <w:t>n</w:t>
      </w:r>
      <w:r w:rsidR="008B5430" w:rsidRPr="00DF2AB6">
        <w:rPr>
          <w:rFonts w:ascii="Century Gothic" w:hAnsi="Century Gothic" w:cs="Arial"/>
        </w:rPr>
        <w:t xml:space="preserve"> Government</w:t>
      </w:r>
      <w:r w:rsidR="008B5430">
        <w:rPr>
          <w:rFonts w:ascii="Century Gothic" w:hAnsi="Century Gothic" w:cs="Arial"/>
        </w:rPr>
        <w:t xml:space="preserve"> </w:t>
      </w:r>
      <w:r w:rsidR="008B5430" w:rsidRPr="00DF2AB6">
        <w:rPr>
          <w:rFonts w:ascii="Century Gothic" w:hAnsi="Century Gothic" w:cs="Arial"/>
        </w:rPr>
        <w:t xml:space="preserve">through investments in water-saving infrastructure and purchases on the water market. </w:t>
      </w:r>
    </w:p>
    <w:p w14:paraId="59EA8E44" w14:textId="7FAB9881" w:rsidR="007A1E75" w:rsidRDefault="008B5430">
      <w:pPr>
        <w:tabs>
          <w:tab w:val="left" w:pos="1134"/>
        </w:tabs>
        <w:spacing w:after="120"/>
        <w:rPr>
          <w:rFonts w:ascii="Century Gothic" w:hAnsi="Century Gothic" w:cs="Arial"/>
        </w:rPr>
      </w:pPr>
      <w:r w:rsidRPr="00DF2AB6">
        <w:rPr>
          <w:rFonts w:ascii="Century Gothic" w:hAnsi="Century Gothic" w:cs="Arial"/>
        </w:rPr>
        <w:t xml:space="preserve">The holdings are a mix of entitlement types held across </w:t>
      </w:r>
      <w:r w:rsidR="009C2C84">
        <w:rPr>
          <w:rFonts w:ascii="Century Gothic" w:hAnsi="Century Gothic" w:cs="Arial"/>
        </w:rPr>
        <w:t>23 su</w:t>
      </w:r>
      <w:r w:rsidR="00CE0FAD">
        <w:rPr>
          <w:rFonts w:ascii="Century Gothic" w:hAnsi="Century Gothic" w:cs="Arial"/>
        </w:rPr>
        <w:t>rface water resource plan areas </w:t>
      </w:r>
      <w:r w:rsidR="009C2C84">
        <w:rPr>
          <w:rFonts w:ascii="Century Gothic" w:hAnsi="Century Gothic" w:cs="Arial"/>
        </w:rPr>
        <w:t xml:space="preserve">and </w:t>
      </w:r>
      <w:r w:rsidR="005E321D">
        <w:rPr>
          <w:rFonts w:ascii="Century Gothic" w:hAnsi="Century Gothic" w:cs="Arial"/>
        </w:rPr>
        <w:t>nine</w:t>
      </w:r>
      <w:r w:rsidR="009C2C84">
        <w:rPr>
          <w:rFonts w:ascii="Century Gothic" w:hAnsi="Century Gothic" w:cs="Arial"/>
        </w:rPr>
        <w:t xml:space="preserve"> ground water resource plan areas</w:t>
      </w:r>
      <w:r w:rsidR="00AA6D13">
        <w:rPr>
          <w:rFonts w:ascii="Century Gothic" w:hAnsi="Century Gothic" w:cs="Arial"/>
        </w:rPr>
        <w:t xml:space="preserve">, </w:t>
      </w:r>
      <w:r w:rsidR="009C2C84">
        <w:rPr>
          <w:rFonts w:ascii="Century Gothic" w:hAnsi="Century Gothic" w:cs="Arial"/>
        </w:rPr>
        <w:t xml:space="preserve">as defined in Chapter 3, </w:t>
      </w:r>
      <w:r w:rsidR="009421A3">
        <w:rPr>
          <w:rFonts w:ascii="Century Gothic" w:hAnsi="Century Gothic" w:cs="Arial"/>
        </w:rPr>
        <w:t>P</w:t>
      </w:r>
      <w:r w:rsidR="009C2C84">
        <w:rPr>
          <w:rFonts w:ascii="Century Gothic" w:hAnsi="Century Gothic" w:cs="Arial"/>
        </w:rPr>
        <w:t xml:space="preserve">art 2 of the </w:t>
      </w:r>
      <w:r w:rsidR="00CE0FAD">
        <w:rPr>
          <w:rFonts w:ascii="Century Gothic" w:hAnsi="Century Gothic" w:cs="Arial"/>
        </w:rPr>
        <w:t>Basin Plan </w:t>
      </w:r>
      <w:r w:rsidR="00BE4223">
        <w:rPr>
          <w:rFonts w:ascii="Century Gothic" w:hAnsi="Century Gothic" w:cs="Arial"/>
        </w:rPr>
        <w:t>2012</w:t>
      </w:r>
      <w:r w:rsidRPr="00DF2AB6">
        <w:rPr>
          <w:rFonts w:ascii="Century Gothic" w:hAnsi="Century Gothic" w:cs="Arial"/>
        </w:rPr>
        <w:t>.</w:t>
      </w:r>
    </w:p>
    <w:p w14:paraId="6C6500AA" w14:textId="41774CCE" w:rsidR="00B17604" w:rsidRDefault="008B5430">
      <w:pPr>
        <w:tabs>
          <w:tab w:val="left" w:pos="1134"/>
        </w:tabs>
        <w:spacing w:after="120"/>
        <w:rPr>
          <w:rFonts w:ascii="Century Gothic" w:hAnsi="Century Gothic" w:cs="Arial"/>
        </w:rPr>
      </w:pPr>
      <w:r w:rsidRPr="00DF2AB6">
        <w:rPr>
          <w:rFonts w:ascii="Century Gothic" w:hAnsi="Century Gothic" w:cs="Arial"/>
        </w:rPr>
        <w:t xml:space="preserve">The rules governing the </w:t>
      </w:r>
      <w:r w:rsidR="007A1E75">
        <w:rPr>
          <w:rFonts w:ascii="Century Gothic" w:hAnsi="Century Gothic" w:cs="Arial"/>
        </w:rPr>
        <w:t xml:space="preserve">Commonwealth environmental water </w:t>
      </w:r>
      <w:r w:rsidRPr="00DF2AB6">
        <w:rPr>
          <w:rFonts w:ascii="Century Gothic" w:hAnsi="Century Gothic" w:cs="Arial"/>
        </w:rPr>
        <w:t>entitlements vary across states and across catchments</w:t>
      </w:r>
      <w:r w:rsidR="007A1E75">
        <w:rPr>
          <w:rFonts w:ascii="Century Gothic" w:hAnsi="Century Gothic" w:cs="Arial"/>
        </w:rPr>
        <w:t xml:space="preserve"> but they</w:t>
      </w:r>
      <w:r w:rsidRPr="00DF2AB6">
        <w:rPr>
          <w:rFonts w:ascii="Century Gothic" w:hAnsi="Century Gothic" w:cs="Arial"/>
        </w:rPr>
        <w:t xml:space="preserve"> are subject to the same fees, allocations, carryover and other rules as equivalent entitlements held by other water users.</w:t>
      </w:r>
      <w:r w:rsidR="007A1E75">
        <w:rPr>
          <w:rFonts w:ascii="Century Gothic" w:hAnsi="Century Gothic" w:cs="Arial"/>
        </w:rPr>
        <w:t xml:space="preserve"> These rules determine how the Commonwealth’s water can be used, the value of the portfolio and the environmental outcomes that can be achieved.</w:t>
      </w:r>
      <w:r w:rsidRPr="00DF2AB6">
        <w:rPr>
          <w:rFonts w:ascii="Century Gothic" w:hAnsi="Century Gothic" w:cs="Arial"/>
        </w:rPr>
        <w:t xml:space="preserve"> </w:t>
      </w:r>
    </w:p>
    <w:p w14:paraId="6C6500AB" w14:textId="72641BB4" w:rsidR="007A7A94" w:rsidRDefault="00DF2AB6">
      <w:pPr>
        <w:pStyle w:val="Heading11"/>
        <w:spacing w:before="0" w:after="120"/>
        <w:ind w:left="851" w:hanging="851"/>
      </w:pPr>
      <w:bookmarkStart w:id="7" w:name="_Toc517264636"/>
      <w:r>
        <w:t>About</w:t>
      </w:r>
      <w:r w:rsidR="00611EFF" w:rsidRPr="00611EFF">
        <w:t xml:space="preserve"> the Commonwealth Environmental Water Holder</w:t>
      </w:r>
      <w:bookmarkEnd w:id="7"/>
    </w:p>
    <w:p w14:paraId="6C6500AC" w14:textId="0A079C88" w:rsidR="00B17604" w:rsidRDefault="003F1C8E">
      <w:pPr>
        <w:spacing w:after="120"/>
        <w:rPr>
          <w:rFonts w:ascii="Century Gothic" w:hAnsi="Century Gothic" w:cs="Arial"/>
        </w:rPr>
      </w:pPr>
      <w:r w:rsidRPr="000A3F3C">
        <w:rPr>
          <w:rFonts w:ascii="Century Gothic" w:hAnsi="Century Gothic" w:cs="Arial"/>
        </w:rPr>
        <w:t xml:space="preserve">The Commonwealth Environmental Water </w:t>
      </w:r>
      <w:r w:rsidR="00857534">
        <w:rPr>
          <w:rFonts w:ascii="Century Gothic" w:hAnsi="Century Gothic" w:cs="Arial"/>
        </w:rPr>
        <w:t xml:space="preserve">Office </w:t>
      </w:r>
      <w:r w:rsidRPr="000A3F3C">
        <w:rPr>
          <w:rFonts w:ascii="Century Gothic" w:hAnsi="Century Gothic" w:cs="Arial"/>
        </w:rPr>
        <w:t xml:space="preserve">is a statutory position established by the </w:t>
      </w:r>
      <w:r w:rsidRPr="0019600B">
        <w:rPr>
          <w:rFonts w:ascii="Century Gothic" w:hAnsi="Century Gothic" w:cs="Arial"/>
          <w:i/>
          <w:iCs/>
        </w:rPr>
        <w:t>Water Act 2007</w:t>
      </w:r>
      <w:r w:rsidRPr="0019600B">
        <w:rPr>
          <w:rFonts w:ascii="Century Gothic" w:hAnsi="Century Gothic" w:cs="Arial"/>
          <w:iCs/>
        </w:rPr>
        <w:t xml:space="preserve"> </w:t>
      </w:r>
      <w:r>
        <w:rPr>
          <w:rFonts w:ascii="Century Gothic" w:hAnsi="Century Gothic" w:cs="Arial"/>
          <w:iCs/>
        </w:rPr>
        <w:t>(</w:t>
      </w:r>
      <w:r w:rsidRPr="0019600B">
        <w:rPr>
          <w:rFonts w:ascii="Century Gothic" w:hAnsi="Century Gothic" w:cs="Arial"/>
          <w:iCs/>
        </w:rPr>
        <w:t>the Water Act)</w:t>
      </w:r>
      <w:r w:rsidRPr="00E92354">
        <w:rPr>
          <w:rFonts w:ascii="Century Gothic" w:hAnsi="Century Gothic" w:cs="Arial"/>
          <w:iCs/>
        </w:rPr>
        <w:t xml:space="preserve"> </w:t>
      </w:r>
      <w:r w:rsidRPr="000A3F3C">
        <w:rPr>
          <w:rFonts w:ascii="Century Gothic" w:hAnsi="Century Gothic" w:cs="Arial"/>
        </w:rPr>
        <w:t xml:space="preserve">to manage the Commonwealth environmental water holdings. </w:t>
      </w:r>
      <w:r w:rsidR="00002A57">
        <w:rPr>
          <w:rFonts w:ascii="Century Gothic" w:hAnsi="Century Gothic" w:cs="Arial"/>
        </w:rPr>
        <w:t xml:space="preserve">This water </w:t>
      </w:r>
      <w:r w:rsidR="00002A57" w:rsidRPr="000A3F3C">
        <w:rPr>
          <w:rFonts w:ascii="Century Gothic" w:hAnsi="Century Gothic" w:cs="Arial"/>
        </w:rPr>
        <w:t xml:space="preserve">must be managed to protect or restore </w:t>
      </w:r>
      <w:r w:rsidR="00002A57" w:rsidRPr="003B261C">
        <w:rPr>
          <w:rFonts w:ascii="Century Gothic" w:hAnsi="Century Gothic" w:cs="Arial"/>
        </w:rPr>
        <w:t xml:space="preserve">the rivers, wetlands and floodplains (and the native animals and plants they support) of the </w:t>
      </w:r>
      <w:r w:rsidR="00BE4223">
        <w:rPr>
          <w:rFonts w:ascii="Century Gothic" w:hAnsi="Century Gothic" w:cs="Arial"/>
        </w:rPr>
        <w:t>Murray-Darling</w:t>
      </w:r>
      <w:r w:rsidR="00002A57" w:rsidRPr="003B261C">
        <w:rPr>
          <w:rFonts w:ascii="Century Gothic" w:hAnsi="Century Gothic" w:cs="Arial"/>
        </w:rPr>
        <w:t xml:space="preserve"> Basin</w:t>
      </w:r>
      <w:r w:rsidR="00002A57" w:rsidRPr="000A3F3C">
        <w:rPr>
          <w:rFonts w:ascii="Century Gothic" w:hAnsi="Century Gothic" w:cs="Arial"/>
        </w:rPr>
        <w:t>, so as to give effect to relevant international agreements</w:t>
      </w:r>
      <w:r w:rsidR="00002A57">
        <w:rPr>
          <w:rFonts w:ascii="Century Gothic" w:hAnsi="Century Gothic" w:cs="Arial"/>
        </w:rPr>
        <w:t>.</w:t>
      </w:r>
    </w:p>
    <w:p w14:paraId="6C6500AD" w14:textId="439515A6" w:rsidR="00B17604" w:rsidRPr="00C33E30" w:rsidRDefault="00590D83">
      <w:pPr>
        <w:tabs>
          <w:tab w:val="left" w:pos="1134"/>
        </w:tabs>
        <w:spacing w:after="120"/>
        <w:rPr>
          <w:rFonts w:ascii="Century Gothic" w:hAnsi="Century Gothic" w:cs="Arial"/>
        </w:rPr>
      </w:pPr>
      <w:r w:rsidRPr="00051D81">
        <w:rPr>
          <w:rFonts w:ascii="Century Gothic" w:hAnsi="Century Gothic" w:cs="Arial"/>
        </w:rPr>
        <w:t xml:space="preserve">The </w:t>
      </w:r>
      <w:r w:rsidR="00857534">
        <w:rPr>
          <w:rFonts w:ascii="Century Gothic" w:hAnsi="Century Gothic" w:cs="Arial"/>
        </w:rPr>
        <w:t>Commonwealth Environmental Water Holder</w:t>
      </w:r>
      <w:r w:rsidRPr="00051D81">
        <w:rPr>
          <w:rFonts w:ascii="Century Gothic" w:hAnsi="Century Gothic" w:cs="Arial"/>
        </w:rPr>
        <w:t xml:space="preserve"> is governed by the </w:t>
      </w:r>
      <w:r w:rsidR="000E3C60" w:rsidRPr="000E3C60">
        <w:rPr>
          <w:rFonts w:ascii="Century Gothic" w:hAnsi="Century Gothic" w:cs="Arial"/>
        </w:rPr>
        <w:t>Water Act</w:t>
      </w:r>
      <w:r w:rsidRPr="00051D81">
        <w:rPr>
          <w:rFonts w:ascii="Century Gothic" w:hAnsi="Century Gothic" w:cs="Arial"/>
        </w:rPr>
        <w:t xml:space="preserve"> and the</w:t>
      </w:r>
      <w:r w:rsidR="00360FCB" w:rsidRPr="00360FCB">
        <w:rPr>
          <w:rFonts w:ascii="Century Gothic" w:hAnsi="Century Gothic" w:cs="Arial"/>
        </w:rPr>
        <w:t xml:space="preserve"> </w:t>
      </w:r>
      <w:r w:rsidRPr="00051D81">
        <w:rPr>
          <w:rFonts w:ascii="Century Gothic" w:hAnsi="Century Gothic" w:cs="Arial"/>
        </w:rPr>
        <w:t>Basin Plan</w:t>
      </w:r>
      <w:r w:rsidR="005E321D">
        <w:rPr>
          <w:rFonts w:ascii="Century Gothic" w:hAnsi="Century Gothic" w:cs="Arial"/>
        </w:rPr>
        <w:t xml:space="preserve"> 2012</w:t>
      </w:r>
      <w:r w:rsidR="001A6FA9">
        <w:rPr>
          <w:rFonts w:ascii="Century Gothic" w:hAnsi="Century Gothic" w:cs="Arial"/>
        </w:rPr>
        <w:t xml:space="preserve"> (Basin Plan)</w:t>
      </w:r>
      <w:r w:rsidRPr="00051D81">
        <w:rPr>
          <w:rFonts w:ascii="Century Gothic" w:hAnsi="Century Gothic" w:cs="Arial"/>
        </w:rPr>
        <w:t>, and must comply with the specific requirements and standards of Commonwealth</w:t>
      </w:r>
      <w:r w:rsidR="005E321D">
        <w:rPr>
          <w:rFonts w:ascii="Century Gothic" w:hAnsi="Century Gothic" w:cs="Arial"/>
        </w:rPr>
        <w:t xml:space="preserve"> and state</w:t>
      </w:r>
      <w:r w:rsidRPr="00051D81">
        <w:rPr>
          <w:rFonts w:ascii="Century Gothic" w:hAnsi="Century Gothic" w:cs="Arial"/>
        </w:rPr>
        <w:t xml:space="preserve"> legal, policy and </w:t>
      </w:r>
      <w:r w:rsidRPr="00C33E30">
        <w:rPr>
          <w:rFonts w:ascii="Century Gothic" w:hAnsi="Century Gothic" w:cs="Arial"/>
        </w:rPr>
        <w:t>environmental legislation and frameworks.</w:t>
      </w:r>
    </w:p>
    <w:p w14:paraId="6C6500AE" w14:textId="60A357D5" w:rsidR="00246399" w:rsidRDefault="005E321D" w:rsidP="005E321D">
      <w:pPr>
        <w:spacing w:after="120"/>
        <w:rPr>
          <w:rFonts w:ascii="Century Gothic" w:hAnsi="Century Gothic" w:cs="Arial"/>
        </w:rPr>
      </w:pPr>
      <w:r w:rsidRPr="005E321D">
        <w:rPr>
          <w:rFonts w:ascii="Century Gothic" w:hAnsi="Century Gothic" w:cs="Arial"/>
        </w:rPr>
        <w:t xml:space="preserve">Ms Jody Swirepik commenced in the role of </w:t>
      </w:r>
      <w:r w:rsidR="00857534">
        <w:rPr>
          <w:rFonts w:ascii="Century Gothic" w:hAnsi="Century Gothic" w:cs="Arial"/>
        </w:rPr>
        <w:t xml:space="preserve">Commonwealth Environmental Water Holder </w:t>
      </w:r>
      <w:r w:rsidRPr="005E321D">
        <w:rPr>
          <w:rFonts w:ascii="Century Gothic" w:hAnsi="Century Gothic" w:cs="Arial"/>
        </w:rPr>
        <w:t>in February 2018. Ms Swirepik is supported by staff of the Commonwealth Environmental Water Office within the Department of the Environment and Energy in Canberra</w:t>
      </w:r>
      <w:r>
        <w:rPr>
          <w:rFonts w:ascii="Century Gothic" w:hAnsi="Century Gothic" w:cs="Arial"/>
        </w:rPr>
        <w:t>.</w:t>
      </w:r>
      <w:r w:rsidRPr="005E321D">
        <w:rPr>
          <w:rFonts w:ascii="Century Gothic" w:hAnsi="Century Gothic" w:cs="Arial"/>
        </w:rPr>
        <w:t xml:space="preserve"> </w:t>
      </w:r>
      <w:r w:rsidR="00002A57" w:rsidRPr="00C33E30">
        <w:rPr>
          <w:rFonts w:ascii="Century Gothic" w:hAnsi="Century Gothic" w:cs="Arial"/>
        </w:rPr>
        <w:t xml:space="preserve">The </w:t>
      </w:r>
      <w:r w:rsidR="00857534">
        <w:rPr>
          <w:rFonts w:ascii="Century Gothic" w:hAnsi="Century Gothic" w:cs="Arial"/>
        </w:rPr>
        <w:t>Commonwealth Environmental Water Office</w:t>
      </w:r>
      <w:r>
        <w:rPr>
          <w:rFonts w:ascii="Century Gothic" w:hAnsi="Century Gothic" w:cs="Arial"/>
        </w:rPr>
        <w:t xml:space="preserve"> employs</w:t>
      </w:r>
      <w:r w:rsidR="00002A57" w:rsidRPr="00C33E30">
        <w:rPr>
          <w:rFonts w:ascii="Century Gothic" w:hAnsi="Century Gothic" w:cs="Arial"/>
        </w:rPr>
        <w:t xml:space="preserve"> six </w:t>
      </w:r>
      <w:r w:rsidR="00AA6D13">
        <w:rPr>
          <w:rFonts w:ascii="Century Gothic" w:hAnsi="Century Gothic" w:cs="Arial"/>
        </w:rPr>
        <w:t xml:space="preserve">full time </w:t>
      </w:r>
      <w:r w:rsidR="00002A57" w:rsidRPr="00C33E30">
        <w:rPr>
          <w:rFonts w:ascii="Century Gothic" w:hAnsi="Century Gothic" w:cs="Arial"/>
        </w:rPr>
        <w:t xml:space="preserve">local engagement officers who live and work in regional centres across the </w:t>
      </w:r>
      <w:r w:rsidR="00BE4223">
        <w:rPr>
          <w:rFonts w:ascii="Century Gothic" w:hAnsi="Century Gothic" w:cs="Arial"/>
        </w:rPr>
        <w:t>Murray-Darling</w:t>
      </w:r>
      <w:r w:rsidR="00002A57" w:rsidRPr="00C33E30">
        <w:rPr>
          <w:rFonts w:ascii="Century Gothic" w:hAnsi="Century Gothic" w:cs="Arial"/>
        </w:rPr>
        <w:t xml:space="preserve"> Basin</w:t>
      </w:r>
      <w:r w:rsidR="00AA6D13">
        <w:rPr>
          <w:rFonts w:ascii="Century Gothic" w:hAnsi="Century Gothic" w:cs="Arial"/>
        </w:rPr>
        <w:t xml:space="preserve"> connecting Canberra to the regions</w:t>
      </w:r>
      <w:r w:rsidR="00002A57" w:rsidRPr="00C33E30">
        <w:rPr>
          <w:rFonts w:ascii="Century Gothic" w:hAnsi="Century Gothic" w:cs="Arial"/>
        </w:rPr>
        <w:t>.</w:t>
      </w:r>
    </w:p>
    <w:p w14:paraId="6C6500AF" w14:textId="6519C68E" w:rsidR="00D37953" w:rsidRDefault="00585F5A">
      <w:pPr>
        <w:pStyle w:val="Heading11"/>
        <w:numPr>
          <w:ilvl w:val="2"/>
          <w:numId w:val="66"/>
        </w:numPr>
        <w:spacing w:before="0" w:after="120"/>
        <w:ind w:left="1418" w:hanging="704"/>
        <w:rPr>
          <w:rFonts w:ascii="Century Gothic" w:hAnsi="Century Gothic" w:cs="Arial"/>
          <w:sz w:val="24"/>
          <w:szCs w:val="24"/>
        </w:rPr>
      </w:pPr>
      <w:r w:rsidRPr="00585F5A">
        <w:rPr>
          <w:rFonts w:ascii="Century Gothic" w:hAnsi="Century Gothic" w:cs="Arial"/>
          <w:sz w:val="24"/>
          <w:szCs w:val="24"/>
        </w:rPr>
        <w:t xml:space="preserve"> </w:t>
      </w:r>
      <w:bookmarkStart w:id="8" w:name="_Toc517264637"/>
      <w:r w:rsidRPr="00585F5A">
        <w:rPr>
          <w:rFonts w:ascii="Century Gothic" w:hAnsi="Century Gothic" w:cs="Arial"/>
          <w:sz w:val="24"/>
          <w:szCs w:val="24"/>
        </w:rPr>
        <w:t>Good neighbour policy</w:t>
      </w:r>
      <w:bookmarkEnd w:id="8"/>
    </w:p>
    <w:p w14:paraId="6C6500B0" w14:textId="6231479B" w:rsidR="00B17604" w:rsidRDefault="00482379">
      <w:pPr>
        <w:tabs>
          <w:tab w:val="left" w:pos="1134"/>
        </w:tabs>
        <w:spacing w:after="120"/>
        <w:rPr>
          <w:rFonts w:ascii="Century Gothic" w:hAnsi="Century Gothic" w:cs="Arial"/>
        </w:rPr>
      </w:pPr>
      <w:r w:rsidRPr="00482379">
        <w:rPr>
          <w:rFonts w:ascii="Century Gothic" w:hAnsi="Century Gothic" w:cs="Arial"/>
        </w:rPr>
        <w:t xml:space="preserve">While the </w:t>
      </w:r>
      <w:r w:rsidR="00857534">
        <w:rPr>
          <w:rFonts w:ascii="Century Gothic" w:hAnsi="Century Gothic" w:cs="Arial"/>
        </w:rPr>
        <w:t>Commonwealth Environmental Water Holder</w:t>
      </w:r>
      <w:r w:rsidRPr="00482379">
        <w:rPr>
          <w:rFonts w:ascii="Century Gothic" w:hAnsi="Century Gothic" w:cs="Arial"/>
        </w:rPr>
        <w:t xml:space="preserve">’s primary focus is on achieving, monitoring and reporting environmental outcomes, it also has a responsibility to minimise risks to communities while undertaking its activities. As a member of the Basin community, the </w:t>
      </w:r>
      <w:r w:rsidR="00857534">
        <w:rPr>
          <w:rFonts w:ascii="Century Gothic" w:hAnsi="Century Gothic" w:cs="Arial"/>
        </w:rPr>
        <w:t xml:space="preserve">Commonwealth Environmental Water Holder </w:t>
      </w:r>
      <w:r w:rsidRPr="00482379">
        <w:rPr>
          <w:rFonts w:ascii="Century Gothic" w:hAnsi="Century Gothic" w:cs="Arial"/>
        </w:rPr>
        <w:t xml:space="preserve">is committed to being a ‘good neighbour’. Operating effectively in a working river system where much of Australia’s food and fibre is produced </w:t>
      </w:r>
      <w:r w:rsidR="004E591C">
        <w:rPr>
          <w:rFonts w:ascii="Century Gothic" w:hAnsi="Century Gothic" w:cs="Arial"/>
        </w:rPr>
        <w:t>means</w:t>
      </w:r>
      <w:r w:rsidRPr="00482379">
        <w:rPr>
          <w:rFonts w:ascii="Century Gothic" w:hAnsi="Century Gothic" w:cs="Arial"/>
        </w:rPr>
        <w:t xml:space="preserve"> that environmental water management must co-exist with agricultural production </w:t>
      </w:r>
      <w:r w:rsidR="00781CCA">
        <w:rPr>
          <w:rFonts w:ascii="Century Gothic" w:hAnsi="Century Gothic" w:cs="Arial"/>
        </w:rPr>
        <w:t>through</w:t>
      </w:r>
      <w:r w:rsidRPr="00482379">
        <w:rPr>
          <w:rFonts w:ascii="Century Gothic" w:hAnsi="Century Gothic" w:cs="Arial"/>
        </w:rPr>
        <w:t xml:space="preserve"> mutually respectful</w:t>
      </w:r>
      <w:r w:rsidR="00781CCA">
        <w:rPr>
          <w:rFonts w:ascii="Century Gothic" w:hAnsi="Century Gothic" w:cs="Arial"/>
        </w:rPr>
        <w:t xml:space="preserve"> arrangements.</w:t>
      </w:r>
    </w:p>
    <w:p w14:paraId="6C6500B1" w14:textId="421B0B06" w:rsidR="00B17604" w:rsidRDefault="000E3C60">
      <w:pPr>
        <w:tabs>
          <w:tab w:val="left" w:pos="1134"/>
        </w:tabs>
        <w:spacing w:after="120"/>
        <w:rPr>
          <w:rFonts w:ascii="Century Gothic" w:hAnsi="Century Gothic" w:cs="Arial"/>
        </w:rPr>
      </w:pPr>
      <w:r w:rsidRPr="000E3C60">
        <w:rPr>
          <w:rFonts w:ascii="Century Gothic" w:hAnsi="Century Gothic" w:cs="Arial"/>
        </w:rPr>
        <w:t xml:space="preserve">The Good Neighbour Policy is </w:t>
      </w:r>
      <w:r w:rsidR="00482379">
        <w:rPr>
          <w:rFonts w:ascii="Century Gothic" w:hAnsi="Century Gothic" w:cs="Arial"/>
        </w:rPr>
        <w:t xml:space="preserve">based on </w:t>
      </w:r>
      <w:r w:rsidRPr="000E3C60">
        <w:rPr>
          <w:rFonts w:ascii="Century Gothic" w:hAnsi="Century Gothic" w:cs="Arial"/>
        </w:rPr>
        <w:t>practices that guide the management of Commonwealth environmental water</w:t>
      </w:r>
      <w:r w:rsidR="00781CCA">
        <w:rPr>
          <w:rFonts w:ascii="Century Gothic" w:hAnsi="Century Gothic" w:cs="Arial"/>
        </w:rPr>
        <w:t>, and support</w:t>
      </w:r>
      <w:r w:rsidRPr="000E3C60">
        <w:rPr>
          <w:rFonts w:ascii="Century Gothic" w:hAnsi="Century Gothic" w:cs="Arial"/>
        </w:rPr>
        <w:t xml:space="preserve"> mutually beneficial relationships with other water users and landholders</w:t>
      </w:r>
      <w:r w:rsidR="00781CCA">
        <w:rPr>
          <w:rFonts w:ascii="Century Gothic" w:hAnsi="Century Gothic" w:cs="Arial"/>
        </w:rPr>
        <w:t>.</w:t>
      </w:r>
    </w:p>
    <w:p w14:paraId="01B59CE1" w14:textId="359C66C7" w:rsidR="00630CB8" w:rsidRDefault="00630CB8">
      <w:pPr>
        <w:tabs>
          <w:tab w:val="left" w:pos="1134"/>
        </w:tabs>
        <w:spacing w:after="120"/>
        <w:rPr>
          <w:rFonts w:ascii="Century Gothic" w:hAnsi="Century Gothic" w:cs="Arial"/>
        </w:rPr>
      </w:pPr>
      <w:r w:rsidRPr="00630CB8">
        <w:rPr>
          <w:rFonts w:ascii="Century Gothic" w:hAnsi="Century Gothic" w:cs="Arial"/>
        </w:rPr>
        <w:t xml:space="preserve">All </w:t>
      </w:r>
      <w:r w:rsidR="00513FC2">
        <w:rPr>
          <w:rFonts w:ascii="Century Gothic" w:hAnsi="Century Gothic" w:cs="Arial"/>
        </w:rPr>
        <w:t xml:space="preserve">environmental water </w:t>
      </w:r>
      <w:r w:rsidRPr="00630CB8">
        <w:rPr>
          <w:rFonts w:ascii="Century Gothic" w:hAnsi="Century Gothic" w:cs="Arial"/>
        </w:rPr>
        <w:t>decisions are informed by risk assessments, which draw on previous results captured through effective monitoring activities. River operators provide important advice to us on whether our water orders might affect other users and they will not deliver environmental flows above the operational limits that apply to all water deliveries.</w:t>
      </w:r>
    </w:p>
    <w:p w14:paraId="19388623" w14:textId="77777777" w:rsidR="00630CB8" w:rsidRPr="00630CB8" w:rsidRDefault="00630CB8" w:rsidP="00630CB8">
      <w:pPr>
        <w:tabs>
          <w:tab w:val="left" w:pos="1134"/>
        </w:tabs>
        <w:spacing w:after="120"/>
        <w:rPr>
          <w:rFonts w:ascii="Century Gothic" w:hAnsi="Century Gothic" w:cs="Arial"/>
        </w:rPr>
      </w:pPr>
      <w:r w:rsidRPr="00630CB8">
        <w:rPr>
          <w:rFonts w:ascii="Century Gothic" w:hAnsi="Century Gothic" w:cs="Arial"/>
        </w:rPr>
        <w:t xml:space="preserve">Examples of good neighbour policy in action include: </w:t>
      </w:r>
    </w:p>
    <w:p w14:paraId="287EB03A" w14:textId="301D4955" w:rsidR="00630CB8" w:rsidRPr="00630CB8" w:rsidRDefault="00630CB8" w:rsidP="00630CB8">
      <w:pPr>
        <w:numPr>
          <w:ilvl w:val="0"/>
          <w:numId w:val="120"/>
        </w:numPr>
        <w:tabs>
          <w:tab w:val="left" w:pos="1134"/>
        </w:tabs>
        <w:spacing w:after="120"/>
        <w:rPr>
          <w:rFonts w:ascii="Century Gothic" w:hAnsi="Century Gothic" w:cs="Arial"/>
        </w:rPr>
      </w:pPr>
      <w:r w:rsidRPr="00630CB8">
        <w:rPr>
          <w:rFonts w:ascii="Century Gothic" w:hAnsi="Century Gothic" w:cs="Arial"/>
        </w:rPr>
        <w:t xml:space="preserve">The </w:t>
      </w:r>
      <w:r w:rsidR="00857534">
        <w:rPr>
          <w:rFonts w:ascii="Century Gothic" w:hAnsi="Century Gothic" w:cs="Arial"/>
          <w:lang w:val="en-GB"/>
        </w:rPr>
        <w:t>Commonwealth Environmental Water Holder</w:t>
      </w:r>
      <w:r w:rsidRPr="00630CB8">
        <w:rPr>
          <w:rFonts w:ascii="Century Gothic" w:hAnsi="Century Gothic" w:cs="Arial"/>
        </w:rPr>
        <w:t xml:space="preserve"> has not, and will not, place water orders that would flood private land without the consent of the landholder. </w:t>
      </w:r>
    </w:p>
    <w:p w14:paraId="1F3B6DCD" w14:textId="053AE79B" w:rsidR="00630CB8" w:rsidRPr="00630CB8" w:rsidRDefault="00630CB8" w:rsidP="00630CB8">
      <w:pPr>
        <w:numPr>
          <w:ilvl w:val="0"/>
          <w:numId w:val="120"/>
        </w:numPr>
        <w:tabs>
          <w:tab w:val="left" w:pos="1134"/>
        </w:tabs>
        <w:spacing w:after="120"/>
        <w:rPr>
          <w:rFonts w:ascii="Century Gothic" w:hAnsi="Century Gothic" w:cs="Arial"/>
        </w:rPr>
      </w:pPr>
      <w:r w:rsidRPr="00630CB8">
        <w:rPr>
          <w:rFonts w:ascii="Century Gothic" w:hAnsi="Century Gothic" w:cs="Arial"/>
          <w:lang w:val="en-GB"/>
        </w:rPr>
        <w:t>A</w:t>
      </w:r>
      <w:r w:rsidRPr="00630CB8">
        <w:rPr>
          <w:rFonts w:ascii="Century Gothic" w:hAnsi="Century Gothic" w:cs="Arial"/>
        </w:rPr>
        <w:t xml:space="preserve">n appropriate share of the channel capacity in a river system is used by the </w:t>
      </w:r>
      <w:r w:rsidR="00857534">
        <w:rPr>
          <w:rFonts w:ascii="Century Gothic" w:hAnsi="Century Gothic" w:cs="Arial"/>
        </w:rPr>
        <w:t xml:space="preserve">Commonwealth Environmental Water Holder </w:t>
      </w:r>
      <w:r w:rsidRPr="00630CB8">
        <w:rPr>
          <w:rFonts w:ascii="Century Gothic" w:hAnsi="Century Gothic" w:cs="Arial"/>
        </w:rPr>
        <w:t xml:space="preserve">for environmental watering </w:t>
      </w:r>
      <w:r w:rsidR="00513FC2">
        <w:rPr>
          <w:rFonts w:ascii="Century Gothic" w:hAnsi="Century Gothic" w:cs="Arial"/>
        </w:rPr>
        <w:t>to minimise any impact on other water orders.</w:t>
      </w:r>
    </w:p>
    <w:p w14:paraId="34D13AD7" w14:textId="68930DB5" w:rsidR="00630CB8" w:rsidRDefault="00630CB8" w:rsidP="00630CB8">
      <w:pPr>
        <w:tabs>
          <w:tab w:val="left" w:pos="1134"/>
        </w:tabs>
        <w:spacing w:after="120"/>
        <w:rPr>
          <w:rFonts w:ascii="Century Gothic" w:hAnsi="Century Gothic" w:cs="Arial"/>
        </w:rPr>
      </w:pPr>
      <w:r w:rsidRPr="00630CB8">
        <w:rPr>
          <w:rFonts w:ascii="Century Gothic" w:hAnsi="Century Gothic" w:cs="Arial"/>
        </w:rPr>
        <w:t xml:space="preserve">The </w:t>
      </w:r>
      <w:r w:rsidR="00857534">
        <w:rPr>
          <w:rFonts w:ascii="Century Gothic" w:hAnsi="Century Gothic" w:cs="Arial"/>
        </w:rPr>
        <w:t>Commonwealth Environmental Water Office</w:t>
      </w:r>
      <w:r w:rsidRPr="00630CB8">
        <w:rPr>
          <w:rFonts w:ascii="Century Gothic" w:hAnsi="Century Gothic" w:cs="Arial"/>
        </w:rPr>
        <w:t xml:space="preserve"> works closely with communities and delivery partners (including state agencies, river operators</w:t>
      </w:r>
      <w:r w:rsidR="003E7D03">
        <w:rPr>
          <w:rFonts w:ascii="Century Gothic" w:hAnsi="Century Gothic" w:cs="Arial"/>
        </w:rPr>
        <w:t xml:space="preserve">, Indigenous groups </w:t>
      </w:r>
      <w:r w:rsidRPr="00630CB8">
        <w:rPr>
          <w:rFonts w:ascii="Century Gothic" w:hAnsi="Century Gothic" w:cs="Arial"/>
        </w:rPr>
        <w:t xml:space="preserve"> and local advisory groups) so they can engage meaningfully on Commonwealth environmental water management</w:t>
      </w:r>
      <w:r>
        <w:rPr>
          <w:rFonts w:ascii="Century Gothic" w:hAnsi="Century Gothic" w:cs="Arial"/>
        </w:rPr>
        <w:t>.</w:t>
      </w:r>
    </w:p>
    <w:p w14:paraId="6C6500B3" w14:textId="01897269" w:rsidR="007A7A94" w:rsidRDefault="000E3C60">
      <w:pPr>
        <w:pStyle w:val="Heading11"/>
        <w:numPr>
          <w:ilvl w:val="2"/>
          <w:numId w:val="66"/>
        </w:numPr>
        <w:spacing w:before="0" w:after="120"/>
        <w:ind w:left="1418" w:hanging="704"/>
        <w:rPr>
          <w:rFonts w:ascii="Century Gothic" w:hAnsi="Century Gothic" w:cs="Arial"/>
          <w:sz w:val="24"/>
          <w:szCs w:val="24"/>
        </w:rPr>
      </w:pPr>
      <w:bookmarkStart w:id="9" w:name="_Toc382821598"/>
      <w:bookmarkStart w:id="10" w:name="_Toc517264638"/>
      <w:r w:rsidRPr="000E3C60">
        <w:rPr>
          <w:rFonts w:ascii="Century Gothic" w:hAnsi="Century Gothic" w:cs="Arial"/>
          <w:sz w:val="24"/>
          <w:szCs w:val="24"/>
        </w:rPr>
        <w:t xml:space="preserve">Basin Plan </w:t>
      </w:r>
      <w:bookmarkEnd w:id="9"/>
      <w:r w:rsidR="008B5430">
        <w:rPr>
          <w:rFonts w:ascii="Century Gothic" w:hAnsi="Century Gothic" w:cs="Arial"/>
          <w:sz w:val="24"/>
          <w:szCs w:val="24"/>
        </w:rPr>
        <w:t>obligations</w:t>
      </w:r>
      <w:bookmarkEnd w:id="10"/>
    </w:p>
    <w:p w14:paraId="6C6500B4" w14:textId="77777777" w:rsidR="00B17604" w:rsidRDefault="003F1C8E">
      <w:pPr>
        <w:tabs>
          <w:tab w:val="left" w:pos="1134"/>
        </w:tabs>
        <w:spacing w:after="120"/>
        <w:rPr>
          <w:rFonts w:ascii="Century Gothic" w:hAnsi="Century Gothic" w:cs="Arial"/>
        </w:rPr>
      </w:pPr>
      <w:r w:rsidRPr="0062683F">
        <w:rPr>
          <w:rFonts w:ascii="Century Gothic" w:hAnsi="Century Gothic" w:cs="Arial"/>
        </w:rPr>
        <w:t xml:space="preserve">The Basin Plan is a high-level plan </w:t>
      </w:r>
      <w:r w:rsidR="00091C8B">
        <w:rPr>
          <w:rFonts w:ascii="Century Gothic" w:hAnsi="Century Gothic" w:cs="Arial"/>
        </w:rPr>
        <w:t xml:space="preserve">to </w:t>
      </w:r>
      <w:r w:rsidRPr="0062683F">
        <w:rPr>
          <w:rFonts w:ascii="Century Gothic" w:hAnsi="Century Gothic" w:cs="Arial"/>
        </w:rPr>
        <w:t>ensur</w:t>
      </w:r>
      <w:r w:rsidR="00091C8B">
        <w:rPr>
          <w:rFonts w:ascii="Century Gothic" w:hAnsi="Century Gothic" w:cs="Arial"/>
        </w:rPr>
        <w:t>e</w:t>
      </w:r>
      <w:r w:rsidRPr="0062683F">
        <w:rPr>
          <w:rFonts w:ascii="Century Gothic" w:hAnsi="Century Gothic" w:cs="Arial"/>
        </w:rPr>
        <w:t xml:space="preserve"> that the Basin’s water resources are managed in an integrated and sustainable way. Key components include sustainable limits on surface water and groundwater extraction (referred to as ‘sustainable diversion limits’ or SDLs); an environmental watering plan; a water quality and salinity management plan; water resource plan requirements; water trading rules; and a monitoring and evaluation programme.</w:t>
      </w:r>
    </w:p>
    <w:p w14:paraId="6C6500B5" w14:textId="1724985F" w:rsidR="00B17604" w:rsidRDefault="00FC33AF">
      <w:pPr>
        <w:autoSpaceDE w:val="0"/>
        <w:autoSpaceDN w:val="0"/>
        <w:adjustRightInd w:val="0"/>
        <w:spacing w:after="120"/>
        <w:rPr>
          <w:rFonts w:ascii="Century Gothic" w:hAnsi="Century Gothic" w:cs="Arial"/>
        </w:rPr>
      </w:pPr>
      <w:r w:rsidRPr="0062683F">
        <w:rPr>
          <w:rFonts w:ascii="Century Gothic" w:hAnsi="Century Gothic" w:cs="Arial"/>
        </w:rPr>
        <w:t>The Basin Plan’s environmental watering plan requires the</w:t>
      </w:r>
      <w:r w:rsidR="00860886">
        <w:rPr>
          <w:rFonts w:ascii="Century Gothic" w:hAnsi="Century Gothic" w:cs="Arial"/>
        </w:rPr>
        <w:t xml:space="preserve"> </w:t>
      </w:r>
      <w:r w:rsidR="00857534">
        <w:rPr>
          <w:rFonts w:ascii="Century Gothic" w:hAnsi="Century Gothic" w:cs="Arial"/>
        </w:rPr>
        <w:t xml:space="preserve">Commonwealth Environmental Water Holder </w:t>
      </w:r>
      <w:r w:rsidRPr="0062683F">
        <w:rPr>
          <w:rFonts w:ascii="Century Gothic" w:hAnsi="Century Gothic" w:cs="Arial"/>
        </w:rPr>
        <w:t xml:space="preserve"> to perform its functions and exercise its powers in a way that is consistent with both the environmental watering plan and the Basin-wide environmental watering strategy.</w:t>
      </w:r>
    </w:p>
    <w:p w14:paraId="6C6500B6" w14:textId="77777777" w:rsidR="00B17604" w:rsidRDefault="003F1C8E">
      <w:pPr>
        <w:tabs>
          <w:tab w:val="left" w:pos="1134"/>
        </w:tabs>
        <w:spacing w:after="120"/>
        <w:rPr>
          <w:rFonts w:ascii="Century Gothic" w:hAnsi="Century Gothic" w:cs="Arial"/>
        </w:rPr>
      </w:pPr>
      <w:r w:rsidRPr="0062683F">
        <w:rPr>
          <w:rFonts w:ascii="Century Gothic" w:hAnsi="Century Gothic" w:cs="Arial"/>
        </w:rPr>
        <w:t>Commonwealth environmental water</w:t>
      </w:r>
      <w:r w:rsidR="00FC33AF" w:rsidRPr="0062683F">
        <w:rPr>
          <w:rFonts w:ascii="Century Gothic" w:hAnsi="Century Gothic" w:cs="Arial"/>
        </w:rPr>
        <w:t>ing</w:t>
      </w:r>
      <w:r w:rsidRPr="0062683F">
        <w:rPr>
          <w:rFonts w:ascii="Century Gothic" w:hAnsi="Century Gothic" w:cs="Arial"/>
        </w:rPr>
        <w:t xml:space="preserve"> must:</w:t>
      </w:r>
    </w:p>
    <w:p w14:paraId="6C6500B7" w14:textId="77777777" w:rsidR="00B17604" w:rsidRDefault="003F1C8E">
      <w:pPr>
        <w:pStyle w:val="ListBullet"/>
        <w:numPr>
          <w:ilvl w:val="0"/>
          <w:numId w:val="7"/>
        </w:numPr>
        <w:tabs>
          <w:tab w:val="clear" w:pos="284"/>
        </w:tabs>
        <w:spacing w:after="120"/>
        <w:ind w:left="369" w:hanging="369"/>
        <w:rPr>
          <w:rFonts w:ascii="Century Gothic" w:hAnsi="Century Gothic"/>
        </w:rPr>
      </w:pPr>
      <w:r w:rsidRPr="0062683F">
        <w:rPr>
          <w:rFonts w:ascii="Century Gothic" w:hAnsi="Century Gothic"/>
        </w:rPr>
        <w:t>be consistent with the environmental watering plan’s objectives</w:t>
      </w:r>
    </w:p>
    <w:p w14:paraId="6C6500B8" w14:textId="77777777" w:rsidR="00B17604" w:rsidRDefault="003F1C8E">
      <w:pPr>
        <w:pStyle w:val="ListBullet"/>
        <w:numPr>
          <w:ilvl w:val="0"/>
          <w:numId w:val="7"/>
        </w:numPr>
        <w:tabs>
          <w:tab w:val="clear" w:pos="284"/>
        </w:tabs>
        <w:spacing w:after="120"/>
        <w:ind w:left="369" w:hanging="369"/>
        <w:rPr>
          <w:rFonts w:ascii="Century Gothic" w:hAnsi="Century Gothic"/>
        </w:rPr>
      </w:pPr>
      <w:r w:rsidRPr="0062683F">
        <w:rPr>
          <w:rFonts w:ascii="Century Gothic" w:hAnsi="Century Gothic"/>
        </w:rPr>
        <w:t xml:space="preserve">have regard to the Basin annual environmental watering priorities </w:t>
      </w:r>
    </w:p>
    <w:p w14:paraId="6C6500B9" w14:textId="625AB4B5" w:rsidR="00B17604" w:rsidRDefault="003F1C8E">
      <w:pPr>
        <w:pStyle w:val="ListBullet"/>
        <w:numPr>
          <w:ilvl w:val="0"/>
          <w:numId w:val="7"/>
        </w:numPr>
        <w:tabs>
          <w:tab w:val="clear" w:pos="284"/>
        </w:tabs>
        <w:spacing w:after="120"/>
        <w:ind w:left="369" w:hanging="369"/>
        <w:rPr>
          <w:rFonts w:ascii="Century Gothic" w:hAnsi="Century Gothic"/>
        </w:rPr>
      </w:pPr>
      <w:r w:rsidRPr="0062683F">
        <w:rPr>
          <w:rFonts w:ascii="Century Gothic" w:hAnsi="Century Gothic"/>
        </w:rPr>
        <w:t xml:space="preserve">be in accordance with the principles to be applied in environmental watering, which include maximising environmental outcomes, having regard to risks and costs, </w:t>
      </w:r>
      <w:r w:rsidR="00DA6C58">
        <w:rPr>
          <w:rFonts w:ascii="Century Gothic" w:hAnsi="Century Gothic"/>
        </w:rPr>
        <w:t xml:space="preserve">having regard to indigenous values, social and economic outcomes, </w:t>
      </w:r>
      <w:r w:rsidRPr="0062683F">
        <w:rPr>
          <w:rFonts w:ascii="Century Gothic" w:hAnsi="Century Gothic"/>
        </w:rPr>
        <w:t>working effectively with local communities,</w:t>
      </w:r>
      <w:r w:rsidR="00D677C0">
        <w:rPr>
          <w:rFonts w:ascii="Century Gothic" w:hAnsi="Century Gothic"/>
        </w:rPr>
        <w:t xml:space="preserve"> and</w:t>
      </w:r>
      <w:r w:rsidRPr="0062683F">
        <w:rPr>
          <w:rFonts w:ascii="Century Gothic" w:hAnsi="Century Gothic"/>
        </w:rPr>
        <w:t xml:space="preserve"> applying adaptive management and the precautionary principle</w:t>
      </w:r>
    </w:p>
    <w:p w14:paraId="6C6500BA" w14:textId="77777777" w:rsidR="00B17604" w:rsidRDefault="003F1C8E">
      <w:pPr>
        <w:pStyle w:val="ListBullet"/>
        <w:numPr>
          <w:ilvl w:val="0"/>
          <w:numId w:val="7"/>
        </w:numPr>
        <w:tabs>
          <w:tab w:val="clear" w:pos="284"/>
        </w:tabs>
        <w:spacing w:after="120"/>
        <w:ind w:left="369" w:hanging="369"/>
        <w:rPr>
          <w:rFonts w:ascii="Century Gothic" w:hAnsi="Century Gothic"/>
        </w:rPr>
      </w:pPr>
      <w:r w:rsidRPr="0062683F">
        <w:rPr>
          <w:rFonts w:ascii="Century Gothic" w:hAnsi="Century Gothic"/>
        </w:rPr>
        <w:t>have regard to the water quality and salinity targets for managing flows.</w:t>
      </w:r>
    </w:p>
    <w:p w14:paraId="6C6500BB" w14:textId="77777777" w:rsidR="00B17604" w:rsidRDefault="00F028C6">
      <w:pPr>
        <w:pStyle w:val="ListBullet"/>
        <w:numPr>
          <w:ilvl w:val="0"/>
          <w:numId w:val="0"/>
        </w:numPr>
        <w:spacing w:after="120"/>
        <w:rPr>
          <w:rFonts w:ascii="Century Gothic" w:hAnsi="Century Gothic"/>
        </w:rPr>
      </w:pPr>
      <w:r w:rsidRPr="0062683F">
        <w:rPr>
          <w:rFonts w:ascii="Century Gothic" w:hAnsi="Century Gothic" w:cs="Arial"/>
        </w:rPr>
        <w:t xml:space="preserve">Trade of environmental water must </w:t>
      </w:r>
      <w:r w:rsidR="00E65948">
        <w:rPr>
          <w:rFonts w:ascii="Century Gothic" w:hAnsi="Century Gothic" w:cs="Arial"/>
        </w:rPr>
        <w:t xml:space="preserve">be </w:t>
      </w:r>
      <w:r w:rsidRPr="0062683F">
        <w:rPr>
          <w:rFonts w:ascii="Century Gothic" w:hAnsi="Century Gothic" w:cs="Arial"/>
        </w:rPr>
        <w:t xml:space="preserve">undertaken consistent with the </w:t>
      </w:r>
      <w:r w:rsidR="00976C8F" w:rsidRPr="0062683F">
        <w:rPr>
          <w:rFonts w:ascii="Century Gothic" w:hAnsi="Century Gothic" w:cs="Arial"/>
        </w:rPr>
        <w:t xml:space="preserve">Basin Plan’s </w:t>
      </w:r>
      <w:r w:rsidRPr="0062683F">
        <w:rPr>
          <w:rFonts w:ascii="Century Gothic" w:hAnsi="Century Gothic" w:cs="Arial"/>
        </w:rPr>
        <w:t>water trading rules, including that arrangements be in place to avoid trading on the basis of non-public information that may have a material impact on a person’s decision to trade</w:t>
      </w:r>
      <w:r w:rsidR="00FC33AF" w:rsidRPr="0062683F">
        <w:rPr>
          <w:rFonts w:ascii="Century Gothic" w:hAnsi="Century Gothic"/>
        </w:rPr>
        <w:t xml:space="preserve">. </w:t>
      </w:r>
    </w:p>
    <w:p w14:paraId="6C6500BC" w14:textId="551537AA" w:rsidR="00B17604" w:rsidRDefault="003F1C8E">
      <w:pPr>
        <w:tabs>
          <w:tab w:val="left" w:pos="1134"/>
        </w:tabs>
        <w:spacing w:after="120"/>
        <w:rPr>
          <w:rFonts w:ascii="Century Gothic" w:hAnsi="Century Gothic" w:cs="Arial"/>
        </w:rPr>
      </w:pPr>
      <w:r w:rsidRPr="0062683F">
        <w:rPr>
          <w:rFonts w:ascii="Century Gothic" w:hAnsi="Century Gothic" w:cs="Arial"/>
        </w:rPr>
        <w:t xml:space="preserve">The Basin Plan also places a number of other obligations relating to the </w:t>
      </w:r>
      <w:r w:rsidR="00857534">
        <w:rPr>
          <w:rFonts w:ascii="Century Gothic" w:hAnsi="Century Gothic" w:cs="Arial"/>
        </w:rPr>
        <w:t xml:space="preserve">Commonwealth Environmental Water Holder </w:t>
      </w:r>
      <w:r w:rsidR="00995707" w:rsidRPr="0062683F">
        <w:rPr>
          <w:rFonts w:ascii="Century Gothic" w:hAnsi="Century Gothic" w:cs="Arial"/>
        </w:rPr>
        <w:t xml:space="preserve">’s </w:t>
      </w:r>
      <w:r w:rsidRPr="0062683F">
        <w:rPr>
          <w:rFonts w:ascii="Century Gothic" w:hAnsi="Century Gothic" w:cs="Arial"/>
        </w:rPr>
        <w:t xml:space="preserve">monitoring, evaluation and reporting activities. </w:t>
      </w:r>
    </w:p>
    <w:p w14:paraId="6C6500BD" w14:textId="498CCE9E" w:rsidR="007A7A94" w:rsidRDefault="00316171">
      <w:pPr>
        <w:pStyle w:val="Heading11"/>
        <w:spacing w:before="0" w:after="120"/>
      </w:pPr>
      <w:bookmarkStart w:id="11" w:name="_Toc415473567"/>
      <w:bookmarkStart w:id="12" w:name="_Toc517264639"/>
      <w:r w:rsidRPr="00560998">
        <w:t xml:space="preserve">Working with </w:t>
      </w:r>
      <w:bookmarkEnd w:id="11"/>
      <w:r w:rsidR="004338C8">
        <w:t>others</w:t>
      </w:r>
      <w:bookmarkEnd w:id="12"/>
    </w:p>
    <w:p w14:paraId="6C6500BE" w14:textId="235650CB" w:rsidR="00B17604" w:rsidRDefault="004338C8">
      <w:pPr>
        <w:spacing w:after="120"/>
        <w:rPr>
          <w:rFonts w:ascii="Century Gothic" w:hAnsi="Century Gothic" w:cs="Arial"/>
        </w:rPr>
      </w:pPr>
      <w:r w:rsidRPr="004338C8">
        <w:rPr>
          <w:rFonts w:ascii="Century Gothic" w:hAnsi="Century Gothic" w:cs="Arial"/>
        </w:rPr>
        <w:t xml:space="preserve">Commonwealth environmental water cannot be delivered without the coordinated effort of many stakeholders. The planning, delivery and monitoring of Commonwealth environmental water is undertaken in partnership with a range of organisations </w:t>
      </w:r>
      <w:r w:rsidR="00002A9A">
        <w:rPr>
          <w:rFonts w:ascii="Century Gothic" w:hAnsi="Century Gothic" w:cs="Arial"/>
        </w:rPr>
        <w:t xml:space="preserve">and communities </w:t>
      </w:r>
      <w:r w:rsidRPr="004338C8">
        <w:rPr>
          <w:rFonts w:ascii="Century Gothic" w:hAnsi="Century Gothic" w:cs="Arial"/>
        </w:rPr>
        <w:t xml:space="preserve">across the Basin. </w:t>
      </w:r>
    </w:p>
    <w:p w14:paraId="4647D4BC" w14:textId="22D71392" w:rsidR="00441CB0" w:rsidRDefault="00441CB0" w:rsidP="00441CB0">
      <w:pPr>
        <w:pStyle w:val="Para0"/>
        <w:spacing w:after="120" w:line="240" w:lineRule="auto"/>
        <w:rPr>
          <w:rFonts w:ascii="Century Gothic" w:hAnsi="Century Gothic"/>
          <w:color w:val="auto"/>
        </w:rPr>
      </w:pPr>
      <w:r>
        <w:rPr>
          <w:rFonts w:ascii="Century Gothic" w:hAnsi="Century Gothic" w:cs="Arial"/>
        </w:rPr>
        <w:t>To this effect, t</w:t>
      </w:r>
      <w:r>
        <w:rPr>
          <w:rFonts w:ascii="Century Gothic" w:hAnsi="Century Gothic"/>
          <w:color w:val="auto"/>
        </w:rPr>
        <w:t>he</w:t>
      </w:r>
      <w:r w:rsidRPr="000E3C60">
        <w:rPr>
          <w:rFonts w:ascii="Century Gothic" w:hAnsi="Century Gothic"/>
          <w:color w:val="auto"/>
        </w:rPr>
        <w:t xml:space="preserve"> </w:t>
      </w:r>
      <w:r>
        <w:rPr>
          <w:rFonts w:ascii="Century Gothic" w:hAnsi="Century Gothic"/>
          <w:color w:val="auto"/>
        </w:rPr>
        <w:t xml:space="preserve">Commonwealth Environmental Water Holder </w:t>
      </w:r>
      <w:r w:rsidRPr="000E3C60">
        <w:rPr>
          <w:rFonts w:ascii="Century Gothic" w:hAnsi="Century Gothic"/>
          <w:color w:val="auto"/>
        </w:rPr>
        <w:t>regularly meets with individuals and representatives of local government, business, landholders, Aboriginal communities and peak bodies, to discuss the planning, management, and monitoring of Commonwealth environmental water. These meetings occur at locations throughout the Basin and in Canberra.</w:t>
      </w:r>
    </w:p>
    <w:p w14:paraId="4CB90FAE" w14:textId="77777777" w:rsidR="00441CB0" w:rsidRDefault="00441CB0" w:rsidP="00441CB0">
      <w:pPr>
        <w:pStyle w:val="Para0"/>
        <w:spacing w:after="120" w:line="240" w:lineRule="auto"/>
      </w:pPr>
      <w:r w:rsidRPr="004338C8">
        <w:rPr>
          <w:rFonts w:ascii="Century Gothic" w:hAnsi="Century Gothic"/>
          <w:color w:val="auto"/>
        </w:rPr>
        <w:t xml:space="preserve">This outreach activity is complemented by the work of the </w:t>
      </w:r>
      <w:r>
        <w:rPr>
          <w:rFonts w:ascii="Century Gothic" w:hAnsi="Century Gothic"/>
          <w:color w:val="auto"/>
        </w:rPr>
        <w:t>Commonwealth Environmental Water Office</w:t>
      </w:r>
      <w:r w:rsidRPr="004338C8">
        <w:rPr>
          <w:rFonts w:ascii="Century Gothic" w:hAnsi="Century Gothic"/>
          <w:color w:val="auto"/>
        </w:rPr>
        <w:t xml:space="preserve">, including the six local engagement officers who live and work in Basin communities. These officers are located in </w:t>
      </w:r>
      <w:r>
        <w:rPr>
          <w:rFonts w:ascii="Century Gothic" w:hAnsi="Century Gothic"/>
          <w:color w:val="auto"/>
        </w:rPr>
        <w:t>Tamworth, Walgett</w:t>
      </w:r>
      <w:r w:rsidRPr="004338C8">
        <w:rPr>
          <w:rFonts w:ascii="Century Gothic" w:hAnsi="Century Gothic"/>
          <w:color w:val="auto"/>
        </w:rPr>
        <w:t xml:space="preserve">, </w:t>
      </w:r>
      <w:r>
        <w:rPr>
          <w:rFonts w:ascii="Century Gothic" w:hAnsi="Century Gothic"/>
          <w:color w:val="auto"/>
        </w:rPr>
        <w:t>Wagga Wagga</w:t>
      </w:r>
      <w:r w:rsidRPr="004338C8">
        <w:rPr>
          <w:rFonts w:ascii="Century Gothic" w:hAnsi="Century Gothic"/>
          <w:color w:val="auto"/>
        </w:rPr>
        <w:t xml:space="preserve">, </w:t>
      </w:r>
      <w:r>
        <w:rPr>
          <w:rFonts w:ascii="Century Gothic" w:hAnsi="Century Gothic"/>
          <w:color w:val="auto"/>
        </w:rPr>
        <w:t>Albury</w:t>
      </w:r>
      <w:r w:rsidRPr="004338C8">
        <w:rPr>
          <w:rFonts w:ascii="Century Gothic" w:hAnsi="Century Gothic"/>
          <w:color w:val="auto"/>
        </w:rPr>
        <w:t>, Mildura and Berri</w:t>
      </w:r>
      <w:r>
        <w:rPr>
          <w:rFonts w:ascii="Century Gothic" w:hAnsi="Century Gothic"/>
          <w:color w:val="auto"/>
        </w:rPr>
        <w:t>.</w:t>
      </w:r>
      <w:r w:rsidRPr="000B0953">
        <w:rPr>
          <w:rFonts w:ascii="Century Gothic" w:hAnsi="Century Gothic"/>
          <w:color w:val="auto"/>
        </w:rPr>
        <w:t xml:space="preserve"> </w:t>
      </w:r>
      <w:r w:rsidRPr="00CF5754">
        <w:rPr>
          <w:rFonts w:ascii="Century Gothic" w:hAnsi="Century Gothic"/>
          <w:color w:val="auto"/>
        </w:rPr>
        <w:t xml:space="preserve">These six officers, alongside other officers of local land and water management agencies, work closely with all levels of government as well as local communities and businesses to assist members of the community to participate in environmental water planning and decision making. </w:t>
      </w:r>
      <w:r>
        <w:rPr>
          <w:rFonts w:ascii="Century Gothic" w:hAnsi="Century Gothic"/>
          <w:color w:val="auto"/>
        </w:rPr>
        <w:t xml:space="preserve">For further information please refer to: </w:t>
      </w:r>
      <w:hyperlink r:id="rId22" w:history="1">
        <w:r w:rsidRPr="002B6397">
          <w:rPr>
            <w:rStyle w:val="Hyperlink"/>
            <w:rFonts w:ascii="Century Gothic" w:hAnsi="Century Gothic"/>
          </w:rPr>
          <w:t>http://www.environment.gov.au/water/cewo/local-engagement</w:t>
        </w:r>
      </w:hyperlink>
      <w:r w:rsidRPr="000E3C60">
        <w:rPr>
          <w:rFonts w:ascii="Century Gothic" w:hAnsi="Century Gothic"/>
          <w:color w:val="auto"/>
        </w:rPr>
        <w:t>.</w:t>
      </w:r>
    </w:p>
    <w:p w14:paraId="6C6500BF" w14:textId="7F511A49" w:rsidR="007A7A94" w:rsidRDefault="000E3C60">
      <w:pPr>
        <w:pStyle w:val="Heading11"/>
        <w:numPr>
          <w:ilvl w:val="2"/>
          <w:numId w:val="66"/>
        </w:numPr>
        <w:spacing w:before="0" w:after="120"/>
        <w:ind w:left="1418" w:hanging="704"/>
        <w:rPr>
          <w:rFonts w:ascii="Century Gothic" w:hAnsi="Century Gothic" w:cs="Arial"/>
          <w:sz w:val="24"/>
          <w:szCs w:val="24"/>
        </w:rPr>
      </w:pPr>
      <w:bookmarkStart w:id="13" w:name="_Toc517264640"/>
      <w:r w:rsidRPr="000E3C60">
        <w:rPr>
          <w:rFonts w:ascii="Century Gothic" w:hAnsi="Century Gothic" w:cs="Arial"/>
          <w:sz w:val="24"/>
          <w:szCs w:val="24"/>
        </w:rPr>
        <w:t>Delivery partners</w:t>
      </w:r>
      <w:bookmarkEnd w:id="13"/>
    </w:p>
    <w:p w14:paraId="6C6500C0" w14:textId="50D27205" w:rsidR="00B17604" w:rsidRDefault="0091492F">
      <w:pPr>
        <w:spacing w:after="120"/>
        <w:rPr>
          <w:rFonts w:ascii="Century Gothic" w:hAnsi="Century Gothic" w:cs="Arial"/>
        </w:rPr>
      </w:pPr>
      <w:r w:rsidRPr="0091492F">
        <w:rPr>
          <w:rFonts w:ascii="Century Gothic" w:hAnsi="Century Gothic" w:cs="Arial"/>
        </w:rPr>
        <w:t>Planning for Commonwealth environmental water use involves conversations</w:t>
      </w:r>
      <w:r w:rsidR="00E57CF2" w:rsidRPr="00BE31EB">
        <w:rPr>
          <w:rFonts w:ascii="Century Gothic" w:hAnsi="Century Gothic" w:cs="Arial"/>
        </w:rPr>
        <w:t xml:space="preserve"> with state government departments and agencies, river operators, catchment management and land service agencies, local environmental watering advisory groups, wetland managers, holders of environmental water, the Murray</w:t>
      </w:r>
      <w:r w:rsidR="00AA6D13">
        <w:rPr>
          <w:rFonts w:ascii="Century Gothic" w:hAnsi="Century Gothic" w:cs="Arial"/>
        </w:rPr>
        <w:t>-</w:t>
      </w:r>
      <w:r w:rsidR="00E57CF2" w:rsidRPr="00BE31EB">
        <w:rPr>
          <w:rFonts w:ascii="Century Gothic" w:hAnsi="Century Gothic" w:cs="Arial"/>
        </w:rPr>
        <w:t>Darling Basin Authority</w:t>
      </w:r>
      <w:r>
        <w:rPr>
          <w:rFonts w:ascii="Century Gothic" w:hAnsi="Century Gothic" w:cs="Arial"/>
        </w:rPr>
        <w:t xml:space="preserve">, </w:t>
      </w:r>
      <w:r w:rsidRPr="00BE31EB">
        <w:rPr>
          <w:rFonts w:ascii="Century Gothic" w:hAnsi="Century Gothic" w:cs="Arial"/>
        </w:rPr>
        <w:t>landholders and communities</w:t>
      </w:r>
      <w:r>
        <w:rPr>
          <w:rFonts w:ascii="Century Gothic" w:hAnsi="Century Gothic" w:cs="Arial"/>
        </w:rPr>
        <w:t xml:space="preserve">, </w:t>
      </w:r>
      <w:r w:rsidRPr="0091492F">
        <w:rPr>
          <w:rFonts w:ascii="Century Gothic" w:hAnsi="Century Gothic" w:cs="Arial"/>
        </w:rPr>
        <w:t>as well as the organisations responsible for the monitoring the outcomes from environmental wate</w:t>
      </w:r>
      <w:r>
        <w:rPr>
          <w:rFonts w:ascii="Century Gothic" w:hAnsi="Century Gothic" w:cs="Arial"/>
        </w:rPr>
        <w:t>r</w:t>
      </w:r>
      <w:r w:rsidR="00E57CF2" w:rsidRPr="00BE31EB">
        <w:rPr>
          <w:rFonts w:ascii="Century Gothic" w:hAnsi="Century Gothic" w:cs="Arial"/>
        </w:rPr>
        <w:t xml:space="preserve">. </w:t>
      </w:r>
      <w:r>
        <w:rPr>
          <w:rFonts w:ascii="Century Gothic" w:hAnsi="Century Gothic" w:cs="Arial"/>
        </w:rPr>
        <w:t xml:space="preserve"> </w:t>
      </w:r>
      <w:r w:rsidRPr="0091492F">
        <w:rPr>
          <w:rFonts w:ascii="Century Gothic" w:hAnsi="Century Gothic" w:cs="Arial"/>
        </w:rPr>
        <w:t>These conversations identify environmental demands, relevant lessons learnt and outcomes from previous watering, barriers to delivery (e.g. infrastructure maintenance), potential risks, other complementary sources of water and any relevant operational plans.</w:t>
      </w:r>
    </w:p>
    <w:p w14:paraId="6C6500C1" w14:textId="400947DD" w:rsidR="00B17604" w:rsidRDefault="004338C8">
      <w:pPr>
        <w:spacing w:after="120"/>
        <w:rPr>
          <w:rFonts w:ascii="Century Gothic" w:hAnsi="Century Gothic" w:cs="Arial"/>
        </w:rPr>
      </w:pPr>
      <w:r w:rsidRPr="004338C8">
        <w:rPr>
          <w:rFonts w:ascii="Century Gothic" w:hAnsi="Century Gothic" w:cs="Arial"/>
        </w:rPr>
        <w:t>The Commonwealth Environmental Water Holder has entered into formal partnership agreements with the Victorian Environmental Water Holder,</w:t>
      </w:r>
      <w:r w:rsidR="00B75B52">
        <w:rPr>
          <w:rFonts w:ascii="Century Gothic" w:hAnsi="Century Gothic" w:cs="Arial"/>
        </w:rPr>
        <w:t xml:space="preserve"> South Australian Department of Environment and Water,</w:t>
      </w:r>
      <w:r w:rsidRPr="004338C8">
        <w:rPr>
          <w:rFonts w:ascii="Century Gothic" w:hAnsi="Century Gothic" w:cs="Arial"/>
        </w:rPr>
        <w:t xml:space="preserve"> the New South Wales Office of Environment and Heritage, the South Australian </w:t>
      </w:r>
      <w:r w:rsidR="00BE4223">
        <w:rPr>
          <w:rFonts w:ascii="Century Gothic" w:hAnsi="Century Gothic" w:cs="Arial"/>
        </w:rPr>
        <w:t>Murray-Darling</w:t>
      </w:r>
      <w:r w:rsidR="00F35BE6">
        <w:rPr>
          <w:rFonts w:ascii="Century Gothic" w:hAnsi="Century Gothic" w:cs="Arial"/>
        </w:rPr>
        <w:t xml:space="preserve"> Basin </w:t>
      </w:r>
      <w:r w:rsidRPr="004338C8">
        <w:rPr>
          <w:rFonts w:ascii="Century Gothic" w:hAnsi="Century Gothic" w:cs="Arial"/>
        </w:rPr>
        <w:t>Natural Resource Management Board</w:t>
      </w:r>
      <w:r>
        <w:rPr>
          <w:rFonts w:ascii="Century Gothic" w:hAnsi="Century Gothic" w:cs="Arial"/>
        </w:rPr>
        <w:t>,</w:t>
      </w:r>
      <w:r w:rsidRPr="004338C8">
        <w:rPr>
          <w:rFonts w:ascii="Century Gothic" w:hAnsi="Century Gothic" w:cs="Arial"/>
        </w:rPr>
        <w:t xml:space="preserve"> </w:t>
      </w:r>
      <w:r w:rsidR="00F35BE6">
        <w:rPr>
          <w:rFonts w:ascii="Century Gothic" w:hAnsi="Century Gothic" w:cs="Arial"/>
        </w:rPr>
        <w:t xml:space="preserve">Banrock Station, </w:t>
      </w:r>
      <w:r w:rsidRPr="004338C8">
        <w:rPr>
          <w:rFonts w:ascii="Century Gothic" w:hAnsi="Century Gothic" w:cs="Arial"/>
        </w:rPr>
        <w:t>the Nature Foundation South Australia</w:t>
      </w:r>
      <w:r w:rsidR="00443B9D">
        <w:rPr>
          <w:rFonts w:ascii="Century Gothic" w:hAnsi="Century Gothic" w:cs="Arial"/>
        </w:rPr>
        <w:t>,</w:t>
      </w:r>
      <w:r>
        <w:rPr>
          <w:rFonts w:ascii="Century Gothic" w:hAnsi="Century Gothic" w:cs="Arial"/>
        </w:rPr>
        <w:t xml:space="preserve"> the </w:t>
      </w:r>
      <w:r w:rsidRPr="006C6F0A">
        <w:rPr>
          <w:rFonts w:ascii="Century Gothic" w:hAnsi="Century Gothic" w:cs="Arial"/>
        </w:rPr>
        <w:t>Ngarrindjeri</w:t>
      </w:r>
      <w:r>
        <w:rPr>
          <w:rFonts w:ascii="Century Gothic" w:hAnsi="Century Gothic" w:cs="Arial"/>
        </w:rPr>
        <w:t xml:space="preserve"> Regional Authority</w:t>
      </w:r>
      <w:r w:rsidR="00443B9D">
        <w:rPr>
          <w:rFonts w:ascii="Century Gothic" w:hAnsi="Century Gothic" w:cs="Arial"/>
        </w:rPr>
        <w:t xml:space="preserve"> and the Renmark Irrigation Trust</w:t>
      </w:r>
      <w:r w:rsidR="007503FA">
        <w:rPr>
          <w:rFonts w:ascii="Century Gothic" w:hAnsi="Century Gothic" w:cs="Arial"/>
        </w:rPr>
        <w:t>. These agreements outline</w:t>
      </w:r>
      <w:r w:rsidRPr="004338C8">
        <w:rPr>
          <w:rFonts w:ascii="Century Gothic" w:hAnsi="Century Gothic" w:cs="Arial"/>
        </w:rPr>
        <w:t xml:space="preserve"> the way in which the </w:t>
      </w:r>
      <w:r w:rsidR="00857534">
        <w:rPr>
          <w:rFonts w:ascii="Century Gothic" w:hAnsi="Century Gothic" w:cs="Arial"/>
        </w:rPr>
        <w:t xml:space="preserve">Commonwealth Environmental Water Holder </w:t>
      </w:r>
      <w:r w:rsidR="00860886">
        <w:rPr>
          <w:rFonts w:ascii="Century Gothic" w:hAnsi="Century Gothic" w:cs="Arial"/>
        </w:rPr>
        <w:t xml:space="preserve"> </w:t>
      </w:r>
      <w:r w:rsidRPr="004338C8">
        <w:rPr>
          <w:rFonts w:ascii="Century Gothic" w:hAnsi="Century Gothic" w:cs="Arial"/>
        </w:rPr>
        <w:t>and staff of the Commonwealth Environmental Water Office will work with partners to coordinate the management of environmental water. The Commonwealth Environmental Water Holder also continues to work collaboratively with other partners where formal agreements are not in place</w:t>
      </w:r>
      <w:r>
        <w:rPr>
          <w:rFonts w:ascii="Century Gothic" w:hAnsi="Century Gothic" w:cs="Arial"/>
        </w:rPr>
        <w:t>.</w:t>
      </w:r>
    </w:p>
    <w:p w14:paraId="6C6500C2" w14:textId="1FD4A676" w:rsidR="007A7A94" w:rsidRDefault="006C6F0A">
      <w:pPr>
        <w:pStyle w:val="Heading11"/>
        <w:numPr>
          <w:ilvl w:val="2"/>
          <w:numId w:val="66"/>
        </w:numPr>
        <w:spacing w:before="0" w:after="120"/>
        <w:ind w:left="1418" w:hanging="704"/>
        <w:rPr>
          <w:rFonts w:ascii="Century Gothic" w:hAnsi="Century Gothic" w:cs="Arial"/>
          <w:sz w:val="24"/>
          <w:szCs w:val="24"/>
        </w:rPr>
      </w:pPr>
      <w:bookmarkStart w:id="14" w:name="_Toc415473568"/>
      <w:bookmarkStart w:id="15" w:name="_Toc517264641"/>
      <w:r>
        <w:rPr>
          <w:rFonts w:ascii="Century Gothic" w:hAnsi="Century Gothic" w:cs="Arial"/>
          <w:sz w:val="24"/>
          <w:szCs w:val="24"/>
        </w:rPr>
        <w:t>Community engagement</w:t>
      </w:r>
      <w:bookmarkEnd w:id="14"/>
      <w:bookmarkEnd w:id="15"/>
    </w:p>
    <w:p w14:paraId="6C6500C3" w14:textId="77777777" w:rsidR="00B17604" w:rsidRDefault="00C03993">
      <w:pPr>
        <w:pStyle w:val="Para0"/>
        <w:spacing w:after="120" w:line="240" w:lineRule="auto"/>
        <w:rPr>
          <w:rFonts w:ascii="Century Gothic" w:hAnsi="Century Gothic"/>
          <w:color w:val="auto"/>
        </w:rPr>
      </w:pPr>
      <w:r w:rsidRPr="00CF5754">
        <w:rPr>
          <w:rFonts w:ascii="Century Gothic" w:hAnsi="Century Gothic"/>
          <w:color w:val="auto"/>
        </w:rPr>
        <w:t xml:space="preserve">Local information and experience is critical to being able to effectively manage and deliver Commonwealth environmental water. We are very grateful for the expertise, advice, feedback and support provided by our </w:t>
      </w:r>
      <w:hyperlink r:id="rId23" w:history="1">
        <w:r w:rsidRPr="00CF5754">
          <w:rPr>
            <w:rFonts w:ascii="Century Gothic" w:hAnsi="Century Gothic"/>
            <w:color w:val="auto"/>
          </w:rPr>
          <w:t>delivery partners</w:t>
        </w:r>
      </w:hyperlink>
      <w:r w:rsidRPr="00CF5754">
        <w:rPr>
          <w:rFonts w:ascii="Century Gothic" w:hAnsi="Century Gothic"/>
          <w:color w:val="auto"/>
        </w:rPr>
        <w:t>, environmental water holders</w:t>
      </w:r>
      <w:r w:rsidR="00795FF9">
        <w:rPr>
          <w:rFonts w:ascii="Century Gothic" w:hAnsi="Century Gothic"/>
          <w:color w:val="auto"/>
        </w:rPr>
        <w:t xml:space="preserve"> and</w:t>
      </w:r>
      <w:r w:rsidRPr="00CF5754">
        <w:rPr>
          <w:rFonts w:ascii="Century Gothic" w:hAnsi="Century Gothic"/>
          <w:color w:val="auto"/>
        </w:rPr>
        <w:t xml:space="preserve"> members of regional advisory groups who invite us to participate in their processes, and the many landowners who work with us to plan, manage and monitor the use of environmental water in the Basin.</w:t>
      </w:r>
    </w:p>
    <w:p w14:paraId="6C6500C4" w14:textId="14C9AC8F" w:rsidR="00B17604" w:rsidRDefault="000E3C60">
      <w:pPr>
        <w:pStyle w:val="Para0"/>
        <w:spacing w:after="120" w:line="240" w:lineRule="auto"/>
        <w:rPr>
          <w:rFonts w:ascii="Century Gothic" w:hAnsi="Century Gothic"/>
          <w:color w:val="auto"/>
        </w:rPr>
      </w:pPr>
      <w:r w:rsidRPr="000E3C60">
        <w:rPr>
          <w:rFonts w:ascii="Century Gothic" w:hAnsi="Century Gothic"/>
          <w:color w:val="auto"/>
        </w:rPr>
        <w:t xml:space="preserve">The </w:t>
      </w:r>
      <w:r w:rsidR="00857534">
        <w:rPr>
          <w:rFonts w:ascii="Century Gothic" w:hAnsi="Century Gothic"/>
          <w:color w:val="auto"/>
        </w:rPr>
        <w:t>Commonwealth Environmental Water Office</w:t>
      </w:r>
      <w:r w:rsidR="006409D5">
        <w:rPr>
          <w:rFonts w:ascii="Century Gothic" w:hAnsi="Century Gothic"/>
          <w:color w:val="auto"/>
        </w:rPr>
        <w:t xml:space="preserve"> </w:t>
      </w:r>
      <w:r w:rsidRPr="000E3C60">
        <w:rPr>
          <w:rFonts w:ascii="Century Gothic" w:hAnsi="Century Gothic"/>
          <w:color w:val="auto"/>
        </w:rPr>
        <w:t xml:space="preserve">is involved in state government-led local engagement processes such as environmental water advisory groups. These local forums enable the </w:t>
      </w:r>
      <w:r w:rsidR="00857534">
        <w:rPr>
          <w:rFonts w:ascii="Century Gothic" w:hAnsi="Century Gothic"/>
          <w:color w:val="auto"/>
        </w:rPr>
        <w:t xml:space="preserve">Commonwealth Environmental Water Holder </w:t>
      </w:r>
      <w:r w:rsidR="00002A9A">
        <w:rPr>
          <w:rFonts w:ascii="Century Gothic" w:hAnsi="Century Gothic"/>
          <w:color w:val="auto"/>
        </w:rPr>
        <w:t>t</w:t>
      </w:r>
      <w:r w:rsidRPr="000E3C60">
        <w:rPr>
          <w:rFonts w:ascii="Century Gothic" w:hAnsi="Century Gothic"/>
          <w:color w:val="auto"/>
        </w:rPr>
        <w:t>o keep abreast of local information whilst accessing a range of people who are experienced in local water and land management issues. This includes community representatives (landholders, Aboriginal community representatives and others) with intimate knowledge of how their rivers, floodplains and wetlands work.</w:t>
      </w:r>
    </w:p>
    <w:p w14:paraId="6C6500C9" w14:textId="6423F16E" w:rsidR="00D86FAA" w:rsidRPr="009E00DF" w:rsidRDefault="009E00DF" w:rsidP="009E00DF">
      <w:pPr>
        <w:pStyle w:val="Heading11"/>
        <w:numPr>
          <w:ilvl w:val="2"/>
          <w:numId w:val="66"/>
        </w:numPr>
        <w:spacing w:before="0" w:after="120"/>
        <w:ind w:left="1418" w:hanging="704"/>
        <w:rPr>
          <w:rFonts w:ascii="Century Gothic" w:hAnsi="Century Gothic" w:cs="Arial"/>
          <w:sz w:val="24"/>
          <w:szCs w:val="24"/>
        </w:rPr>
      </w:pPr>
      <w:bookmarkStart w:id="16" w:name="_Toc517264642"/>
      <w:r w:rsidRPr="009E00DF">
        <w:rPr>
          <w:rFonts w:ascii="Century Gothic" w:hAnsi="Century Gothic" w:cs="Arial"/>
          <w:sz w:val="24"/>
          <w:szCs w:val="24"/>
        </w:rPr>
        <w:t>Indigenous engagement</w:t>
      </w:r>
      <w:bookmarkEnd w:id="16"/>
    </w:p>
    <w:p w14:paraId="64F7D151" w14:textId="60A8FDCB" w:rsidR="002005D7" w:rsidRPr="00E66504" w:rsidRDefault="009E00DF" w:rsidP="00E66504">
      <w:pPr>
        <w:pStyle w:val="Para0"/>
        <w:spacing w:after="120" w:line="240" w:lineRule="auto"/>
        <w:rPr>
          <w:rFonts w:ascii="Century Gothic" w:hAnsi="Century Gothic"/>
          <w:color w:val="auto"/>
        </w:rPr>
      </w:pPr>
      <w:r w:rsidRPr="00E66504">
        <w:rPr>
          <w:rFonts w:ascii="Century Gothic" w:hAnsi="Century Gothic"/>
          <w:color w:val="auto"/>
        </w:rPr>
        <w:t>The C</w:t>
      </w:r>
      <w:r w:rsidR="00C5747B" w:rsidRPr="00E66504">
        <w:rPr>
          <w:rFonts w:ascii="Century Gothic" w:hAnsi="Century Gothic"/>
          <w:color w:val="auto"/>
        </w:rPr>
        <w:t xml:space="preserve">ommonwealth </w:t>
      </w:r>
      <w:r w:rsidRPr="00E66504">
        <w:rPr>
          <w:rFonts w:ascii="Century Gothic" w:hAnsi="Century Gothic"/>
          <w:color w:val="auto"/>
        </w:rPr>
        <w:t>E</w:t>
      </w:r>
      <w:r w:rsidR="00C5747B" w:rsidRPr="00E66504">
        <w:rPr>
          <w:rFonts w:ascii="Century Gothic" w:hAnsi="Century Gothic"/>
          <w:color w:val="auto"/>
        </w:rPr>
        <w:t xml:space="preserve">nvironmental </w:t>
      </w:r>
      <w:r w:rsidRPr="00E66504">
        <w:rPr>
          <w:rFonts w:ascii="Century Gothic" w:hAnsi="Century Gothic"/>
          <w:color w:val="auto"/>
        </w:rPr>
        <w:t>W</w:t>
      </w:r>
      <w:r w:rsidR="00C5747B" w:rsidRPr="00E66504">
        <w:rPr>
          <w:rFonts w:ascii="Century Gothic" w:hAnsi="Century Gothic"/>
          <w:color w:val="auto"/>
        </w:rPr>
        <w:t xml:space="preserve">ater </w:t>
      </w:r>
      <w:r w:rsidRPr="00E66504">
        <w:rPr>
          <w:rFonts w:ascii="Century Gothic" w:hAnsi="Century Gothic"/>
          <w:color w:val="auto"/>
        </w:rPr>
        <w:t>H</w:t>
      </w:r>
      <w:r w:rsidR="00C5747B" w:rsidRPr="00E66504">
        <w:rPr>
          <w:rFonts w:ascii="Century Gothic" w:hAnsi="Century Gothic"/>
          <w:color w:val="auto"/>
        </w:rPr>
        <w:t>older</w:t>
      </w:r>
      <w:r w:rsidRPr="00E66504">
        <w:rPr>
          <w:rFonts w:ascii="Century Gothic" w:hAnsi="Century Gothic"/>
          <w:color w:val="auto"/>
        </w:rPr>
        <w:t xml:space="preserve"> engages in a number of ways with</w:t>
      </w:r>
      <w:r w:rsidR="00F17791">
        <w:rPr>
          <w:rFonts w:ascii="Century Gothic" w:hAnsi="Century Gothic"/>
          <w:color w:val="auto"/>
        </w:rPr>
        <w:t xml:space="preserve"> First </w:t>
      </w:r>
      <w:r w:rsidRPr="00E66504">
        <w:rPr>
          <w:rFonts w:ascii="Century Gothic" w:hAnsi="Century Gothic"/>
          <w:color w:val="auto"/>
        </w:rPr>
        <w:t xml:space="preserve">Nations in recognition of the cultural importance of the Basin to Indigenous people. This is </w:t>
      </w:r>
      <w:r w:rsidR="002C7230" w:rsidRPr="00E66504">
        <w:rPr>
          <w:rFonts w:ascii="Century Gothic" w:hAnsi="Century Gothic"/>
          <w:color w:val="auto"/>
        </w:rPr>
        <w:t xml:space="preserve">of particular </w:t>
      </w:r>
      <w:r w:rsidRPr="00E66504">
        <w:rPr>
          <w:rFonts w:ascii="Century Gothic" w:hAnsi="Century Gothic"/>
          <w:color w:val="auto"/>
        </w:rPr>
        <w:t>importan</w:t>
      </w:r>
      <w:r w:rsidR="002C7230" w:rsidRPr="00E66504">
        <w:rPr>
          <w:rFonts w:ascii="Century Gothic" w:hAnsi="Century Gothic"/>
          <w:color w:val="auto"/>
        </w:rPr>
        <w:t>ce</w:t>
      </w:r>
      <w:r w:rsidRPr="00E66504">
        <w:rPr>
          <w:rFonts w:ascii="Century Gothic" w:hAnsi="Century Gothic"/>
          <w:color w:val="auto"/>
        </w:rPr>
        <w:t xml:space="preserve"> given the </w:t>
      </w:r>
      <w:r w:rsidR="00C5747B" w:rsidRPr="00E66504">
        <w:rPr>
          <w:rFonts w:ascii="Century Gothic" w:hAnsi="Century Gothic"/>
          <w:color w:val="auto"/>
        </w:rPr>
        <w:t xml:space="preserve">assurance </w:t>
      </w:r>
      <w:r w:rsidRPr="00E66504">
        <w:rPr>
          <w:rFonts w:ascii="Century Gothic" w:hAnsi="Century Gothic"/>
          <w:color w:val="auto"/>
        </w:rPr>
        <w:t>by Basin Ministers</w:t>
      </w:r>
      <w:r w:rsidR="00C5747B" w:rsidRPr="00E66504">
        <w:rPr>
          <w:rFonts w:ascii="Century Gothic" w:hAnsi="Century Gothic"/>
          <w:color w:val="auto"/>
        </w:rPr>
        <w:t xml:space="preserve"> that t</w:t>
      </w:r>
      <w:r w:rsidR="00D338A4" w:rsidRPr="00E66504">
        <w:rPr>
          <w:rFonts w:ascii="Century Gothic" w:hAnsi="Century Gothic"/>
          <w:color w:val="auto"/>
        </w:rPr>
        <w:t xml:space="preserve">he CEWH </w:t>
      </w:r>
      <w:r w:rsidR="00C5747B" w:rsidRPr="00E66504">
        <w:rPr>
          <w:rFonts w:ascii="Century Gothic" w:hAnsi="Century Gothic"/>
          <w:color w:val="auto"/>
        </w:rPr>
        <w:t>will</w:t>
      </w:r>
      <w:r w:rsidR="00D338A4" w:rsidRPr="00E66504">
        <w:rPr>
          <w:rFonts w:ascii="Century Gothic" w:hAnsi="Century Gothic"/>
          <w:color w:val="auto"/>
        </w:rPr>
        <w:t xml:space="preserve"> </w:t>
      </w:r>
      <w:r w:rsidRPr="00E66504">
        <w:rPr>
          <w:rFonts w:ascii="Century Gothic" w:hAnsi="Century Gothic"/>
          <w:color w:val="auto"/>
        </w:rPr>
        <w:t xml:space="preserve">improve </w:t>
      </w:r>
      <w:r w:rsidR="00D338A4" w:rsidRPr="00E66504">
        <w:rPr>
          <w:rFonts w:ascii="Century Gothic" w:hAnsi="Century Gothic"/>
          <w:color w:val="auto"/>
        </w:rPr>
        <w:t xml:space="preserve">engagement with </w:t>
      </w:r>
      <w:r w:rsidR="00F17791">
        <w:rPr>
          <w:rFonts w:ascii="Century Gothic" w:hAnsi="Century Gothic"/>
          <w:color w:val="auto"/>
        </w:rPr>
        <w:t>I</w:t>
      </w:r>
      <w:r w:rsidR="00D338A4" w:rsidRPr="00E66504">
        <w:rPr>
          <w:rFonts w:ascii="Century Gothic" w:hAnsi="Century Gothic"/>
          <w:color w:val="auto"/>
        </w:rPr>
        <w:t>ndigenous communities on decisions underpinning the beneficial use of environmental water</w:t>
      </w:r>
      <w:r w:rsidR="002005D7" w:rsidRPr="00E66504">
        <w:rPr>
          <w:rFonts w:ascii="Century Gothic" w:hAnsi="Century Gothic"/>
          <w:color w:val="auto"/>
        </w:rPr>
        <w:t>. Further to this, in delivering environmental water to achieve legislated environmental outcomes, the CEWH is legally obligated to have “regard to Indigenous values when it undertakes environmental watering”.</w:t>
      </w:r>
    </w:p>
    <w:p w14:paraId="27E5668D" w14:textId="519298BA" w:rsidR="009E00DF" w:rsidRPr="00E66504" w:rsidRDefault="009E00DF" w:rsidP="00E66504">
      <w:pPr>
        <w:pStyle w:val="Para0"/>
        <w:spacing w:after="120" w:line="240" w:lineRule="auto"/>
        <w:rPr>
          <w:rFonts w:ascii="Century Gothic" w:hAnsi="Century Gothic"/>
          <w:color w:val="auto"/>
        </w:rPr>
      </w:pPr>
      <w:r w:rsidRPr="00E66504">
        <w:rPr>
          <w:rFonts w:ascii="Century Gothic" w:hAnsi="Century Gothic"/>
          <w:color w:val="auto"/>
        </w:rPr>
        <w:t xml:space="preserve">We work directly with </w:t>
      </w:r>
      <w:r w:rsidR="00F17791">
        <w:rPr>
          <w:rFonts w:ascii="Century Gothic" w:hAnsi="Century Gothic"/>
          <w:color w:val="auto"/>
        </w:rPr>
        <w:t xml:space="preserve">First Nation </w:t>
      </w:r>
      <w:r w:rsidRPr="00E66504">
        <w:rPr>
          <w:rFonts w:ascii="Century Gothic" w:hAnsi="Century Gothic"/>
          <w:color w:val="auto"/>
        </w:rPr>
        <w:t xml:space="preserve">peoples from across the Basin including the Ngarrindjeri Regional Authority, the Tar-Ru Lands Board of Management, the Nari Nari people at Toogimbie Indigenous Protected Area and the Ngiyampaa Wayilwan people in the planning and delivery of Commonwealth environmental water. </w:t>
      </w:r>
    </w:p>
    <w:p w14:paraId="269BF848" w14:textId="6038BCC0" w:rsidR="009E00DF" w:rsidRPr="00E66504" w:rsidRDefault="009E00DF" w:rsidP="00E66504">
      <w:pPr>
        <w:pStyle w:val="Para0"/>
        <w:spacing w:after="120" w:line="240" w:lineRule="auto"/>
        <w:rPr>
          <w:rFonts w:ascii="Century Gothic" w:hAnsi="Century Gothic"/>
          <w:color w:val="auto"/>
        </w:rPr>
      </w:pPr>
      <w:r w:rsidRPr="00E66504">
        <w:rPr>
          <w:rFonts w:ascii="Century Gothic" w:hAnsi="Century Gothic"/>
          <w:color w:val="auto"/>
        </w:rPr>
        <w:t xml:space="preserve">The CEWH established a formal partnership agreement with the Ngarrindjeri Regional Authority in South Australiain November 2015. This agreement includes engagement protocols and agreed processes for the Ngarrindjeri Regional Authority to put forward environmental watering proposals that achieve mutual benefits for wetlands in the lower River Murray region. </w:t>
      </w:r>
    </w:p>
    <w:p w14:paraId="6C6500D1" w14:textId="77777777" w:rsidR="007A7A94" w:rsidRDefault="007A7A94">
      <w:pPr>
        <w:pStyle w:val="Para0"/>
        <w:spacing w:after="120" w:line="240" w:lineRule="auto"/>
        <w:jc w:val="left"/>
        <w:rPr>
          <w:rFonts w:ascii="Century Gothic" w:hAnsi="Century Gothic"/>
          <w:color w:val="auto"/>
        </w:rPr>
      </w:pPr>
    </w:p>
    <w:p w14:paraId="6C6500D2" w14:textId="77777777" w:rsidR="00D86FAA" w:rsidRDefault="00D86FAA">
      <w:pPr>
        <w:spacing w:after="0"/>
        <w:jc w:val="left"/>
        <w:rPr>
          <w:b/>
          <w:color w:val="5F497A" w:themeColor="accent4" w:themeShade="BF"/>
          <w:sz w:val="40"/>
          <w:szCs w:val="40"/>
          <w:lang w:val="en-GB" w:eastAsia="en-US"/>
        </w:rPr>
      </w:pPr>
      <w:r>
        <w:br w:type="page"/>
      </w:r>
    </w:p>
    <w:p w14:paraId="6C6500D3" w14:textId="3C9CB611" w:rsidR="007A7A94" w:rsidRDefault="00995707">
      <w:pPr>
        <w:pStyle w:val="Heading11"/>
        <w:spacing w:before="0" w:after="120"/>
      </w:pPr>
      <w:bookmarkStart w:id="17" w:name="_Toc517264643"/>
      <w:r w:rsidRPr="00560998">
        <w:t>Supporting multiple outcomes</w:t>
      </w:r>
      <w:bookmarkEnd w:id="17"/>
    </w:p>
    <w:p w14:paraId="6C6500D4" w14:textId="425671A9" w:rsidR="00B17604" w:rsidRDefault="00675265">
      <w:pPr>
        <w:pStyle w:val="Para0"/>
        <w:spacing w:after="120" w:line="240" w:lineRule="auto"/>
        <w:rPr>
          <w:rFonts w:ascii="Century Gothic" w:hAnsi="Century Gothic"/>
          <w:color w:val="auto"/>
        </w:rPr>
      </w:pPr>
      <w:r w:rsidRPr="00BE31EB">
        <w:rPr>
          <w:rFonts w:ascii="Century Gothic" w:hAnsi="Century Gothic"/>
          <w:color w:val="auto"/>
        </w:rPr>
        <w:t>While the primary purpose of any Commonwealth environmental watering action is to achieve environmental outcomes, there are also opportunities to support complementary social, cultural and economic outcomes.</w:t>
      </w:r>
      <w:r w:rsidR="000E5012">
        <w:rPr>
          <w:rFonts w:ascii="Century Gothic" w:hAnsi="Century Gothic"/>
          <w:color w:val="auto"/>
        </w:rPr>
        <w:t xml:space="preserve"> </w:t>
      </w:r>
      <w:r w:rsidRPr="00BE31EB">
        <w:rPr>
          <w:rFonts w:ascii="Century Gothic" w:hAnsi="Century Gothic"/>
          <w:color w:val="auto"/>
        </w:rPr>
        <w:t xml:space="preserve">Providing environmental water to rivers, wetlands and floodplains can support recreational and tourism activities (such as fishing, birdwatching, boating/kayaking and camping), improve water quality and create a more sustainable environment to underpin commercial activities. In planning environmental watering actions, the </w:t>
      </w:r>
      <w:r w:rsidR="00857534">
        <w:rPr>
          <w:rFonts w:ascii="Century Gothic" w:hAnsi="Century Gothic"/>
          <w:color w:val="auto"/>
        </w:rPr>
        <w:t>Commonwealth Environmental Water Office</w:t>
      </w:r>
      <w:r w:rsidRPr="00BE31EB">
        <w:rPr>
          <w:rFonts w:ascii="Century Gothic" w:hAnsi="Century Gothic"/>
          <w:color w:val="auto"/>
        </w:rPr>
        <w:t xml:space="preserve"> welcomes </w:t>
      </w:r>
      <w:r w:rsidR="003F2E8F" w:rsidRPr="00BE31EB">
        <w:rPr>
          <w:rFonts w:ascii="Century Gothic" w:hAnsi="Century Gothic"/>
          <w:color w:val="auto"/>
        </w:rPr>
        <w:t>ideas and advice</w:t>
      </w:r>
      <w:r w:rsidR="003F2E8F">
        <w:rPr>
          <w:rFonts w:ascii="Century Gothic" w:hAnsi="Century Gothic"/>
          <w:color w:val="auto"/>
        </w:rPr>
        <w:t xml:space="preserve"> from</w:t>
      </w:r>
      <w:r w:rsidR="003F2E8F" w:rsidRPr="00BE31EB">
        <w:rPr>
          <w:rFonts w:ascii="Century Gothic" w:hAnsi="Century Gothic"/>
          <w:color w:val="auto"/>
        </w:rPr>
        <w:t xml:space="preserve"> </w:t>
      </w:r>
      <w:r w:rsidRPr="00BE31EB">
        <w:rPr>
          <w:rFonts w:ascii="Century Gothic" w:hAnsi="Century Gothic"/>
          <w:color w:val="auto"/>
        </w:rPr>
        <w:t>local community groups and local governments on opportunities for achieving complementary social and economic outcomes. This could include providing information on important local wetlands, recreational activities or tourism events.</w:t>
      </w:r>
    </w:p>
    <w:p w14:paraId="6C6500D5" w14:textId="2A0277DD" w:rsidR="007A7A94" w:rsidRDefault="000E3C60">
      <w:pPr>
        <w:pStyle w:val="Heading11"/>
        <w:numPr>
          <w:ilvl w:val="2"/>
          <w:numId w:val="66"/>
        </w:numPr>
        <w:spacing w:before="0" w:after="120"/>
        <w:ind w:left="1418" w:hanging="704"/>
        <w:rPr>
          <w:rFonts w:ascii="Century Gothic" w:hAnsi="Century Gothic" w:cs="Arial"/>
          <w:sz w:val="24"/>
          <w:szCs w:val="24"/>
        </w:rPr>
      </w:pPr>
      <w:bookmarkStart w:id="18" w:name="_Toc517264644"/>
      <w:r w:rsidRPr="000E3C60">
        <w:rPr>
          <w:rFonts w:ascii="Century Gothic" w:hAnsi="Century Gothic" w:cs="Arial"/>
          <w:sz w:val="24"/>
          <w:szCs w:val="24"/>
        </w:rPr>
        <w:t>Aboriginal cultural outcomes</w:t>
      </w:r>
      <w:bookmarkEnd w:id="18"/>
    </w:p>
    <w:p w14:paraId="6C6500D6" w14:textId="7913F7C1" w:rsidR="00B17604" w:rsidRDefault="00675265">
      <w:pPr>
        <w:pStyle w:val="Para0"/>
        <w:spacing w:after="120" w:line="240" w:lineRule="auto"/>
        <w:rPr>
          <w:rFonts w:ascii="Century Gothic" w:hAnsi="Century Gothic"/>
          <w:color w:val="auto"/>
        </w:rPr>
      </w:pPr>
      <w:r w:rsidRPr="00BE31EB">
        <w:rPr>
          <w:rFonts w:ascii="Century Gothic" w:hAnsi="Century Gothic"/>
          <w:color w:val="auto"/>
        </w:rPr>
        <w:t>The Office recogn</w:t>
      </w:r>
      <w:r w:rsidR="00547AD8">
        <w:rPr>
          <w:rFonts w:ascii="Century Gothic" w:hAnsi="Century Gothic"/>
          <w:color w:val="auto"/>
        </w:rPr>
        <w:t>ises and acknowledges that the T</w:t>
      </w:r>
      <w:r w:rsidRPr="00BE31EB">
        <w:rPr>
          <w:rFonts w:ascii="Century Gothic" w:hAnsi="Century Gothic"/>
          <w:color w:val="auto"/>
        </w:rPr>
        <w:t xml:space="preserve">raditional </w:t>
      </w:r>
      <w:r w:rsidR="00547AD8">
        <w:rPr>
          <w:rFonts w:ascii="Century Gothic" w:hAnsi="Century Gothic"/>
          <w:color w:val="auto"/>
        </w:rPr>
        <w:t>O</w:t>
      </w:r>
      <w:r w:rsidRPr="00BE31EB">
        <w:rPr>
          <w:rFonts w:ascii="Century Gothic" w:hAnsi="Century Gothic"/>
          <w:color w:val="auto"/>
        </w:rPr>
        <w:t xml:space="preserve">wners and their Nations in the </w:t>
      </w:r>
      <w:r w:rsidR="00BE4223">
        <w:rPr>
          <w:rFonts w:ascii="Century Gothic" w:hAnsi="Century Gothic"/>
          <w:color w:val="auto"/>
        </w:rPr>
        <w:t>Murray-Darling</w:t>
      </w:r>
      <w:r w:rsidRPr="00BE31EB">
        <w:rPr>
          <w:rFonts w:ascii="Century Gothic" w:hAnsi="Century Gothic"/>
          <w:color w:val="auto"/>
        </w:rPr>
        <w:t xml:space="preserve"> Basin have a deep cultural, social, environmental, spiritual and economic connection to their lands and waters. The concept of cultural flows has been developed to help translate this complex relationship into the language of water planning and management. The Northern </w:t>
      </w:r>
      <w:r w:rsidR="00BE4223">
        <w:rPr>
          <w:rFonts w:ascii="Century Gothic" w:hAnsi="Century Gothic"/>
          <w:color w:val="auto"/>
        </w:rPr>
        <w:t>Murray-Darling</w:t>
      </w:r>
      <w:r w:rsidRPr="00BE31EB">
        <w:rPr>
          <w:rFonts w:ascii="Century Gothic" w:hAnsi="Century Gothic"/>
          <w:color w:val="auto"/>
        </w:rPr>
        <w:t xml:space="preserve"> Basin Aboriginal Nations and the Murray Lower Darling Rivers Indigenous Nations have adopted the following definition of cultural flows: “Water entitlements that are legally and beneficially owned by the Indigenous Nations and are of sufficient and adequate quantity to improve the spiritual, cultural, environmental, social and economic conditions of those Indigenous Nations. This is our inherent right”</w:t>
      </w:r>
      <w:r w:rsidRPr="00BE31EB">
        <w:rPr>
          <w:rStyle w:val="FootnoteReference"/>
          <w:rFonts w:ascii="Century Gothic" w:hAnsi="Century Gothic"/>
          <w:color w:val="auto"/>
        </w:rPr>
        <w:footnoteReference w:id="1"/>
      </w:r>
      <w:r w:rsidRPr="00BE31EB">
        <w:rPr>
          <w:rFonts w:ascii="Century Gothic" w:hAnsi="Century Gothic"/>
          <w:color w:val="auto"/>
        </w:rPr>
        <w:t xml:space="preserve">. </w:t>
      </w:r>
    </w:p>
    <w:p w14:paraId="6C6500D7" w14:textId="285E1BA4" w:rsidR="00B17604" w:rsidRDefault="00675265">
      <w:pPr>
        <w:pStyle w:val="Para0"/>
        <w:spacing w:after="120" w:line="240" w:lineRule="auto"/>
        <w:rPr>
          <w:rFonts w:ascii="Century Gothic" w:hAnsi="Century Gothic"/>
          <w:color w:val="auto"/>
        </w:rPr>
      </w:pPr>
      <w:r w:rsidRPr="00BE31EB">
        <w:rPr>
          <w:rFonts w:ascii="Century Gothic" w:hAnsi="Century Gothic"/>
          <w:color w:val="auto"/>
        </w:rPr>
        <w:t xml:space="preserve">While environmental flows are not cultural flows, there are opportunities to support complementary cultural outcomes through environmental water use. For this reason, the </w:t>
      </w:r>
      <w:r w:rsidR="00857534">
        <w:rPr>
          <w:rFonts w:ascii="Century Gothic" w:hAnsi="Century Gothic"/>
          <w:color w:val="auto"/>
        </w:rPr>
        <w:t>Commonwealth Environmental Water Office</w:t>
      </w:r>
      <w:r w:rsidRPr="00BE31EB">
        <w:rPr>
          <w:rFonts w:ascii="Century Gothic" w:hAnsi="Century Gothic"/>
          <w:color w:val="auto"/>
        </w:rPr>
        <w:t xml:space="preserve"> engages with </w:t>
      </w:r>
      <w:r w:rsidR="00547AD8">
        <w:rPr>
          <w:rFonts w:ascii="Century Gothic" w:hAnsi="Century Gothic"/>
          <w:color w:val="auto"/>
        </w:rPr>
        <w:t>First N</w:t>
      </w:r>
      <w:r w:rsidRPr="00BE31EB">
        <w:rPr>
          <w:rFonts w:ascii="Century Gothic" w:hAnsi="Century Gothic"/>
          <w:color w:val="auto"/>
        </w:rPr>
        <w:t xml:space="preserve">ations to identify such opportunities and welcomes interested communities or organisations bringing forward proposals. </w:t>
      </w:r>
    </w:p>
    <w:p w14:paraId="6C6500D8" w14:textId="3F93D99C" w:rsidR="007A7A94" w:rsidRDefault="000E3C60">
      <w:pPr>
        <w:pStyle w:val="Heading11"/>
        <w:numPr>
          <w:ilvl w:val="2"/>
          <w:numId w:val="66"/>
        </w:numPr>
        <w:spacing w:before="0" w:after="120"/>
        <w:ind w:left="1418" w:hanging="704"/>
        <w:rPr>
          <w:rFonts w:ascii="Century Gothic" w:hAnsi="Century Gothic" w:cs="Arial"/>
          <w:sz w:val="24"/>
          <w:szCs w:val="24"/>
        </w:rPr>
      </w:pPr>
      <w:bookmarkStart w:id="19" w:name="_Toc517264645"/>
      <w:r w:rsidRPr="000E3C60">
        <w:rPr>
          <w:rFonts w:ascii="Century Gothic" w:hAnsi="Century Gothic" w:cs="Arial"/>
          <w:sz w:val="24"/>
          <w:szCs w:val="24"/>
        </w:rPr>
        <w:t>Benefits to other water users</w:t>
      </w:r>
      <w:bookmarkEnd w:id="19"/>
    </w:p>
    <w:p w14:paraId="6C6500D9" w14:textId="77777777" w:rsidR="00B17604" w:rsidRDefault="003F2E8F">
      <w:pPr>
        <w:pStyle w:val="ListBullet"/>
        <w:numPr>
          <w:ilvl w:val="0"/>
          <w:numId w:val="0"/>
        </w:numPr>
        <w:spacing w:after="120"/>
        <w:rPr>
          <w:rFonts w:ascii="Century Gothic" w:hAnsi="Century Gothic"/>
        </w:rPr>
      </w:pPr>
      <w:r w:rsidRPr="003F2E8F">
        <w:rPr>
          <w:rFonts w:ascii="Century Gothic" w:hAnsi="Century Gothic"/>
        </w:rPr>
        <w:t>Environmental water is often delivered in response to natural triggers, such as naturally occurring flow events. This means the timing of environmental water is often different from the timing of irrigation deliveries</w:t>
      </w:r>
      <w:r w:rsidR="00693AE8">
        <w:rPr>
          <w:rFonts w:ascii="Century Gothic" w:hAnsi="Century Gothic"/>
        </w:rPr>
        <w:t>, which can have benefits for other water users</w:t>
      </w:r>
      <w:r w:rsidRPr="003F2E8F">
        <w:rPr>
          <w:rFonts w:ascii="Century Gothic" w:hAnsi="Century Gothic"/>
        </w:rPr>
        <w:t xml:space="preserve">. </w:t>
      </w:r>
    </w:p>
    <w:p w14:paraId="6C6500DA" w14:textId="77777777" w:rsidR="00B17604" w:rsidRDefault="00693AE8">
      <w:pPr>
        <w:pStyle w:val="ListBullet"/>
        <w:numPr>
          <w:ilvl w:val="0"/>
          <w:numId w:val="0"/>
        </w:numPr>
        <w:spacing w:after="120"/>
        <w:rPr>
          <w:rFonts w:ascii="Century Gothic" w:hAnsi="Century Gothic"/>
        </w:rPr>
      </w:pPr>
      <w:r>
        <w:rPr>
          <w:rFonts w:ascii="Century Gothic" w:hAnsi="Century Gothic"/>
        </w:rPr>
        <w:t>For example, i</w:t>
      </w:r>
      <w:r w:rsidR="003F2E8F" w:rsidRPr="003F2E8F">
        <w:rPr>
          <w:rFonts w:ascii="Century Gothic" w:hAnsi="Century Gothic"/>
        </w:rPr>
        <w:t>n the southern Basin</w:t>
      </w:r>
      <w:r>
        <w:rPr>
          <w:rFonts w:ascii="Century Gothic" w:hAnsi="Century Gothic"/>
        </w:rPr>
        <w:t>,</w:t>
      </w:r>
      <w:r w:rsidR="003F2E8F" w:rsidRPr="003F2E8F">
        <w:rPr>
          <w:rFonts w:ascii="Century Gothic" w:hAnsi="Century Gothic"/>
        </w:rPr>
        <w:t xml:space="preserve"> significant volumes are delivered in winter and spring, prior to the start of the irrigation season.</w:t>
      </w:r>
      <w:r>
        <w:rPr>
          <w:rFonts w:ascii="Century Gothic" w:hAnsi="Century Gothic"/>
        </w:rPr>
        <w:t xml:space="preserve"> </w:t>
      </w:r>
      <w:r w:rsidR="002B6A9C" w:rsidRPr="00903D3B">
        <w:rPr>
          <w:rFonts w:ascii="Century Gothic" w:hAnsi="Century Gothic"/>
        </w:rPr>
        <w:t>While environmental water is delivered in winter and spring for environmental outcomes, it also provides benefits for other water users</w:t>
      </w:r>
      <w:r>
        <w:rPr>
          <w:rFonts w:ascii="Century Gothic" w:hAnsi="Century Gothic"/>
        </w:rPr>
        <w:t>, including</w:t>
      </w:r>
      <w:r w:rsidR="002B6A9C" w:rsidRPr="00903D3B">
        <w:rPr>
          <w:rFonts w:ascii="Century Gothic" w:hAnsi="Century Gothic"/>
        </w:rPr>
        <w:t>:</w:t>
      </w:r>
    </w:p>
    <w:p w14:paraId="6C6500DB" w14:textId="77777777" w:rsidR="00B17604" w:rsidRDefault="002B6A9C">
      <w:pPr>
        <w:pStyle w:val="ListBullet"/>
        <w:spacing w:after="120"/>
        <w:rPr>
          <w:rFonts w:ascii="Century Gothic" w:hAnsi="Century Gothic"/>
        </w:rPr>
      </w:pPr>
      <w:r w:rsidRPr="00903D3B">
        <w:rPr>
          <w:rFonts w:ascii="Century Gothic" w:hAnsi="Century Gothic"/>
        </w:rPr>
        <w:t>increas</w:t>
      </w:r>
      <w:r w:rsidR="00693AE8">
        <w:rPr>
          <w:rFonts w:ascii="Century Gothic" w:hAnsi="Century Gothic"/>
        </w:rPr>
        <w:t>ing</w:t>
      </w:r>
      <w:r w:rsidRPr="00903D3B">
        <w:rPr>
          <w:rFonts w:ascii="Century Gothic" w:hAnsi="Century Gothic"/>
        </w:rPr>
        <w:t xml:space="preserve"> the free space in dams available to capture inflows. This in-turn increases the availability of water for other water users. Preliminary modelling indicates early water delivery in the River Murray is expected to benefit water users in all states (New South Wales</w:t>
      </w:r>
      <w:r w:rsidR="007503FA">
        <w:rPr>
          <w:rFonts w:ascii="Century Gothic" w:hAnsi="Century Gothic"/>
        </w:rPr>
        <w:t>, South Australia and Victoria)</w:t>
      </w:r>
      <w:r w:rsidRPr="00903D3B">
        <w:rPr>
          <w:rFonts w:ascii="Century Gothic" w:hAnsi="Century Gothic"/>
        </w:rPr>
        <w:t xml:space="preserve"> </w:t>
      </w:r>
    </w:p>
    <w:p w14:paraId="6C6500DC" w14:textId="77777777" w:rsidR="00B17604" w:rsidRDefault="002B6A9C">
      <w:pPr>
        <w:pStyle w:val="ListBullet"/>
        <w:spacing w:after="120"/>
        <w:rPr>
          <w:rFonts w:ascii="Century Gothic" w:hAnsi="Century Gothic"/>
        </w:rPr>
      </w:pPr>
      <w:r w:rsidRPr="00903D3B">
        <w:rPr>
          <w:rFonts w:ascii="Century Gothic" w:hAnsi="Century Gothic"/>
        </w:rPr>
        <w:t>reduc</w:t>
      </w:r>
      <w:r w:rsidR="00693AE8">
        <w:rPr>
          <w:rFonts w:ascii="Century Gothic" w:hAnsi="Century Gothic"/>
        </w:rPr>
        <w:t>ing</w:t>
      </w:r>
      <w:r w:rsidRPr="00903D3B">
        <w:rPr>
          <w:rFonts w:ascii="Century Gothic" w:hAnsi="Century Gothic"/>
        </w:rPr>
        <w:t xml:space="preserve"> water losses in the system under standard river operations, resulting in improvements in state water resource shares</w:t>
      </w:r>
    </w:p>
    <w:p w14:paraId="6C6500DD" w14:textId="77777777" w:rsidR="00B17604" w:rsidRDefault="002B6A9C">
      <w:pPr>
        <w:pStyle w:val="ListBullet"/>
        <w:spacing w:after="120"/>
        <w:rPr>
          <w:rFonts w:ascii="Century Gothic" w:hAnsi="Century Gothic"/>
        </w:rPr>
      </w:pPr>
      <w:r w:rsidRPr="00903D3B">
        <w:rPr>
          <w:rFonts w:ascii="Century Gothic" w:hAnsi="Century Gothic"/>
        </w:rPr>
        <w:t>reduc</w:t>
      </w:r>
      <w:r w:rsidR="00693AE8">
        <w:rPr>
          <w:rFonts w:ascii="Century Gothic" w:hAnsi="Century Gothic"/>
        </w:rPr>
        <w:t>ing</w:t>
      </w:r>
      <w:r w:rsidRPr="00903D3B">
        <w:rPr>
          <w:rFonts w:ascii="Century Gothic" w:hAnsi="Century Gothic"/>
        </w:rPr>
        <w:t xml:space="preserve"> competition for channel capacity during periods of peak agricultural demands. </w:t>
      </w:r>
    </w:p>
    <w:p w14:paraId="6C6500DE" w14:textId="734A456D" w:rsidR="007A7A94" w:rsidRDefault="00F00169">
      <w:pPr>
        <w:pStyle w:val="Heading11"/>
        <w:spacing w:before="0" w:after="120"/>
      </w:pPr>
      <w:bookmarkStart w:id="20" w:name="_Toc444088369"/>
      <w:bookmarkStart w:id="21" w:name="_Toc444088428"/>
      <w:bookmarkStart w:id="22" w:name="_Toc444088523"/>
      <w:bookmarkStart w:id="23" w:name="_Toc444088585"/>
      <w:bookmarkStart w:id="24" w:name="_Toc444091202"/>
      <w:bookmarkStart w:id="25" w:name="_Toc444091319"/>
      <w:bookmarkStart w:id="26" w:name="_Toc444091479"/>
      <w:bookmarkStart w:id="27" w:name="_Toc444247145"/>
      <w:bookmarkStart w:id="28" w:name="_Toc444247373"/>
      <w:bookmarkStart w:id="29" w:name="_Toc444258376"/>
      <w:bookmarkStart w:id="30" w:name="_Toc444259168"/>
      <w:bookmarkStart w:id="31" w:name="_Toc517264646"/>
      <w:bookmarkEnd w:id="20"/>
      <w:bookmarkEnd w:id="21"/>
      <w:bookmarkEnd w:id="22"/>
      <w:bookmarkEnd w:id="23"/>
      <w:bookmarkEnd w:id="24"/>
      <w:bookmarkEnd w:id="25"/>
      <w:bookmarkEnd w:id="26"/>
      <w:bookmarkEnd w:id="27"/>
      <w:bookmarkEnd w:id="28"/>
      <w:bookmarkEnd w:id="29"/>
      <w:bookmarkEnd w:id="30"/>
      <w:r w:rsidRPr="00560998">
        <w:t>Contact information</w:t>
      </w:r>
      <w:bookmarkEnd w:id="31"/>
    </w:p>
    <w:p w14:paraId="6C6500DF" w14:textId="0925020C" w:rsidR="00B17604" w:rsidRDefault="005A53D7">
      <w:pPr>
        <w:autoSpaceDE w:val="0"/>
        <w:autoSpaceDN w:val="0"/>
        <w:adjustRightInd w:val="0"/>
        <w:spacing w:after="120"/>
        <w:rPr>
          <w:rFonts w:ascii="Century Gothic" w:eastAsia="Calibri" w:hAnsi="Century Gothic" w:cs="Century Gothic"/>
          <w:color w:val="000000"/>
        </w:rPr>
      </w:pPr>
      <w:r w:rsidRPr="005A53D7">
        <w:rPr>
          <w:rFonts w:ascii="Century Gothic" w:eastAsia="Calibri" w:hAnsi="Century Gothic" w:cs="Century Gothic"/>
          <w:color w:val="000000"/>
        </w:rPr>
        <w:t xml:space="preserve">The </w:t>
      </w:r>
      <w:r w:rsidR="00857534">
        <w:rPr>
          <w:rFonts w:ascii="Century Gothic" w:eastAsia="Calibri" w:hAnsi="Century Gothic" w:cs="Century Gothic"/>
          <w:color w:val="000000"/>
        </w:rPr>
        <w:t>Commonwealth Environmental Water Office</w:t>
      </w:r>
      <w:r w:rsidRPr="005A53D7">
        <w:rPr>
          <w:rFonts w:ascii="Century Gothic" w:eastAsia="Calibri" w:hAnsi="Century Gothic" w:cs="Century Gothic"/>
          <w:color w:val="000000"/>
        </w:rPr>
        <w:t xml:space="preserve"> welcomes information from the community on how environmental water can best be managed. If you have any comments or suggestions, please call 1800 218 478 or send an email to: </w:t>
      </w:r>
      <w:hyperlink r:id="rId24" w:history="1">
        <w:r w:rsidR="00590E52" w:rsidRPr="003127F5">
          <w:rPr>
            <w:rStyle w:val="Hyperlink"/>
            <w:rFonts w:ascii="Century Gothic" w:eastAsia="Calibri" w:hAnsi="Century Gothic" w:cs="Century Gothic"/>
          </w:rPr>
          <w:t>ewater@environment.gov.au</w:t>
        </w:r>
      </w:hyperlink>
      <w:r w:rsidR="00326B4E" w:rsidRPr="000E3C60">
        <w:rPr>
          <w:rFonts w:ascii="Century Gothic" w:hAnsi="Century Gothic"/>
        </w:rPr>
        <w:t>.</w:t>
      </w:r>
      <w:r w:rsidRPr="005A53D7">
        <w:rPr>
          <w:rFonts w:ascii="Century Gothic" w:eastAsia="Calibri" w:hAnsi="Century Gothic" w:cs="Century Gothic"/>
          <w:color w:val="000000"/>
        </w:rPr>
        <w:t xml:space="preserve"> </w:t>
      </w:r>
    </w:p>
    <w:p w14:paraId="6C6500E0" w14:textId="1752E60C" w:rsidR="007A7A94" w:rsidRDefault="00995707">
      <w:pPr>
        <w:pStyle w:val="Heading1"/>
        <w:spacing w:after="120"/>
      </w:pPr>
      <w:r w:rsidRPr="00D93B8E">
        <w:rPr>
          <w:rFonts w:ascii="Century Gothic" w:hAnsi="Century Gothic"/>
          <w:noProof/>
          <w:szCs w:val="24"/>
        </w:rPr>
        <w:br w:type="page"/>
      </w:r>
      <w:bookmarkStart w:id="32" w:name="_Toc517264647"/>
      <w:r w:rsidR="00EC7032" w:rsidRPr="00EC7032">
        <w:t>Portfolio management planning</w:t>
      </w:r>
      <w:bookmarkEnd w:id="32"/>
    </w:p>
    <w:p w14:paraId="6C6500E1" w14:textId="3BEC231E" w:rsidR="007A7A94" w:rsidRDefault="00CF7C88">
      <w:pPr>
        <w:pStyle w:val="Heading11"/>
        <w:spacing w:before="0" w:after="120"/>
        <w:ind w:left="851" w:hanging="851"/>
      </w:pPr>
      <w:bookmarkStart w:id="33" w:name="_Toc444088372"/>
      <w:bookmarkStart w:id="34" w:name="_Toc444088431"/>
      <w:bookmarkStart w:id="35" w:name="_Toc444088526"/>
      <w:bookmarkStart w:id="36" w:name="_Toc444088588"/>
      <w:bookmarkStart w:id="37" w:name="_Toc444091205"/>
      <w:bookmarkStart w:id="38" w:name="_Toc444091322"/>
      <w:bookmarkStart w:id="39" w:name="_Toc444091482"/>
      <w:bookmarkStart w:id="40" w:name="_Toc444247376"/>
      <w:bookmarkStart w:id="41" w:name="_Toc444510319"/>
      <w:bookmarkStart w:id="42" w:name="_Toc444088373"/>
      <w:bookmarkStart w:id="43" w:name="_Toc444088432"/>
      <w:bookmarkStart w:id="44" w:name="_Toc444088527"/>
      <w:bookmarkStart w:id="45" w:name="_Toc444088589"/>
      <w:bookmarkStart w:id="46" w:name="_Toc444091206"/>
      <w:bookmarkStart w:id="47" w:name="_Toc444091323"/>
      <w:bookmarkStart w:id="48" w:name="_Toc444091483"/>
      <w:bookmarkStart w:id="49" w:name="_Toc444247377"/>
      <w:bookmarkStart w:id="50" w:name="_Toc444510320"/>
      <w:bookmarkStart w:id="51" w:name="_Toc444088374"/>
      <w:bookmarkStart w:id="52" w:name="_Toc444088433"/>
      <w:bookmarkStart w:id="53" w:name="_Toc444088528"/>
      <w:bookmarkStart w:id="54" w:name="_Toc444088590"/>
      <w:bookmarkStart w:id="55" w:name="_Toc444091207"/>
      <w:bookmarkStart w:id="56" w:name="_Toc444091324"/>
      <w:bookmarkStart w:id="57" w:name="_Toc444091484"/>
      <w:bookmarkStart w:id="58" w:name="_Toc444247378"/>
      <w:bookmarkStart w:id="59" w:name="_Toc444510321"/>
      <w:bookmarkStart w:id="60" w:name="_Toc444088375"/>
      <w:bookmarkStart w:id="61" w:name="_Toc444088434"/>
      <w:bookmarkStart w:id="62" w:name="_Toc444088529"/>
      <w:bookmarkStart w:id="63" w:name="_Toc444088591"/>
      <w:bookmarkStart w:id="64" w:name="_Toc444091208"/>
      <w:bookmarkStart w:id="65" w:name="_Toc444091325"/>
      <w:bookmarkStart w:id="66" w:name="_Toc444091485"/>
      <w:bookmarkStart w:id="67" w:name="_Toc444247379"/>
      <w:bookmarkStart w:id="68" w:name="_Toc444510322"/>
      <w:bookmarkStart w:id="69" w:name="_Toc444088376"/>
      <w:bookmarkStart w:id="70" w:name="_Toc444088435"/>
      <w:bookmarkStart w:id="71" w:name="_Toc444088530"/>
      <w:bookmarkStart w:id="72" w:name="_Toc444088592"/>
      <w:bookmarkStart w:id="73" w:name="_Toc444091209"/>
      <w:bookmarkStart w:id="74" w:name="_Toc444091326"/>
      <w:bookmarkStart w:id="75" w:name="_Toc444091486"/>
      <w:bookmarkStart w:id="76" w:name="_Toc444247380"/>
      <w:bookmarkStart w:id="77" w:name="_Toc444510323"/>
      <w:bookmarkStart w:id="78" w:name="_Toc444088377"/>
      <w:bookmarkStart w:id="79" w:name="_Toc444088436"/>
      <w:bookmarkStart w:id="80" w:name="_Toc444088531"/>
      <w:bookmarkStart w:id="81" w:name="_Toc444088593"/>
      <w:bookmarkStart w:id="82" w:name="_Toc444091210"/>
      <w:bookmarkStart w:id="83" w:name="_Toc444091327"/>
      <w:bookmarkStart w:id="84" w:name="_Toc444091487"/>
      <w:bookmarkStart w:id="85" w:name="_Toc444247381"/>
      <w:bookmarkStart w:id="86" w:name="_Toc444510324"/>
      <w:bookmarkStart w:id="87" w:name="_Toc444088378"/>
      <w:bookmarkStart w:id="88" w:name="_Toc444088437"/>
      <w:bookmarkStart w:id="89" w:name="_Toc444088532"/>
      <w:bookmarkStart w:id="90" w:name="_Toc444088594"/>
      <w:bookmarkStart w:id="91" w:name="_Toc444091211"/>
      <w:bookmarkStart w:id="92" w:name="_Toc444091328"/>
      <w:bookmarkStart w:id="93" w:name="_Toc444091488"/>
      <w:bookmarkStart w:id="94" w:name="_Toc444247382"/>
      <w:bookmarkStart w:id="95" w:name="_Toc444510325"/>
      <w:bookmarkStart w:id="96" w:name="_Toc444088379"/>
      <w:bookmarkStart w:id="97" w:name="_Toc444088438"/>
      <w:bookmarkStart w:id="98" w:name="_Toc444088533"/>
      <w:bookmarkStart w:id="99" w:name="_Toc444088595"/>
      <w:bookmarkStart w:id="100" w:name="_Toc444091212"/>
      <w:bookmarkStart w:id="101" w:name="_Toc444091329"/>
      <w:bookmarkStart w:id="102" w:name="_Toc444091489"/>
      <w:bookmarkStart w:id="103" w:name="_Toc444247383"/>
      <w:bookmarkStart w:id="104" w:name="_Toc444510326"/>
      <w:bookmarkStart w:id="105" w:name="_Toc420502887"/>
      <w:bookmarkStart w:id="106" w:name="_Toc420502926"/>
      <w:bookmarkStart w:id="107" w:name="_Toc420926927"/>
      <w:bookmarkStart w:id="108" w:name="_Toc422389610"/>
      <w:bookmarkStart w:id="109" w:name="_Toc444088380"/>
      <w:bookmarkStart w:id="110" w:name="_Toc444088439"/>
      <w:bookmarkStart w:id="111" w:name="_Toc444088534"/>
      <w:bookmarkStart w:id="112" w:name="_Toc444088596"/>
      <w:bookmarkStart w:id="113" w:name="_Toc444091213"/>
      <w:bookmarkStart w:id="114" w:name="_Toc444091330"/>
      <w:bookmarkStart w:id="115" w:name="_Toc444091490"/>
      <w:bookmarkStart w:id="116" w:name="_Toc444247156"/>
      <w:bookmarkStart w:id="117" w:name="_Toc444247384"/>
      <w:bookmarkStart w:id="118" w:name="_Toc444258379"/>
      <w:bookmarkStart w:id="119" w:name="_Toc444259171"/>
      <w:bookmarkStart w:id="120" w:name="_Toc444259172"/>
      <w:bookmarkStart w:id="121" w:name="_Toc517264648"/>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t>Management options</w:t>
      </w:r>
      <w:bookmarkEnd w:id="121"/>
    </w:p>
    <w:p w14:paraId="6C6500E2" w14:textId="77777777" w:rsidR="00B17604" w:rsidRDefault="00F930A4">
      <w:pPr>
        <w:spacing w:after="120"/>
        <w:rPr>
          <w:rFonts w:ascii="Century Gothic" w:hAnsi="Century Gothic"/>
        </w:rPr>
      </w:pPr>
      <w:r w:rsidRPr="00F930A4">
        <w:rPr>
          <w:rFonts w:ascii="Century Gothic" w:hAnsi="Century Gothic"/>
        </w:rPr>
        <w:t xml:space="preserve">The </w:t>
      </w:r>
      <w:r w:rsidR="00CD61FD">
        <w:rPr>
          <w:rFonts w:ascii="Century Gothic" w:hAnsi="Century Gothic"/>
        </w:rPr>
        <w:t>Commonwealth Environmental Water Holder</w:t>
      </w:r>
      <w:r w:rsidR="00CD61FD" w:rsidRPr="00F930A4">
        <w:rPr>
          <w:rFonts w:ascii="Century Gothic" w:hAnsi="Century Gothic"/>
        </w:rPr>
        <w:t xml:space="preserve"> </w:t>
      </w:r>
      <w:r w:rsidRPr="00F930A4">
        <w:rPr>
          <w:rFonts w:ascii="Century Gothic" w:hAnsi="Century Gothic"/>
        </w:rPr>
        <w:t xml:space="preserve">seeks </w:t>
      </w:r>
      <w:r w:rsidR="00CD61FD" w:rsidRPr="00F930A4">
        <w:rPr>
          <w:rFonts w:ascii="Century Gothic" w:hAnsi="Century Gothic"/>
        </w:rPr>
        <w:t xml:space="preserve">to maximise environmental outcomes at a Basin-scale and over the long-term </w:t>
      </w:r>
      <w:r w:rsidR="00CD61FD">
        <w:rPr>
          <w:rFonts w:ascii="Century Gothic" w:hAnsi="Century Gothic"/>
        </w:rPr>
        <w:t>through the</w:t>
      </w:r>
      <w:r w:rsidRPr="00F930A4">
        <w:rPr>
          <w:rFonts w:ascii="Century Gothic" w:hAnsi="Century Gothic"/>
        </w:rPr>
        <w:t xml:space="preserve"> </w:t>
      </w:r>
      <w:r w:rsidR="00E64530" w:rsidRPr="00F930A4">
        <w:rPr>
          <w:rFonts w:ascii="Century Gothic" w:hAnsi="Century Gothic"/>
        </w:rPr>
        <w:t>efficient</w:t>
      </w:r>
      <w:r w:rsidR="00CD61FD">
        <w:rPr>
          <w:rFonts w:ascii="Century Gothic" w:hAnsi="Century Gothic"/>
        </w:rPr>
        <w:t>,</w:t>
      </w:r>
      <w:r w:rsidR="00E64530" w:rsidRPr="00F930A4">
        <w:rPr>
          <w:rFonts w:ascii="Century Gothic" w:hAnsi="Century Gothic"/>
        </w:rPr>
        <w:t xml:space="preserve"> effective and transparent management of the Commonwealth environmental water portfolio.</w:t>
      </w:r>
    </w:p>
    <w:p w14:paraId="6C6500E3" w14:textId="77777777" w:rsidR="00B17604" w:rsidRDefault="00E64530">
      <w:pPr>
        <w:tabs>
          <w:tab w:val="left" w:pos="1134"/>
        </w:tabs>
        <w:spacing w:after="120"/>
        <w:rPr>
          <w:rFonts w:ascii="Century Gothic" w:hAnsi="Century Gothic" w:cs="Arial"/>
          <w:highlight w:val="yellow"/>
        </w:rPr>
      </w:pPr>
      <w:bookmarkStart w:id="122" w:name="_Toc418060466"/>
      <w:r>
        <w:rPr>
          <w:rFonts w:ascii="Century Gothic" w:hAnsi="Century Gothic"/>
        </w:rPr>
        <w:t xml:space="preserve">This </w:t>
      </w:r>
      <w:r w:rsidR="00996101" w:rsidRPr="005B6F75">
        <w:rPr>
          <w:rFonts w:ascii="Century Gothic" w:hAnsi="Century Gothic"/>
        </w:rPr>
        <w:t>requires the utilisation of all portfolio management options</w:t>
      </w:r>
      <w:r w:rsidR="00C7642F">
        <w:rPr>
          <w:rFonts w:ascii="Century Gothic" w:hAnsi="Century Gothic"/>
        </w:rPr>
        <w:t>, includin</w:t>
      </w:r>
      <w:r w:rsidR="00C7642F" w:rsidRPr="00363BD9">
        <w:rPr>
          <w:rFonts w:ascii="Century Gothic" w:hAnsi="Century Gothic"/>
        </w:rPr>
        <w:t>g</w:t>
      </w:r>
      <w:r w:rsidR="000E3C60" w:rsidRPr="000E3C60">
        <w:rPr>
          <w:rFonts w:ascii="Century Gothic" w:hAnsi="Century Gothic" w:cs="Arial"/>
        </w:rPr>
        <w:t>:</w:t>
      </w:r>
    </w:p>
    <w:p w14:paraId="6C6500E4" w14:textId="0D13E8F5" w:rsidR="00B17604" w:rsidRDefault="000F3937">
      <w:pPr>
        <w:pStyle w:val="ListBullet"/>
        <w:numPr>
          <w:ilvl w:val="0"/>
          <w:numId w:val="7"/>
        </w:numPr>
        <w:tabs>
          <w:tab w:val="clear" w:pos="284"/>
        </w:tabs>
        <w:spacing w:after="120"/>
        <w:ind w:left="369" w:hanging="369"/>
        <w:rPr>
          <w:rFonts w:ascii="Century Gothic" w:hAnsi="Century Gothic"/>
        </w:rPr>
      </w:pPr>
      <w:r w:rsidRPr="00C7642F">
        <w:rPr>
          <w:rFonts w:ascii="Century Gothic" w:hAnsi="Century Gothic"/>
        </w:rPr>
        <w:t xml:space="preserve">delivering water to a river or </w:t>
      </w:r>
      <w:r w:rsidR="00361C8E">
        <w:rPr>
          <w:rFonts w:ascii="Century Gothic" w:hAnsi="Century Gothic"/>
        </w:rPr>
        <w:t>floodplain</w:t>
      </w:r>
      <w:r w:rsidRPr="00C7642F">
        <w:rPr>
          <w:rFonts w:ascii="Century Gothic" w:hAnsi="Century Gothic"/>
        </w:rPr>
        <w:t xml:space="preserve"> to meet an identified environmental demand </w:t>
      </w:r>
    </w:p>
    <w:p w14:paraId="6C6500E5" w14:textId="77777777" w:rsidR="00B17604" w:rsidRDefault="000F3937">
      <w:pPr>
        <w:pStyle w:val="ListBullet"/>
        <w:numPr>
          <w:ilvl w:val="0"/>
          <w:numId w:val="7"/>
        </w:numPr>
        <w:tabs>
          <w:tab w:val="clear" w:pos="284"/>
        </w:tabs>
        <w:spacing w:after="120"/>
        <w:ind w:left="369" w:hanging="369"/>
        <w:rPr>
          <w:rFonts w:ascii="Century Gothic" w:hAnsi="Century Gothic"/>
        </w:rPr>
      </w:pPr>
      <w:r w:rsidRPr="00C7642F">
        <w:rPr>
          <w:rFonts w:ascii="Century Gothic" w:hAnsi="Century Gothic"/>
        </w:rPr>
        <w:t>leaving water in storage and carrying it over for use in the next water year (referred to as ‘carryover’)</w:t>
      </w:r>
    </w:p>
    <w:p w14:paraId="6C6500E6" w14:textId="490F5F22" w:rsidR="00B17604" w:rsidRDefault="000F3937">
      <w:pPr>
        <w:pStyle w:val="ListBullet"/>
        <w:numPr>
          <w:ilvl w:val="0"/>
          <w:numId w:val="7"/>
        </w:numPr>
        <w:tabs>
          <w:tab w:val="clear" w:pos="284"/>
        </w:tabs>
        <w:spacing w:after="120"/>
        <w:ind w:left="369" w:hanging="369"/>
        <w:rPr>
          <w:rFonts w:ascii="Century Gothic" w:hAnsi="Century Gothic"/>
        </w:rPr>
      </w:pPr>
      <w:r w:rsidRPr="00C7642F">
        <w:rPr>
          <w:rFonts w:ascii="Century Gothic" w:hAnsi="Century Gothic"/>
        </w:rPr>
        <w:t>trading water, which includes</w:t>
      </w:r>
      <w:r w:rsidR="000703B6">
        <w:rPr>
          <w:rFonts w:ascii="Century Gothic" w:hAnsi="Century Gothic"/>
        </w:rPr>
        <w:t>:</w:t>
      </w:r>
    </w:p>
    <w:p w14:paraId="6C6500E7" w14:textId="77777777" w:rsidR="00B17604" w:rsidRDefault="00C7642F">
      <w:pPr>
        <w:pStyle w:val="ListBullet"/>
        <w:numPr>
          <w:ilvl w:val="1"/>
          <w:numId w:val="7"/>
        </w:numPr>
        <w:spacing w:after="120"/>
        <w:rPr>
          <w:rFonts w:ascii="Century Gothic" w:hAnsi="Century Gothic"/>
        </w:rPr>
      </w:pPr>
      <w:r>
        <w:rPr>
          <w:rFonts w:ascii="Century Gothic" w:hAnsi="Century Gothic"/>
        </w:rPr>
        <w:t>t</w:t>
      </w:r>
      <w:r w:rsidR="000F3937" w:rsidRPr="00C7642F">
        <w:rPr>
          <w:rFonts w:ascii="Century Gothic" w:hAnsi="Century Gothic"/>
        </w:rPr>
        <w:t>ransfer</w:t>
      </w:r>
      <w:r>
        <w:rPr>
          <w:rFonts w:ascii="Century Gothic" w:hAnsi="Century Gothic"/>
        </w:rPr>
        <w:t>ring</w:t>
      </w:r>
      <w:r w:rsidR="000F3937" w:rsidRPr="00C7642F">
        <w:rPr>
          <w:rFonts w:ascii="Century Gothic" w:hAnsi="Century Gothic"/>
        </w:rPr>
        <w:t xml:space="preserve"> water between entitlements in connected catchments </w:t>
      </w:r>
    </w:p>
    <w:p w14:paraId="6C6500E8" w14:textId="77777777" w:rsidR="00B17604" w:rsidRDefault="00C7642F">
      <w:pPr>
        <w:pStyle w:val="ListBullet"/>
        <w:numPr>
          <w:ilvl w:val="1"/>
          <w:numId w:val="7"/>
        </w:numPr>
        <w:spacing w:after="120"/>
        <w:rPr>
          <w:rFonts w:ascii="Century Gothic" w:hAnsi="Century Gothic"/>
        </w:rPr>
      </w:pPr>
      <w:r w:rsidRPr="00C7642F">
        <w:rPr>
          <w:rFonts w:ascii="Century Gothic" w:hAnsi="Century Gothic"/>
        </w:rPr>
        <w:t>buying and s</w:t>
      </w:r>
      <w:r w:rsidR="000F3937" w:rsidRPr="00C7642F">
        <w:rPr>
          <w:rFonts w:ascii="Century Gothic" w:hAnsi="Century Gothic"/>
        </w:rPr>
        <w:t xml:space="preserve">elling water </w:t>
      </w:r>
      <w:r w:rsidRPr="00C7642F">
        <w:rPr>
          <w:rFonts w:ascii="Century Gothic" w:hAnsi="Century Gothic"/>
        </w:rPr>
        <w:t>allocations</w:t>
      </w:r>
      <w:r>
        <w:rPr>
          <w:rFonts w:ascii="Century Gothic" w:hAnsi="Century Gothic"/>
        </w:rPr>
        <w:t xml:space="preserve"> </w:t>
      </w:r>
    </w:p>
    <w:p w14:paraId="6C6500E9" w14:textId="77777777" w:rsidR="00B17604" w:rsidRPr="000C1F89" w:rsidRDefault="000E3C60">
      <w:pPr>
        <w:pStyle w:val="ListBullet"/>
        <w:numPr>
          <w:ilvl w:val="0"/>
          <w:numId w:val="7"/>
        </w:numPr>
        <w:tabs>
          <w:tab w:val="clear" w:pos="284"/>
        </w:tabs>
        <w:spacing w:after="120"/>
        <w:ind w:left="369" w:hanging="369"/>
        <w:rPr>
          <w:rFonts w:ascii="Century Gothic" w:hAnsi="Century Gothic"/>
        </w:rPr>
      </w:pPr>
      <w:r w:rsidRPr="000C1F89">
        <w:rPr>
          <w:rFonts w:ascii="Century Gothic" w:hAnsi="Century Gothic"/>
        </w:rPr>
        <w:t>investing in activities that improve the outcomes from Commonwealth environmental water.</w:t>
      </w:r>
    </w:p>
    <w:p w14:paraId="6C6500EA" w14:textId="77777777" w:rsidR="00B17604" w:rsidRDefault="004543FB">
      <w:pPr>
        <w:pStyle w:val="Heading11"/>
        <w:spacing w:before="0" w:after="120"/>
        <w:ind w:left="851" w:hanging="851"/>
      </w:pPr>
      <w:bookmarkStart w:id="123" w:name="_Toc517264649"/>
      <w:r w:rsidRPr="004543FB">
        <w:t>Why do we undertake portfolio management planning</w:t>
      </w:r>
      <w:bookmarkEnd w:id="123"/>
    </w:p>
    <w:p w14:paraId="6C6500EB" w14:textId="54C0F700" w:rsidR="00B17604" w:rsidRDefault="0070351B">
      <w:pPr>
        <w:spacing w:after="120"/>
        <w:rPr>
          <w:rFonts w:ascii="Century Gothic" w:hAnsi="Century Gothic"/>
        </w:rPr>
      </w:pPr>
      <w:r>
        <w:rPr>
          <w:rFonts w:ascii="Century Gothic" w:hAnsi="Century Gothic"/>
        </w:rPr>
        <w:t>Planning supports decisions on how to optimise water use across water years and across catchments. For example</w:t>
      </w:r>
      <w:r w:rsidR="00996101">
        <w:rPr>
          <w:rFonts w:ascii="Century Gothic" w:hAnsi="Century Gothic"/>
        </w:rPr>
        <w:t>, c</w:t>
      </w:r>
      <w:r w:rsidR="00996101" w:rsidRPr="005B6F75">
        <w:rPr>
          <w:rFonts w:ascii="Century Gothic" w:hAnsi="Century Gothic"/>
        </w:rPr>
        <w:t>arryover provides the opportunity to optimise water use across water years</w:t>
      </w:r>
      <w:r w:rsidR="00996101">
        <w:rPr>
          <w:rFonts w:ascii="Century Gothic" w:hAnsi="Century Gothic"/>
        </w:rPr>
        <w:t xml:space="preserve"> and to improve water availability early in a water year</w:t>
      </w:r>
      <w:r w:rsidR="00046F6F">
        <w:rPr>
          <w:rFonts w:ascii="Century Gothic" w:hAnsi="Century Gothic"/>
        </w:rPr>
        <w:t xml:space="preserve">. </w:t>
      </w:r>
      <w:r w:rsidR="000F3937">
        <w:rPr>
          <w:rFonts w:ascii="Century Gothic" w:hAnsi="Century Gothic"/>
        </w:rPr>
        <w:t xml:space="preserve">Transferring water between entitlements supports the optimisation of water across catchments. </w:t>
      </w:r>
      <w:r w:rsidR="00046F6F">
        <w:rPr>
          <w:rFonts w:ascii="Century Gothic" w:hAnsi="Century Gothic"/>
        </w:rPr>
        <w:t>Allocation</w:t>
      </w:r>
      <w:r w:rsidR="00996101" w:rsidRPr="005B6F75">
        <w:rPr>
          <w:rFonts w:ascii="Century Gothic" w:hAnsi="Century Gothic"/>
        </w:rPr>
        <w:t xml:space="preserve"> trade</w:t>
      </w:r>
      <w:r w:rsidR="00046F6F">
        <w:rPr>
          <w:rFonts w:ascii="Century Gothic" w:hAnsi="Century Gothic"/>
        </w:rPr>
        <w:t xml:space="preserve"> (buying or selling)</w:t>
      </w:r>
      <w:r w:rsidR="00996101" w:rsidRPr="005B6F75">
        <w:rPr>
          <w:rFonts w:ascii="Century Gothic" w:hAnsi="Century Gothic"/>
        </w:rPr>
        <w:t xml:space="preserve"> provides </w:t>
      </w:r>
      <w:r w:rsidR="00996101">
        <w:rPr>
          <w:rFonts w:ascii="Century Gothic" w:hAnsi="Century Gothic"/>
        </w:rPr>
        <w:t xml:space="preserve">further </w:t>
      </w:r>
      <w:r w:rsidR="00996101" w:rsidRPr="005B6F75">
        <w:rPr>
          <w:rFonts w:ascii="Century Gothic" w:hAnsi="Century Gothic"/>
        </w:rPr>
        <w:t>capacity to optimise use over the long-term as well as across catchments.</w:t>
      </w:r>
      <w:bookmarkEnd w:id="122"/>
    </w:p>
    <w:p w14:paraId="6C6500EC" w14:textId="2C387BFE" w:rsidR="00B17604" w:rsidRDefault="0070351B">
      <w:pPr>
        <w:spacing w:after="120"/>
        <w:rPr>
          <w:rFonts w:ascii="Century Gothic" w:hAnsi="Century Gothic"/>
        </w:rPr>
      </w:pPr>
      <w:bookmarkStart w:id="124" w:name="_Toc418060467"/>
      <w:r>
        <w:rPr>
          <w:rFonts w:ascii="Century Gothic" w:hAnsi="Century Gothic"/>
        </w:rPr>
        <w:t>P</w:t>
      </w:r>
      <w:r w:rsidR="00996101" w:rsidRPr="00546DE7">
        <w:rPr>
          <w:rFonts w:ascii="Century Gothic" w:hAnsi="Century Gothic"/>
        </w:rPr>
        <w:t>ortfolio management planning also support</w:t>
      </w:r>
      <w:r w:rsidR="00C16AF3">
        <w:rPr>
          <w:rFonts w:ascii="Century Gothic" w:hAnsi="Century Gothic"/>
        </w:rPr>
        <w:t>s</w:t>
      </w:r>
      <w:r w:rsidR="00996101" w:rsidRPr="00546DE7">
        <w:rPr>
          <w:rFonts w:ascii="Century Gothic" w:hAnsi="Century Gothic"/>
        </w:rPr>
        <w:t xml:space="preserve"> the </w:t>
      </w:r>
      <w:r w:rsidR="00857534">
        <w:rPr>
          <w:rFonts w:ascii="Century Gothic" w:hAnsi="Century Gothic"/>
        </w:rPr>
        <w:t xml:space="preserve">Commonwealth Environmental Water Holder </w:t>
      </w:r>
      <w:r w:rsidR="00996101" w:rsidRPr="00546DE7">
        <w:rPr>
          <w:rFonts w:ascii="Century Gothic" w:hAnsi="Century Gothic"/>
        </w:rPr>
        <w:t>in:</w:t>
      </w:r>
      <w:bookmarkEnd w:id="124"/>
    </w:p>
    <w:p w14:paraId="6C6500ED" w14:textId="77777777" w:rsidR="00B17604" w:rsidRDefault="00996101">
      <w:pPr>
        <w:numPr>
          <w:ilvl w:val="0"/>
          <w:numId w:val="9"/>
        </w:numPr>
        <w:spacing w:after="120"/>
        <w:rPr>
          <w:rFonts w:ascii="Century Gothic" w:hAnsi="Century Gothic"/>
        </w:rPr>
      </w:pPr>
      <w:r w:rsidRPr="00546DE7">
        <w:rPr>
          <w:rFonts w:ascii="Century Gothic" w:hAnsi="Century Gothic"/>
        </w:rPr>
        <w:t>meeting Basin Plan</w:t>
      </w:r>
      <w:r>
        <w:rPr>
          <w:rFonts w:ascii="Century Gothic" w:hAnsi="Century Gothic"/>
        </w:rPr>
        <w:t xml:space="preserve"> obligations and contributing to the long-</w:t>
      </w:r>
      <w:r w:rsidRPr="004B627A">
        <w:rPr>
          <w:rFonts w:ascii="Century Gothic" w:hAnsi="Century Gothic"/>
        </w:rPr>
        <w:t>term objectives of the environmental watering plan</w:t>
      </w:r>
      <w:r>
        <w:rPr>
          <w:rFonts w:ascii="Century Gothic" w:hAnsi="Century Gothic"/>
        </w:rPr>
        <w:t>,</w:t>
      </w:r>
      <w:r w:rsidRPr="004B627A">
        <w:rPr>
          <w:rFonts w:ascii="Century Gothic" w:hAnsi="Century Gothic"/>
        </w:rPr>
        <w:t xml:space="preserve"> the</w:t>
      </w:r>
      <w:r>
        <w:rPr>
          <w:rFonts w:ascii="Century Gothic" w:hAnsi="Century Gothic"/>
        </w:rPr>
        <w:t xml:space="preserve"> expected outcomes in the</w:t>
      </w:r>
      <w:r w:rsidRPr="004B627A">
        <w:rPr>
          <w:rFonts w:ascii="Century Gothic" w:hAnsi="Century Gothic"/>
        </w:rPr>
        <w:t xml:space="preserve"> Basin-wide environmental watering strategy</w:t>
      </w:r>
      <w:r>
        <w:rPr>
          <w:rFonts w:ascii="Century Gothic" w:hAnsi="Century Gothic"/>
        </w:rPr>
        <w:t xml:space="preserve"> and Basin annual environmental watering priorities</w:t>
      </w:r>
    </w:p>
    <w:p w14:paraId="6C6500EE" w14:textId="77777777" w:rsidR="00B17604" w:rsidRDefault="00996101">
      <w:pPr>
        <w:numPr>
          <w:ilvl w:val="0"/>
          <w:numId w:val="9"/>
        </w:numPr>
        <w:spacing w:after="120"/>
        <w:rPr>
          <w:rFonts w:ascii="Century Gothic" w:hAnsi="Century Gothic"/>
        </w:rPr>
      </w:pPr>
      <w:r w:rsidRPr="0068402E">
        <w:rPr>
          <w:rFonts w:ascii="Century Gothic" w:hAnsi="Century Gothic"/>
        </w:rPr>
        <w:t xml:space="preserve">managing the Commonwealth environmental water portfolio in response to the demands identified by Basin States </w:t>
      </w:r>
      <w:r>
        <w:rPr>
          <w:rFonts w:ascii="Century Gothic" w:hAnsi="Century Gothic"/>
        </w:rPr>
        <w:t xml:space="preserve">in </w:t>
      </w:r>
      <w:r w:rsidRPr="0068402E">
        <w:rPr>
          <w:rFonts w:ascii="Century Gothic" w:hAnsi="Century Gothic"/>
        </w:rPr>
        <w:t>long-term environmental watering plans</w:t>
      </w:r>
      <w:r>
        <w:rPr>
          <w:rFonts w:ascii="Century Gothic" w:hAnsi="Century Gothic"/>
        </w:rPr>
        <w:t xml:space="preserve"> </w:t>
      </w:r>
      <w:r w:rsidR="00CD61FD">
        <w:rPr>
          <w:rFonts w:ascii="Century Gothic" w:hAnsi="Century Gothic"/>
        </w:rPr>
        <w:t>(</w:t>
      </w:r>
      <w:r w:rsidR="0070351B">
        <w:rPr>
          <w:rFonts w:ascii="Century Gothic" w:hAnsi="Century Gothic"/>
        </w:rPr>
        <w:t xml:space="preserve">where </w:t>
      </w:r>
      <w:r>
        <w:rPr>
          <w:rFonts w:ascii="Century Gothic" w:hAnsi="Century Gothic"/>
        </w:rPr>
        <w:t>available</w:t>
      </w:r>
      <w:r w:rsidR="00CD61FD">
        <w:rPr>
          <w:rFonts w:ascii="Century Gothic" w:hAnsi="Century Gothic"/>
        </w:rPr>
        <w:t>)</w:t>
      </w:r>
    </w:p>
    <w:p w14:paraId="6C6500EF" w14:textId="77777777" w:rsidR="00B17604" w:rsidRDefault="00996101">
      <w:pPr>
        <w:numPr>
          <w:ilvl w:val="0"/>
          <w:numId w:val="9"/>
        </w:numPr>
        <w:spacing w:after="120"/>
        <w:rPr>
          <w:rFonts w:ascii="Century Gothic" w:hAnsi="Century Gothic"/>
        </w:rPr>
      </w:pPr>
      <w:r>
        <w:rPr>
          <w:rFonts w:ascii="Century Gothic" w:hAnsi="Century Gothic"/>
        </w:rPr>
        <w:t>applying adaptive management (including the setting of objectives, evaluating outcomes and informing future decision making)</w:t>
      </w:r>
    </w:p>
    <w:p w14:paraId="6C6500F0" w14:textId="3BC13403" w:rsidR="00B17604" w:rsidRDefault="00996101">
      <w:pPr>
        <w:numPr>
          <w:ilvl w:val="0"/>
          <w:numId w:val="9"/>
        </w:numPr>
        <w:spacing w:after="120"/>
        <w:rPr>
          <w:rFonts w:ascii="Century Gothic" w:hAnsi="Century Gothic"/>
        </w:rPr>
      </w:pPr>
      <w:r w:rsidRPr="00546DE7">
        <w:rPr>
          <w:rFonts w:ascii="Century Gothic" w:hAnsi="Century Gothic"/>
        </w:rPr>
        <w:t xml:space="preserve">providing </w:t>
      </w:r>
      <w:r>
        <w:rPr>
          <w:rFonts w:ascii="Century Gothic" w:hAnsi="Century Gothic"/>
        </w:rPr>
        <w:t>increased</w:t>
      </w:r>
      <w:r w:rsidRPr="00546DE7">
        <w:rPr>
          <w:rFonts w:ascii="Century Gothic" w:hAnsi="Century Gothic"/>
        </w:rPr>
        <w:t xml:space="preserve"> </w:t>
      </w:r>
      <w:r>
        <w:rPr>
          <w:rFonts w:ascii="Century Gothic" w:hAnsi="Century Gothic"/>
        </w:rPr>
        <w:t xml:space="preserve">transparency in relation to the </w:t>
      </w:r>
      <w:r w:rsidR="00857534">
        <w:rPr>
          <w:rFonts w:ascii="Century Gothic" w:hAnsi="Century Gothic"/>
        </w:rPr>
        <w:t>Commonwealth Environmental Water Holder</w:t>
      </w:r>
      <w:r>
        <w:rPr>
          <w:rFonts w:ascii="Century Gothic" w:hAnsi="Century Gothic"/>
        </w:rPr>
        <w:t>’s portfolio management</w:t>
      </w:r>
      <w:r w:rsidRPr="00546DE7">
        <w:rPr>
          <w:rFonts w:ascii="Century Gothic" w:hAnsi="Century Gothic"/>
        </w:rPr>
        <w:t xml:space="preserve"> </w:t>
      </w:r>
      <w:r>
        <w:rPr>
          <w:rFonts w:ascii="Century Gothic" w:hAnsi="Century Gothic"/>
        </w:rPr>
        <w:t>(</w:t>
      </w:r>
      <w:r w:rsidRPr="00546DE7">
        <w:rPr>
          <w:rFonts w:ascii="Century Gothic" w:hAnsi="Century Gothic"/>
        </w:rPr>
        <w:t>use, trade and carryover</w:t>
      </w:r>
      <w:r>
        <w:rPr>
          <w:rFonts w:ascii="Century Gothic" w:hAnsi="Century Gothic"/>
        </w:rPr>
        <w:t>) behaviour</w:t>
      </w:r>
    </w:p>
    <w:p w14:paraId="6C6500F1" w14:textId="77777777" w:rsidR="00B17604" w:rsidRDefault="00996101">
      <w:pPr>
        <w:numPr>
          <w:ilvl w:val="0"/>
          <w:numId w:val="9"/>
        </w:numPr>
        <w:spacing w:after="120"/>
        <w:rPr>
          <w:rFonts w:ascii="Century Gothic" w:hAnsi="Century Gothic"/>
        </w:rPr>
      </w:pPr>
      <w:r>
        <w:rPr>
          <w:rFonts w:ascii="Century Gothic" w:hAnsi="Century Gothic"/>
        </w:rPr>
        <w:t xml:space="preserve">coordinating water use with delivery partners, including </w:t>
      </w:r>
      <w:r w:rsidRPr="00546DE7">
        <w:rPr>
          <w:rFonts w:ascii="Century Gothic" w:hAnsi="Century Gothic"/>
        </w:rPr>
        <w:t xml:space="preserve">developing </w:t>
      </w:r>
      <w:r>
        <w:rPr>
          <w:rFonts w:ascii="Century Gothic" w:hAnsi="Century Gothic"/>
        </w:rPr>
        <w:t>long-term delivery arrangements</w:t>
      </w:r>
      <w:r w:rsidR="00995707">
        <w:rPr>
          <w:rFonts w:ascii="Century Gothic" w:hAnsi="Century Gothic"/>
        </w:rPr>
        <w:t>.</w:t>
      </w:r>
      <w:r w:rsidRPr="00546DE7">
        <w:rPr>
          <w:rFonts w:ascii="Century Gothic" w:hAnsi="Century Gothic"/>
        </w:rPr>
        <w:t xml:space="preserve"> </w:t>
      </w:r>
      <w:bookmarkStart w:id="125" w:name="_Toc418060468"/>
      <w:bookmarkStart w:id="126" w:name="_Toc396916454"/>
      <w:bookmarkStart w:id="127" w:name="_Toc414367226"/>
    </w:p>
    <w:p w14:paraId="6C6500F2" w14:textId="35FAA857" w:rsidR="00B17604" w:rsidRDefault="0016046B">
      <w:pPr>
        <w:pStyle w:val="ListParagraph"/>
        <w:numPr>
          <w:ilvl w:val="0"/>
          <w:numId w:val="0"/>
        </w:numPr>
        <w:spacing w:after="120"/>
        <w:rPr>
          <w:rFonts w:ascii="Century Gothic" w:hAnsi="Century Gothic"/>
        </w:rPr>
      </w:pPr>
      <w:r w:rsidRPr="0016046B">
        <w:rPr>
          <w:rFonts w:ascii="Century Gothic" w:hAnsi="Century Gothic"/>
        </w:rPr>
        <w:t xml:space="preserve">Consistent with the </w:t>
      </w:r>
      <w:r w:rsidR="00857534">
        <w:rPr>
          <w:rFonts w:ascii="Century Gothic" w:hAnsi="Century Gothic"/>
        </w:rPr>
        <w:t>Commonwealth Environmental Water Holder</w:t>
      </w:r>
      <w:r w:rsidR="00F36E16">
        <w:rPr>
          <w:rFonts w:ascii="Century Gothic" w:hAnsi="Century Gothic"/>
        </w:rPr>
        <w:t>’s commitment to</w:t>
      </w:r>
      <w:r w:rsidRPr="0016046B">
        <w:rPr>
          <w:rFonts w:ascii="Century Gothic" w:hAnsi="Century Gothic"/>
        </w:rPr>
        <w:t xml:space="preserve"> adaptive</w:t>
      </w:r>
      <w:r w:rsidR="00F36E16">
        <w:rPr>
          <w:rFonts w:ascii="Century Gothic" w:hAnsi="Century Gothic"/>
        </w:rPr>
        <w:t>ly</w:t>
      </w:r>
      <w:r w:rsidRPr="0016046B">
        <w:rPr>
          <w:rFonts w:ascii="Century Gothic" w:hAnsi="Century Gothic"/>
        </w:rPr>
        <w:t xml:space="preserve"> manage Commonwealth environmental water, </w:t>
      </w:r>
      <w:r w:rsidR="00C16AF3">
        <w:rPr>
          <w:rFonts w:ascii="Century Gothic" w:hAnsi="Century Gothic"/>
        </w:rPr>
        <w:t xml:space="preserve">portfolio management </w:t>
      </w:r>
      <w:r w:rsidRPr="0016046B">
        <w:rPr>
          <w:rFonts w:ascii="Century Gothic" w:hAnsi="Century Gothic"/>
        </w:rPr>
        <w:t xml:space="preserve">plans </w:t>
      </w:r>
      <w:r w:rsidR="00C16AF3">
        <w:rPr>
          <w:rFonts w:ascii="Century Gothic" w:hAnsi="Century Gothic"/>
        </w:rPr>
        <w:t>are</w:t>
      </w:r>
      <w:r w:rsidRPr="0016046B">
        <w:rPr>
          <w:rFonts w:ascii="Century Gothic" w:hAnsi="Century Gothic"/>
        </w:rPr>
        <w:t xml:space="preserve"> periodically reviewed throughout the year in light of changes in water availability, environmental demands, constraints, risks and market conditions. </w:t>
      </w:r>
      <w:r w:rsidR="00F36E16">
        <w:rPr>
          <w:rFonts w:ascii="Century Gothic" w:hAnsi="Century Gothic"/>
        </w:rPr>
        <w:t>P</w:t>
      </w:r>
      <w:r w:rsidRPr="0016046B">
        <w:rPr>
          <w:rFonts w:ascii="Century Gothic" w:hAnsi="Century Gothic"/>
        </w:rPr>
        <w:t>ortfolio management statements</w:t>
      </w:r>
      <w:r w:rsidR="00F36E16">
        <w:rPr>
          <w:rFonts w:ascii="Century Gothic" w:hAnsi="Century Gothic"/>
        </w:rPr>
        <w:t xml:space="preserve">, which provide updates on the latest intentions, are published </w:t>
      </w:r>
      <w:r w:rsidRPr="0016046B">
        <w:rPr>
          <w:rFonts w:ascii="Century Gothic" w:hAnsi="Century Gothic"/>
        </w:rPr>
        <w:t>every three months</w:t>
      </w:r>
      <w:r w:rsidR="00F36E16">
        <w:rPr>
          <w:rFonts w:ascii="Century Gothic" w:hAnsi="Century Gothic"/>
        </w:rPr>
        <w:t xml:space="preserve"> on the </w:t>
      </w:r>
      <w:r w:rsidR="000F69B7">
        <w:rPr>
          <w:rFonts w:ascii="Century Gothic" w:hAnsi="Century Gothic"/>
        </w:rPr>
        <w:t>Office’s website</w:t>
      </w:r>
      <w:r w:rsidRPr="0016046B">
        <w:rPr>
          <w:rFonts w:ascii="Century Gothic" w:hAnsi="Century Gothic"/>
        </w:rPr>
        <w:t xml:space="preserve">. </w:t>
      </w:r>
    </w:p>
    <w:p w14:paraId="6C6500F3" w14:textId="77777777" w:rsidR="007A7A94" w:rsidRDefault="007A7A94">
      <w:pPr>
        <w:pStyle w:val="ListParagraph"/>
        <w:numPr>
          <w:ilvl w:val="0"/>
          <w:numId w:val="0"/>
        </w:numPr>
        <w:spacing w:after="120"/>
        <w:jc w:val="left"/>
        <w:rPr>
          <w:rFonts w:ascii="Century Gothic" w:hAnsi="Century Gothic"/>
        </w:rPr>
      </w:pPr>
    </w:p>
    <w:p w14:paraId="6C6500F4" w14:textId="77777777" w:rsidR="007A7A94" w:rsidRDefault="007A7A94">
      <w:pPr>
        <w:spacing w:after="120"/>
        <w:ind w:right="866"/>
        <w:jc w:val="left"/>
        <w:outlineLvl w:val="0"/>
        <w:rPr>
          <w:rFonts w:ascii="Century Gothic" w:hAnsi="Century Gothic"/>
        </w:rPr>
      </w:pPr>
      <w:bookmarkStart w:id="128" w:name="_Toc444088382"/>
      <w:bookmarkStart w:id="129" w:name="_Toc444088441"/>
      <w:bookmarkStart w:id="130" w:name="_Toc444088536"/>
      <w:bookmarkStart w:id="131" w:name="_Toc444088598"/>
      <w:bookmarkStart w:id="132" w:name="_Toc444091215"/>
      <w:bookmarkStart w:id="133" w:name="_Toc444091332"/>
      <w:bookmarkStart w:id="134" w:name="_Toc444091492"/>
      <w:bookmarkStart w:id="135" w:name="_Toc444247158"/>
      <w:bookmarkStart w:id="136" w:name="_Toc444247386"/>
      <w:bookmarkStart w:id="137" w:name="_Toc444258381"/>
      <w:bookmarkStart w:id="138" w:name="_Toc444259174"/>
      <w:bookmarkEnd w:id="125"/>
      <w:bookmarkEnd w:id="128"/>
      <w:bookmarkEnd w:id="129"/>
      <w:bookmarkEnd w:id="130"/>
      <w:bookmarkEnd w:id="131"/>
      <w:bookmarkEnd w:id="132"/>
      <w:bookmarkEnd w:id="133"/>
      <w:bookmarkEnd w:id="134"/>
      <w:bookmarkEnd w:id="135"/>
      <w:bookmarkEnd w:id="136"/>
      <w:bookmarkEnd w:id="137"/>
      <w:bookmarkEnd w:id="138"/>
    </w:p>
    <w:p w14:paraId="6C6500F5" w14:textId="77777777" w:rsidR="007A7A94" w:rsidRDefault="007A7A94">
      <w:pPr>
        <w:spacing w:after="120"/>
        <w:ind w:right="866"/>
        <w:jc w:val="left"/>
        <w:outlineLvl w:val="0"/>
        <w:rPr>
          <w:rFonts w:ascii="Century Gothic" w:hAnsi="Century Gothic"/>
        </w:rPr>
      </w:pPr>
    </w:p>
    <w:p w14:paraId="6C6500F6" w14:textId="77777777" w:rsidR="00F75C5A" w:rsidRDefault="00F75C5A" w:rsidP="006026F2">
      <w:pPr>
        <w:spacing w:after="120"/>
        <w:ind w:right="866"/>
        <w:jc w:val="left"/>
        <w:outlineLvl w:val="0"/>
        <w:rPr>
          <w:rFonts w:ascii="Century Gothic" w:hAnsi="Century Gothic"/>
        </w:rPr>
        <w:sectPr w:rsidR="00F75C5A" w:rsidSect="00CE0FAD">
          <w:footerReference w:type="default" r:id="rId25"/>
          <w:pgSz w:w="11906" w:h="16838"/>
          <w:pgMar w:top="851" w:right="1276" w:bottom="567" w:left="1418" w:header="425" w:footer="187" w:gutter="0"/>
          <w:pgNumType w:start="1"/>
          <w:cols w:space="708"/>
          <w:docGrid w:linePitch="360"/>
        </w:sectPr>
      </w:pPr>
    </w:p>
    <w:p w14:paraId="6C6500F7" w14:textId="77777777" w:rsidR="007A7A94" w:rsidRDefault="00BF791F">
      <w:pPr>
        <w:pStyle w:val="Heading11"/>
        <w:spacing w:before="0" w:after="120"/>
        <w:ind w:left="851" w:hanging="851"/>
      </w:pPr>
      <w:bookmarkStart w:id="139" w:name="_Toc517264650"/>
      <w:bookmarkStart w:id="140" w:name="_Toc414367238"/>
      <w:bookmarkEnd w:id="126"/>
      <w:bookmarkEnd w:id="127"/>
      <w:r>
        <w:t>What are we trying to achieve?</w:t>
      </w:r>
      <w:bookmarkEnd w:id="139"/>
    </w:p>
    <w:p w14:paraId="6C6500F8" w14:textId="557300D3" w:rsidR="00B17604" w:rsidRDefault="00EC7032">
      <w:pPr>
        <w:spacing w:after="120"/>
        <w:rPr>
          <w:rFonts w:ascii="Century Gothic" w:hAnsi="Century Gothic"/>
        </w:rPr>
      </w:pPr>
      <w:r w:rsidRPr="00EC7032">
        <w:rPr>
          <w:rFonts w:ascii="Century Gothic" w:hAnsi="Century Gothic"/>
        </w:rPr>
        <w:t xml:space="preserve">The </w:t>
      </w:r>
      <w:r w:rsidRPr="00EC7032">
        <w:rPr>
          <w:rFonts w:ascii="Century Gothic" w:hAnsi="Century Gothic"/>
          <w:b/>
          <w:color w:val="0070C0"/>
        </w:rPr>
        <w:t>Basin Plan</w:t>
      </w:r>
      <w:r w:rsidRPr="00EC7032">
        <w:rPr>
          <w:rFonts w:ascii="Century Gothic" w:hAnsi="Century Gothic"/>
        </w:rPr>
        <w:t xml:space="preserve">’s environmental watering plan establishes the objectives, processes and principles that guide the management of environmental water by the MDBA, Basin States and the </w:t>
      </w:r>
      <w:r w:rsidR="00857534">
        <w:rPr>
          <w:rFonts w:ascii="Century Gothic" w:hAnsi="Century Gothic"/>
        </w:rPr>
        <w:t>Commonwealth Environmental Water Holder</w:t>
      </w:r>
      <w:r w:rsidRPr="00EC7032">
        <w:rPr>
          <w:rFonts w:ascii="Century Gothic" w:hAnsi="Century Gothic"/>
        </w:rPr>
        <w:t xml:space="preserve">. The environmental watering plan and its supplementary documents provide key inputs into the planning and use of Commonwealth environmental water. In particular, they identify the long-term and annual environmental demands across the Basin.  </w:t>
      </w:r>
    </w:p>
    <w:p w14:paraId="6C6500F9" w14:textId="77777777" w:rsidR="007A7A94" w:rsidRDefault="000E3C60">
      <w:pPr>
        <w:pStyle w:val="Heading11"/>
        <w:numPr>
          <w:ilvl w:val="2"/>
          <w:numId w:val="66"/>
        </w:numPr>
        <w:spacing w:before="0" w:after="120"/>
        <w:ind w:left="1418" w:hanging="704"/>
        <w:rPr>
          <w:rFonts w:cs="Arial"/>
        </w:rPr>
      </w:pPr>
      <w:bookmarkStart w:id="141" w:name="_Toc430087314"/>
      <w:bookmarkStart w:id="142" w:name="_Toc517264651"/>
      <w:r w:rsidRPr="000E3C60">
        <w:rPr>
          <w:rFonts w:ascii="Century Gothic" w:hAnsi="Century Gothic" w:cs="Arial"/>
          <w:sz w:val="24"/>
          <w:szCs w:val="24"/>
        </w:rPr>
        <w:t>Basin-wide long-term environmental objectives and outcomes</w:t>
      </w:r>
      <w:bookmarkEnd w:id="141"/>
      <w:bookmarkEnd w:id="142"/>
      <w:r w:rsidRPr="000E3C60">
        <w:rPr>
          <w:rFonts w:ascii="Century Gothic" w:hAnsi="Century Gothic" w:cs="Arial"/>
          <w:sz w:val="24"/>
          <w:szCs w:val="24"/>
        </w:rPr>
        <w:t xml:space="preserve"> </w:t>
      </w:r>
    </w:p>
    <w:p w14:paraId="6C6500FA" w14:textId="77777777" w:rsidR="00B17604" w:rsidRDefault="00EC7032">
      <w:pPr>
        <w:pStyle w:val="ListBullet"/>
        <w:numPr>
          <w:ilvl w:val="0"/>
          <w:numId w:val="0"/>
        </w:numPr>
        <w:spacing w:after="120"/>
        <w:rPr>
          <w:rFonts w:ascii="Century Gothic" w:hAnsi="Century Gothic"/>
        </w:rPr>
      </w:pPr>
      <w:r w:rsidRPr="00EC7032">
        <w:rPr>
          <w:rFonts w:ascii="Century Gothic" w:hAnsi="Century Gothic"/>
        </w:rPr>
        <w:t xml:space="preserve">The </w:t>
      </w:r>
      <w:r w:rsidRPr="00EC7032">
        <w:rPr>
          <w:rFonts w:ascii="Century Gothic" w:hAnsi="Century Gothic"/>
          <w:b/>
          <w:color w:val="0070C0"/>
        </w:rPr>
        <w:t>environmental watering plan</w:t>
      </w:r>
      <w:r w:rsidRPr="00EC7032">
        <w:rPr>
          <w:rFonts w:ascii="Century Gothic" w:hAnsi="Century Gothic"/>
          <w:color w:val="000000" w:themeColor="text1"/>
        </w:rPr>
        <w:t>’s</w:t>
      </w:r>
      <w:r w:rsidRPr="00EC7032">
        <w:rPr>
          <w:rFonts w:ascii="Century Gothic" w:hAnsi="Century Gothic"/>
        </w:rPr>
        <w:t xml:space="preserve"> overall objectives can be summarised as:</w:t>
      </w:r>
    </w:p>
    <w:p w14:paraId="6C6500FB" w14:textId="77777777" w:rsidR="00B17604" w:rsidRDefault="00EC7032" w:rsidP="00623ACD">
      <w:pPr>
        <w:numPr>
          <w:ilvl w:val="0"/>
          <w:numId w:val="17"/>
        </w:numPr>
        <w:spacing w:after="120"/>
        <w:ind w:left="426"/>
        <w:rPr>
          <w:rFonts w:ascii="Century Gothic" w:hAnsi="Century Gothic"/>
          <w:lang w:val="en-GB"/>
        </w:rPr>
      </w:pPr>
      <w:r w:rsidRPr="00EC7032">
        <w:rPr>
          <w:rFonts w:ascii="Century Gothic" w:hAnsi="Century Gothic"/>
          <w:lang w:val="en-GB"/>
        </w:rPr>
        <w:t>protect and restore the Basin’s water-dependent ecosystems (that is, the rivers, wetlands and floodplains of the Basin, and the native plants and animals they support)</w:t>
      </w:r>
    </w:p>
    <w:p w14:paraId="6C6500FC" w14:textId="77777777" w:rsidR="00B17604" w:rsidRDefault="00EC7032" w:rsidP="00623ACD">
      <w:pPr>
        <w:numPr>
          <w:ilvl w:val="0"/>
          <w:numId w:val="17"/>
        </w:numPr>
        <w:spacing w:after="120"/>
        <w:ind w:left="426"/>
        <w:rPr>
          <w:rFonts w:ascii="Century Gothic" w:hAnsi="Century Gothic"/>
          <w:lang w:val="en-GB"/>
        </w:rPr>
      </w:pPr>
      <w:r w:rsidRPr="00EC7032">
        <w:rPr>
          <w:rFonts w:ascii="Century Gothic" w:hAnsi="Century Gothic"/>
          <w:lang w:val="en-GB"/>
        </w:rPr>
        <w:t xml:space="preserve">protect and restore the functions that underpin these ecosystems; and </w:t>
      </w:r>
    </w:p>
    <w:p w14:paraId="6C6500FD" w14:textId="77777777" w:rsidR="00B17604" w:rsidRDefault="00EC7032" w:rsidP="00623ACD">
      <w:pPr>
        <w:numPr>
          <w:ilvl w:val="0"/>
          <w:numId w:val="17"/>
        </w:numPr>
        <w:spacing w:after="120"/>
        <w:ind w:left="426"/>
        <w:rPr>
          <w:rFonts w:ascii="Century Gothic" w:hAnsi="Century Gothic"/>
          <w:lang w:val="en-GB"/>
        </w:rPr>
      </w:pPr>
      <w:r w:rsidRPr="00EC7032">
        <w:rPr>
          <w:rFonts w:ascii="Century Gothic" w:hAnsi="Century Gothic"/>
          <w:lang w:val="en-GB"/>
        </w:rPr>
        <w:t>ensure these ecosystems are able to withstand threatening impacts.</w:t>
      </w:r>
    </w:p>
    <w:p w14:paraId="6C6500FE" w14:textId="77777777" w:rsidR="00B17604" w:rsidRDefault="00EC7032">
      <w:pPr>
        <w:pStyle w:val="ListBullet"/>
        <w:numPr>
          <w:ilvl w:val="0"/>
          <w:numId w:val="0"/>
        </w:numPr>
        <w:spacing w:after="120"/>
        <w:rPr>
          <w:rFonts w:ascii="Century Gothic" w:hAnsi="Century Gothic"/>
        </w:rPr>
      </w:pPr>
      <w:r w:rsidRPr="00EC7032">
        <w:rPr>
          <w:rFonts w:ascii="Century Gothic" w:hAnsi="Century Gothic"/>
        </w:rPr>
        <w:t>The environmental watering plan also sets broad targets to measure progress towards meeting the objectives. Up to 2019, the focus is on ‘no environmental loss or degradation’. From 2019 onwards, it is expected there will be broad environmental improvements.</w:t>
      </w:r>
    </w:p>
    <w:p w14:paraId="6C6500FF" w14:textId="77777777" w:rsidR="00B17604" w:rsidRDefault="00EC7032">
      <w:pPr>
        <w:pStyle w:val="ListBullet"/>
        <w:numPr>
          <w:ilvl w:val="0"/>
          <w:numId w:val="0"/>
        </w:numPr>
        <w:spacing w:after="120"/>
        <w:rPr>
          <w:rFonts w:ascii="Century Gothic" w:hAnsi="Century Gothic"/>
        </w:rPr>
      </w:pPr>
      <w:r w:rsidRPr="00EC7032">
        <w:rPr>
          <w:rFonts w:ascii="Century Gothic" w:hAnsi="Century Gothic"/>
        </w:rPr>
        <w:t xml:space="preserve">The </w:t>
      </w:r>
      <w:r w:rsidRPr="00EC7032">
        <w:rPr>
          <w:rFonts w:ascii="Century Gothic" w:hAnsi="Century Gothic"/>
          <w:b/>
          <w:color w:val="0070C0"/>
        </w:rPr>
        <w:t>Basin-wide environmental watering strategy</w:t>
      </w:r>
      <w:r w:rsidRPr="00EC7032">
        <w:rPr>
          <w:rFonts w:ascii="Century Gothic" w:hAnsi="Century Gothic"/>
        </w:rPr>
        <w:t xml:space="preserve"> provides the next level of detail on the environmental objectives and targets. It describes the environmental outcomes expected over the next decade as a result of implementing the Basin Plan and associated water reforms. These outcomes focus on four components: river flows and connectivity; native vegetation; waterbirds; and native fish. Examples of the expected outcomes include:</w:t>
      </w:r>
    </w:p>
    <w:p w14:paraId="6C650100" w14:textId="77777777" w:rsidR="00B17604" w:rsidRDefault="00EC7032" w:rsidP="00623ACD">
      <w:pPr>
        <w:numPr>
          <w:ilvl w:val="0"/>
          <w:numId w:val="17"/>
        </w:numPr>
        <w:spacing w:after="120"/>
        <w:ind w:left="426"/>
        <w:rPr>
          <w:rFonts w:ascii="Century Gothic" w:hAnsi="Century Gothic"/>
          <w:lang w:val="en-GB"/>
        </w:rPr>
      </w:pPr>
      <w:r w:rsidRPr="00EC7032">
        <w:rPr>
          <w:rFonts w:ascii="Century Gothic" w:hAnsi="Century Gothic"/>
          <w:lang w:val="en-GB"/>
        </w:rPr>
        <w:t xml:space="preserve">a 20–25% increase in waterbirds </w:t>
      </w:r>
    </w:p>
    <w:p w14:paraId="6C650101" w14:textId="77777777" w:rsidR="00B17604" w:rsidRDefault="00EC7032" w:rsidP="00623ACD">
      <w:pPr>
        <w:numPr>
          <w:ilvl w:val="0"/>
          <w:numId w:val="17"/>
        </w:numPr>
        <w:spacing w:after="120"/>
        <w:ind w:left="426"/>
        <w:rPr>
          <w:rFonts w:ascii="Century Gothic" w:hAnsi="Century Gothic"/>
          <w:lang w:val="en-GB"/>
        </w:rPr>
      </w:pPr>
      <w:r w:rsidRPr="00EC7032">
        <w:rPr>
          <w:rFonts w:ascii="Century Gothic" w:hAnsi="Century Gothic"/>
          <w:lang w:val="en-GB"/>
        </w:rPr>
        <w:t>a 10–15% increase in mature Murray cod and golden perch at key sites</w:t>
      </w:r>
    </w:p>
    <w:p w14:paraId="6C650102" w14:textId="77777777" w:rsidR="00B17604" w:rsidRDefault="00EC7032" w:rsidP="00623ACD">
      <w:pPr>
        <w:numPr>
          <w:ilvl w:val="0"/>
          <w:numId w:val="17"/>
        </w:numPr>
        <w:spacing w:after="120"/>
        <w:ind w:left="426"/>
        <w:rPr>
          <w:rFonts w:ascii="Century Gothic" w:hAnsi="Century Gothic"/>
          <w:lang w:val="en-GB"/>
        </w:rPr>
      </w:pPr>
      <w:r w:rsidRPr="00EC7032">
        <w:rPr>
          <w:rFonts w:ascii="Century Gothic" w:hAnsi="Century Gothic"/>
          <w:lang w:val="en-GB"/>
        </w:rPr>
        <w:t>maintenance of the current area and condition (and in some regions, improved condition) of river red gum, black box, coolabah and lignum communities</w:t>
      </w:r>
    </w:p>
    <w:p w14:paraId="6C650103" w14:textId="77777777" w:rsidR="00B17604" w:rsidRDefault="00EC7032" w:rsidP="00623ACD">
      <w:pPr>
        <w:numPr>
          <w:ilvl w:val="0"/>
          <w:numId w:val="17"/>
        </w:numPr>
        <w:spacing w:after="120"/>
        <w:ind w:left="426"/>
        <w:rPr>
          <w:rFonts w:ascii="Century Gothic" w:hAnsi="Century Gothic"/>
          <w:lang w:val="en-GB"/>
        </w:rPr>
      </w:pPr>
      <w:r w:rsidRPr="00EC7032">
        <w:rPr>
          <w:rFonts w:ascii="Century Gothic" w:hAnsi="Century Gothic"/>
          <w:lang w:val="en-GB"/>
        </w:rPr>
        <w:t>improved overall flow, such as 10% more flow in the Barwon-Darling, 30% more flow in River Murray and 30–40% more flow to the Murray mouth.</w:t>
      </w:r>
    </w:p>
    <w:p w14:paraId="6C650104" w14:textId="77777777" w:rsidR="00B17604" w:rsidRDefault="00EC7032">
      <w:pPr>
        <w:pStyle w:val="ListBullet"/>
        <w:numPr>
          <w:ilvl w:val="0"/>
          <w:numId w:val="0"/>
        </w:numPr>
        <w:spacing w:after="120"/>
        <w:rPr>
          <w:rFonts w:ascii="Century Gothic" w:hAnsi="Century Gothic"/>
          <w:b/>
        </w:rPr>
      </w:pPr>
      <w:bookmarkStart w:id="143" w:name="_Toc430087315"/>
      <w:r w:rsidRPr="00EC7032">
        <w:rPr>
          <w:rFonts w:ascii="Century Gothic" w:hAnsi="Century Gothic"/>
        </w:rPr>
        <w:t xml:space="preserve">The total 2750 GL recovered for the environment under the Basin Plan (or its ecological equivalent in </w:t>
      </w:r>
      <w:r w:rsidR="0008741A">
        <w:rPr>
          <w:rFonts w:ascii="Century Gothic" w:hAnsi="Century Gothic"/>
        </w:rPr>
        <w:t xml:space="preserve">both water and </w:t>
      </w:r>
      <w:r w:rsidRPr="00EC7032">
        <w:rPr>
          <w:rFonts w:ascii="Century Gothic" w:hAnsi="Century Gothic"/>
        </w:rPr>
        <w:t xml:space="preserve">works and measures) is required to support the achievement of these long term ecological objectives. </w:t>
      </w:r>
    </w:p>
    <w:p w14:paraId="6C650105" w14:textId="77777777" w:rsidR="007A7A94" w:rsidRDefault="000E3C60">
      <w:pPr>
        <w:pStyle w:val="Heading11"/>
        <w:numPr>
          <w:ilvl w:val="2"/>
          <w:numId w:val="66"/>
        </w:numPr>
        <w:spacing w:before="0" w:after="120"/>
        <w:ind w:left="1418" w:hanging="704"/>
        <w:rPr>
          <w:rFonts w:cs="Arial"/>
        </w:rPr>
      </w:pPr>
      <w:bookmarkStart w:id="144" w:name="_Toc517264652"/>
      <w:r w:rsidRPr="000E3C60">
        <w:rPr>
          <w:rFonts w:ascii="Century Gothic" w:hAnsi="Century Gothic" w:cs="Arial"/>
          <w:sz w:val="24"/>
          <w:szCs w:val="24"/>
        </w:rPr>
        <w:t>Catchment long-term environmental objectives and outcomes</w:t>
      </w:r>
      <w:bookmarkEnd w:id="143"/>
      <w:bookmarkEnd w:id="144"/>
    </w:p>
    <w:p w14:paraId="6C650106" w14:textId="4B51B390" w:rsidR="00B17604" w:rsidRDefault="00EC7032">
      <w:pPr>
        <w:pStyle w:val="ListBullet"/>
        <w:numPr>
          <w:ilvl w:val="0"/>
          <w:numId w:val="0"/>
        </w:numPr>
        <w:spacing w:after="120"/>
        <w:rPr>
          <w:rFonts w:ascii="Century Gothic" w:hAnsi="Century Gothic"/>
        </w:rPr>
      </w:pPr>
      <w:r w:rsidRPr="00EC7032">
        <w:rPr>
          <w:rFonts w:ascii="Century Gothic" w:hAnsi="Century Gothic"/>
        </w:rPr>
        <w:t xml:space="preserve">At a catchment scale, </w:t>
      </w:r>
      <w:r w:rsidRPr="00EC7032">
        <w:rPr>
          <w:rFonts w:ascii="Century Gothic" w:hAnsi="Century Gothic"/>
          <w:b/>
          <w:color w:val="0070C0"/>
        </w:rPr>
        <w:t>long-term watering plans</w:t>
      </w:r>
      <w:r w:rsidRPr="00EC7032">
        <w:rPr>
          <w:rFonts w:ascii="Century Gothic" w:hAnsi="Century Gothic"/>
        </w:rPr>
        <w:t xml:space="preserve"> </w:t>
      </w:r>
      <w:r w:rsidR="00B75B52">
        <w:rPr>
          <w:rFonts w:ascii="Century Gothic" w:hAnsi="Century Gothic"/>
        </w:rPr>
        <w:t>have been delivered</w:t>
      </w:r>
      <w:r w:rsidRPr="00EC7032">
        <w:rPr>
          <w:rFonts w:ascii="Century Gothic" w:hAnsi="Century Gothic"/>
        </w:rPr>
        <w:t xml:space="preserve"> by Basin s</w:t>
      </w:r>
      <w:r w:rsidR="00B75B52">
        <w:rPr>
          <w:rFonts w:ascii="Century Gothic" w:hAnsi="Century Gothic"/>
        </w:rPr>
        <w:t>tate governments. The plans</w:t>
      </w:r>
      <w:r w:rsidRPr="00EC7032">
        <w:rPr>
          <w:rFonts w:ascii="Century Gothic" w:hAnsi="Century Gothic"/>
        </w:rPr>
        <w:t xml:space="preserve"> identify the key rivers and </w:t>
      </w:r>
      <w:r w:rsidR="002B776E">
        <w:rPr>
          <w:rFonts w:ascii="Century Gothic" w:hAnsi="Century Gothic"/>
        </w:rPr>
        <w:t>floodplains</w:t>
      </w:r>
      <w:r w:rsidRPr="00EC7032">
        <w:rPr>
          <w:rFonts w:ascii="Century Gothic" w:hAnsi="Century Gothic"/>
        </w:rPr>
        <w:t xml:space="preserve"> in each catchment, and the objectives, targets and environmental watering requirements for each river or </w:t>
      </w:r>
      <w:r w:rsidR="002B776E">
        <w:rPr>
          <w:rFonts w:ascii="Century Gothic" w:hAnsi="Century Gothic"/>
        </w:rPr>
        <w:t>floodplain</w:t>
      </w:r>
      <w:r w:rsidRPr="00EC7032">
        <w:rPr>
          <w:rFonts w:ascii="Century Gothic" w:hAnsi="Century Gothic"/>
        </w:rPr>
        <w:t xml:space="preserve">. </w:t>
      </w:r>
    </w:p>
    <w:p w14:paraId="6C650107" w14:textId="23B81FFA" w:rsidR="00B17604" w:rsidRDefault="00EC7032">
      <w:pPr>
        <w:pStyle w:val="ListBullet"/>
        <w:numPr>
          <w:ilvl w:val="0"/>
          <w:numId w:val="0"/>
        </w:numPr>
        <w:spacing w:after="120"/>
        <w:rPr>
          <w:rFonts w:ascii="Century Gothic" w:hAnsi="Century Gothic"/>
        </w:rPr>
      </w:pPr>
      <w:r w:rsidRPr="00F961D6">
        <w:rPr>
          <w:rFonts w:ascii="Century Gothic" w:hAnsi="Century Gothic"/>
        </w:rPr>
        <w:t xml:space="preserve">These plans are being </w:t>
      </w:r>
      <w:r w:rsidR="00F961D6">
        <w:rPr>
          <w:rFonts w:ascii="Century Gothic" w:hAnsi="Century Gothic"/>
        </w:rPr>
        <w:t xml:space="preserve">progressively </w:t>
      </w:r>
      <w:r w:rsidRPr="00F961D6">
        <w:rPr>
          <w:rFonts w:ascii="Century Gothic" w:hAnsi="Century Gothic"/>
        </w:rPr>
        <w:t>developed over the coming years (</w:t>
      </w:r>
      <w:r w:rsidR="00F961D6">
        <w:rPr>
          <w:rFonts w:ascii="Century Gothic" w:hAnsi="Century Gothic"/>
        </w:rPr>
        <w:t>plans are available for catchments in South Australia, Victoria</w:t>
      </w:r>
      <w:r w:rsidR="00B75B52">
        <w:rPr>
          <w:rFonts w:ascii="Century Gothic" w:hAnsi="Century Gothic"/>
        </w:rPr>
        <w:t>, NSW</w:t>
      </w:r>
      <w:r w:rsidR="00F961D6">
        <w:rPr>
          <w:rFonts w:ascii="Century Gothic" w:hAnsi="Century Gothic"/>
        </w:rPr>
        <w:t xml:space="preserve"> and the western catchments in Queensland)</w:t>
      </w:r>
      <w:r w:rsidRPr="00F961D6">
        <w:rPr>
          <w:rFonts w:ascii="Century Gothic" w:hAnsi="Century Gothic"/>
        </w:rPr>
        <w:t>. In the meantime, environmental water managers will continue to draw on information from a large number of existing documents that describe environmental watering requirements for specific wetlands and catchments, as well as local knowledge and monitoring results.</w:t>
      </w:r>
      <w:bookmarkStart w:id="145" w:name="_Toc430087317"/>
    </w:p>
    <w:p w14:paraId="6C650108" w14:textId="77777777" w:rsidR="007A7A94" w:rsidRDefault="000E3C60">
      <w:pPr>
        <w:pStyle w:val="Heading11"/>
        <w:numPr>
          <w:ilvl w:val="2"/>
          <w:numId w:val="66"/>
        </w:numPr>
        <w:spacing w:before="0" w:after="120"/>
        <w:ind w:left="1418" w:hanging="704"/>
        <w:rPr>
          <w:rFonts w:cs="Arial"/>
        </w:rPr>
      </w:pPr>
      <w:bookmarkStart w:id="146" w:name="_Toc517264653"/>
      <w:r w:rsidRPr="000E3C60">
        <w:rPr>
          <w:rFonts w:ascii="Century Gothic" w:hAnsi="Century Gothic" w:cs="Arial"/>
          <w:sz w:val="24"/>
          <w:szCs w:val="24"/>
        </w:rPr>
        <w:t>Outcomes from Commonwealth environmental water</w:t>
      </w:r>
      <w:bookmarkEnd w:id="145"/>
      <w:bookmarkEnd w:id="146"/>
    </w:p>
    <w:p w14:paraId="6C650109" w14:textId="77777777" w:rsidR="00B17604" w:rsidRDefault="00EC7032">
      <w:pPr>
        <w:pStyle w:val="ListBullet"/>
        <w:numPr>
          <w:ilvl w:val="0"/>
          <w:numId w:val="0"/>
        </w:numPr>
        <w:spacing w:after="120"/>
        <w:rPr>
          <w:rFonts w:ascii="Century Gothic" w:hAnsi="Century Gothic"/>
        </w:rPr>
      </w:pPr>
      <w:r w:rsidRPr="00EC7032">
        <w:rPr>
          <w:rFonts w:ascii="Century Gothic" w:hAnsi="Century Gothic"/>
        </w:rPr>
        <w:t xml:space="preserve">The above environmental objectives, outcomes and targets are all long-term. However, individual environmental watering actions are undertaken over much shorter timeframes. Therefore, it is necessary to identify the short-term outcomes that will contribute to these longer-term objectives. The </w:t>
      </w:r>
      <w:r w:rsidRPr="00EC7032">
        <w:rPr>
          <w:rFonts w:ascii="Century Gothic" w:hAnsi="Century Gothic"/>
          <w:b/>
          <w:color w:val="0070C0"/>
        </w:rPr>
        <w:t>Commonwealth Environmental Water Outcomes Framework</w:t>
      </w:r>
      <w:r w:rsidRPr="00EC7032">
        <w:rPr>
          <w:rFonts w:ascii="Century Gothic" w:hAnsi="Century Gothic"/>
        </w:rPr>
        <w:t xml:space="preserve"> identifies outcomes that can be expected from Commonwealth environmental watering:</w:t>
      </w:r>
    </w:p>
    <w:p w14:paraId="6C65010A" w14:textId="77777777" w:rsidR="00B17604" w:rsidRDefault="00EC7032" w:rsidP="00623ACD">
      <w:pPr>
        <w:numPr>
          <w:ilvl w:val="0"/>
          <w:numId w:val="17"/>
        </w:numPr>
        <w:spacing w:after="120"/>
        <w:ind w:left="426"/>
        <w:rPr>
          <w:rFonts w:ascii="Century Gothic" w:hAnsi="Century Gothic"/>
          <w:lang w:val="en-GB"/>
        </w:rPr>
      </w:pPr>
      <w:r w:rsidRPr="00EC7032">
        <w:rPr>
          <w:rFonts w:ascii="Century Gothic" w:hAnsi="Century Gothic"/>
          <w:lang w:val="en-GB"/>
        </w:rPr>
        <w:t>in less than one year (1 year outcomes)</w:t>
      </w:r>
    </w:p>
    <w:p w14:paraId="6C65010B" w14:textId="77777777" w:rsidR="00B17604" w:rsidRDefault="00EC7032" w:rsidP="00623ACD">
      <w:pPr>
        <w:numPr>
          <w:ilvl w:val="0"/>
          <w:numId w:val="17"/>
        </w:numPr>
        <w:spacing w:after="120"/>
        <w:ind w:left="426"/>
        <w:rPr>
          <w:rFonts w:ascii="Century Gothic" w:hAnsi="Century Gothic"/>
          <w:lang w:val="en-GB"/>
        </w:rPr>
      </w:pPr>
      <w:r w:rsidRPr="00EC7032">
        <w:rPr>
          <w:rFonts w:ascii="Century Gothic" w:hAnsi="Century Gothic"/>
          <w:lang w:val="en-GB"/>
        </w:rPr>
        <w:t xml:space="preserve">between one and five years (5 year outcomes). </w:t>
      </w:r>
    </w:p>
    <w:p w14:paraId="6C65010C" w14:textId="77777777" w:rsidR="00C433B2" w:rsidRDefault="00C433B2">
      <w:pPr>
        <w:pStyle w:val="ListBullet"/>
        <w:numPr>
          <w:ilvl w:val="0"/>
          <w:numId w:val="0"/>
        </w:numPr>
        <w:spacing w:after="120"/>
        <w:rPr>
          <w:rFonts w:ascii="Century Gothic" w:hAnsi="Century Gothic"/>
        </w:rPr>
      </w:pPr>
    </w:p>
    <w:p w14:paraId="6C65010D" w14:textId="2CFBC53A" w:rsidR="00B17604" w:rsidRDefault="00EC7032" w:rsidP="009020A7">
      <w:pPr>
        <w:pStyle w:val="ListBullet"/>
        <w:numPr>
          <w:ilvl w:val="0"/>
          <w:numId w:val="0"/>
        </w:numPr>
        <w:rPr>
          <w:rFonts w:ascii="Century Gothic" w:hAnsi="Century Gothic"/>
        </w:rPr>
      </w:pPr>
      <w:r w:rsidRPr="00EC7032">
        <w:rPr>
          <w:rFonts w:ascii="Century Gothic" w:hAnsi="Century Gothic"/>
        </w:rPr>
        <w:t>When these shorter-term outcomes are achieved over multiple years, the best available science indicates that they will cumulatively contribute to meeting the longer term objectives and outcomes</w:t>
      </w:r>
      <w:r w:rsidR="00384203" w:rsidRPr="0012766D">
        <w:rPr>
          <w:rFonts w:ascii="Century Gothic" w:hAnsi="Century Gothic"/>
        </w:rPr>
        <w:t xml:space="preserve"> in the</w:t>
      </w:r>
      <w:r w:rsidR="00FE6485" w:rsidRPr="0012766D">
        <w:rPr>
          <w:rFonts w:ascii="Century Gothic" w:hAnsi="Century Gothic"/>
        </w:rPr>
        <w:t xml:space="preserve"> environmental watering plan</w:t>
      </w:r>
      <w:r w:rsidR="00384203" w:rsidRPr="0012766D">
        <w:rPr>
          <w:rFonts w:ascii="Century Gothic" w:hAnsi="Century Gothic"/>
        </w:rPr>
        <w:t xml:space="preserve"> </w:t>
      </w:r>
      <w:r w:rsidR="00FE6485" w:rsidRPr="0012766D">
        <w:rPr>
          <w:rFonts w:ascii="Century Gothic" w:hAnsi="Century Gothic"/>
        </w:rPr>
        <w:t>and the Basin-wide</w:t>
      </w:r>
      <w:r w:rsidR="00384203" w:rsidRPr="0012766D">
        <w:rPr>
          <w:rFonts w:ascii="Century Gothic" w:hAnsi="Century Gothic"/>
        </w:rPr>
        <w:t xml:space="preserve"> environmental watering strategy</w:t>
      </w:r>
      <w:r w:rsidR="009020A7">
        <w:rPr>
          <w:rFonts w:ascii="Century Gothic" w:hAnsi="Century Gothic"/>
        </w:rPr>
        <w:t xml:space="preserve"> (see Table 1).</w:t>
      </w:r>
      <w:r w:rsidR="00384203" w:rsidRPr="0012766D">
        <w:rPr>
          <w:rFonts w:ascii="Century Gothic" w:hAnsi="Century Gothic"/>
        </w:rPr>
        <w:t xml:space="preserve"> </w:t>
      </w:r>
      <w:r w:rsidR="00CD10DD" w:rsidRPr="0012766D">
        <w:rPr>
          <w:rFonts w:ascii="Century Gothic" w:hAnsi="Century Gothic"/>
        </w:rPr>
        <w:t xml:space="preserve">For </w:t>
      </w:r>
      <w:r w:rsidR="00CD10DD">
        <w:rPr>
          <w:rFonts w:ascii="Century Gothic" w:hAnsi="Century Gothic"/>
        </w:rPr>
        <w:t>further information please refer to:</w:t>
      </w:r>
      <w:r w:rsidR="008B0572">
        <w:rPr>
          <w:rFonts w:ascii="Century Gothic" w:hAnsi="Century Gothic"/>
        </w:rPr>
        <w:t xml:space="preserve"> </w:t>
      </w:r>
      <w:hyperlink r:id="rId26" w:history="1">
        <w:r w:rsidR="00281DEF" w:rsidRPr="002B6397">
          <w:rPr>
            <w:rStyle w:val="Hyperlink"/>
            <w:rFonts w:ascii="Century Gothic" w:hAnsi="Century Gothic"/>
          </w:rPr>
          <w:t>http://www.environment.gov.au/water/cewo/publications/environmental-water-outcomes-framework</w:t>
        </w:r>
      </w:hyperlink>
      <w:r w:rsidR="00326B4E" w:rsidRPr="000E3C60">
        <w:rPr>
          <w:rFonts w:ascii="Century Gothic" w:hAnsi="Century Gothic"/>
        </w:rPr>
        <w:t>.</w:t>
      </w:r>
      <w:r w:rsidR="00CD10DD">
        <w:rPr>
          <w:rFonts w:ascii="Century Gothic" w:hAnsi="Century Gothic"/>
        </w:rPr>
        <w:t xml:space="preserve"> </w:t>
      </w:r>
    </w:p>
    <w:p w14:paraId="407AF3D3" w14:textId="77777777" w:rsidR="00E66504" w:rsidRDefault="00E66504" w:rsidP="00E66504">
      <w:pPr>
        <w:pStyle w:val="Heading11"/>
        <w:numPr>
          <w:ilvl w:val="2"/>
          <w:numId w:val="122"/>
        </w:numPr>
        <w:spacing w:before="0" w:after="120"/>
        <w:rPr>
          <w:rFonts w:cs="Arial"/>
        </w:rPr>
      </w:pPr>
      <w:bookmarkStart w:id="147" w:name="_Toc517264654"/>
      <w:bookmarkStart w:id="148" w:name="_Toc414367239"/>
      <w:bookmarkStart w:id="149" w:name="_Ref445121103"/>
      <w:bookmarkEnd w:id="140"/>
      <w:r w:rsidRPr="000E3C60">
        <w:rPr>
          <w:rFonts w:ascii="Century Gothic" w:hAnsi="Century Gothic" w:cs="Arial"/>
          <w:sz w:val="24"/>
          <w:szCs w:val="24"/>
        </w:rPr>
        <w:t>Annual environmental water demands</w:t>
      </w:r>
      <w:bookmarkEnd w:id="147"/>
    </w:p>
    <w:p w14:paraId="47E8AE68" w14:textId="77777777" w:rsidR="00E66504" w:rsidRDefault="00E66504" w:rsidP="00E66504">
      <w:pPr>
        <w:pStyle w:val="Para0"/>
        <w:spacing w:after="120" w:line="240" w:lineRule="auto"/>
        <w:rPr>
          <w:rFonts w:ascii="Century Gothic" w:hAnsi="Century Gothic"/>
          <w:color w:val="auto"/>
        </w:rPr>
      </w:pPr>
      <w:r>
        <w:rPr>
          <w:rFonts w:ascii="Century Gothic" w:hAnsi="Century Gothic"/>
          <w:color w:val="auto"/>
        </w:rPr>
        <w:t>Prior to the start of each new water year,</w:t>
      </w:r>
      <w:r w:rsidRPr="00BE31EB">
        <w:rPr>
          <w:rFonts w:ascii="Century Gothic" w:hAnsi="Century Gothic"/>
          <w:color w:val="auto"/>
        </w:rPr>
        <w:t xml:space="preserve"> the</w:t>
      </w:r>
      <w:r w:rsidRPr="00B9125A">
        <w:rPr>
          <w:rFonts w:ascii="Century Gothic" w:hAnsi="Century Gothic"/>
          <w:color w:val="auto"/>
        </w:rPr>
        <w:t xml:space="preserve"> </w:t>
      </w:r>
      <w:r>
        <w:rPr>
          <w:rFonts w:ascii="Century Gothic" w:hAnsi="Century Gothic"/>
          <w:color w:val="auto"/>
        </w:rPr>
        <w:t>Murray-Darling</w:t>
      </w:r>
      <w:r w:rsidRPr="00BE31EB">
        <w:rPr>
          <w:rFonts w:ascii="Century Gothic" w:hAnsi="Century Gothic"/>
          <w:color w:val="auto"/>
        </w:rPr>
        <w:t xml:space="preserve"> Basin A</w:t>
      </w:r>
      <w:r>
        <w:rPr>
          <w:rFonts w:ascii="Century Gothic" w:hAnsi="Century Gothic"/>
          <w:color w:val="auto"/>
        </w:rPr>
        <w:t>uthority</w:t>
      </w:r>
      <w:r w:rsidRPr="00BE31EB">
        <w:rPr>
          <w:rFonts w:ascii="Century Gothic" w:hAnsi="Century Gothic"/>
          <w:color w:val="auto"/>
        </w:rPr>
        <w:t xml:space="preserve"> must </w:t>
      </w:r>
      <w:r>
        <w:rPr>
          <w:rFonts w:ascii="Century Gothic" w:hAnsi="Century Gothic"/>
          <w:color w:val="auto"/>
        </w:rPr>
        <w:t>publish</w:t>
      </w:r>
      <w:r w:rsidRPr="00BE31EB">
        <w:rPr>
          <w:rFonts w:ascii="Century Gothic" w:hAnsi="Century Gothic"/>
          <w:color w:val="auto"/>
        </w:rPr>
        <w:t xml:space="preserve"> Basin </w:t>
      </w:r>
      <w:r>
        <w:rPr>
          <w:rFonts w:ascii="Century Gothic" w:hAnsi="Century Gothic"/>
          <w:color w:val="auto"/>
        </w:rPr>
        <w:t>a</w:t>
      </w:r>
      <w:r w:rsidRPr="00BE31EB">
        <w:rPr>
          <w:rFonts w:ascii="Century Gothic" w:hAnsi="Century Gothic"/>
          <w:color w:val="auto"/>
        </w:rPr>
        <w:t xml:space="preserve">nnual </w:t>
      </w:r>
      <w:r>
        <w:rPr>
          <w:rFonts w:ascii="Century Gothic" w:hAnsi="Century Gothic"/>
          <w:color w:val="auto"/>
        </w:rPr>
        <w:t>e</w:t>
      </w:r>
      <w:r w:rsidRPr="00BE31EB">
        <w:rPr>
          <w:rFonts w:ascii="Century Gothic" w:hAnsi="Century Gothic"/>
          <w:color w:val="auto"/>
        </w:rPr>
        <w:t xml:space="preserve">nvironmental </w:t>
      </w:r>
      <w:r>
        <w:rPr>
          <w:rFonts w:ascii="Century Gothic" w:hAnsi="Century Gothic"/>
          <w:color w:val="auto"/>
        </w:rPr>
        <w:t>w</w:t>
      </w:r>
      <w:r w:rsidRPr="00BE31EB">
        <w:rPr>
          <w:rFonts w:ascii="Century Gothic" w:hAnsi="Century Gothic"/>
          <w:color w:val="auto"/>
        </w:rPr>
        <w:t xml:space="preserve">atering </w:t>
      </w:r>
      <w:r>
        <w:rPr>
          <w:rFonts w:ascii="Century Gothic" w:hAnsi="Century Gothic"/>
          <w:color w:val="auto"/>
        </w:rPr>
        <w:t>p</w:t>
      </w:r>
      <w:r w:rsidRPr="00BE31EB">
        <w:rPr>
          <w:rFonts w:ascii="Century Gothic" w:hAnsi="Century Gothic"/>
          <w:color w:val="auto"/>
        </w:rPr>
        <w:t xml:space="preserve">riorities. </w:t>
      </w:r>
      <w:r>
        <w:rPr>
          <w:rFonts w:ascii="Century Gothic" w:hAnsi="Century Gothic"/>
          <w:color w:val="auto"/>
        </w:rPr>
        <w:t>All environmental watering must be undertaken having regard to these priorities. They are developed having regard to the annual environmental watering priorities developed by Basin States for each catchment.</w:t>
      </w:r>
    </w:p>
    <w:p w14:paraId="4477B3EE" w14:textId="77777777" w:rsidR="00E66504" w:rsidRDefault="00E66504" w:rsidP="00E66504">
      <w:pPr>
        <w:pStyle w:val="Para0"/>
        <w:spacing w:after="120" w:line="240" w:lineRule="auto"/>
        <w:jc w:val="left"/>
        <w:rPr>
          <w:rFonts w:ascii="Century Gothic" w:hAnsi="Century Gothic"/>
          <w:color w:val="auto"/>
        </w:rPr>
      </w:pPr>
      <w:r w:rsidRPr="00721ECC">
        <w:rPr>
          <w:rFonts w:ascii="Century Gothic" w:hAnsi="Century Gothic"/>
          <w:color w:val="auto"/>
        </w:rPr>
        <w:t xml:space="preserve">The Basin annual environmental watering priorities are </w:t>
      </w:r>
      <w:r>
        <w:rPr>
          <w:rFonts w:ascii="Century Gothic" w:hAnsi="Century Gothic"/>
          <w:color w:val="auto"/>
        </w:rPr>
        <w:t xml:space="preserve">available from: </w:t>
      </w:r>
      <w:hyperlink r:id="rId27" w:history="1">
        <w:r w:rsidRPr="00AE2FE6">
          <w:rPr>
            <w:rStyle w:val="Hyperlink"/>
            <w:rFonts w:ascii="Century Gothic" w:hAnsi="Century Gothic"/>
          </w:rPr>
          <w:t>http://www.mdba.gov.au/managing-water/environmental-water/basin-annual-environmental-watering-priorities</w:t>
        </w:r>
      </w:hyperlink>
      <w:r w:rsidRPr="000E3C60">
        <w:rPr>
          <w:rFonts w:ascii="Century Gothic" w:hAnsi="Century Gothic"/>
          <w:color w:val="auto"/>
        </w:rPr>
        <w:t>.</w:t>
      </w:r>
      <w:r>
        <w:rPr>
          <w:rFonts w:ascii="Century Gothic" w:hAnsi="Century Gothic"/>
          <w:color w:val="auto"/>
        </w:rPr>
        <w:t xml:space="preserve"> </w:t>
      </w:r>
    </w:p>
    <w:p w14:paraId="3F3E9DBC" w14:textId="77777777" w:rsidR="00E66504" w:rsidRDefault="00E66504" w:rsidP="00E66504">
      <w:pPr>
        <w:pStyle w:val="Para0"/>
        <w:spacing w:after="120" w:line="240" w:lineRule="auto"/>
        <w:rPr>
          <w:rFonts w:ascii="Century Gothic" w:hAnsi="Century Gothic"/>
          <w:color w:val="auto"/>
        </w:rPr>
      </w:pPr>
      <w:r w:rsidRPr="00721ECC">
        <w:rPr>
          <w:rFonts w:ascii="Century Gothic" w:hAnsi="Century Gothic"/>
          <w:color w:val="auto"/>
        </w:rPr>
        <w:t>Commonwealth environmental watering actions will seek to contribute to the Basin annual environmental watering priorities, subject to conditions as they unfold throughout the year.</w:t>
      </w:r>
      <w:r w:rsidRPr="00BE31EB">
        <w:rPr>
          <w:rFonts w:ascii="Century Gothic" w:hAnsi="Century Gothic"/>
          <w:color w:val="auto"/>
        </w:rPr>
        <w:t xml:space="preserve"> </w:t>
      </w:r>
    </w:p>
    <w:bookmarkEnd w:id="148"/>
    <w:p w14:paraId="7E924E1E" w14:textId="3D571A53" w:rsidR="00E66504" w:rsidRDefault="00E66504">
      <w:pPr>
        <w:spacing w:after="0"/>
        <w:jc w:val="left"/>
        <w:rPr>
          <w:rFonts w:ascii="Century Gothic" w:hAnsi="Century Gothic"/>
          <w:b/>
          <w:bCs/>
        </w:rPr>
      </w:pPr>
    </w:p>
    <w:p w14:paraId="6C65010E" w14:textId="178EBAF7" w:rsidR="00B17604" w:rsidRPr="00E66504" w:rsidRDefault="008B0572">
      <w:pPr>
        <w:pStyle w:val="Caption"/>
        <w:keepNext/>
      </w:pPr>
      <w:r w:rsidRPr="00E66504">
        <w:rPr>
          <w:rFonts w:ascii="Century Gothic" w:hAnsi="Century Gothic"/>
        </w:rPr>
        <w:t xml:space="preserve">Table </w:t>
      </w:r>
      <w:r w:rsidR="00D848C1" w:rsidRPr="00E66504">
        <w:rPr>
          <w:rFonts w:ascii="Century Gothic" w:hAnsi="Century Gothic"/>
        </w:rPr>
        <w:fldChar w:fldCharType="begin"/>
      </w:r>
      <w:r w:rsidRPr="00E66504">
        <w:rPr>
          <w:rFonts w:ascii="Century Gothic" w:hAnsi="Century Gothic"/>
        </w:rPr>
        <w:instrText xml:space="preserve"> SEQ Table \* ARABIC </w:instrText>
      </w:r>
      <w:r w:rsidR="00D848C1" w:rsidRPr="00E66504">
        <w:rPr>
          <w:rFonts w:ascii="Century Gothic" w:hAnsi="Century Gothic"/>
        </w:rPr>
        <w:fldChar w:fldCharType="separate"/>
      </w:r>
      <w:r w:rsidR="0044680F">
        <w:rPr>
          <w:rFonts w:ascii="Century Gothic" w:hAnsi="Century Gothic"/>
          <w:noProof/>
        </w:rPr>
        <w:t>1</w:t>
      </w:r>
      <w:r w:rsidR="00D848C1" w:rsidRPr="00E66504">
        <w:rPr>
          <w:rFonts w:ascii="Century Gothic" w:hAnsi="Century Gothic"/>
        </w:rPr>
        <w:fldChar w:fldCharType="end"/>
      </w:r>
      <w:bookmarkEnd w:id="149"/>
      <w:r w:rsidRPr="00E66504">
        <w:rPr>
          <w:rFonts w:ascii="Century Gothic" w:hAnsi="Century Gothic"/>
        </w:rPr>
        <w:t xml:space="preserve">: </w:t>
      </w:r>
      <w:r w:rsidR="00553B2D" w:rsidRPr="00E66504">
        <w:rPr>
          <w:rFonts w:ascii="Century Gothic" w:hAnsi="Century Gothic"/>
          <w:b w:val="0"/>
        </w:rPr>
        <w:t>Commonwealth E</w:t>
      </w:r>
      <w:r w:rsidR="001D04AC" w:rsidRPr="00E66504">
        <w:rPr>
          <w:rFonts w:ascii="Century Gothic" w:hAnsi="Century Gothic"/>
          <w:b w:val="0"/>
        </w:rPr>
        <w:t>nvironmental</w:t>
      </w:r>
      <w:r w:rsidR="00553B2D" w:rsidRPr="00E66504">
        <w:rPr>
          <w:rFonts w:ascii="Century Gothic" w:hAnsi="Century Gothic"/>
          <w:b w:val="0"/>
        </w:rPr>
        <w:t xml:space="preserve"> Water</w:t>
      </w:r>
      <w:r w:rsidR="001D04AC" w:rsidRPr="00E66504">
        <w:rPr>
          <w:rFonts w:ascii="Century Gothic" w:hAnsi="Century Gothic"/>
          <w:b w:val="0"/>
        </w:rPr>
        <w:t xml:space="preserve"> </w:t>
      </w:r>
      <w:r w:rsidR="00553B2D" w:rsidRPr="00E66504">
        <w:rPr>
          <w:rFonts w:ascii="Century Gothic" w:hAnsi="Century Gothic"/>
          <w:b w:val="0"/>
        </w:rPr>
        <w:t>O</w:t>
      </w:r>
      <w:r w:rsidR="001D04AC" w:rsidRPr="00E66504">
        <w:rPr>
          <w:rFonts w:ascii="Century Gothic" w:hAnsi="Century Gothic"/>
          <w:b w:val="0"/>
        </w:rPr>
        <w:t xml:space="preserve">utcomes </w:t>
      </w:r>
      <w:r w:rsidR="00553B2D" w:rsidRPr="00E66504">
        <w:rPr>
          <w:rFonts w:ascii="Century Gothic" w:hAnsi="Century Gothic"/>
          <w:b w:val="0"/>
        </w:rPr>
        <w:t>F</w:t>
      </w:r>
      <w:r w:rsidR="001D04AC" w:rsidRPr="00E66504">
        <w:rPr>
          <w:rFonts w:ascii="Century Gothic" w:hAnsi="Century Gothic"/>
          <w:b w:val="0"/>
        </w:rPr>
        <w:t>ramework</w:t>
      </w:r>
      <w:r w:rsidR="00363BD9" w:rsidRPr="00E66504">
        <w:rPr>
          <w:rFonts w:ascii="Century Gothic" w:hAnsi="Century Gothic"/>
          <w:b w:val="0"/>
        </w:rPr>
        <w:t>: The 1 and 5 year expected outcomes from Commonwealth environmental water and how they will contribute to Basin outcomes</w:t>
      </w:r>
      <w:r w:rsidR="00E66504">
        <w:rPr>
          <w:rStyle w:val="FootnoteReference"/>
          <w:rFonts w:ascii="Century Gothic" w:hAnsi="Century Gothic"/>
          <w:b w:val="0"/>
        </w:rPr>
        <w:footnoteReference w:id="2"/>
      </w:r>
      <w:r w:rsidR="00363BD9" w:rsidRPr="00E66504">
        <w:rPr>
          <w:rFonts w:ascii="Century Gothic" w:hAnsi="Century Gothic"/>
          <w:b w:val="0"/>
        </w:rPr>
        <w:t xml:space="preserve"> </w:t>
      </w:r>
    </w:p>
    <w:tbl>
      <w:tblPr>
        <w:tblW w:w="10490" w:type="dxa"/>
        <w:tblInd w:w="-459" w:type="dxa"/>
        <w:tblLayout w:type="fixed"/>
        <w:tblLook w:val="04A0" w:firstRow="1" w:lastRow="0" w:firstColumn="1" w:lastColumn="0" w:noHBand="0" w:noVBand="1"/>
      </w:tblPr>
      <w:tblGrid>
        <w:gridCol w:w="1163"/>
        <w:gridCol w:w="425"/>
        <w:gridCol w:w="426"/>
        <w:gridCol w:w="992"/>
        <w:gridCol w:w="3969"/>
        <w:gridCol w:w="1984"/>
        <w:gridCol w:w="1531"/>
      </w:tblGrid>
      <w:tr w:rsidR="00BA5E36" w:rsidRPr="00561936" w14:paraId="6C650114" w14:textId="77777777" w:rsidTr="00E66504">
        <w:trPr>
          <w:trHeight w:val="547"/>
        </w:trPr>
        <w:tc>
          <w:tcPr>
            <w:tcW w:w="116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C65010F" w14:textId="77777777" w:rsidR="007A7A94" w:rsidRDefault="00BA5E36" w:rsidP="00E66504">
            <w:pPr>
              <w:spacing w:after="0"/>
              <w:jc w:val="left"/>
              <w:rPr>
                <w:rFonts w:asciiTheme="minorHAnsi" w:hAnsiTheme="minorHAnsi"/>
                <w:b/>
                <w:bCs/>
                <w:color w:val="FFFFFF" w:themeColor="background1"/>
                <w:sz w:val="18"/>
                <w:szCs w:val="18"/>
                <w:lang w:val="en-GB" w:eastAsia="en-US"/>
              </w:rPr>
            </w:pPr>
            <w:r w:rsidRPr="00561936">
              <w:rPr>
                <w:rFonts w:asciiTheme="minorHAnsi" w:hAnsiTheme="minorHAnsi"/>
                <w:b/>
                <w:bCs/>
                <w:color w:val="FFFFFF" w:themeColor="background1"/>
                <w:sz w:val="18"/>
                <w:szCs w:val="18"/>
              </w:rPr>
              <w:t>Basin Plan Objectives</w:t>
            </w:r>
          </w:p>
        </w:tc>
        <w:tc>
          <w:tcPr>
            <w:tcW w:w="1843" w:type="dxa"/>
            <w:gridSpan w:val="3"/>
            <w:tcBorders>
              <w:top w:val="single" w:sz="8" w:space="0" w:color="auto"/>
              <w:left w:val="single" w:sz="4" w:space="0" w:color="auto"/>
              <w:bottom w:val="single" w:sz="4" w:space="0" w:color="auto"/>
              <w:right w:val="single" w:sz="8" w:space="0" w:color="000000"/>
            </w:tcBorders>
            <w:shd w:val="clear" w:color="auto" w:fill="79B2F7"/>
            <w:vAlign w:val="center"/>
            <w:hideMark/>
          </w:tcPr>
          <w:p w14:paraId="6C650110" w14:textId="77777777" w:rsidR="007A7A94" w:rsidRDefault="00BA5E36" w:rsidP="00E66504">
            <w:pPr>
              <w:spacing w:after="0"/>
              <w:jc w:val="center"/>
              <w:rPr>
                <w:rFonts w:asciiTheme="minorHAnsi" w:hAnsiTheme="minorHAnsi"/>
                <w:b/>
                <w:bCs/>
                <w:color w:val="5F497A" w:themeColor="accent4" w:themeShade="BF"/>
                <w:sz w:val="18"/>
                <w:szCs w:val="18"/>
                <w:lang w:val="en-GB" w:eastAsia="en-US"/>
              </w:rPr>
            </w:pPr>
            <w:r w:rsidRPr="00561936">
              <w:rPr>
                <w:rFonts w:asciiTheme="minorHAnsi" w:hAnsiTheme="minorHAnsi"/>
                <w:b/>
                <w:bCs/>
                <w:sz w:val="18"/>
                <w:szCs w:val="18"/>
              </w:rPr>
              <w:t>Basin Outcomes</w:t>
            </w:r>
          </w:p>
        </w:tc>
        <w:tc>
          <w:tcPr>
            <w:tcW w:w="3969" w:type="dxa"/>
            <w:tcBorders>
              <w:top w:val="single" w:sz="8" w:space="0" w:color="auto"/>
              <w:left w:val="single" w:sz="8" w:space="0" w:color="auto"/>
              <w:bottom w:val="single" w:sz="8" w:space="0" w:color="000000"/>
              <w:right w:val="single" w:sz="4" w:space="0" w:color="auto"/>
            </w:tcBorders>
            <w:shd w:val="clear" w:color="auto" w:fill="FABF8F" w:themeFill="accent6" w:themeFillTint="99"/>
          </w:tcPr>
          <w:p w14:paraId="6C650111" w14:textId="77777777" w:rsidR="007A7A94" w:rsidRDefault="00BA5E36" w:rsidP="00E66504">
            <w:pPr>
              <w:spacing w:after="0"/>
              <w:jc w:val="center"/>
              <w:rPr>
                <w:rFonts w:asciiTheme="minorHAnsi" w:hAnsiTheme="minorHAnsi"/>
                <w:b/>
                <w:bCs/>
                <w:color w:val="5F497A" w:themeColor="accent4" w:themeShade="BF"/>
                <w:sz w:val="18"/>
                <w:szCs w:val="18"/>
                <w:lang w:val="en-GB" w:eastAsia="en-US"/>
              </w:rPr>
            </w:pPr>
            <w:r w:rsidRPr="00561936">
              <w:rPr>
                <w:rFonts w:asciiTheme="minorHAnsi" w:hAnsiTheme="minorHAnsi"/>
                <w:b/>
                <w:bCs/>
                <w:sz w:val="18"/>
                <w:szCs w:val="18"/>
              </w:rPr>
              <w:t>Basin</w:t>
            </w:r>
            <w:r w:rsidR="00363BD9">
              <w:rPr>
                <w:rFonts w:asciiTheme="minorHAnsi" w:hAnsiTheme="minorHAnsi"/>
                <w:b/>
                <w:bCs/>
                <w:sz w:val="18"/>
                <w:szCs w:val="18"/>
              </w:rPr>
              <w:t>-w</w:t>
            </w:r>
            <w:r w:rsidRPr="00561936">
              <w:rPr>
                <w:rFonts w:asciiTheme="minorHAnsi" w:hAnsiTheme="minorHAnsi"/>
                <w:b/>
                <w:bCs/>
                <w:sz w:val="18"/>
                <w:szCs w:val="18"/>
              </w:rPr>
              <w:t>ide Environmental Watering Strategy – Expected Outcomes</w:t>
            </w:r>
          </w:p>
        </w:tc>
        <w:tc>
          <w:tcPr>
            <w:tcW w:w="1984" w:type="dxa"/>
            <w:tcBorders>
              <w:top w:val="single" w:sz="4" w:space="0" w:color="auto"/>
              <w:left w:val="single" w:sz="4" w:space="0" w:color="auto"/>
              <w:bottom w:val="single" w:sz="8" w:space="0" w:color="000000"/>
              <w:right w:val="single" w:sz="4" w:space="0" w:color="auto"/>
            </w:tcBorders>
            <w:shd w:val="clear" w:color="auto" w:fill="92D050"/>
            <w:vAlign w:val="center"/>
            <w:hideMark/>
          </w:tcPr>
          <w:p w14:paraId="6C650112" w14:textId="77777777" w:rsidR="007A7A94" w:rsidRDefault="00BA5E36" w:rsidP="00E66504">
            <w:pPr>
              <w:spacing w:after="0"/>
              <w:jc w:val="center"/>
              <w:rPr>
                <w:rFonts w:asciiTheme="minorHAnsi" w:hAnsiTheme="minorHAnsi"/>
                <w:b/>
                <w:bCs/>
                <w:color w:val="5F497A" w:themeColor="accent4" w:themeShade="BF"/>
                <w:sz w:val="18"/>
                <w:szCs w:val="18"/>
                <w:lang w:val="en-GB" w:eastAsia="en-US"/>
              </w:rPr>
            </w:pPr>
            <w:r w:rsidRPr="00561936">
              <w:rPr>
                <w:rFonts w:asciiTheme="minorHAnsi" w:hAnsiTheme="minorHAnsi"/>
                <w:b/>
                <w:bCs/>
                <w:sz w:val="18"/>
                <w:szCs w:val="18"/>
              </w:rPr>
              <w:t>5 year Expected Outcomes</w:t>
            </w:r>
          </w:p>
        </w:tc>
        <w:tc>
          <w:tcPr>
            <w:tcW w:w="1531" w:type="dxa"/>
            <w:tcBorders>
              <w:top w:val="single" w:sz="8" w:space="0" w:color="auto"/>
              <w:left w:val="single" w:sz="4" w:space="0" w:color="auto"/>
              <w:bottom w:val="single" w:sz="8" w:space="0" w:color="000000"/>
              <w:right w:val="single" w:sz="4" w:space="0" w:color="auto"/>
            </w:tcBorders>
            <w:shd w:val="clear" w:color="auto" w:fill="D6E3BC" w:themeFill="accent3" w:themeFillTint="66"/>
            <w:vAlign w:val="center"/>
            <w:hideMark/>
          </w:tcPr>
          <w:p w14:paraId="6C650113" w14:textId="77777777" w:rsidR="007A7A94" w:rsidRDefault="00BA5E36" w:rsidP="00E66504">
            <w:pPr>
              <w:spacing w:after="0"/>
              <w:jc w:val="center"/>
              <w:rPr>
                <w:rFonts w:asciiTheme="minorHAnsi" w:hAnsiTheme="minorHAnsi"/>
                <w:b/>
                <w:bCs/>
                <w:color w:val="5F497A" w:themeColor="accent4" w:themeShade="BF"/>
                <w:sz w:val="18"/>
                <w:szCs w:val="18"/>
                <w:lang w:val="en-GB" w:eastAsia="en-US"/>
              </w:rPr>
            </w:pPr>
            <w:r w:rsidRPr="00561936">
              <w:rPr>
                <w:rFonts w:asciiTheme="minorHAnsi" w:hAnsiTheme="minorHAnsi"/>
                <w:b/>
                <w:bCs/>
                <w:sz w:val="18"/>
                <w:szCs w:val="18"/>
              </w:rPr>
              <w:t>1 year Expected Outcomes</w:t>
            </w:r>
          </w:p>
        </w:tc>
      </w:tr>
      <w:tr w:rsidR="00BA5E36" w:rsidRPr="00561936" w14:paraId="6C65011A" w14:textId="77777777" w:rsidTr="00E66504">
        <w:trPr>
          <w:trHeight w:val="54"/>
        </w:trPr>
        <w:tc>
          <w:tcPr>
            <w:tcW w:w="1163"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14:paraId="6C650115" w14:textId="77777777" w:rsidR="007A7A94" w:rsidRDefault="00BA5E36" w:rsidP="00E66504">
            <w:pPr>
              <w:spacing w:after="0"/>
              <w:jc w:val="left"/>
              <w:rPr>
                <w:rFonts w:asciiTheme="minorHAnsi" w:hAnsiTheme="minorHAnsi"/>
                <w:b/>
                <w:color w:val="FFFFFF" w:themeColor="background1"/>
                <w:sz w:val="18"/>
                <w:szCs w:val="18"/>
                <w:lang w:val="en-GB" w:eastAsia="en-US"/>
              </w:rPr>
            </w:pPr>
            <w:r>
              <w:rPr>
                <w:rFonts w:asciiTheme="minorHAnsi" w:hAnsiTheme="minorHAnsi"/>
                <w:color w:val="FFFFFF" w:themeColor="background1"/>
                <w:sz w:val="18"/>
                <w:szCs w:val="18"/>
              </w:rPr>
              <w:t>B</w:t>
            </w:r>
            <w:r w:rsidRPr="00561936">
              <w:rPr>
                <w:rFonts w:asciiTheme="minorHAnsi" w:hAnsiTheme="minorHAnsi"/>
                <w:color w:val="FFFFFF" w:themeColor="background1"/>
                <w:sz w:val="18"/>
                <w:szCs w:val="18"/>
              </w:rPr>
              <w:t>iodiversity</w:t>
            </w:r>
            <w:r w:rsidRPr="00561936">
              <w:rPr>
                <w:rFonts w:asciiTheme="minorHAnsi" w:hAnsiTheme="minorHAnsi"/>
                <w:color w:val="FFFFFF" w:themeColor="background1"/>
                <w:sz w:val="18"/>
                <w:szCs w:val="18"/>
              </w:rPr>
              <w:br/>
            </w:r>
            <w:r w:rsidRPr="00561936">
              <w:rPr>
                <w:rFonts w:asciiTheme="minorHAnsi" w:hAnsiTheme="minorHAnsi"/>
                <w:color w:val="FFFFFF" w:themeColor="background1"/>
                <w:sz w:val="18"/>
                <w:szCs w:val="18"/>
              </w:rPr>
              <w:br/>
              <w:t>(Basin Plan S. 8.05)</w:t>
            </w:r>
          </w:p>
        </w:tc>
        <w:tc>
          <w:tcPr>
            <w:tcW w:w="1843" w:type="dxa"/>
            <w:gridSpan w:val="3"/>
            <w:vMerge w:val="restart"/>
            <w:tcBorders>
              <w:top w:val="single" w:sz="4" w:space="0" w:color="auto"/>
              <w:left w:val="single" w:sz="4" w:space="0" w:color="auto"/>
              <w:right w:val="single" w:sz="4" w:space="0" w:color="auto"/>
            </w:tcBorders>
            <w:shd w:val="clear" w:color="auto" w:fill="79B2F7"/>
            <w:vAlign w:val="center"/>
            <w:hideMark/>
          </w:tcPr>
          <w:p w14:paraId="6C650116" w14:textId="77777777" w:rsidR="007A7A94" w:rsidRDefault="00BA5E36" w:rsidP="00E66504">
            <w:pPr>
              <w:spacing w:after="0"/>
              <w:jc w:val="left"/>
              <w:rPr>
                <w:rFonts w:asciiTheme="minorHAnsi" w:hAnsiTheme="minorHAnsi"/>
                <w:sz w:val="18"/>
                <w:szCs w:val="18"/>
              </w:rPr>
            </w:pPr>
            <w:r w:rsidRPr="00561936">
              <w:rPr>
                <w:rFonts w:asciiTheme="minorHAnsi" w:hAnsiTheme="minorHAnsi"/>
                <w:sz w:val="18"/>
                <w:szCs w:val="18"/>
              </w:rPr>
              <w:t>Ecosystem diversity</w:t>
            </w:r>
          </w:p>
        </w:tc>
        <w:tc>
          <w:tcPr>
            <w:tcW w:w="3969" w:type="dxa"/>
            <w:tcBorders>
              <w:top w:val="nil"/>
              <w:left w:val="nil"/>
              <w:right w:val="single" w:sz="4" w:space="0" w:color="auto"/>
            </w:tcBorders>
            <w:shd w:val="clear" w:color="auto" w:fill="FABF8F" w:themeFill="accent6" w:themeFillTint="99"/>
          </w:tcPr>
          <w:p w14:paraId="6C650117" w14:textId="77777777" w:rsidR="007A7A94" w:rsidRDefault="007A7A94" w:rsidP="00E66504">
            <w:pPr>
              <w:spacing w:after="0"/>
              <w:jc w:val="left"/>
              <w:rPr>
                <w:rFonts w:asciiTheme="minorHAnsi" w:hAnsiTheme="minorHAnsi"/>
                <w:sz w:val="18"/>
                <w:szCs w:val="18"/>
              </w:rPr>
            </w:pPr>
          </w:p>
        </w:tc>
        <w:tc>
          <w:tcPr>
            <w:tcW w:w="1984" w:type="dxa"/>
            <w:vMerge w:val="restart"/>
            <w:tcBorders>
              <w:top w:val="nil"/>
              <w:left w:val="single" w:sz="4" w:space="0" w:color="auto"/>
              <w:right w:val="single" w:sz="4" w:space="0" w:color="auto"/>
            </w:tcBorders>
            <w:shd w:val="clear" w:color="auto" w:fill="92D050"/>
            <w:vAlign w:val="center"/>
            <w:hideMark/>
          </w:tcPr>
          <w:p w14:paraId="6C650118"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Species diversity</w:t>
            </w:r>
          </w:p>
        </w:tc>
        <w:tc>
          <w:tcPr>
            <w:tcW w:w="1531" w:type="dxa"/>
            <w:vMerge w:val="restart"/>
            <w:tcBorders>
              <w:top w:val="nil"/>
              <w:left w:val="nil"/>
              <w:right w:val="single" w:sz="4" w:space="0" w:color="auto"/>
            </w:tcBorders>
            <w:shd w:val="clear" w:color="auto" w:fill="D6E3BC" w:themeFill="accent3" w:themeFillTint="66"/>
            <w:vAlign w:val="center"/>
          </w:tcPr>
          <w:p w14:paraId="6C650119" w14:textId="77777777" w:rsidR="007A7A94" w:rsidRDefault="007A7A94" w:rsidP="00E66504">
            <w:pPr>
              <w:pStyle w:val="ListBullet"/>
              <w:numPr>
                <w:ilvl w:val="0"/>
                <w:numId w:val="0"/>
              </w:numPr>
              <w:spacing w:after="0"/>
              <w:ind w:left="175"/>
              <w:jc w:val="left"/>
              <w:rPr>
                <w:rFonts w:asciiTheme="minorHAnsi" w:hAnsiTheme="minorHAnsi"/>
                <w:sz w:val="18"/>
                <w:szCs w:val="18"/>
              </w:rPr>
            </w:pPr>
          </w:p>
        </w:tc>
      </w:tr>
      <w:tr w:rsidR="00BA5E36" w:rsidRPr="00561936" w14:paraId="6C650120" w14:textId="77777777" w:rsidTr="00E66504">
        <w:trPr>
          <w:trHeight w:val="117"/>
        </w:trPr>
        <w:tc>
          <w:tcPr>
            <w:tcW w:w="1163" w:type="dxa"/>
            <w:vMerge/>
            <w:tcBorders>
              <w:top w:val="nil"/>
              <w:left w:val="single" w:sz="4" w:space="0" w:color="auto"/>
              <w:bottom w:val="single" w:sz="4" w:space="0" w:color="auto"/>
              <w:right w:val="single" w:sz="4" w:space="0" w:color="auto"/>
            </w:tcBorders>
            <w:shd w:val="clear" w:color="auto" w:fill="0070C0"/>
            <w:vAlign w:val="center"/>
            <w:hideMark/>
          </w:tcPr>
          <w:p w14:paraId="6C65011B" w14:textId="77777777" w:rsidR="007A7A94" w:rsidRDefault="007A7A94" w:rsidP="00E66504">
            <w:pPr>
              <w:spacing w:after="0"/>
              <w:jc w:val="left"/>
              <w:rPr>
                <w:rFonts w:asciiTheme="minorHAnsi" w:hAnsiTheme="minorHAnsi"/>
                <w:color w:val="FFFFFF" w:themeColor="background1"/>
                <w:sz w:val="18"/>
                <w:szCs w:val="18"/>
              </w:rPr>
            </w:pPr>
          </w:p>
        </w:tc>
        <w:tc>
          <w:tcPr>
            <w:tcW w:w="1843" w:type="dxa"/>
            <w:gridSpan w:val="3"/>
            <w:vMerge/>
            <w:tcBorders>
              <w:left w:val="single" w:sz="4" w:space="0" w:color="auto"/>
              <w:bottom w:val="single" w:sz="4" w:space="0" w:color="000000"/>
              <w:right w:val="single" w:sz="4" w:space="0" w:color="auto"/>
            </w:tcBorders>
            <w:shd w:val="clear" w:color="auto" w:fill="79B2F7"/>
            <w:vAlign w:val="center"/>
            <w:hideMark/>
          </w:tcPr>
          <w:p w14:paraId="6C65011C" w14:textId="77777777" w:rsidR="007A7A94" w:rsidRDefault="007A7A94" w:rsidP="00E66504">
            <w:pPr>
              <w:spacing w:after="0"/>
              <w:jc w:val="left"/>
              <w:rPr>
                <w:rFonts w:asciiTheme="minorHAnsi" w:hAnsiTheme="minorHAnsi"/>
                <w:sz w:val="18"/>
                <w:szCs w:val="18"/>
              </w:rPr>
            </w:pPr>
          </w:p>
        </w:tc>
        <w:tc>
          <w:tcPr>
            <w:tcW w:w="3969" w:type="dxa"/>
            <w:tcBorders>
              <w:left w:val="nil"/>
              <w:bottom w:val="single" w:sz="4" w:space="0" w:color="auto"/>
              <w:right w:val="single" w:sz="4" w:space="0" w:color="auto"/>
            </w:tcBorders>
            <w:shd w:val="clear" w:color="auto" w:fill="FABF8F" w:themeFill="accent6" w:themeFillTint="99"/>
          </w:tcPr>
          <w:p w14:paraId="6C65011D" w14:textId="77777777" w:rsidR="007A7A94" w:rsidRDefault="007A7A94" w:rsidP="00E66504">
            <w:pPr>
              <w:spacing w:after="0"/>
              <w:jc w:val="left"/>
              <w:rPr>
                <w:rFonts w:asciiTheme="minorHAnsi" w:hAnsiTheme="minorHAnsi"/>
                <w:sz w:val="18"/>
                <w:szCs w:val="18"/>
              </w:rPr>
            </w:pPr>
          </w:p>
        </w:tc>
        <w:tc>
          <w:tcPr>
            <w:tcW w:w="1984" w:type="dxa"/>
            <w:vMerge/>
            <w:tcBorders>
              <w:left w:val="single" w:sz="4" w:space="0" w:color="auto"/>
              <w:bottom w:val="single" w:sz="4" w:space="0" w:color="auto"/>
              <w:right w:val="single" w:sz="4" w:space="0" w:color="auto"/>
            </w:tcBorders>
            <w:shd w:val="clear" w:color="auto" w:fill="92D050"/>
            <w:vAlign w:val="center"/>
            <w:hideMark/>
          </w:tcPr>
          <w:p w14:paraId="6C65011E" w14:textId="77777777" w:rsidR="007A7A94" w:rsidRDefault="007A7A94" w:rsidP="00E66504">
            <w:pPr>
              <w:pStyle w:val="ListBullet"/>
              <w:spacing w:after="0"/>
              <w:ind w:left="175" w:hanging="175"/>
              <w:jc w:val="left"/>
              <w:rPr>
                <w:rFonts w:asciiTheme="minorHAnsi" w:hAnsiTheme="minorHAnsi"/>
                <w:sz w:val="18"/>
                <w:szCs w:val="18"/>
              </w:rPr>
            </w:pPr>
          </w:p>
        </w:tc>
        <w:tc>
          <w:tcPr>
            <w:tcW w:w="1531" w:type="dxa"/>
            <w:vMerge/>
            <w:tcBorders>
              <w:left w:val="nil"/>
              <w:bottom w:val="single" w:sz="4" w:space="0" w:color="auto"/>
              <w:right w:val="single" w:sz="4" w:space="0" w:color="auto"/>
            </w:tcBorders>
            <w:shd w:val="clear" w:color="auto" w:fill="D6E3BC" w:themeFill="accent3" w:themeFillTint="66"/>
            <w:vAlign w:val="center"/>
          </w:tcPr>
          <w:p w14:paraId="6C65011F" w14:textId="77777777" w:rsidR="007A7A94" w:rsidRDefault="007A7A94" w:rsidP="00E66504">
            <w:pPr>
              <w:pStyle w:val="ListBullet"/>
              <w:spacing w:after="0"/>
              <w:ind w:left="175" w:hanging="175"/>
              <w:jc w:val="left"/>
              <w:rPr>
                <w:rFonts w:asciiTheme="minorHAnsi" w:hAnsiTheme="minorHAnsi"/>
                <w:sz w:val="18"/>
                <w:szCs w:val="18"/>
              </w:rPr>
            </w:pPr>
          </w:p>
        </w:tc>
      </w:tr>
      <w:tr w:rsidR="00BA5E36" w:rsidRPr="00561936" w14:paraId="6C65012C" w14:textId="77777777" w:rsidTr="00CE0FAD">
        <w:trPr>
          <w:trHeight w:val="2104"/>
        </w:trPr>
        <w:tc>
          <w:tcPr>
            <w:tcW w:w="1163" w:type="dxa"/>
            <w:vMerge/>
            <w:tcBorders>
              <w:top w:val="nil"/>
              <w:left w:val="single" w:sz="4" w:space="0" w:color="auto"/>
              <w:bottom w:val="single" w:sz="4" w:space="0" w:color="auto"/>
              <w:right w:val="single" w:sz="4" w:space="0" w:color="auto"/>
            </w:tcBorders>
            <w:shd w:val="clear" w:color="auto" w:fill="0070C0"/>
            <w:vAlign w:val="center"/>
            <w:hideMark/>
          </w:tcPr>
          <w:p w14:paraId="6C650121" w14:textId="77777777" w:rsidR="007A7A94" w:rsidRDefault="007A7A94" w:rsidP="00E66504">
            <w:pPr>
              <w:spacing w:after="0"/>
              <w:jc w:val="left"/>
              <w:rPr>
                <w:rFonts w:asciiTheme="minorHAnsi" w:hAnsiTheme="minorHAnsi"/>
                <w:color w:val="FFFFFF" w:themeColor="background1"/>
                <w:sz w:val="18"/>
                <w:szCs w:val="18"/>
              </w:rPr>
            </w:pPr>
          </w:p>
        </w:tc>
        <w:tc>
          <w:tcPr>
            <w:tcW w:w="425" w:type="dxa"/>
            <w:vMerge w:val="restart"/>
            <w:tcBorders>
              <w:top w:val="nil"/>
              <w:left w:val="single" w:sz="4" w:space="0" w:color="auto"/>
              <w:right w:val="single" w:sz="4" w:space="0" w:color="auto"/>
            </w:tcBorders>
            <w:shd w:val="clear" w:color="auto" w:fill="79B2F7"/>
            <w:textDirection w:val="btLr"/>
            <w:hideMark/>
          </w:tcPr>
          <w:p w14:paraId="6C650122" w14:textId="77777777" w:rsidR="007A7A94" w:rsidRDefault="00BA5E36" w:rsidP="00E66504">
            <w:pPr>
              <w:spacing w:after="0"/>
              <w:ind w:left="113" w:right="113"/>
              <w:jc w:val="center"/>
              <w:rPr>
                <w:rFonts w:asciiTheme="minorHAnsi" w:hAnsiTheme="minorHAnsi"/>
                <w:sz w:val="18"/>
                <w:szCs w:val="18"/>
              </w:rPr>
            </w:pPr>
            <w:r w:rsidRPr="00561936">
              <w:rPr>
                <w:rFonts w:asciiTheme="minorHAnsi" w:hAnsiTheme="minorHAnsi"/>
                <w:sz w:val="18"/>
                <w:szCs w:val="18"/>
              </w:rPr>
              <w:t>Species diversity</w:t>
            </w:r>
          </w:p>
          <w:p w14:paraId="6C650123" w14:textId="77777777" w:rsidR="007A7A94" w:rsidRDefault="007A7A94" w:rsidP="00E66504">
            <w:pPr>
              <w:spacing w:after="0"/>
              <w:jc w:val="left"/>
              <w:rPr>
                <w:rFonts w:asciiTheme="minorHAnsi" w:hAnsiTheme="minorHAnsi"/>
                <w:sz w:val="18"/>
                <w:szCs w:val="18"/>
              </w:rPr>
            </w:pPr>
          </w:p>
        </w:tc>
        <w:tc>
          <w:tcPr>
            <w:tcW w:w="1418" w:type="dxa"/>
            <w:gridSpan w:val="2"/>
            <w:tcBorders>
              <w:top w:val="nil"/>
              <w:left w:val="single" w:sz="4" w:space="0" w:color="auto"/>
              <w:bottom w:val="single" w:sz="4" w:space="0" w:color="000000"/>
              <w:right w:val="single" w:sz="4" w:space="0" w:color="auto"/>
            </w:tcBorders>
            <w:shd w:val="clear" w:color="auto" w:fill="91C6E7"/>
            <w:vAlign w:val="center"/>
            <w:hideMark/>
          </w:tcPr>
          <w:p w14:paraId="6C650124" w14:textId="77777777" w:rsidR="007A7A94" w:rsidRDefault="00BA5E36" w:rsidP="00E66504">
            <w:pPr>
              <w:spacing w:after="0"/>
              <w:jc w:val="left"/>
              <w:rPr>
                <w:rFonts w:asciiTheme="minorHAnsi" w:hAnsiTheme="minorHAnsi"/>
                <w:sz w:val="18"/>
                <w:szCs w:val="18"/>
              </w:rPr>
            </w:pPr>
            <w:r w:rsidRPr="00561936">
              <w:rPr>
                <w:rFonts w:asciiTheme="minorHAnsi" w:hAnsiTheme="minorHAnsi"/>
                <w:sz w:val="18"/>
                <w:szCs w:val="18"/>
              </w:rPr>
              <w:t>Vegetation</w:t>
            </w:r>
          </w:p>
        </w:tc>
        <w:tc>
          <w:tcPr>
            <w:tcW w:w="3969" w:type="dxa"/>
            <w:tcBorders>
              <w:top w:val="nil"/>
              <w:left w:val="nil"/>
              <w:bottom w:val="single" w:sz="4" w:space="0" w:color="auto"/>
              <w:right w:val="single" w:sz="4" w:space="0" w:color="auto"/>
            </w:tcBorders>
            <w:shd w:val="clear" w:color="auto" w:fill="FABF8F" w:themeFill="accent6" w:themeFillTint="99"/>
          </w:tcPr>
          <w:p w14:paraId="6C650125" w14:textId="77777777" w:rsidR="007A7A94" w:rsidRDefault="00BA5E36" w:rsidP="00E66504">
            <w:pPr>
              <w:pStyle w:val="ListBullet"/>
              <w:spacing w:after="0"/>
              <w:ind w:left="175" w:hanging="175"/>
              <w:jc w:val="left"/>
              <w:rPr>
                <w:rFonts w:asciiTheme="minorHAnsi" w:hAnsiTheme="minorHAnsi"/>
                <w:sz w:val="18"/>
                <w:szCs w:val="18"/>
              </w:rPr>
            </w:pPr>
            <w:r w:rsidRPr="00913CE0">
              <w:rPr>
                <w:rFonts w:asciiTheme="minorHAnsi" w:hAnsiTheme="minorHAnsi"/>
                <w:sz w:val="18"/>
                <w:szCs w:val="18"/>
              </w:rPr>
              <w:t>Maintenance of the current extent of river red gum, black box, coolibah forest and woodlands; existing large communities of lignum; and</w:t>
            </w:r>
            <w:r>
              <w:rPr>
                <w:rFonts w:asciiTheme="minorHAnsi" w:hAnsiTheme="minorHAnsi"/>
                <w:sz w:val="18"/>
                <w:szCs w:val="18"/>
              </w:rPr>
              <w:t xml:space="preserve"> </w:t>
            </w:r>
            <w:r w:rsidRPr="00913CE0">
              <w:rPr>
                <w:rFonts w:asciiTheme="minorHAnsi" w:hAnsiTheme="minorHAnsi"/>
                <w:sz w:val="18"/>
                <w:szCs w:val="18"/>
              </w:rPr>
              <w:t>non-woody communities near or in wetlands, streams and on low-lying floodplains</w:t>
            </w:r>
          </w:p>
          <w:p w14:paraId="6C650126"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 xml:space="preserve">Maintain the current condition of lowland floodplain forests and woodlands of river red gum, black box and coolibah </w:t>
            </w:r>
          </w:p>
          <w:p w14:paraId="6C650127"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Improved condition of southern river red gum</w:t>
            </w:r>
          </w:p>
        </w:tc>
        <w:tc>
          <w:tcPr>
            <w:tcW w:w="1984" w:type="dxa"/>
            <w:tcBorders>
              <w:top w:val="nil"/>
              <w:left w:val="single" w:sz="4" w:space="0" w:color="auto"/>
              <w:bottom w:val="single" w:sz="4" w:space="0" w:color="auto"/>
              <w:right w:val="single" w:sz="4" w:space="0" w:color="auto"/>
            </w:tcBorders>
            <w:shd w:val="clear" w:color="auto" w:fill="92D050"/>
            <w:vAlign w:val="center"/>
            <w:hideMark/>
          </w:tcPr>
          <w:p w14:paraId="6C650128"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 xml:space="preserve"> Vegetation diversity</w:t>
            </w:r>
          </w:p>
          <w:p w14:paraId="6C650129"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 xml:space="preserve"> Growth and survival</w:t>
            </w:r>
          </w:p>
        </w:tc>
        <w:tc>
          <w:tcPr>
            <w:tcW w:w="1531" w:type="dxa"/>
            <w:tcBorders>
              <w:top w:val="nil"/>
              <w:left w:val="nil"/>
              <w:bottom w:val="single" w:sz="4" w:space="0" w:color="auto"/>
              <w:right w:val="single" w:sz="4" w:space="0" w:color="auto"/>
            </w:tcBorders>
            <w:shd w:val="clear" w:color="auto" w:fill="D6E3BC" w:themeFill="accent3" w:themeFillTint="66"/>
            <w:vAlign w:val="center"/>
          </w:tcPr>
          <w:p w14:paraId="6C65012A" w14:textId="77777777" w:rsidR="007A7A94" w:rsidRDefault="00BA5E36" w:rsidP="00E66504">
            <w:pPr>
              <w:spacing w:after="0"/>
              <w:jc w:val="left"/>
              <w:rPr>
                <w:rFonts w:asciiTheme="minorHAnsi" w:hAnsiTheme="minorHAnsi"/>
                <w:sz w:val="18"/>
                <w:szCs w:val="18"/>
              </w:rPr>
            </w:pPr>
            <w:r w:rsidRPr="00561936">
              <w:rPr>
                <w:rFonts w:asciiTheme="minorHAnsi" w:hAnsiTheme="minorHAnsi"/>
                <w:sz w:val="18"/>
                <w:szCs w:val="18"/>
              </w:rPr>
              <w:t>• Reproduction</w:t>
            </w:r>
            <w:r w:rsidRPr="00561936">
              <w:rPr>
                <w:rFonts w:asciiTheme="minorHAnsi" w:hAnsiTheme="minorHAnsi"/>
                <w:sz w:val="18"/>
                <w:szCs w:val="18"/>
              </w:rPr>
              <w:br/>
              <w:t>• Condition</w:t>
            </w:r>
          </w:p>
          <w:p w14:paraId="6C65012B" w14:textId="77777777" w:rsidR="007A7A94" w:rsidRDefault="00BA5E36" w:rsidP="00E66504">
            <w:pPr>
              <w:spacing w:after="0"/>
              <w:jc w:val="left"/>
              <w:rPr>
                <w:rFonts w:asciiTheme="minorHAnsi" w:hAnsiTheme="minorHAnsi"/>
                <w:sz w:val="18"/>
                <w:szCs w:val="18"/>
              </w:rPr>
            </w:pPr>
            <w:r w:rsidRPr="00561936">
              <w:rPr>
                <w:rFonts w:asciiTheme="minorHAnsi" w:hAnsiTheme="minorHAnsi"/>
                <w:sz w:val="18"/>
                <w:szCs w:val="18"/>
              </w:rPr>
              <w:t>• Germination</w:t>
            </w:r>
            <w:r w:rsidRPr="00561936">
              <w:rPr>
                <w:rFonts w:asciiTheme="minorHAnsi" w:hAnsiTheme="minorHAnsi"/>
                <w:sz w:val="18"/>
                <w:szCs w:val="18"/>
              </w:rPr>
              <w:br/>
              <w:t>• Dispersal</w:t>
            </w:r>
          </w:p>
        </w:tc>
      </w:tr>
      <w:tr w:rsidR="00BA5E36" w:rsidRPr="00561936" w14:paraId="6C650133" w14:textId="77777777" w:rsidTr="00CE0FAD">
        <w:trPr>
          <w:trHeight w:val="702"/>
        </w:trPr>
        <w:tc>
          <w:tcPr>
            <w:tcW w:w="1163" w:type="dxa"/>
            <w:vMerge/>
            <w:tcBorders>
              <w:top w:val="nil"/>
              <w:left w:val="single" w:sz="4" w:space="0" w:color="auto"/>
              <w:bottom w:val="single" w:sz="4" w:space="0" w:color="auto"/>
              <w:right w:val="single" w:sz="4" w:space="0" w:color="auto"/>
            </w:tcBorders>
            <w:shd w:val="clear" w:color="auto" w:fill="0070C0"/>
            <w:vAlign w:val="center"/>
            <w:hideMark/>
          </w:tcPr>
          <w:p w14:paraId="6C65012D" w14:textId="77777777" w:rsidR="007A7A94" w:rsidRDefault="007A7A94" w:rsidP="00E66504">
            <w:pPr>
              <w:spacing w:after="0"/>
              <w:jc w:val="left"/>
              <w:rPr>
                <w:rFonts w:asciiTheme="minorHAnsi" w:hAnsiTheme="minorHAnsi"/>
                <w:color w:val="FFFFFF" w:themeColor="background1"/>
                <w:sz w:val="18"/>
                <w:szCs w:val="18"/>
              </w:rPr>
            </w:pPr>
          </w:p>
        </w:tc>
        <w:tc>
          <w:tcPr>
            <w:tcW w:w="425" w:type="dxa"/>
            <w:vMerge/>
            <w:tcBorders>
              <w:left w:val="single" w:sz="4" w:space="0" w:color="auto"/>
              <w:right w:val="single" w:sz="4" w:space="0" w:color="auto"/>
            </w:tcBorders>
            <w:shd w:val="clear" w:color="auto" w:fill="79B2F7"/>
            <w:vAlign w:val="center"/>
            <w:hideMark/>
          </w:tcPr>
          <w:p w14:paraId="6C65012E" w14:textId="77777777" w:rsidR="007A7A94" w:rsidRDefault="007A7A94" w:rsidP="00E66504">
            <w:pPr>
              <w:spacing w:after="0"/>
              <w:jc w:val="left"/>
              <w:rPr>
                <w:rFonts w:asciiTheme="minorHAnsi" w:hAnsiTheme="minorHAnsi"/>
                <w:sz w:val="18"/>
                <w:szCs w:val="18"/>
              </w:rPr>
            </w:pPr>
          </w:p>
        </w:tc>
        <w:tc>
          <w:tcPr>
            <w:tcW w:w="1418" w:type="dxa"/>
            <w:gridSpan w:val="2"/>
            <w:tcBorders>
              <w:top w:val="nil"/>
              <w:left w:val="nil"/>
              <w:bottom w:val="single" w:sz="4" w:space="0" w:color="auto"/>
              <w:right w:val="single" w:sz="4" w:space="0" w:color="auto"/>
            </w:tcBorders>
            <w:shd w:val="clear" w:color="auto" w:fill="91C6E7"/>
            <w:vAlign w:val="center"/>
            <w:hideMark/>
          </w:tcPr>
          <w:p w14:paraId="6C65012F" w14:textId="0AB602AC" w:rsidR="007A7A94" w:rsidRDefault="00BA5E36" w:rsidP="00E66504">
            <w:pPr>
              <w:spacing w:after="0"/>
              <w:jc w:val="left"/>
              <w:rPr>
                <w:rFonts w:asciiTheme="minorHAnsi" w:hAnsiTheme="minorHAnsi"/>
                <w:sz w:val="18"/>
                <w:szCs w:val="18"/>
              </w:rPr>
            </w:pPr>
            <w:r w:rsidRPr="00561936">
              <w:rPr>
                <w:rFonts w:asciiTheme="minorHAnsi" w:hAnsiTheme="minorHAnsi"/>
                <w:sz w:val="18"/>
                <w:szCs w:val="18"/>
              </w:rPr>
              <w:t>Macro</w:t>
            </w:r>
            <w:r w:rsidR="00E66504">
              <w:rPr>
                <w:rFonts w:asciiTheme="minorHAnsi" w:hAnsiTheme="minorHAnsi"/>
                <w:sz w:val="18"/>
                <w:szCs w:val="18"/>
              </w:rPr>
              <w:t>-</w:t>
            </w:r>
            <w:r w:rsidRPr="00561936">
              <w:rPr>
                <w:rFonts w:asciiTheme="minorHAnsi" w:hAnsiTheme="minorHAnsi"/>
                <w:sz w:val="18"/>
                <w:szCs w:val="18"/>
              </w:rPr>
              <w:t>invertebrates</w:t>
            </w:r>
          </w:p>
        </w:tc>
        <w:tc>
          <w:tcPr>
            <w:tcW w:w="3969" w:type="dxa"/>
            <w:tcBorders>
              <w:top w:val="single" w:sz="4" w:space="0" w:color="auto"/>
              <w:left w:val="nil"/>
              <w:bottom w:val="single" w:sz="4" w:space="0" w:color="auto"/>
              <w:right w:val="single" w:sz="4" w:space="0" w:color="auto"/>
            </w:tcBorders>
            <w:shd w:val="clear" w:color="auto" w:fill="FABF8F" w:themeFill="accent6" w:themeFillTint="99"/>
          </w:tcPr>
          <w:p w14:paraId="6C650130" w14:textId="77777777" w:rsidR="007A7A94" w:rsidRDefault="007A7A94" w:rsidP="00E66504">
            <w:pPr>
              <w:spacing w:after="0"/>
              <w:jc w:val="left"/>
              <w:rPr>
                <w:rFonts w:asciiTheme="minorHAnsi" w:hAnsiTheme="minorHAnsi"/>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650131"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Macroinvertebrate diversity</w:t>
            </w:r>
          </w:p>
        </w:tc>
        <w:tc>
          <w:tcPr>
            <w:tcW w:w="1531"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6C650132" w14:textId="77777777" w:rsidR="007A7A94" w:rsidRDefault="007A7A94" w:rsidP="00E66504">
            <w:pPr>
              <w:spacing w:after="0"/>
              <w:jc w:val="left"/>
              <w:rPr>
                <w:rFonts w:asciiTheme="minorHAnsi" w:hAnsiTheme="minorHAnsi"/>
                <w:sz w:val="18"/>
                <w:szCs w:val="18"/>
              </w:rPr>
            </w:pPr>
          </w:p>
        </w:tc>
      </w:tr>
      <w:tr w:rsidR="00BA5E36" w:rsidRPr="00561936" w14:paraId="6C65013E" w14:textId="77777777" w:rsidTr="00E66504">
        <w:trPr>
          <w:trHeight w:val="1368"/>
        </w:trPr>
        <w:tc>
          <w:tcPr>
            <w:tcW w:w="1163" w:type="dxa"/>
            <w:vMerge/>
            <w:tcBorders>
              <w:top w:val="nil"/>
              <w:left w:val="single" w:sz="4" w:space="0" w:color="auto"/>
              <w:bottom w:val="single" w:sz="4" w:space="0" w:color="auto"/>
              <w:right w:val="single" w:sz="4" w:space="0" w:color="auto"/>
            </w:tcBorders>
            <w:shd w:val="clear" w:color="auto" w:fill="0070C0"/>
            <w:vAlign w:val="center"/>
            <w:hideMark/>
          </w:tcPr>
          <w:p w14:paraId="6C650134" w14:textId="77777777" w:rsidR="007A7A94" w:rsidRDefault="007A7A94" w:rsidP="00E66504">
            <w:pPr>
              <w:spacing w:after="0"/>
              <w:jc w:val="left"/>
              <w:rPr>
                <w:rFonts w:asciiTheme="minorHAnsi" w:hAnsiTheme="minorHAnsi"/>
                <w:color w:val="FFFFFF" w:themeColor="background1"/>
                <w:sz w:val="18"/>
                <w:szCs w:val="18"/>
              </w:rPr>
            </w:pPr>
          </w:p>
        </w:tc>
        <w:tc>
          <w:tcPr>
            <w:tcW w:w="425" w:type="dxa"/>
            <w:vMerge/>
            <w:tcBorders>
              <w:left w:val="single" w:sz="4" w:space="0" w:color="auto"/>
              <w:right w:val="single" w:sz="4" w:space="0" w:color="auto"/>
            </w:tcBorders>
            <w:shd w:val="clear" w:color="auto" w:fill="79B2F7"/>
            <w:vAlign w:val="center"/>
            <w:hideMark/>
          </w:tcPr>
          <w:p w14:paraId="6C650135" w14:textId="77777777" w:rsidR="007A7A94" w:rsidRDefault="007A7A94" w:rsidP="00E66504">
            <w:pPr>
              <w:spacing w:after="0"/>
              <w:jc w:val="left"/>
              <w:rPr>
                <w:rFonts w:asciiTheme="minorHAnsi" w:hAnsiTheme="minorHAnsi"/>
                <w:sz w:val="18"/>
                <w:szCs w:val="18"/>
              </w:rPr>
            </w:pPr>
          </w:p>
        </w:tc>
        <w:tc>
          <w:tcPr>
            <w:tcW w:w="1418" w:type="dxa"/>
            <w:gridSpan w:val="2"/>
            <w:tcBorders>
              <w:top w:val="nil"/>
              <w:left w:val="single" w:sz="4" w:space="0" w:color="auto"/>
              <w:bottom w:val="single" w:sz="4" w:space="0" w:color="000000"/>
              <w:right w:val="single" w:sz="4" w:space="0" w:color="auto"/>
            </w:tcBorders>
            <w:shd w:val="clear" w:color="auto" w:fill="91C6E7"/>
            <w:vAlign w:val="center"/>
            <w:hideMark/>
          </w:tcPr>
          <w:p w14:paraId="6C650136" w14:textId="77777777" w:rsidR="007A7A94" w:rsidRDefault="00BA5E36" w:rsidP="00E66504">
            <w:pPr>
              <w:spacing w:after="0"/>
              <w:jc w:val="left"/>
              <w:rPr>
                <w:rFonts w:asciiTheme="minorHAnsi" w:hAnsiTheme="minorHAnsi"/>
                <w:sz w:val="18"/>
                <w:szCs w:val="18"/>
              </w:rPr>
            </w:pPr>
            <w:r w:rsidRPr="00561936">
              <w:rPr>
                <w:rFonts w:asciiTheme="minorHAnsi" w:hAnsiTheme="minorHAnsi"/>
                <w:sz w:val="18"/>
                <w:szCs w:val="18"/>
              </w:rPr>
              <w:t>Fish</w:t>
            </w:r>
          </w:p>
        </w:tc>
        <w:tc>
          <w:tcPr>
            <w:tcW w:w="3969" w:type="dxa"/>
            <w:tcBorders>
              <w:top w:val="single" w:sz="4" w:space="0" w:color="auto"/>
              <w:left w:val="nil"/>
              <w:bottom w:val="single" w:sz="4" w:space="0" w:color="auto"/>
              <w:right w:val="single" w:sz="4" w:space="0" w:color="auto"/>
            </w:tcBorders>
            <w:shd w:val="clear" w:color="auto" w:fill="FABF8F" w:themeFill="accent6" w:themeFillTint="99"/>
          </w:tcPr>
          <w:p w14:paraId="6C650137"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Improved distribution of key short and long-lived fish species across the Basin</w:t>
            </w:r>
          </w:p>
          <w:p w14:paraId="6C650138"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 xml:space="preserve">Improved breeding success for short-lived species, long-lived species and mulloway </w:t>
            </w:r>
          </w:p>
          <w:p w14:paraId="6C650139"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 xml:space="preserve">Improved populations of short-lived species, long-lived species, Murray cod and golden perch </w:t>
            </w:r>
          </w:p>
        </w:tc>
        <w:tc>
          <w:tcPr>
            <w:tcW w:w="19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65013A"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Fish diversity</w:t>
            </w:r>
          </w:p>
          <w:p w14:paraId="6C65013B" w14:textId="77777777" w:rsidR="007A7A94" w:rsidRDefault="00BA5E36" w:rsidP="00E66504">
            <w:pPr>
              <w:pStyle w:val="ListBullet"/>
              <w:spacing w:after="0"/>
              <w:ind w:left="175" w:hanging="175"/>
              <w:jc w:val="left"/>
              <w:rPr>
                <w:rFonts w:asciiTheme="minorHAnsi" w:hAnsiTheme="minorHAnsi"/>
                <w:sz w:val="18"/>
                <w:szCs w:val="18"/>
              </w:rPr>
            </w:pPr>
            <w:r w:rsidRPr="00553B2D">
              <w:rPr>
                <w:rFonts w:asciiTheme="minorHAnsi" w:hAnsiTheme="minorHAnsi"/>
                <w:sz w:val="18"/>
                <w:szCs w:val="18"/>
              </w:rPr>
              <w:t>Larval and juvenile recruitment</w:t>
            </w:r>
          </w:p>
        </w:tc>
        <w:tc>
          <w:tcPr>
            <w:tcW w:w="1531"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6C65013C" w14:textId="77777777" w:rsidR="007A7A94" w:rsidRDefault="00BA5E36" w:rsidP="00E66504">
            <w:pPr>
              <w:spacing w:after="0"/>
              <w:jc w:val="left"/>
              <w:rPr>
                <w:rFonts w:asciiTheme="minorHAnsi" w:hAnsiTheme="minorHAnsi"/>
                <w:sz w:val="18"/>
                <w:szCs w:val="18"/>
              </w:rPr>
            </w:pPr>
            <w:r w:rsidRPr="00561936">
              <w:rPr>
                <w:rFonts w:asciiTheme="minorHAnsi" w:hAnsiTheme="minorHAnsi"/>
                <w:sz w:val="18"/>
                <w:szCs w:val="18"/>
              </w:rPr>
              <w:t>• Condition</w:t>
            </w:r>
          </w:p>
          <w:p w14:paraId="6C65013D" w14:textId="77777777" w:rsidR="007A7A94" w:rsidRDefault="00BA5E36" w:rsidP="00E66504">
            <w:pPr>
              <w:spacing w:after="0"/>
              <w:jc w:val="left"/>
              <w:rPr>
                <w:rFonts w:asciiTheme="minorHAnsi" w:hAnsiTheme="minorHAnsi"/>
                <w:sz w:val="18"/>
                <w:szCs w:val="18"/>
              </w:rPr>
            </w:pPr>
            <w:r w:rsidRPr="00561936">
              <w:rPr>
                <w:rFonts w:asciiTheme="minorHAnsi" w:hAnsiTheme="minorHAnsi"/>
                <w:sz w:val="18"/>
                <w:szCs w:val="18"/>
              </w:rPr>
              <w:t>• Larval abundance</w:t>
            </w:r>
            <w:r w:rsidRPr="00561936">
              <w:rPr>
                <w:rFonts w:asciiTheme="minorHAnsi" w:hAnsiTheme="minorHAnsi"/>
                <w:sz w:val="18"/>
                <w:szCs w:val="18"/>
              </w:rPr>
              <w:br/>
              <w:t>• Reproduction</w:t>
            </w:r>
          </w:p>
        </w:tc>
      </w:tr>
      <w:tr w:rsidR="00BA5E36" w:rsidRPr="00561936" w14:paraId="6C65014A" w14:textId="77777777" w:rsidTr="00E66504">
        <w:trPr>
          <w:trHeight w:val="278"/>
        </w:trPr>
        <w:tc>
          <w:tcPr>
            <w:tcW w:w="1163" w:type="dxa"/>
            <w:vMerge/>
            <w:tcBorders>
              <w:top w:val="nil"/>
              <w:left w:val="single" w:sz="4" w:space="0" w:color="auto"/>
              <w:bottom w:val="single" w:sz="4" w:space="0" w:color="auto"/>
              <w:right w:val="single" w:sz="4" w:space="0" w:color="auto"/>
            </w:tcBorders>
            <w:shd w:val="clear" w:color="auto" w:fill="0070C0"/>
            <w:vAlign w:val="center"/>
            <w:hideMark/>
          </w:tcPr>
          <w:p w14:paraId="6C65013F" w14:textId="77777777" w:rsidR="007A7A94" w:rsidRDefault="007A7A94" w:rsidP="00E66504">
            <w:pPr>
              <w:spacing w:after="0"/>
              <w:jc w:val="left"/>
              <w:rPr>
                <w:rFonts w:asciiTheme="minorHAnsi" w:hAnsiTheme="minorHAnsi"/>
                <w:color w:val="FFFFFF" w:themeColor="background1"/>
                <w:sz w:val="18"/>
                <w:szCs w:val="18"/>
              </w:rPr>
            </w:pPr>
          </w:p>
        </w:tc>
        <w:tc>
          <w:tcPr>
            <w:tcW w:w="425" w:type="dxa"/>
            <w:vMerge/>
            <w:tcBorders>
              <w:left w:val="single" w:sz="4" w:space="0" w:color="auto"/>
              <w:right w:val="single" w:sz="4" w:space="0" w:color="auto"/>
            </w:tcBorders>
            <w:shd w:val="clear" w:color="auto" w:fill="79B2F7"/>
            <w:vAlign w:val="center"/>
            <w:hideMark/>
          </w:tcPr>
          <w:p w14:paraId="6C650140" w14:textId="77777777" w:rsidR="007A7A94" w:rsidRDefault="007A7A94" w:rsidP="00E66504">
            <w:pPr>
              <w:spacing w:after="0"/>
              <w:jc w:val="left"/>
              <w:rPr>
                <w:rFonts w:asciiTheme="minorHAnsi" w:hAnsiTheme="minorHAnsi"/>
                <w:sz w:val="18"/>
                <w:szCs w:val="18"/>
              </w:rPr>
            </w:pPr>
          </w:p>
        </w:tc>
        <w:tc>
          <w:tcPr>
            <w:tcW w:w="1418" w:type="dxa"/>
            <w:gridSpan w:val="2"/>
            <w:tcBorders>
              <w:top w:val="nil"/>
              <w:left w:val="single" w:sz="4" w:space="0" w:color="auto"/>
              <w:bottom w:val="single" w:sz="4" w:space="0" w:color="000000"/>
              <w:right w:val="single" w:sz="4" w:space="0" w:color="auto"/>
            </w:tcBorders>
            <w:shd w:val="clear" w:color="auto" w:fill="91C6E7"/>
            <w:vAlign w:val="center"/>
            <w:hideMark/>
          </w:tcPr>
          <w:p w14:paraId="6C650141" w14:textId="77777777" w:rsidR="007A7A94" w:rsidRDefault="00BA5E36" w:rsidP="00E66504">
            <w:pPr>
              <w:spacing w:after="0"/>
              <w:jc w:val="left"/>
              <w:rPr>
                <w:rFonts w:asciiTheme="minorHAnsi" w:hAnsiTheme="minorHAnsi"/>
                <w:sz w:val="18"/>
                <w:szCs w:val="18"/>
              </w:rPr>
            </w:pPr>
            <w:r w:rsidRPr="00561936">
              <w:rPr>
                <w:rFonts w:asciiTheme="minorHAnsi" w:hAnsiTheme="minorHAnsi"/>
                <w:sz w:val="18"/>
                <w:szCs w:val="18"/>
              </w:rPr>
              <w:t>Waterbirds</w:t>
            </w:r>
          </w:p>
        </w:tc>
        <w:tc>
          <w:tcPr>
            <w:tcW w:w="3969" w:type="dxa"/>
            <w:tcBorders>
              <w:top w:val="single" w:sz="4" w:space="0" w:color="auto"/>
              <w:left w:val="nil"/>
              <w:bottom w:val="single" w:sz="4" w:space="0" w:color="auto"/>
              <w:right w:val="single" w:sz="4" w:space="0" w:color="auto"/>
            </w:tcBorders>
            <w:shd w:val="clear" w:color="auto" w:fill="FABF8F" w:themeFill="accent6" w:themeFillTint="99"/>
          </w:tcPr>
          <w:p w14:paraId="6C650142"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Maintained current species diversity of all current Basin waterbirds and current migratory shorebirds at the Coorong</w:t>
            </w:r>
          </w:p>
          <w:p w14:paraId="6C650143"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Increased abundance with a  20–25</w:t>
            </w:r>
            <w:r w:rsidR="005539CE">
              <w:rPr>
                <w:rFonts w:asciiTheme="minorHAnsi" w:hAnsiTheme="minorHAnsi"/>
                <w:sz w:val="18"/>
                <w:szCs w:val="18"/>
              </w:rPr>
              <w:t xml:space="preserve"> per cent</w:t>
            </w:r>
            <w:r w:rsidRPr="00561936">
              <w:rPr>
                <w:rFonts w:asciiTheme="minorHAnsi" w:hAnsiTheme="minorHAnsi"/>
                <w:sz w:val="18"/>
                <w:szCs w:val="18"/>
              </w:rPr>
              <w:t xml:space="preserve"> increase in waterbirds by 2024</w:t>
            </w:r>
          </w:p>
          <w:p w14:paraId="6C650144"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Improved breeding events for colonial nesting waterbird species and an increase in nests and broods for other waterbirds</w:t>
            </w:r>
          </w:p>
        </w:tc>
        <w:tc>
          <w:tcPr>
            <w:tcW w:w="1984" w:type="dxa"/>
            <w:tcBorders>
              <w:top w:val="single" w:sz="4" w:space="0" w:color="auto"/>
              <w:left w:val="single" w:sz="4" w:space="0" w:color="auto"/>
              <w:right w:val="single" w:sz="4" w:space="0" w:color="auto"/>
            </w:tcBorders>
            <w:shd w:val="clear" w:color="auto" w:fill="92D050"/>
            <w:vAlign w:val="center"/>
            <w:hideMark/>
          </w:tcPr>
          <w:p w14:paraId="6C650145"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Waterbird diversity</w:t>
            </w:r>
          </w:p>
          <w:p w14:paraId="6C650146"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Waterbird population condition (Abundance and Population structure</w:t>
            </w:r>
            <w:r>
              <w:rPr>
                <w:rFonts w:asciiTheme="minorHAnsi" w:hAnsiTheme="minorHAnsi"/>
                <w:sz w:val="18"/>
                <w:szCs w:val="18"/>
              </w:rPr>
              <w:t>)</w:t>
            </w:r>
            <w:r w:rsidRPr="00561936">
              <w:rPr>
                <w:rFonts w:asciiTheme="minorHAnsi" w:hAnsiTheme="minorHAnsi"/>
                <w:sz w:val="18"/>
                <w:szCs w:val="18"/>
              </w:rPr>
              <w:t> </w:t>
            </w:r>
          </w:p>
        </w:tc>
        <w:tc>
          <w:tcPr>
            <w:tcW w:w="1531" w:type="dxa"/>
            <w:tcBorders>
              <w:top w:val="single" w:sz="4" w:space="0" w:color="auto"/>
              <w:left w:val="nil"/>
              <w:right w:val="single" w:sz="4" w:space="0" w:color="auto"/>
            </w:tcBorders>
            <w:shd w:val="clear" w:color="auto" w:fill="D6E3BC" w:themeFill="accent3" w:themeFillTint="66"/>
            <w:vAlign w:val="center"/>
          </w:tcPr>
          <w:p w14:paraId="6C650147"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Survival and condition</w:t>
            </w:r>
          </w:p>
          <w:p w14:paraId="6C650148"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Chicks</w:t>
            </w:r>
          </w:p>
          <w:p w14:paraId="6C650149"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Fledglings</w:t>
            </w:r>
          </w:p>
        </w:tc>
      </w:tr>
      <w:tr w:rsidR="00BA5E36" w:rsidRPr="00561936" w14:paraId="6C650151" w14:textId="77777777" w:rsidTr="00CE0FAD">
        <w:trPr>
          <w:trHeight w:val="928"/>
        </w:trPr>
        <w:tc>
          <w:tcPr>
            <w:tcW w:w="1163" w:type="dxa"/>
            <w:vMerge/>
            <w:tcBorders>
              <w:top w:val="nil"/>
              <w:left w:val="single" w:sz="4" w:space="0" w:color="auto"/>
              <w:bottom w:val="single" w:sz="4" w:space="0" w:color="auto"/>
              <w:right w:val="single" w:sz="4" w:space="0" w:color="auto"/>
            </w:tcBorders>
            <w:shd w:val="clear" w:color="auto" w:fill="0070C0"/>
            <w:vAlign w:val="center"/>
            <w:hideMark/>
          </w:tcPr>
          <w:p w14:paraId="6C65014B" w14:textId="77777777" w:rsidR="007A7A94" w:rsidRDefault="007A7A94" w:rsidP="00E66504">
            <w:pPr>
              <w:spacing w:after="0"/>
              <w:jc w:val="left"/>
              <w:rPr>
                <w:rFonts w:asciiTheme="minorHAnsi" w:hAnsiTheme="minorHAnsi"/>
                <w:color w:val="FFFFFF" w:themeColor="background1"/>
                <w:sz w:val="18"/>
                <w:szCs w:val="18"/>
              </w:rPr>
            </w:pPr>
          </w:p>
        </w:tc>
        <w:tc>
          <w:tcPr>
            <w:tcW w:w="425" w:type="dxa"/>
            <w:vMerge/>
            <w:tcBorders>
              <w:left w:val="single" w:sz="4" w:space="0" w:color="auto"/>
              <w:bottom w:val="single" w:sz="4" w:space="0" w:color="auto"/>
              <w:right w:val="single" w:sz="4" w:space="0" w:color="auto"/>
            </w:tcBorders>
            <w:shd w:val="clear" w:color="auto" w:fill="79B2F7"/>
            <w:vAlign w:val="center"/>
            <w:hideMark/>
          </w:tcPr>
          <w:p w14:paraId="6C65014C" w14:textId="77777777" w:rsidR="007A7A94" w:rsidRDefault="007A7A94" w:rsidP="00E66504">
            <w:pPr>
              <w:spacing w:after="0"/>
              <w:jc w:val="left"/>
              <w:rPr>
                <w:rFonts w:asciiTheme="minorHAnsi" w:hAnsiTheme="minorHAnsi"/>
                <w:sz w:val="18"/>
                <w:szCs w:val="18"/>
              </w:rPr>
            </w:pPr>
          </w:p>
        </w:tc>
        <w:tc>
          <w:tcPr>
            <w:tcW w:w="1418" w:type="dxa"/>
            <w:gridSpan w:val="2"/>
            <w:tcBorders>
              <w:top w:val="nil"/>
              <w:left w:val="single" w:sz="4" w:space="0" w:color="auto"/>
              <w:bottom w:val="single" w:sz="4" w:space="0" w:color="auto"/>
              <w:right w:val="single" w:sz="4" w:space="0" w:color="auto"/>
            </w:tcBorders>
            <w:shd w:val="clear" w:color="auto" w:fill="91C6E7"/>
            <w:vAlign w:val="center"/>
            <w:hideMark/>
          </w:tcPr>
          <w:p w14:paraId="6C65014D" w14:textId="77777777" w:rsidR="007A7A94" w:rsidRDefault="00BA5E36" w:rsidP="00E66504">
            <w:pPr>
              <w:spacing w:after="0"/>
              <w:jc w:val="left"/>
              <w:rPr>
                <w:rFonts w:asciiTheme="minorHAnsi" w:hAnsiTheme="minorHAnsi"/>
                <w:sz w:val="18"/>
                <w:szCs w:val="18"/>
              </w:rPr>
            </w:pPr>
            <w:r w:rsidRPr="00561936">
              <w:rPr>
                <w:rFonts w:asciiTheme="minorHAnsi" w:hAnsiTheme="minorHAnsi"/>
                <w:sz w:val="18"/>
                <w:szCs w:val="18"/>
              </w:rPr>
              <w:t>Other vertebrate diversity</w:t>
            </w:r>
          </w:p>
        </w:tc>
        <w:tc>
          <w:tcPr>
            <w:tcW w:w="3969" w:type="dxa"/>
            <w:tcBorders>
              <w:top w:val="single" w:sz="4" w:space="0" w:color="auto"/>
              <w:left w:val="nil"/>
              <w:bottom w:val="single" w:sz="4" w:space="0" w:color="auto"/>
              <w:right w:val="single" w:sz="4" w:space="0" w:color="auto"/>
            </w:tcBorders>
            <w:shd w:val="clear" w:color="auto" w:fill="FABF8F" w:themeFill="accent6" w:themeFillTint="99"/>
          </w:tcPr>
          <w:p w14:paraId="6C65014E" w14:textId="77777777" w:rsidR="007A7A94" w:rsidRDefault="007A7A94" w:rsidP="00E66504">
            <w:pPr>
              <w:spacing w:after="0"/>
              <w:jc w:val="left"/>
              <w:rPr>
                <w:rFonts w:asciiTheme="minorHAnsi" w:hAnsiTheme="minorHAnsi"/>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65014F" w14:textId="77777777" w:rsidR="007A7A94" w:rsidRDefault="00553B2D" w:rsidP="00E66504">
            <w:pPr>
              <w:pStyle w:val="ListBullet"/>
              <w:spacing w:after="0"/>
              <w:ind w:left="175" w:hanging="175"/>
              <w:jc w:val="left"/>
              <w:rPr>
                <w:rFonts w:asciiTheme="minorHAnsi" w:hAnsiTheme="minorHAnsi"/>
                <w:sz w:val="18"/>
                <w:szCs w:val="18"/>
              </w:rPr>
            </w:pPr>
            <w:r>
              <w:rPr>
                <w:rFonts w:asciiTheme="minorHAnsi" w:hAnsiTheme="minorHAnsi"/>
                <w:sz w:val="18"/>
                <w:szCs w:val="18"/>
              </w:rPr>
              <w:t> </w:t>
            </w:r>
            <w:r w:rsidR="00BA5E36" w:rsidRPr="00561936">
              <w:rPr>
                <w:rFonts w:asciiTheme="minorHAnsi" w:hAnsiTheme="minorHAnsi"/>
                <w:sz w:val="18"/>
                <w:szCs w:val="18"/>
              </w:rPr>
              <w:t>Adult abundance</w:t>
            </w:r>
          </w:p>
        </w:tc>
        <w:tc>
          <w:tcPr>
            <w:tcW w:w="1531"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6C650150"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Young </w:t>
            </w:r>
          </w:p>
        </w:tc>
      </w:tr>
      <w:tr w:rsidR="006F5972" w:rsidRPr="00561936" w14:paraId="6C65015C" w14:textId="77777777" w:rsidTr="00CE0FAD">
        <w:trPr>
          <w:trHeight w:val="1926"/>
        </w:trPr>
        <w:tc>
          <w:tcPr>
            <w:tcW w:w="1163"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14:paraId="6C650152" w14:textId="77777777" w:rsidR="007A7A94" w:rsidRDefault="006F5972" w:rsidP="00E66504">
            <w:pPr>
              <w:spacing w:after="0"/>
              <w:jc w:val="left"/>
              <w:rPr>
                <w:rFonts w:asciiTheme="minorHAnsi" w:hAnsiTheme="minorHAnsi"/>
                <w:color w:val="FFFFFF" w:themeColor="background1"/>
                <w:sz w:val="18"/>
                <w:szCs w:val="18"/>
              </w:rPr>
            </w:pPr>
            <w:r w:rsidRPr="00561936">
              <w:rPr>
                <w:rFonts w:asciiTheme="minorHAnsi" w:hAnsiTheme="minorHAnsi"/>
                <w:color w:val="FFFFFF" w:themeColor="background1"/>
                <w:sz w:val="18"/>
                <w:szCs w:val="18"/>
              </w:rPr>
              <w:t>Ecosystem Function</w:t>
            </w:r>
            <w:r w:rsidRPr="00561936">
              <w:rPr>
                <w:rFonts w:asciiTheme="minorHAnsi" w:hAnsiTheme="minorHAnsi"/>
                <w:color w:val="FFFFFF" w:themeColor="background1"/>
                <w:sz w:val="18"/>
                <w:szCs w:val="18"/>
              </w:rPr>
              <w:br/>
            </w:r>
            <w:r w:rsidRPr="00561936">
              <w:rPr>
                <w:rFonts w:asciiTheme="minorHAnsi" w:hAnsiTheme="minorHAnsi"/>
                <w:color w:val="FFFFFF" w:themeColor="background1"/>
                <w:sz w:val="18"/>
                <w:szCs w:val="18"/>
              </w:rPr>
              <w:br/>
              <w:t>(Basin Plan S. 8.06)</w:t>
            </w:r>
          </w:p>
        </w:tc>
        <w:tc>
          <w:tcPr>
            <w:tcW w:w="1843" w:type="dxa"/>
            <w:gridSpan w:val="3"/>
            <w:vMerge w:val="restart"/>
            <w:tcBorders>
              <w:top w:val="single" w:sz="4" w:space="0" w:color="auto"/>
              <w:left w:val="single" w:sz="4" w:space="0" w:color="auto"/>
              <w:bottom w:val="single" w:sz="4" w:space="0" w:color="auto"/>
              <w:right w:val="single" w:sz="4" w:space="0" w:color="auto"/>
            </w:tcBorders>
            <w:shd w:val="clear" w:color="auto" w:fill="79B2F7"/>
            <w:vAlign w:val="center"/>
            <w:hideMark/>
          </w:tcPr>
          <w:p w14:paraId="6C650153" w14:textId="77777777" w:rsidR="007A7A94" w:rsidRDefault="006F5972" w:rsidP="00E66504">
            <w:pPr>
              <w:spacing w:after="0"/>
              <w:jc w:val="left"/>
              <w:rPr>
                <w:rFonts w:asciiTheme="minorHAnsi" w:hAnsiTheme="minorHAnsi"/>
                <w:sz w:val="18"/>
                <w:szCs w:val="18"/>
              </w:rPr>
            </w:pPr>
            <w:r w:rsidRPr="00561936">
              <w:rPr>
                <w:rFonts w:asciiTheme="minorHAnsi" w:hAnsiTheme="minorHAnsi"/>
                <w:sz w:val="18"/>
                <w:szCs w:val="18"/>
              </w:rPr>
              <w:t>Connectivity</w:t>
            </w:r>
          </w:p>
          <w:p w14:paraId="6C650154" w14:textId="77777777" w:rsidR="007A7A94" w:rsidRDefault="006F5972" w:rsidP="00E66504">
            <w:pPr>
              <w:spacing w:after="0"/>
              <w:jc w:val="left"/>
              <w:rPr>
                <w:rFonts w:asciiTheme="minorHAnsi" w:hAnsiTheme="minorHAnsi"/>
                <w:sz w:val="18"/>
                <w:szCs w:val="18"/>
              </w:rPr>
            </w:pPr>
            <w:r w:rsidRPr="00561936">
              <w:rPr>
                <w:rFonts w:asciiTheme="minorHAnsi" w:hAnsiTheme="minorHAnsi"/>
                <w:sz w:val="18"/>
                <w:szCs w:val="18"/>
              </w:rPr>
              <w:t> </w:t>
            </w:r>
          </w:p>
        </w:tc>
        <w:tc>
          <w:tcPr>
            <w:tcW w:w="3969" w:type="dxa"/>
            <w:tcBorders>
              <w:top w:val="single" w:sz="4" w:space="0" w:color="auto"/>
              <w:left w:val="nil"/>
              <w:bottom w:val="single" w:sz="4" w:space="0" w:color="auto"/>
              <w:right w:val="single" w:sz="4" w:space="0" w:color="auto"/>
            </w:tcBorders>
            <w:shd w:val="clear" w:color="auto" w:fill="FABF8F" w:themeFill="accent6" w:themeFillTint="99"/>
          </w:tcPr>
          <w:p w14:paraId="6C650155"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Maintained base flows - at least 60</w:t>
            </w:r>
            <w:r>
              <w:rPr>
                <w:rFonts w:asciiTheme="minorHAnsi" w:hAnsiTheme="minorHAnsi"/>
                <w:sz w:val="18"/>
                <w:szCs w:val="18"/>
              </w:rPr>
              <w:t xml:space="preserve"> per cent</w:t>
            </w:r>
            <w:r w:rsidRPr="00561936">
              <w:rPr>
                <w:rFonts w:asciiTheme="minorHAnsi" w:hAnsiTheme="minorHAnsi"/>
                <w:sz w:val="18"/>
                <w:szCs w:val="18"/>
              </w:rPr>
              <w:t xml:space="preserve"> of natural levels</w:t>
            </w:r>
          </w:p>
          <w:p w14:paraId="6C650156"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Improved overall flow</w:t>
            </w:r>
          </w:p>
          <w:p w14:paraId="6C650157"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Maintained connectivity in areas where it is relatively unaffected</w:t>
            </w:r>
          </w:p>
          <w:p w14:paraId="6C650158"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Improved connectivity with bank-full and/or low floodplain flows</w:t>
            </w:r>
          </w:p>
          <w:p w14:paraId="6C650159"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Maintain the Lower Lakes above sea level</w:t>
            </w:r>
          </w:p>
        </w:tc>
        <w:tc>
          <w:tcPr>
            <w:tcW w:w="19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65015A" w14:textId="77777777" w:rsidR="007A7A94" w:rsidRDefault="007A7A94" w:rsidP="00E66504">
            <w:pPr>
              <w:pStyle w:val="ListBullet"/>
              <w:numPr>
                <w:ilvl w:val="0"/>
                <w:numId w:val="0"/>
              </w:numPr>
              <w:spacing w:after="0"/>
              <w:ind w:left="175"/>
              <w:jc w:val="left"/>
              <w:rPr>
                <w:rFonts w:asciiTheme="minorHAnsi" w:hAnsiTheme="minorHAnsi"/>
                <w:sz w:val="18"/>
                <w:szCs w:val="18"/>
              </w:rPr>
            </w:pPr>
          </w:p>
        </w:tc>
        <w:tc>
          <w:tcPr>
            <w:tcW w:w="1531"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6C65015B"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Hydrological connectivity including end of system flows</w:t>
            </w:r>
          </w:p>
        </w:tc>
      </w:tr>
      <w:tr w:rsidR="006F5972" w:rsidRPr="00561936" w14:paraId="6C650162" w14:textId="77777777" w:rsidTr="00E24024">
        <w:trPr>
          <w:trHeight w:val="600"/>
        </w:trPr>
        <w:tc>
          <w:tcPr>
            <w:tcW w:w="1163" w:type="dxa"/>
            <w:vMerge/>
            <w:tcBorders>
              <w:left w:val="single" w:sz="4" w:space="0" w:color="auto"/>
              <w:bottom w:val="single" w:sz="4" w:space="0" w:color="auto"/>
              <w:right w:val="single" w:sz="4" w:space="0" w:color="auto"/>
            </w:tcBorders>
            <w:shd w:val="clear" w:color="auto" w:fill="0070C0"/>
            <w:vAlign w:val="center"/>
            <w:hideMark/>
          </w:tcPr>
          <w:p w14:paraId="6C65015D" w14:textId="77777777" w:rsidR="007A7A94" w:rsidRDefault="007A7A94" w:rsidP="00E66504">
            <w:pPr>
              <w:spacing w:after="0"/>
              <w:jc w:val="left"/>
              <w:rPr>
                <w:rFonts w:asciiTheme="minorHAnsi" w:hAnsiTheme="minorHAnsi"/>
                <w:color w:val="FFFFFF" w:themeColor="background1"/>
                <w:sz w:val="18"/>
                <w:szCs w:val="18"/>
              </w:rPr>
            </w:pPr>
          </w:p>
        </w:tc>
        <w:tc>
          <w:tcPr>
            <w:tcW w:w="1843" w:type="dxa"/>
            <w:gridSpan w:val="3"/>
            <w:vMerge/>
            <w:tcBorders>
              <w:left w:val="single" w:sz="4" w:space="0" w:color="auto"/>
              <w:bottom w:val="single" w:sz="4" w:space="0" w:color="auto"/>
              <w:right w:val="single" w:sz="4" w:space="0" w:color="auto"/>
            </w:tcBorders>
            <w:shd w:val="clear" w:color="auto" w:fill="79B2F7"/>
            <w:vAlign w:val="center"/>
            <w:hideMark/>
          </w:tcPr>
          <w:p w14:paraId="6C65015E" w14:textId="77777777" w:rsidR="007A7A94" w:rsidRDefault="007A7A94" w:rsidP="00E66504">
            <w:pPr>
              <w:spacing w:after="0"/>
              <w:jc w:val="left"/>
              <w:rPr>
                <w:rFonts w:asciiTheme="minorHAnsi" w:hAnsiTheme="minorHAnsi"/>
                <w:sz w:val="18"/>
                <w:szCs w:val="18"/>
              </w:rPr>
            </w:pPr>
          </w:p>
        </w:tc>
        <w:tc>
          <w:tcPr>
            <w:tcW w:w="3969" w:type="dxa"/>
            <w:tcBorders>
              <w:left w:val="nil"/>
              <w:bottom w:val="single" w:sz="4" w:space="0" w:color="auto"/>
              <w:right w:val="single" w:sz="4" w:space="0" w:color="auto"/>
            </w:tcBorders>
            <w:shd w:val="clear" w:color="auto" w:fill="FABF8F" w:themeFill="accent6" w:themeFillTint="99"/>
          </w:tcPr>
          <w:p w14:paraId="6C65015F"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Improved movement with more native fish using fish passages</w:t>
            </w:r>
          </w:p>
        </w:tc>
        <w:tc>
          <w:tcPr>
            <w:tcW w:w="1984" w:type="dxa"/>
            <w:tcBorders>
              <w:top w:val="nil"/>
              <w:left w:val="single" w:sz="4" w:space="0" w:color="auto"/>
              <w:bottom w:val="single" w:sz="4" w:space="0" w:color="auto"/>
              <w:right w:val="single" w:sz="4" w:space="0" w:color="auto"/>
            </w:tcBorders>
            <w:shd w:val="clear" w:color="auto" w:fill="92D050"/>
            <w:vAlign w:val="center"/>
            <w:hideMark/>
          </w:tcPr>
          <w:p w14:paraId="6C650160" w14:textId="77777777" w:rsidR="007A7A94" w:rsidRDefault="007A7A94" w:rsidP="00E66504">
            <w:pPr>
              <w:pStyle w:val="ListBullet"/>
              <w:numPr>
                <w:ilvl w:val="0"/>
                <w:numId w:val="0"/>
              </w:numPr>
              <w:spacing w:after="0"/>
              <w:jc w:val="left"/>
              <w:rPr>
                <w:rFonts w:asciiTheme="minorHAnsi" w:hAnsiTheme="minorHAnsi"/>
                <w:sz w:val="18"/>
                <w:szCs w:val="18"/>
              </w:rPr>
            </w:pPr>
          </w:p>
        </w:tc>
        <w:tc>
          <w:tcPr>
            <w:tcW w:w="1531" w:type="dxa"/>
            <w:tcBorders>
              <w:top w:val="nil"/>
              <w:left w:val="nil"/>
              <w:bottom w:val="single" w:sz="4" w:space="0" w:color="auto"/>
              <w:right w:val="single" w:sz="4" w:space="0" w:color="auto"/>
            </w:tcBorders>
            <w:shd w:val="clear" w:color="auto" w:fill="D6E3BC" w:themeFill="accent3" w:themeFillTint="66"/>
            <w:vAlign w:val="center"/>
          </w:tcPr>
          <w:p w14:paraId="6C650161"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 xml:space="preserve">Biotic dispersal and </w:t>
            </w:r>
            <w:r>
              <w:rPr>
                <w:rFonts w:asciiTheme="minorHAnsi" w:hAnsiTheme="minorHAnsi"/>
                <w:sz w:val="18"/>
                <w:szCs w:val="18"/>
              </w:rPr>
              <w:t>m</w:t>
            </w:r>
            <w:r w:rsidRPr="00561936">
              <w:rPr>
                <w:rFonts w:asciiTheme="minorHAnsi" w:hAnsiTheme="minorHAnsi"/>
                <w:sz w:val="18"/>
                <w:szCs w:val="18"/>
              </w:rPr>
              <w:t>ovement</w:t>
            </w:r>
          </w:p>
        </w:tc>
      </w:tr>
      <w:tr w:rsidR="006F5972" w:rsidRPr="00561936" w14:paraId="6C650168" w14:textId="77777777" w:rsidTr="00E24024">
        <w:trPr>
          <w:trHeight w:val="566"/>
        </w:trPr>
        <w:tc>
          <w:tcPr>
            <w:tcW w:w="1163" w:type="dxa"/>
            <w:vMerge/>
            <w:tcBorders>
              <w:left w:val="single" w:sz="4" w:space="0" w:color="auto"/>
              <w:bottom w:val="single" w:sz="4" w:space="0" w:color="auto"/>
              <w:right w:val="single" w:sz="4" w:space="0" w:color="auto"/>
            </w:tcBorders>
            <w:shd w:val="clear" w:color="auto" w:fill="0070C0"/>
            <w:vAlign w:val="center"/>
            <w:hideMark/>
          </w:tcPr>
          <w:p w14:paraId="6C650163" w14:textId="77777777" w:rsidR="007A7A94" w:rsidRDefault="007A7A94" w:rsidP="00E66504">
            <w:pPr>
              <w:spacing w:after="0"/>
              <w:jc w:val="left"/>
              <w:rPr>
                <w:rFonts w:asciiTheme="minorHAnsi" w:hAnsiTheme="minorHAnsi"/>
                <w:color w:val="FFFFFF" w:themeColor="background1"/>
                <w:sz w:val="18"/>
                <w:szCs w:val="18"/>
              </w:rPr>
            </w:pPr>
          </w:p>
        </w:tc>
        <w:tc>
          <w:tcPr>
            <w:tcW w:w="1843" w:type="dxa"/>
            <w:gridSpan w:val="3"/>
            <w:vMerge/>
            <w:tcBorders>
              <w:left w:val="single" w:sz="4" w:space="0" w:color="auto"/>
              <w:bottom w:val="single" w:sz="4" w:space="0" w:color="auto"/>
              <w:right w:val="single" w:sz="4" w:space="0" w:color="auto"/>
            </w:tcBorders>
            <w:shd w:val="clear" w:color="auto" w:fill="79B2F7"/>
            <w:vAlign w:val="center"/>
            <w:hideMark/>
          </w:tcPr>
          <w:p w14:paraId="6C650164" w14:textId="77777777" w:rsidR="007A7A94" w:rsidRDefault="007A7A94" w:rsidP="00E66504">
            <w:pPr>
              <w:spacing w:after="0"/>
              <w:jc w:val="left"/>
              <w:rPr>
                <w:rFonts w:asciiTheme="minorHAnsi" w:hAnsiTheme="minorHAnsi"/>
                <w:sz w:val="18"/>
                <w:szCs w:val="18"/>
              </w:rPr>
            </w:pPr>
          </w:p>
        </w:tc>
        <w:tc>
          <w:tcPr>
            <w:tcW w:w="3969" w:type="dxa"/>
            <w:tcBorders>
              <w:top w:val="single" w:sz="4" w:space="0" w:color="auto"/>
              <w:left w:val="nil"/>
              <w:bottom w:val="single" w:sz="4" w:space="0" w:color="auto"/>
              <w:right w:val="single" w:sz="4" w:space="0" w:color="auto"/>
            </w:tcBorders>
            <w:shd w:val="clear" w:color="auto" w:fill="FABF8F" w:themeFill="accent6" w:themeFillTint="99"/>
          </w:tcPr>
          <w:p w14:paraId="6C650165" w14:textId="77777777" w:rsidR="007A7A94" w:rsidRDefault="007A7A94" w:rsidP="00E66504">
            <w:pPr>
              <w:spacing w:after="0"/>
              <w:jc w:val="left"/>
              <w:rPr>
                <w:rFonts w:asciiTheme="minorHAnsi" w:hAnsiTheme="minorHAnsi"/>
                <w:sz w:val="18"/>
                <w:szCs w:val="18"/>
              </w:rPr>
            </w:pPr>
          </w:p>
        </w:tc>
        <w:tc>
          <w:tcPr>
            <w:tcW w:w="1984" w:type="dxa"/>
            <w:tcBorders>
              <w:top w:val="nil"/>
              <w:left w:val="single" w:sz="4" w:space="0" w:color="auto"/>
              <w:bottom w:val="single" w:sz="4" w:space="0" w:color="auto"/>
              <w:right w:val="single" w:sz="4" w:space="0" w:color="auto"/>
            </w:tcBorders>
            <w:shd w:val="clear" w:color="auto" w:fill="92D050"/>
            <w:vAlign w:val="center"/>
            <w:hideMark/>
          </w:tcPr>
          <w:p w14:paraId="6C650166" w14:textId="77777777" w:rsidR="007A7A94" w:rsidRDefault="007A7A94" w:rsidP="00E66504">
            <w:pPr>
              <w:pStyle w:val="ListBullet"/>
              <w:numPr>
                <w:ilvl w:val="0"/>
                <w:numId w:val="0"/>
              </w:numPr>
              <w:spacing w:after="0"/>
              <w:ind w:left="369" w:hanging="369"/>
              <w:jc w:val="left"/>
              <w:rPr>
                <w:rFonts w:asciiTheme="minorHAnsi" w:hAnsiTheme="minorHAnsi"/>
                <w:sz w:val="18"/>
                <w:szCs w:val="18"/>
              </w:rPr>
            </w:pPr>
          </w:p>
        </w:tc>
        <w:tc>
          <w:tcPr>
            <w:tcW w:w="1531" w:type="dxa"/>
            <w:tcBorders>
              <w:top w:val="nil"/>
              <w:left w:val="nil"/>
              <w:bottom w:val="single" w:sz="4" w:space="0" w:color="auto"/>
              <w:right w:val="single" w:sz="4" w:space="0" w:color="auto"/>
            </w:tcBorders>
            <w:shd w:val="clear" w:color="auto" w:fill="D6E3BC" w:themeFill="accent3" w:themeFillTint="66"/>
            <w:vAlign w:val="center"/>
          </w:tcPr>
          <w:p w14:paraId="6C650167"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Sediment transport</w:t>
            </w:r>
          </w:p>
        </w:tc>
      </w:tr>
      <w:tr w:rsidR="006F5972" w:rsidRPr="00561936" w14:paraId="6C650171" w14:textId="77777777" w:rsidTr="00CE0FAD">
        <w:trPr>
          <w:trHeight w:val="300"/>
        </w:trPr>
        <w:tc>
          <w:tcPr>
            <w:tcW w:w="1163" w:type="dxa"/>
            <w:vMerge/>
            <w:tcBorders>
              <w:left w:val="single" w:sz="4" w:space="0" w:color="auto"/>
              <w:bottom w:val="single" w:sz="4" w:space="0" w:color="auto"/>
              <w:right w:val="single" w:sz="4" w:space="0" w:color="auto"/>
            </w:tcBorders>
            <w:shd w:val="clear" w:color="auto" w:fill="0070C0"/>
            <w:vAlign w:val="center"/>
            <w:hideMark/>
          </w:tcPr>
          <w:p w14:paraId="6C650169" w14:textId="77777777" w:rsidR="007A7A94" w:rsidRDefault="007A7A94" w:rsidP="00E66504">
            <w:pPr>
              <w:spacing w:after="0"/>
              <w:jc w:val="left"/>
              <w:rPr>
                <w:rFonts w:asciiTheme="minorHAnsi" w:hAnsiTheme="minorHAnsi"/>
                <w:color w:val="FFFFFF" w:themeColor="background1"/>
                <w:sz w:val="18"/>
                <w:szCs w:val="18"/>
              </w:rPr>
            </w:pPr>
          </w:p>
        </w:tc>
        <w:tc>
          <w:tcPr>
            <w:tcW w:w="1843" w:type="dxa"/>
            <w:gridSpan w:val="3"/>
            <w:vMerge w:val="restart"/>
            <w:tcBorders>
              <w:top w:val="single" w:sz="4" w:space="0" w:color="auto"/>
              <w:left w:val="single" w:sz="4" w:space="0" w:color="auto"/>
              <w:right w:val="single" w:sz="4" w:space="0" w:color="auto"/>
            </w:tcBorders>
            <w:shd w:val="clear" w:color="auto" w:fill="79B2F7"/>
            <w:vAlign w:val="center"/>
            <w:hideMark/>
          </w:tcPr>
          <w:p w14:paraId="6C65016A" w14:textId="77777777" w:rsidR="007A7A94" w:rsidRDefault="006F5972" w:rsidP="00E66504">
            <w:pPr>
              <w:spacing w:after="0"/>
              <w:jc w:val="left"/>
              <w:rPr>
                <w:rFonts w:asciiTheme="minorHAnsi" w:hAnsiTheme="minorHAnsi"/>
                <w:sz w:val="18"/>
                <w:szCs w:val="18"/>
              </w:rPr>
            </w:pPr>
            <w:r w:rsidRPr="00561936">
              <w:rPr>
                <w:rFonts w:asciiTheme="minorHAnsi" w:hAnsiTheme="minorHAnsi"/>
                <w:sz w:val="18"/>
                <w:szCs w:val="18"/>
              </w:rPr>
              <w:t>Process</w:t>
            </w:r>
          </w:p>
          <w:p w14:paraId="6C65016B" w14:textId="77777777" w:rsidR="007A7A94" w:rsidRDefault="006F5972" w:rsidP="00E66504">
            <w:pPr>
              <w:spacing w:after="0"/>
              <w:jc w:val="left"/>
              <w:rPr>
                <w:rFonts w:asciiTheme="minorHAnsi" w:hAnsiTheme="minorHAnsi"/>
                <w:sz w:val="18"/>
                <w:szCs w:val="18"/>
              </w:rPr>
            </w:pPr>
            <w:r w:rsidRPr="00561936">
              <w:rPr>
                <w:rFonts w:asciiTheme="minorHAnsi" w:hAnsiTheme="minorHAnsi"/>
                <w:sz w:val="18"/>
                <w:szCs w:val="18"/>
              </w:rPr>
              <w:t> </w:t>
            </w:r>
          </w:p>
        </w:tc>
        <w:tc>
          <w:tcPr>
            <w:tcW w:w="3969" w:type="dxa"/>
            <w:tcBorders>
              <w:top w:val="single" w:sz="4" w:space="0" w:color="auto"/>
              <w:left w:val="nil"/>
              <w:right w:val="single" w:sz="4" w:space="0" w:color="auto"/>
            </w:tcBorders>
            <w:shd w:val="clear" w:color="auto" w:fill="FABF8F" w:themeFill="accent6" w:themeFillTint="99"/>
          </w:tcPr>
          <w:p w14:paraId="6C65016C" w14:textId="77777777" w:rsidR="007A7A94" w:rsidRDefault="007A7A94" w:rsidP="00E66504">
            <w:pPr>
              <w:spacing w:after="0"/>
              <w:jc w:val="left"/>
              <w:rPr>
                <w:rFonts w:asciiTheme="minorHAnsi" w:hAnsiTheme="minorHAnsi"/>
                <w:sz w:val="18"/>
                <w:szCs w:val="18"/>
              </w:rPr>
            </w:pPr>
          </w:p>
        </w:tc>
        <w:tc>
          <w:tcPr>
            <w:tcW w:w="1984" w:type="dxa"/>
            <w:vMerge w:val="restart"/>
            <w:tcBorders>
              <w:top w:val="single" w:sz="4" w:space="0" w:color="auto"/>
              <w:left w:val="single" w:sz="4" w:space="0" w:color="auto"/>
              <w:right w:val="single" w:sz="4" w:space="0" w:color="auto"/>
            </w:tcBorders>
            <w:shd w:val="clear" w:color="auto" w:fill="92D050"/>
            <w:vAlign w:val="center"/>
            <w:hideMark/>
          </w:tcPr>
          <w:p w14:paraId="6C65016D" w14:textId="77777777" w:rsidR="007A7A94" w:rsidRDefault="007A7A94" w:rsidP="00E66504">
            <w:pPr>
              <w:pStyle w:val="ListBullet"/>
              <w:numPr>
                <w:ilvl w:val="0"/>
                <w:numId w:val="0"/>
              </w:numPr>
              <w:spacing w:after="0"/>
              <w:ind w:left="369" w:hanging="369"/>
              <w:jc w:val="left"/>
              <w:rPr>
                <w:rFonts w:asciiTheme="minorHAnsi" w:hAnsiTheme="minorHAnsi"/>
                <w:sz w:val="18"/>
                <w:szCs w:val="18"/>
              </w:rPr>
            </w:pPr>
          </w:p>
        </w:tc>
        <w:tc>
          <w:tcPr>
            <w:tcW w:w="1531" w:type="dxa"/>
            <w:vMerge w:val="restart"/>
            <w:tcBorders>
              <w:top w:val="single" w:sz="4" w:space="0" w:color="auto"/>
              <w:left w:val="nil"/>
              <w:right w:val="single" w:sz="4" w:space="0" w:color="auto"/>
            </w:tcBorders>
            <w:shd w:val="clear" w:color="auto" w:fill="D6E3BC" w:themeFill="accent3" w:themeFillTint="66"/>
            <w:vAlign w:val="center"/>
          </w:tcPr>
          <w:p w14:paraId="6C65016E"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Primary productivity (of aquatic ecosystems)</w:t>
            </w:r>
          </w:p>
          <w:p w14:paraId="6C65016F"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Decomposition</w:t>
            </w:r>
          </w:p>
          <w:p w14:paraId="6C650170"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Nutrient and carbon cycling</w:t>
            </w:r>
          </w:p>
        </w:tc>
      </w:tr>
      <w:tr w:rsidR="006F5972" w:rsidRPr="00561936" w14:paraId="6C650177" w14:textId="77777777" w:rsidTr="00CE0FAD">
        <w:trPr>
          <w:trHeight w:val="300"/>
        </w:trPr>
        <w:tc>
          <w:tcPr>
            <w:tcW w:w="1163" w:type="dxa"/>
            <w:vMerge/>
            <w:tcBorders>
              <w:left w:val="single" w:sz="4" w:space="0" w:color="auto"/>
              <w:bottom w:val="single" w:sz="4" w:space="0" w:color="auto"/>
              <w:right w:val="single" w:sz="4" w:space="0" w:color="auto"/>
            </w:tcBorders>
            <w:shd w:val="clear" w:color="auto" w:fill="0070C0"/>
            <w:vAlign w:val="center"/>
            <w:hideMark/>
          </w:tcPr>
          <w:p w14:paraId="6C650172" w14:textId="77777777" w:rsidR="007A7A94" w:rsidRDefault="007A7A94" w:rsidP="00E66504">
            <w:pPr>
              <w:spacing w:after="0"/>
              <w:jc w:val="left"/>
              <w:rPr>
                <w:rFonts w:asciiTheme="minorHAnsi" w:hAnsiTheme="minorHAnsi"/>
                <w:color w:val="FFFFFF" w:themeColor="background1"/>
                <w:sz w:val="18"/>
                <w:szCs w:val="18"/>
              </w:rPr>
            </w:pPr>
          </w:p>
        </w:tc>
        <w:tc>
          <w:tcPr>
            <w:tcW w:w="1843" w:type="dxa"/>
            <w:gridSpan w:val="3"/>
            <w:vMerge/>
            <w:tcBorders>
              <w:left w:val="single" w:sz="4" w:space="0" w:color="auto"/>
              <w:right w:val="single" w:sz="4" w:space="0" w:color="auto"/>
            </w:tcBorders>
            <w:shd w:val="clear" w:color="auto" w:fill="79B2F7"/>
            <w:vAlign w:val="center"/>
            <w:hideMark/>
          </w:tcPr>
          <w:p w14:paraId="6C650173" w14:textId="77777777" w:rsidR="007A7A94" w:rsidRDefault="007A7A94" w:rsidP="00E66504">
            <w:pPr>
              <w:spacing w:after="0"/>
              <w:jc w:val="left"/>
              <w:rPr>
                <w:rFonts w:asciiTheme="minorHAnsi" w:hAnsiTheme="minorHAnsi"/>
                <w:sz w:val="18"/>
                <w:szCs w:val="18"/>
              </w:rPr>
            </w:pPr>
          </w:p>
        </w:tc>
        <w:tc>
          <w:tcPr>
            <w:tcW w:w="3969" w:type="dxa"/>
            <w:tcBorders>
              <w:left w:val="nil"/>
              <w:right w:val="single" w:sz="4" w:space="0" w:color="auto"/>
            </w:tcBorders>
            <w:shd w:val="clear" w:color="auto" w:fill="FABF8F" w:themeFill="accent6" w:themeFillTint="99"/>
          </w:tcPr>
          <w:p w14:paraId="6C650174" w14:textId="77777777" w:rsidR="007A7A94" w:rsidRDefault="007A7A94" w:rsidP="00E66504">
            <w:pPr>
              <w:spacing w:after="0"/>
              <w:jc w:val="left"/>
              <w:rPr>
                <w:rFonts w:asciiTheme="minorHAnsi" w:hAnsiTheme="minorHAnsi"/>
                <w:sz w:val="18"/>
                <w:szCs w:val="18"/>
              </w:rPr>
            </w:pPr>
          </w:p>
        </w:tc>
        <w:tc>
          <w:tcPr>
            <w:tcW w:w="1984" w:type="dxa"/>
            <w:vMerge/>
            <w:tcBorders>
              <w:left w:val="single" w:sz="4" w:space="0" w:color="auto"/>
              <w:right w:val="single" w:sz="4" w:space="0" w:color="auto"/>
            </w:tcBorders>
            <w:shd w:val="clear" w:color="auto" w:fill="92D050"/>
            <w:vAlign w:val="center"/>
            <w:hideMark/>
          </w:tcPr>
          <w:p w14:paraId="6C650175" w14:textId="77777777" w:rsidR="007A7A94" w:rsidRDefault="007A7A94" w:rsidP="00E66504">
            <w:pPr>
              <w:pStyle w:val="ListBullet"/>
              <w:spacing w:after="0"/>
              <w:ind w:left="175" w:hanging="175"/>
              <w:jc w:val="left"/>
              <w:rPr>
                <w:rFonts w:asciiTheme="minorHAnsi" w:hAnsiTheme="minorHAnsi"/>
                <w:sz w:val="18"/>
                <w:szCs w:val="18"/>
              </w:rPr>
            </w:pPr>
          </w:p>
        </w:tc>
        <w:tc>
          <w:tcPr>
            <w:tcW w:w="1531" w:type="dxa"/>
            <w:vMerge/>
            <w:tcBorders>
              <w:left w:val="nil"/>
              <w:right w:val="single" w:sz="4" w:space="0" w:color="auto"/>
            </w:tcBorders>
            <w:shd w:val="clear" w:color="auto" w:fill="D6E3BC" w:themeFill="accent3" w:themeFillTint="66"/>
            <w:vAlign w:val="center"/>
          </w:tcPr>
          <w:p w14:paraId="6C650176" w14:textId="77777777" w:rsidR="007A7A94" w:rsidRDefault="007A7A94" w:rsidP="00E66504">
            <w:pPr>
              <w:pStyle w:val="ListBullet"/>
              <w:spacing w:after="0"/>
              <w:ind w:left="175" w:hanging="175"/>
              <w:jc w:val="left"/>
              <w:rPr>
                <w:rFonts w:asciiTheme="minorHAnsi" w:hAnsiTheme="minorHAnsi"/>
                <w:sz w:val="18"/>
                <w:szCs w:val="18"/>
              </w:rPr>
            </w:pPr>
          </w:p>
        </w:tc>
      </w:tr>
      <w:tr w:rsidR="006F5972" w:rsidRPr="00561936" w14:paraId="6C65017D" w14:textId="77777777" w:rsidTr="00CE0FAD">
        <w:trPr>
          <w:trHeight w:val="1191"/>
        </w:trPr>
        <w:tc>
          <w:tcPr>
            <w:tcW w:w="1163" w:type="dxa"/>
            <w:vMerge/>
            <w:tcBorders>
              <w:left w:val="single" w:sz="4" w:space="0" w:color="auto"/>
              <w:bottom w:val="single" w:sz="4" w:space="0" w:color="auto"/>
              <w:right w:val="single" w:sz="4" w:space="0" w:color="auto"/>
            </w:tcBorders>
            <w:shd w:val="clear" w:color="auto" w:fill="0070C0"/>
            <w:vAlign w:val="center"/>
            <w:hideMark/>
          </w:tcPr>
          <w:p w14:paraId="6C650178" w14:textId="77777777" w:rsidR="007A7A94" w:rsidRDefault="007A7A94" w:rsidP="00E66504">
            <w:pPr>
              <w:spacing w:after="0"/>
              <w:jc w:val="left"/>
              <w:rPr>
                <w:rFonts w:asciiTheme="minorHAnsi" w:hAnsiTheme="minorHAnsi"/>
                <w:color w:val="FFFFFF" w:themeColor="background1"/>
                <w:sz w:val="18"/>
                <w:szCs w:val="18"/>
              </w:rPr>
            </w:pPr>
          </w:p>
        </w:tc>
        <w:tc>
          <w:tcPr>
            <w:tcW w:w="1843" w:type="dxa"/>
            <w:gridSpan w:val="3"/>
            <w:vMerge/>
            <w:tcBorders>
              <w:left w:val="single" w:sz="4" w:space="0" w:color="auto"/>
              <w:bottom w:val="single" w:sz="4" w:space="0" w:color="auto"/>
              <w:right w:val="single" w:sz="4" w:space="0" w:color="auto"/>
            </w:tcBorders>
            <w:shd w:val="clear" w:color="auto" w:fill="79B2F7"/>
            <w:vAlign w:val="center"/>
            <w:hideMark/>
          </w:tcPr>
          <w:p w14:paraId="6C650179" w14:textId="77777777" w:rsidR="007A7A94" w:rsidRDefault="007A7A94" w:rsidP="00E66504">
            <w:pPr>
              <w:spacing w:after="0"/>
              <w:jc w:val="left"/>
              <w:rPr>
                <w:rFonts w:asciiTheme="minorHAnsi" w:hAnsiTheme="minorHAnsi"/>
                <w:sz w:val="18"/>
                <w:szCs w:val="18"/>
              </w:rPr>
            </w:pPr>
          </w:p>
        </w:tc>
        <w:tc>
          <w:tcPr>
            <w:tcW w:w="3969" w:type="dxa"/>
            <w:tcBorders>
              <w:left w:val="nil"/>
              <w:bottom w:val="single" w:sz="4" w:space="0" w:color="auto"/>
              <w:right w:val="single" w:sz="4" w:space="0" w:color="auto"/>
            </w:tcBorders>
            <w:shd w:val="clear" w:color="auto" w:fill="FABF8F" w:themeFill="accent6" w:themeFillTint="99"/>
          </w:tcPr>
          <w:p w14:paraId="6C65017A" w14:textId="77777777" w:rsidR="007A7A94" w:rsidRDefault="007A7A94" w:rsidP="00E66504">
            <w:pPr>
              <w:spacing w:after="0"/>
              <w:jc w:val="left"/>
              <w:rPr>
                <w:rFonts w:asciiTheme="minorHAnsi" w:hAnsiTheme="minorHAnsi"/>
                <w:sz w:val="18"/>
                <w:szCs w:val="18"/>
              </w:rPr>
            </w:pPr>
          </w:p>
        </w:tc>
        <w:tc>
          <w:tcPr>
            <w:tcW w:w="1984" w:type="dxa"/>
            <w:vMerge/>
            <w:tcBorders>
              <w:left w:val="single" w:sz="4" w:space="0" w:color="auto"/>
              <w:bottom w:val="single" w:sz="4" w:space="0" w:color="auto"/>
              <w:right w:val="single" w:sz="4" w:space="0" w:color="auto"/>
            </w:tcBorders>
            <w:shd w:val="clear" w:color="auto" w:fill="92D050"/>
            <w:vAlign w:val="center"/>
            <w:hideMark/>
          </w:tcPr>
          <w:p w14:paraId="6C65017B" w14:textId="77777777" w:rsidR="007A7A94" w:rsidRDefault="007A7A94" w:rsidP="00E66504">
            <w:pPr>
              <w:pStyle w:val="ListBullet"/>
              <w:spacing w:after="0"/>
              <w:ind w:left="175" w:hanging="175"/>
              <w:jc w:val="left"/>
              <w:rPr>
                <w:rFonts w:asciiTheme="minorHAnsi" w:hAnsiTheme="minorHAnsi"/>
                <w:sz w:val="18"/>
                <w:szCs w:val="18"/>
              </w:rPr>
            </w:pPr>
          </w:p>
        </w:tc>
        <w:tc>
          <w:tcPr>
            <w:tcW w:w="1531" w:type="dxa"/>
            <w:vMerge/>
            <w:tcBorders>
              <w:left w:val="nil"/>
              <w:bottom w:val="single" w:sz="4" w:space="0" w:color="auto"/>
              <w:right w:val="single" w:sz="4" w:space="0" w:color="auto"/>
            </w:tcBorders>
            <w:shd w:val="clear" w:color="auto" w:fill="D6E3BC" w:themeFill="accent3" w:themeFillTint="66"/>
            <w:vAlign w:val="center"/>
          </w:tcPr>
          <w:p w14:paraId="6C65017C" w14:textId="77777777" w:rsidR="007A7A94" w:rsidRDefault="007A7A94" w:rsidP="00E66504">
            <w:pPr>
              <w:pStyle w:val="ListBullet"/>
              <w:spacing w:after="0"/>
              <w:ind w:left="175" w:hanging="175"/>
              <w:jc w:val="left"/>
              <w:rPr>
                <w:rFonts w:asciiTheme="minorHAnsi" w:hAnsiTheme="minorHAnsi"/>
                <w:sz w:val="18"/>
                <w:szCs w:val="18"/>
              </w:rPr>
            </w:pPr>
          </w:p>
        </w:tc>
      </w:tr>
      <w:tr w:rsidR="001B51D0" w:rsidRPr="00561936" w14:paraId="6915A671" w14:textId="77777777" w:rsidTr="000B25F8">
        <w:trPr>
          <w:trHeight w:val="547"/>
        </w:trPr>
        <w:tc>
          <w:tcPr>
            <w:tcW w:w="116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801C4F7" w14:textId="77777777" w:rsidR="001B51D0" w:rsidRDefault="001B51D0" w:rsidP="000B25F8">
            <w:pPr>
              <w:spacing w:after="0"/>
              <w:jc w:val="left"/>
              <w:rPr>
                <w:rFonts w:asciiTheme="minorHAnsi" w:hAnsiTheme="minorHAnsi"/>
                <w:b/>
                <w:bCs/>
                <w:color w:val="FFFFFF" w:themeColor="background1"/>
                <w:sz w:val="18"/>
                <w:szCs w:val="18"/>
                <w:lang w:val="en-GB" w:eastAsia="en-US"/>
              </w:rPr>
            </w:pPr>
            <w:r w:rsidRPr="00561936">
              <w:rPr>
                <w:rFonts w:asciiTheme="minorHAnsi" w:hAnsiTheme="minorHAnsi"/>
                <w:b/>
                <w:bCs/>
                <w:color w:val="FFFFFF" w:themeColor="background1"/>
                <w:sz w:val="18"/>
                <w:szCs w:val="18"/>
              </w:rPr>
              <w:t>Basin Plan Objectives</w:t>
            </w:r>
          </w:p>
        </w:tc>
        <w:tc>
          <w:tcPr>
            <w:tcW w:w="1843" w:type="dxa"/>
            <w:gridSpan w:val="3"/>
            <w:tcBorders>
              <w:top w:val="single" w:sz="8" w:space="0" w:color="auto"/>
              <w:left w:val="single" w:sz="4" w:space="0" w:color="auto"/>
              <w:bottom w:val="single" w:sz="4" w:space="0" w:color="auto"/>
              <w:right w:val="single" w:sz="8" w:space="0" w:color="000000"/>
            </w:tcBorders>
            <w:shd w:val="clear" w:color="auto" w:fill="79B2F7"/>
            <w:vAlign w:val="center"/>
            <w:hideMark/>
          </w:tcPr>
          <w:p w14:paraId="26EE1BD6" w14:textId="77777777" w:rsidR="001B51D0" w:rsidRDefault="001B51D0" w:rsidP="000B25F8">
            <w:pPr>
              <w:spacing w:after="0"/>
              <w:jc w:val="center"/>
              <w:rPr>
                <w:rFonts w:asciiTheme="minorHAnsi" w:hAnsiTheme="minorHAnsi"/>
                <w:b/>
                <w:bCs/>
                <w:color w:val="5F497A" w:themeColor="accent4" w:themeShade="BF"/>
                <w:sz w:val="18"/>
                <w:szCs w:val="18"/>
                <w:lang w:val="en-GB" w:eastAsia="en-US"/>
              </w:rPr>
            </w:pPr>
            <w:r w:rsidRPr="00561936">
              <w:rPr>
                <w:rFonts w:asciiTheme="minorHAnsi" w:hAnsiTheme="minorHAnsi"/>
                <w:b/>
                <w:bCs/>
                <w:sz w:val="18"/>
                <w:szCs w:val="18"/>
              </w:rPr>
              <w:t>Basin Outcomes</w:t>
            </w:r>
          </w:p>
        </w:tc>
        <w:tc>
          <w:tcPr>
            <w:tcW w:w="3969" w:type="dxa"/>
            <w:tcBorders>
              <w:top w:val="single" w:sz="8" w:space="0" w:color="auto"/>
              <w:left w:val="single" w:sz="8" w:space="0" w:color="auto"/>
              <w:bottom w:val="single" w:sz="8" w:space="0" w:color="000000"/>
              <w:right w:val="single" w:sz="4" w:space="0" w:color="auto"/>
            </w:tcBorders>
            <w:shd w:val="clear" w:color="auto" w:fill="FABF8F" w:themeFill="accent6" w:themeFillTint="99"/>
          </w:tcPr>
          <w:p w14:paraId="17AEADFF" w14:textId="77777777" w:rsidR="001B51D0" w:rsidRDefault="001B51D0" w:rsidP="000B25F8">
            <w:pPr>
              <w:spacing w:after="0"/>
              <w:jc w:val="center"/>
              <w:rPr>
                <w:rFonts w:asciiTheme="minorHAnsi" w:hAnsiTheme="minorHAnsi"/>
                <w:b/>
                <w:bCs/>
                <w:color w:val="5F497A" w:themeColor="accent4" w:themeShade="BF"/>
                <w:sz w:val="18"/>
                <w:szCs w:val="18"/>
                <w:lang w:val="en-GB" w:eastAsia="en-US"/>
              </w:rPr>
            </w:pPr>
            <w:r w:rsidRPr="00561936">
              <w:rPr>
                <w:rFonts w:asciiTheme="minorHAnsi" w:hAnsiTheme="minorHAnsi"/>
                <w:b/>
                <w:bCs/>
                <w:sz w:val="18"/>
                <w:szCs w:val="18"/>
              </w:rPr>
              <w:t>Basin</w:t>
            </w:r>
            <w:r>
              <w:rPr>
                <w:rFonts w:asciiTheme="minorHAnsi" w:hAnsiTheme="minorHAnsi"/>
                <w:b/>
                <w:bCs/>
                <w:sz w:val="18"/>
                <w:szCs w:val="18"/>
              </w:rPr>
              <w:t>-w</w:t>
            </w:r>
            <w:r w:rsidRPr="00561936">
              <w:rPr>
                <w:rFonts w:asciiTheme="minorHAnsi" w:hAnsiTheme="minorHAnsi"/>
                <w:b/>
                <w:bCs/>
                <w:sz w:val="18"/>
                <w:szCs w:val="18"/>
              </w:rPr>
              <w:t>ide Environmental Watering Strategy – Expected Outcomes</w:t>
            </w:r>
          </w:p>
        </w:tc>
        <w:tc>
          <w:tcPr>
            <w:tcW w:w="1984" w:type="dxa"/>
            <w:tcBorders>
              <w:top w:val="single" w:sz="4" w:space="0" w:color="auto"/>
              <w:left w:val="single" w:sz="4" w:space="0" w:color="auto"/>
              <w:bottom w:val="single" w:sz="8" w:space="0" w:color="000000"/>
              <w:right w:val="single" w:sz="4" w:space="0" w:color="auto"/>
            </w:tcBorders>
            <w:shd w:val="clear" w:color="auto" w:fill="92D050"/>
            <w:vAlign w:val="center"/>
            <w:hideMark/>
          </w:tcPr>
          <w:p w14:paraId="2355CD88" w14:textId="77777777" w:rsidR="001B51D0" w:rsidRDefault="001B51D0" w:rsidP="000B25F8">
            <w:pPr>
              <w:spacing w:after="0"/>
              <w:jc w:val="center"/>
              <w:rPr>
                <w:rFonts w:asciiTheme="minorHAnsi" w:hAnsiTheme="minorHAnsi"/>
                <w:b/>
                <w:bCs/>
                <w:color w:val="5F497A" w:themeColor="accent4" w:themeShade="BF"/>
                <w:sz w:val="18"/>
                <w:szCs w:val="18"/>
                <w:lang w:val="en-GB" w:eastAsia="en-US"/>
              </w:rPr>
            </w:pPr>
            <w:r w:rsidRPr="00561936">
              <w:rPr>
                <w:rFonts w:asciiTheme="minorHAnsi" w:hAnsiTheme="minorHAnsi"/>
                <w:b/>
                <w:bCs/>
                <w:sz w:val="18"/>
                <w:szCs w:val="18"/>
              </w:rPr>
              <w:t>5 year Expected Outcomes</w:t>
            </w:r>
          </w:p>
        </w:tc>
        <w:tc>
          <w:tcPr>
            <w:tcW w:w="1531" w:type="dxa"/>
            <w:tcBorders>
              <w:top w:val="single" w:sz="8" w:space="0" w:color="auto"/>
              <w:left w:val="single" w:sz="4" w:space="0" w:color="auto"/>
              <w:bottom w:val="single" w:sz="8" w:space="0" w:color="000000"/>
              <w:right w:val="single" w:sz="4" w:space="0" w:color="auto"/>
            </w:tcBorders>
            <w:shd w:val="clear" w:color="auto" w:fill="D6E3BC" w:themeFill="accent3" w:themeFillTint="66"/>
            <w:vAlign w:val="center"/>
            <w:hideMark/>
          </w:tcPr>
          <w:p w14:paraId="2DBA8F3B" w14:textId="77777777" w:rsidR="001B51D0" w:rsidRDefault="001B51D0" w:rsidP="000B25F8">
            <w:pPr>
              <w:spacing w:after="0"/>
              <w:jc w:val="center"/>
              <w:rPr>
                <w:rFonts w:asciiTheme="minorHAnsi" w:hAnsiTheme="minorHAnsi"/>
                <w:b/>
                <w:bCs/>
                <w:color w:val="5F497A" w:themeColor="accent4" w:themeShade="BF"/>
                <w:sz w:val="18"/>
                <w:szCs w:val="18"/>
                <w:lang w:val="en-GB" w:eastAsia="en-US"/>
              </w:rPr>
            </w:pPr>
            <w:r w:rsidRPr="00561936">
              <w:rPr>
                <w:rFonts w:asciiTheme="minorHAnsi" w:hAnsiTheme="minorHAnsi"/>
                <w:b/>
                <w:bCs/>
                <w:sz w:val="18"/>
                <w:szCs w:val="18"/>
              </w:rPr>
              <w:t>1 year Expected Outcomes</w:t>
            </w:r>
          </w:p>
        </w:tc>
      </w:tr>
      <w:tr w:rsidR="006F5972" w:rsidRPr="00561936" w14:paraId="6C650187" w14:textId="77777777" w:rsidTr="00CE0FAD">
        <w:trPr>
          <w:trHeight w:val="1694"/>
        </w:trPr>
        <w:tc>
          <w:tcPr>
            <w:tcW w:w="1163"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14:paraId="6C65017E" w14:textId="5E683E69" w:rsidR="007A7A94" w:rsidRDefault="00CE0FAD" w:rsidP="00E66504">
            <w:pPr>
              <w:spacing w:after="0"/>
              <w:jc w:val="left"/>
              <w:rPr>
                <w:rFonts w:asciiTheme="minorHAnsi" w:hAnsiTheme="minorHAnsi"/>
                <w:color w:val="FFFFFF" w:themeColor="background1"/>
                <w:sz w:val="18"/>
                <w:szCs w:val="18"/>
              </w:rPr>
            </w:pPr>
            <w:r w:rsidRPr="00561936">
              <w:rPr>
                <w:rFonts w:asciiTheme="minorHAnsi" w:hAnsiTheme="minorHAnsi"/>
                <w:color w:val="FFFFFF" w:themeColor="background1"/>
                <w:sz w:val="18"/>
                <w:szCs w:val="18"/>
              </w:rPr>
              <w:t>Ecosystem Function</w:t>
            </w:r>
            <w:r>
              <w:rPr>
                <w:rFonts w:asciiTheme="minorHAnsi" w:hAnsiTheme="minorHAnsi"/>
                <w:color w:val="FFFFFF" w:themeColor="background1"/>
                <w:sz w:val="18"/>
                <w:szCs w:val="18"/>
              </w:rPr>
              <w:t xml:space="preserve"> (ctd)</w:t>
            </w:r>
          </w:p>
        </w:tc>
        <w:tc>
          <w:tcPr>
            <w:tcW w:w="851" w:type="dxa"/>
            <w:gridSpan w:val="2"/>
            <w:vMerge w:val="restart"/>
            <w:tcBorders>
              <w:top w:val="single" w:sz="4" w:space="0" w:color="auto"/>
              <w:left w:val="single" w:sz="4" w:space="0" w:color="auto"/>
              <w:right w:val="single" w:sz="4" w:space="0" w:color="auto"/>
            </w:tcBorders>
            <w:shd w:val="clear" w:color="auto" w:fill="79B2F7"/>
            <w:vAlign w:val="center"/>
            <w:hideMark/>
          </w:tcPr>
          <w:p w14:paraId="6C65017F" w14:textId="77777777" w:rsidR="007A7A94" w:rsidRDefault="006F5972" w:rsidP="00E66504">
            <w:pPr>
              <w:spacing w:after="0"/>
              <w:jc w:val="left"/>
              <w:rPr>
                <w:rFonts w:asciiTheme="minorHAnsi" w:hAnsiTheme="minorHAnsi"/>
                <w:sz w:val="18"/>
                <w:szCs w:val="18"/>
              </w:rPr>
            </w:pPr>
            <w:r>
              <w:rPr>
                <w:rFonts w:asciiTheme="minorHAnsi" w:hAnsiTheme="minorHAnsi"/>
                <w:sz w:val="18"/>
                <w:szCs w:val="18"/>
              </w:rPr>
              <w:t>Water quality</w:t>
            </w:r>
          </w:p>
        </w:tc>
        <w:tc>
          <w:tcPr>
            <w:tcW w:w="992" w:type="dxa"/>
            <w:tcBorders>
              <w:top w:val="single" w:sz="4" w:space="0" w:color="auto"/>
              <w:left w:val="single" w:sz="4" w:space="0" w:color="auto"/>
              <w:bottom w:val="single" w:sz="4" w:space="0" w:color="auto"/>
              <w:right w:val="single" w:sz="4" w:space="0" w:color="auto"/>
            </w:tcBorders>
            <w:shd w:val="clear" w:color="auto" w:fill="79B2F7"/>
            <w:vAlign w:val="center"/>
          </w:tcPr>
          <w:p w14:paraId="6C650180" w14:textId="77777777" w:rsidR="007A7A94" w:rsidRDefault="006F5972" w:rsidP="00E66504">
            <w:pPr>
              <w:spacing w:after="0"/>
              <w:jc w:val="left"/>
              <w:rPr>
                <w:rFonts w:asciiTheme="minorHAnsi" w:hAnsiTheme="minorHAnsi"/>
                <w:sz w:val="18"/>
                <w:szCs w:val="18"/>
              </w:rPr>
            </w:pPr>
            <w:r>
              <w:rPr>
                <w:rFonts w:asciiTheme="minorHAnsi" w:hAnsiTheme="minorHAnsi"/>
                <w:sz w:val="18"/>
                <w:szCs w:val="18"/>
              </w:rPr>
              <w:t>Chemical</w:t>
            </w:r>
          </w:p>
        </w:tc>
        <w:tc>
          <w:tcPr>
            <w:tcW w:w="3969" w:type="dxa"/>
            <w:tcBorders>
              <w:top w:val="single" w:sz="4" w:space="0" w:color="auto"/>
              <w:left w:val="nil"/>
              <w:bottom w:val="single" w:sz="4" w:space="0" w:color="auto"/>
              <w:right w:val="single" w:sz="4" w:space="0" w:color="auto"/>
            </w:tcBorders>
            <w:shd w:val="clear" w:color="auto" w:fill="FABF8F" w:themeFill="accent6" w:themeFillTint="99"/>
          </w:tcPr>
          <w:p w14:paraId="6C650181" w14:textId="77777777" w:rsidR="007A7A94" w:rsidRDefault="007A7A94" w:rsidP="00E66504">
            <w:pPr>
              <w:spacing w:after="0"/>
              <w:jc w:val="left"/>
              <w:rPr>
                <w:rFonts w:asciiTheme="minorHAnsi" w:hAnsiTheme="minorHAnsi"/>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650182" w14:textId="77777777" w:rsidR="007A7A94" w:rsidRDefault="007A7A94" w:rsidP="00E66504">
            <w:pPr>
              <w:pStyle w:val="ListBullet"/>
              <w:numPr>
                <w:ilvl w:val="0"/>
                <w:numId w:val="0"/>
              </w:numPr>
              <w:spacing w:after="0"/>
              <w:ind w:left="175"/>
              <w:jc w:val="left"/>
              <w:rPr>
                <w:rFonts w:asciiTheme="minorHAnsi" w:hAnsiTheme="minorHAnsi"/>
                <w:sz w:val="18"/>
                <w:szCs w:val="18"/>
              </w:rPr>
            </w:pPr>
          </w:p>
        </w:tc>
        <w:tc>
          <w:tcPr>
            <w:tcW w:w="1531"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6C650183"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Salinity</w:t>
            </w:r>
          </w:p>
          <w:p w14:paraId="6C650184"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Dissolved oxygen</w:t>
            </w:r>
          </w:p>
          <w:p w14:paraId="6C650185"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pH</w:t>
            </w:r>
          </w:p>
          <w:p w14:paraId="6C650186"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Dissolved organic carbon</w:t>
            </w:r>
          </w:p>
        </w:tc>
      </w:tr>
      <w:tr w:rsidR="006F5972" w:rsidRPr="00561936" w14:paraId="6C65018E" w14:textId="77777777" w:rsidTr="00CE0FAD">
        <w:trPr>
          <w:trHeight w:val="553"/>
        </w:trPr>
        <w:tc>
          <w:tcPr>
            <w:tcW w:w="1163" w:type="dxa"/>
            <w:vMerge/>
            <w:tcBorders>
              <w:left w:val="single" w:sz="4" w:space="0" w:color="auto"/>
              <w:bottom w:val="single" w:sz="4" w:space="0" w:color="auto"/>
              <w:right w:val="single" w:sz="4" w:space="0" w:color="auto"/>
            </w:tcBorders>
            <w:shd w:val="clear" w:color="auto" w:fill="0070C0"/>
            <w:vAlign w:val="center"/>
            <w:hideMark/>
          </w:tcPr>
          <w:p w14:paraId="6C650188" w14:textId="77777777" w:rsidR="007A7A94" w:rsidRDefault="007A7A94" w:rsidP="00E66504">
            <w:pPr>
              <w:spacing w:after="0"/>
              <w:jc w:val="left"/>
              <w:rPr>
                <w:rFonts w:asciiTheme="minorHAnsi" w:hAnsiTheme="minorHAnsi"/>
                <w:color w:val="FFFFFF" w:themeColor="background1"/>
                <w:sz w:val="18"/>
                <w:szCs w:val="18"/>
              </w:rPr>
            </w:pPr>
          </w:p>
        </w:tc>
        <w:tc>
          <w:tcPr>
            <w:tcW w:w="851" w:type="dxa"/>
            <w:gridSpan w:val="2"/>
            <w:vMerge/>
            <w:tcBorders>
              <w:left w:val="single" w:sz="4" w:space="0" w:color="auto"/>
              <w:bottom w:val="single" w:sz="4" w:space="0" w:color="auto"/>
              <w:right w:val="single" w:sz="4" w:space="0" w:color="auto"/>
            </w:tcBorders>
            <w:shd w:val="clear" w:color="auto" w:fill="79B2F7"/>
            <w:vAlign w:val="center"/>
            <w:hideMark/>
          </w:tcPr>
          <w:p w14:paraId="6C650189" w14:textId="77777777" w:rsidR="007A7A94" w:rsidRDefault="007A7A94" w:rsidP="00E66504">
            <w:pPr>
              <w:spacing w:after="0"/>
              <w:jc w:val="left"/>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79B2F7"/>
            <w:vAlign w:val="center"/>
          </w:tcPr>
          <w:p w14:paraId="6C65018A" w14:textId="77777777" w:rsidR="007A7A94" w:rsidRDefault="006F5972" w:rsidP="00E66504">
            <w:pPr>
              <w:spacing w:after="0"/>
              <w:jc w:val="left"/>
              <w:rPr>
                <w:rFonts w:asciiTheme="minorHAnsi" w:hAnsiTheme="minorHAnsi"/>
                <w:sz w:val="18"/>
                <w:szCs w:val="18"/>
              </w:rPr>
            </w:pPr>
            <w:r>
              <w:rPr>
                <w:rFonts w:asciiTheme="minorHAnsi" w:hAnsiTheme="minorHAnsi"/>
                <w:sz w:val="18"/>
                <w:szCs w:val="18"/>
              </w:rPr>
              <w:t>Biological</w:t>
            </w:r>
          </w:p>
        </w:tc>
        <w:tc>
          <w:tcPr>
            <w:tcW w:w="3969" w:type="dxa"/>
            <w:tcBorders>
              <w:top w:val="single" w:sz="4" w:space="0" w:color="auto"/>
              <w:left w:val="nil"/>
              <w:bottom w:val="single" w:sz="4" w:space="0" w:color="auto"/>
              <w:right w:val="single" w:sz="4" w:space="0" w:color="auto"/>
            </w:tcBorders>
            <w:shd w:val="clear" w:color="auto" w:fill="FABF8F" w:themeFill="accent6" w:themeFillTint="99"/>
          </w:tcPr>
          <w:p w14:paraId="6C65018B" w14:textId="77777777" w:rsidR="007A7A94" w:rsidRDefault="007A7A94" w:rsidP="00E66504">
            <w:pPr>
              <w:spacing w:after="0"/>
              <w:jc w:val="left"/>
              <w:rPr>
                <w:rFonts w:asciiTheme="minorHAnsi" w:hAnsiTheme="minorHAnsi"/>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65018C" w14:textId="77777777" w:rsidR="007A7A94" w:rsidRDefault="007A7A94" w:rsidP="00E66504">
            <w:pPr>
              <w:pStyle w:val="ListBullet"/>
              <w:numPr>
                <w:ilvl w:val="0"/>
                <w:numId w:val="0"/>
              </w:numPr>
              <w:spacing w:after="0"/>
              <w:ind w:left="175"/>
              <w:jc w:val="left"/>
              <w:rPr>
                <w:rFonts w:asciiTheme="minorHAnsi" w:hAnsiTheme="minorHAnsi"/>
                <w:sz w:val="18"/>
                <w:szCs w:val="18"/>
              </w:rPr>
            </w:pPr>
          </w:p>
        </w:tc>
        <w:tc>
          <w:tcPr>
            <w:tcW w:w="1531" w:type="dxa"/>
            <w:tcBorders>
              <w:top w:val="single" w:sz="4" w:space="0" w:color="auto"/>
              <w:left w:val="nil"/>
              <w:bottom w:val="single" w:sz="4" w:space="0" w:color="auto"/>
              <w:right w:val="single" w:sz="4" w:space="0" w:color="auto"/>
            </w:tcBorders>
            <w:shd w:val="clear" w:color="auto" w:fill="D6E3BC" w:themeFill="accent3" w:themeFillTint="66"/>
            <w:vAlign w:val="center"/>
          </w:tcPr>
          <w:p w14:paraId="6C65018D" w14:textId="77777777" w:rsidR="007A7A94" w:rsidRDefault="006F5972"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Algal blooms</w:t>
            </w:r>
          </w:p>
        </w:tc>
      </w:tr>
      <w:tr w:rsidR="00BA5E36" w:rsidRPr="00561936" w14:paraId="6C650199" w14:textId="77777777" w:rsidTr="00E66504">
        <w:trPr>
          <w:trHeight w:val="360"/>
        </w:trPr>
        <w:tc>
          <w:tcPr>
            <w:tcW w:w="1163"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14:paraId="6C65018F" w14:textId="77777777" w:rsidR="007A7A94" w:rsidRDefault="00BA5E36" w:rsidP="00E66504">
            <w:pPr>
              <w:spacing w:after="0"/>
              <w:jc w:val="left"/>
              <w:rPr>
                <w:rFonts w:asciiTheme="minorHAnsi" w:hAnsiTheme="minorHAnsi"/>
                <w:color w:val="FFFFFF" w:themeColor="background1"/>
                <w:sz w:val="18"/>
                <w:szCs w:val="18"/>
              </w:rPr>
            </w:pPr>
            <w:r w:rsidRPr="00561936">
              <w:rPr>
                <w:rFonts w:asciiTheme="minorHAnsi" w:hAnsiTheme="minorHAnsi"/>
                <w:color w:val="FFFFFF" w:themeColor="background1"/>
                <w:sz w:val="18"/>
                <w:szCs w:val="18"/>
              </w:rPr>
              <w:t>Resilience</w:t>
            </w:r>
            <w:r w:rsidRPr="00561936">
              <w:rPr>
                <w:rFonts w:asciiTheme="minorHAnsi" w:hAnsiTheme="minorHAnsi"/>
                <w:color w:val="FFFFFF" w:themeColor="background1"/>
                <w:sz w:val="18"/>
                <w:szCs w:val="18"/>
              </w:rPr>
              <w:br/>
            </w:r>
            <w:r w:rsidRPr="00561936">
              <w:rPr>
                <w:rFonts w:asciiTheme="minorHAnsi" w:hAnsiTheme="minorHAnsi"/>
                <w:color w:val="FFFFFF" w:themeColor="background1"/>
                <w:sz w:val="18"/>
                <w:szCs w:val="18"/>
              </w:rPr>
              <w:br/>
              <w:t>(Basin Plan S. 8.07)</w:t>
            </w:r>
          </w:p>
        </w:tc>
        <w:tc>
          <w:tcPr>
            <w:tcW w:w="1843" w:type="dxa"/>
            <w:gridSpan w:val="3"/>
            <w:vMerge w:val="restart"/>
            <w:tcBorders>
              <w:top w:val="single" w:sz="4" w:space="0" w:color="auto"/>
              <w:left w:val="single" w:sz="4" w:space="0" w:color="auto"/>
              <w:right w:val="single" w:sz="4" w:space="0" w:color="auto"/>
            </w:tcBorders>
            <w:shd w:val="clear" w:color="auto" w:fill="79B2F7"/>
            <w:vAlign w:val="center"/>
            <w:hideMark/>
          </w:tcPr>
          <w:p w14:paraId="6C650190" w14:textId="77777777" w:rsidR="007A7A94" w:rsidRDefault="00BA5E36" w:rsidP="00E66504">
            <w:pPr>
              <w:spacing w:after="0"/>
              <w:jc w:val="left"/>
              <w:rPr>
                <w:rFonts w:asciiTheme="minorHAnsi" w:hAnsiTheme="minorHAnsi"/>
                <w:sz w:val="18"/>
                <w:szCs w:val="18"/>
              </w:rPr>
            </w:pPr>
            <w:r w:rsidRPr="00561936">
              <w:rPr>
                <w:rFonts w:asciiTheme="minorHAnsi" w:hAnsiTheme="minorHAnsi"/>
                <w:sz w:val="18"/>
                <w:szCs w:val="18"/>
              </w:rPr>
              <w:t>Ecosystem resilience</w:t>
            </w:r>
          </w:p>
          <w:p w14:paraId="6C650191" w14:textId="77777777" w:rsidR="007A7A94" w:rsidRDefault="00BA5E36" w:rsidP="00E66504">
            <w:pPr>
              <w:spacing w:after="0"/>
              <w:jc w:val="left"/>
              <w:rPr>
                <w:rFonts w:asciiTheme="minorHAnsi" w:hAnsiTheme="minorHAnsi"/>
                <w:sz w:val="18"/>
                <w:szCs w:val="18"/>
              </w:rPr>
            </w:pPr>
            <w:r w:rsidRPr="00561936">
              <w:rPr>
                <w:rFonts w:asciiTheme="minorHAnsi" w:hAnsiTheme="minorHAnsi"/>
                <w:sz w:val="18"/>
                <w:szCs w:val="18"/>
              </w:rPr>
              <w:t> </w:t>
            </w:r>
          </w:p>
        </w:tc>
        <w:tc>
          <w:tcPr>
            <w:tcW w:w="3969" w:type="dxa"/>
            <w:tcBorders>
              <w:top w:val="single" w:sz="4" w:space="0" w:color="auto"/>
              <w:left w:val="nil"/>
              <w:right w:val="single" w:sz="4" w:space="0" w:color="auto"/>
            </w:tcBorders>
            <w:shd w:val="clear" w:color="auto" w:fill="FABF8F" w:themeFill="accent6" w:themeFillTint="99"/>
          </w:tcPr>
          <w:p w14:paraId="6C650192" w14:textId="77777777" w:rsidR="007A7A94" w:rsidRDefault="007A7A94" w:rsidP="00E66504">
            <w:pPr>
              <w:spacing w:after="0"/>
              <w:jc w:val="left"/>
              <w:rPr>
                <w:rFonts w:asciiTheme="minorHAnsi" w:hAnsiTheme="minorHAnsi"/>
                <w:sz w:val="18"/>
                <w:szCs w:val="18"/>
              </w:rPr>
            </w:pPr>
          </w:p>
        </w:tc>
        <w:tc>
          <w:tcPr>
            <w:tcW w:w="1984" w:type="dxa"/>
            <w:vMerge w:val="restart"/>
            <w:tcBorders>
              <w:top w:val="single" w:sz="4" w:space="0" w:color="auto"/>
              <w:left w:val="single" w:sz="4" w:space="0" w:color="auto"/>
              <w:right w:val="single" w:sz="4" w:space="0" w:color="auto"/>
            </w:tcBorders>
            <w:shd w:val="clear" w:color="auto" w:fill="92D050"/>
            <w:vAlign w:val="center"/>
            <w:hideMark/>
          </w:tcPr>
          <w:p w14:paraId="6C650193"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Population condition</w:t>
            </w:r>
          </w:p>
          <w:p w14:paraId="6C650194" w14:textId="77777777" w:rsidR="007A7A94" w:rsidRDefault="00BA5E36" w:rsidP="00E66504">
            <w:pPr>
              <w:pStyle w:val="ListBullet2"/>
              <w:spacing w:after="0"/>
              <w:ind w:left="175" w:hanging="175"/>
              <w:jc w:val="left"/>
              <w:rPr>
                <w:rFonts w:asciiTheme="minorHAnsi" w:hAnsiTheme="minorHAnsi"/>
                <w:sz w:val="18"/>
                <w:szCs w:val="18"/>
              </w:rPr>
            </w:pPr>
            <w:r w:rsidRPr="0018287E">
              <w:rPr>
                <w:rFonts w:asciiTheme="minorHAnsi" w:hAnsiTheme="minorHAnsi"/>
                <w:sz w:val="18"/>
                <w:szCs w:val="18"/>
              </w:rPr>
              <w:t>individual refuges</w:t>
            </w:r>
          </w:p>
          <w:p w14:paraId="6C650195" w14:textId="77777777" w:rsidR="007A7A94" w:rsidRDefault="00BA5E36" w:rsidP="00E66504">
            <w:pPr>
              <w:pStyle w:val="ListBullet2"/>
              <w:spacing w:after="0"/>
              <w:ind w:left="175" w:hanging="175"/>
              <w:jc w:val="left"/>
              <w:rPr>
                <w:rFonts w:asciiTheme="minorHAnsi" w:hAnsiTheme="minorHAnsi"/>
                <w:sz w:val="18"/>
                <w:szCs w:val="18"/>
              </w:rPr>
            </w:pPr>
            <w:r w:rsidRPr="0018287E">
              <w:rPr>
                <w:rFonts w:asciiTheme="minorHAnsi" w:hAnsiTheme="minorHAnsi"/>
                <w:sz w:val="18"/>
                <w:szCs w:val="18"/>
              </w:rPr>
              <w:t>landscape refuges</w:t>
            </w:r>
          </w:p>
          <w:p w14:paraId="6C650196" w14:textId="77777777" w:rsidR="007A7A94" w:rsidRDefault="00BA5E36" w:rsidP="00E66504">
            <w:pPr>
              <w:pStyle w:val="ListBullet2"/>
              <w:spacing w:after="0"/>
              <w:ind w:left="175" w:hanging="175"/>
              <w:jc w:val="left"/>
              <w:rPr>
                <w:rFonts w:asciiTheme="minorHAnsi" w:hAnsiTheme="minorHAnsi"/>
                <w:sz w:val="18"/>
                <w:szCs w:val="18"/>
              </w:rPr>
            </w:pPr>
            <w:r>
              <w:rPr>
                <w:rFonts w:asciiTheme="minorHAnsi" w:hAnsiTheme="minorHAnsi"/>
                <w:sz w:val="18"/>
                <w:szCs w:val="18"/>
              </w:rPr>
              <w:t>e</w:t>
            </w:r>
            <w:r w:rsidRPr="00561936">
              <w:rPr>
                <w:rFonts w:asciiTheme="minorHAnsi" w:hAnsiTheme="minorHAnsi"/>
                <w:sz w:val="18"/>
                <w:szCs w:val="18"/>
              </w:rPr>
              <w:t>cosystem recovery</w:t>
            </w:r>
          </w:p>
        </w:tc>
        <w:tc>
          <w:tcPr>
            <w:tcW w:w="1531" w:type="dxa"/>
            <w:vMerge w:val="restart"/>
            <w:tcBorders>
              <w:top w:val="single" w:sz="4" w:space="0" w:color="auto"/>
              <w:left w:val="nil"/>
              <w:right w:val="single" w:sz="4" w:space="0" w:color="auto"/>
            </w:tcBorders>
            <w:shd w:val="clear" w:color="auto" w:fill="D6E3BC" w:themeFill="accent3" w:themeFillTint="66"/>
            <w:vAlign w:val="center"/>
          </w:tcPr>
          <w:p w14:paraId="6C650197"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 xml:space="preserve">Individual survival </w:t>
            </w:r>
            <w:r w:rsidR="00553B2D">
              <w:rPr>
                <w:rFonts w:asciiTheme="minorHAnsi" w:hAnsiTheme="minorHAnsi"/>
                <w:sz w:val="18"/>
                <w:szCs w:val="18"/>
              </w:rPr>
              <w:t>a</w:t>
            </w:r>
            <w:r w:rsidRPr="00561936">
              <w:rPr>
                <w:rFonts w:asciiTheme="minorHAnsi" w:hAnsiTheme="minorHAnsi"/>
                <w:sz w:val="18"/>
                <w:szCs w:val="18"/>
              </w:rPr>
              <w:t>nd condition (Individual refuges) </w:t>
            </w:r>
          </w:p>
          <w:p w14:paraId="6C650198" w14:textId="77777777" w:rsidR="007A7A94" w:rsidRDefault="00BA5E36" w:rsidP="00E66504">
            <w:pPr>
              <w:pStyle w:val="ListBullet"/>
              <w:spacing w:after="0"/>
              <w:ind w:left="175" w:hanging="175"/>
              <w:jc w:val="left"/>
              <w:rPr>
                <w:rFonts w:asciiTheme="minorHAnsi" w:hAnsiTheme="minorHAnsi"/>
                <w:sz w:val="18"/>
                <w:szCs w:val="18"/>
              </w:rPr>
            </w:pPr>
            <w:r w:rsidRPr="00561936">
              <w:rPr>
                <w:rFonts w:asciiTheme="minorHAnsi" w:hAnsiTheme="minorHAnsi"/>
                <w:sz w:val="18"/>
                <w:szCs w:val="18"/>
              </w:rPr>
              <w:t>Individual condition (Ecosystem resistance) </w:t>
            </w:r>
          </w:p>
        </w:tc>
      </w:tr>
      <w:tr w:rsidR="00BA5E36" w:rsidRPr="00561936" w14:paraId="6C65019F" w14:textId="77777777" w:rsidTr="00E66504">
        <w:trPr>
          <w:trHeight w:val="300"/>
        </w:trPr>
        <w:tc>
          <w:tcPr>
            <w:tcW w:w="1163"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6C65019A" w14:textId="77777777" w:rsidR="007A7A94" w:rsidRDefault="007A7A94" w:rsidP="00E66504">
            <w:pPr>
              <w:spacing w:after="0"/>
              <w:jc w:val="left"/>
              <w:rPr>
                <w:rFonts w:asciiTheme="minorHAnsi" w:hAnsiTheme="minorHAnsi"/>
                <w:color w:val="FFFFFF" w:themeColor="background1"/>
                <w:sz w:val="18"/>
                <w:szCs w:val="18"/>
              </w:rPr>
            </w:pPr>
          </w:p>
        </w:tc>
        <w:tc>
          <w:tcPr>
            <w:tcW w:w="1843" w:type="dxa"/>
            <w:gridSpan w:val="3"/>
            <w:vMerge/>
            <w:tcBorders>
              <w:left w:val="single" w:sz="4" w:space="0" w:color="auto"/>
              <w:right w:val="single" w:sz="4" w:space="0" w:color="auto"/>
            </w:tcBorders>
            <w:shd w:val="clear" w:color="auto" w:fill="79B2F7"/>
            <w:vAlign w:val="center"/>
            <w:hideMark/>
          </w:tcPr>
          <w:p w14:paraId="6C65019B" w14:textId="77777777" w:rsidR="007A7A94" w:rsidRDefault="007A7A94" w:rsidP="00E66504">
            <w:pPr>
              <w:spacing w:after="0"/>
              <w:jc w:val="left"/>
              <w:rPr>
                <w:rFonts w:asciiTheme="minorHAnsi" w:hAnsiTheme="minorHAnsi"/>
                <w:sz w:val="18"/>
                <w:szCs w:val="18"/>
              </w:rPr>
            </w:pPr>
          </w:p>
        </w:tc>
        <w:tc>
          <w:tcPr>
            <w:tcW w:w="3969" w:type="dxa"/>
            <w:tcBorders>
              <w:left w:val="nil"/>
              <w:right w:val="single" w:sz="4" w:space="0" w:color="auto"/>
            </w:tcBorders>
            <w:shd w:val="clear" w:color="auto" w:fill="FABF8F" w:themeFill="accent6" w:themeFillTint="99"/>
          </w:tcPr>
          <w:p w14:paraId="6C65019C" w14:textId="77777777" w:rsidR="007A7A94" w:rsidRDefault="007A7A94" w:rsidP="00E66504">
            <w:pPr>
              <w:spacing w:after="0"/>
              <w:jc w:val="left"/>
              <w:rPr>
                <w:rFonts w:asciiTheme="minorHAnsi" w:hAnsiTheme="minorHAnsi"/>
                <w:sz w:val="18"/>
                <w:szCs w:val="18"/>
              </w:rPr>
            </w:pPr>
          </w:p>
        </w:tc>
        <w:tc>
          <w:tcPr>
            <w:tcW w:w="1984" w:type="dxa"/>
            <w:vMerge/>
            <w:tcBorders>
              <w:left w:val="single" w:sz="4" w:space="0" w:color="auto"/>
              <w:right w:val="single" w:sz="4" w:space="0" w:color="auto"/>
            </w:tcBorders>
            <w:shd w:val="clear" w:color="auto" w:fill="92D050"/>
            <w:vAlign w:val="center"/>
            <w:hideMark/>
          </w:tcPr>
          <w:p w14:paraId="6C65019D" w14:textId="77777777" w:rsidR="007A7A94" w:rsidRDefault="007A7A94" w:rsidP="00E66504">
            <w:pPr>
              <w:pStyle w:val="ListBullet"/>
              <w:spacing w:after="0"/>
              <w:ind w:left="175" w:hanging="175"/>
              <w:jc w:val="left"/>
              <w:rPr>
                <w:rFonts w:asciiTheme="minorHAnsi" w:hAnsiTheme="minorHAnsi"/>
                <w:sz w:val="18"/>
                <w:szCs w:val="18"/>
              </w:rPr>
            </w:pPr>
          </w:p>
        </w:tc>
        <w:tc>
          <w:tcPr>
            <w:tcW w:w="1531" w:type="dxa"/>
            <w:vMerge/>
            <w:tcBorders>
              <w:left w:val="nil"/>
              <w:right w:val="single" w:sz="4" w:space="0" w:color="auto"/>
            </w:tcBorders>
            <w:shd w:val="clear" w:color="auto" w:fill="D6E3BC" w:themeFill="accent3" w:themeFillTint="66"/>
            <w:vAlign w:val="center"/>
          </w:tcPr>
          <w:p w14:paraId="6C65019E" w14:textId="77777777" w:rsidR="007A7A94" w:rsidRDefault="007A7A94" w:rsidP="00E66504">
            <w:pPr>
              <w:pStyle w:val="ListBullet"/>
              <w:spacing w:after="0"/>
              <w:ind w:left="175" w:hanging="175"/>
              <w:jc w:val="left"/>
              <w:rPr>
                <w:rFonts w:asciiTheme="minorHAnsi" w:hAnsiTheme="minorHAnsi"/>
                <w:sz w:val="18"/>
                <w:szCs w:val="18"/>
              </w:rPr>
            </w:pPr>
          </w:p>
        </w:tc>
      </w:tr>
      <w:tr w:rsidR="00BA5E36" w:rsidRPr="00561936" w14:paraId="6C6501A5" w14:textId="77777777" w:rsidTr="00E66504">
        <w:trPr>
          <w:trHeight w:val="300"/>
        </w:trPr>
        <w:tc>
          <w:tcPr>
            <w:tcW w:w="1163"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6C6501A0" w14:textId="77777777" w:rsidR="007A7A94" w:rsidRDefault="007A7A94" w:rsidP="00E66504">
            <w:pPr>
              <w:spacing w:after="0"/>
              <w:jc w:val="left"/>
              <w:rPr>
                <w:rFonts w:asciiTheme="minorHAnsi" w:hAnsiTheme="minorHAnsi"/>
                <w:color w:val="FFFFFF" w:themeColor="background1"/>
                <w:sz w:val="18"/>
                <w:szCs w:val="18"/>
              </w:rPr>
            </w:pPr>
          </w:p>
        </w:tc>
        <w:tc>
          <w:tcPr>
            <w:tcW w:w="1843" w:type="dxa"/>
            <w:gridSpan w:val="3"/>
            <w:vMerge/>
            <w:tcBorders>
              <w:left w:val="single" w:sz="4" w:space="0" w:color="auto"/>
              <w:right w:val="single" w:sz="4" w:space="0" w:color="auto"/>
            </w:tcBorders>
            <w:shd w:val="clear" w:color="auto" w:fill="79B2F7"/>
            <w:vAlign w:val="center"/>
            <w:hideMark/>
          </w:tcPr>
          <w:p w14:paraId="6C6501A1" w14:textId="77777777" w:rsidR="007A7A94" w:rsidRDefault="007A7A94" w:rsidP="00E66504">
            <w:pPr>
              <w:spacing w:after="0"/>
              <w:jc w:val="left"/>
              <w:rPr>
                <w:rFonts w:asciiTheme="minorHAnsi" w:hAnsiTheme="minorHAnsi"/>
                <w:sz w:val="18"/>
                <w:szCs w:val="18"/>
              </w:rPr>
            </w:pPr>
          </w:p>
        </w:tc>
        <w:tc>
          <w:tcPr>
            <w:tcW w:w="3969" w:type="dxa"/>
            <w:tcBorders>
              <w:left w:val="nil"/>
              <w:right w:val="single" w:sz="4" w:space="0" w:color="auto"/>
            </w:tcBorders>
            <w:shd w:val="clear" w:color="auto" w:fill="FABF8F" w:themeFill="accent6" w:themeFillTint="99"/>
          </w:tcPr>
          <w:p w14:paraId="6C6501A2" w14:textId="77777777" w:rsidR="007A7A94" w:rsidRDefault="007A7A94" w:rsidP="00E66504">
            <w:pPr>
              <w:spacing w:after="0"/>
              <w:jc w:val="left"/>
              <w:rPr>
                <w:rFonts w:asciiTheme="minorHAnsi" w:hAnsiTheme="minorHAnsi"/>
                <w:sz w:val="18"/>
                <w:szCs w:val="18"/>
              </w:rPr>
            </w:pPr>
          </w:p>
        </w:tc>
        <w:tc>
          <w:tcPr>
            <w:tcW w:w="1984" w:type="dxa"/>
            <w:vMerge/>
            <w:tcBorders>
              <w:left w:val="single" w:sz="4" w:space="0" w:color="auto"/>
              <w:right w:val="single" w:sz="4" w:space="0" w:color="auto"/>
            </w:tcBorders>
            <w:shd w:val="clear" w:color="auto" w:fill="92D050"/>
            <w:vAlign w:val="center"/>
            <w:hideMark/>
          </w:tcPr>
          <w:p w14:paraId="6C6501A3" w14:textId="77777777" w:rsidR="007A7A94" w:rsidRDefault="007A7A94" w:rsidP="00E66504">
            <w:pPr>
              <w:pStyle w:val="ListBullet"/>
              <w:spacing w:after="0"/>
              <w:ind w:left="175" w:hanging="175"/>
              <w:jc w:val="left"/>
              <w:rPr>
                <w:rFonts w:asciiTheme="minorHAnsi" w:hAnsiTheme="minorHAnsi"/>
                <w:sz w:val="18"/>
                <w:szCs w:val="18"/>
              </w:rPr>
            </w:pPr>
          </w:p>
        </w:tc>
        <w:tc>
          <w:tcPr>
            <w:tcW w:w="1531" w:type="dxa"/>
            <w:vMerge/>
            <w:tcBorders>
              <w:left w:val="nil"/>
              <w:right w:val="single" w:sz="4" w:space="0" w:color="auto"/>
            </w:tcBorders>
            <w:shd w:val="clear" w:color="auto" w:fill="D6E3BC" w:themeFill="accent3" w:themeFillTint="66"/>
            <w:vAlign w:val="center"/>
          </w:tcPr>
          <w:p w14:paraId="6C6501A4" w14:textId="77777777" w:rsidR="007A7A94" w:rsidRDefault="007A7A94" w:rsidP="00E66504">
            <w:pPr>
              <w:pStyle w:val="ListBullet"/>
              <w:spacing w:after="0"/>
              <w:ind w:left="175" w:hanging="175"/>
              <w:jc w:val="left"/>
              <w:rPr>
                <w:rFonts w:asciiTheme="minorHAnsi" w:hAnsiTheme="minorHAnsi"/>
                <w:sz w:val="18"/>
                <w:szCs w:val="18"/>
              </w:rPr>
            </w:pPr>
          </w:p>
        </w:tc>
      </w:tr>
      <w:tr w:rsidR="00BA5E36" w:rsidRPr="00561936" w14:paraId="6C6501AB" w14:textId="77777777" w:rsidTr="00CE0FAD">
        <w:trPr>
          <w:trHeight w:val="1399"/>
        </w:trPr>
        <w:tc>
          <w:tcPr>
            <w:tcW w:w="1163"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6C6501A6" w14:textId="77777777" w:rsidR="007A7A94" w:rsidRDefault="007A7A94" w:rsidP="00E66504">
            <w:pPr>
              <w:spacing w:after="0"/>
              <w:jc w:val="left"/>
              <w:rPr>
                <w:rFonts w:asciiTheme="minorHAnsi" w:hAnsiTheme="minorHAnsi"/>
                <w:color w:val="FFFFFF" w:themeColor="background1"/>
                <w:sz w:val="18"/>
                <w:szCs w:val="18"/>
              </w:rPr>
            </w:pPr>
          </w:p>
        </w:tc>
        <w:tc>
          <w:tcPr>
            <w:tcW w:w="1843" w:type="dxa"/>
            <w:gridSpan w:val="3"/>
            <w:vMerge/>
            <w:tcBorders>
              <w:left w:val="single" w:sz="4" w:space="0" w:color="auto"/>
              <w:bottom w:val="single" w:sz="4" w:space="0" w:color="auto"/>
              <w:right w:val="single" w:sz="4" w:space="0" w:color="auto"/>
            </w:tcBorders>
            <w:shd w:val="clear" w:color="auto" w:fill="79B2F7"/>
            <w:vAlign w:val="center"/>
            <w:hideMark/>
          </w:tcPr>
          <w:p w14:paraId="6C6501A7" w14:textId="77777777" w:rsidR="007A7A94" w:rsidRDefault="007A7A94" w:rsidP="00E66504">
            <w:pPr>
              <w:spacing w:after="0"/>
              <w:jc w:val="left"/>
              <w:rPr>
                <w:rFonts w:asciiTheme="minorHAnsi" w:hAnsiTheme="minorHAnsi"/>
                <w:sz w:val="18"/>
                <w:szCs w:val="18"/>
              </w:rPr>
            </w:pPr>
          </w:p>
        </w:tc>
        <w:tc>
          <w:tcPr>
            <w:tcW w:w="3969" w:type="dxa"/>
            <w:tcBorders>
              <w:left w:val="nil"/>
              <w:bottom w:val="single" w:sz="4" w:space="0" w:color="auto"/>
              <w:right w:val="single" w:sz="4" w:space="0" w:color="auto"/>
            </w:tcBorders>
            <w:shd w:val="clear" w:color="auto" w:fill="FABF8F" w:themeFill="accent6" w:themeFillTint="99"/>
          </w:tcPr>
          <w:p w14:paraId="6C6501A8" w14:textId="77777777" w:rsidR="007A7A94" w:rsidRDefault="007A7A94" w:rsidP="00E66504">
            <w:pPr>
              <w:spacing w:after="0"/>
              <w:jc w:val="left"/>
              <w:rPr>
                <w:rFonts w:asciiTheme="minorHAnsi" w:hAnsiTheme="minorHAnsi"/>
                <w:sz w:val="18"/>
                <w:szCs w:val="18"/>
              </w:rPr>
            </w:pPr>
          </w:p>
        </w:tc>
        <w:tc>
          <w:tcPr>
            <w:tcW w:w="1984" w:type="dxa"/>
            <w:vMerge/>
            <w:tcBorders>
              <w:left w:val="single" w:sz="4" w:space="0" w:color="auto"/>
              <w:bottom w:val="single" w:sz="4" w:space="0" w:color="auto"/>
              <w:right w:val="single" w:sz="4" w:space="0" w:color="auto"/>
            </w:tcBorders>
            <w:shd w:val="clear" w:color="auto" w:fill="92D050"/>
            <w:vAlign w:val="center"/>
            <w:hideMark/>
          </w:tcPr>
          <w:p w14:paraId="6C6501A9" w14:textId="77777777" w:rsidR="007A7A94" w:rsidRDefault="007A7A94" w:rsidP="00E66504">
            <w:pPr>
              <w:pStyle w:val="ListBullet"/>
              <w:spacing w:after="0"/>
              <w:ind w:left="175" w:hanging="175"/>
              <w:jc w:val="left"/>
              <w:rPr>
                <w:rFonts w:asciiTheme="minorHAnsi" w:hAnsiTheme="minorHAnsi"/>
                <w:sz w:val="18"/>
                <w:szCs w:val="18"/>
              </w:rPr>
            </w:pPr>
          </w:p>
        </w:tc>
        <w:tc>
          <w:tcPr>
            <w:tcW w:w="1531" w:type="dxa"/>
            <w:vMerge/>
            <w:tcBorders>
              <w:left w:val="nil"/>
              <w:bottom w:val="single" w:sz="4" w:space="0" w:color="auto"/>
              <w:right w:val="single" w:sz="4" w:space="0" w:color="auto"/>
            </w:tcBorders>
            <w:shd w:val="clear" w:color="auto" w:fill="D6E3BC" w:themeFill="accent3" w:themeFillTint="66"/>
            <w:vAlign w:val="center"/>
          </w:tcPr>
          <w:p w14:paraId="6C6501AA" w14:textId="77777777" w:rsidR="007A7A94" w:rsidRDefault="007A7A94" w:rsidP="00E66504">
            <w:pPr>
              <w:pStyle w:val="ListBullet"/>
              <w:spacing w:after="0"/>
              <w:ind w:left="175" w:hanging="175"/>
              <w:jc w:val="left"/>
              <w:rPr>
                <w:rFonts w:asciiTheme="minorHAnsi" w:hAnsiTheme="minorHAnsi"/>
                <w:sz w:val="18"/>
                <w:szCs w:val="18"/>
              </w:rPr>
            </w:pPr>
          </w:p>
        </w:tc>
      </w:tr>
    </w:tbl>
    <w:p w14:paraId="6C6501AC" w14:textId="77777777" w:rsidR="007A7A94" w:rsidRDefault="007A7A94">
      <w:pPr>
        <w:pStyle w:val="NormalWeb"/>
        <w:spacing w:after="120"/>
        <w:rPr>
          <w:rFonts w:ascii="Century Gothic" w:hAnsi="Century Gothic"/>
          <w:sz w:val="20"/>
          <w:szCs w:val="20"/>
        </w:rPr>
      </w:pPr>
    </w:p>
    <w:p w14:paraId="6C6501B3" w14:textId="77777777" w:rsidR="007A7A94" w:rsidRDefault="00BF791F">
      <w:pPr>
        <w:spacing w:after="120"/>
        <w:jc w:val="left"/>
        <w:rPr>
          <w:b/>
          <w:color w:val="5F497A" w:themeColor="accent4" w:themeShade="BF"/>
          <w:sz w:val="40"/>
          <w:szCs w:val="40"/>
          <w:lang w:val="en-GB" w:eastAsia="en-US"/>
        </w:rPr>
      </w:pPr>
      <w:bookmarkStart w:id="150" w:name="_Toc396916458"/>
      <w:bookmarkStart w:id="151" w:name="_Toc414367241"/>
      <w:bookmarkStart w:id="152" w:name="_Toc418060472"/>
      <w:r>
        <w:br w:type="page"/>
      </w:r>
    </w:p>
    <w:p w14:paraId="6C6501B4" w14:textId="77777777" w:rsidR="007A7A94" w:rsidRDefault="00E05589">
      <w:pPr>
        <w:pStyle w:val="Heading11"/>
        <w:spacing w:before="0" w:after="120"/>
      </w:pPr>
      <w:bookmarkStart w:id="153" w:name="_Toc517264655"/>
      <w:r>
        <w:t>How much water is available to manage?</w:t>
      </w:r>
      <w:bookmarkEnd w:id="153"/>
    </w:p>
    <w:p w14:paraId="6C6501B5" w14:textId="77777777" w:rsidR="007A7A94" w:rsidRDefault="000E3C60">
      <w:pPr>
        <w:pStyle w:val="Heading11"/>
        <w:numPr>
          <w:ilvl w:val="2"/>
          <w:numId w:val="66"/>
        </w:numPr>
        <w:spacing w:before="0" w:after="120"/>
        <w:ind w:left="1418" w:hanging="704"/>
        <w:rPr>
          <w:rFonts w:cs="Arial"/>
        </w:rPr>
      </w:pPr>
      <w:bookmarkStart w:id="154" w:name="_Toc517264656"/>
      <w:r w:rsidRPr="000E3C60">
        <w:rPr>
          <w:rFonts w:ascii="Century Gothic" w:hAnsi="Century Gothic" w:cs="Arial"/>
          <w:sz w:val="24"/>
          <w:szCs w:val="24"/>
        </w:rPr>
        <w:t>Commonwealth environmental water holdings</w:t>
      </w:r>
      <w:bookmarkEnd w:id="154"/>
    </w:p>
    <w:p w14:paraId="6C6501B6" w14:textId="7D9422EE" w:rsidR="00301EE6" w:rsidRDefault="00366E0B" w:rsidP="00301EE6">
      <w:pPr>
        <w:pStyle w:val="PlainText"/>
        <w:spacing w:after="120" w:line="276" w:lineRule="auto"/>
        <w:jc w:val="both"/>
        <w:rPr>
          <w:rFonts w:ascii="Century Gothic" w:hAnsi="Century Gothic" w:cs="Arial"/>
          <w:sz w:val="20"/>
          <w:szCs w:val="22"/>
        </w:rPr>
      </w:pPr>
      <w:r>
        <w:rPr>
          <w:rFonts w:ascii="Century Gothic" w:hAnsi="Century Gothic" w:cs="Arial"/>
          <w:sz w:val="20"/>
          <w:szCs w:val="22"/>
        </w:rPr>
        <w:t xml:space="preserve">For the latest information on the </w:t>
      </w:r>
      <w:r w:rsidR="00301EE6" w:rsidRPr="00366E0B">
        <w:rPr>
          <w:rFonts w:ascii="Century Gothic" w:hAnsi="Century Gothic" w:cs="Arial"/>
          <w:sz w:val="20"/>
          <w:szCs w:val="22"/>
        </w:rPr>
        <w:t>total volume of Commonwealth environmental water holdings</w:t>
      </w:r>
      <w:r>
        <w:rPr>
          <w:rFonts w:ascii="Century Gothic" w:hAnsi="Century Gothic" w:cs="Arial"/>
          <w:sz w:val="20"/>
          <w:szCs w:val="22"/>
        </w:rPr>
        <w:t xml:space="preserve">, see </w:t>
      </w:r>
      <w:hyperlink r:id="rId28" w:history="1">
        <w:r w:rsidRPr="004C3F34">
          <w:rPr>
            <w:rStyle w:val="Hyperlink"/>
            <w:rFonts w:ascii="Century Gothic" w:hAnsi="Century Gothic" w:cs="Arial"/>
            <w:sz w:val="20"/>
            <w:szCs w:val="22"/>
          </w:rPr>
          <w:t>www.environment.gov.au/water/cewo/about/water-holdings</w:t>
        </w:r>
      </w:hyperlink>
      <w:r w:rsidR="00326B4E" w:rsidRPr="000E3C60">
        <w:rPr>
          <w:rFonts w:ascii="Century Gothic" w:hAnsi="Century Gothic"/>
        </w:rPr>
        <w:t>.</w:t>
      </w:r>
    </w:p>
    <w:p w14:paraId="6C6501B7" w14:textId="77777777" w:rsidR="00B17604" w:rsidRDefault="00301EE6">
      <w:pPr>
        <w:pStyle w:val="NormalWeb"/>
        <w:spacing w:after="120"/>
        <w:jc w:val="both"/>
        <w:rPr>
          <w:rFonts w:ascii="Century Gothic" w:hAnsi="Century Gothic"/>
          <w:sz w:val="20"/>
          <w:szCs w:val="20"/>
        </w:rPr>
      </w:pPr>
      <w:r>
        <w:rPr>
          <w:rFonts w:ascii="Century Gothic" w:hAnsi="Century Gothic"/>
          <w:sz w:val="20"/>
          <w:szCs w:val="20"/>
        </w:rPr>
        <w:t>T</w:t>
      </w:r>
      <w:r w:rsidR="005A6FF7" w:rsidRPr="008450E5">
        <w:rPr>
          <w:rFonts w:ascii="Century Gothic" w:hAnsi="Century Gothic"/>
          <w:sz w:val="20"/>
          <w:szCs w:val="20"/>
        </w:rPr>
        <w:t>he holdings</w:t>
      </w:r>
      <w:r w:rsidR="005A6FF7" w:rsidRPr="005A6FF7">
        <w:rPr>
          <w:rFonts w:ascii="Century Gothic" w:hAnsi="Century Gothic"/>
          <w:sz w:val="20"/>
          <w:szCs w:val="20"/>
        </w:rPr>
        <w:t xml:space="preserve"> will continue </w:t>
      </w:r>
      <w:r w:rsidR="00070356">
        <w:rPr>
          <w:rFonts w:ascii="Century Gothic" w:hAnsi="Century Gothic"/>
          <w:sz w:val="20"/>
          <w:szCs w:val="20"/>
        </w:rPr>
        <w:t xml:space="preserve">to </w:t>
      </w:r>
      <w:r w:rsidR="005A6FF7" w:rsidRPr="005A6FF7">
        <w:rPr>
          <w:rFonts w:ascii="Century Gothic" w:hAnsi="Century Gothic"/>
          <w:sz w:val="20"/>
          <w:szCs w:val="20"/>
        </w:rPr>
        <w:t>grow</w:t>
      </w:r>
      <w:r w:rsidR="00D170BC">
        <w:rPr>
          <w:rFonts w:ascii="Century Gothic" w:hAnsi="Century Gothic"/>
          <w:sz w:val="20"/>
          <w:szCs w:val="20"/>
        </w:rPr>
        <w:t>, with</w:t>
      </w:r>
      <w:r w:rsidR="005A6FF7" w:rsidRPr="005A6FF7">
        <w:rPr>
          <w:rFonts w:ascii="Century Gothic" w:hAnsi="Century Gothic"/>
          <w:sz w:val="20"/>
          <w:szCs w:val="20"/>
        </w:rPr>
        <w:t xml:space="preserve"> </w:t>
      </w:r>
      <w:r w:rsidR="00D170BC">
        <w:rPr>
          <w:rFonts w:ascii="Century Gothic" w:hAnsi="Century Gothic"/>
          <w:sz w:val="20"/>
          <w:szCs w:val="20"/>
        </w:rPr>
        <w:t>t</w:t>
      </w:r>
      <w:r w:rsidR="005A6FF7" w:rsidRPr="005A6FF7">
        <w:rPr>
          <w:rFonts w:ascii="Century Gothic" w:hAnsi="Century Gothic"/>
          <w:sz w:val="20"/>
          <w:szCs w:val="20"/>
        </w:rPr>
        <w:t xml:space="preserve">he final volume of the holdings </w:t>
      </w:r>
      <w:r w:rsidR="00D170BC">
        <w:rPr>
          <w:rFonts w:ascii="Century Gothic" w:hAnsi="Century Gothic"/>
          <w:sz w:val="20"/>
          <w:szCs w:val="20"/>
        </w:rPr>
        <w:t>dependent on the implementation of the Basin Plan’s sustainable diversion limit adjustment mechanism</w:t>
      </w:r>
      <w:r w:rsidR="006A4130">
        <w:rPr>
          <w:rFonts w:ascii="Century Gothic" w:hAnsi="Century Gothic"/>
          <w:sz w:val="20"/>
          <w:szCs w:val="20"/>
        </w:rPr>
        <w:t xml:space="preserve"> and the outcomes of the Northern Basin Review</w:t>
      </w:r>
      <w:r w:rsidR="00D170BC">
        <w:rPr>
          <w:rFonts w:ascii="Century Gothic" w:hAnsi="Century Gothic"/>
          <w:sz w:val="20"/>
          <w:szCs w:val="20"/>
        </w:rPr>
        <w:t>.</w:t>
      </w:r>
      <w:r w:rsidR="005A6FF7" w:rsidRPr="005A6FF7">
        <w:rPr>
          <w:rFonts w:ascii="Century Gothic" w:hAnsi="Century Gothic"/>
          <w:sz w:val="20"/>
          <w:szCs w:val="20"/>
        </w:rPr>
        <w:t xml:space="preserve"> </w:t>
      </w:r>
    </w:p>
    <w:p w14:paraId="6C6501B8" w14:textId="556A000A" w:rsidR="00B17604" w:rsidRDefault="00AF045C">
      <w:pPr>
        <w:pStyle w:val="NormalWeb"/>
        <w:spacing w:after="120"/>
        <w:jc w:val="both"/>
        <w:rPr>
          <w:rFonts w:ascii="Century Gothic" w:hAnsi="Century Gothic"/>
          <w:sz w:val="20"/>
          <w:szCs w:val="20"/>
        </w:rPr>
      </w:pPr>
      <w:r>
        <w:rPr>
          <w:rFonts w:ascii="Century Gothic" w:hAnsi="Century Gothic"/>
          <w:sz w:val="20"/>
          <w:szCs w:val="20"/>
        </w:rPr>
        <w:t xml:space="preserve">The volume of Commonwealth environmental water available will include both carryover from the </w:t>
      </w:r>
      <w:r w:rsidR="00ED373C">
        <w:rPr>
          <w:rFonts w:ascii="Century Gothic" w:hAnsi="Century Gothic"/>
          <w:sz w:val="20"/>
          <w:szCs w:val="20"/>
        </w:rPr>
        <w:t>previous</w:t>
      </w:r>
      <w:r>
        <w:rPr>
          <w:rFonts w:ascii="Century Gothic" w:hAnsi="Century Gothic"/>
          <w:sz w:val="20"/>
          <w:szCs w:val="20"/>
        </w:rPr>
        <w:t xml:space="preserve"> water year and new allocations. Allocations against Commonwealth water entitlements are determined by state government and will vary depending on inflows. For the latest information on the volumes of Commonwealth environmental water carryover and allocations, see</w:t>
      </w:r>
      <w:r w:rsidR="00BA4334">
        <w:rPr>
          <w:rFonts w:ascii="Century Gothic" w:hAnsi="Century Gothic"/>
          <w:sz w:val="20"/>
          <w:szCs w:val="20"/>
        </w:rPr>
        <w:t xml:space="preserve"> </w:t>
      </w:r>
      <w:hyperlink r:id="rId29" w:history="1">
        <w:r w:rsidR="00BA4334" w:rsidRPr="00AA3515">
          <w:rPr>
            <w:rStyle w:val="Hyperlink"/>
            <w:rFonts w:ascii="Century Gothic" w:hAnsi="Century Gothic"/>
            <w:sz w:val="20"/>
            <w:szCs w:val="20"/>
          </w:rPr>
          <w:t>www.environment.gov.au/water/cewo</w:t>
        </w:r>
      </w:hyperlink>
      <w:r>
        <w:rPr>
          <w:rFonts w:ascii="Century Gothic" w:hAnsi="Century Gothic"/>
          <w:sz w:val="20"/>
          <w:szCs w:val="20"/>
        </w:rPr>
        <w:t xml:space="preserve">. </w:t>
      </w:r>
    </w:p>
    <w:p w14:paraId="6C6501B9" w14:textId="77777777" w:rsidR="007A7A94" w:rsidRDefault="000E3C60">
      <w:pPr>
        <w:pStyle w:val="Heading11"/>
        <w:numPr>
          <w:ilvl w:val="2"/>
          <w:numId w:val="66"/>
        </w:numPr>
        <w:spacing w:before="0" w:after="120"/>
        <w:ind w:left="1418" w:hanging="704"/>
        <w:rPr>
          <w:rFonts w:cs="Arial"/>
        </w:rPr>
      </w:pPr>
      <w:bookmarkStart w:id="155" w:name="_Toc451182626"/>
      <w:bookmarkStart w:id="156" w:name="_Toc517264657"/>
      <w:bookmarkEnd w:id="155"/>
      <w:r w:rsidRPr="000E3C60">
        <w:rPr>
          <w:rFonts w:ascii="Century Gothic" w:hAnsi="Century Gothic" w:cs="Arial"/>
          <w:sz w:val="24"/>
          <w:szCs w:val="24"/>
        </w:rPr>
        <w:t>Complementary water resources</w:t>
      </w:r>
      <w:bookmarkEnd w:id="156"/>
    </w:p>
    <w:p w14:paraId="6C6501BA" w14:textId="77777777" w:rsidR="00B17604" w:rsidRDefault="00D170BC">
      <w:pPr>
        <w:pStyle w:val="NormalWeb"/>
        <w:spacing w:after="120"/>
        <w:jc w:val="both"/>
        <w:rPr>
          <w:rFonts w:ascii="Century Gothic" w:hAnsi="Century Gothic"/>
          <w:sz w:val="20"/>
          <w:szCs w:val="20"/>
        </w:rPr>
      </w:pPr>
      <w:r w:rsidRPr="00D170BC">
        <w:rPr>
          <w:rFonts w:ascii="Century Gothic" w:hAnsi="Century Gothic"/>
          <w:sz w:val="20"/>
          <w:szCs w:val="20"/>
        </w:rPr>
        <w:t>Commonwealth environmental water is not managed in isolation. When considering the available resource</w:t>
      </w:r>
      <w:r>
        <w:rPr>
          <w:rFonts w:ascii="Century Gothic" w:hAnsi="Century Gothic"/>
          <w:sz w:val="20"/>
          <w:szCs w:val="20"/>
        </w:rPr>
        <w:t xml:space="preserve"> to meet environmental demands</w:t>
      </w:r>
      <w:r w:rsidRPr="00D170BC">
        <w:rPr>
          <w:rFonts w:ascii="Century Gothic" w:hAnsi="Century Gothic"/>
          <w:sz w:val="20"/>
          <w:szCs w:val="20"/>
        </w:rPr>
        <w:t xml:space="preserve">, it is necessary to also factor in the resources managed by other entities that is available </w:t>
      </w:r>
      <w:r>
        <w:rPr>
          <w:rFonts w:ascii="Century Gothic" w:hAnsi="Century Gothic"/>
          <w:sz w:val="20"/>
          <w:szCs w:val="20"/>
        </w:rPr>
        <w:t>to contribute to environmental outcomes</w:t>
      </w:r>
      <w:r w:rsidRPr="00D170BC">
        <w:rPr>
          <w:rFonts w:ascii="Century Gothic" w:hAnsi="Century Gothic"/>
          <w:sz w:val="20"/>
          <w:szCs w:val="20"/>
        </w:rPr>
        <w:t>.</w:t>
      </w:r>
      <w:r>
        <w:rPr>
          <w:rFonts w:ascii="Century Gothic" w:hAnsi="Century Gothic"/>
          <w:sz w:val="20"/>
          <w:szCs w:val="20"/>
        </w:rPr>
        <w:t xml:space="preserve"> </w:t>
      </w:r>
      <w:r w:rsidRPr="00D170BC">
        <w:rPr>
          <w:rFonts w:ascii="Century Gothic" w:hAnsi="Century Gothic"/>
          <w:sz w:val="20"/>
          <w:szCs w:val="20"/>
        </w:rPr>
        <w:t>Relevant resources include held environmental water, planned environmental water, conveyance water and consumptive water.</w:t>
      </w:r>
      <w:r w:rsidR="00033AD2">
        <w:rPr>
          <w:rFonts w:ascii="Century Gothic" w:hAnsi="Century Gothic"/>
          <w:sz w:val="20"/>
          <w:szCs w:val="20"/>
        </w:rPr>
        <w:t xml:space="preserve"> </w:t>
      </w:r>
      <w:r w:rsidR="002A65CE">
        <w:rPr>
          <w:rFonts w:ascii="Century Gothic" w:hAnsi="Century Gothic"/>
          <w:sz w:val="20"/>
          <w:szCs w:val="20"/>
        </w:rPr>
        <w:t>For this reason, portfolio management planning is undertaken in conjunction with other environmental water holders and river operators.</w:t>
      </w:r>
    </w:p>
    <w:p w14:paraId="6C6501BB" w14:textId="77777777" w:rsidR="007A7A94" w:rsidRDefault="00E05589">
      <w:pPr>
        <w:pStyle w:val="Heading11"/>
        <w:spacing w:before="0" w:after="120"/>
        <w:ind w:left="851" w:hanging="851"/>
      </w:pPr>
      <w:bookmarkStart w:id="157" w:name="_Toc517264658"/>
      <w:r>
        <w:t>How do we plan?</w:t>
      </w:r>
      <w:bookmarkEnd w:id="157"/>
    </w:p>
    <w:p w14:paraId="6C6501BC" w14:textId="77777777" w:rsidR="00B17604" w:rsidRDefault="000E3C60">
      <w:pPr>
        <w:pStyle w:val="NormalWeb"/>
        <w:spacing w:after="120"/>
        <w:jc w:val="both"/>
        <w:rPr>
          <w:rFonts w:ascii="Century Gothic" w:hAnsi="Century Gothic"/>
          <w:sz w:val="20"/>
          <w:szCs w:val="20"/>
        </w:rPr>
      </w:pPr>
      <w:r w:rsidRPr="000E3C60">
        <w:rPr>
          <w:rFonts w:ascii="Century Gothic" w:hAnsi="Century Gothic"/>
          <w:sz w:val="20"/>
          <w:szCs w:val="20"/>
        </w:rPr>
        <w:t xml:space="preserve">Commonwealth environmental water planning is primarily driven by supply—how much water is available—and demand—what are the environment’s needs. </w:t>
      </w:r>
      <w:r w:rsidR="00AE2FA6">
        <w:rPr>
          <w:rFonts w:ascii="Century Gothic" w:hAnsi="Century Gothic"/>
          <w:sz w:val="20"/>
          <w:szCs w:val="20"/>
        </w:rPr>
        <w:t xml:space="preserve">Supply and demand </w:t>
      </w:r>
      <w:r w:rsidR="00AE2FA6" w:rsidRPr="004E14E2">
        <w:rPr>
          <w:rFonts w:ascii="Century Gothic" w:hAnsi="Century Gothic"/>
          <w:sz w:val="20"/>
          <w:szCs w:val="20"/>
        </w:rPr>
        <w:t>can vary significantly across years and across catchments.</w:t>
      </w:r>
      <w:r w:rsidR="00AE2FA6">
        <w:rPr>
          <w:rFonts w:ascii="Century Gothic" w:hAnsi="Century Gothic"/>
          <w:sz w:val="20"/>
          <w:szCs w:val="20"/>
        </w:rPr>
        <w:t xml:space="preserve"> </w:t>
      </w:r>
    </w:p>
    <w:p w14:paraId="6C6501BD" w14:textId="77777777" w:rsidR="00B17604" w:rsidRDefault="000E3C60">
      <w:pPr>
        <w:pStyle w:val="NormalWeb"/>
        <w:spacing w:after="120"/>
        <w:jc w:val="both"/>
        <w:rPr>
          <w:rFonts w:ascii="Century Gothic" w:hAnsi="Century Gothic"/>
          <w:sz w:val="20"/>
          <w:szCs w:val="20"/>
        </w:rPr>
      </w:pPr>
      <w:r w:rsidRPr="000E3C60">
        <w:rPr>
          <w:rFonts w:ascii="Century Gothic" w:hAnsi="Century Gothic"/>
          <w:sz w:val="20"/>
          <w:szCs w:val="20"/>
        </w:rPr>
        <w:t xml:space="preserve">Environmental water demands </w:t>
      </w:r>
      <w:r w:rsidR="00AE2FA6">
        <w:rPr>
          <w:rFonts w:ascii="Century Gothic" w:hAnsi="Century Gothic"/>
          <w:sz w:val="20"/>
          <w:szCs w:val="20"/>
        </w:rPr>
        <w:t xml:space="preserve">are influenced by previous rainfall and flows, and by the condition of the </w:t>
      </w:r>
      <w:r w:rsidR="00CD7762">
        <w:rPr>
          <w:rFonts w:ascii="Century Gothic" w:hAnsi="Century Gothic"/>
          <w:sz w:val="20"/>
          <w:szCs w:val="20"/>
        </w:rPr>
        <w:t>targeted environmental assets</w:t>
      </w:r>
      <w:r w:rsidR="00AE2FA6">
        <w:rPr>
          <w:rFonts w:ascii="Century Gothic" w:hAnsi="Century Gothic"/>
          <w:sz w:val="20"/>
          <w:szCs w:val="20"/>
        </w:rPr>
        <w:t xml:space="preserve">. </w:t>
      </w:r>
      <w:r w:rsidR="00CD7762">
        <w:rPr>
          <w:rFonts w:ascii="Century Gothic" w:hAnsi="Century Gothic"/>
          <w:sz w:val="20"/>
          <w:szCs w:val="20"/>
        </w:rPr>
        <w:t>For example, under dry</w:t>
      </w:r>
      <w:r w:rsidRPr="000E3C60">
        <w:rPr>
          <w:rFonts w:ascii="Century Gothic" w:hAnsi="Century Gothic"/>
          <w:sz w:val="20"/>
          <w:szCs w:val="20"/>
        </w:rPr>
        <w:t xml:space="preserve"> conditions, </w:t>
      </w:r>
      <w:r w:rsidR="00CD7762">
        <w:rPr>
          <w:rFonts w:ascii="Century Gothic" w:hAnsi="Century Gothic"/>
          <w:sz w:val="20"/>
          <w:szCs w:val="20"/>
        </w:rPr>
        <w:t>f</w:t>
      </w:r>
      <w:r w:rsidRPr="000E3C60">
        <w:rPr>
          <w:rFonts w:ascii="Century Gothic" w:hAnsi="Century Gothic"/>
          <w:sz w:val="20"/>
          <w:szCs w:val="20"/>
        </w:rPr>
        <w:t xml:space="preserve">loodplain areas that have received water over the past couple of years and are in good condition may require a drying period—in this case, their demands are low. </w:t>
      </w:r>
      <w:r w:rsidR="00CD7762">
        <w:rPr>
          <w:rFonts w:ascii="Century Gothic" w:hAnsi="Century Gothic"/>
          <w:sz w:val="20"/>
          <w:szCs w:val="20"/>
        </w:rPr>
        <w:t>In contrast, some</w:t>
      </w:r>
      <w:r w:rsidRPr="000E3C60">
        <w:rPr>
          <w:rFonts w:ascii="Century Gothic" w:hAnsi="Century Gothic"/>
          <w:sz w:val="20"/>
          <w:szCs w:val="20"/>
        </w:rPr>
        <w:t xml:space="preserve"> </w:t>
      </w:r>
      <w:r w:rsidR="00CD7762">
        <w:rPr>
          <w:rFonts w:ascii="Century Gothic" w:hAnsi="Century Gothic"/>
          <w:sz w:val="20"/>
          <w:szCs w:val="20"/>
        </w:rPr>
        <w:t>low-lying</w:t>
      </w:r>
      <w:r w:rsidRPr="000E3C60">
        <w:rPr>
          <w:rFonts w:ascii="Century Gothic" w:hAnsi="Century Gothic"/>
          <w:sz w:val="20"/>
          <w:szCs w:val="20"/>
        </w:rPr>
        <w:t xml:space="preserve"> wetlands and rivers would have naturally received water in all but the very driest of years</w:t>
      </w:r>
      <w:r w:rsidR="00CD7762">
        <w:rPr>
          <w:rFonts w:ascii="Century Gothic" w:hAnsi="Century Gothic"/>
          <w:sz w:val="20"/>
          <w:szCs w:val="20"/>
        </w:rPr>
        <w:t xml:space="preserve"> and</w:t>
      </w:r>
      <w:r w:rsidRPr="000E3C60">
        <w:rPr>
          <w:rFonts w:ascii="Century Gothic" w:hAnsi="Century Gothic"/>
          <w:sz w:val="20"/>
          <w:szCs w:val="20"/>
        </w:rPr>
        <w:t xml:space="preserve"> will continue to have high water demands. </w:t>
      </w:r>
      <w:r w:rsidR="00CD7762">
        <w:rPr>
          <w:rFonts w:ascii="Century Gothic" w:hAnsi="Century Gothic"/>
          <w:sz w:val="20"/>
          <w:szCs w:val="20"/>
        </w:rPr>
        <w:t xml:space="preserve">There </w:t>
      </w:r>
      <w:r w:rsidR="00CD7762" w:rsidRPr="00CD7762">
        <w:rPr>
          <w:rFonts w:ascii="Century Gothic" w:hAnsi="Century Gothic"/>
          <w:sz w:val="20"/>
          <w:szCs w:val="20"/>
        </w:rPr>
        <w:t xml:space="preserve">may </w:t>
      </w:r>
      <w:r w:rsidR="00CD7762">
        <w:rPr>
          <w:rFonts w:ascii="Century Gothic" w:hAnsi="Century Gothic"/>
          <w:sz w:val="20"/>
          <w:szCs w:val="20"/>
        </w:rPr>
        <w:t xml:space="preserve">also be </w:t>
      </w:r>
      <w:r w:rsidR="00CD7762" w:rsidRPr="00CD7762">
        <w:rPr>
          <w:rFonts w:ascii="Century Gothic" w:hAnsi="Century Gothic"/>
          <w:sz w:val="20"/>
          <w:szCs w:val="20"/>
        </w:rPr>
        <w:t>wetlands in poor ecological health and the ‘normal’ wetting-drying cycle may have to be manipulated to assist in restoration and recovery (that is, provide flows to assets at a higher frequency to restore health, than what would be required to simply maintain health).</w:t>
      </w:r>
    </w:p>
    <w:p w14:paraId="6C6501BE" w14:textId="77777777" w:rsidR="00B17604" w:rsidRDefault="000E3C60">
      <w:pPr>
        <w:pStyle w:val="NormalWeb"/>
        <w:spacing w:after="120"/>
        <w:jc w:val="both"/>
        <w:rPr>
          <w:rFonts w:ascii="Century Gothic" w:hAnsi="Century Gothic"/>
          <w:sz w:val="20"/>
          <w:szCs w:val="20"/>
        </w:rPr>
      </w:pPr>
      <w:r w:rsidRPr="000E3C60">
        <w:rPr>
          <w:rFonts w:ascii="Century Gothic" w:hAnsi="Century Gothic"/>
          <w:sz w:val="20"/>
          <w:szCs w:val="20"/>
        </w:rPr>
        <w:t xml:space="preserve">Similarly, the water available to meet environmental demands changes in response to rainfall and inflows. </w:t>
      </w:r>
      <w:r w:rsidR="009F1837">
        <w:rPr>
          <w:rFonts w:ascii="Century Gothic" w:hAnsi="Century Gothic"/>
          <w:sz w:val="20"/>
          <w:szCs w:val="20"/>
        </w:rPr>
        <w:t>It</w:t>
      </w:r>
      <w:r w:rsidR="00916E7D">
        <w:rPr>
          <w:rFonts w:ascii="Century Gothic" w:hAnsi="Century Gothic"/>
          <w:sz w:val="20"/>
          <w:szCs w:val="20"/>
        </w:rPr>
        <w:t xml:space="preserve"> can also be influenced </w:t>
      </w:r>
      <w:r w:rsidR="00CA2AF4">
        <w:rPr>
          <w:rFonts w:ascii="Century Gothic" w:hAnsi="Century Gothic"/>
          <w:sz w:val="20"/>
          <w:szCs w:val="20"/>
        </w:rPr>
        <w:t>operational factors that may limit the ability to deliver water.</w:t>
      </w:r>
    </w:p>
    <w:p w14:paraId="6C6501BF" w14:textId="77777777" w:rsidR="00B17604" w:rsidRDefault="000E3C60" w:rsidP="00B54E77">
      <w:pPr>
        <w:pStyle w:val="NormalWeb"/>
        <w:spacing w:after="120"/>
        <w:jc w:val="both"/>
        <w:rPr>
          <w:rFonts w:ascii="Century Gothic" w:hAnsi="Century Gothic"/>
        </w:rPr>
      </w:pPr>
      <w:r w:rsidRPr="000E3C60">
        <w:rPr>
          <w:rFonts w:ascii="Century Gothic" w:hAnsi="Century Gothic"/>
          <w:sz w:val="20"/>
          <w:szCs w:val="20"/>
        </w:rPr>
        <w:t>The Commonwealth Environmental Water Portfolio Management Framework has been developed to support decisions on the best mix of water delivery, carryover and trade under different levels of supply and demand. By considering both supply and demand, the framework i</w:t>
      </w:r>
      <w:r w:rsidR="00CA2AF4">
        <w:rPr>
          <w:rFonts w:ascii="Century Gothic" w:hAnsi="Century Gothic"/>
          <w:sz w:val="20"/>
          <w:szCs w:val="20"/>
        </w:rPr>
        <w:t>dentifies</w:t>
      </w:r>
      <w:r w:rsidR="009F1837">
        <w:rPr>
          <w:rFonts w:ascii="Century Gothic" w:hAnsi="Century Gothic"/>
          <w:sz w:val="20"/>
          <w:szCs w:val="20"/>
        </w:rPr>
        <w:t xml:space="preserve"> four different</w:t>
      </w:r>
      <w:r w:rsidRPr="000E3C60">
        <w:rPr>
          <w:rFonts w:ascii="Century Gothic" w:hAnsi="Century Gothic"/>
          <w:sz w:val="20"/>
          <w:szCs w:val="20"/>
        </w:rPr>
        <w:t xml:space="preserve"> purpose</w:t>
      </w:r>
      <w:r w:rsidR="009F1837">
        <w:rPr>
          <w:rFonts w:ascii="Century Gothic" w:hAnsi="Century Gothic"/>
          <w:sz w:val="20"/>
          <w:szCs w:val="20"/>
        </w:rPr>
        <w:t>s</w:t>
      </w:r>
      <w:r w:rsidRPr="000E3C60">
        <w:rPr>
          <w:rFonts w:ascii="Century Gothic" w:hAnsi="Century Gothic"/>
          <w:sz w:val="20"/>
          <w:szCs w:val="20"/>
        </w:rPr>
        <w:t xml:space="preserve"> for managing the portfolio</w:t>
      </w:r>
      <w:r w:rsidR="008E7D2F">
        <w:rPr>
          <w:rFonts w:ascii="Century Gothic" w:hAnsi="Century Gothic"/>
          <w:sz w:val="20"/>
          <w:szCs w:val="20"/>
        </w:rPr>
        <w:t xml:space="preserve"> (Figure 1)</w:t>
      </w:r>
      <w:r w:rsidR="009F1837">
        <w:rPr>
          <w:rFonts w:ascii="Century Gothic" w:hAnsi="Century Gothic"/>
          <w:sz w:val="20"/>
          <w:szCs w:val="20"/>
        </w:rPr>
        <w:t xml:space="preserve"> </w:t>
      </w:r>
      <w:r w:rsidRPr="000E3C60">
        <w:rPr>
          <w:rFonts w:ascii="Century Gothic" w:hAnsi="Century Gothic"/>
          <w:sz w:val="20"/>
          <w:szCs w:val="20"/>
        </w:rPr>
        <w:t>and the outcomes that are in scope</w:t>
      </w:r>
      <w:r w:rsidR="009F1837">
        <w:rPr>
          <w:rFonts w:ascii="Century Gothic" w:hAnsi="Century Gothic"/>
          <w:sz w:val="20"/>
          <w:szCs w:val="20"/>
        </w:rPr>
        <w:t xml:space="preserve"> under each purpose (see </w:t>
      </w:r>
      <w:r w:rsidR="00B54E77">
        <w:rPr>
          <w:rFonts w:ascii="Century Gothic" w:hAnsi="Century Gothic"/>
          <w:sz w:val="20"/>
          <w:szCs w:val="20"/>
        </w:rPr>
        <w:t>Table 2).</w:t>
      </w:r>
    </w:p>
    <w:p w14:paraId="6C6501C0" w14:textId="77777777" w:rsidR="00B17604" w:rsidRDefault="009F1837">
      <w:pPr>
        <w:pStyle w:val="NormalWeb"/>
        <w:spacing w:after="120"/>
        <w:jc w:val="both"/>
        <w:rPr>
          <w:rFonts w:ascii="Century Gothic" w:hAnsi="Century Gothic"/>
        </w:rPr>
      </w:pPr>
      <w:r>
        <w:rPr>
          <w:rFonts w:ascii="Century Gothic" w:hAnsi="Century Gothic"/>
          <w:sz w:val="20"/>
          <w:szCs w:val="20"/>
        </w:rPr>
        <w:t xml:space="preserve">The framework then also identifies the broad mix portfolio management strategies under the different </w:t>
      </w:r>
      <w:r w:rsidRPr="00CA2AF4">
        <w:rPr>
          <w:rFonts w:ascii="Century Gothic" w:hAnsi="Century Gothic"/>
          <w:sz w:val="20"/>
          <w:szCs w:val="20"/>
        </w:rPr>
        <w:t>levels of supply and demand</w:t>
      </w:r>
      <w:r>
        <w:rPr>
          <w:rFonts w:ascii="Century Gothic" w:hAnsi="Century Gothic"/>
          <w:sz w:val="20"/>
          <w:szCs w:val="20"/>
        </w:rPr>
        <w:t xml:space="preserve"> (se</w:t>
      </w:r>
      <w:r w:rsidR="00B54E77">
        <w:rPr>
          <w:rFonts w:ascii="Century Gothic" w:hAnsi="Century Gothic"/>
          <w:sz w:val="20"/>
          <w:szCs w:val="20"/>
        </w:rPr>
        <w:t>e Figure 2).</w:t>
      </w:r>
    </w:p>
    <w:p w14:paraId="6C6501C1" w14:textId="408F393E" w:rsidR="007A7A94" w:rsidRDefault="007A7A94">
      <w:pPr>
        <w:spacing w:after="120"/>
        <w:rPr>
          <w:rFonts w:ascii="Century Gothic" w:hAnsi="Century Gothic"/>
        </w:rPr>
      </w:pPr>
    </w:p>
    <w:p w14:paraId="6C6501C2" w14:textId="77777777" w:rsidR="00E2042D" w:rsidRDefault="00E2042D" w:rsidP="006026F2">
      <w:pPr>
        <w:spacing w:after="120"/>
        <w:ind w:right="866"/>
        <w:jc w:val="left"/>
        <w:outlineLvl w:val="0"/>
        <w:rPr>
          <w:rFonts w:ascii="Century Gothic" w:hAnsi="Century Gothic"/>
        </w:rPr>
      </w:pPr>
    </w:p>
    <w:p w14:paraId="6C6501C3" w14:textId="77777777" w:rsidR="00E2042D" w:rsidRDefault="00E2042D" w:rsidP="006026F2">
      <w:pPr>
        <w:spacing w:after="120"/>
        <w:ind w:right="866"/>
        <w:jc w:val="left"/>
        <w:outlineLvl w:val="0"/>
        <w:rPr>
          <w:rFonts w:ascii="Century Gothic" w:hAnsi="Century Gothic"/>
        </w:rPr>
      </w:pPr>
    </w:p>
    <w:p w14:paraId="6C6501C4" w14:textId="77777777" w:rsidR="00E2042D" w:rsidRDefault="00E2042D" w:rsidP="006026F2">
      <w:pPr>
        <w:spacing w:after="120"/>
        <w:ind w:right="866"/>
        <w:jc w:val="left"/>
        <w:outlineLvl w:val="0"/>
        <w:rPr>
          <w:rFonts w:ascii="Century Gothic" w:hAnsi="Century Gothic"/>
        </w:rPr>
      </w:pPr>
    </w:p>
    <w:p w14:paraId="6C6501C5" w14:textId="77777777" w:rsidR="008B6031" w:rsidRDefault="008C5573" w:rsidP="008B6031">
      <w:pPr>
        <w:pStyle w:val="Caption"/>
        <w:jc w:val="left"/>
        <w:rPr>
          <w:rFonts w:ascii="Century Gothic" w:hAnsi="Century Gothic"/>
          <w:b w:val="0"/>
        </w:rPr>
      </w:pPr>
      <w:bookmarkStart w:id="158" w:name="_Ref445120998"/>
      <w:r>
        <w:rPr>
          <w:rFonts w:ascii="Century Gothic" w:hAnsi="Century Gothic"/>
          <w:b w:val="0"/>
          <w:bCs w:val="0"/>
          <w:noProof/>
        </w:rPr>
        <w:drawing>
          <wp:inline distT="0" distB="0" distL="0" distR="0" wp14:anchorId="6C65032E" wp14:editId="62A9687B">
            <wp:extent cx="5659720" cy="3867912"/>
            <wp:effectExtent l="0" t="0" r="0" b="0"/>
            <wp:docPr id="2" name="Picture 6" descr="A photo matrix showing how the Commonwealth Environmental Water Office undertakes planning based on two key factors. The first is demand according to environmental conditions, while the second is water availability to meet environmental demands. This water may have a range of sources as Commonwealth environmental water is delivered in conjunction with natural flows, consumptive water and other sources of environmental water. By considering these factors together, the Office can determine an overall purpose, ranging from ‘avoiding damage’ (where environmental demands are high and resource availability is low), through protect and maintain the environment, to ‘improving’ ecological condition (where water availability is higher).&#10;"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_table_V3.jpg"/>
                    <pic:cNvPicPr/>
                  </pic:nvPicPr>
                  <pic:blipFill>
                    <a:blip r:embed="rId30" cstate="print"/>
                    <a:stretch>
                      <a:fillRect/>
                    </a:stretch>
                  </pic:blipFill>
                  <pic:spPr>
                    <a:xfrm>
                      <a:off x="0" y="0"/>
                      <a:ext cx="5659720" cy="3867912"/>
                    </a:xfrm>
                    <a:prstGeom prst="rect">
                      <a:avLst/>
                    </a:prstGeom>
                  </pic:spPr>
                </pic:pic>
              </a:graphicData>
            </a:graphic>
          </wp:inline>
        </w:drawing>
      </w:r>
      <w:bookmarkStart w:id="159" w:name="_Ref445121286"/>
      <w:bookmarkEnd w:id="158"/>
      <w:r w:rsidR="008B6031" w:rsidRPr="008B0572">
        <w:rPr>
          <w:rFonts w:ascii="Century Gothic" w:hAnsi="Century Gothic"/>
        </w:rPr>
        <w:t xml:space="preserve">Figure </w:t>
      </w:r>
      <w:r w:rsidR="00D848C1" w:rsidRPr="008B0572">
        <w:rPr>
          <w:rFonts w:ascii="Century Gothic" w:hAnsi="Century Gothic"/>
        </w:rPr>
        <w:fldChar w:fldCharType="begin"/>
      </w:r>
      <w:r w:rsidR="008B6031" w:rsidRPr="008B0572">
        <w:rPr>
          <w:rFonts w:ascii="Century Gothic" w:hAnsi="Century Gothic"/>
        </w:rPr>
        <w:instrText xml:space="preserve"> SEQ Figure \* ARABIC </w:instrText>
      </w:r>
      <w:r w:rsidR="00D848C1" w:rsidRPr="008B0572">
        <w:rPr>
          <w:rFonts w:ascii="Century Gothic" w:hAnsi="Century Gothic"/>
        </w:rPr>
        <w:fldChar w:fldCharType="separate"/>
      </w:r>
      <w:r w:rsidR="0044680F">
        <w:rPr>
          <w:rFonts w:ascii="Century Gothic" w:hAnsi="Century Gothic"/>
          <w:noProof/>
        </w:rPr>
        <w:t>1</w:t>
      </w:r>
      <w:r w:rsidR="00D848C1" w:rsidRPr="008B0572">
        <w:rPr>
          <w:rFonts w:ascii="Century Gothic" w:hAnsi="Century Gothic"/>
        </w:rPr>
        <w:fldChar w:fldCharType="end"/>
      </w:r>
      <w:r w:rsidR="008B6031" w:rsidRPr="008B0572">
        <w:rPr>
          <w:rFonts w:ascii="Century Gothic" w:hAnsi="Century Gothic"/>
          <w:b w:val="0"/>
          <w:bCs w:val="0"/>
        </w:rPr>
        <w:t>:</w:t>
      </w:r>
      <w:r w:rsidR="008B6031" w:rsidRPr="008B0572">
        <w:rPr>
          <w:rFonts w:ascii="Century Gothic" w:hAnsi="Century Gothic"/>
          <w:bCs w:val="0"/>
        </w:rPr>
        <w:t xml:space="preserve"> </w:t>
      </w:r>
      <w:r w:rsidR="008B6031" w:rsidRPr="008B0572">
        <w:rPr>
          <w:rFonts w:ascii="Century Gothic" w:hAnsi="Century Gothic"/>
          <w:b w:val="0"/>
        </w:rPr>
        <w:t>Environmental demand and water available influence the purpose of Commonwealth environmental water management</w:t>
      </w:r>
    </w:p>
    <w:p w14:paraId="6C6501C6" w14:textId="77777777" w:rsidR="00B17604" w:rsidRDefault="00B17604"/>
    <w:p w14:paraId="6C6501C7" w14:textId="77777777" w:rsidR="00B17604" w:rsidRDefault="00BF7C7E">
      <w:pPr>
        <w:pStyle w:val="Caption"/>
        <w:spacing w:before="360"/>
        <w:jc w:val="left"/>
        <w:rPr>
          <w:rFonts w:ascii="Century Gothic" w:hAnsi="Century Gothic"/>
        </w:rPr>
      </w:pPr>
      <w:r w:rsidRPr="00BF7C7E">
        <w:rPr>
          <w:rFonts w:ascii="Century Gothic" w:hAnsi="Century Gothic"/>
        </w:rPr>
        <w:t xml:space="preserve">Table </w:t>
      </w:r>
      <w:r w:rsidR="00D848C1" w:rsidRPr="00BF7C7E">
        <w:rPr>
          <w:rFonts w:ascii="Century Gothic" w:hAnsi="Century Gothic"/>
        </w:rPr>
        <w:fldChar w:fldCharType="begin"/>
      </w:r>
      <w:r w:rsidRPr="00BF7C7E">
        <w:rPr>
          <w:rFonts w:ascii="Century Gothic" w:hAnsi="Century Gothic"/>
        </w:rPr>
        <w:instrText xml:space="preserve"> SEQ Table \* ARABIC </w:instrText>
      </w:r>
      <w:r w:rsidR="00D848C1" w:rsidRPr="00BF7C7E">
        <w:rPr>
          <w:rFonts w:ascii="Century Gothic" w:hAnsi="Century Gothic"/>
        </w:rPr>
        <w:fldChar w:fldCharType="separate"/>
      </w:r>
      <w:r w:rsidR="0044680F">
        <w:rPr>
          <w:rFonts w:ascii="Century Gothic" w:hAnsi="Century Gothic"/>
          <w:noProof/>
        </w:rPr>
        <w:t>2</w:t>
      </w:r>
      <w:r w:rsidR="00D848C1" w:rsidRPr="00BF7C7E">
        <w:rPr>
          <w:rFonts w:ascii="Century Gothic" w:hAnsi="Century Gothic"/>
        </w:rPr>
        <w:fldChar w:fldCharType="end"/>
      </w:r>
      <w:bookmarkEnd w:id="159"/>
      <w:r w:rsidR="008B0572" w:rsidRPr="00BF7C7E">
        <w:rPr>
          <w:rFonts w:ascii="Century Gothic" w:hAnsi="Century Gothic"/>
        </w:rPr>
        <w:t>:</w:t>
      </w:r>
      <w:r w:rsidR="008B0572" w:rsidRPr="00E078BB">
        <w:rPr>
          <w:rFonts w:ascii="Century Gothic" w:hAnsi="Century Gothic"/>
        </w:rPr>
        <w:t xml:space="preserve"> </w:t>
      </w:r>
      <w:r w:rsidR="004722FD">
        <w:rPr>
          <w:rFonts w:ascii="Century Gothic" w:hAnsi="Century Gothic"/>
          <w:b w:val="0"/>
        </w:rPr>
        <w:t xml:space="preserve">Environmental </w:t>
      </w:r>
      <w:r w:rsidR="008B0572" w:rsidRPr="00BF7C7E">
        <w:rPr>
          <w:rFonts w:ascii="Century Gothic" w:hAnsi="Century Gothic"/>
          <w:b w:val="0"/>
        </w:rPr>
        <w:t>outcomes</w:t>
      </w:r>
      <w:r w:rsidR="004722FD">
        <w:rPr>
          <w:rFonts w:ascii="Century Gothic" w:hAnsi="Century Gothic"/>
          <w:b w:val="0"/>
        </w:rPr>
        <w:t xml:space="preserve"> in scope under different ‘purposes’</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126"/>
        <w:gridCol w:w="2126"/>
        <w:gridCol w:w="2127"/>
        <w:gridCol w:w="2126"/>
      </w:tblGrid>
      <w:tr w:rsidR="00F75C5A" w:rsidRPr="004722FD" w14:paraId="6C6501D0" w14:textId="77777777" w:rsidTr="00BF7C7E">
        <w:tc>
          <w:tcPr>
            <w:tcW w:w="1560" w:type="dxa"/>
          </w:tcPr>
          <w:p w14:paraId="6C6501C8" w14:textId="77777777" w:rsidR="007A7A94" w:rsidRDefault="007A7A94">
            <w:pPr>
              <w:spacing w:after="120"/>
              <w:ind w:right="-108"/>
              <w:jc w:val="center"/>
              <w:rPr>
                <w:rFonts w:ascii="Century Gothic" w:hAnsi="Century Gothic"/>
                <w:b/>
                <w:color w:val="5F497A" w:themeColor="accent4" w:themeShade="BF"/>
                <w:sz w:val="16"/>
                <w:szCs w:val="16"/>
                <w:lang w:val="en-GB" w:eastAsia="en-US"/>
              </w:rPr>
            </w:pPr>
          </w:p>
        </w:tc>
        <w:tc>
          <w:tcPr>
            <w:tcW w:w="2126" w:type="dxa"/>
          </w:tcPr>
          <w:p w14:paraId="6C6501C9" w14:textId="77777777" w:rsidR="007A7A94" w:rsidRDefault="00F75C5A">
            <w:pPr>
              <w:pStyle w:val="ListNumber"/>
              <w:numPr>
                <w:ilvl w:val="0"/>
                <w:numId w:val="0"/>
              </w:numPr>
              <w:spacing w:after="120"/>
              <w:jc w:val="left"/>
              <w:rPr>
                <w:rFonts w:ascii="Century Gothic" w:hAnsi="Century Gothic" w:cs="Arial"/>
                <w:i/>
                <w:sz w:val="16"/>
                <w:szCs w:val="16"/>
              </w:rPr>
            </w:pPr>
            <w:r w:rsidRPr="004722FD">
              <w:rPr>
                <w:rFonts w:ascii="Century Gothic" w:hAnsi="Century Gothic"/>
                <w:b/>
                <w:color w:val="943634"/>
                <w:sz w:val="16"/>
                <w:szCs w:val="16"/>
              </w:rPr>
              <w:t>Avoid damage:</w:t>
            </w:r>
            <w:r w:rsidRPr="004722FD">
              <w:rPr>
                <w:rFonts w:ascii="Century Gothic" w:hAnsi="Century Gothic"/>
                <w:sz w:val="16"/>
                <w:szCs w:val="16"/>
              </w:rPr>
              <w:t xml:space="preserve"> Avoid damage to environmental assets</w:t>
            </w:r>
          </w:p>
          <w:p w14:paraId="6C6501CA" w14:textId="77777777" w:rsidR="007A7A94" w:rsidRDefault="007A7A94">
            <w:pPr>
              <w:spacing w:after="120"/>
              <w:jc w:val="left"/>
              <w:rPr>
                <w:rFonts w:ascii="Century Gothic" w:hAnsi="Century Gothic"/>
                <w:b/>
                <w:sz w:val="16"/>
                <w:szCs w:val="16"/>
              </w:rPr>
            </w:pPr>
          </w:p>
        </w:tc>
        <w:tc>
          <w:tcPr>
            <w:tcW w:w="2126" w:type="dxa"/>
          </w:tcPr>
          <w:p w14:paraId="6C6501CB" w14:textId="77777777" w:rsidR="007A7A94" w:rsidRDefault="00F75C5A">
            <w:pPr>
              <w:pStyle w:val="ListNumber"/>
              <w:numPr>
                <w:ilvl w:val="0"/>
                <w:numId w:val="0"/>
              </w:numPr>
              <w:spacing w:after="120"/>
              <w:jc w:val="left"/>
              <w:rPr>
                <w:rFonts w:ascii="Century Gothic" w:hAnsi="Century Gothic"/>
                <w:sz w:val="16"/>
                <w:szCs w:val="16"/>
              </w:rPr>
            </w:pPr>
            <w:r w:rsidRPr="004722FD">
              <w:rPr>
                <w:rFonts w:ascii="Century Gothic" w:hAnsi="Century Gothic"/>
                <w:b/>
                <w:color w:val="E36C0A"/>
                <w:sz w:val="16"/>
                <w:szCs w:val="16"/>
              </w:rPr>
              <w:t>Protect:</w:t>
            </w:r>
            <w:r w:rsidRPr="004722FD">
              <w:rPr>
                <w:rFonts w:ascii="Century Gothic" w:hAnsi="Century Gothic"/>
                <w:sz w:val="16"/>
                <w:szCs w:val="16"/>
              </w:rPr>
              <w:t xml:space="preserve"> Ensure ecological capacity for recovery</w:t>
            </w:r>
          </w:p>
          <w:p w14:paraId="6C6501CC" w14:textId="77777777" w:rsidR="007A7A94" w:rsidRDefault="007A7A94">
            <w:pPr>
              <w:spacing w:after="120"/>
              <w:jc w:val="left"/>
              <w:rPr>
                <w:rFonts w:ascii="Century Gothic" w:hAnsi="Century Gothic"/>
                <w:b/>
                <w:sz w:val="16"/>
                <w:szCs w:val="16"/>
              </w:rPr>
            </w:pPr>
          </w:p>
        </w:tc>
        <w:tc>
          <w:tcPr>
            <w:tcW w:w="2127" w:type="dxa"/>
          </w:tcPr>
          <w:p w14:paraId="6C6501CD" w14:textId="77777777" w:rsidR="007A7A94" w:rsidRDefault="00F75C5A">
            <w:pPr>
              <w:pStyle w:val="ListNumber"/>
              <w:numPr>
                <w:ilvl w:val="0"/>
                <w:numId w:val="0"/>
              </w:numPr>
              <w:spacing w:after="120"/>
              <w:jc w:val="left"/>
              <w:rPr>
                <w:rFonts w:ascii="Century Gothic" w:hAnsi="Century Gothic"/>
                <w:sz w:val="16"/>
                <w:szCs w:val="16"/>
              </w:rPr>
            </w:pPr>
            <w:r w:rsidRPr="004722FD">
              <w:rPr>
                <w:rFonts w:ascii="Century Gothic" w:hAnsi="Century Gothic"/>
                <w:b/>
                <w:color w:val="76923C"/>
                <w:sz w:val="16"/>
                <w:szCs w:val="16"/>
              </w:rPr>
              <w:t>Maintain:</w:t>
            </w:r>
            <w:r w:rsidRPr="004722FD">
              <w:rPr>
                <w:rFonts w:ascii="Century Gothic" w:hAnsi="Century Gothic"/>
                <w:sz w:val="16"/>
                <w:szCs w:val="16"/>
              </w:rPr>
              <w:t xml:space="preserve"> Maintain ecological health and resilience</w:t>
            </w:r>
          </w:p>
          <w:p w14:paraId="6C6501CE" w14:textId="77777777" w:rsidR="007A7A94" w:rsidRDefault="007A7A94">
            <w:pPr>
              <w:spacing w:after="120"/>
              <w:jc w:val="left"/>
              <w:rPr>
                <w:rFonts w:ascii="Century Gothic" w:hAnsi="Century Gothic"/>
                <w:b/>
                <w:sz w:val="16"/>
                <w:szCs w:val="16"/>
              </w:rPr>
            </w:pPr>
          </w:p>
        </w:tc>
        <w:tc>
          <w:tcPr>
            <w:tcW w:w="2126" w:type="dxa"/>
          </w:tcPr>
          <w:p w14:paraId="6C6501CF" w14:textId="77777777" w:rsidR="007A7A94" w:rsidRDefault="00F75C5A">
            <w:pPr>
              <w:pStyle w:val="ListNumber"/>
              <w:numPr>
                <w:ilvl w:val="0"/>
                <w:numId w:val="0"/>
              </w:numPr>
              <w:spacing w:after="120"/>
              <w:jc w:val="left"/>
              <w:rPr>
                <w:rFonts w:ascii="Century Gothic" w:hAnsi="Century Gothic"/>
                <w:sz w:val="16"/>
                <w:szCs w:val="16"/>
              </w:rPr>
            </w:pPr>
            <w:r w:rsidRPr="004722FD">
              <w:rPr>
                <w:rFonts w:ascii="Century Gothic" w:hAnsi="Century Gothic"/>
                <w:b/>
                <w:color w:val="365F91"/>
                <w:sz w:val="16"/>
                <w:szCs w:val="16"/>
              </w:rPr>
              <w:t>Improve:</w:t>
            </w:r>
            <w:r w:rsidRPr="004722FD">
              <w:rPr>
                <w:rFonts w:ascii="Century Gothic" w:hAnsi="Century Gothic"/>
                <w:sz w:val="16"/>
                <w:szCs w:val="16"/>
              </w:rPr>
              <w:t xml:space="preserve"> Improve the health and resilience of aquatic ecosystems / build future capacity to support ecological health and resilience</w:t>
            </w:r>
          </w:p>
        </w:tc>
      </w:tr>
      <w:tr w:rsidR="00F75C5A" w:rsidRPr="004722FD" w14:paraId="6C6501DF" w14:textId="77777777" w:rsidTr="00BF7C7E">
        <w:tc>
          <w:tcPr>
            <w:tcW w:w="1560" w:type="dxa"/>
          </w:tcPr>
          <w:p w14:paraId="6C6501D1" w14:textId="77777777" w:rsidR="007A7A94" w:rsidRDefault="00F75C5A">
            <w:pPr>
              <w:spacing w:after="120"/>
              <w:ind w:right="-108"/>
              <w:jc w:val="left"/>
              <w:rPr>
                <w:rFonts w:ascii="Century Gothic" w:hAnsi="Century Gothic"/>
                <w:b/>
                <w:sz w:val="16"/>
                <w:szCs w:val="16"/>
              </w:rPr>
            </w:pPr>
            <w:r w:rsidRPr="004722FD">
              <w:rPr>
                <w:rFonts w:ascii="Century Gothic" w:hAnsi="Century Gothic"/>
                <w:b/>
                <w:sz w:val="16"/>
                <w:szCs w:val="16"/>
              </w:rPr>
              <w:t>Broad environmental  outcomes in scope</w:t>
            </w:r>
          </w:p>
        </w:tc>
        <w:tc>
          <w:tcPr>
            <w:tcW w:w="2126" w:type="dxa"/>
            <w:tcBorders>
              <w:bottom w:val="single" w:sz="4" w:space="0" w:color="auto"/>
            </w:tcBorders>
          </w:tcPr>
          <w:p w14:paraId="6C6501D2" w14:textId="77777777"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Avoid critical loss of  species, communities and ecosystems</w:t>
            </w:r>
          </w:p>
          <w:p w14:paraId="6C6501D3" w14:textId="77777777"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Maintain key refuges</w:t>
            </w:r>
          </w:p>
          <w:p w14:paraId="6C6501D4" w14:textId="77777777"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Avoid irretrievable damage or catastrophic events</w:t>
            </w:r>
          </w:p>
          <w:p w14:paraId="6C6501D5" w14:textId="77777777" w:rsidR="007A7A94" w:rsidRDefault="007A7A94">
            <w:pPr>
              <w:spacing w:after="120"/>
              <w:rPr>
                <w:rFonts w:ascii="Century Gothic" w:hAnsi="Century Gothic"/>
                <w:sz w:val="16"/>
                <w:szCs w:val="16"/>
              </w:rPr>
            </w:pPr>
          </w:p>
        </w:tc>
        <w:tc>
          <w:tcPr>
            <w:tcW w:w="2126" w:type="dxa"/>
            <w:tcBorders>
              <w:bottom w:val="single" w:sz="4" w:space="0" w:color="auto"/>
            </w:tcBorders>
          </w:tcPr>
          <w:p w14:paraId="6C6501D6" w14:textId="77777777"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 xml:space="preserve">Support the survival and viability of threatened species and communities </w:t>
            </w:r>
          </w:p>
          <w:p w14:paraId="6C6501D7" w14:textId="77777777"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Maintain refuges</w:t>
            </w:r>
          </w:p>
          <w:p w14:paraId="6C6501D8" w14:textId="77777777"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Support key ecosystem functions.</w:t>
            </w:r>
          </w:p>
        </w:tc>
        <w:tc>
          <w:tcPr>
            <w:tcW w:w="2127" w:type="dxa"/>
            <w:tcBorders>
              <w:bottom w:val="single" w:sz="4" w:space="0" w:color="auto"/>
            </w:tcBorders>
          </w:tcPr>
          <w:p w14:paraId="6C6501D9" w14:textId="77777777"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Enable growth, reproduction and small-scale recruitment for a diverse range of flora and fauna</w:t>
            </w:r>
          </w:p>
          <w:p w14:paraId="6C6501DA" w14:textId="77777777"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Promote low-lying floodplain-river connectivity</w:t>
            </w:r>
          </w:p>
          <w:p w14:paraId="6C6501DB" w14:textId="77777777"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Support medium flow river and floodplain functional processes</w:t>
            </w:r>
          </w:p>
        </w:tc>
        <w:tc>
          <w:tcPr>
            <w:tcW w:w="2126" w:type="dxa"/>
          </w:tcPr>
          <w:p w14:paraId="6C6501DC" w14:textId="77777777"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Enable growth, reproduction and large-scale recruitment for a diverse range of flora and fauna</w:t>
            </w:r>
          </w:p>
          <w:p w14:paraId="6C6501DD" w14:textId="77777777"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Promote and sustain higher floodplain-river connectivity</w:t>
            </w:r>
          </w:p>
          <w:p w14:paraId="6C6501DE" w14:textId="77777777" w:rsidR="007A7A94" w:rsidRDefault="00F75C5A">
            <w:pPr>
              <w:numPr>
                <w:ilvl w:val="0"/>
                <w:numId w:val="69"/>
              </w:numPr>
              <w:tabs>
                <w:tab w:val="clear" w:pos="720"/>
                <w:tab w:val="num" w:pos="180"/>
              </w:tabs>
              <w:spacing w:after="120"/>
              <w:ind w:left="180" w:hanging="180"/>
              <w:jc w:val="left"/>
              <w:rPr>
                <w:rFonts w:ascii="Century Gothic" w:hAnsi="Century Gothic"/>
                <w:sz w:val="16"/>
                <w:szCs w:val="16"/>
              </w:rPr>
            </w:pPr>
            <w:r w:rsidRPr="004722FD">
              <w:rPr>
                <w:rFonts w:ascii="Century Gothic" w:hAnsi="Century Gothic"/>
                <w:sz w:val="16"/>
                <w:szCs w:val="16"/>
              </w:rPr>
              <w:t>Support high flow river and floodplain functional processes</w:t>
            </w:r>
          </w:p>
        </w:tc>
      </w:tr>
      <w:tr w:rsidR="00F75C5A" w:rsidRPr="004722FD" w14:paraId="6C6501E5" w14:textId="77777777" w:rsidTr="004722FD">
        <w:trPr>
          <w:trHeight w:val="197"/>
        </w:trPr>
        <w:tc>
          <w:tcPr>
            <w:tcW w:w="1560" w:type="dxa"/>
            <w:vMerge w:val="restart"/>
          </w:tcPr>
          <w:p w14:paraId="6C6501E0" w14:textId="77777777" w:rsidR="007A7A94" w:rsidRDefault="00F75C5A">
            <w:pPr>
              <w:spacing w:after="120"/>
              <w:jc w:val="left"/>
              <w:rPr>
                <w:rFonts w:ascii="Century Gothic" w:hAnsi="Century Gothic"/>
                <w:b/>
                <w:sz w:val="16"/>
                <w:szCs w:val="16"/>
              </w:rPr>
            </w:pPr>
            <w:r w:rsidRPr="004722FD">
              <w:rPr>
                <w:rFonts w:ascii="Century Gothic" w:hAnsi="Century Gothic"/>
                <w:b/>
                <w:sz w:val="16"/>
                <w:szCs w:val="16"/>
              </w:rPr>
              <w:t xml:space="preserve">&lt;1 year expected outcomes in scope </w:t>
            </w:r>
          </w:p>
          <w:p w14:paraId="6C6501E1" w14:textId="77777777" w:rsidR="007A7A94" w:rsidRDefault="007A7A94">
            <w:pPr>
              <w:spacing w:after="120"/>
              <w:jc w:val="center"/>
              <w:rPr>
                <w:rFonts w:ascii="Century Gothic" w:hAnsi="Century Gothic"/>
                <w:b/>
                <w:sz w:val="16"/>
                <w:szCs w:val="16"/>
              </w:rPr>
            </w:pPr>
          </w:p>
          <w:p w14:paraId="6C6501E2" w14:textId="77777777" w:rsidR="007A7A94" w:rsidRDefault="007A7A94">
            <w:pPr>
              <w:spacing w:after="120"/>
              <w:jc w:val="center"/>
              <w:rPr>
                <w:rFonts w:ascii="Century Gothic" w:hAnsi="Century Gothic"/>
                <w:sz w:val="16"/>
                <w:szCs w:val="16"/>
              </w:rPr>
            </w:pPr>
          </w:p>
        </w:tc>
        <w:tc>
          <w:tcPr>
            <w:tcW w:w="6379" w:type="dxa"/>
            <w:gridSpan w:val="3"/>
            <w:shd w:val="clear" w:color="auto" w:fill="F2F2F2"/>
          </w:tcPr>
          <w:p w14:paraId="6C6501E3" w14:textId="77777777" w:rsidR="007A7A94" w:rsidRDefault="00F75C5A">
            <w:pPr>
              <w:spacing w:after="0"/>
              <w:jc w:val="center"/>
              <w:rPr>
                <w:rFonts w:ascii="Century Gothic" w:hAnsi="Century Gothic"/>
                <w:sz w:val="16"/>
                <w:szCs w:val="16"/>
              </w:rPr>
            </w:pPr>
            <w:r w:rsidRPr="004722FD">
              <w:rPr>
                <w:rFonts w:ascii="Century Gothic" w:hAnsi="Century Gothic"/>
                <w:sz w:val="16"/>
                <w:szCs w:val="16"/>
              </w:rPr>
              <w:t>Vegetation condition</w:t>
            </w:r>
          </w:p>
        </w:tc>
        <w:tc>
          <w:tcPr>
            <w:tcW w:w="2126" w:type="dxa"/>
          </w:tcPr>
          <w:p w14:paraId="6C6501E4" w14:textId="77777777" w:rsidR="007A7A94" w:rsidRDefault="007A7A94">
            <w:pPr>
              <w:spacing w:after="0"/>
              <w:jc w:val="center"/>
              <w:rPr>
                <w:rFonts w:ascii="Century Gothic" w:hAnsi="Century Gothic"/>
                <w:sz w:val="16"/>
                <w:szCs w:val="16"/>
              </w:rPr>
            </w:pPr>
          </w:p>
        </w:tc>
      </w:tr>
      <w:tr w:rsidR="00F75C5A" w:rsidRPr="004722FD" w14:paraId="6C6501E9" w14:textId="77777777" w:rsidTr="00BF7C7E">
        <w:tc>
          <w:tcPr>
            <w:tcW w:w="1560" w:type="dxa"/>
            <w:vMerge/>
          </w:tcPr>
          <w:p w14:paraId="6C6501E6" w14:textId="77777777" w:rsidR="007A7A94" w:rsidRDefault="007A7A94">
            <w:pPr>
              <w:spacing w:after="120"/>
              <w:jc w:val="center"/>
              <w:rPr>
                <w:rFonts w:ascii="Century Gothic" w:hAnsi="Century Gothic"/>
                <w:b/>
                <w:sz w:val="16"/>
                <w:szCs w:val="16"/>
              </w:rPr>
            </w:pPr>
          </w:p>
        </w:tc>
        <w:tc>
          <w:tcPr>
            <w:tcW w:w="2126" w:type="dxa"/>
          </w:tcPr>
          <w:p w14:paraId="6C6501E7" w14:textId="77777777" w:rsidR="007A7A94" w:rsidRDefault="007A7A94">
            <w:pPr>
              <w:spacing w:after="0"/>
              <w:rPr>
                <w:rFonts w:ascii="Century Gothic" w:hAnsi="Century Gothic"/>
                <w:sz w:val="16"/>
                <w:szCs w:val="16"/>
              </w:rPr>
            </w:pPr>
          </w:p>
        </w:tc>
        <w:tc>
          <w:tcPr>
            <w:tcW w:w="6379" w:type="dxa"/>
            <w:gridSpan w:val="3"/>
            <w:shd w:val="clear" w:color="auto" w:fill="F2F2F2"/>
          </w:tcPr>
          <w:p w14:paraId="6C6501E8" w14:textId="77777777" w:rsidR="007A7A94" w:rsidRDefault="00F75C5A">
            <w:pPr>
              <w:spacing w:after="0"/>
              <w:jc w:val="center"/>
              <w:rPr>
                <w:rFonts w:ascii="Century Gothic" w:hAnsi="Century Gothic"/>
                <w:sz w:val="16"/>
                <w:szCs w:val="16"/>
              </w:rPr>
            </w:pPr>
            <w:r w:rsidRPr="004722FD">
              <w:rPr>
                <w:rFonts w:ascii="Century Gothic" w:hAnsi="Century Gothic"/>
                <w:sz w:val="16"/>
                <w:szCs w:val="16"/>
              </w:rPr>
              <w:t>Vegetation reproduction, germination and dispersal</w:t>
            </w:r>
          </w:p>
        </w:tc>
      </w:tr>
      <w:tr w:rsidR="00F75C5A" w:rsidRPr="004722FD" w14:paraId="6C6501EC" w14:textId="77777777" w:rsidTr="00BF7C7E">
        <w:tc>
          <w:tcPr>
            <w:tcW w:w="1560" w:type="dxa"/>
            <w:vMerge/>
          </w:tcPr>
          <w:p w14:paraId="6C6501EA" w14:textId="77777777" w:rsidR="007A7A94" w:rsidRDefault="007A7A94">
            <w:pPr>
              <w:spacing w:after="120"/>
              <w:jc w:val="center"/>
              <w:rPr>
                <w:rFonts w:ascii="Century Gothic" w:hAnsi="Century Gothic"/>
                <w:b/>
                <w:sz w:val="16"/>
                <w:szCs w:val="16"/>
              </w:rPr>
            </w:pPr>
          </w:p>
        </w:tc>
        <w:tc>
          <w:tcPr>
            <w:tcW w:w="8505" w:type="dxa"/>
            <w:gridSpan w:val="4"/>
            <w:shd w:val="clear" w:color="auto" w:fill="F2F2F2"/>
          </w:tcPr>
          <w:p w14:paraId="6C6501EB" w14:textId="77777777" w:rsidR="007A7A94" w:rsidRDefault="00F75C5A">
            <w:pPr>
              <w:spacing w:after="0"/>
              <w:jc w:val="center"/>
              <w:rPr>
                <w:rFonts w:ascii="Century Gothic" w:hAnsi="Century Gothic"/>
                <w:sz w:val="16"/>
                <w:szCs w:val="16"/>
              </w:rPr>
            </w:pPr>
            <w:r w:rsidRPr="004722FD">
              <w:rPr>
                <w:rFonts w:ascii="Century Gothic" w:hAnsi="Century Gothic"/>
                <w:sz w:val="16"/>
                <w:szCs w:val="16"/>
              </w:rPr>
              <w:t>Fish condition</w:t>
            </w:r>
          </w:p>
        </w:tc>
      </w:tr>
      <w:tr w:rsidR="00F75C5A" w:rsidRPr="004722FD" w14:paraId="6C6501F0" w14:textId="77777777" w:rsidTr="00BF7C7E">
        <w:tc>
          <w:tcPr>
            <w:tcW w:w="1560" w:type="dxa"/>
            <w:vMerge/>
          </w:tcPr>
          <w:p w14:paraId="6C6501ED" w14:textId="77777777" w:rsidR="007A7A94" w:rsidRDefault="007A7A94">
            <w:pPr>
              <w:spacing w:after="120"/>
              <w:jc w:val="center"/>
              <w:rPr>
                <w:rFonts w:ascii="Century Gothic" w:hAnsi="Century Gothic"/>
                <w:b/>
                <w:sz w:val="16"/>
                <w:szCs w:val="16"/>
              </w:rPr>
            </w:pPr>
          </w:p>
        </w:tc>
        <w:tc>
          <w:tcPr>
            <w:tcW w:w="2126" w:type="dxa"/>
          </w:tcPr>
          <w:p w14:paraId="6C6501EE" w14:textId="77777777" w:rsidR="007A7A94" w:rsidRDefault="007A7A94">
            <w:pPr>
              <w:spacing w:after="0"/>
              <w:jc w:val="center"/>
              <w:rPr>
                <w:rFonts w:ascii="Century Gothic" w:hAnsi="Century Gothic"/>
                <w:sz w:val="16"/>
                <w:szCs w:val="16"/>
              </w:rPr>
            </w:pPr>
          </w:p>
        </w:tc>
        <w:tc>
          <w:tcPr>
            <w:tcW w:w="6379" w:type="dxa"/>
            <w:gridSpan w:val="3"/>
            <w:shd w:val="clear" w:color="auto" w:fill="F2F2F2"/>
          </w:tcPr>
          <w:p w14:paraId="6C6501EF" w14:textId="77777777" w:rsidR="007A7A94" w:rsidRDefault="00F75C5A">
            <w:pPr>
              <w:spacing w:after="0"/>
              <w:jc w:val="center"/>
              <w:rPr>
                <w:rFonts w:ascii="Century Gothic" w:hAnsi="Century Gothic"/>
                <w:sz w:val="16"/>
                <w:szCs w:val="16"/>
              </w:rPr>
            </w:pPr>
            <w:r w:rsidRPr="004722FD">
              <w:rPr>
                <w:rFonts w:ascii="Century Gothic" w:hAnsi="Century Gothic"/>
                <w:sz w:val="16"/>
                <w:szCs w:val="16"/>
              </w:rPr>
              <w:t>Fish larval abundance and reproduction</w:t>
            </w:r>
          </w:p>
        </w:tc>
      </w:tr>
      <w:tr w:rsidR="00F75C5A" w:rsidRPr="004722FD" w14:paraId="6C6501F4" w14:textId="77777777" w:rsidTr="00BF7C7E">
        <w:tc>
          <w:tcPr>
            <w:tcW w:w="1560" w:type="dxa"/>
            <w:vMerge/>
          </w:tcPr>
          <w:p w14:paraId="6C6501F1" w14:textId="77777777" w:rsidR="007A7A94" w:rsidRDefault="007A7A94">
            <w:pPr>
              <w:spacing w:after="120"/>
              <w:jc w:val="center"/>
              <w:rPr>
                <w:rFonts w:ascii="Century Gothic" w:hAnsi="Century Gothic"/>
                <w:b/>
                <w:sz w:val="16"/>
                <w:szCs w:val="16"/>
              </w:rPr>
            </w:pPr>
          </w:p>
        </w:tc>
        <w:tc>
          <w:tcPr>
            <w:tcW w:w="6379" w:type="dxa"/>
            <w:gridSpan w:val="3"/>
            <w:shd w:val="clear" w:color="auto" w:fill="F2F2F2"/>
          </w:tcPr>
          <w:p w14:paraId="6C6501F2" w14:textId="77777777" w:rsidR="007A7A94" w:rsidRDefault="00F75C5A">
            <w:pPr>
              <w:spacing w:after="0"/>
              <w:jc w:val="center"/>
              <w:rPr>
                <w:rFonts w:ascii="Century Gothic" w:hAnsi="Century Gothic"/>
                <w:sz w:val="16"/>
                <w:szCs w:val="16"/>
              </w:rPr>
            </w:pPr>
            <w:r w:rsidRPr="004722FD">
              <w:rPr>
                <w:rFonts w:ascii="Century Gothic" w:hAnsi="Century Gothic"/>
                <w:sz w:val="16"/>
                <w:szCs w:val="16"/>
              </w:rPr>
              <w:t>Waterbird survival and condition</w:t>
            </w:r>
          </w:p>
        </w:tc>
        <w:tc>
          <w:tcPr>
            <w:tcW w:w="2126" w:type="dxa"/>
          </w:tcPr>
          <w:p w14:paraId="6C6501F3" w14:textId="77777777" w:rsidR="007A7A94" w:rsidRDefault="007A7A94">
            <w:pPr>
              <w:spacing w:after="0"/>
              <w:jc w:val="center"/>
              <w:rPr>
                <w:rFonts w:ascii="Century Gothic" w:hAnsi="Century Gothic"/>
                <w:sz w:val="16"/>
                <w:szCs w:val="16"/>
              </w:rPr>
            </w:pPr>
          </w:p>
        </w:tc>
      </w:tr>
      <w:tr w:rsidR="00F75C5A" w:rsidRPr="004722FD" w14:paraId="6C6501F8" w14:textId="77777777" w:rsidTr="00BF7C7E">
        <w:tc>
          <w:tcPr>
            <w:tcW w:w="1560" w:type="dxa"/>
            <w:vMerge/>
          </w:tcPr>
          <w:p w14:paraId="6C6501F5" w14:textId="77777777" w:rsidR="007A7A94" w:rsidRDefault="007A7A94">
            <w:pPr>
              <w:spacing w:after="120"/>
              <w:jc w:val="center"/>
              <w:rPr>
                <w:rFonts w:ascii="Century Gothic" w:hAnsi="Century Gothic"/>
                <w:b/>
                <w:sz w:val="16"/>
                <w:szCs w:val="16"/>
              </w:rPr>
            </w:pPr>
          </w:p>
        </w:tc>
        <w:tc>
          <w:tcPr>
            <w:tcW w:w="4252" w:type="dxa"/>
            <w:gridSpan w:val="2"/>
          </w:tcPr>
          <w:p w14:paraId="6C6501F6" w14:textId="77777777" w:rsidR="007A7A94" w:rsidRDefault="007A7A94">
            <w:pPr>
              <w:spacing w:after="0"/>
              <w:jc w:val="center"/>
              <w:rPr>
                <w:rFonts w:ascii="Century Gothic" w:hAnsi="Century Gothic"/>
                <w:sz w:val="16"/>
                <w:szCs w:val="16"/>
              </w:rPr>
            </w:pPr>
          </w:p>
        </w:tc>
        <w:tc>
          <w:tcPr>
            <w:tcW w:w="4253" w:type="dxa"/>
            <w:gridSpan w:val="2"/>
            <w:shd w:val="clear" w:color="auto" w:fill="F2F2F2"/>
          </w:tcPr>
          <w:p w14:paraId="6C6501F7" w14:textId="77777777" w:rsidR="007A7A94" w:rsidRDefault="00F75C5A">
            <w:pPr>
              <w:spacing w:after="0"/>
              <w:jc w:val="center"/>
              <w:rPr>
                <w:rFonts w:ascii="Century Gothic" w:hAnsi="Century Gothic"/>
                <w:sz w:val="16"/>
                <w:szCs w:val="16"/>
              </w:rPr>
            </w:pPr>
            <w:r w:rsidRPr="004722FD">
              <w:rPr>
                <w:rFonts w:ascii="Century Gothic" w:hAnsi="Century Gothic"/>
                <w:sz w:val="16"/>
                <w:szCs w:val="16"/>
              </w:rPr>
              <w:t>Waterbird chicks and fledglings</w:t>
            </w:r>
          </w:p>
        </w:tc>
      </w:tr>
      <w:tr w:rsidR="00F75C5A" w:rsidRPr="004722FD" w14:paraId="6C6501FC" w14:textId="77777777" w:rsidTr="00BF7C7E">
        <w:tc>
          <w:tcPr>
            <w:tcW w:w="1560" w:type="dxa"/>
            <w:vMerge/>
          </w:tcPr>
          <w:p w14:paraId="6C6501F9" w14:textId="77777777" w:rsidR="007A7A94" w:rsidRDefault="007A7A94">
            <w:pPr>
              <w:spacing w:after="120"/>
              <w:jc w:val="center"/>
              <w:rPr>
                <w:rFonts w:ascii="Century Gothic" w:hAnsi="Century Gothic"/>
                <w:b/>
                <w:sz w:val="16"/>
                <w:szCs w:val="16"/>
              </w:rPr>
            </w:pPr>
          </w:p>
        </w:tc>
        <w:tc>
          <w:tcPr>
            <w:tcW w:w="2126" w:type="dxa"/>
          </w:tcPr>
          <w:p w14:paraId="6C6501FA" w14:textId="77777777" w:rsidR="007A7A94" w:rsidRDefault="007A7A94">
            <w:pPr>
              <w:spacing w:after="0"/>
              <w:jc w:val="center"/>
              <w:rPr>
                <w:rFonts w:ascii="Century Gothic" w:hAnsi="Century Gothic"/>
                <w:sz w:val="16"/>
                <w:szCs w:val="16"/>
              </w:rPr>
            </w:pPr>
          </w:p>
        </w:tc>
        <w:tc>
          <w:tcPr>
            <w:tcW w:w="6379" w:type="dxa"/>
            <w:gridSpan w:val="3"/>
            <w:shd w:val="clear" w:color="auto" w:fill="F2F2F2"/>
          </w:tcPr>
          <w:p w14:paraId="6C6501FB" w14:textId="77777777" w:rsidR="007A7A94" w:rsidRDefault="00F75C5A">
            <w:pPr>
              <w:spacing w:after="0"/>
              <w:jc w:val="center"/>
              <w:rPr>
                <w:rFonts w:ascii="Century Gothic" w:hAnsi="Century Gothic"/>
                <w:sz w:val="16"/>
                <w:szCs w:val="16"/>
              </w:rPr>
            </w:pPr>
            <w:r w:rsidRPr="004722FD">
              <w:rPr>
                <w:rFonts w:ascii="Century Gothic" w:hAnsi="Century Gothic"/>
                <w:sz w:val="16"/>
                <w:szCs w:val="16"/>
              </w:rPr>
              <w:t>Other vertebrate young</w:t>
            </w:r>
          </w:p>
        </w:tc>
      </w:tr>
      <w:tr w:rsidR="00F75C5A" w:rsidRPr="004722FD" w:rsidDel="00E44951" w14:paraId="6C650201" w14:textId="77777777" w:rsidTr="00BF7C7E">
        <w:tc>
          <w:tcPr>
            <w:tcW w:w="1560" w:type="dxa"/>
            <w:vMerge/>
          </w:tcPr>
          <w:p w14:paraId="6C6501FD" w14:textId="77777777" w:rsidR="007A7A94" w:rsidRDefault="007A7A94">
            <w:pPr>
              <w:spacing w:after="120"/>
              <w:jc w:val="center"/>
              <w:rPr>
                <w:rFonts w:ascii="Century Gothic" w:hAnsi="Century Gothic"/>
                <w:b/>
                <w:sz w:val="16"/>
                <w:szCs w:val="16"/>
              </w:rPr>
            </w:pPr>
          </w:p>
        </w:tc>
        <w:tc>
          <w:tcPr>
            <w:tcW w:w="2126" w:type="dxa"/>
          </w:tcPr>
          <w:p w14:paraId="6C6501FE" w14:textId="77777777" w:rsidR="007A7A94" w:rsidRDefault="007A7A94">
            <w:pPr>
              <w:spacing w:after="0"/>
              <w:jc w:val="center"/>
              <w:rPr>
                <w:rFonts w:ascii="Century Gothic" w:hAnsi="Century Gothic"/>
                <w:sz w:val="16"/>
                <w:szCs w:val="16"/>
              </w:rPr>
            </w:pPr>
          </w:p>
        </w:tc>
        <w:tc>
          <w:tcPr>
            <w:tcW w:w="6379" w:type="dxa"/>
            <w:gridSpan w:val="3"/>
            <w:shd w:val="clear" w:color="auto" w:fill="F2F2F2"/>
          </w:tcPr>
          <w:p w14:paraId="6C6501FF" w14:textId="77777777" w:rsidR="007A7A94" w:rsidRDefault="00F75C5A">
            <w:pPr>
              <w:spacing w:after="0"/>
              <w:jc w:val="center"/>
              <w:rPr>
                <w:rFonts w:ascii="Century Gothic" w:hAnsi="Century Gothic"/>
                <w:sz w:val="16"/>
                <w:szCs w:val="16"/>
              </w:rPr>
            </w:pPr>
            <w:r w:rsidRPr="004722FD">
              <w:rPr>
                <w:rFonts w:ascii="Century Gothic" w:hAnsi="Century Gothic"/>
                <w:sz w:val="16"/>
                <w:szCs w:val="16"/>
              </w:rPr>
              <w:t>Hydrological connectivity including end of system flows</w:t>
            </w:r>
          </w:p>
          <w:p w14:paraId="6C650200" w14:textId="77777777" w:rsidR="007A7A94" w:rsidRDefault="00F75C5A">
            <w:pPr>
              <w:spacing w:after="0"/>
              <w:jc w:val="center"/>
              <w:rPr>
                <w:rFonts w:ascii="Century Gothic" w:hAnsi="Century Gothic"/>
                <w:sz w:val="16"/>
                <w:szCs w:val="16"/>
              </w:rPr>
            </w:pPr>
            <w:r w:rsidRPr="004722FD">
              <w:rPr>
                <w:rFonts w:ascii="Century Gothic" w:hAnsi="Century Gothic"/>
                <w:sz w:val="16"/>
                <w:szCs w:val="16"/>
              </w:rPr>
              <w:t xml:space="preserve">(Longitudinal)                                                                        (Lateral)                                                                                                                                                            </w:t>
            </w:r>
          </w:p>
        </w:tc>
      </w:tr>
      <w:tr w:rsidR="00F75C5A" w:rsidRPr="004722FD" w14:paraId="6C650205" w14:textId="77777777" w:rsidTr="00BF7C7E">
        <w:tc>
          <w:tcPr>
            <w:tcW w:w="1560" w:type="dxa"/>
            <w:vMerge/>
          </w:tcPr>
          <w:p w14:paraId="6C650202" w14:textId="77777777" w:rsidR="007A7A94" w:rsidRDefault="007A7A94">
            <w:pPr>
              <w:spacing w:after="120"/>
              <w:jc w:val="center"/>
              <w:rPr>
                <w:rFonts w:ascii="Century Gothic" w:hAnsi="Century Gothic"/>
                <w:b/>
                <w:sz w:val="16"/>
                <w:szCs w:val="16"/>
              </w:rPr>
            </w:pPr>
          </w:p>
        </w:tc>
        <w:tc>
          <w:tcPr>
            <w:tcW w:w="2126" w:type="dxa"/>
          </w:tcPr>
          <w:p w14:paraId="6C650203" w14:textId="77777777" w:rsidR="007A7A94" w:rsidRDefault="007A7A94">
            <w:pPr>
              <w:spacing w:after="0"/>
              <w:jc w:val="center"/>
              <w:rPr>
                <w:rFonts w:ascii="Century Gothic" w:hAnsi="Century Gothic"/>
                <w:sz w:val="16"/>
                <w:szCs w:val="16"/>
              </w:rPr>
            </w:pPr>
          </w:p>
        </w:tc>
        <w:tc>
          <w:tcPr>
            <w:tcW w:w="6379" w:type="dxa"/>
            <w:gridSpan w:val="3"/>
            <w:shd w:val="clear" w:color="auto" w:fill="F2F2F2"/>
          </w:tcPr>
          <w:p w14:paraId="6C650204" w14:textId="77777777" w:rsidR="007A7A94" w:rsidRDefault="00F75C5A">
            <w:pPr>
              <w:spacing w:after="0"/>
              <w:jc w:val="center"/>
              <w:rPr>
                <w:rFonts w:ascii="Century Gothic" w:hAnsi="Century Gothic"/>
                <w:sz w:val="16"/>
                <w:szCs w:val="16"/>
              </w:rPr>
            </w:pPr>
            <w:r w:rsidRPr="004722FD">
              <w:rPr>
                <w:rFonts w:ascii="Century Gothic" w:hAnsi="Century Gothic"/>
                <w:sz w:val="16"/>
                <w:szCs w:val="16"/>
              </w:rPr>
              <w:t>Biotic dispersal and movement</w:t>
            </w:r>
          </w:p>
        </w:tc>
      </w:tr>
      <w:tr w:rsidR="00F75C5A" w:rsidRPr="004722FD" w14:paraId="6C650208" w14:textId="77777777" w:rsidTr="00BF7C7E">
        <w:tc>
          <w:tcPr>
            <w:tcW w:w="1560" w:type="dxa"/>
            <w:vMerge/>
          </w:tcPr>
          <w:p w14:paraId="6C650206" w14:textId="77777777" w:rsidR="007A7A94" w:rsidRDefault="007A7A94">
            <w:pPr>
              <w:spacing w:after="120"/>
              <w:jc w:val="center"/>
              <w:rPr>
                <w:rFonts w:ascii="Century Gothic" w:hAnsi="Century Gothic"/>
                <w:b/>
                <w:sz w:val="16"/>
                <w:szCs w:val="16"/>
              </w:rPr>
            </w:pPr>
          </w:p>
        </w:tc>
        <w:tc>
          <w:tcPr>
            <w:tcW w:w="8505" w:type="dxa"/>
            <w:gridSpan w:val="4"/>
            <w:shd w:val="clear" w:color="auto" w:fill="F2F2F2"/>
          </w:tcPr>
          <w:p w14:paraId="6C650207" w14:textId="77777777" w:rsidR="007A7A94" w:rsidRDefault="00F75C5A">
            <w:pPr>
              <w:spacing w:after="0"/>
              <w:jc w:val="center"/>
              <w:rPr>
                <w:rFonts w:ascii="Century Gothic" w:hAnsi="Century Gothic"/>
                <w:sz w:val="16"/>
                <w:szCs w:val="16"/>
              </w:rPr>
            </w:pPr>
            <w:r w:rsidRPr="004722FD">
              <w:rPr>
                <w:rFonts w:ascii="Century Gothic" w:hAnsi="Century Gothic"/>
                <w:sz w:val="16"/>
                <w:szCs w:val="16"/>
              </w:rPr>
              <w:t>Sediment transport</w:t>
            </w:r>
          </w:p>
        </w:tc>
      </w:tr>
      <w:tr w:rsidR="00F75C5A" w:rsidRPr="004722FD" w14:paraId="6C65020B" w14:textId="77777777" w:rsidTr="00BF7C7E">
        <w:tc>
          <w:tcPr>
            <w:tcW w:w="1560" w:type="dxa"/>
            <w:vMerge/>
          </w:tcPr>
          <w:p w14:paraId="6C650209" w14:textId="77777777" w:rsidR="007A7A94" w:rsidRDefault="007A7A94">
            <w:pPr>
              <w:spacing w:after="120"/>
              <w:jc w:val="center"/>
              <w:rPr>
                <w:rFonts w:ascii="Century Gothic" w:hAnsi="Century Gothic"/>
                <w:b/>
                <w:sz w:val="16"/>
                <w:szCs w:val="16"/>
              </w:rPr>
            </w:pPr>
          </w:p>
        </w:tc>
        <w:tc>
          <w:tcPr>
            <w:tcW w:w="8505" w:type="dxa"/>
            <w:gridSpan w:val="4"/>
            <w:shd w:val="clear" w:color="auto" w:fill="F2F2F2"/>
          </w:tcPr>
          <w:p w14:paraId="6C65020A" w14:textId="77777777" w:rsidR="007A7A94" w:rsidRDefault="00F75C5A">
            <w:pPr>
              <w:spacing w:after="0"/>
              <w:jc w:val="center"/>
              <w:rPr>
                <w:rFonts w:ascii="Century Gothic" w:hAnsi="Century Gothic"/>
                <w:sz w:val="16"/>
                <w:szCs w:val="16"/>
              </w:rPr>
            </w:pPr>
            <w:r w:rsidRPr="004722FD">
              <w:rPr>
                <w:rFonts w:ascii="Century Gothic" w:hAnsi="Century Gothic"/>
                <w:sz w:val="16"/>
                <w:szCs w:val="16"/>
              </w:rPr>
              <w:t xml:space="preserve">Primary productivity; decomposition; nutrient and </w:t>
            </w:r>
            <w:r w:rsidR="004722FD">
              <w:rPr>
                <w:rFonts w:ascii="Century Gothic" w:hAnsi="Century Gothic"/>
                <w:sz w:val="16"/>
                <w:szCs w:val="16"/>
              </w:rPr>
              <w:t>c</w:t>
            </w:r>
            <w:r w:rsidRPr="004722FD">
              <w:rPr>
                <w:rFonts w:ascii="Century Gothic" w:hAnsi="Century Gothic"/>
                <w:sz w:val="16"/>
                <w:szCs w:val="16"/>
              </w:rPr>
              <w:t>arbon cycling</w:t>
            </w:r>
          </w:p>
        </w:tc>
      </w:tr>
      <w:tr w:rsidR="00F75C5A" w:rsidRPr="004722FD" w14:paraId="6C65020F" w14:textId="77777777" w:rsidTr="00BF7C7E">
        <w:tc>
          <w:tcPr>
            <w:tcW w:w="1560" w:type="dxa"/>
            <w:vMerge/>
          </w:tcPr>
          <w:p w14:paraId="6C65020C" w14:textId="77777777" w:rsidR="007A7A94" w:rsidRDefault="007A7A94">
            <w:pPr>
              <w:spacing w:after="120"/>
              <w:jc w:val="center"/>
              <w:rPr>
                <w:rFonts w:ascii="Century Gothic" w:hAnsi="Century Gothic"/>
                <w:b/>
                <w:sz w:val="16"/>
                <w:szCs w:val="16"/>
              </w:rPr>
            </w:pPr>
          </w:p>
        </w:tc>
        <w:tc>
          <w:tcPr>
            <w:tcW w:w="4252" w:type="dxa"/>
            <w:gridSpan w:val="2"/>
            <w:tcBorders>
              <w:bottom w:val="single" w:sz="4" w:space="0" w:color="auto"/>
            </w:tcBorders>
            <w:shd w:val="clear" w:color="auto" w:fill="F2F2F2"/>
          </w:tcPr>
          <w:p w14:paraId="6C65020D" w14:textId="77777777" w:rsidR="007A7A94" w:rsidRDefault="00F75C5A">
            <w:pPr>
              <w:spacing w:after="0"/>
              <w:jc w:val="center"/>
              <w:rPr>
                <w:rFonts w:ascii="Century Gothic" w:hAnsi="Century Gothic"/>
                <w:sz w:val="16"/>
                <w:szCs w:val="16"/>
              </w:rPr>
            </w:pPr>
            <w:r w:rsidRPr="004722FD">
              <w:rPr>
                <w:rFonts w:ascii="Century Gothic" w:hAnsi="Century Gothic"/>
                <w:sz w:val="16"/>
                <w:szCs w:val="16"/>
              </w:rPr>
              <w:t>Individual survival and condition (inc refuges)</w:t>
            </w:r>
          </w:p>
        </w:tc>
        <w:tc>
          <w:tcPr>
            <w:tcW w:w="4253" w:type="dxa"/>
            <w:gridSpan w:val="2"/>
            <w:tcBorders>
              <w:bottom w:val="single" w:sz="4" w:space="0" w:color="auto"/>
            </w:tcBorders>
          </w:tcPr>
          <w:p w14:paraId="6C65020E" w14:textId="77777777" w:rsidR="007A7A94" w:rsidRDefault="007A7A94">
            <w:pPr>
              <w:spacing w:after="0"/>
              <w:jc w:val="center"/>
              <w:rPr>
                <w:rFonts w:ascii="Century Gothic" w:hAnsi="Century Gothic"/>
                <w:sz w:val="16"/>
                <w:szCs w:val="16"/>
              </w:rPr>
            </w:pPr>
          </w:p>
        </w:tc>
      </w:tr>
      <w:tr w:rsidR="00F75C5A" w:rsidRPr="004722FD" w14:paraId="6C650213" w14:textId="77777777" w:rsidTr="00BF7C7E">
        <w:tc>
          <w:tcPr>
            <w:tcW w:w="1560" w:type="dxa"/>
            <w:vMerge/>
          </w:tcPr>
          <w:p w14:paraId="6C650210" w14:textId="77777777" w:rsidR="007A7A94" w:rsidRDefault="007A7A94">
            <w:pPr>
              <w:spacing w:after="120"/>
              <w:jc w:val="center"/>
              <w:rPr>
                <w:rFonts w:ascii="Century Gothic" w:hAnsi="Century Gothic"/>
                <w:b/>
                <w:sz w:val="16"/>
                <w:szCs w:val="16"/>
              </w:rPr>
            </w:pPr>
          </w:p>
        </w:tc>
        <w:tc>
          <w:tcPr>
            <w:tcW w:w="6379" w:type="dxa"/>
            <w:gridSpan w:val="3"/>
            <w:tcBorders>
              <w:bottom w:val="single" w:sz="4" w:space="0" w:color="auto"/>
            </w:tcBorders>
            <w:shd w:val="clear" w:color="auto" w:fill="F2F2F2"/>
          </w:tcPr>
          <w:p w14:paraId="6C650211" w14:textId="77777777" w:rsidR="007A7A94" w:rsidRDefault="00F75C5A">
            <w:pPr>
              <w:spacing w:after="0"/>
              <w:jc w:val="center"/>
              <w:rPr>
                <w:rFonts w:ascii="Century Gothic" w:hAnsi="Century Gothic"/>
                <w:sz w:val="16"/>
                <w:szCs w:val="16"/>
              </w:rPr>
            </w:pPr>
            <w:r w:rsidRPr="004722FD">
              <w:rPr>
                <w:rFonts w:ascii="Century Gothic" w:hAnsi="Century Gothic"/>
                <w:sz w:val="16"/>
                <w:szCs w:val="16"/>
              </w:rPr>
              <w:t>Individual condition (ecosystem resistance)</w:t>
            </w:r>
          </w:p>
        </w:tc>
        <w:tc>
          <w:tcPr>
            <w:tcW w:w="2126" w:type="dxa"/>
            <w:tcBorders>
              <w:bottom w:val="single" w:sz="4" w:space="0" w:color="auto"/>
            </w:tcBorders>
          </w:tcPr>
          <w:p w14:paraId="6C650212" w14:textId="77777777" w:rsidR="007A7A94" w:rsidRDefault="007A7A94">
            <w:pPr>
              <w:spacing w:after="0"/>
              <w:jc w:val="center"/>
              <w:rPr>
                <w:rFonts w:ascii="Century Gothic" w:hAnsi="Century Gothic"/>
                <w:sz w:val="16"/>
                <w:szCs w:val="16"/>
              </w:rPr>
            </w:pPr>
          </w:p>
        </w:tc>
      </w:tr>
      <w:tr w:rsidR="00F75C5A" w:rsidRPr="004722FD" w14:paraId="6C650216" w14:textId="77777777" w:rsidTr="00BF7C7E">
        <w:tc>
          <w:tcPr>
            <w:tcW w:w="1560" w:type="dxa"/>
            <w:vMerge/>
          </w:tcPr>
          <w:p w14:paraId="6C650214" w14:textId="77777777" w:rsidR="007A7A94" w:rsidRDefault="007A7A94">
            <w:pPr>
              <w:spacing w:after="120"/>
              <w:jc w:val="center"/>
              <w:rPr>
                <w:rFonts w:ascii="Century Gothic" w:hAnsi="Century Gothic"/>
                <w:b/>
                <w:sz w:val="16"/>
                <w:szCs w:val="16"/>
              </w:rPr>
            </w:pPr>
          </w:p>
        </w:tc>
        <w:tc>
          <w:tcPr>
            <w:tcW w:w="8505" w:type="dxa"/>
            <w:gridSpan w:val="4"/>
            <w:shd w:val="clear" w:color="auto" w:fill="F2F2F2"/>
          </w:tcPr>
          <w:p w14:paraId="6C650215" w14:textId="77777777" w:rsidR="007A7A94" w:rsidRDefault="00F75C5A">
            <w:pPr>
              <w:spacing w:after="0"/>
              <w:jc w:val="center"/>
              <w:rPr>
                <w:rFonts w:ascii="Century Gothic" w:hAnsi="Century Gothic"/>
                <w:sz w:val="16"/>
                <w:szCs w:val="16"/>
              </w:rPr>
            </w:pPr>
            <w:r w:rsidRPr="004722FD">
              <w:rPr>
                <w:rFonts w:ascii="Century Gothic" w:hAnsi="Century Gothic"/>
                <w:sz w:val="16"/>
                <w:szCs w:val="16"/>
              </w:rPr>
              <w:t>Salinity; dissolved oxygen; pH; dissolved organic carbon; algal blooms</w:t>
            </w:r>
          </w:p>
        </w:tc>
      </w:tr>
    </w:tbl>
    <w:p w14:paraId="6C650217" w14:textId="77777777" w:rsidR="00F75C5A" w:rsidRDefault="00F75C5A" w:rsidP="006026F2">
      <w:pPr>
        <w:pStyle w:val="Heading11"/>
        <w:numPr>
          <w:ilvl w:val="0"/>
          <w:numId w:val="0"/>
        </w:numPr>
        <w:spacing w:before="0" w:after="120"/>
        <w:sectPr w:rsidR="00F75C5A" w:rsidSect="00CE0FAD">
          <w:headerReference w:type="first" r:id="rId31"/>
          <w:footerReference w:type="first" r:id="rId32"/>
          <w:pgSz w:w="11906" w:h="16838"/>
          <w:pgMar w:top="851" w:right="1276" w:bottom="567" w:left="1418" w:header="425" w:footer="425" w:gutter="0"/>
          <w:cols w:space="708"/>
          <w:docGrid w:linePitch="360"/>
        </w:sectPr>
      </w:pPr>
    </w:p>
    <w:tbl>
      <w:tblPr>
        <w:tblStyle w:val="TableGrid"/>
        <w:tblpPr w:leftFromText="181" w:rightFromText="181" w:vertAnchor="text" w:horzAnchor="margin" w:tblpY="1"/>
        <w:tblOverlap w:val="never"/>
        <w:tblW w:w="15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0"/>
        <w:gridCol w:w="2863"/>
        <w:gridCol w:w="2863"/>
        <w:gridCol w:w="2865"/>
        <w:gridCol w:w="2866"/>
        <w:gridCol w:w="2863"/>
      </w:tblGrid>
      <w:tr w:rsidR="009F1837" w:rsidRPr="009F7A28" w14:paraId="6C650219" w14:textId="77777777" w:rsidTr="009F1837">
        <w:trPr>
          <w:cnfStyle w:val="100000000000" w:firstRow="1" w:lastRow="0" w:firstColumn="0" w:lastColumn="0" w:oddVBand="0" w:evenVBand="0" w:oddHBand="0" w:evenHBand="0" w:firstRowFirstColumn="0" w:firstRowLastColumn="0" w:lastRowFirstColumn="0" w:lastRowLastColumn="0"/>
          <w:trHeight w:val="427"/>
        </w:trPr>
        <w:tc>
          <w:tcPr>
            <w:tcW w:w="15750" w:type="dxa"/>
            <w:gridSpan w:val="6"/>
            <w:tcBorders>
              <w:top w:val="single" w:sz="4" w:space="0" w:color="auto"/>
              <w:left w:val="single" w:sz="4" w:space="0" w:color="auto"/>
              <w:bottom w:val="single" w:sz="4" w:space="0" w:color="auto"/>
              <w:right w:val="single" w:sz="4" w:space="0" w:color="auto"/>
            </w:tcBorders>
            <w:shd w:val="clear" w:color="auto" w:fill="93BBA9"/>
          </w:tcPr>
          <w:p w14:paraId="6C650218" w14:textId="35F06879" w:rsidR="007A7A94" w:rsidRDefault="004956A0">
            <w:pPr>
              <w:spacing w:after="120"/>
              <w:jc w:val="center"/>
              <w:rPr>
                <w:color w:val="FFFFFF" w:themeColor="background1"/>
                <w:sz w:val="16"/>
                <w:szCs w:val="16"/>
              </w:rPr>
            </w:pPr>
            <w:r>
              <w:rPr>
                <w:b/>
                <w:color w:val="FFFFFF" w:themeColor="background1"/>
                <w:sz w:val="16"/>
                <w:szCs w:val="16"/>
              </w:rPr>
              <w:t>D</w:t>
            </w:r>
            <w:r w:rsidR="009F1837" w:rsidRPr="009F7A28">
              <w:rPr>
                <w:b/>
                <w:color w:val="FFFFFF" w:themeColor="background1"/>
                <w:sz w:val="16"/>
                <w:szCs w:val="16"/>
              </w:rPr>
              <w:t>emand for environmental water</w:t>
            </w:r>
          </w:p>
        </w:tc>
      </w:tr>
      <w:tr w:rsidR="009F1837" w:rsidRPr="009F7A28" w14:paraId="6C650220" w14:textId="77777777" w:rsidTr="009F1837">
        <w:trPr>
          <w:cnfStyle w:val="000000100000" w:firstRow="0" w:lastRow="0" w:firstColumn="0" w:lastColumn="0" w:oddVBand="0" w:evenVBand="0" w:oddHBand="1" w:evenHBand="0" w:firstRowFirstColumn="0" w:firstRowLastColumn="0" w:lastRowFirstColumn="0" w:lastRowLastColumn="0"/>
          <w:trHeight w:val="1073"/>
        </w:trPr>
        <w:tc>
          <w:tcPr>
            <w:tcW w:w="1430" w:type="dxa"/>
            <w:tcBorders>
              <w:top w:val="single" w:sz="4" w:space="0" w:color="auto"/>
              <w:left w:val="single" w:sz="4" w:space="0" w:color="auto"/>
              <w:bottom w:val="single" w:sz="4" w:space="0" w:color="auto"/>
              <w:right w:val="single" w:sz="4" w:space="0" w:color="auto"/>
            </w:tcBorders>
            <w:vAlign w:val="bottom"/>
          </w:tcPr>
          <w:p w14:paraId="6C65021A" w14:textId="77777777" w:rsidR="007A7A94" w:rsidRDefault="009F1837">
            <w:pPr>
              <w:spacing w:after="120"/>
              <w:jc w:val="center"/>
              <w:rPr>
                <w:sz w:val="16"/>
                <w:szCs w:val="16"/>
              </w:rPr>
            </w:pPr>
            <w:r w:rsidRPr="009F7A28">
              <w:rPr>
                <w:b/>
                <w:sz w:val="16"/>
                <w:szCs w:val="16"/>
              </w:rPr>
              <w:t>Overall environmental water resource availability</w:t>
            </w:r>
          </w:p>
        </w:tc>
        <w:tc>
          <w:tcPr>
            <w:tcW w:w="2863" w:type="dxa"/>
            <w:tcBorders>
              <w:top w:val="single" w:sz="4" w:space="0" w:color="auto"/>
              <w:left w:val="single" w:sz="4" w:space="0" w:color="auto"/>
              <w:bottom w:val="single" w:sz="4" w:space="0" w:color="auto"/>
            </w:tcBorders>
            <w:vAlign w:val="center"/>
          </w:tcPr>
          <w:p w14:paraId="6C65021B" w14:textId="77777777" w:rsidR="007A7A94" w:rsidRDefault="009F1837">
            <w:pPr>
              <w:pStyle w:val="ListBullet"/>
              <w:numPr>
                <w:ilvl w:val="0"/>
                <w:numId w:val="0"/>
              </w:numPr>
              <w:spacing w:after="120"/>
              <w:jc w:val="center"/>
              <w:rPr>
                <w:b/>
                <w:sz w:val="16"/>
                <w:szCs w:val="16"/>
              </w:rPr>
            </w:pPr>
            <w:r w:rsidRPr="009F7A28">
              <w:rPr>
                <w:b/>
                <w:color w:val="000000" w:themeColor="text1"/>
                <w:sz w:val="16"/>
                <w:szCs w:val="16"/>
              </w:rPr>
              <w:t xml:space="preserve">Very High – water predominantly needed urgently  </w:t>
            </w:r>
          </w:p>
        </w:tc>
        <w:tc>
          <w:tcPr>
            <w:tcW w:w="2863" w:type="dxa"/>
            <w:tcBorders>
              <w:top w:val="single" w:sz="4" w:space="0" w:color="auto"/>
              <w:bottom w:val="single" w:sz="4" w:space="0" w:color="auto"/>
            </w:tcBorders>
            <w:vAlign w:val="center"/>
          </w:tcPr>
          <w:p w14:paraId="6C65021C" w14:textId="77777777" w:rsidR="007A7A94" w:rsidRDefault="009F1837">
            <w:pPr>
              <w:pStyle w:val="ListBullet"/>
              <w:numPr>
                <w:ilvl w:val="0"/>
                <w:numId w:val="0"/>
              </w:numPr>
              <w:spacing w:after="120"/>
              <w:ind w:left="-107"/>
              <w:jc w:val="center"/>
              <w:rPr>
                <w:b/>
                <w:sz w:val="16"/>
                <w:szCs w:val="16"/>
              </w:rPr>
            </w:pPr>
            <w:r w:rsidRPr="009F7A28">
              <w:rPr>
                <w:b/>
                <w:color w:val="000000" w:themeColor="text1"/>
                <w:sz w:val="16"/>
                <w:szCs w:val="16"/>
              </w:rPr>
              <w:t>High – water predominantly needed this year</w:t>
            </w:r>
          </w:p>
        </w:tc>
        <w:tc>
          <w:tcPr>
            <w:tcW w:w="2865" w:type="dxa"/>
            <w:tcBorders>
              <w:top w:val="single" w:sz="4" w:space="0" w:color="auto"/>
              <w:bottom w:val="single" w:sz="4" w:space="0" w:color="auto"/>
            </w:tcBorders>
            <w:vAlign w:val="center"/>
          </w:tcPr>
          <w:p w14:paraId="6C65021D" w14:textId="77777777" w:rsidR="007A7A94" w:rsidRDefault="009F1837">
            <w:pPr>
              <w:pStyle w:val="ListBullet"/>
              <w:numPr>
                <w:ilvl w:val="0"/>
                <w:numId w:val="0"/>
              </w:numPr>
              <w:spacing w:after="120"/>
              <w:jc w:val="center"/>
              <w:rPr>
                <w:b/>
                <w:sz w:val="16"/>
                <w:szCs w:val="16"/>
              </w:rPr>
            </w:pPr>
            <w:r w:rsidRPr="009F7A28">
              <w:rPr>
                <w:b/>
                <w:color w:val="000000" w:themeColor="text1"/>
                <w:sz w:val="16"/>
                <w:szCs w:val="16"/>
              </w:rPr>
              <w:t>Moderate – water predominantly needed this year and/or next</w:t>
            </w:r>
          </w:p>
        </w:tc>
        <w:tc>
          <w:tcPr>
            <w:tcW w:w="2865" w:type="dxa"/>
            <w:tcBorders>
              <w:top w:val="single" w:sz="4" w:space="0" w:color="auto"/>
              <w:bottom w:val="single" w:sz="4" w:space="0" w:color="auto"/>
            </w:tcBorders>
            <w:vAlign w:val="center"/>
          </w:tcPr>
          <w:p w14:paraId="6C65021E" w14:textId="77777777" w:rsidR="007A7A94" w:rsidRDefault="009F1837">
            <w:pPr>
              <w:pStyle w:val="ListBullet"/>
              <w:numPr>
                <w:ilvl w:val="0"/>
                <w:numId w:val="0"/>
              </w:numPr>
              <w:spacing w:after="120"/>
              <w:ind w:left="-64"/>
              <w:jc w:val="center"/>
              <w:rPr>
                <w:b/>
                <w:sz w:val="16"/>
                <w:szCs w:val="16"/>
              </w:rPr>
            </w:pPr>
            <w:r w:rsidRPr="009F7A28">
              <w:rPr>
                <w:b/>
                <w:color w:val="000000" w:themeColor="text1"/>
                <w:sz w:val="16"/>
                <w:szCs w:val="16"/>
              </w:rPr>
              <w:t>Low – water predominantly not needed this year</w:t>
            </w:r>
          </w:p>
        </w:tc>
        <w:tc>
          <w:tcPr>
            <w:tcW w:w="2863" w:type="dxa"/>
            <w:tcBorders>
              <w:top w:val="single" w:sz="4" w:space="0" w:color="auto"/>
              <w:bottom w:val="single" w:sz="4" w:space="0" w:color="auto"/>
              <w:right w:val="single" w:sz="4" w:space="0" w:color="auto"/>
            </w:tcBorders>
            <w:vAlign w:val="center"/>
          </w:tcPr>
          <w:p w14:paraId="6C65021F" w14:textId="77777777" w:rsidR="007A7A94" w:rsidRDefault="009F1837">
            <w:pPr>
              <w:pStyle w:val="ListBullet"/>
              <w:numPr>
                <w:ilvl w:val="0"/>
                <w:numId w:val="0"/>
              </w:numPr>
              <w:spacing w:after="120"/>
              <w:ind w:left="-60" w:firstLine="43"/>
              <w:jc w:val="center"/>
              <w:rPr>
                <w:b/>
                <w:sz w:val="16"/>
                <w:szCs w:val="16"/>
              </w:rPr>
            </w:pPr>
            <w:r w:rsidRPr="009F7A28">
              <w:rPr>
                <w:b/>
                <w:color w:val="000000" w:themeColor="text1"/>
                <w:sz w:val="16"/>
                <w:szCs w:val="16"/>
              </w:rPr>
              <w:t>Very low  - water predominantly not needed this year and next</w:t>
            </w:r>
          </w:p>
        </w:tc>
      </w:tr>
      <w:tr w:rsidR="009F1837" w:rsidRPr="009F7A28" w14:paraId="6C65022E" w14:textId="77777777" w:rsidTr="009F1837">
        <w:trPr>
          <w:cnfStyle w:val="000000010000" w:firstRow="0" w:lastRow="0" w:firstColumn="0" w:lastColumn="0" w:oddVBand="0" w:evenVBand="0" w:oddHBand="0" w:evenHBand="1" w:firstRowFirstColumn="0" w:firstRowLastColumn="0" w:lastRowFirstColumn="0" w:lastRowLastColumn="0"/>
          <w:trHeight w:val="1520"/>
        </w:trPr>
        <w:tc>
          <w:tcPr>
            <w:tcW w:w="1430" w:type="dxa"/>
            <w:tcBorders>
              <w:top w:val="single" w:sz="4" w:space="0" w:color="auto"/>
              <w:left w:val="single" w:sz="4" w:space="0" w:color="auto"/>
              <w:right w:val="single" w:sz="4" w:space="0" w:color="auto"/>
            </w:tcBorders>
            <w:vAlign w:val="center"/>
          </w:tcPr>
          <w:p w14:paraId="6C650221" w14:textId="77777777" w:rsidR="007A7A94" w:rsidRDefault="007A7A94">
            <w:pPr>
              <w:pStyle w:val="ListBullet"/>
              <w:numPr>
                <w:ilvl w:val="0"/>
                <w:numId w:val="0"/>
              </w:numPr>
              <w:spacing w:after="120"/>
              <w:ind w:left="-250"/>
              <w:jc w:val="center"/>
              <w:rPr>
                <w:b/>
                <w:sz w:val="16"/>
                <w:szCs w:val="16"/>
              </w:rPr>
            </w:pPr>
          </w:p>
          <w:p w14:paraId="6C650222" w14:textId="77777777" w:rsidR="007A7A94" w:rsidRDefault="009F1837">
            <w:pPr>
              <w:pStyle w:val="ListBullet"/>
              <w:numPr>
                <w:ilvl w:val="0"/>
                <w:numId w:val="0"/>
              </w:numPr>
              <w:spacing w:after="120"/>
              <w:ind w:left="-108"/>
              <w:jc w:val="center"/>
              <w:rPr>
                <w:b/>
                <w:sz w:val="16"/>
                <w:szCs w:val="16"/>
              </w:rPr>
            </w:pPr>
            <w:r w:rsidRPr="009F7A28">
              <w:rPr>
                <w:b/>
                <w:sz w:val="16"/>
                <w:szCs w:val="16"/>
              </w:rPr>
              <w:t>Very low</w:t>
            </w:r>
          </w:p>
          <w:p w14:paraId="6C650223" w14:textId="77777777" w:rsidR="007A7A94" w:rsidRDefault="007A7A94">
            <w:pPr>
              <w:pStyle w:val="ListBullet"/>
              <w:numPr>
                <w:ilvl w:val="0"/>
                <w:numId w:val="0"/>
              </w:numPr>
              <w:spacing w:after="120"/>
              <w:ind w:left="-108"/>
              <w:jc w:val="center"/>
              <w:rPr>
                <w:b/>
                <w:sz w:val="16"/>
                <w:szCs w:val="16"/>
              </w:rPr>
            </w:pPr>
          </w:p>
        </w:tc>
        <w:tc>
          <w:tcPr>
            <w:tcW w:w="2863" w:type="dxa"/>
            <w:vMerge w:val="restart"/>
            <w:tcBorders>
              <w:top w:val="single" w:sz="4" w:space="0" w:color="auto"/>
              <w:left w:val="single" w:sz="4" w:space="0" w:color="auto"/>
            </w:tcBorders>
            <w:shd w:val="clear" w:color="auto" w:fill="E9C8C1"/>
          </w:tcPr>
          <w:p w14:paraId="6C650224" w14:textId="46792C3A" w:rsidR="007A7A94" w:rsidRDefault="004835D0">
            <w:pPr>
              <w:pStyle w:val="ListBullet"/>
              <w:numPr>
                <w:ilvl w:val="0"/>
                <w:numId w:val="0"/>
              </w:numPr>
              <w:spacing w:after="120"/>
              <w:ind w:right="-86"/>
              <w:rPr>
                <w:sz w:val="16"/>
                <w:szCs w:val="16"/>
              </w:rPr>
            </w:pPr>
            <w:r>
              <w:rPr>
                <w:noProof/>
                <w:sz w:val="16"/>
                <w:szCs w:val="16"/>
              </w:rPr>
              <mc:AlternateContent>
                <mc:Choice Requires="wps">
                  <w:drawing>
                    <wp:anchor distT="0" distB="0" distL="114300" distR="114300" simplePos="0" relativeHeight="251684352" behindDoc="0" locked="0" layoutInCell="1" allowOverlap="1" wp14:anchorId="6C650331" wp14:editId="1C1E0381">
                      <wp:simplePos x="0" y="0"/>
                      <wp:positionH relativeFrom="column">
                        <wp:posOffset>163830</wp:posOffset>
                      </wp:positionH>
                      <wp:positionV relativeFrom="paragraph">
                        <wp:posOffset>118110</wp:posOffset>
                      </wp:positionV>
                      <wp:extent cx="2905760" cy="295275"/>
                      <wp:effectExtent l="4445" t="6985" r="4445" b="2540"/>
                      <wp:wrapNone/>
                      <wp:docPr id="1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295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50359" w14:textId="77777777" w:rsidR="00262AAF" w:rsidRPr="005C0CB0" w:rsidRDefault="00262AAF" w:rsidP="009F1837">
                                  <w:pPr>
                                    <w:pStyle w:val="ListBullet2"/>
                                    <w:numPr>
                                      <w:ilvl w:val="0"/>
                                      <w:numId w:val="0"/>
                                    </w:numPr>
                                    <w:spacing w:before="20" w:after="20" w:line="276" w:lineRule="auto"/>
                                    <w:rPr>
                                      <w:b/>
                                      <w:i/>
                                      <w:color w:val="632423" w:themeColor="accent2" w:themeShade="80"/>
                                    </w:rPr>
                                  </w:pPr>
                                  <w:r w:rsidRPr="005C0CB0">
                                    <w:rPr>
                                      <w:b/>
                                      <w:i/>
                                      <w:color w:val="632423" w:themeColor="accent2" w:themeShade="80"/>
                                    </w:rPr>
                                    <w:t xml:space="preserve">Purpose: avoid damage to the environment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650331" id="Text Box 104" o:spid="_x0000_s1027" type="#_x0000_t202" style="position:absolute;left:0;text-align:left;margin-left:12.9pt;margin-top:9.3pt;width:228.8pt;height:23.25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" stroked="f">
                      <v:fill opacity="0"/>
                      <v:textbox style="mso-fit-shape-to-text:t">
                        <w:txbxContent>
                          <w:p w14:paraId="6C650359" w14:textId="77777777" w:rsidR="00262AAF" w:rsidRPr="005C0CB0" w:rsidRDefault="00262AAF" w:rsidP="009F1837">
                            <w:pPr>
                              <w:pStyle w:val="ListBullet2"/>
                              <w:numPr>
                                <w:ilvl w:val="0"/>
                                <w:numId w:val="0"/>
                              </w:numPr>
                              <w:spacing w:before="20" w:after="20" w:line="276" w:lineRule="auto"/>
                              <w:rPr>
                                <w:b/>
                                <w:i/>
                                <w:color w:val="632423" w:themeColor="accent2" w:themeShade="80"/>
                              </w:rPr>
                            </w:pPr>
                            <w:r w:rsidRPr="005C0CB0">
                              <w:rPr>
                                <w:b/>
                                <w:i/>
                                <w:color w:val="632423" w:themeColor="accent2" w:themeShade="80"/>
                              </w:rPr>
                              <w:t xml:space="preserve">Purpose: avoid damage to the environment </w:t>
                            </w:r>
                          </w:p>
                        </w:txbxContent>
                      </v:textbox>
                    </v:shape>
                  </w:pict>
                </mc:Fallback>
              </mc:AlternateContent>
            </w:r>
          </w:p>
          <w:p w14:paraId="6C650225" w14:textId="3E6C485A" w:rsidR="007A7A94" w:rsidRDefault="004835D0">
            <w:pPr>
              <w:pStyle w:val="ListBullet"/>
              <w:spacing w:after="120"/>
              <w:ind w:left="0" w:right="-86"/>
              <w:jc w:val="left"/>
              <w:rPr>
                <w:sz w:val="16"/>
                <w:szCs w:val="16"/>
              </w:rPr>
            </w:pPr>
            <w:r>
              <w:rPr>
                <w:noProof/>
                <w:sz w:val="16"/>
                <w:szCs w:val="16"/>
              </w:rPr>
              <mc:AlternateContent>
                <mc:Choice Requires="wps">
                  <w:drawing>
                    <wp:anchor distT="0" distB="0" distL="114300" distR="114300" simplePos="0" relativeHeight="251685376" behindDoc="0" locked="0" layoutInCell="1" allowOverlap="1" wp14:anchorId="6C650332" wp14:editId="59DAEABD">
                      <wp:simplePos x="0" y="0"/>
                      <wp:positionH relativeFrom="column">
                        <wp:posOffset>640080</wp:posOffset>
                      </wp:positionH>
                      <wp:positionV relativeFrom="paragraph">
                        <wp:posOffset>343535</wp:posOffset>
                      </wp:positionV>
                      <wp:extent cx="2908935" cy="1330325"/>
                      <wp:effectExtent l="4445" t="635" r="1270" b="2540"/>
                      <wp:wrapNone/>
                      <wp:docPr id="1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1330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5035A" w14:textId="77777777" w:rsidR="00262AAF" w:rsidRPr="00BF26F8" w:rsidRDefault="00262AAF" w:rsidP="009F1837">
                                  <w:pPr>
                                    <w:spacing w:before="20" w:after="20" w:line="276" w:lineRule="auto"/>
                                    <w:jc w:val="center"/>
                                    <w:rPr>
                                      <w:b/>
                                      <w:sz w:val="16"/>
                                      <w:szCs w:val="16"/>
                                    </w:rPr>
                                  </w:pPr>
                                  <w:r w:rsidRPr="00CE75BA">
                                    <w:rPr>
                                      <w:b/>
                                      <w:sz w:val="16"/>
                                      <w:szCs w:val="16"/>
                                    </w:rPr>
                                    <w:t>Extended dry conditions</w:t>
                                  </w:r>
                                </w:p>
                                <w:p w14:paraId="6C65035B"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 xml:space="preserve">Water availability may be insufficient to meet all environmental demands </w:t>
                                  </w:r>
                                </w:p>
                                <w:p w14:paraId="6C65035C" w14:textId="77777777" w:rsidR="00262AAF" w:rsidRPr="00A13F31" w:rsidRDefault="00262AAF" w:rsidP="009F1837">
                                  <w:pPr>
                                    <w:pStyle w:val="ListBullet2"/>
                                    <w:numPr>
                                      <w:ilvl w:val="1"/>
                                      <w:numId w:val="10"/>
                                    </w:numPr>
                                    <w:spacing w:before="20" w:after="20" w:line="276" w:lineRule="auto"/>
                                    <w:ind w:left="284" w:hanging="284"/>
                                    <w:jc w:val="center"/>
                                    <w:rPr>
                                      <w:sz w:val="16"/>
                                      <w:szCs w:val="16"/>
                                    </w:rPr>
                                  </w:pPr>
                                  <w:r w:rsidRPr="00A13F31">
                                    <w:rPr>
                                      <w:sz w:val="16"/>
                                      <w:szCs w:val="16"/>
                                    </w:rPr>
                                    <w:t>Use</w:t>
                                  </w:r>
                                  <w:r>
                                    <w:rPr>
                                      <w:sz w:val="16"/>
                                      <w:szCs w:val="16"/>
                                    </w:rPr>
                                    <w:t xml:space="preserve"> a high proportion of limited allocations in targeted manner (e.g. individual wetlands, base flows)</w:t>
                                  </w:r>
                                </w:p>
                                <w:p w14:paraId="6C65035D" w14:textId="77777777" w:rsidR="00262AAF" w:rsidRPr="00A13F31" w:rsidRDefault="00262AAF" w:rsidP="009F1837">
                                  <w:pPr>
                                    <w:pStyle w:val="ListBullet2"/>
                                    <w:numPr>
                                      <w:ilvl w:val="1"/>
                                      <w:numId w:val="10"/>
                                    </w:numPr>
                                    <w:spacing w:before="20" w:after="20" w:line="276" w:lineRule="auto"/>
                                    <w:ind w:left="284" w:hanging="284"/>
                                    <w:jc w:val="center"/>
                                    <w:rPr>
                                      <w:sz w:val="16"/>
                                      <w:szCs w:val="16"/>
                                    </w:rPr>
                                  </w:pPr>
                                  <w:r>
                                    <w:rPr>
                                      <w:sz w:val="16"/>
                                      <w:szCs w:val="16"/>
                                    </w:rPr>
                                    <w:t>C</w:t>
                                  </w:r>
                                  <w:r w:rsidRPr="00A13F31">
                                    <w:rPr>
                                      <w:sz w:val="16"/>
                                      <w:szCs w:val="16"/>
                                    </w:rPr>
                                    <w:t>arryover</w:t>
                                  </w:r>
                                  <w:r>
                                    <w:rPr>
                                      <w:sz w:val="16"/>
                                      <w:szCs w:val="16"/>
                                    </w:rPr>
                                    <w:t xml:space="preserve"> a small proportion or no allocations</w:t>
                                  </w:r>
                                </w:p>
                                <w:p w14:paraId="6C65035E" w14:textId="77777777" w:rsidR="00262AAF" w:rsidRPr="00A13F31" w:rsidRDefault="00262AAF" w:rsidP="009F1837">
                                  <w:pPr>
                                    <w:pStyle w:val="ListBullet2"/>
                                    <w:numPr>
                                      <w:ilvl w:val="1"/>
                                      <w:numId w:val="10"/>
                                    </w:numPr>
                                    <w:spacing w:before="20" w:after="20" w:line="276" w:lineRule="auto"/>
                                    <w:ind w:left="284" w:hanging="284"/>
                                    <w:jc w:val="center"/>
                                    <w:rPr>
                                      <w:sz w:val="16"/>
                                      <w:szCs w:val="16"/>
                                    </w:rPr>
                                  </w:pPr>
                                  <w:r>
                                    <w:rPr>
                                      <w:sz w:val="16"/>
                                      <w:szCs w:val="16"/>
                                    </w:rPr>
                                    <w:t>Investigate opportunity to p</w:t>
                                  </w:r>
                                  <w:r w:rsidRPr="00A13F31">
                                    <w:rPr>
                                      <w:sz w:val="16"/>
                                      <w:szCs w:val="16"/>
                                    </w:rPr>
                                    <w:t xml:space="preserve">urchase </w:t>
                                  </w:r>
                                  <w:r>
                                    <w:rPr>
                                      <w:sz w:val="16"/>
                                      <w:szCs w:val="16"/>
                                    </w:rPr>
                                    <w:t xml:space="preserve">allocations by exception, </w:t>
                                  </w:r>
                                  <w:r w:rsidRPr="00A13F31">
                                    <w:rPr>
                                      <w:sz w:val="16"/>
                                      <w:szCs w:val="16"/>
                                    </w:rPr>
                                    <w:t xml:space="preserve">to assist in meeting urgent </w:t>
                                  </w:r>
                                  <w:r>
                                    <w:rPr>
                                      <w:sz w:val="16"/>
                                      <w:szCs w:val="16"/>
                                    </w:rPr>
                                    <w:t xml:space="preserve">and critical </w:t>
                                  </w:r>
                                  <w:r w:rsidRPr="00A13F31">
                                    <w:rPr>
                                      <w:sz w:val="16"/>
                                      <w:szCs w:val="16"/>
                                    </w:rPr>
                                    <w:t>demands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650332" id="Text Box 105" o:spid="_x0000_s1028" type="#_x0000_t202" style="position:absolute;left:0;text-align:left;margin-left:50.4pt;margin-top:27.05pt;width:229.05pt;height:104.75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" stroked="f">
                      <v:fill opacity="0"/>
                      <v:textbox style="mso-fit-shape-to-text:t">
                        <w:txbxContent>
                          <w:p w14:paraId="6C65035A" w14:textId="77777777" w:rsidR="00262AAF" w:rsidRPr="00BF26F8" w:rsidRDefault="00262AAF" w:rsidP="009F1837">
                            <w:pPr>
                              <w:spacing w:before="20" w:after="20" w:line="276" w:lineRule="auto"/>
                              <w:jc w:val="center"/>
                              <w:rPr>
                                <w:b/>
                                <w:sz w:val="16"/>
                                <w:szCs w:val="16"/>
                              </w:rPr>
                            </w:pPr>
                            <w:r w:rsidRPr="00CE75BA">
                              <w:rPr>
                                <w:b/>
                                <w:sz w:val="16"/>
                                <w:szCs w:val="16"/>
                              </w:rPr>
                              <w:t>Extended dry conditions</w:t>
                            </w:r>
                          </w:p>
                          <w:p w14:paraId="6C65035B"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 xml:space="preserve">Water availability may be insufficient to meet all environmental demands </w:t>
                            </w:r>
                          </w:p>
                          <w:p w14:paraId="6C65035C" w14:textId="77777777" w:rsidR="00262AAF" w:rsidRPr="00A13F31" w:rsidRDefault="00262AAF" w:rsidP="009F1837">
                            <w:pPr>
                              <w:pStyle w:val="ListBullet2"/>
                              <w:numPr>
                                <w:ilvl w:val="1"/>
                                <w:numId w:val="10"/>
                              </w:numPr>
                              <w:spacing w:before="20" w:after="20" w:line="276" w:lineRule="auto"/>
                              <w:ind w:left="284" w:hanging="284"/>
                              <w:jc w:val="center"/>
                              <w:rPr>
                                <w:sz w:val="16"/>
                                <w:szCs w:val="16"/>
                              </w:rPr>
                            </w:pPr>
                            <w:r w:rsidRPr="00A13F31">
                              <w:rPr>
                                <w:sz w:val="16"/>
                                <w:szCs w:val="16"/>
                              </w:rPr>
                              <w:t>Use</w:t>
                            </w:r>
                            <w:r>
                              <w:rPr>
                                <w:sz w:val="16"/>
                                <w:szCs w:val="16"/>
                              </w:rPr>
                              <w:t xml:space="preserve"> a high proportion of limited allocations in targeted manner (e.g. individual wetlands, base flows)</w:t>
                            </w:r>
                          </w:p>
                          <w:p w14:paraId="6C65035D" w14:textId="77777777" w:rsidR="00262AAF" w:rsidRPr="00A13F31" w:rsidRDefault="00262AAF" w:rsidP="009F1837">
                            <w:pPr>
                              <w:pStyle w:val="ListBullet2"/>
                              <w:numPr>
                                <w:ilvl w:val="1"/>
                                <w:numId w:val="10"/>
                              </w:numPr>
                              <w:spacing w:before="20" w:after="20" w:line="276" w:lineRule="auto"/>
                              <w:ind w:left="284" w:hanging="284"/>
                              <w:jc w:val="center"/>
                              <w:rPr>
                                <w:sz w:val="16"/>
                                <w:szCs w:val="16"/>
                              </w:rPr>
                            </w:pPr>
                            <w:r>
                              <w:rPr>
                                <w:sz w:val="16"/>
                                <w:szCs w:val="16"/>
                              </w:rPr>
                              <w:t>C</w:t>
                            </w:r>
                            <w:r w:rsidRPr="00A13F31">
                              <w:rPr>
                                <w:sz w:val="16"/>
                                <w:szCs w:val="16"/>
                              </w:rPr>
                              <w:t>arryover</w:t>
                            </w:r>
                            <w:r>
                              <w:rPr>
                                <w:sz w:val="16"/>
                                <w:szCs w:val="16"/>
                              </w:rPr>
                              <w:t xml:space="preserve"> a small proportion or no allocations</w:t>
                            </w:r>
                          </w:p>
                          <w:p w14:paraId="6C65035E" w14:textId="77777777" w:rsidR="00262AAF" w:rsidRPr="00A13F31" w:rsidRDefault="00262AAF" w:rsidP="009F1837">
                            <w:pPr>
                              <w:pStyle w:val="ListBullet2"/>
                              <w:numPr>
                                <w:ilvl w:val="1"/>
                                <w:numId w:val="10"/>
                              </w:numPr>
                              <w:spacing w:before="20" w:after="20" w:line="276" w:lineRule="auto"/>
                              <w:ind w:left="284" w:hanging="284"/>
                              <w:jc w:val="center"/>
                              <w:rPr>
                                <w:sz w:val="16"/>
                                <w:szCs w:val="16"/>
                              </w:rPr>
                            </w:pPr>
                            <w:r>
                              <w:rPr>
                                <w:sz w:val="16"/>
                                <w:szCs w:val="16"/>
                              </w:rPr>
                              <w:t>Investigate opportunity to p</w:t>
                            </w:r>
                            <w:r w:rsidRPr="00A13F31">
                              <w:rPr>
                                <w:sz w:val="16"/>
                                <w:szCs w:val="16"/>
                              </w:rPr>
                              <w:t xml:space="preserve">urchase </w:t>
                            </w:r>
                            <w:r>
                              <w:rPr>
                                <w:sz w:val="16"/>
                                <w:szCs w:val="16"/>
                              </w:rPr>
                              <w:t xml:space="preserve">allocations by exception, </w:t>
                            </w:r>
                            <w:r w:rsidRPr="00A13F31">
                              <w:rPr>
                                <w:sz w:val="16"/>
                                <w:szCs w:val="16"/>
                              </w:rPr>
                              <w:t xml:space="preserve">to assist in meeting urgent </w:t>
                            </w:r>
                            <w:r>
                              <w:rPr>
                                <w:sz w:val="16"/>
                                <w:szCs w:val="16"/>
                              </w:rPr>
                              <w:t xml:space="preserve">and critical </w:t>
                            </w:r>
                            <w:r w:rsidRPr="00A13F31">
                              <w:rPr>
                                <w:sz w:val="16"/>
                                <w:szCs w:val="16"/>
                              </w:rPr>
                              <w:t>demands</w:t>
                            </w:r>
                          </w:p>
                        </w:txbxContent>
                      </v:textbox>
                    </v:shape>
                  </w:pict>
                </mc:Fallback>
              </mc:AlternateContent>
            </w:r>
          </w:p>
        </w:tc>
        <w:tc>
          <w:tcPr>
            <w:tcW w:w="2863" w:type="dxa"/>
            <w:tcBorders>
              <w:top w:val="single" w:sz="4" w:space="0" w:color="auto"/>
            </w:tcBorders>
            <w:shd w:val="clear" w:color="auto" w:fill="E9C8C1"/>
          </w:tcPr>
          <w:p w14:paraId="6C650226" w14:textId="77777777" w:rsidR="007A7A94" w:rsidRDefault="007A7A94">
            <w:pPr>
              <w:pStyle w:val="ListBullet"/>
              <w:numPr>
                <w:ilvl w:val="0"/>
                <w:numId w:val="0"/>
              </w:numPr>
              <w:spacing w:after="120"/>
              <w:rPr>
                <w:sz w:val="16"/>
                <w:szCs w:val="16"/>
              </w:rPr>
            </w:pPr>
          </w:p>
        </w:tc>
        <w:tc>
          <w:tcPr>
            <w:tcW w:w="2865" w:type="dxa"/>
            <w:tcBorders>
              <w:top w:val="single" w:sz="4" w:space="0" w:color="auto"/>
            </w:tcBorders>
            <w:shd w:val="clear" w:color="auto" w:fill="FDE9D9" w:themeFill="accent6" w:themeFillTint="33"/>
          </w:tcPr>
          <w:p w14:paraId="6C650227" w14:textId="1A4D76F6" w:rsidR="007A7A94" w:rsidRDefault="004835D0">
            <w:pPr>
              <w:pStyle w:val="ListBullet"/>
              <w:numPr>
                <w:ilvl w:val="0"/>
                <w:numId w:val="0"/>
              </w:numPr>
              <w:spacing w:after="120"/>
              <w:rPr>
                <w:sz w:val="16"/>
                <w:szCs w:val="16"/>
              </w:rPr>
            </w:pPr>
            <w:r>
              <w:rPr>
                <w:noProof/>
                <w:sz w:val="16"/>
                <w:szCs w:val="16"/>
              </w:rPr>
              <mc:AlternateContent>
                <mc:Choice Requires="wps">
                  <w:drawing>
                    <wp:anchor distT="0" distB="0" distL="114300" distR="114300" simplePos="0" relativeHeight="251686400" behindDoc="0" locked="0" layoutInCell="1" allowOverlap="1" wp14:anchorId="6C650333" wp14:editId="34757D1C">
                      <wp:simplePos x="0" y="0"/>
                      <wp:positionH relativeFrom="column">
                        <wp:posOffset>171450</wp:posOffset>
                      </wp:positionH>
                      <wp:positionV relativeFrom="paragraph">
                        <wp:posOffset>310515</wp:posOffset>
                      </wp:positionV>
                      <wp:extent cx="2091055" cy="486410"/>
                      <wp:effectExtent l="7620" t="1270" r="6350" b="7620"/>
                      <wp:wrapNone/>
                      <wp:docPr id="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486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5035F" w14:textId="77777777" w:rsidR="00262AAF" w:rsidRDefault="00262AAF" w:rsidP="009F1837">
                                  <w:pPr>
                                    <w:pStyle w:val="ListBullet2"/>
                                    <w:numPr>
                                      <w:ilvl w:val="0"/>
                                      <w:numId w:val="0"/>
                                    </w:numPr>
                                    <w:spacing w:before="20" w:after="20" w:line="276" w:lineRule="auto"/>
                                    <w:rPr>
                                      <w:b/>
                                      <w:i/>
                                      <w:color w:val="984806" w:themeColor="accent6" w:themeShade="80"/>
                                    </w:rPr>
                                  </w:pPr>
                                  <w:r w:rsidRPr="005C0CB0">
                                    <w:rPr>
                                      <w:b/>
                                      <w:i/>
                                      <w:color w:val="984806" w:themeColor="accent6" w:themeShade="80"/>
                                    </w:rPr>
                                    <w:t xml:space="preserve">Purpose: Protect and ensure </w:t>
                                  </w:r>
                                </w:p>
                                <w:p w14:paraId="6C650360" w14:textId="77777777" w:rsidR="00262AAF" w:rsidRPr="005C0CB0" w:rsidRDefault="00262AAF" w:rsidP="009F1837">
                                  <w:pPr>
                                    <w:pStyle w:val="ListBullet2"/>
                                    <w:numPr>
                                      <w:ilvl w:val="0"/>
                                      <w:numId w:val="0"/>
                                    </w:numPr>
                                    <w:spacing w:before="20" w:after="20" w:line="276" w:lineRule="auto"/>
                                    <w:rPr>
                                      <w:b/>
                                      <w:i/>
                                      <w:color w:val="984806" w:themeColor="accent6" w:themeShade="80"/>
                                    </w:rPr>
                                  </w:pPr>
                                  <w:r w:rsidRPr="005C0CB0">
                                    <w:rPr>
                                      <w:b/>
                                      <w:i/>
                                      <w:color w:val="984806" w:themeColor="accent6" w:themeShade="80"/>
                                    </w:rPr>
                                    <w:t xml:space="preserve">capacity for recovery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650333" id="Text Box 106" o:spid="_x0000_s1029" type="#_x0000_t202" style="position:absolute;left:0;text-align:left;margin-left:13.5pt;margin-top:24.45pt;width:164.65pt;height:38.3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" stroked="f">
                      <v:fill opacity="0"/>
                      <v:textbox style="mso-fit-shape-to-text:t">
                        <w:txbxContent>
                          <w:p w14:paraId="6C65035F" w14:textId="77777777" w:rsidR="00262AAF" w:rsidRDefault="00262AAF" w:rsidP="009F1837">
                            <w:pPr>
                              <w:pStyle w:val="ListBullet2"/>
                              <w:numPr>
                                <w:ilvl w:val="0"/>
                                <w:numId w:val="0"/>
                              </w:numPr>
                              <w:spacing w:before="20" w:after="20" w:line="276" w:lineRule="auto"/>
                              <w:rPr>
                                <w:b/>
                                <w:i/>
                                <w:color w:val="984806" w:themeColor="accent6" w:themeShade="80"/>
                              </w:rPr>
                            </w:pPr>
                            <w:r w:rsidRPr="005C0CB0">
                              <w:rPr>
                                <w:b/>
                                <w:i/>
                                <w:color w:val="984806" w:themeColor="accent6" w:themeShade="80"/>
                              </w:rPr>
                              <w:t xml:space="preserve">Purpose: Protect and ensure </w:t>
                            </w:r>
                          </w:p>
                          <w:p w14:paraId="6C650360" w14:textId="77777777" w:rsidR="00262AAF" w:rsidRPr="005C0CB0" w:rsidRDefault="00262AAF" w:rsidP="009F1837">
                            <w:pPr>
                              <w:pStyle w:val="ListBullet2"/>
                              <w:numPr>
                                <w:ilvl w:val="0"/>
                                <w:numId w:val="0"/>
                              </w:numPr>
                              <w:spacing w:before="20" w:after="20" w:line="276" w:lineRule="auto"/>
                              <w:rPr>
                                <w:b/>
                                <w:i/>
                                <w:color w:val="984806" w:themeColor="accent6" w:themeShade="80"/>
                              </w:rPr>
                            </w:pPr>
                            <w:r w:rsidRPr="005C0CB0">
                              <w:rPr>
                                <w:b/>
                                <w:i/>
                                <w:color w:val="984806" w:themeColor="accent6" w:themeShade="80"/>
                              </w:rPr>
                              <w:t xml:space="preserve">capacity for recovery </w:t>
                            </w:r>
                          </w:p>
                        </w:txbxContent>
                      </v:textbox>
                    </v:shape>
                  </w:pict>
                </mc:Fallback>
              </mc:AlternateContent>
            </w:r>
          </w:p>
        </w:tc>
        <w:tc>
          <w:tcPr>
            <w:tcW w:w="2865" w:type="dxa"/>
            <w:tcBorders>
              <w:top w:val="single" w:sz="4" w:space="0" w:color="auto"/>
            </w:tcBorders>
            <w:shd w:val="clear" w:color="auto" w:fill="FDE9D9" w:themeFill="accent6" w:themeFillTint="33"/>
          </w:tcPr>
          <w:p w14:paraId="6C650228" w14:textId="695EB368" w:rsidR="007A7A94" w:rsidRDefault="004835D0">
            <w:pPr>
              <w:pStyle w:val="ListBullet"/>
              <w:numPr>
                <w:ilvl w:val="0"/>
                <w:numId w:val="0"/>
              </w:numPr>
              <w:spacing w:after="120"/>
              <w:rPr>
                <w:sz w:val="16"/>
                <w:szCs w:val="16"/>
              </w:rPr>
            </w:pPr>
            <w:r>
              <w:rPr>
                <w:noProof/>
                <w:sz w:val="16"/>
                <w:szCs w:val="16"/>
              </w:rPr>
              <mc:AlternateContent>
                <mc:Choice Requires="wps">
                  <w:drawing>
                    <wp:anchor distT="0" distB="0" distL="114300" distR="114300" simplePos="0" relativeHeight="251687424" behindDoc="0" locked="0" layoutInCell="1" allowOverlap="1" wp14:anchorId="6C650334" wp14:editId="04591A9D">
                      <wp:simplePos x="0" y="0"/>
                      <wp:positionH relativeFrom="column">
                        <wp:posOffset>59055</wp:posOffset>
                      </wp:positionH>
                      <wp:positionV relativeFrom="paragraph">
                        <wp:posOffset>541020</wp:posOffset>
                      </wp:positionV>
                      <wp:extent cx="3249930" cy="1618615"/>
                      <wp:effectExtent l="1905" t="5080" r="5715" b="5080"/>
                      <wp:wrapNone/>
                      <wp:docPr id="1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161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50361" w14:textId="77777777" w:rsidR="00262AAF" w:rsidRPr="00BF26F8" w:rsidRDefault="00262AAF" w:rsidP="009F1837">
                                  <w:pPr>
                                    <w:spacing w:before="20" w:after="20" w:line="276" w:lineRule="auto"/>
                                    <w:jc w:val="center"/>
                                    <w:rPr>
                                      <w:b/>
                                      <w:sz w:val="16"/>
                                      <w:szCs w:val="16"/>
                                    </w:rPr>
                                  </w:pPr>
                                  <w:r>
                                    <w:rPr>
                                      <w:b/>
                                      <w:sz w:val="16"/>
                                      <w:szCs w:val="16"/>
                                    </w:rPr>
                                    <w:t>Transitioning from wet period to dry</w:t>
                                  </w:r>
                                </w:p>
                                <w:p w14:paraId="6C650362"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Water availability typically sufficient to meet demands</w:t>
                                  </w:r>
                                </w:p>
                                <w:p w14:paraId="6C650363"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Allow drying to occur and u</w:t>
                                  </w:r>
                                  <w:r w:rsidRPr="002902E4">
                                    <w:rPr>
                                      <w:sz w:val="16"/>
                                      <w:szCs w:val="16"/>
                                    </w:rPr>
                                    <w:t xml:space="preserve">se a </w:t>
                                  </w:r>
                                  <w:r>
                                    <w:rPr>
                                      <w:sz w:val="16"/>
                                      <w:szCs w:val="16"/>
                                    </w:rPr>
                                    <w:t xml:space="preserve">low-moderate </w:t>
                                  </w:r>
                                  <w:r w:rsidRPr="002902E4">
                                    <w:rPr>
                                      <w:sz w:val="16"/>
                                      <w:szCs w:val="16"/>
                                    </w:rPr>
                                    <w:t xml:space="preserve">proportion </w:t>
                                  </w:r>
                                  <w:r>
                                    <w:rPr>
                                      <w:sz w:val="16"/>
                                      <w:szCs w:val="16"/>
                                    </w:rPr>
                                    <w:t>of available allocations as needed(e.g. for base flows)</w:t>
                                  </w:r>
                                </w:p>
                                <w:p w14:paraId="6C650364" w14:textId="77777777" w:rsidR="00262AAF" w:rsidRDefault="00262AAF" w:rsidP="009F1837">
                                  <w:pPr>
                                    <w:pStyle w:val="ListBullet2"/>
                                    <w:numPr>
                                      <w:ilvl w:val="1"/>
                                      <w:numId w:val="10"/>
                                    </w:numPr>
                                    <w:spacing w:before="20" w:after="20" w:line="276" w:lineRule="auto"/>
                                    <w:ind w:left="284" w:hanging="284"/>
                                    <w:jc w:val="center"/>
                                    <w:rPr>
                                      <w:sz w:val="16"/>
                                      <w:szCs w:val="16"/>
                                    </w:rPr>
                                  </w:pPr>
                                  <w:r w:rsidRPr="002902E4">
                                    <w:rPr>
                                      <w:sz w:val="16"/>
                                      <w:szCs w:val="16"/>
                                    </w:rPr>
                                    <w:t>Carryover a moderate proportion of allocations</w:t>
                                  </w:r>
                                  <w:r>
                                    <w:rPr>
                                      <w:sz w:val="16"/>
                                      <w:szCs w:val="16"/>
                                    </w:rPr>
                                    <w:t xml:space="preserve"> to meet minimum requirements in coming years</w:t>
                                  </w:r>
                                </w:p>
                                <w:p w14:paraId="6C650365"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An o</w:t>
                                  </w:r>
                                  <w:r w:rsidRPr="002902E4">
                                    <w:rPr>
                                      <w:sz w:val="16"/>
                                      <w:szCs w:val="16"/>
                                    </w:rPr>
                                    <w:t xml:space="preserve">pportunity for </w:t>
                                  </w:r>
                                  <w:r>
                                    <w:rPr>
                                      <w:sz w:val="16"/>
                                      <w:szCs w:val="16"/>
                                    </w:rPr>
                                    <w:t xml:space="preserve">sale of </w:t>
                                  </w:r>
                                  <w:r w:rsidRPr="002902E4">
                                    <w:rPr>
                                      <w:sz w:val="16"/>
                                      <w:szCs w:val="16"/>
                                    </w:rPr>
                                    <w:t>allocations</w:t>
                                  </w:r>
                                  <w:r>
                                    <w:rPr>
                                      <w:sz w:val="16"/>
                                      <w:szCs w:val="16"/>
                                    </w:rPr>
                                    <w:t>, subject to:</w:t>
                                  </w:r>
                                </w:p>
                                <w:p w14:paraId="6C650366" w14:textId="77777777" w:rsidR="00262AAF" w:rsidRPr="003601CE" w:rsidRDefault="00262AAF" w:rsidP="009F1837">
                                  <w:pPr>
                                    <w:pStyle w:val="ListNumber"/>
                                    <w:numPr>
                                      <w:ilvl w:val="0"/>
                                      <w:numId w:val="11"/>
                                    </w:numPr>
                                    <w:spacing w:after="0"/>
                                    <w:ind w:left="851" w:firstLine="142"/>
                                    <w:jc w:val="left"/>
                                    <w:rPr>
                                      <w:sz w:val="16"/>
                                      <w:szCs w:val="16"/>
                                    </w:rPr>
                                  </w:pPr>
                                  <w:r w:rsidRPr="003601CE">
                                    <w:rPr>
                                      <w:sz w:val="16"/>
                                      <w:szCs w:val="16"/>
                                    </w:rPr>
                                    <w:t>Environmental demands being met;</w:t>
                                  </w:r>
                                </w:p>
                                <w:p w14:paraId="6C650367" w14:textId="77777777" w:rsidR="00262AAF" w:rsidRPr="003601CE" w:rsidRDefault="00262AAF" w:rsidP="009F1837">
                                  <w:pPr>
                                    <w:pStyle w:val="ListNumber"/>
                                    <w:numPr>
                                      <w:ilvl w:val="0"/>
                                      <w:numId w:val="11"/>
                                    </w:numPr>
                                    <w:spacing w:after="0"/>
                                    <w:ind w:left="851" w:firstLine="142"/>
                                    <w:jc w:val="left"/>
                                    <w:rPr>
                                      <w:sz w:val="16"/>
                                      <w:szCs w:val="16"/>
                                    </w:rPr>
                                  </w:pPr>
                                  <w:r w:rsidRPr="003601CE">
                                    <w:rPr>
                                      <w:sz w:val="16"/>
                                      <w:szCs w:val="16"/>
                                    </w:rPr>
                                    <w:t>Sufficient carryover to meet future demands; and</w:t>
                                  </w:r>
                                </w:p>
                                <w:p w14:paraId="6C650368" w14:textId="77777777" w:rsidR="00262AAF" w:rsidRPr="003601CE" w:rsidRDefault="00262AAF" w:rsidP="009F1837">
                                  <w:pPr>
                                    <w:pStyle w:val="ListNumber"/>
                                    <w:numPr>
                                      <w:ilvl w:val="0"/>
                                      <w:numId w:val="11"/>
                                    </w:numPr>
                                    <w:spacing w:after="0"/>
                                    <w:ind w:left="851" w:firstLine="142"/>
                                    <w:jc w:val="left"/>
                                    <w:rPr>
                                      <w:sz w:val="16"/>
                                      <w:szCs w:val="16"/>
                                    </w:rPr>
                                  </w:pPr>
                                  <w:r w:rsidRPr="003601CE">
                                    <w:rPr>
                                      <w:sz w:val="16"/>
                                      <w:szCs w:val="16"/>
                                    </w:rPr>
                                    <w:t>Market conditions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650334" id="Text Box 107" o:spid="_x0000_s1030" type="#_x0000_t202" style="position:absolute;left:0;text-align:left;margin-left:4.65pt;margin-top:42.6pt;width:255.9pt;height:127.4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" stroked="f">
                      <v:fill opacity="0"/>
                      <v:textbox style="mso-fit-shape-to-text:t">
                        <w:txbxContent>
                          <w:p w14:paraId="6C650361" w14:textId="77777777" w:rsidR="00262AAF" w:rsidRPr="00BF26F8" w:rsidRDefault="00262AAF" w:rsidP="009F1837">
                            <w:pPr>
                              <w:spacing w:before="20" w:after="20" w:line="276" w:lineRule="auto"/>
                              <w:jc w:val="center"/>
                              <w:rPr>
                                <w:b/>
                                <w:sz w:val="16"/>
                                <w:szCs w:val="16"/>
                              </w:rPr>
                            </w:pPr>
                            <w:r>
                              <w:rPr>
                                <w:b/>
                                <w:sz w:val="16"/>
                                <w:szCs w:val="16"/>
                              </w:rPr>
                              <w:t>Transitioning from wet period to dry</w:t>
                            </w:r>
                          </w:p>
                          <w:p w14:paraId="6C650362"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Water availability typically sufficient to meet demands</w:t>
                            </w:r>
                          </w:p>
                          <w:p w14:paraId="6C650363"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Allow drying to occur and u</w:t>
                            </w:r>
                            <w:r w:rsidRPr="002902E4">
                              <w:rPr>
                                <w:sz w:val="16"/>
                                <w:szCs w:val="16"/>
                              </w:rPr>
                              <w:t xml:space="preserve">se a </w:t>
                            </w:r>
                            <w:r>
                              <w:rPr>
                                <w:sz w:val="16"/>
                                <w:szCs w:val="16"/>
                              </w:rPr>
                              <w:t xml:space="preserve">low-moderate </w:t>
                            </w:r>
                            <w:r w:rsidRPr="002902E4">
                              <w:rPr>
                                <w:sz w:val="16"/>
                                <w:szCs w:val="16"/>
                              </w:rPr>
                              <w:t xml:space="preserve">proportion </w:t>
                            </w:r>
                            <w:r>
                              <w:rPr>
                                <w:sz w:val="16"/>
                                <w:szCs w:val="16"/>
                              </w:rPr>
                              <w:t>of available allocations as needed(e.g. for base flows)</w:t>
                            </w:r>
                          </w:p>
                          <w:p w14:paraId="6C650364" w14:textId="77777777" w:rsidR="00262AAF" w:rsidRDefault="00262AAF" w:rsidP="009F1837">
                            <w:pPr>
                              <w:pStyle w:val="ListBullet2"/>
                              <w:numPr>
                                <w:ilvl w:val="1"/>
                                <w:numId w:val="10"/>
                              </w:numPr>
                              <w:spacing w:before="20" w:after="20" w:line="276" w:lineRule="auto"/>
                              <w:ind w:left="284" w:hanging="284"/>
                              <w:jc w:val="center"/>
                              <w:rPr>
                                <w:sz w:val="16"/>
                                <w:szCs w:val="16"/>
                              </w:rPr>
                            </w:pPr>
                            <w:r w:rsidRPr="002902E4">
                              <w:rPr>
                                <w:sz w:val="16"/>
                                <w:szCs w:val="16"/>
                              </w:rPr>
                              <w:t>Carryover a moderate proportion of allocations</w:t>
                            </w:r>
                            <w:r>
                              <w:rPr>
                                <w:sz w:val="16"/>
                                <w:szCs w:val="16"/>
                              </w:rPr>
                              <w:t xml:space="preserve"> to meet minimum requirements in coming years</w:t>
                            </w:r>
                          </w:p>
                          <w:p w14:paraId="6C650365"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An o</w:t>
                            </w:r>
                            <w:r w:rsidRPr="002902E4">
                              <w:rPr>
                                <w:sz w:val="16"/>
                                <w:szCs w:val="16"/>
                              </w:rPr>
                              <w:t xml:space="preserve">pportunity for </w:t>
                            </w:r>
                            <w:r>
                              <w:rPr>
                                <w:sz w:val="16"/>
                                <w:szCs w:val="16"/>
                              </w:rPr>
                              <w:t xml:space="preserve">sale of </w:t>
                            </w:r>
                            <w:r w:rsidRPr="002902E4">
                              <w:rPr>
                                <w:sz w:val="16"/>
                                <w:szCs w:val="16"/>
                              </w:rPr>
                              <w:t>allocations</w:t>
                            </w:r>
                            <w:r>
                              <w:rPr>
                                <w:sz w:val="16"/>
                                <w:szCs w:val="16"/>
                              </w:rPr>
                              <w:t>, subject to:</w:t>
                            </w:r>
                          </w:p>
                          <w:p w14:paraId="6C650366" w14:textId="77777777" w:rsidR="00262AAF" w:rsidRPr="003601CE" w:rsidRDefault="00262AAF" w:rsidP="009F1837">
                            <w:pPr>
                              <w:pStyle w:val="ListNumber"/>
                              <w:numPr>
                                <w:ilvl w:val="0"/>
                                <w:numId w:val="11"/>
                              </w:numPr>
                              <w:spacing w:after="0"/>
                              <w:ind w:left="851" w:firstLine="142"/>
                              <w:jc w:val="left"/>
                              <w:rPr>
                                <w:sz w:val="16"/>
                                <w:szCs w:val="16"/>
                              </w:rPr>
                            </w:pPr>
                            <w:r w:rsidRPr="003601CE">
                              <w:rPr>
                                <w:sz w:val="16"/>
                                <w:szCs w:val="16"/>
                              </w:rPr>
                              <w:t>Environmental demands being met;</w:t>
                            </w:r>
                          </w:p>
                          <w:p w14:paraId="6C650367" w14:textId="77777777" w:rsidR="00262AAF" w:rsidRPr="003601CE" w:rsidRDefault="00262AAF" w:rsidP="009F1837">
                            <w:pPr>
                              <w:pStyle w:val="ListNumber"/>
                              <w:numPr>
                                <w:ilvl w:val="0"/>
                                <w:numId w:val="11"/>
                              </w:numPr>
                              <w:spacing w:after="0"/>
                              <w:ind w:left="851" w:firstLine="142"/>
                              <w:jc w:val="left"/>
                              <w:rPr>
                                <w:sz w:val="16"/>
                                <w:szCs w:val="16"/>
                              </w:rPr>
                            </w:pPr>
                            <w:r w:rsidRPr="003601CE">
                              <w:rPr>
                                <w:sz w:val="16"/>
                                <w:szCs w:val="16"/>
                              </w:rPr>
                              <w:t>Sufficient carryover to meet future demands; and</w:t>
                            </w:r>
                          </w:p>
                          <w:p w14:paraId="6C650368" w14:textId="77777777" w:rsidR="00262AAF" w:rsidRPr="003601CE" w:rsidRDefault="00262AAF" w:rsidP="009F1837">
                            <w:pPr>
                              <w:pStyle w:val="ListNumber"/>
                              <w:numPr>
                                <w:ilvl w:val="0"/>
                                <w:numId w:val="11"/>
                              </w:numPr>
                              <w:spacing w:after="0"/>
                              <w:ind w:left="851" w:firstLine="142"/>
                              <w:jc w:val="left"/>
                              <w:rPr>
                                <w:sz w:val="16"/>
                                <w:szCs w:val="16"/>
                              </w:rPr>
                            </w:pPr>
                            <w:r w:rsidRPr="003601CE">
                              <w:rPr>
                                <w:sz w:val="16"/>
                                <w:szCs w:val="16"/>
                              </w:rPr>
                              <w:t>Market conditions</w:t>
                            </w:r>
                          </w:p>
                        </w:txbxContent>
                      </v:textbox>
                    </v:shape>
                  </w:pict>
                </mc:Fallback>
              </mc:AlternateContent>
            </w:r>
          </w:p>
        </w:tc>
        <w:tc>
          <w:tcPr>
            <w:tcW w:w="2863" w:type="dxa"/>
            <w:vMerge w:val="restart"/>
            <w:tcBorders>
              <w:top w:val="single" w:sz="4" w:space="0" w:color="auto"/>
              <w:bottom w:val="single" w:sz="4" w:space="0" w:color="auto"/>
              <w:right w:val="single" w:sz="4" w:space="0" w:color="auto"/>
            </w:tcBorders>
            <w:shd w:val="clear" w:color="auto" w:fill="CEE0D8"/>
          </w:tcPr>
          <w:p w14:paraId="6C650229" w14:textId="77777777" w:rsidR="007A7A94" w:rsidRDefault="007A7A94">
            <w:pPr>
              <w:pStyle w:val="ListBullet"/>
              <w:spacing w:after="120"/>
              <w:ind w:left="0"/>
              <w:jc w:val="left"/>
              <w:rPr>
                <w:sz w:val="16"/>
                <w:szCs w:val="16"/>
              </w:rPr>
            </w:pPr>
          </w:p>
          <w:p w14:paraId="6C65022A" w14:textId="77777777" w:rsidR="007A7A94" w:rsidRDefault="007A7A94">
            <w:pPr>
              <w:pStyle w:val="ListBullet"/>
              <w:spacing w:after="120"/>
              <w:ind w:left="0"/>
              <w:jc w:val="left"/>
              <w:rPr>
                <w:sz w:val="16"/>
                <w:szCs w:val="16"/>
              </w:rPr>
            </w:pPr>
          </w:p>
          <w:p w14:paraId="6C65022B" w14:textId="77777777" w:rsidR="007A7A94" w:rsidRDefault="007A7A94">
            <w:pPr>
              <w:pStyle w:val="ListBullet"/>
              <w:spacing w:after="120"/>
              <w:ind w:left="0"/>
              <w:jc w:val="left"/>
              <w:rPr>
                <w:sz w:val="16"/>
                <w:szCs w:val="16"/>
              </w:rPr>
            </w:pPr>
          </w:p>
          <w:p w14:paraId="6C65022C" w14:textId="77777777" w:rsidR="007A7A94" w:rsidRDefault="007A7A94">
            <w:pPr>
              <w:pStyle w:val="ListBullet"/>
              <w:spacing w:after="120"/>
              <w:ind w:left="0"/>
              <w:jc w:val="left"/>
              <w:rPr>
                <w:sz w:val="16"/>
                <w:szCs w:val="16"/>
              </w:rPr>
            </w:pPr>
          </w:p>
          <w:p w14:paraId="6C65022D" w14:textId="77777777" w:rsidR="007A7A94" w:rsidRDefault="007A7A94">
            <w:pPr>
              <w:pStyle w:val="ListBullet"/>
              <w:spacing w:after="120"/>
              <w:ind w:left="0"/>
              <w:jc w:val="left"/>
              <w:rPr>
                <w:sz w:val="16"/>
                <w:szCs w:val="16"/>
              </w:rPr>
            </w:pPr>
          </w:p>
        </w:tc>
      </w:tr>
      <w:tr w:rsidR="009F1837" w:rsidRPr="009F7A28" w14:paraId="6C65023B" w14:textId="77777777" w:rsidTr="009F1837">
        <w:trPr>
          <w:cnfStyle w:val="000000100000" w:firstRow="0" w:lastRow="0" w:firstColumn="0" w:lastColumn="0" w:oddVBand="0" w:evenVBand="0" w:oddHBand="1" w:evenHBand="0" w:firstRowFirstColumn="0" w:firstRowLastColumn="0" w:lastRowFirstColumn="0" w:lastRowLastColumn="0"/>
          <w:trHeight w:val="1501"/>
        </w:trPr>
        <w:tc>
          <w:tcPr>
            <w:tcW w:w="1430" w:type="dxa"/>
            <w:tcBorders>
              <w:left w:val="single" w:sz="4" w:space="0" w:color="auto"/>
              <w:right w:val="single" w:sz="4" w:space="0" w:color="auto"/>
            </w:tcBorders>
            <w:vAlign w:val="center"/>
          </w:tcPr>
          <w:p w14:paraId="6C65022F" w14:textId="77777777" w:rsidR="007A7A94" w:rsidRDefault="009F1837">
            <w:pPr>
              <w:pStyle w:val="ListBullet"/>
              <w:numPr>
                <w:ilvl w:val="0"/>
                <w:numId w:val="0"/>
              </w:numPr>
              <w:spacing w:after="120"/>
              <w:ind w:left="-108"/>
              <w:jc w:val="center"/>
              <w:rPr>
                <w:b/>
                <w:sz w:val="16"/>
                <w:szCs w:val="16"/>
              </w:rPr>
            </w:pPr>
            <w:r w:rsidRPr="009F7A28">
              <w:rPr>
                <w:b/>
                <w:sz w:val="16"/>
                <w:szCs w:val="16"/>
              </w:rPr>
              <w:t>Low</w:t>
            </w:r>
          </w:p>
          <w:p w14:paraId="6C650230" w14:textId="77777777" w:rsidR="007A7A94" w:rsidRDefault="007A7A94">
            <w:pPr>
              <w:pStyle w:val="ListBullet"/>
              <w:numPr>
                <w:ilvl w:val="0"/>
                <w:numId w:val="0"/>
              </w:numPr>
              <w:spacing w:after="120"/>
              <w:ind w:left="-108"/>
              <w:jc w:val="center"/>
              <w:rPr>
                <w:b/>
                <w:sz w:val="16"/>
                <w:szCs w:val="16"/>
              </w:rPr>
            </w:pPr>
          </w:p>
        </w:tc>
        <w:tc>
          <w:tcPr>
            <w:tcW w:w="2863" w:type="dxa"/>
            <w:vMerge/>
            <w:tcBorders>
              <w:left w:val="single" w:sz="4" w:space="0" w:color="auto"/>
            </w:tcBorders>
            <w:shd w:val="clear" w:color="auto" w:fill="F2DBDB" w:themeFill="accent2" w:themeFillTint="33"/>
          </w:tcPr>
          <w:p w14:paraId="6C650231" w14:textId="77777777" w:rsidR="007A7A94" w:rsidRDefault="007A7A94">
            <w:pPr>
              <w:pStyle w:val="ListBullet"/>
              <w:numPr>
                <w:ilvl w:val="0"/>
                <w:numId w:val="0"/>
              </w:numPr>
              <w:spacing w:after="120"/>
              <w:ind w:right="-86"/>
              <w:rPr>
                <w:sz w:val="16"/>
                <w:szCs w:val="16"/>
              </w:rPr>
            </w:pPr>
          </w:p>
        </w:tc>
        <w:tc>
          <w:tcPr>
            <w:tcW w:w="2863" w:type="dxa"/>
            <w:shd w:val="clear" w:color="auto" w:fill="FDE9D9" w:themeFill="accent6" w:themeFillTint="33"/>
          </w:tcPr>
          <w:p w14:paraId="6C650232" w14:textId="77777777" w:rsidR="007A7A94" w:rsidRDefault="009F1837">
            <w:pPr>
              <w:pStyle w:val="ListBullet"/>
              <w:numPr>
                <w:ilvl w:val="0"/>
                <w:numId w:val="0"/>
              </w:numPr>
              <w:spacing w:after="120"/>
              <w:rPr>
                <w:sz w:val="16"/>
                <w:szCs w:val="16"/>
              </w:rPr>
            </w:pPr>
            <w:r w:rsidRPr="009F7A28">
              <w:rPr>
                <w:sz w:val="16"/>
                <w:szCs w:val="16"/>
              </w:rPr>
              <w:t xml:space="preserve">             </w:t>
            </w:r>
          </w:p>
          <w:p w14:paraId="6C650233" w14:textId="5D370C05" w:rsidR="007A7A94" w:rsidRDefault="004835D0">
            <w:pPr>
              <w:pStyle w:val="ListBullet"/>
              <w:numPr>
                <w:ilvl w:val="0"/>
                <w:numId w:val="0"/>
              </w:numPr>
              <w:spacing w:after="120"/>
              <w:rPr>
                <w:sz w:val="16"/>
                <w:szCs w:val="16"/>
              </w:rPr>
            </w:pPr>
            <w:r>
              <w:rPr>
                <w:noProof/>
                <w:sz w:val="16"/>
                <w:szCs w:val="16"/>
              </w:rPr>
              <mc:AlternateContent>
                <mc:Choice Requires="wps">
                  <w:drawing>
                    <wp:anchor distT="0" distB="0" distL="114300" distR="114300" simplePos="0" relativeHeight="251688448" behindDoc="0" locked="0" layoutInCell="1" allowOverlap="1" wp14:anchorId="6C650335" wp14:editId="47D54EA6">
                      <wp:simplePos x="0" y="0"/>
                      <wp:positionH relativeFrom="column">
                        <wp:posOffset>1204595</wp:posOffset>
                      </wp:positionH>
                      <wp:positionV relativeFrom="paragraph">
                        <wp:posOffset>716915</wp:posOffset>
                      </wp:positionV>
                      <wp:extent cx="2904490" cy="1330325"/>
                      <wp:effectExtent l="8255" t="4445" r="1905" b="8255"/>
                      <wp:wrapNone/>
                      <wp:docPr id="1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330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50369" w14:textId="77777777" w:rsidR="00262AAF" w:rsidRPr="00BF26F8" w:rsidRDefault="00262AAF" w:rsidP="009F1837">
                                  <w:pPr>
                                    <w:spacing w:before="20" w:after="20" w:line="276" w:lineRule="auto"/>
                                    <w:jc w:val="center"/>
                                    <w:rPr>
                                      <w:b/>
                                      <w:sz w:val="16"/>
                                      <w:szCs w:val="16"/>
                                    </w:rPr>
                                  </w:pPr>
                                  <w:r w:rsidRPr="00CE75BA">
                                    <w:rPr>
                                      <w:b/>
                                      <w:sz w:val="16"/>
                                      <w:szCs w:val="16"/>
                                    </w:rPr>
                                    <w:t>Moderate or average conditions</w:t>
                                  </w:r>
                                </w:p>
                                <w:p w14:paraId="6C65036A"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Environmental demands and water availability broadly match</w:t>
                                  </w:r>
                                </w:p>
                                <w:p w14:paraId="6C65036B"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Use a moderate to high proportion of available allocations (e.g. for base flows through to limited overbank flows)</w:t>
                                  </w:r>
                                </w:p>
                                <w:p w14:paraId="6C65036C" w14:textId="77777777" w:rsidR="00262AAF" w:rsidRPr="00C36DCC" w:rsidRDefault="00262AAF" w:rsidP="009F1837">
                                  <w:pPr>
                                    <w:pStyle w:val="ListBullet2"/>
                                    <w:numPr>
                                      <w:ilvl w:val="1"/>
                                      <w:numId w:val="10"/>
                                    </w:numPr>
                                    <w:spacing w:before="20" w:after="20" w:line="276" w:lineRule="auto"/>
                                    <w:ind w:left="284" w:hanging="284"/>
                                    <w:jc w:val="center"/>
                                    <w:rPr>
                                      <w:sz w:val="16"/>
                                      <w:szCs w:val="16"/>
                                    </w:rPr>
                                  </w:pPr>
                                  <w:r>
                                    <w:rPr>
                                      <w:sz w:val="16"/>
                                      <w:szCs w:val="16"/>
                                    </w:rPr>
                                    <w:t>Carryover a low to moderate proportion of available allocations</w:t>
                                  </w:r>
                                </w:p>
                                <w:p w14:paraId="6C65036D" w14:textId="77777777" w:rsidR="00262AAF" w:rsidRPr="00C36DCC" w:rsidRDefault="00262AAF" w:rsidP="009F1837">
                                  <w:pPr>
                                    <w:pStyle w:val="ListBullet2"/>
                                    <w:numPr>
                                      <w:ilvl w:val="1"/>
                                      <w:numId w:val="10"/>
                                    </w:numPr>
                                    <w:spacing w:before="20" w:after="20" w:line="276" w:lineRule="auto"/>
                                    <w:ind w:left="284" w:hanging="284"/>
                                    <w:jc w:val="center"/>
                                    <w:rPr>
                                      <w:sz w:val="16"/>
                                      <w:szCs w:val="16"/>
                                    </w:rPr>
                                  </w:pPr>
                                  <w:r>
                                    <w:rPr>
                                      <w:sz w:val="16"/>
                                      <w:szCs w:val="16"/>
                                    </w:rPr>
                                    <w:t>Investigate opportunity for allocation sale or purchase, depending on needs and market conditions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650335" id="Text Box 108" o:spid="_x0000_s1031" type="#_x0000_t202" style="position:absolute;left:0;text-align:left;margin-left:94.85pt;margin-top:56.45pt;width:228.7pt;height:104.7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" stroked="f">
                      <v:fill opacity="0"/>
                      <v:textbox style="mso-fit-shape-to-text:t">
                        <w:txbxContent>
                          <w:p w14:paraId="6C650369" w14:textId="77777777" w:rsidR="00262AAF" w:rsidRPr="00BF26F8" w:rsidRDefault="00262AAF" w:rsidP="009F1837">
                            <w:pPr>
                              <w:spacing w:before="20" w:after="20" w:line="276" w:lineRule="auto"/>
                              <w:jc w:val="center"/>
                              <w:rPr>
                                <w:b/>
                                <w:sz w:val="16"/>
                                <w:szCs w:val="16"/>
                              </w:rPr>
                            </w:pPr>
                            <w:r w:rsidRPr="00CE75BA">
                              <w:rPr>
                                <w:b/>
                                <w:sz w:val="16"/>
                                <w:szCs w:val="16"/>
                              </w:rPr>
                              <w:t>Moderate or average conditions</w:t>
                            </w:r>
                          </w:p>
                          <w:p w14:paraId="6C65036A"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Environmental demands and water availability broadly match</w:t>
                            </w:r>
                          </w:p>
                          <w:p w14:paraId="6C65036B"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Use a moderate to high proportion of available allocations (e.g. for base flows through to limited overbank flows)</w:t>
                            </w:r>
                          </w:p>
                          <w:p w14:paraId="6C65036C" w14:textId="77777777" w:rsidR="00262AAF" w:rsidRPr="00C36DCC" w:rsidRDefault="00262AAF" w:rsidP="009F1837">
                            <w:pPr>
                              <w:pStyle w:val="ListBullet2"/>
                              <w:numPr>
                                <w:ilvl w:val="1"/>
                                <w:numId w:val="10"/>
                              </w:numPr>
                              <w:spacing w:before="20" w:after="20" w:line="276" w:lineRule="auto"/>
                              <w:ind w:left="284" w:hanging="284"/>
                              <w:jc w:val="center"/>
                              <w:rPr>
                                <w:sz w:val="16"/>
                                <w:szCs w:val="16"/>
                              </w:rPr>
                            </w:pPr>
                            <w:r>
                              <w:rPr>
                                <w:sz w:val="16"/>
                                <w:szCs w:val="16"/>
                              </w:rPr>
                              <w:t>Carryover a low to moderate proportion of available allocations</w:t>
                            </w:r>
                          </w:p>
                          <w:p w14:paraId="6C65036D" w14:textId="77777777" w:rsidR="00262AAF" w:rsidRPr="00C36DCC" w:rsidRDefault="00262AAF" w:rsidP="009F1837">
                            <w:pPr>
                              <w:pStyle w:val="ListBullet2"/>
                              <w:numPr>
                                <w:ilvl w:val="1"/>
                                <w:numId w:val="10"/>
                              </w:numPr>
                              <w:spacing w:before="20" w:after="20" w:line="276" w:lineRule="auto"/>
                              <w:ind w:left="284" w:hanging="284"/>
                              <w:jc w:val="center"/>
                              <w:rPr>
                                <w:sz w:val="16"/>
                                <w:szCs w:val="16"/>
                              </w:rPr>
                            </w:pPr>
                            <w:r>
                              <w:rPr>
                                <w:sz w:val="16"/>
                                <w:szCs w:val="16"/>
                              </w:rPr>
                              <w:t>Investigate opportunity for allocation sale or purchase, depending on needs and market conditions</w:t>
                            </w:r>
                          </w:p>
                        </w:txbxContent>
                      </v:textbox>
                    </v:shape>
                  </w:pict>
                </mc:Fallback>
              </mc:AlternateContent>
            </w:r>
            <w:r w:rsidR="009F1837" w:rsidRPr="009F7A28">
              <w:rPr>
                <w:sz w:val="16"/>
                <w:szCs w:val="16"/>
              </w:rPr>
              <w:t xml:space="preserve">               </w:t>
            </w:r>
          </w:p>
        </w:tc>
        <w:tc>
          <w:tcPr>
            <w:tcW w:w="2865" w:type="dxa"/>
            <w:shd w:val="clear" w:color="auto" w:fill="FDE9D9" w:themeFill="accent6" w:themeFillTint="33"/>
          </w:tcPr>
          <w:p w14:paraId="6C650234" w14:textId="77777777" w:rsidR="007A7A94" w:rsidRDefault="007A7A94">
            <w:pPr>
              <w:pStyle w:val="ListBullet"/>
              <w:numPr>
                <w:ilvl w:val="0"/>
                <w:numId w:val="0"/>
              </w:numPr>
              <w:spacing w:after="120"/>
              <w:rPr>
                <w:sz w:val="16"/>
                <w:szCs w:val="16"/>
              </w:rPr>
            </w:pPr>
          </w:p>
        </w:tc>
        <w:tc>
          <w:tcPr>
            <w:tcW w:w="2865" w:type="dxa"/>
            <w:vMerge w:val="restart"/>
            <w:shd w:val="clear" w:color="auto" w:fill="CEE0D8"/>
          </w:tcPr>
          <w:p w14:paraId="6C650235" w14:textId="77777777" w:rsidR="007A7A94" w:rsidRDefault="007A7A94">
            <w:pPr>
              <w:pStyle w:val="ListBullet"/>
              <w:numPr>
                <w:ilvl w:val="0"/>
                <w:numId w:val="0"/>
              </w:numPr>
              <w:spacing w:after="120"/>
              <w:rPr>
                <w:sz w:val="16"/>
                <w:szCs w:val="16"/>
              </w:rPr>
            </w:pPr>
          </w:p>
          <w:p w14:paraId="6C650236" w14:textId="77777777" w:rsidR="007A7A94" w:rsidRDefault="009F1837">
            <w:pPr>
              <w:pStyle w:val="ListBullet"/>
              <w:numPr>
                <w:ilvl w:val="0"/>
                <w:numId w:val="0"/>
              </w:numPr>
              <w:spacing w:after="120"/>
              <w:rPr>
                <w:sz w:val="16"/>
                <w:szCs w:val="16"/>
              </w:rPr>
            </w:pPr>
            <w:r w:rsidRPr="009F7A28">
              <w:rPr>
                <w:sz w:val="16"/>
                <w:szCs w:val="16"/>
              </w:rPr>
              <w:t xml:space="preserve"> </w:t>
            </w:r>
          </w:p>
          <w:p w14:paraId="6C650237" w14:textId="77777777" w:rsidR="007A7A94" w:rsidRDefault="007A7A94">
            <w:pPr>
              <w:pStyle w:val="ListBullet"/>
              <w:numPr>
                <w:ilvl w:val="0"/>
                <w:numId w:val="0"/>
              </w:numPr>
              <w:spacing w:after="120"/>
              <w:rPr>
                <w:sz w:val="16"/>
                <w:szCs w:val="16"/>
              </w:rPr>
            </w:pPr>
          </w:p>
          <w:p w14:paraId="6C650238" w14:textId="77777777" w:rsidR="007A7A94" w:rsidRDefault="009F1837">
            <w:pPr>
              <w:pStyle w:val="ListBullet"/>
              <w:numPr>
                <w:ilvl w:val="0"/>
                <w:numId w:val="0"/>
              </w:numPr>
              <w:spacing w:after="120"/>
              <w:rPr>
                <w:sz w:val="16"/>
                <w:szCs w:val="16"/>
              </w:rPr>
            </w:pPr>
            <w:r w:rsidRPr="009F7A28">
              <w:rPr>
                <w:sz w:val="16"/>
                <w:szCs w:val="16"/>
              </w:rPr>
              <w:t xml:space="preserve">                   </w:t>
            </w:r>
          </w:p>
          <w:p w14:paraId="6C650239" w14:textId="6CC7B820" w:rsidR="007A7A94" w:rsidRDefault="004835D0">
            <w:pPr>
              <w:pStyle w:val="ListBullet"/>
              <w:spacing w:after="120"/>
              <w:ind w:left="0"/>
              <w:jc w:val="left"/>
              <w:rPr>
                <w:sz w:val="16"/>
                <w:szCs w:val="16"/>
              </w:rPr>
            </w:pPr>
            <w:r>
              <w:rPr>
                <w:noProof/>
                <w:sz w:val="16"/>
                <w:szCs w:val="16"/>
              </w:rPr>
              <mc:AlternateContent>
                <mc:Choice Requires="wps">
                  <w:drawing>
                    <wp:anchor distT="0" distB="0" distL="114300" distR="114300" simplePos="0" relativeHeight="251689472" behindDoc="0" locked="0" layoutInCell="1" allowOverlap="1" wp14:anchorId="6C650336" wp14:editId="1DEB73D7">
                      <wp:simplePos x="0" y="0"/>
                      <wp:positionH relativeFrom="column">
                        <wp:posOffset>906145</wp:posOffset>
                      </wp:positionH>
                      <wp:positionV relativeFrom="paragraph">
                        <wp:posOffset>763905</wp:posOffset>
                      </wp:positionV>
                      <wp:extent cx="2220595" cy="486410"/>
                      <wp:effectExtent l="635" t="3810" r="7620" b="5080"/>
                      <wp:wrapNone/>
                      <wp:docPr id="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486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5036E" w14:textId="77777777" w:rsidR="00262AAF" w:rsidRPr="00AB4FAF" w:rsidRDefault="00262AAF" w:rsidP="009F1837">
                                  <w:pPr>
                                    <w:pStyle w:val="ListBullet2"/>
                                    <w:numPr>
                                      <w:ilvl w:val="0"/>
                                      <w:numId w:val="0"/>
                                    </w:numPr>
                                    <w:spacing w:before="20" w:after="20" w:line="276" w:lineRule="auto"/>
                                    <w:rPr>
                                      <w:b/>
                                      <w:i/>
                                      <w:color w:val="3A5C4C"/>
                                    </w:rPr>
                                  </w:pPr>
                                  <w:r w:rsidRPr="00AB4FAF">
                                    <w:rPr>
                                      <w:b/>
                                      <w:i/>
                                      <w:color w:val="3A5C4C"/>
                                    </w:rPr>
                                    <w:t xml:space="preserve">Purpose: Maintain ecological </w:t>
                                  </w:r>
                                </w:p>
                                <w:p w14:paraId="6C65036F" w14:textId="77777777" w:rsidR="00262AAF" w:rsidRPr="00AB4FAF" w:rsidRDefault="00262AAF" w:rsidP="009F1837">
                                  <w:pPr>
                                    <w:pStyle w:val="ListBullet2"/>
                                    <w:numPr>
                                      <w:ilvl w:val="0"/>
                                      <w:numId w:val="0"/>
                                    </w:numPr>
                                    <w:spacing w:before="20" w:after="20" w:line="276" w:lineRule="auto"/>
                                    <w:rPr>
                                      <w:b/>
                                      <w:i/>
                                      <w:color w:val="3A5C4C"/>
                                    </w:rPr>
                                  </w:pPr>
                                  <w:r w:rsidRPr="00AB4FAF">
                                    <w:rPr>
                                      <w:b/>
                                      <w:i/>
                                      <w:color w:val="3A5C4C"/>
                                    </w:rPr>
                                    <w:t>health and resilience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650336" id="Text Box 109" o:spid="_x0000_s1032" type="#_x0000_t202" style="position:absolute;left:0;text-align:left;margin-left:71.35pt;margin-top:60.15pt;width:174.85pt;height:38.3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" stroked="f">
                      <v:fill opacity="0"/>
                      <v:textbox style="mso-fit-shape-to-text:t">
                        <w:txbxContent>
                          <w:p w14:paraId="6C65036E" w14:textId="77777777" w:rsidR="00262AAF" w:rsidRPr="00AB4FAF" w:rsidRDefault="00262AAF" w:rsidP="009F1837">
                            <w:pPr>
                              <w:pStyle w:val="ListBullet2"/>
                              <w:numPr>
                                <w:ilvl w:val="0"/>
                                <w:numId w:val="0"/>
                              </w:numPr>
                              <w:spacing w:before="20" w:after="20" w:line="276" w:lineRule="auto"/>
                              <w:rPr>
                                <w:b/>
                                <w:i/>
                                <w:color w:val="3A5C4C"/>
                              </w:rPr>
                            </w:pPr>
                            <w:r w:rsidRPr="00AB4FAF">
                              <w:rPr>
                                <w:b/>
                                <w:i/>
                                <w:color w:val="3A5C4C"/>
                              </w:rPr>
                              <w:t xml:space="preserve">Purpose: Maintain ecological </w:t>
                            </w:r>
                          </w:p>
                          <w:p w14:paraId="6C65036F" w14:textId="77777777" w:rsidR="00262AAF" w:rsidRPr="00AB4FAF" w:rsidRDefault="00262AAF" w:rsidP="009F1837">
                            <w:pPr>
                              <w:pStyle w:val="ListBullet2"/>
                              <w:numPr>
                                <w:ilvl w:val="0"/>
                                <w:numId w:val="0"/>
                              </w:numPr>
                              <w:spacing w:before="20" w:after="20" w:line="276" w:lineRule="auto"/>
                              <w:rPr>
                                <w:b/>
                                <w:i/>
                                <w:color w:val="3A5C4C"/>
                              </w:rPr>
                            </w:pPr>
                            <w:r w:rsidRPr="00AB4FAF">
                              <w:rPr>
                                <w:b/>
                                <w:i/>
                                <w:color w:val="3A5C4C"/>
                              </w:rPr>
                              <w:t>health and resilience</w:t>
                            </w:r>
                          </w:p>
                        </w:txbxContent>
                      </v:textbox>
                    </v:shape>
                  </w:pict>
                </mc:Fallback>
              </mc:AlternateContent>
            </w:r>
            <w:r>
              <w:rPr>
                <w:noProof/>
                <w:sz w:val="16"/>
                <w:szCs w:val="16"/>
              </w:rPr>
              <mc:AlternateContent>
                <mc:Choice Requires="wps">
                  <w:drawing>
                    <wp:anchor distT="0" distB="0" distL="114300" distR="114300" simplePos="0" relativeHeight="251690496" behindDoc="0" locked="0" layoutInCell="1" allowOverlap="1" wp14:anchorId="6C650337" wp14:editId="164A2281">
                      <wp:simplePos x="0" y="0"/>
                      <wp:positionH relativeFrom="column">
                        <wp:posOffset>187960</wp:posOffset>
                      </wp:positionH>
                      <wp:positionV relativeFrom="paragraph">
                        <wp:posOffset>1452245</wp:posOffset>
                      </wp:positionV>
                      <wp:extent cx="2938780" cy="1343025"/>
                      <wp:effectExtent l="2540" t="8890" r="1905" b="635"/>
                      <wp:wrapNone/>
                      <wp:docPr id="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343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50370" w14:textId="77777777" w:rsidR="00262AAF" w:rsidRPr="00BF26F8" w:rsidRDefault="00262AAF" w:rsidP="009F1837">
                                  <w:pPr>
                                    <w:spacing w:before="20" w:after="20" w:line="276" w:lineRule="auto"/>
                                    <w:jc w:val="center"/>
                                    <w:rPr>
                                      <w:b/>
                                      <w:sz w:val="16"/>
                                      <w:szCs w:val="16"/>
                                    </w:rPr>
                                  </w:pPr>
                                  <w:r w:rsidRPr="00CE75BA">
                                    <w:rPr>
                                      <w:b/>
                                      <w:sz w:val="16"/>
                                      <w:szCs w:val="16"/>
                                    </w:rPr>
                                    <w:t>Extended wet conditions</w:t>
                                  </w:r>
                                </w:p>
                                <w:p w14:paraId="6C650371"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Water availability typically in excess of that required to meet demands</w:t>
                                  </w:r>
                                </w:p>
                                <w:p w14:paraId="6C650372" w14:textId="77777777" w:rsidR="00262AAF" w:rsidRDefault="00262AAF" w:rsidP="009F1837">
                                  <w:pPr>
                                    <w:pStyle w:val="ListBullet2"/>
                                    <w:numPr>
                                      <w:ilvl w:val="1"/>
                                      <w:numId w:val="10"/>
                                    </w:numPr>
                                    <w:spacing w:before="20" w:after="20" w:line="276" w:lineRule="auto"/>
                                    <w:ind w:left="284" w:hanging="284"/>
                                    <w:jc w:val="center"/>
                                    <w:rPr>
                                      <w:sz w:val="16"/>
                                      <w:szCs w:val="16"/>
                                    </w:rPr>
                                  </w:pPr>
                                  <w:r w:rsidRPr="002902E4">
                                    <w:rPr>
                                      <w:sz w:val="16"/>
                                      <w:szCs w:val="16"/>
                                    </w:rPr>
                                    <w:t xml:space="preserve">Use a limited proportion </w:t>
                                  </w:r>
                                  <w:r>
                                    <w:rPr>
                                      <w:sz w:val="16"/>
                                      <w:szCs w:val="16"/>
                                    </w:rPr>
                                    <w:t>of high allocations (e.g. base flows)</w:t>
                                  </w:r>
                                </w:p>
                                <w:p w14:paraId="6C650373" w14:textId="77777777" w:rsidR="00262AAF" w:rsidRDefault="00262AAF" w:rsidP="009F1837">
                                  <w:pPr>
                                    <w:pStyle w:val="ListBullet2"/>
                                    <w:numPr>
                                      <w:ilvl w:val="1"/>
                                      <w:numId w:val="10"/>
                                    </w:numPr>
                                    <w:spacing w:before="20" w:after="20" w:line="276" w:lineRule="auto"/>
                                    <w:ind w:left="284" w:hanging="284"/>
                                    <w:jc w:val="center"/>
                                    <w:rPr>
                                      <w:sz w:val="16"/>
                                      <w:szCs w:val="16"/>
                                    </w:rPr>
                                  </w:pPr>
                                  <w:r w:rsidRPr="002902E4">
                                    <w:rPr>
                                      <w:sz w:val="16"/>
                                      <w:szCs w:val="16"/>
                                    </w:rPr>
                                    <w:t>Carryover a high proportion of</w:t>
                                  </w:r>
                                  <w:r>
                                    <w:rPr>
                                      <w:sz w:val="16"/>
                                      <w:szCs w:val="16"/>
                                    </w:rPr>
                                    <w:t xml:space="preserve"> available</w:t>
                                  </w:r>
                                  <w:r w:rsidRPr="002902E4">
                                    <w:rPr>
                                      <w:sz w:val="16"/>
                                      <w:szCs w:val="16"/>
                                    </w:rPr>
                                    <w:t xml:space="preserve"> allocations</w:t>
                                  </w:r>
                                </w:p>
                                <w:p w14:paraId="6C650374" w14:textId="77777777" w:rsidR="00262AAF" w:rsidRPr="00C36DCC" w:rsidRDefault="00262AAF" w:rsidP="009F1837">
                                  <w:pPr>
                                    <w:pStyle w:val="ListBullet2"/>
                                    <w:numPr>
                                      <w:ilvl w:val="1"/>
                                      <w:numId w:val="10"/>
                                    </w:numPr>
                                    <w:spacing w:before="20" w:after="20" w:line="276" w:lineRule="auto"/>
                                    <w:ind w:left="284" w:hanging="284"/>
                                    <w:jc w:val="center"/>
                                    <w:rPr>
                                      <w:sz w:val="16"/>
                                      <w:szCs w:val="16"/>
                                    </w:rPr>
                                  </w:pPr>
                                  <w:r>
                                    <w:rPr>
                                      <w:sz w:val="16"/>
                                      <w:szCs w:val="16"/>
                                    </w:rPr>
                                    <w:t>Investigate opportunity for allocation sale, market likely to be limited</w:t>
                                  </w:r>
                                </w:p>
                                <w:p w14:paraId="6C650375" w14:textId="77777777" w:rsidR="00262AAF" w:rsidRPr="002902E4" w:rsidRDefault="00262AAF" w:rsidP="009F1837">
                                  <w:pPr>
                                    <w:pStyle w:val="ListBullet2"/>
                                    <w:numPr>
                                      <w:ilvl w:val="0"/>
                                      <w:numId w:val="0"/>
                                    </w:numPr>
                                    <w:spacing w:before="20" w:after="20" w:line="276" w:lineRule="auto"/>
                                    <w:jc w:val="center"/>
                                    <w:rPr>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650337" id="Text Box 110" o:spid="_x0000_s1033" type="#_x0000_t202" style="position:absolute;left:0;text-align:left;margin-left:14.8pt;margin-top:114.35pt;width:231.4pt;height:105.7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" stroked="f">
                      <v:fill opacity="0"/>
                      <v:textbox style="mso-fit-shape-to-text:t">
                        <w:txbxContent>
                          <w:p w14:paraId="6C650370" w14:textId="77777777" w:rsidR="00262AAF" w:rsidRPr="00BF26F8" w:rsidRDefault="00262AAF" w:rsidP="009F1837">
                            <w:pPr>
                              <w:spacing w:before="20" w:after="20" w:line="276" w:lineRule="auto"/>
                              <w:jc w:val="center"/>
                              <w:rPr>
                                <w:b/>
                                <w:sz w:val="16"/>
                                <w:szCs w:val="16"/>
                              </w:rPr>
                            </w:pPr>
                            <w:r w:rsidRPr="00CE75BA">
                              <w:rPr>
                                <w:b/>
                                <w:sz w:val="16"/>
                                <w:szCs w:val="16"/>
                              </w:rPr>
                              <w:t>Extended wet conditions</w:t>
                            </w:r>
                          </w:p>
                          <w:p w14:paraId="6C650371"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Water availability typically in excess of that required to meet demands</w:t>
                            </w:r>
                          </w:p>
                          <w:p w14:paraId="6C650372" w14:textId="77777777" w:rsidR="00262AAF" w:rsidRDefault="00262AAF" w:rsidP="009F1837">
                            <w:pPr>
                              <w:pStyle w:val="ListBullet2"/>
                              <w:numPr>
                                <w:ilvl w:val="1"/>
                                <w:numId w:val="10"/>
                              </w:numPr>
                              <w:spacing w:before="20" w:after="20" w:line="276" w:lineRule="auto"/>
                              <w:ind w:left="284" w:hanging="284"/>
                              <w:jc w:val="center"/>
                              <w:rPr>
                                <w:sz w:val="16"/>
                                <w:szCs w:val="16"/>
                              </w:rPr>
                            </w:pPr>
                            <w:r w:rsidRPr="002902E4">
                              <w:rPr>
                                <w:sz w:val="16"/>
                                <w:szCs w:val="16"/>
                              </w:rPr>
                              <w:t xml:space="preserve">Use a limited proportion </w:t>
                            </w:r>
                            <w:r>
                              <w:rPr>
                                <w:sz w:val="16"/>
                                <w:szCs w:val="16"/>
                              </w:rPr>
                              <w:t>of high allocations (e.g. base flows)</w:t>
                            </w:r>
                          </w:p>
                          <w:p w14:paraId="6C650373" w14:textId="77777777" w:rsidR="00262AAF" w:rsidRDefault="00262AAF" w:rsidP="009F1837">
                            <w:pPr>
                              <w:pStyle w:val="ListBullet2"/>
                              <w:numPr>
                                <w:ilvl w:val="1"/>
                                <w:numId w:val="10"/>
                              </w:numPr>
                              <w:spacing w:before="20" w:after="20" w:line="276" w:lineRule="auto"/>
                              <w:ind w:left="284" w:hanging="284"/>
                              <w:jc w:val="center"/>
                              <w:rPr>
                                <w:sz w:val="16"/>
                                <w:szCs w:val="16"/>
                              </w:rPr>
                            </w:pPr>
                            <w:r w:rsidRPr="002902E4">
                              <w:rPr>
                                <w:sz w:val="16"/>
                                <w:szCs w:val="16"/>
                              </w:rPr>
                              <w:t>Carryover a high proportion of</w:t>
                            </w:r>
                            <w:r>
                              <w:rPr>
                                <w:sz w:val="16"/>
                                <w:szCs w:val="16"/>
                              </w:rPr>
                              <w:t xml:space="preserve"> available</w:t>
                            </w:r>
                            <w:r w:rsidRPr="002902E4">
                              <w:rPr>
                                <w:sz w:val="16"/>
                                <w:szCs w:val="16"/>
                              </w:rPr>
                              <w:t xml:space="preserve"> allocations</w:t>
                            </w:r>
                          </w:p>
                          <w:p w14:paraId="6C650374" w14:textId="77777777" w:rsidR="00262AAF" w:rsidRPr="00C36DCC" w:rsidRDefault="00262AAF" w:rsidP="009F1837">
                            <w:pPr>
                              <w:pStyle w:val="ListBullet2"/>
                              <w:numPr>
                                <w:ilvl w:val="1"/>
                                <w:numId w:val="10"/>
                              </w:numPr>
                              <w:spacing w:before="20" w:after="20" w:line="276" w:lineRule="auto"/>
                              <w:ind w:left="284" w:hanging="284"/>
                              <w:jc w:val="center"/>
                              <w:rPr>
                                <w:sz w:val="16"/>
                                <w:szCs w:val="16"/>
                              </w:rPr>
                            </w:pPr>
                            <w:r>
                              <w:rPr>
                                <w:sz w:val="16"/>
                                <w:szCs w:val="16"/>
                              </w:rPr>
                              <w:t>Investigate opportunity for allocation sale, market likely to be limited</w:t>
                            </w:r>
                          </w:p>
                          <w:p w14:paraId="6C650375" w14:textId="77777777" w:rsidR="00262AAF" w:rsidRPr="002902E4" w:rsidRDefault="00262AAF" w:rsidP="009F1837">
                            <w:pPr>
                              <w:pStyle w:val="ListBullet2"/>
                              <w:numPr>
                                <w:ilvl w:val="0"/>
                                <w:numId w:val="0"/>
                              </w:numPr>
                              <w:spacing w:before="20" w:after="20" w:line="276" w:lineRule="auto"/>
                              <w:jc w:val="center"/>
                              <w:rPr>
                                <w:sz w:val="16"/>
                                <w:szCs w:val="16"/>
                              </w:rPr>
                            </w:pPr>
                          </w:p>
                        </w:txbxContent>
                      </v:textbox>
                    </v:shape>
                  </w:pict>
                </mc:Fallback>
              </mc:AlternateContent>
            </w:r>
          </w:p>
        </w:tc>
        <w:tc>
          <w:tcPr>
            <w:tcW w:w="2863" w:type="dxa"/>
            <w:vMerge/>
            <w:tcBorders>
              <w:bottom w:val="single" w:sz="4" w:space="0" w:color="auto"/>
              <w:right w:val="single" w:sz="4" w:space="0" w:color="auto"/>
            </w:tcBorders>
            <w:shd w:val="clear" w:color="auto" w:fill="CEE0D8"/>
          </w:tcPr>
          <w:p w14:paraId="6C65023A" w14:textId="77777777" w:rsidR="007A7A94" w:rsidRDefault="007A7A94">
            <w:pPr>
              <w:pStyle w:val="ListBullet"/>
              <w:spacing w:after="120"/>
              <w:ind w:left="0"/>
              <w:jc w:val="left"/>
              <w:rPr>
                <w:sz w:val="16"/>
                <w:szCs w:val="16"/>
              </w:rPr>
            </w:pPr>
          </w:p>
        </w:tc>
      </w:tr>
      <w:tr w:rsidR="009F1837" w:rsidRPr="009F7A28" w14:paraId="6C650243" w14:textId="77777777" w:rsidTr="009F1837">
        <w:trPr>
          <w:cnfStyle w:val="000000010000" w:firstRow="0" w:lastRow="0" w:firstColumn="0" w:lastColumn="0" w:oddVBand="0" w:evenVBand="0" w:oddHBand="0" w:evenHBand="1" w:firstRowFirstColumn="0" w:firstRowLastColumn="0" w:lastRowFirstColumn="0" w:lastRowLastColumn="0"/>
          <w:trHeight w:val="1868"/>
        </w:trPr>
        <w:tc>
          <w:tcPr>
            <w:tcW w:w="1430" w:type="dxa"/>
            <w:tcBorders>
              <w:left w:val="single" w:sz="4" w:space="0" w:color="auto"/>
              <w:right w:val="single" w:sz="4" w:space="0" w:color="auto"/>
            </w:tcBorders>
            <w:vAlign w:val="center"/>
          </w:tcPr>
          <w:p w14:paraId="6C65023C" w14:textId="77777777" w:rsidR="007A7A94" w:rsidRDefault="009F1837">
            <w:pPr>
              <w:pStyle w:val="ListBullet"/>
              <w:numPr>
                <w:ilvl w:val="0"/>
                <w:numId w:val="0"/>
              </w:numPr>
              <w:spacing w:after="120"/>
              <w:ind w:left="-108"/>
              <w:jc w:val="center"/>
              <w:rPr>
                <w:b/>
                <w:sz w:val="16"/>
                <w:szCs w:val="16"/>
              </w:rPr>
            </w:pPr>
            <w:r w:rsidRPr="009F7A28">
              <w:rPr>
                <w:b/>
                <w:sz w:val="16"/>
                <w:szCs w:val="16"/>
              </w:rPr>
              <w:t>Moderate</w:t>
            </w:r>
          </w:p>
          <w:p w14:paraId="6C65023D" w14:textId="77777777" w:rsidR="007A7A94" w:rsidRDefault="007A7A94">
            <w:pPr>
              <w:pStyle w:val="ListBullet"/>
              <w:numPr>
                <w:ilvl w:val="0"/>
                <w:numId w:val="0"/>
              </w:numPr>
              <w:spacing w:after="120"/>
              <w:ind w:left="-108"/>
              <w:jc w:val="center"/>
              <w:rPr>
                <w:b/>
                <w:sz w:val="16"/>
                <w:szCs w:val="16"/>
              </w:rPr>
            </w:pPr>
          </w:p>
        </w:tc>
        <w:tc>
          <w:tcPr>
            <w:tcW w:w="2863" w:type="dxa"/>
            <w:tcBorders>
              <w:left w:val="single" w:sz="4" w:space="0" w:color="auto"/>
            </w:tcBorders>
            <w:shd w:val="clear" w:color="auto" w:fill="FDE9D9" w:themeFill="accent6" w:themeFillTint="33"/>
          </w:tcPr>
          <w:p w14:paraId="6C65023E" w14:textId="77777777" w:rsidR="007A7A94" w:rsidRDefault="007A7A94">
            <w:pPr>
              <w:pStyle w:val="ListBullet"/>
              <w:numPr>
                <w:ilvl w:val="0"/>
                <w:numId w:val="0"/>
              </w:numPr>
              <w:spacing w:after="120"/>
              <w:ind w:right="-86"/>
              <w:rPr>
                <w:sz w:val="16"/>
                <w:szCs w:val="16"/>
              </w:rPr>
            </w:pPr>
          </w:p>
        </w:tc>
        <w:tc>
          <w:tcPr>
            <w:tcW w:w="2863" w:type="dxa"/>
            <w:shd w:val="clear" w:color="auto" w:fill="FDE9D9" w:themeFill="accent6" w:themeFillTint="33"/>
          </w:tcPr>
          <w:p w14:paraId="6C65023F" w14:textId="77777777" w:rsidR="007A7A94" w:rsidRDefault="007A7A94">
            <w:pPr>
              <w:pStyle w:val="ListBullet"/>
              <w:numPr>
                <w:ilvl w:val="0"/>
                <w:numId w:val="0"/>
              </w:numPr>
              <w:spacing w:after="120"/>
              <w:ind w:right="-86"/>
              <w:rPr>
                <w:sz w:val="16"/>
                <w:szCs w:val="16"/>
              </w:rPr>
            </w:pPr>
          </w:p>
        </w:tc>
        <w:tc>
          <w:tcPr>
            <w:tcW w:w="2865" w:type="dxa"/>
            <w:shd w:val="clear" w:color="auto" w:fill="CEE0D8"/>
          </w:tcPr>
          <w:p w14:paraId="6C650240" w14:textId="77777777" w:rsidR="007A7A94" w:rsidRDefault="007A7A94">
            <w:pPr>
              <w:pStyle w:val="ListBullet"/>
              <w:numPr>
                <w:ilvl w:val="0"/>
                <w:numId w:val="0"/>
              </w:numPr>
              <w:spacing w:after="120"/>
              <w:rPr>
                <w:sz w:val="16"/>
                <w:szCs w:val="16"/>
              </w:rPr>
            </w:pPr>
          </w:p>
        </w:tc>
        <w:tc>
          <w:tcPr>
            <w:tcW w:w="2865" w:type="dxa"/>
            <w:vMerge/>
            <w:shd w:val="clear" w:color="auto" w:fill="CEE0D8"/>
          </w:tcPr>
          <w:p w14:paraId="6C650241" w14:textId="77777777" w:rsidR="007A7A94" w:rsidRDefault="007A7A94">
            <w:pPr>
              <w:pStyle w:val="ListBullet"/>
              <w:spacing w:after="120"/>
              <w:ind w:left="0"/>
              <w:jc w:val="left"/>
              <w:rPr>
                <w:sz w:val="16"/>
                <w:szCs w:val="16"/>
              </w:rPr>
            </w:pPr>
          </w:p>
        </w:tc>
        <w:tc>
          <w:tcPr>
            <w:tcW w:w="2863" w:type="dxa"/>
            <w:vMerge/>
            <w:tcBorders>
              <w:bottom w:val="single" w:sz="4" w:space="0" w:color="auto"/>
              <w:right w:val="single" w:sz="4" w:space="0" w:color="auto"/>
            </w:tcBorders>
            <w:shd w:val="clear" w:color="auto" w:fill="CEE0D8"/>
          </w:tcPr>
          <w:p w14:paraId="6C650242" w14:textId="77777777" w:rsidR="007A7A94" w:rsidRDefault="007A7A94">
            <w:pPr>
              <w:pStyle w:val="ListBullet"/>
              <w:spacing w:after="120"/>
              <w:ind w:left="0"/>
              <w:jc w:val="left"/>
              <w:rPr>
                <w:sz w:val="16"/>
                <w:szCs w:val="16"/>
              </w:rPr>
            </w:pPr>
          </w:p>
        </w:tc>
      </w:tr>
      <w:tr w:rsidR="009F1837" w:rsidRPr="009F7A28" w14:paraId="6C65024A" w14:textId="77777777" w:rsidTr="009F1837">
        <w:trPr>
          <w:cnfStyle w:val="000000100000" w:firstRow="0" w:lastRow="0" w:firstColumn="0" w:lastColumn="0" w:oddVBand="0" w:evenVBand="0" w:oddHBand="1" w:evenHBand="0" w:firstRowFirstColumn="0" w:firstRowLastColumn="0" w:lastRowFirstColumn="0" w:lastRowLastColumn="0"/>
          <w:trHeight w:val="1689"/>
        </w:trPr>
        <w:tc>
          <w:tcPr>
            <w:tcW w:w="1430" w:type="dxa"/>
            <w:tcBorders>
              <w:left w:val="single" w:sz="4" w:space="0" w:color="auto"/>
              <w:right w:val="single" w:sz="4" w:space="0" w:color="auto"/>
            </w:tcBorders>
            <w:vAlign w:val="center"/>
          </w:tcPr>
          <w:p w14:paraId="6C650244" w14:textId="77777777" w:rsidR="007A7A94" w:rsidRDefault="009F1837">
            <w:pPr>
              <w:pStyle w:val="ListBullet"/>
              <w:numPr>
                <w:ilvl w:val="0"/>
                <w:numId w:val="0"/>
              </w:numPr>
              <w:spacing w:after="120"/>
              <w:ind w:left="-108"/>
              <w:jc w:val="center"/>
              <w:rPr>
                <w:b/>
                <w:sz w:val="16"/>
                <w:szCs w:val="16"/>
              </w:rPr>
            </w:pPr>
            <w:r w:rsidRPr="009F7A28">
              <w:rPr>
                <w:b/>
                <w:sz w:val="16"/>
                <w:szCs w:val="16"/>
              </w:rPr>
              <w:t>High</w:t>
            </w:r>
          </w:p>
          <w:p w14:paraId="6C650245" w14:textId="77777777" w:rsidR="007A7A94" w:rsidRDefault="007A7A94">
            <w:pPr>
              <w:pStyle w:val="ListBullet"/>
              <w:numPr>
                <w:ilvl w:val="0"/>
                <w:numId w:val="0"/>
              </w:numPr>
              <w:spacing w:after="120"/>
              <w:ind w:left="-108"/>
              <w:jc w:val="center"/>
              <w:rPr>
                <w:b/>
                <w:sz w:val="16"/>
                <w:szCs w:val="16"/>
              </w:rPr>
            </w:pPr>
          </w:p>
        </w:tc>
        <w:tc>
          <w:tcPr>
            <w:tcW w:w="8591" w:type="dxa"/>
            <w:gridSpan w:val="3"/>
            <w:tcBorders>
              <w:left w:val="single" w:sz="4" w:space="0" w:color="auto"/>
            </w:tcBorders>
            <w:shd w:val="clear" w:color="auto" w:fill="CFD6E7"/>
          </w:tcPr>
          <w:p w14:paraId="6C650246" w14:textId="38AD13BB" w:rsidR="007A7A94" w:rsidRDefault="004835D0">
            <w:pPr>
              <w:pStyle w:val="ListBullet"/>
              <w:numPr>
                <w:ilvl w:val="0"/>
                <w:numId w:val="0"/>
              </w:numPr>
              <w:spacing w:after="120"/>
              <w:ind w:right="-86"/>
              <w:rPr>
                <w:sz w:val="16"/>
                <w:szCs w:val="16"/>
              </w:rPr>
            </w:pPr>
            <w:r>
              <w:rPr>
                <w:noProof/>
                <w:sz w:val="16"/>
                <w:szCs w:val="16"/>
              </w:rPr>
              <mc:AlternateContent>
                <mc:Choice Requires="wps">
                  <w:drawing>
                    <wp:anchor distT="0" distB="0" distL="114300" distR="114300" simplePos="0" relativeHeight="251691520" behindDoc="0" locked="0" layoutInCell="1" allowOverlap="1" wp14:anchorId="6C650338" wp14:editId="2DC6A4CD">
                      <wp:simplePos x="0" y="0"/>
                      <wp:positionH relativeFrom="column">
                        <wp:posOffset>525780</wp:posOffset>
                      </wp:positionH>
                      <wp:positionV relativeFrom="paragraph">
                        <wp:posOffset>132715</wp:posOffset>
                      </wp:positionV>
                      <wp:extent cx="3184525" cy="1187450"/>
                      <wp:effectExtent l="4445" t="6985" r="1905" b="5715"/>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1187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50376" w14:textId="77777777" w:rsidR="00262AAF" w:rsidRPr="00BF26F8" w:rsidRDefault="00262AAF" w:rsidP="009F1837">
                                  <w:pPr>
                                    <w:spacing w:before="20" w:after="20" w:line="276" w:lineRule="auto"/>
                                    <w:jc w:val="center"/>
                                    <w:rPr>
                                      <w:b/>
                                      <w:sz w:val="16"/>
                                      <w:szCs w:val="16"/>
                                    </w:rPr>
                                  </w:pPr>
                                  <w:r>
                                    <w:rPr>
                                      <w:b/>
                                      <w:sz w:val="16"/>
                                      <w:szCs w:val="16"/>
                                    </w:rPr>
                                    <w:t>Wet period following dry period</w:t>
                                  </w:r>
                                </w:p>
                                <w:p w14:paraId="6C650377"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Water availability typically sufficient to meet demands</w:t>
                                  </w:r>
                                </w:p>
                                <w:p w14:paraId="6C650378"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U</w:t>
                                  </w:r>
                                  <w:r w:rsidRPr="00C36DCC">
                                    <w:rPr>
                                      <w:sz w:val="16"/>
                                      <w:szCs w:val="16"/>
                                    </w:rPr>
                                    <w:t>se a</w:t>
                                  </w:r>
                                  <w:r>
                                    <w:rPr>
                                      <w:sz w:val="16"/>
                                      <w:szCs w:val="16"/>
                                    </w:rPr>
                                    <w:t xml:space="preserve"> moderate proportion of available allocations for a range of flow types, focused on connected and multiple-site watering events</w:t>
                                  </w:r>
                                </w:p>
                                <w:p w14:paraId="6C650379" w14:textId="77777777" w:rsidR="00262AAF" w:rsidRPr="00C36DCC" w:rsidRDefault="00262AAF" w:rsidP="009F1837">
                                  <w:pPr>
                                    <w:pStyle w:val="ListBullet2"/>
                                    <w:numPr>
                                      <w:ilvl w:val="1"/>
                                      <w:numId w:val="10"/>
                                    </w:numPr>
                                    <w:spacing w:before="20" w:after="20" w:line="276" w:lineRule="auto"/>
                                    <w:ind w:left="284" w:hanging="284"/>
                                    <w:jc w:val="center"/>
                                    <w:rPr>
                                      <w:sz w:val="16"/>
                                      <w:szCs w:val="16"/>
                                    </w:rPr>
                                  </w:pPr>
                                  <w:r>
                                    <w:rPr>
                                      <w:sz w:val="16"/>
                                      <w:szCs w:val="16"/>
                                    </w:rPr>
                                    <w:t>Carryover a moderate proportion of allocations</w:t>
                                  </w:r>
                                </w:p>
                                <w:p w14:paraId="6C65037A" w14:textId="77777777" w:rsidR="00262AAF" w:rsidRPr="00C36DCC" w:rsidRDefault="00262AAF" w:rsidP="009F1837">
                                  <w:pPr>
                                    <w:pStyle w:val="ListBullet2"/>
                                    <w:numPr>
                                      <w:ilvl w:val="1"/>
                                      <w:numId w:val="10"/>
                                    </w:numPr>
                                    <w:spacing w:before="20" w:after="20" w:line="276" w:lineRule="auto"/>
                                    <w:ind w:left="284" w:hanging="284"/>
                                    <w:jc w:val="center"/>
                                    <w:rPr>
                                      <w:sz w:val="16"/>
                                      <w:szCs w:val="16"/>
                                    </w:rPr>
                                  </w:pPr>
                                  <w:r>
                                    <w:rPr>
                                      <w:sz w:val="16"/>
                                      <w:szCs w:val="16"/>
                                    </w:rPr>
                                    <w:t>An</w:t>
                                  </w:r>
                                  <w:r w:rsidRPr="00C36DCC">
                                    <w:rPr>
                                      <w:sz w:val="16"/>
                                      <w:szCs w:val="16"/>
                                    </w:rPr>
                                    <w:t xml:space="preserve"> opportunity for purchasing allocations </w:t>
                                  </w:r>
                                  <w:r>
                                    <w:rPr>
                                      <w:sz w:val="16"/>
                                      <w:szCs w:val="16"/>
                                    </w:rPr>
                                    <w:t>to use or carryover, subject to market conditions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650338" id="Text Box 111" o:spid="_x0000_s1034" type="#_x0000_t202" style="position:absolute;left:0;text-align:left;margin-left:41.4pt;margin-top:10.45pt;width:250.75pt;height:93.5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" stroked="f">
                      <v:fill opacity="0"/>
                      <v:textbox style="mso-fit-shape-to-text:t">
                        <w:txbxContent>
                          <w:p w14:paraId="6C650376" w14:textId="77777777" w:rsidR="00262AAF" w:rsidRPr="00BF26F8" w:rsidRDefault="00262AAF" w:rsidP="009F1837">
                            <w:pPr>
                              <w:spacing w:before="20" w:after="20" w:line="276" w:lineRule="auto"/>
                              <w:jc w:val="center"/>
                              <w:rPr>
                                <w:b/>
                                <w:sz w:val="16"/>
                                <w:szCs w:val="16"/>
                              </w:rPr>
                            </w:pPr>
                            <w:r>
                              <w:rPr>
                                <w:b/>
                                <w:sz w:val="16"/>
                                <w:szCs w:val="16"/>
                              </w:rPr>
                              <w:t>Wet period following dry period</w:t>
                            </w:r>
                          </w:p>
                          <w:p w14:paraId="6C650377"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Water availability typically sufficient to meet demands</w:t>
                            </w:r>
                          </w:p>
                          <w:p w14:paraId="6C650378" w14:textId="77777777" w:rsidR="00262AAF" w:rsidRDefault="00262AAF" w:rsidP="009F1837">
                            <w:pPr>
                              <w:pStyle w:val="ListBullet2"/>
                              <w:numPr>
                                <w:ilvl w:val="1"/>
                                <w:numId w:val="10"/>
                              </w:numPr>
                              <w:spacing w:before="20" w:after="20" w:line="276" w:lineRule="auto"/>
                              <w:ind w:left="284" w:hanging="284"/>
                              <w:jc w:val="center"/>
                              <w:rPr>
                                <w:sz w:val="16"/>
                                <w:szCs w:val="16"/>
                              </w:rPr>
                            </w:pPr>
                            <w:r>
                              <w:rPr>
                                <w:sz w:val="16"/>
                                <w:szCs w:val="16"/>
                              </w:rPr>
                              <w:t>U</w:t>
                            </w:r>
                            <w:r w:rsidRPr="00C36DCC">
                              <w:rPr>
                                <w:sz w:val="16"/>
                                <w:szCs w:val="16"/>
                              </w:rPr>
                              <w:t>se a</w:t>
                            </w:r>
                            <w:r>
                              <w:rPr>
                                <w:sz w:val="16"/>
                                <w:szCs w:val="16"/>
                              </w:rPr>
                              <w:t xml:space="preserve"> moderate proportion of available allocations for a range of flow types, focused on connected and multiple-site watering events</w:t>
                            </w:r>
                          </w:p>
                          <w:p w14:paraId="6C650379" w14:textId="77777777" w:rsidR="00262AAF" w:rsidRPr="00C36DCC" w:rsidRDefault="00262AAF" w:rsidP="009F1837">
                            <w:pPr>
                              <w:pStyle w:val="ListBullet2"/>
                              <w:numPr>
                                <w:ilvl w:val="1"/>
                                <w:numId w:val="10"/>
                              </w:numPr>
                              <w:spacing w:before="20" w:after="20" w:line="276" w:lineRule="auto"/>
                              <w:ind w:left="284" w:hanging="284"/>
                              <w:jc w:val="center"/>
                              <w:rPr>
                                <w:sz w:val="16"/>
                                <w:szCs w:val="16"/>
                              </w:rPr>
                            </w:pPr>
                            <w:r>
                              <w:rPr>
                                <w:sz w:val="16"/>
                                <w:szCs w:val="16"/>
                              </w:rPr>
                              <w:t>Carryover a moderate proportion of allocations</w:t>
                            </w:r>
                          </w:p>
                          <w:p w14:paraId="6C65037A" w14:textId="77777777" w:rsidR="00262AAF" w:rsidRPr="00C36DCC" w:rsidRDefault="00262AAF" w:rsidP="009F1837">
                            <w:pPr>
                              <w:pStyle w:val="ListBullet2"/>
                              <w:numPr>
                                <w:ilvl w:val="1"/>
                                <w:numId w:val="10"/>
                              </w:numPr>
                              <w:spacing w:before="20" w:after="20" w:line="276" w:lineRule="auto"/>
                              <w:ind w:left="284" w:hanging="284"/>
                              <w:jc w:val="center"/>
                              <w:rPr>
                                <w:sz w:val="16"/>
                                <w:szCs w:val="16"/>
                              </w:rPr>
                            </w:pPr>
                            <w:r>
                              <w:rPr>
                                <w:sz w:val="16"/>
                                <w:szCs w:val="16"/>
                              </w:rPr>
                              <w:t>An</w:t>
                            </w:r>
                            <w:r w:rsidRPr="00C36DCC">
                              <w:rPr>
                                <w:sz w:val="16"/>
                                <w:szCs w:val="16"/>
                              </w:rPr>
                              <w:t xml:space="preserve"> opportunity for purchasing allocations </w:t>
                            </w:r>
                            <w:r>
                              <w:rPr>
                                <w:sz w:val="16"/>
                                <w:szCs w:val="16"/>
                              </w:rPr>
                              <w:t>to use or carryover, subject to market conditions</w:t>
                            </w:r>
                          </w:p>
                        </w:txbxContent>
                      </v:textbox>
                    </v:shape>
                  </w:pict>
                </mc:Fallback>
              </mc:AlternateContent>
            </w:r>
            <w:r w:rsidR="009F1837" w:rsidRPr="009F7A28">
              <w:rPr>
                <w:sz w:val="16"/>
                <w:szCs w:val="16"/>
              </w:rPr>
              <w:t xml:space="preserve">                                                     </w:t>
            </w:r>
          </w:p>
          <w:p w14:paraId="6C650247" w14:textId="77777777" w:rsidR="007A7A94" w:rsidRDefault="009F1837">
            <w:pPr>
              <w:pStyle w:val="ListBullet"/>
              <w:numPr>
                <w:ilvl w:val="0"/>
                <w:numId w:val="0"/>
              </w:numPr>
              <w:spacing w:after="120"/>
              <w:ind w:right="-86"/>
              <w:rPr>
                <w:sz w:val="16"/>
                <w:szCs w:val="16"/>
              </w:rPr>
            </w:pPr>
            <w:r w:rsidRPr="009F7A28">
              <w:rPr>
                <w:sz w:val="16"/>
                <w:szCs w:val="16"/>
              </w:rPr>
              <w:t xml:space="preserve">                                                    </w:t>
            </w:r>
          </w:p>
        </w:tc>
        <w:tc>
          <w:tcPr>
            <w:tcW w:w="2865" w:type="dxa"/>
            <w:vMerge/>
            <w:shd w:val="clear" w:color="auto" w:fill="CEE0D8"/>
          </w:tcPr>
          <w:p w14:paraId="6C650248" w14:textId="77777777" w:rsidR="007A7A94" w:rsidRDefault="007A7A94">
            <w:pPr>
              <w:pStyle w:val="ListBullet"/>
              <w:numPr>
                <w:ilvl w:val="0"/>
                <w:numId w:val="0"/>
              </w:numPr>
              <w:spacing w:after="120"/>
              <w:rPr>
                <w:sz w:val="16"/>
                <w:szCs w:val="16"/>
              </w:rPr>
            </w:pPr>
          </w:p>
        </w:tc>
        <w:tc>
          <w:tcPr>
            <w:tcW w:w="2863" w:type="dxa"/>
            <w:vMerge/>
            <w:tcBorders>
              <w:bottom w:val="single" w:sz="4" w:space="0" w:color="auto"/>
              <w:right w:val="single" w:sz="4" w:space="0" w:color="auto"/>
            </w:tcBorders>
            <w:shd w:val="clear" w:color="auto" w:fill="CEE0D8"/>
          </w:tcPr>
          <w:p w14:paraId="6C650249" w14:textId="77777777" w:rsidR="007A7A94" w:rsidRDefault="007A7A94">
            <w:pPr>
              <w:pStyle w:val="ListBullet"/>
              <w:spacing w:after="120"/>
              <w:ind w:left="0"/>
              <w:jc w:val="left"/>
              <w:rPr>
                <w:sz w:val="16"/>
                <w:szCs w:val="16"/>
              </w:rPr>
            </w:pPr>
          </w:p>
        </w:tc>
      </w:tr>
      <w:tr w:rsidR="009F1837" w:rsidRPr="009F7A28" w14:paraId="6C65024F" w14:textId="77777777" w:rsidTr="009F1837">
        <w:trPr>
          <w:cnfStyle w:val="000000010000" w:firstRow="0" w:lastRow="0" w:firstColumn="0" w:lastColumn="0" w:oddVBand="0" w:evenVBand="0" w:oddHBand="0" w:evenHBand="1" w:firstRowFirstColumn="0" w:firstRowLastColumn="0" w:lastRowFirstColumn="0" w:lastRowLastColumn="0"/>
          <w:trHeight w:val="822"/>
        </w:trPr>
        <w:tc>
          <w:tcPr>
            <w:tcW w:w="1430" w:type="dxa"/>
            <w:tcBorders>
              <w:left w:val="single" w:sz="4" w:space="0" w:color="auto"/>
              <w:bottom w:val="single" w:sz="4" w:space="0" w:color="auto"/>
              <w:right w:val="single" w:sz="4" w:space="0" w:color="auto"/>
            </w:tcBorders>
            <w:vAlign w:val="center"/>
          </w:tcPr>
          <w:p w14:paraId="6C65024B" w14:textId="77777777" w:rsidR="007A7A94" w:rsidRDefault="009F1837">
            <w:pPr>
              <w:pStyle w:val="ListBullet"/>
              <w:numPr>
                <w:ilvl w:val="0"/>
                <w:numId w:val="0"/>
              </w:numPr>
              <w:spacing w:after="120"/>
              <w:ind w:left="-108"/>
              <w:jc w:val="center"/>
              <w:rPr>
                <w:b/>
                <w:sz w:val="16"/>
                <w:szCs w:val="16"/>
              </w:rPr>
            </w:pPr>
            <w:r w:rsidRPr="009F7A28">
              <w:rPr>
                <w:b/>
                <w:sz w:val="16"/>
                <w:szCs w:val="16"/>
              </w:rPr>
              <w:t>Very high</w:t>
            </w:r>
          </w:p>
          <w:p w14:paraId="6C65024C" w14:textId="77777777" w:rsidR="007A7A94" w:rsidRDefault="007A7A94">
            <w:pPr>
              <w:pStyle w:val="ListBullet"/>
              <w:numPr>
                <w:ilvl w:val="0"/>
                <w:numId w:val="0"/>
              </w:numPr>
              <w:spacing w:after="120"/>
              <w:ind w:left="-108"/>
              <w:jc w:val="center"/>
              <w:rPr>
                <w:b/>
                <w:sz w:val="16"/>
                <w:szCs w:val="16"/>
              </w:rPr>
            </w:pPr>
          </w:p>
        </w:tc>
        <w:tc>
          <w:tcPr>
            <w:tcW w:w="11457" w:type="dxa"/>
            <w:gridSpan w:val="4"/>
            <w:tcBorders>
              <w:left w:val="single" w:sz="4" w:space="0" w:color="auto"/>
              <w:bottom w:val="single" w:sz="4" w:space="0" w:color="auto"/>
            </w:tcBorders>
            <w:shd w:val="clear" w:color="auto" w:fill="CFD6E7"/>
          </w:tcPr>
          <w:p w14:paraId="6C65024D" w14:textId="6D414E16" w:rsidR="007A7A94" w:rsidRDefault="004835D0">
            <w:pPr>
              <w:pStyle w:val="ListBullet"/>
              <w:numPr>
                <w:ilvl w:val="0"/>
                <w:numId w:val="0"/>
              </w:numPr>
              <w:spacing w:after="120"/>
              <w:ind w:right="-86"/>
              <w:rPr>
                <w:sz w:val="16"/>
                <w:szCs w:val="16"/>
              </w:rPr>
            </w:pPr>
            <w:r>
              <w:rPr>
                <w:noProof/>
                <w:sz w:val="16"/>
                <w:szCs w:val="16"/>
              </w:rPr>
              <mc:AlternateContent>
                <mc:Choice Requires="wps">
                  <w:drawing>
                    <wp:anchor distT="0" distB="0" distL="114300" distR="114300" simplePos="0" relativeHeight="251692544" behindDoc="0" locked="0" layoutInCell="1" allowOverlap="1" wp14:anchorId="6C650339" wp14:editId="5F44CB8A">
                      <wp:simplePos x="0" y="0"/>
                      <wp:positionH relativeFrom="column">
                        <wp:posOffset>3456305</wp:posOffset>
                      </wp:positionH>
                      <wp:positionV relativeFrom="paragraph">
                        <wp:posOffset>222250</wp:posOffset>
                      </wp:positionV>
                      <wp:extent cx="3430270" cy="295275"/>
                      <wp:effectExtent l="7620" t="7620" r="635" b="1905"/>
                      <wp:wrapNone/>
                      <wp:docPr id="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95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5037B" w14:textId="77777777" w:rsidR="00262AAF" w:rsidRPr="00E76A9F" w:rsidRDefault="00262AAF" w:rsidP="009F1837">
                                  <w:pPr>
                                    <w:pStyle w:val="ListBullet2"/>
                                    <w:numPr>
                                      <w:ilvl w:val="0"/>
                                      <w:numId w:val="0"/>
                                    </w:numPr>
                                    <w:spacing w:before="20" w:after="20" w:line="276" w:lineRule="auto"/>
                                    <w:rPr>
                                      <w:b/>
                                      <w:i/>
                                      <w:color w:val="2F3D5F"/>
                                    </w:rPr>
                                  </w:pPr>
                                  <w:r w:rsidRPr="00E76A9F">
                                    <w:rPr>
                                      <w:b/>
                                      <w:i/>
                                      <w:color w:val="2F3D5F"/>
                                    </w:rPr>
                                    <w:t>Purpose: Improve ecological health and resilience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650339" id="Text Box 112" o:spid="_x0000_s1035" type="#_x0000_t202" style="position:absolute;left:0;text-align:left;margin-left:272.15pt;margin-top:17.5pt;width:270.1pt;height:23.25pt;z-index:25169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" stroked="f">
                      <v:fill opacity="0"/>
                      <v:textbox style="mso-fit-shape-to-text:t">
                        <w:txbxContent>
                          <w:p w14:paraId="6C65037B" w14:textId="77777777" w:rsidR="00262AAF" w:rsidRPr="00E76A9F" w:rsidRDefault="00262AAF" w:rsidP="009F1837">
                            <w:pPr>
                              <w:pStyle w:val="ListBullet2"/>
                              <w:numPr>
                                <w:ilvl w:val="0"/>
                                <w:numId w:val="0"/>
                              </w:numPr>
                              <w:spacing w:before="20" w:after="20" w:line="276" w:lineRule="auto"/>
                              <w:rPr>
                                <w:b/>
                                <w:i/>
                                <w:color w:val="2F3D5F"/>
                              </w:rPr>
                            </w:pPr>
                            <w:r w:rsidRPr="00E76A9F">
                              <w:rPr>
                                <w:b/>
                                <w:i/>
                                <w:color w:val="2F3D5F"/>
                              </w:rPr>
                              <w:t>Purpose: Improve ecological health and resilience</w:t>
                            </w:r>
                          </w:p>
                        </w:txbxContent>
                      </v:textbox>
                    </v:shape>
                  </w:pict>
                </mc:Fallback>
              </mc:AlternateContent>
            </w:r>
          </w:p>
        </w:tc>
        <w:tc>
          <w:tcPr>
            <w:tcW w:w="2863" w:type="dxa"/>
            <w:vMerge/>
            <w:tcBorders>
              <w:bottom w:val="single" w:sz="4" w:space="0" w:color="auto"/>
              <w:right w:val="single" w:sz="4" w:space="0" w:color="auto"/>
            </w:tcBorders>
            <w:shd w:val="clear" w:color="auto" w:fill="CEE0D8"/>
          </w:tcPr>
          <w:p w14:paraId="6C65024E" w14:textId="77777777" w:rsidR="007A7A94" w:rsidRDefault="007A7A94">
            <w:pPr>
              <w:pStyle w:val="ListBullet"/>
              <w:numPr>
                <w:ilvl w:val="0"/>
                <w:numId w:val="0"/>
              </w:numPr>
              <w:spacing w:after="120"/>
              <w:rPr>
                <w:sz w:val="16"/>
                <w:szCs w:val="16"/>
              </w:rPr>
            </w:pPr>
          </w:p>
        </w:tc>
      </w:tr>
    </w:tbl>
    <w:p w14:paraId="6C650250" w14:textId="77777777" w:rsidR="008B6031" w:rsidRDefault="00F75C5A" w:rsidP="008B6031">
      <w:pPr>
        <w:pStyle w:val="Caption"/>
        <w:rPr>
          <w:rFonts w:ascii="Century Gothic" w:hAnsi="Century Gothic"/>
        </w:rPr>
      </w:pPr>
      <w:r w:rsidRPr="00E078BB">
        <w:rPr>
          <w:rFonts w:ascii="Century Gothic" w:hAnsi="Century Gothic"/>
          <w:b w:val="0"/>
          <w:bCs w:val="0"/>
          <w:sz w:val="16"/>
          <w:szCs w:val="16"/>
        </w:rPr>
        <w:t>Note: the portfolio management actions in each scenario represent generic examples and the specific approach taken in individual catchments and conditions will var</w:t>
      </w:r>
      <w:r>
        <w:rPr>
          <w:rFonts w:ascii="Century Gothic" w:hAnsi="Century Gothic"/>
          <w:b w:val="0"/>
          <w:bCs w:val="0"/>
          <w:sz w:val="16"/>
          <w:szCs w:val="16"/>
        </w:rPr>
        <w:t>y</w:t>
      </w:r>
      <w:r w:rsidR="008B6031" w:rsidRPr="008B6031">
        <w:rPr>
          <w:rFonts w:ascii="Century Gothic" w:hAnsi="Century Gothic"/>
        </w:rPr>
        <w:t xml:space="preserve"> </w:t>
      </w:r>
    </w:p>
    <w:p w14:paraId="6C650251" w14:textId="77777777" w:rsidR="00B17604" w:rsidRDefault="008B6031">
      <w:pPr>
        <w:pStyle w:val="Caption"/>
        <w:jc w:val="left"/>
      </w:pPr>
      <w:r w:rsidRPr="00737E24">
        <w:rPr>
          <w:rFonts w:ascii="Century Gothic" w:hAnsi="Century Gothic"/>
        </w:rPr>
        <w:t xml:space="preserve">Figure </w:t>
      </w:r>
      <w:r w:rsidR="00D848C1" w:rsidRPr="00737E24">
        <w:rPr>
          <w:rFonts w:ascii="Century Gothic" w:hAnsi="Century Gothic"/>
        </w:rPr>
        <w:fldChar w:fldCharType="begin"/>
      </w:r>
      <w:r w:rsidRPr="00737E24">
        <w:rPr>
          <w:rFonts w:ascii="Century Gothic" w:hAnsi="Century Gothic"/>
        </w:rPr>
        <w:instrText xml:space="preserve"> SEQ Figure \* ARABIC </w:instrText>
      </w:r>
      <w:r w:rsidR="00D848C1" w:rsidRPr="00737E24">
        <w:rPr>
          <w:rFonts w:ascii="Century Gothic" w:hAnsi="Century Gothic"/>
        </w:rPr>
        <w:fldChar w:fldCharType="separate"/>
      </w:r>
      <w:r w:rsidR="0044680F">
        <w:rPr>
          <w:rFonts w:ascii="Century Gothic" w:hAnsi="Century Gothic"/>
          <w:noProof/>
        </w:rPr>
        <w:t>2</w:t>
      </w:r>
      <w:r w:rsidR="00D848C1" w:rsidRPr="00737E24">
        <w:rPr>
          <w:rFonts w:ascii="Century Gothic" w:hAnsi="Century Gothic"/>
        </w:rPr>
        <w:fldChar w:fldCharType="end"/>
      </w:r>
      <w:r w:rsidRPr="00737E24">
        <w:rPr>
          <w:rFonts w:ascii="Century Gothic" w:hAnsi="Century Gothic"/>
          <w:b w:val="0"/>
        </w:rPr>
        <w:t>: Examples of how environmental demand and water availability shape planning for the mix of portfolio management options for maximising environmental outcomes in different conditions</w:t>
      </w:r>
      <w:r w:rsidRPr="00E078BB">
        <w:t xml:space="preserve"> </w:t>
      </w:r>
    </w:p>
    <w:p w14:paraId="6C650252" w14:textId="77777777" w:rsidR="00F75C5A" w:rsidRDefault="00F75C5A" w:rsidP="006026F2">
      <w:pPr>
        <w:pStyle w:val="Caption"/>
        <w:spacing w:after="120"/>
        <w:jc w:val="left"/>
        <w:sectPr w:rsidR="00F75C5A" w:rsidSect="00CE0FAD">
          <w:headerReference w:type="first" r:id="rId33"/>
          <w:pgSz w:w="16838" w:h="11906" w:orient="landscape"/>
          <w:pgMar w:top="568" w:right="1077" w:bottom="1077" w:left="851" w:header="425" w:footer="425" w:gutter="0"/>
          <w:cols w:space="708"/>
          <w:docGrid w:linePitch="360"/>
        </w:sectPr>
      </w:pPr>
    </w:p>
    <w:p w14:paraId="6C650253" w14:textId="77777777" w:rsidR="00B17604" w:rsidRDefault="004543FB">
      <w:pPr>
        <w:pStyle w:val="Heading11"/>
        <w:numPr>
          <w:ilvl w:val="2"/>
          <w:numId w:val="66"/>
        </w:numPr>
        <w:spacing w:before="0" w:after="120"/>
        <w:ind w:left="1418" w:hanging="704"/>
        <w:rPr>
          <w:rFonts w:ascii="Century Gothic" w:hAnsi="Century Gothic" w:cs="Arial"/>
          <w:sz w:val="24"/>
          <w:szCs w:val="24"/>
        </w:rPr>
      </w:pPr>
      <w:bookmarkStart w:id="160" w:name="_Toc517264659"/>
      <w:r w:rsidRPr="004543FB">
        <w:rPr>
          <w:rFonts w:ascii="Century Gothic" w:hAnsi="Century Gothic" w:cs="Arial"/>
          <w:sz w:val="24"/>
          <w:szCs w:val="24"/>
        </w:rPr>
        <w:t>Catchment planning</w:t>
      </w:r>
      <w:bookmarkEnd w:id="160"/>
    </w:p>
    <w:p w14:paraId="6C650254" w14:textId="0FCAD1E5" w:rsidR="007A7A94" w:rsidRDefault="008C7DC9">
      <w:pPr>
        <w:spacing w:after="120"/>
        <w:rPr>
          <w:rFonts w:ascii="Century Gothic" w:hAnsi="Century Gothic"/>
        </w:rPr>
      </w:pPr>
      <w:r>
        <w:rPr>
          <w:rFonts w:ascii="Century Gothic" w:hAnsi="Century Gothic"/>
        </w:rPr>
        <w:t xml:space="preserve">Portfolio management planning is initiated at the catchment scale. It </w:t>
      </w:r>
      <w:r w:rsidRPr="008C7DC9">
        <w:rPr>
          <w:rFonts w:ascii="Century Gothic" w:hAnsi="Century Gothic"/>
        </w:rPr>
        <w:t xml:space="preserve">involves conversations between the </w:t>
      </w:r>
      <w:r w:rsidR="00857534">
        <w:rPr>
          <w:rFonts w:ascii="Century Gothic" w:hAnsi="Century Gothic"/>
        </w:rPr>
        <w:t>Commonwealth Environmental Water Office</w:t>
      </w:r>
      <w:r w:rsidRPr="008C7DC9">
        <w:rPr>
          <w:rFonts w:ascii="Century Gothic" w:hAnsi="Century Gothic"/>
        </w:rPr>
        <w:t xml:space="preserve"> and state environmental water managers, site managers, river operators, state regulating agencies as well as the o</w:t>
      </w:r>
      <w:r w:rsidR="007503FA">
        <w:rPr>
          <w:rFonts w:ascii="Century Gothic" w:hAnsi="Century Gothic"/>
        </w:rPr>
        <w:t>rganisations responsible for</w:t>
      </w:r>
      <w:r w:rsidRPr="008C7DC9">
        <w:rPr>
          <w:rFonts w:ascii="Century Gothic" w:hAnsi="Century Gothic"/>
        </w:rPr>
        <w:t xml:space="preserve"> monitoring the outcomes from environmental water. These conversations identify environmental demands, relevant lessons learnt and outcomes from previous watering, barriers to delivery (e.g. infrastructure maintenance), potential risks, other complementary sources of water and any relevant operational plans.</w:t>
      </w:r>
      <w:r w:rsidR="000E3C60" w:rsidRPr="000E3C60">
        <w:rPr>
          <w:rFonts w:ascii="Century Gothic" w:hAnsi="Century Gothic"/>
        </w:rPr>
        <w:t xml:space="preserve"> </w:t>
      </w:r>
    </w:p>
    <w:p w14:paraId="6C650255" w14:textId="77777777" w:rsidR="007A7A94" w:rsidRDefault="00031652">
      <w:pPr>
        <w:spacing w:after="120"/>
        <w:rPr>
          <w:rFonts w:ascii="Century Gothic" w:hAnsi="Century Gothic"/>
        </w:rPr>
      </w:pPr>
      <w:r>
        <w:rPr>
          <w:rFonts w:ascii="Century Gothic" w:hAnsi="Century Gothic"/>
        </w:rPr>
        <w:t>Catchment plans include</w:t>
      </w:r>
      <w:r w:rsidR="005307CF">
        <w:rPr>
          <w:rFonts w:ascii="Century Gothic" w:hAnsi="Century Gothic"/>
        </w:rPr>
        <w:t xml:space="preserve"> a summary of the objectives and </w:t>
      </w:r>
      <w:r w:rsidRPr="00031652">
        <w:rPr>
          <w:rFonts w:ascii="Century Gothic" w:hAnsi="Century Gothic"/>
        </w:rPr>
        <w:t>long-term flow regime required to meet environmental demands</w:t>
      </w:r>
      <w:r w:rsidR="005307CF">
        <w:rPr>
          <w:rFonts w:ascii="Century Gothic" w:hAnsi="Century Gothic"/>
        </w:rPr>
        <w:t xml:space="preserve">. </w:t>
      </w:r>
      <w:r w:rsidR="002E18DF">
        <w:rPr>
          <w:rFonts w:ascii="Century Gothic" w:hAnsi="Century Gothic"/>
        </w:rPr>
        <w:t>A multi-year approach is then taken to identifying portfolio management intentions, considering the:</w:t>
      </w:r>
      <w:r w:rsidR="005307CF">
        <w:rPr>
          <w:rFonts w:ascii="Century Gothic" w:hAnsi="Century Gothic"/>
        </w:rPr>
        <w:t xml:space="preserve"> </w:t>
      </w:r>
      <w:r w:rsidRPr="00031652">
        <w:rPr>
          <w:rFonts w:ascii="Century Gothic" w:hAnsi="Century Gothic"/>
        </w:rPr>
        <w:t xml:space="preserve"> </w:t>
      </w:r>
    </w:p>
    <w:p w14:paraId="6C650256" w14:textId="77777777" w:rsidR="007A7A94" w:rsidRDefault="002E18DF" w:rsidP="00BC0CD5">
      <w:pPr>
        <w:pStyle w:val="ListBullet"/>
        <w:spacing w:after="120"/>
        <w:jc w:val="left"/>
        <w:rPr>
          <w:rFonts w:ascii="Century Gothic" w:hAnsi="Century Gothic"/>
        </w:rPr>
      </w:pPr>
      <w:r>
        <w:rPr>
          <w:rFonts w:ascii="Century Gothic" w:hAnsi="Century Gothic"/>
        </w:rPr>
        <w:t>past</w:t>
      </w:r>
      <w:r w:rsidR="00031652" w:rsidRPr="00031652">
        <w:rPr>
          <w:rFonts w:ascii="Century Gothic" w:hAnsi="Century Gothic"/>
        </w:rPr>
        <w:t xml:space="preserve"> watering history and its impact on environmental demands and asset condition </w:t>
      </w:r>
    </w:p>
    <w:p w14:paraId="6C650257" w14:textId="77777777" w:rsidR="007A7A94" w:rsidRDefault="002E18DF" w:rsidP="00BC0CD5">
      <w:pPr>
        <w:pStyle w:val="ListBullet"/>
        <w:spacing w:after="120"/>
        <w:jc w:val="left"/>
        <w:rPr>
          <w:rFonts w:ascii="Century Gothic" w:hAnsi="Century Gothic"/>
        </w:rPr>
      </w:pPr>
      <w:r>
        <w:rPr>
          <w:rFonts w:ascii="Century Gothic" w:hAnsi="Century Gothic"/>
        </w:rPr>
        <w:t>likely affects of planned actions on environmental demands in future years</w:t>
      </w:r>
      <w:r w:rsidR="00031652" w:rsidRPr="00031652">
        <w:rPr>
          <w:rFonts w:ascii="Century Gothic" w:hAnsi="Century Gothic"/>
        </w:rPr>
        <w:t>.</w:t>
      </w:r>
    </w:p>
    <w:p w14:paraId="6C650258" w14:textId="77777777" w:rsidR="00B17604" w:rsidRDefault="004543FB">
      <w:pPr>
        <w:pStyle w:val="Heading11"/>
        <w:numPr>
          <w:ilvl w:val="2"/>
          <w:numId w:val="66"/>
        </w:numPr>
        <w:spacing w:before="0" w:after="120"/>
        <w:ind w:left="1418" w:hanging="704"/>
        <w:rPr>
          <w:rFonts w:ascii="Century Gothic" w:hAnsi="Century Gothic" w:cs="Arial"/>
          <w:sz w:val="24"/>
          <w:szCs w:val="24"/>
        </w:rPr>
      </w:pPr>
      <w:bookmarkStart w:id="161" w:name="_Toc517264660"/>
      <w:r w:rsidRPr="004543FB">
        <w:rPr>
          <w:rFonts w:ascii="Century Gothic" w:hAnsi="Century Gothic" w:cs="Arial"/>
          <w:sz w:val="24"/>
          <w:szCs w:val="24"/>
        </w:rPr>
        <w:t>Basin-</w:t>
      </w:r>
      <w:r w:rsidR="00D86FAA">
        <w:rPr>
          <w:rFonts w:ascii="Century Gothic" w:hAnsi="Century Gothic" w:cs="Arial"/>
          <w:sz w:val="24"/>
          <w:szCs w:val="24"/>
        </w:rPr>
        <w:t>wide</w:t>
      </w:r>
      <w:r w:rsidR="00D86FAA" w:rsidRPr="004543FB">
        <w:rPr>
          <w:rFonts w:ascii="Century Gothic" w:hAnsi="Century Gothic" w:cs="Arial"/>
          <w:sz w:val="24"/>
          <w:szCs w:val="24"/>
        </w:rPr>
        <w:t xml:space="preserve"> </w:t>
      </w:r>
      <w:r w:rsidRPr="004543FB">
        <w:rPr>
          <w:rFonts w:ascii="Century Gothic" w:hAnsi="Century Gothic" w:cs="Arial"/>
          <w:sz w:val="24"/>
          <w:szCs w:val="24"/>
        </w:rPr>
        <w:t>planning</w:t>
      </w:r>
      <w:bookmarkEnd w:id="161"/>
    </w:p>
    <w:p w14:paraId="6C650259" w14:textId="77777777" w:rsidR="007A7A94" w:rsidRDefault="00007CD7">
      <w:pPr>
        <w:spacing w:after="120"/>
        <w:rPr>
          <w:rFonts w:ascii="Century Gothic" w:hAnsi="Century Gothic"/>
        </w:rPr>
      </w:pPr>
      <w:r w:rsidRPr="00F81919">
        <w:rPr>
          <w:rFonts w:ascii="Century Gothic" w:hAnsi="Century Gothic"/>
        </w:rPr>
        <w:t>Once initial catchment planning has been undertaken, this is then fed into a Basin-</w:t>
      </w:r>
      <w:r w:rsidR="00D86FAA">
        <w:rPr>
          <w:rFonts w:ascii="Century Gothic" w:hAnsi="Century Gothic"/>
        </w:rPr>
        <w:t>wide</w:t>
      </w:r>
      <w:r w:rsidR="00D86FAA" w:rsidRPr="00F81919">
        <w:rPr>
          <w:rFonts w:ascii="Century Gothic" w:hAnsi="Century Gothic"/>
        </w:rPr>
        <w:t xml:space="preserve"> </w:t>
      </w:r>
      <w:r w:rsidRPr="00F81919">
        <w:rPr>
          <w:rFonts w:ascii="Century Gothic" w:hAnsi="Century Gothic"/>
        </w:rPr>
        <w:t>planning process. This process considers:</w:t>
      </w:r>
    </w:p>
    <w:p w14:paraId="6C65025A" w14:textId="77777777" w:rsidR="007A7A94" w:rsidRDefault="008D5590" w:rsidP="00BC0CD5">
      <w:pPr>
        <w:pStyle w:val="ListBullet"/>
        <w:spacing w:after="120"/>
        <w:jc w:val="left"/>
        <w:rPr>
          <w:rFonts w:ascii="Century Gothic" w:hAnsi="Century Gothic"/>
        </w:rPr>
      </w:pPr>
      <w:r>
        <w:rPr>
          <w:rFonts w:ascii="Century Gothic" w:hAnsi="Century Gothic"/>
        </w:rPr>
        <w:t>key demands across the Basin</w:t>
      </w:r>
    </w:p>
    <w:p w14:paraId="6C65025B" w14:textId="77777777" w:rsidR="007A7A94" w:rsidRDefault="002F5C66" w:rsidP="00BC0CD5">
      <w:pPr>
        <w:pStyle w:val="ListBullet"/>
        <w:spacing w:after="120"/>
        <w:jc w:val="left"/>
        <w:rPr>
          <w:rFonts w:ascii="Century Gothic" w:hAnsi="Century Gothic"/>
        </w:rPr>
      </w:pPr>
      <w:r w:rsidRPr="00007CD7" w:rsidDel="00CD61FD">
        <w:rPr>
          <w:rFonts w:ascii="Century Gothic" w:hAnsi="Century Gothic"/>
        </w:rPr>
        <w:t>opportunities to use allocation trade (purchase, sale or transfer) to rebalance the portfolio to better match differing demands across catchments</w:t>
      </w:r>
    </w:p>
    <w:p w14:paraId="6C65025C" w14:textId="77777777" w:rsidR="007A7A94" w:rsidRDefault="008D5590" w:rsidP="00BC0CD5">
      <w:pPr>
        <w:pStyle w:val="ListBullet"/>
        <w:spacing w:after="120"/>
        <w:jc w:val="left"/>
        <w:rPr>
          <w:rFonts w:ascii="Century Gothic" w:hAnsi="Century Gothic"/>
        </w:rPr>
      </w:pPr>
      <w:r>
        <w:rPr>
          <w:rFonts w:ascii="Century Gothic" w:hAnsi="Century Gothic"/>
        </w:rPr>
        <w:t xml:space="preserve">opportunites to </w:t>
      </w:r>
      <w:r w:rsidR="00007CD7">
        <w:rPr>
          <w:rFonts w:ascii="Century Gothic" w:hAnsi="Century Gothic"/>
        </w:rPr>
        <w:t>align environmental outcomes</w:t>
      </w:r>
      <w:r>
        <w:rPr>
          <w:rFonts w:ascii="Century Gothic" w:hAnsi="Century Gothic"/>
        </w:rPr>
        <w:t xml:space="preserve"> from watering</w:t>
      </w:r>
      <w:r w:rsidR="00007CD7">
        <w:rPr>
          <w:rFonts w:ascii="Century Gothic" w:hAnsi="Century Gothic"/>
        </w:rPr>
        <w:t>, such as multi-site watering events in hydrologicall</w:t>
      </w:r>
      <w:r>
        <w:rPr>
          <w:rFonts w:ascii="Century Gothic" w:hAnsi="Century Gothic"/>
        </w:rPr>
        <w:t>y</w:t>
      </w:r>
      <w:r w:rsidR="00007CD7">
        <w:rPr>
          <w:rFonts w:ascii="Century Gothic" w:hAnsi="Century Gothic"/>
        </w:rPr>
        <w:t xml:space="preserve"> connected catchments</w:t>
      </w:r>
    </w:p>
    <w:p w14:paraId="6C65025D" w14:textId="77777777" w:rsidR="007A7A94" w:rsidRDefault="002F5C66">
      <w:pPr>
        <w:pStyle w:val="ListBullet"/>
        <w:numPr>
          <w:ilvl w:val="0"/>
          <w:numId w:val="0"/>
        </w:numPr>
        <w:spacing w:after="120"/>
        <w:rPr>
          <w:rFonts w:ascii="Century Gothic" w:hAnsi="Century Gothic"/>
        </w:rPr>
      </w:pPr>
      <w:r w:rsidRPr="00007CD7" w:rsidDel="00CD61FD">
        <w:rPr>
          <w:rFonts w:ascii="Century Gothic" w:hAnsi="Century Gothic"/>
        </w:rPr>
        <w:t xml:space="preserve">The plans for individual </w:t>
      </w:r>
      <w:r w:rsidR="008D5590">
        <w:rPr>
          <w:rFonts w:ascii="Century Gothic" w:hAnsi="Century Gothic"/>
        </w:rPr>
        <w:t>catchments</w:t>
      </w:r>
      <w:r w:rsidRPr="00007CD7" w:rsidDel="00CD61FD">
        <w:rPr>
          <w:rFonts w:ascii="Century Gothic" w:hAnsi="Century Gothic"/>
        </w:rPr>
        <w:t xml:space="preserve"> are then updated as required to reflect th</w:t>
      </w:r>
      <w:r w:rsidR="008D5590">
        <w:rPr>
          <w:rFonts w:ascii="Century Gothic" w:hAnsi="Century Gothic"/>
        </w:rPr>
        <w:t>e outcomes of th</w:t>
      </w:r>
      <w:r w:rsidRPr="00007CD7" w:rsidDel="00CD61FD">
        <w:rPr>
          <w:rFonts w:ascii="Century Gothic" w:hAnsi="Century Gothic"/>
        </w:rPr>
        <w:t>is Basin-</w:t>
      </w:r>
      <w:r w:rsidR="00D86FAA">
        <w:rPr>
          <w:rFonts w:ascii="Century Gothic" w:hAnsi="Century Gothic"/>
        </w:rPr>
        <w:t>wide</w:t>
      </w:r>
      <w:r w:rsidR="00D86FAA" w:rsidRPr="00007CD7" w:rsidDel="00CD61FD">
        <w:rPr>
          <w:rFonts w:ascii="Century Gothic" w:hAnsi="Century Gothic"/>
        </w:rPr>
        <w:t xml:space="preserve"> </w:t>
      </w:r>
      <w:r w:rsidR="008D5590">
        <w:rPr>
          <w:rFonts w:ascii="Century Gothic" w:hAnsi="Century Gothic"/>
        </w:rPr>
        <w:t>planning</w:t>
      </w:r>
      <w:r w:rsidRPr="00007CD7" w:rsidDel="00CD61FD">
        <w:rPr>
          <w:rFonts w:ascii="Century Gothic" w:hAnsi="Century Gothic"/>
        </w:rPr>
        <w:t>.</w:t>
      </w:r>
    </w:p>
    <w:p w14:paraId="6C65025E" w14:textId="358C5C26" w:rsidR="007A7A94" w:rsidRDefault="00AE0E57">
      <w:pPr>
        <w:pStyle w:val="Heading11"/>
        <w:spacing w:before="0" w:after="120"/>
        <w:ind w:left="851" w:hanging="851"/>
      </w:pPr>
      <w:bookmarkStart w:id="162" w:name="_Toc517264661"/>
      <w:r w:rsidRPr="003D0A27">
        <w:t>Constraints to</w:t>
      </w:r>
      <w:r w:rsidR="00FE29EB" w:rsidRPr="003D0A27">
        <w:t xml:space="preserve"> Commonwealth environmental watering</w:t>
      </w:r>
      <w:bookmarkEnd w:id="150"/>
      <w:bookmarkEnd w:id="151"/>
      <w:bookmarkEnd w:id="152"/>
      <w:bookmarkEnd w:id="162"/>
    </w:p>
    <w:p w14:paraId="6C65025F" w14:textId="77777777" w:rsidR="007A7A94" w:rsidRDefault="000E3C60">
      <w:pPr>
        <w:spacing w:after="120"/>
        <w:rPr>
          <w:rFonts w:ascii="Century Gothic" w:hAnsi="Century Gothic"/>
        </w:rPr>
      </w:pPr>
      <w:r w:rsidRPr="000E3C60">
        <w:rPr>
          <w:rFonts w:ascii="Century Gothic" w:hAnsi="Century Gothic"/>
        </w:rPr>
        <w:t>Constraints are river management practices and structures that govern the volume and timing of regulated water delivery through the river system. They can be:</w:t>
      </w:r>
    </w:p>
    <w:p w14:paraId="6C650260" w14:textId="77777777" w:rsidR="007A7A94" w:rsidRDefault="000E3C60" w:rsidP="00BC0CD5">
      <w:pPr>
        <w:pStyle w:val="ListBullet"/>
        <w:spacing w:after="120"/>
        <w:jc w:val="left"/>
        <w:rPr>
          <w:rFonts w:ascii="Century Gothic" w:hAnsi="Century Gothic"/>
        </w:rPr>
      </w:pPr>
      <w:r w:rsidRPr="000E3C60">
        <w:rPr>
          <w:rFonts w:ascii="Century Gothic" w:hAnsi="Century Gothic"/>
        </w:rPr>
        <w:t xml:space="preserve">physical restrictions, like low-lying bridges or roads  </w:t>
      </w:r>
    </w:p>
    <w:p w14:paraId="6C650261" w14:textId="77777777" w:rsidR="007A7A94" w:rsidRDefault="000E3C60" w:rsidP="00BC0CD5">
      <w:pPr>
        <w:pStyle w:val="ListBullet"/>
        <w:spacing w:after="120"/>
        <w:jc w:val="left"/>
        <w:rPr>
          <w:rFonts w:ascii="Century Gothic" w:hAnsi="Century Gothic"/>
        </w:rPr>
      </w:pPr>
      <w:r w:rsidRPr="000E3C60">
        <w:rPr>
          <w:rFonts w:ascii="Century Gothic" w:hAnsi="Century Gothic"/>
        </w:rPr>
        <w:t>areas of private land that might be adversely impacted by high regulated flows</w:t>
      </w:r>
    </w:p>
    <w:p w14:paraId="6C650262" w14:textId="77777777" w:rsidR="007A7A94" w:rsidRDefault="000E3C60" w:rsidP="00BC0CD5">
      <w:pPr>
        <w:pStyle w:val="ListBullet"/>
        <w:spacing w:after="120"/>
        <w:jc w:val="left"/>
        <w:rPr>
          <w:rFonts w:ascii="Century Gothic" w:hAnsi="Century Gothic"/>
        </w:rPr>
      </w:pPr>
      <w:r w:rsidRPr="000E3C60">
        <w:rPr>
          <w:rFonts w:ascii="Century Gothic" w:hAnsi="Century Gothic"/>
        </w:rPr>
        <w:t xml:space="preserve">river rules or practices that limit how environmental water can be delivered. </w:t>
      </w:r>
    </w:p>
    <w:p w14:paraId="6C650263" w14:textId="77777777" w:rsidR="007A7A94" w:rsidRDefault="000E3C60">
      <w:pPr>
        <w:spacing w:after="120"/>
        <w:rPr>
          <w:rFonts w:ascii="Century Gothic" w:hAnsi="Century Gothic"/>
        </w:rPr>
      </w:pPr>
      <w:r w:rsidRPr="000E3C60">
        <w:rPr>
          <w:rFonts w:ascii="Century Gothic" w:hAnsi="Century Gothic"/>
        </w:rPr>
        <w:t xml:space="preserve">Not all environmental demands can and will be met through the use of held environmental water. Some demands are met by regulated water deliveries for consumptive purposes, while others are met by large unregulated/natural flows events or are beyond what can be delivered within operational constraints. Infrastructure can often be used to deliver water to individual wetlands that would otherwise not be possible due to constraints. </w:t>
      </w:r>
    </w:p>
    <w:p w14:paraId="6C650264" w14:textId="77777777" w:rsidR="007A7A94" w:rsidRDefault="000E3C60">
      <w:pPr>
        <w:spacing w:after="120"/>
        <w:rPr>
          <w:rFonts w:ascii="Century Gothic" w:hAnsi="Century Gothic"/>
        </w:rPr>
      </w:pPr>
      <w:r w:rsidRPr="000E3C60">
        <w:rPr>
          <w:rFonts w:ascii="Century Gothic" w:hAnsi="Century Gothic"/>
        </w:rPr>
        <w:t xml:space="preserve">River operators have an important role to play in the delivery of environmental water. Operators are required to deliver water to their customers within the established river management practices. River operators manage environmental water with the same diligence and caution that they deliver irrigation and town water. This includes continually appraising any risks, forecasting rainfall events and tributary inflows against peak regulated operating levels and being careful to avoid any possible impacts while delivering water. </w:t>
      </w:r>
    </w:p>
    <w:p w14:paraId="6C650265" w14:textId="320BB8DE" w:rsidR="007A7A94" w:rsidRDefault="000E3C60">
      <w:pPr>
        <w:spacing w:after="120"/>
        <w:rPr>
          <w:rFonts w:ascii="Century Gothic" w:hAnsi="Century Gothic"/>
        </w:rPr>
      </w:pPr>
      <w:r w:rsidRPr="000E3C60">
        <w:rPr>
          <w:rFonts w:ascii="Century Gothic" w:hAnsi="Century Gothic"/>
        </w:rPr>
        <w:t xml:space="preserve">Environmental water holders work with operators in real time to vary delivery to avoid third party impacts while still getting the best environmental outcomes. The </w:t>
      </w:r>
      <w:r w:rsidR="00857534">
        <w:rPr>
          <w:rFonts w:ascii="Century Gothic" w:hAnsi="Century Gothic"/>
        </w:rPr>
        <w:t xml:space="preserve">Commonwealth Environmental Water Holder </w:t>
      </w:r>
      <w:r w:rsidRPr="000E3C60">
        <w:rPr>
          <w:rFonts w:ascii="Century Gothic" w:hAnsi="Century Gothic"/>
        </w:rPr>
        <w:t xml:space="preserve"> takes a cautious approach to environmental flow management in order to eliminate, to the fullest extent practical, the risk of unintended impacts on landholders, irrigators and other third parties, while still delivering positive environmental outcomes.</w:t>
      </w:r>
    </w:p>
    <w:p w14:paraId="6C650266" w14:textId="77777777" w:rsidR="00B1522D" w:rsidRDefault="00B1522D">
      <w:pPr>
        <w:spacing w:after="120"/>
        <w:rPr>
          <w:rFonts w:ascii="Century Gothic" w:hAnsi="Century Gothic"/>
        </w:rPr>
      </w:pPr>
    </w:p>
    <w:p w14:paraId="6C650267" w14:textId="36191ADF" w:rsidR="007A7A94" w:rsidRDefault="000E3C60">
      <w:pPr>
        <w:pStyle w:val="Heading11"/>
        <w:numPr>
          <w:ilvl w:val="2"/>
          <w:numId w:val="66"/>
        </w:numPr>
        <w:spacing w:before="0" w:after="120"/>
        <w:ind w:left="1418" w:hanging="704"/>
        <w:rPr>
          <w:rFonts w:ascii="Century Gothic" w:hAnsi="Century Gothic"/>
          <w:sz w:val="24"/>
          <w:szCs w:val="24"/>
        </w:rPr>
      </w:pPr>
      <w:bookmarkStart w:id="163" w:name="_Toc517264662"/>
      <w:r w:rsidRPr="000E3C60">
        <w:rPr>
          <w:rFonts w:ascii="Century Gothic" w:hAnsi="Century Gothic" w:cs="Arial"/>
          <w:sz w:val="24"/>
          <w:szCs w:val="24"/>
        </w:rPr>
        <w:t>Constraints relaxation</w:t>
      </w:r>
      <w:bookmarkEnd w:id="163"/>
      <w:r w:rsidRPr="000E3C60">
        <w:rPr>
          <w:rFonts w:ascii="Century Gothic" w:hAnsi="Century Gothic" w:cs="Arial"/>
          <w:sz w:val="24"/>
          <w:szCs w:val="24"/>
        </w:rPr>
        <w:t xml:space="preserve"> </w:t>
      </w:r>
    </w:p>
    <w:p w14:paraId="6C650268" w14:textId="155A7750" w:rsidR="007A7A94" w:rsidRDefault="000E3C60" w:rsidP="00120AC6">
      <w:pPr>
        <w:spacing w:after="120"/>
        <w:rPr>
          <w:rFonts w:ascii="Century Gothic" w:hAnsi="Century Gothic"/>
        </w:rPr>
      </w:pPr>
      <w:r w:rsidRPr="000E3C60">
        <w:rPr>
          <w:rFonts w:ascii="Century Gothic" w:hAnsi="Century Gothic"/>
        </w:rPr>
        <w:t xml:space="preserve">Basin State governments are working with the </w:t>
      </w:r>
      <w:r w:rsidR="00BE4223">
        <w:rPr>
          <w:rFonts w:ascii="Century Gothic" w:hAnsi="Century Gothic"/>
        </w:rPr>
        <w:t>Murray-Darling</w:t>
      </w:r>
      <w:r w:rsidRPr="000E3C60">
        <w:rPr>
          <w:rFonts w:ascii="Century Gothic" w:hAnsi="Century Gothic"/>
        </w:rPr>
        <w:t xml:space="preserve"> Basin Authority to look at ways to reduce the limitations that constraints place on the use of environmental water and so improve environmental outcomes for the Basin. This work aims to improve the efficiency and/or effectiveness of environmental watering and get better environmental results for wetlands and rivers while avoiding, managing or mitigating impacts to local communities and industries. Governments will be working with communities to understand how to best avoid or mitigate any potential adverse impacts as well as the costs of addressing these to the satisfaction of affected communities. Any decision to remove or modify constraints will ultimately be a decision of Basin governments.</w:t>
      </w:r>
    </w:p>
    <w:p w14:paraId="6C650269" w14:textId="77777777" w:rsidR="007A7A94" w:rsidRDefault="000E3C60">
      <w:pPr>
        <w:spacing w:after="120"/>
        <w:rPr>
          <w:rFonts w:ascii="Century Gothic" w:hAnsi="Century Gothic"/>
        </w:rPr>
      </w:pPr>
      <w:r w:rsidRPr="000E3C60">
        <w:rPr>
          <w:rFonts w:ascii="Century Gothic" w:hAnsi="Century Gothic"/>
        </w:rPr>
        <w:t>Until such a decision is made to change constraints, Commonwealth environmental water will continue to be delivered within the existing constraints</w:t>
      </w:r>
      <w:r w:rsidR="001A5D3B">
        <w:rPr>
          <w:rFonts w:ascii="Century Gothic" w:hAnsi="Century Gothic"/>
        </w:rPr>
        <w:t>. Commonwealth environmental water is</w:t>
      </w:r>
      <w:r w:rsidRPr="000E3C60">
        <w:rPr>
          <w:rFonts w:ascii="Century Gothic" w:hAnsi="Century Gothic"/>
        </w:rPr>
        <w:t xml:space="preserve"> not deliver</w:t>
      </w:r>
      <w:r w:rsidR="001A5D3B">
        <w:rPr>
          <w:rFonts w:ascii="Century Gothic" w:hAnsi="Century Gothic"/>
        </w:rPr>
        <w:t>ed</w:t>
      </w:r>
      <w:r w:rsidRPr="000E3C60">
        <w:rPr>
          <w:rFonts w:ascii="Century Gothic" w:hAnsi="Century Gothic"/>
        </w:rPr>
        <w:t xml:space="preserve"> to </w:t>
      </w:r>
      <w:r w:rsidR="004D63BA">
        <w:rPr>
          <w:rFonts w:ascii="Century Gothic" w:hAnsi="Century Gothic"/>
        </w:rPr>
        <w:t xml:space="preserve">the </w:t>
      </w:r>
      <w:r w:rsidRPr="000E3C60">
        <w:rPr>
          <w:rFonts w:ascii="Century Gothic" w:hAnsi="Century Gothic"/>
        </w:rPr>
        <w:t xml:space="preserve">maximum </w:t>
      </w:r>
      <w:r w:rsidR="001A5D3B">
        <w:rPr>
          <w:rFonts w:ascii="Century Gothic" w:hAnsi="Century Gothic"/>
        </w:rPr>
        <w:t>allowable flows</w:t>
      </w:r>
      <w:r w:rsidRPr="000E3C60">
        <w:rPr>
          <w:rFonts w:ascii="Century Gothic" w:hAnsi="Century Gothic"/>
        </w:rPr>
        <w:t xml:space="preserve"> all the time and most often</w:t>
      </w:r>
      <w:r w:rsidR="001A5D3B">
        <w:rPr>
          <w:rFonts w:ascii="Century Gothic" w:hAnsi="Century Gothic"/>
        </w:rPr>
        <w:t>, water is</w:t>
      </w:r>
      <w:r w:rsidRPr="000E3C60">
        <w:rPr>
          <w:rFonts w:ascii="Century Gothic" w:hAnsi="Century Gothic"/>
        </w:rPr>
        <w:t xml:space="preserve"> deliver</w:t>
      </w:r>
      <w:r w:rsidR="001A5D3B">
        <w:rPr>
          <w:rFonts w:ascii="Century Gothic" w:hAnsi="Century Gothic"/>
        </w:rPr>
        <w:t>ed</w:t>
      </w:r>
      <w:r w:rsidRPr="000E3C60">
        <w:rPr>
          <w:rFonts w:ascii="Century Gothic" w:hAnsi="Century Gothic"/>
        </w:rPr>
        <w:t xml:space="preserve"> in line with natural cues</w:t>
      </w:r>
      <w:r w:rsidR="004D63BA">
        <w:rPr>
          <w:rFonts w:ascii="Century Gothic" w:hAnsi="Century Gothic"/>
        </w:rPr>
        <w:t xml:space="preserve"> at levels well below existing constraints</w:t>
      </w:r>
      <w:r w:rsidRPr="000E3C60">
        <w:rPr>
          <w:rFonts w:ascii="Century Gothic" w:hAnsi="Century Gothic"/>
        </w:rPr>
        <w:t xml:space="preserve">. </w:t>
      </w:r>
    </w:p>
    <w:p w14:paraId="6C65026A" w14:textId="77777777" w:rsidR="007A7A94" w:rsidRDefault="00EC5E9F">
      <w:pPr>
        <w:spacing w:after="120"/>
        <w:rPr>
          <w:b/>
          <w:color w:val="5F497A" w:themeColor="accent4" w:themeShade="BF"/>
          <w:sz w:val="48"/>
          <w:szCs w:val="48"/>
          <w:lang w:val="en-GB" w:eastAsia="en-US"/>
        </w:rPr>
      </w:pPr>
      <w:r>
        <w:rPr>
          <w:caps/>
          <w:color w:val="5F497A" w:themeColor="accent4" w:themeShade="BF"/>
          <w:sz w:val="48"/>
          <w:szCs w:val="48"/>
          <w:lang w:val="en-GB" w:eastAsia="en-US"/>
        </w:rPr>
        <w:br w:type="page"/>
      </w:r>
    </w:p>
    <w:p w14:paraId="6C65026B" w14:textId="42EF3386" w:rsidR="007A7A94" w:rsidRDefault="00F028C6">
      <w:pPr>
        <w:pStyle w:val="Heading1"/>
        <w:spacing w:after="120"/>
      </w:pPr>
      <w:bookmarkStart w:id="164" w:name="_Toc517264663"/>
      <w:r w:rsidRPr="0022362D">
        <w:t>From planning to decision-making</w:t>
      </w:r>
      <w:bookmarkEnd w:id="164"/>
    </w:p>
    <w:p w14:paraId="6C65026C" w14:textId="77777777" w:rsidR="00B17604" w:rsidRDefault="00E47462">
      <w:pPr>
        <w:widowControl w:val="0"/>
        <w:spacing w:after="120"/>
        <w:rPr>
          <w:rFonts w:ascii="Century Gothic" w:hAnsi="Century Gothic"/>
          <w:lang w:val="en-GB"/>
        </w:rPr>
      </w:pPr>
      <w:r w:rsidRPr="00F00F71">
        <w:rPr>
          <w:rFonts w:ascii="Century Gothic" w:hAnsi="Century Gothic"/>
          <w:lang w:val="en-GB"/>
        </w:rPr>
        <w:t>Following the planning process outlined above, a number of factors specific to local conditions within catchments influences decision</w:t>
      </w:r>
      <w:r w:rsidR="00E83A6E" w:rsidRPr="00F00F71">
        <w:rPr>
          <w:rFonts w:ascii="Century Gothic" w:hAnsi="Century Gothic"/>
          <w:lang w:val="en-GB"/>
        </w:rPr>
        <w:t>–</w:t>
      </w:r>
      <w:r w:rsidRPr="00F00F71">
        <w:rPr>
          <w:rFonts w:ascii="Century Gothic" w:hAnsi="Century Gothic"/>
          <w:lang w:val="en-GB"/>
        </w:rPr>
        <w:t>making around water delivery</w:t>
      </w:r>
      <w:r w:rsidR="00E83A6E" w:rsidRPr="00F00F71">
        <w:rPr>
          <w:rFonts w:ascii="Century Gothic" w:hAnsi="Century Gothic"/>
          <w:lang w:val="en-GB"/>
        </w:rPr>
        <w:t>, carry over and trade (</w:t>
      </w:r>
      <w:r w:rsidR="00F94269" w:rsidRPr="00F94269">
        <w:rPr>
          <w:rFonts w:ascii="Century Gothic" w:hAnsi="Century Gothic"/>
        </w:rPr>
        <w:t>Figure 3</w:t>
      </w:r>
      <w:r w:rsidRPr="00F00F71">
        <w:rPr>
          <w:rFonts w:ascii="Century Gothic" w:hAnsi="Century Gothic"/>
          <w:lang w:val="en-GB"/>
        </w:rPr>
        <w:t xml:space="preserve">). </w:t>
      </w:r>
      <w:r w:rsidR="00737E24" w:rsidRPr="00930165">
        <w:rPr>
          <w:rFonts w:ascii="Century Gothic" w:hAnsi="Century Gothic"/>
          <w:lang w:val="en-GB"/>
        </w:rPr>
        <w:t xml:space="preserve">Local </w:t>
      </w:r>
      <w:r w:rsidR="00737E24">
        <w:rPr>
          <w:rFonts w:ascii="Century Gothic" w:hAnsi="Century Gothic"/>
          <w:lang w:val="en-GB"/>
        </w:rPr>
        <w:t>knowledge</w:t>
      </w:r>
      <w:r w:rsidR="00737E24" w:rsidRPr="00930165">
        <w:rPr>
          <w:rFonts w:ascii="Century Gothic" w:hAnsi="Century Gothic"/>
          <w:lang w:val="en-GB"/>
        </w:rPr>
        <w:t xml:space="preserve"> and experience is critical to effectively manage and deliver Commonwealth environmental water. </w:t>
      </w:r>
      <w:r w:rsidR="00737E24">
        <w:rPr>
          <w:rFonts w:ascii="Century Gothic" w:hAnsi="Century Gothic"/>
          <w:lang w:val="en-GB"/>
        </w:rPr>
        <w:t>S</w:t>
      </w:r>
      <w:r w:rsidR="00737E24" w:rsidRPr="00930165">
        <w:rPr>
          <w:rFonts w:ascii="Century Gothic" w:hAnsi="Century Gothic"/>
          <w:lang w:val="en-GB"/>
        </w:rPr>
        <w:t>takeholders</w:t>
      </w:r>
      <w:r w:rsidR="00737E24">
        <w:rPr>
          <w:rFonts w:ascii="Century Gothic" w:hAnsi="Century Gothic"/>
          <w:lang w:val="en-GB"/>
        </w:rPr>
        <w:t xml:space="preserve"> have an important role and provide critical information that informs each stage of</w:t>
      </w:r>
      <w:r w:rsidR="00737E24" w:rsidRPr="00930165">
        <w:rPr>
          <w:rFonts w:ascii="Century Gothic" w:hAnsi="Century Gothic"/>
          <w:lang w:val="en-GB"/>
        </w:rPr>
        <w:t xml:space="preserve"> the </w:t>
      </w:r>
      <w:r w:rsidR="00737E24">
        <w:rPr>
          <w:rFonts w:ascii="Century Gothic" w:hAnsi="Century Gothic"/>
          <w:lang w:val="en-GB"/>
        </w:rPr>
        <w:t>process for</w:t>
      </w:r>
      <w:r w:rsidR="00737E24" w:rsidRPr="00930165">
        <w:rPr>
          <w:rFonts w:ascii="Century Gothic" w:hAnsi="Century Gothic"/>
          <w:lang w:val="en-GB"/>
        </w:rPr>
        <w:t xml:space="preserve"> manag</w:t>
      </w:r>
      <w:r w:rsidR="00737E24">
        <w:rPr>
          <w:rFonts w:ascii="Century Gothic" w:hAnsi="Century Gothic"/>
          <w:lang w:val="en-GB"/>
        </w:rPr>
        <w:t>ing</w:t>
      </w:r>
      <w:r w:rsidR="00737E24" w:rsidRPr="00930165">
        <w:rPr>
          <w:rFonts w:ascii="Century Gothic" w:hAnsi="Century Gothic"/>
          <w:lang w:val="en-GB"/>
        </w:rPr>
        <w:t xml:space="preserve"> Commonwealth environmental water. </w:t>
      </w:r>
    </w:p>
    <w:p w14:paraId="6C65026D" w14:textId="77777777" w:rsidR="001A5D3B" w:rsidRPr="00F00F71" w:rsidRDefault="001A5D3B" w:rsidP="006026F2">
      <w:pPr>
        <w:widowControl w:val="0"/>
        <w:spacing w:after="120"/>
        <w:jc w:val="left"/>
        <w:rPr>
          <w:rFonts w:ascii="Century Gothic" w:hAnsi="Century Gothic"/>
          <w:lang w:val="en-GB"/>
        </w:rPr>
      </w:pPr>
    </w:p>
    <w:p w14:paraId="6C65026E" w14:textId="77777777" w:rsidR="007A7A94" w:rsidRDefault="00122785">
      <w:pPr>
        <w:pStyle w:val="ListBullet"/>
        <w:numPr>
          <w:ilvl w:val="0"/>
          <w:numId w:val="0"/>
        </w:numPr>
        <w:spacing w:after="120"/>
        <w:contextualSpacing/>
        <w:rPr>
          <w:rFonts w:ascii="Arial" w:hAnsi="Arial" w:cs="Arial"/>
        </w:rPr>
      </w:pPr>
      <w:r w:rsidRPr="00122785">
        <w:rPr>
          <w:noProof/>
        </w:rPr>
        <w:drawing>
          <wp:inline distT="0" distB="0" distL="0" distR="0" wp14:anchorId="6C65033A" wp14:editId="43639BF2">
            <wp:extent cx="5849620" cy="2626079"/>
            <wp:effectExtent l="0" t="0" r="0" b="3175"/>
            <wp:docPr id="4" name="Picture 1" descr="A figure showing the range of prevailing factors specific to local conditions within catchments that influence decision-making around water delivery, carryover and trade. These factors include environmental demands and opportunities at specific sites; anticipated environmental demands in coming years; forecast climatic conditions and current dam storage levels; physical and operational constraints to water delivery; environmental and operational risks; cost versus benefit assessment of each option; water account rules and carryover limits; long-term yield of entitlements and wise levels of carryover, given uncertainty about future environmental needs; and water market conditions. " title="Fig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849620" cy="2626079"/>
                    </a:xfrm>
                    <a:prstGeom prst="rect">
                      <a:avLst/>
                    </a:prstGeom>
                  </pic:spPr>
                </pic:pic>
              </a:graphicData>
            </a:graphic>
          </wp:inline>
        </w:drawing>
      </w:r>
    </w:p>
    <w:p w14:paraId="6C65026F" w14:textId="23C68BE3" w:rsidR="008B6031" w:rsidRDefault="008B6031" w:rsidP="008B6031">
      <w:pPr>
        <w:pStyle w:val="Caption"/>
      </w:pPr>
      <w:r w:rsidRPr="00737E24">
        <w:rPr>
          <w:rFonts w:ascii="Century Gothic" w:hAnsi="Century Gothic"/>
        </w:rPr>
        <w:t xml:space="preserve">Figure </w:t>
      </w:r>
      <w:r w:rsidR="00D848C1" w:rsidRPr="00737E24">
        <w:rPr>
          <w:rFonts w:ascii="Century Gothic" w:hAnsi="Century Gothic"/>
        </w:rPr>
        <w:fldChar w:fldCharType="begin"/>
      </w:r>
      <w:r w:rsidRPr="00737E24">
        <w:rPr>
          <w:rFonts w:ascii="Century Gothic" w:hAnsi="Century Gothic"/>
        </w:rPr>
        <w:instrText xml:space="preserve"> SEQ Figure \* ARABIC </w:instrText>
      </w:r>
      <w:r w:rsidR="00D848C1" w:rsidRPr="00737E24">
        <w:rPr>
          <w:rFonts w:ascii="Century Gothic" w:hAnsi="Century Gothic"/>
        </w:rPr>
        <w:fldChar w:fldCharType="separate"/>
      </w:r>
      <w:r w:rsidR="0044680F">
        <w:rPr>
          <w:rFonts w:ascii="Century Gothic" w:hAnsi="Century Gothic"/>
          <w:noProof/>
        </w:rPr>
        <w:t>3</w:t>
      </w:r>
      <w:r w:rsidR="00D848C1" w:rsidRPr="00737E24">
        <w:rPr>
          <w:rFonts w:ascii="Century Gothic" w:hAnsi="Century Gothic"/>
        </w:rPr>
        <w:fldChar w:fldCharType="end"/>
      </w:r>
      <w:r w:rsidRPr="00737E24">
        <w:rPr>
          <w:rFonts w:ascii="Century Gothic" w:hAnsi="Century Gothic"/>
          <w:bCs w:val="0"/>
        </w:rPr>
        <w:t>:</w:t>
      </w:r>
      <w:r w:rsidRPr="00737E24">
        <w:rPr>
          <w:rFonts w:ascii="Century Gothic" w:hAnsi="Century Gothic"/>
        </w:rPr>
        <w:t xml:space="preserve"> </w:t>
      </w:r>
      <w:r w:rsidRPr="00737E24">
        <w:rPr>
          <w:rFonts w:ascii="Century Gothic" w:hAnsi="Century Gothic"/>
          <w:b w:val="0"/>
        </w:rPr>
        <w:t>Factors informing planning and decision-making for Commonwealth environmental water</w:t>
      </w:r>
      <w:r w:rsidR="00326B4E">
        <w:rPr>
          <w:rFonts w:ascii="Century Gothic" w:hAnsi="Century Gothic"/>
          <w:b w:val="0"/>
        </w:rPr>
        <w:t>.</w:t>
      </w:r>
    </w:p>
    <w:p w14:paraId="6C650270" w14:textId="77777777" w:rsidR="007A7A94" w:rsidRDefault="007A7A94">
      <w:pPr>
        <w:pStyle w:val="Heading3"/>
        <w:numPr>
          <w:ilvl w:val="0"/>
          <w:numId w:val="0"/>
        </w:numPr>
        <w:spacing w:after="120"/>
        <w:rPr>
          <w:rFonts w:ascii="Arial" w:hAnsi="Arial"/>
          <w:b w:val="0"/>
          <w:i w:val="0"/>
        </w:rPr>
      </w:pPr>
    </w:p>
    <w:p w14:paraId="6C650271" w14:textId="5CAF5A53" w:rsidR="007A7A94" w:rsidRDefault="00ED2168">
      <w:pPr>
        <w:pStyle w:val="Heading11"/>
        <w:spacing w:before="0" w:after="120"/>
        <w:ind w:left="851" w:hanging="851"/>
      </w:pPr>
      <w:bookmarkStart w:id="165" w:name="_Toc420502901"/>
      <w:bookmarkStart w:id="166" w:name="_Toc420502940"/>
      <w:bookmarkStart w:id="167" w:name="_Toc420926941"/>
      <w:bookmarkStart w:id="168" w:name="_Toc422389624"/>
      <w:bookmarkStart w:id="169" w:name="_Toc444088401"/>
      <w:bookmarkStart w:id="170" w:name="_Toc444088460"/>
      <w:bookmarkStart w:id="171" w:name="_Toc444088555"/>
      <w:bookmarkStart w:id="172" w:name="_Toc444088617"/>
      <w:bookmarkStart w:id="173" w:name="_Toc444091234"/>
      <w:bookmarkStart w:id="174" w:name="_Toc444091351"/>
      <w:bookmarkStart w:id="175" w:name="_Toc444091511"/>
      <w:bookmarkStart w:id="176" w:name="_Toc444247166"/>
      <w:bookmarkStart w:id="177" w:name="_Toc444247393"/>
      <w:bookmarkStart w:id="178" w:name="_Toc444258388"/>
      <w:bookmarkStart w:id="179" w:name="_Toc444259181"/>
      <w:bookmarkStart w:id="180" w:name="_Toc420502902"/>
      <w:bookmarkStart w:id="181" w:name="_Toc420502941"/>
      <w:bookmarkStart w:id="182" w:name="_Toc420926942"/>
      <w:bookmarkStart w:id="183" w:name="_Toc422389625"/>
      <w:bookmarkStart w:id="184" w:name="_Toc444088402"/>
      <w:bookmarkStart w:id="185" w:name="_Toc444088461"/>
      <w:bookmarkStart w:id="186" w:name="_Toc444088556"/>
      <w:bookmarkStart w:id="187" w:name="_Toc444088618"/>
      <w:bookmarkStart w:id="188" w:name="_Toc444091235"/>
      <w:bookmarkStart w:id="189" w:name="_Toc444091352"/>
      <w:bookmarkStart w:id="190" w:name="_Toc444091512"/>
      <w:bookmarkStart w:id="191" w:name="_Toc444247167"/>
      <w:bookmarkStart w:id="192" w:name="_Toc444247394"/>
      <w:bookmarkStart w:id="193" w:name="_Toc444258389"/>
      <w:bookmarkStart w:id="194" w:name="_Toc444259182"/>
      <w:bookmarkStart w:id="195" w:name="_Toc420502903"/>
      <w:bookmarkStart w:id="196" w:name="_Toc420502942"/>
      <w:bookmarkStart w:id="197" w:name="_Toc420926943"/>
      <w:bookmarkStart w:id="198" w:name="_Toc422389626"/>
      <w:bookmarkStart w:id="199" w:name="_Toc444088403"/>
      <w:bookmarkStart w:id="200" w:name="_Toc444088462"/>
      <w:bookmarkStart w:id="201" w:name="_Toc444088557"/>
      <w:bookmarkStart w:id="202" w:name="_Toc444088619"/>
      <w:bookmarkStart w:id="203" w:name="_Toc444091236"/>
      <w:bookmarkStart w:id="204" w:name="_Toc444091353"/>
      <w:bookmarkStart w:id="205" w:name="_Toc444091513"/>
      <w:bookmarkStart w:id="206" w:name="_Toc444247168"/>
      <w:bookmarkStart w:id="207" w:name="_Toc444247395"/>
      <w:bookmarkStart w:id="208" w:name="_Toc444258390"/>
      <w:bookmarkStart w:id="209" w:name="_Toc444259183"/>
      <w:bookmarkStart w:id="210" w:name="_Toc420502904"/>
      <w:bookmarkStart w:id="211" w:name="_Toc420502943"/>
      <w:bookmarkStart w:id="212" w:name="_Toc420926944"/>
      <w:bookmarkStart w:id="213" w:name="_Toc422389627"/>
      <w:bookmarkStart w:id="214" w:name="_Toc444088404"/>
      <w:bookmarkStart w:id="215" w:name="_Toc444088463"/>
      <w:bookmarkStart w:id="216" w:name="_Toc444088558"/>
      <w:bookmarkStart w:id="217" w:name="_Toc444088620"/>
      <w:bookmarkStart w:id="218" w:name="_Toc444091237"/>
      <w:bookmarkStart w:id="219" w:name="_Toc444091354"/>
      <w:bookmarkStart w:id="220" w:name="_Toc444091514"/>
      <w:bookmarkStart w:id="221" w:name="_Toc444247169"/>
      <w:bookmarkStart w:id="222" w:name="_Toc444247396"/>
      <w:bookmarkStart w:id="223" w:name="_Toc444258391"/>
      <w:bookmarkStart w:id="224" w:name="_Toc444259184"/>
      <w:bookmarkStart w:id="225" w:name="_Toc444259185"/>
      <w:bookmarkStart w:id="226" w:name="_Toc5172646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22362D">
        <w:t>Commonwealth environmental watering decisions</w:t>
      </w:r>
      <w:bookmarkEnd w:id="226"/>
    </w:p>
    <w:p w14:paraId="6C650272" w14:textId="278DB293" w:rsidR="00B17604" w:rsidRDefault="0079257F">
      <w:pPr>
        <w:widowControl w:val="0"/>
        <w:spacing w:after="120"/>
        <w:rPr>
          <w:rFonts w:ascii="Century Gothic" w:hAnsi="Century Gothic"/>
          <w:lang w:val="en-GB"/>
        </w:rPr>
      </w:pPr>
      <w:r w:rsidRPr="00930165">
        <w:rPr>
          <w:rFonts w:ascii="Century Gothic" w:hAnsi="Century Gothic"/>
          <w:lang w:val="en-GB"/>
        </w:rPr>
        <w:t xml:space="preserve">The planning phase is the first stage in the cycle of environmental water management. </w:t>
      </w:r>
      <w:r>
        <w:rPr>
          <w:rFonts w:ascii="Century Gothic" w:hAnsi="Century Gothic"/>
          <w:lang w:val="en-GB"/>
        </w:rPr>
        <w:t xml:space="preserve">The </w:t>
      </w:r>
      <w:r w:rsidRPr="00930165">
        <w:rPr>
          <w:rFonts w:ascii="Century Gothic" w:hAnsi="Century Gothic"/>
          <w:lang w:val="en-GB"/>
        </w:rPr>
        <w:t>planning process occurs on an annual basis between January and the end of June</w:t>
      </w:r>
      <w:r>
        <w:rPr>
          <w:rFonts w:ascii="Century Gothic" w:hAnsi="Century Gothic"/>
          <w:lang w:val="en-GB"/>
        </w:rPr>
        <w:t>,</w:t>
      </w:r>
      <w:r w:rsidRPr="00930165">
        <w:rPr>
          <w:rFonts w:ascii="Century Gothic" w:hAnsi="Century Gothic"/>
          <w:lang w:val="en-GB"/>
        </w:rPr>
        <w:t xml:space="preserve"> </w:t>
      </w:r>
      <w:r>
        <w:rPr>
          <w:rFonts w:ascii="Century Gothic" w:hAnsi="Century Gothic"/>
          <w:lang w:val="en-GB"/>
        </w:rPr>
        <w:t>and each planning</w:t>
      </w:r>
      <w:r w:rsidRPr="00930165">
        <w:rPr>
          <w:rFonts w:ascii="Century Gothic" w:hAnsi="Century Gothic"/>
          <w:lang w:val="en-GB"/>
        </w:rPr>
        <w:t xml:space="preserve"> document represents the culmination of months of work and consultation</w:t>
      </w:r>
      <w:r>
        <w:rPr>
          <w:rFonts w:ascii="Century Gothic" w:hAnsi="Century Gothic"/>
          <w:lang w:val="en-GB"/>
        </w:rPr>
        <w:t>.</w:t>
      </w:r>
      <w:r w:rsidRPr="00930165">
        <w:rPr>
          <w:rFonts w:ascii="Century Gothic" w:hAnsi="Century Gothic"/>
          <w:lang w:val="en-GB"/>
        </w:rPr>
        <w:t xml:space="preserve"> Throughout the planning process</w:t>
      </w:r>
      <w:r w:rsidR="00E83A6E">
        <w:rPr>
          <w:rFonts w:ascii="Century Gothic" w:hAnsi="Century Gothic"/>
          <w:lang w:val="en-GB"/>
        </w:rPr>
        <w:t>,</w:t>
      </w:r>
      <w:r w:rsidRPr="00930165">
        <w:rPr>
          <w:rFonts w:ascii="Century Gothic" w:hAnsi="Century Gothic"/>
          <w:lang w:val="en-GB"/>
        </w:rPr>
        <w:t xml:space="preserve"> the </w:t>
      </w:r>
      <w:r w:rsidR="00857534">
        <w:rPr>
          <w:rFonts w:ascii="Century Gothic" w:hAnsi="Century Gothic"/>
          <w:lang w:val="en-GB"/>
        </w:rPr>
        <w:t>Commonwealth Environmental Water Office</w:t>
      </w:r>
      <w:r w:rsidRPr="00930165">
        <w:rPr>
          <w:rFonts w:ascii="Century Gothic" w:hAnsi="Century Gothic"/>
          <w:lang w:val="en-GB"/>
        </w:rPr>
        <w:t xml:space="preserve"> consults closely with </w:t>
      </w:r>
      <w:r>
        <w:rPr>
          <w:rFonts w:ascii="Century Gothic" w:hAnsi="Century Gothic"/>
          <w:lang w:val="en-GB"/>
        </w:rPr>
        <w:t>s</w:t>
      </w:r>
      <w:r w:rsidRPr="00930165">
        <w:rPr>
          <w:rFonts w:ascii="Century Gothic" w:hAnsi="Century Gothic"/>
          <w:lang w:val="en-GB"/>
        </w:rPr>
        <w:t xml:space="preserve">tate environmental water managers, river operators and local environmental water advisory groups. The information gathered as part of the planning process feeds into the development of </w:t>
      </w:r>
      <w:r w:rsidR="00E83A6E">
        <w:rPr>
          <w:rFonts w:ascii="Century Gothic" w:hAnsi="Century Gothic"/>
          <w:lang w:val="en-GB"/>
        </w:rPr>
        <w:t>watering intentions</w:t>
      </w:r>
      <w:r w:rsidRPr="00930165">
        <w:rPr>
          <w:rFonts w:ascii="Century Gothic" w:hAnsi="Century Gothic"/>
          <w:lang w:val="en-GB"/>
        </w:rPr>
        <w:t xml:space="preserve"> for the following water year.  </w:t>
      </w:r>
    </w:p>
    <w:p w14:paraId="6C650273" w14:textId="77777777" w:rsidR="00B17604" w:rsidRDefault="0079257F">
      <w:pPr>
        <w:widowControl w:val="0"/>
        <w:spacing w:after="120"/>
        <w:rPr>
          <w:rFonts w:ascii="Century Gothic" w:hAnsi="Century Gothic"/>
          <w:lang w:val="en-GB"/>
        </w:rPr>
      </w:pPr>
      <w:r w:rsidRPr="00930165">
        <w:rPr>
          <w:rFonts w:ascii="Century Gothic" w:hAnsi="Century Gothic"/>
          <w:lang w:val="en-GB"/>
        </w:rPr>
        <w:t>Towards the beginning of the new water year</w:t>
      </w:r>
      <w:r w:rsidR="00E83A6E">
        <w:rPr>
          <w:rFonts w:ascii="Century Gothic" w:hAnsi="Century Gothic"/>
          <w:lang w:val="en-GB"/>
        </w:rPr>
        <w:t>,</w:t>
      </w:r>
      <w:r w:rsidRPr="00930165">
        <w:rPr>
          <w:rFonts w:ascii="Century Gothic" w:hAnsi="Century Gothic"/>
          <w:lang w:val="en-GB"/>
        </w:rPr>
        <w:t xml:space="preserve"> the focus shifts from planning to implementation. Greater </w:t>
      </w:r>
      <w:r>
        <w:rPr>
          <w:rFonts w:ascii="Century Gothic" w:hAnsi="Century Gothic"/>
          <w:lang w:val="en-GB"/>
        </w:rPr>
        <w:t>consideration</w:t>
      </w:r>
      <w:r w:rsidRPr="00930165">
        <w:rPr>
          <w:rFonts w:ascii="Century Gothic" w:hAnsi="Century Gothic"/>
          <w:lang w:val="en-GB"/>
        </w:rPr>
        <w:t xml:space="preserve"> is given to current and forecast catchment conditions and water availability to determine </w:t>
      </w:r>
      <w:r w:rsidR="00E83A6E">
        <w:rPr>
          <w:rFonts w:ascii="Century Gothic" w:hAnsi="Century Gothic"/>
          <w:lang w:val="en-GB"/>
        </w:rPr>
        <w:t>whether the watering intentions</w:t>
      </w:r>
      <w:r w:rsidRPr="00930165">
        <w:rPr>
          <w:rFonts w:ascii="Century Gothic" w:hAnsi="Century Gothic"/>
          <w:lang w:val="en-GB"/>
        </w:rPr>
        <w:t xml:space="preserve"> </w:t>
      </w:r>
      <w:r>
        <w:rPr>
          <w:rFonts w:ascii="Century Gothic" w:hAnsi="Century Gothic"/>
          <w:lang w:val="en-GB"/>
        </w:rPr>
        <w:t>identified during</w:t>
      </w:r>
      <w:r w:rsidRPr="00930165">
        <w:rPr>
          <w:rFonts w:ascii="Century Gothic" w:hAnsi="Century Gothic"/>
          <w:lang w:val="en-GB"/>
        </w:rPr>
        <w:t xml:space="preserve"> the planning process can </w:t>
      </w:r>
      <w:r>
        <w:rPr>
          <w:rFonts w:ascii="Century Gothic" w:hAnsi="Century Gothic"/>
          <w:lang w:val="en-GB"/>
        </w:rPr>
        <w:t xml:space="preserve">feasibly be implemented. </w:t>
      </w:r>
      <w:r w:rsidRPr="00930165">
        <w:rPr>
          <w:rFonts w:ascii="Century Gothic" w:hAnsi="Century Gothic"/>
          <w:lang w:val="en-GB"/>
        </w:rPr>
        <w:t>Local on-ground knowledge is important for detail</w:t>
      </w:r>
      <w:r>
        <w:rPr>
          <w:rFonts w:ascii="Century Gothic" w:hAnsi="Century Gothic"/>
          <w:lang w:val="en-GB"/>
        </w:rPr>
        <w:t>ing</w:t>
      </w:r>
      <w:r w:rsidRPr="00930165">
        <w:rPr>
          <w:rFonts w:ascii="Century Gothic" w:hAnsi="Century Gothic"/>
          <w:lang w:val="en-GB"/>
        </w:rPr>
        <w:t xml:space="preserve"> a specific watering action</w:t>
      </w:r>
      <w:r>
        <w:rPr>
          <w:rFonts w:ascii="Century Gothic" w:hAnsi="Century Gothic"/>
          <w:lang w:val="en-GB"/>
        </w:rPr>
        <w:t xml:space="preserve"> including the flow</w:t>
      </w:r>
      <w:r w:rsidRPr="00930165">
        <w:rPr>
          <w:rFonts w:ascii="Century Gothic" w:hAnsi="Century Gothic"/>
          <w:lang w:val="en-GB"/>
        </w:rPr>
        <w:t xml:space="preserve"> magnitude, timing, triggers for commencement, rates of rise and fall and </w:t>
      </w:r>
      <w:r>
        <w:rPr>
          <w:rFonts w:ascii="Century Gothic" w:hAnsi="Century Gothic"/>
          <w:lang w:val="en-GB"/>
        </w:rPr>
        <w:t xml:space="preserve">the </w:t>
      </w:r>
      <w:r w:rsidRPr="00930165">
        <w:rPr>
          <w:rFonts w:ascii="Century Gothic" w:hAnsi="Century Gothic"/>
          <w:lang w:val="en-GB"/>
        </w:rPr>
        <w:t xml:space="preserve">area to be inundated. </w:t>
      </w:r>
    </w:p>
    <w:p w14:paraId="6C650274" w14:textId="77777777" w:rsidR="00B17604" w:rsidRDefault="0079257F">
      <w:pPr>
        <w:widowControl w:val="0"/>
        <w:spacing w:after="120"/>
        <w:rPr>
          <w:rFonts w:ascii="Century Gothic" w:hAnsi="Century Gothic"/>
          <w:lang w:val="en-GB"/>
        </w:rPr>
      </w:pPr>
      <w:r w:rsidRPr="00930165">
        <w:rPr>
          <w:rFonts w:ascii="Century Gothic" w:hAnsi="Century Gothic"/>
          <w:lang w:val="en-GB"/>
        </w:rPr>
        <w:t xml:space="preserve">Once </w:t>
      </w:r>
      <w:r>
        <w:rPr>
          <w:rFonts w:ascii="Century Gothic" w:hAnsi="Century Gothic"/>
          <w:lang w:val="en-GB"/>
        </w:rPr>
        <w:t>an action has been scoped in more detail</w:t>
      </w:r>
      <w:r w:rsidR="00E83A6E">
        <w:rPr>
          <w:rFonts w:ascii="Century Gothic" w:hAnsi="Century Gothic"/>
          <w:lang w:val="en-GB"/>
        </w:rPr>
        <w:t>,</w:t>
      </w:r>
      <w:r>
        <w:rPr>
          <w:rFonts w:ascii="Century Gothic" w:hAnsi="Century Gothic"/>
          <w:lang w:val="en-GB"/>
        </w:rPr>
        <w:t xml:space="preserve"> an assessment</w:t>
      </w:r>
      <w:r w:rsidRPr="00930165">
        <w:rPr>
          <w:rFonts w:ascii="Century Gothic" w:hAnsi="Century Gothic"/>
          <w:lang w:val="en-GB"/>
        </w:rPr>
        <w:t xml:space="preserve"> </w:t>
      </w:r>
      <w:r>
        <w:rPr>
          <w:rFonts w:ascii="Century Gothic" w:hAnsi="Century Gothic"/>
          <w:lang w:val="en-GB"/>
        </w:rPr>
        <w:t xml:space="preserve">is undertaken </w:t>
      </w:r>
      <w:r w:rsidRPr="00930165">
        <w:rPr>
          <w:rFonts w:ascii="Century Gothic" w:hAnsi="Century Gothic"/>
          <w:lang w:val="en-GB"/>
        </w:rPr>
        <w:t xml:space="preserve">against the following criteria: </w:t>
      </w:r>
    </w:p>
    <w:p w14:paraId="6C650275" w14:textId="77777777" w:rsidR="007A7A94" w:rsidRDefault="0079257F" w:rsidP="00BC0CD5">
      <w:pPr>
        <w:pStyle w:val="ListBullet"/>
        <w:numPr>
          <w:ilvl w:val="0"/>
          <w:numId w:val="17"/>
        </w:numPr>
        <w:spacing w:after="120"/>
        <w:ind w:left="425" w:hanging="425"/>
        <w:jc w:val="left"/>
        <w:rPr>
          <w:rFonts w:ascii="Century Gothic" w:hAnsi="Century Gothic"/>
        </w:rPr>
      </w:pPr>
      <w:r w:rsidRPr="00971C54">
        <w:rPr>
          <w:rFonts w:ascii="Century Gothic" w:hAnsi="Century Gothic"/>
        </w:rPr>
        <w:t>ecological value of the river, floodplain or wetland</w:t>
      </w:r>
    </w:p>
    <w:p w14:paraId="6C650276" w14:textId="77777777" w:rsidR="007A7A94" w:rsidRDefault="0079257F" w:rsidP="00BC0CD5">
      <w:pPr>
        <w:pStyle w:val="ListBullet"/>
        <w:numPr>
          <w:ilvl w:val="0"/>
          <w:numId w:val="17"/>
        </w:numPr>
        <w:spacing w:after="120"/>
        <w:ind w:left="425" w:hanging="425"/>
        <w:jc w:val="left"/>
        <w:rPr>
          <w:rFonts w:ascii="Century Gothic" w:hAnsi="Century Gothic"/>
        </w:rPr>
      </w:pPr>
      <w:r w:rsidRPr="00971C54">
        <w:rPr>
          <w:rFonts w:ascii="Century Gothic" w:hAnsi="Century Gothic"/>
        </w:rPr>
        <w:t>expected outcomes from watering</w:t>
      </w:r>
    </w:p>
    <w:p w14:paraId="6C650277" w14:textId="77777777" w:rsidR="007A7A94" w:rsidRDefault="0079257F" w:rsidP="00BC0CD5">
      <w:pPr>
        <w:pStyle w:val="ListBullet"/>
        <w:numPr>
          <w:ilvl w:val="0"/>
          <w:numId w:val="17"/>
        </w:numPr>
        <w:spacing w:after="120"/>
        <w:ind w:left="425" w:hanging="425"/>
        <w:jc w:val="left"/>
        <w:rPr>
          <w:rFonts w:ascii="Century Gothic" w:hAnsi="Century Gothic"/>
        </w:rPr>
      </w:pPr>
      <w:r w:rsidRPr="00971C54">
        <w:rPr>
          <w:rFonts w:ascii="Century Gothic" w:hAnsi="Century Gothic"/>
        </w:rPr>
        <w:t>potential risks of watering</w:t>
      </w:r>
    </w:p>
    <w:p w14:paraId="6C650278" w14:textId="77777777" w:rsidR="007A7A94" w:rsidRDefault="0079257F" w:rsidP="00BC0CD5">
      <w:pPr>
        <w:pStyle w:val="ListBullet"/>
        <w:numPr>
          <w:ilvl w:val="0"/>
          <w:numId w:val="17"/>
        </w:numPr>
        <w:spacing w:after="120"/>
        <w:ind w:left="425" w:hanging="425"/>
        <w:jc w:val="left"/>
        <w:rPr>
          <w:rFonts w:ascii="Century Gothic" w:hAnsi="Century Gothic"/>
        </w:rPr>
      </w:pPr>
      <w:r w:rsidRPr="00971C54">
        <w:rPr>
          <w:rFonts w:ascii="Century Gothic" w:hAnsi="Century Gothic"/>
        </w:rPr>
        <w:t>long-term sustainability and management of the site</w:t>
      </w:r>
    </w:p>
    <w:p w14:paraId="6C650279" w14:textId="77777777" w:rsidR="007A7A94" w:rsidRDefault="0079257F" w:rsidP="00BC0CD5">
      <w:pPr>
        <w:pStyle w:val="ListBullet"/>
        <w:numPr>
          <w:ilvl w:val="0"/>
          <w:numId w:val="17"/>
        </w:numPr>
        <w:spacing w:after="120"/>
        <w:ind w:left="425" w:hanging="425"/>
        <w:jc w:val="left"/>
        <w:rPr>
          <w:rFonts w:ascii="Century Gothic" w:hAnsi="Century Gothic"/>
        </w:rPr>
      </w:pPr>
      <w:r w:rsidRPr="00971C54">
        <w:rPr>
          <w:rFonts w:ascii="Century Gothic" w:hAnsi="Century Gothic"/>
        </w:rPr>
        <w:t xml:space="preserve">cost effectiveness and feasibility of watering. </w:t>
      </w:r>
    </w:p>
    <w:p w14:paraId="6C65027A" w14:textId="0F6A50A1" w:rsidR="00B17604" w:rsidRDefault="0079257F">
      <w:pPr>
        <w:pStyle w:val="Para0"/>
        <w:spacing w:after="120" w:line="240" w:lineRule="auto"/>
        <w:rPr>
          <w:rFonts w:ascii="Century Gothic" w:hAnsi="Century Gothic"/>
        </w:rPr>
      </w:pPr>
      <w:r w:rsidRPr="00971C54">
        <w:rPr>
          <w:rFonts w:ascii="Century Gothic" w:hAnsi="Century Gothic"/>
          <w:color w:val="auto"/>
        </w:rPr>
        <w:t xml:space="preserve">Following the </w:t>
      </w:r>
      <w:r>
        <w:rPr>
          <w:rFonts w:ascii="Century Gothic" w:hAnsi="Century Gothic"/>
          <w:color w:val="auto"/>
        </w:rPr>
        <w:t>scoping</w:t>
      </w:r>
      <w:r w:rsidRPr="00971C54">
        <w:rPr>
          <w:rFonts w:ascii="Century Gothic" w:hAnsi="Century Gothic"/>
          <w:color w:val="auto"/>
        </w:rPr>
        <w:t xml:space="preserve"> and assessment of</w:t>
      </w:r>
      <w:r>
        <w:rPr>
          <w:rFonts w:ascii="Century Gothic" w:hAnsi="Century Gothic"/>
          <w:color w:val="auto"/>
        </w:rPr>
        <w:t xml:space="preserve"> potential</w:t>
      </w:r>
      <w:r w:rsidRPr="00971C54">
        <w:rPr>
          <w:rFonts w:ascii="Century Gothic" w:hAnsi="Century Gothic"/>
          <w:color w:val="auto"/>
        </w:rPr>
        <w:t xml:space="preserve"> watering </w:t>
      </w:r>
      <w:r>
        <w:rPr>
          <w:rFonts w:ascii="Century Gothic" w:hAnsi="Century Gothic"/>
          <w:color w:val="auto"/>
        </w:rPr>
        <w:t>actions</w:t>
      </w:r>
      <w:r w:rsidRPr="00971C54">
        <w:rPr>
          <w:rFonts w:ascii="Century Gothic" w:hAnsi="Century Gothic"/>
          <w:color w:val="auto"/>
        </w:rPr>
        <w:t xml:space="preserve">, </w:t>
      </w:r>
      <w:r>
        <w:rPr>
          <w:rFonts w:ascii="Century Gothic" w:hAnsi="Century Gothic"/>
          <w:color w:val="auto"/>
        </w:rPr>
        <w:t xml:space="preserve">the </w:t>
      </w:r>
      <w:r w:rsidR="00857534">
        <w:rPr>
          <w:rFonts w:ascii="Century Gothic" w:hAnsi="Century Gothic"/>
          <w:color w:val="auto"/>
        </w:rPr>
        <w:t>Commonwealth Environmental Water Holder</w:t>
      </w:r>
      <w:r>
        <w:rPr>
          <w:rFonts w:ascii="Century Gothic" w:hAnsi="Century Gothic"/>
          <w:color w:val="auto"/>
        </w:rPr>
        <w:t xml:space="preserve"> is required to make a decision on whether or not to commit the water and funds required to support the watering action. In doing so</w:t>
      </w:r>
      <w:r w:rsidR="00E83A6E">
        <w:rPr>
          <w:rFonts w:ascii="Century Gothic" w:hAnsi="Century Gothic"/>
          <w:color w:val="auto"/>
        </w:rPr>
        <w:t>,</w:t>
      </w:r>
      <w:r>
        <w:rPr>
          <w:rFonts w:ascii="Century Gothic" w:hAnsi="Century Gothic"/>
          <w:color w:val="auto"/>
        </w:rPr>
        <w:t xml:space="preserve"> the </w:t>
      </w:r>
      <w:r w:rsidR="00857534">
        <w:rPr>
          <w:rFonts w:ascii="Century Gothic" w:hAnsi="Century Gothic"/>
        </w:rPr>
        <w:t xml:space="preserve">Commonwealth Environmental Water Holder </w:t>
      </w:r>
      <w:r w:rsidRPr="00971C54">
        <w:rPr>
          <w:rFonts w:ascii="Century Gothic" w:hAnsi="Century Gothic"/>
        </w:rPr>
        <w:t xml:space="preserve"> also has regard to the Basin </w:t>
      </w:r>
      <w:r w:rsidR="004B5F50">
        <w:rPr>
          <w:rFonts w:ascii="Century Gothic" w:hAnsi="Century Gothic"/>
        </w:rPr>
        <w:t>a</w:t>
      </w:r>
      <w:r w:rsidRPr="00971C54">
        <w:rPr>
          <w:rFonts w:ascii="Century Gothic" w:hAnsi="Century Gothic"/>
        </w:rPr>
        <w:t>nnual</w:t>
      </w:r>
      <w:r w:rsidR="004B5F50">
        <w:rPr>
          <w:rFonts w:ascii="Century Gothic" w:hAnsi="Century Gothic"/>
        </w:rPr>
        <w:t xml:space="preserve"> environmental watering</w:t>
      </w:r>
      <w:r w:rsidRPr="00971C54">
        <w:rPr>
          <w:rFonts w:ascii="Century Gothic" w:hAnsi="Century Gothic"/>
        </w:rPr>
        <w:t xml:space="preserve"> </w:t>
      </w:r>
      <w:r w:rsidR="004B5F50">
        <w:rPr>
          <w:rFonts w:ascii="Century Gothic" w:hAnsi="Century Gothic"/>
        </w:rPr>
        <w:t>p</w:t>
      </w:r>
      <w:r w:rsidRPr="00971C54">
        <w:rPr>
          <w:rFonts w:ascii="Century Gothic" w:hAnsi="Century Gothic"/>
        </w:rPr>
        <w:t>riorities</w:t>
      </w:r>
      <w:r w:rsidR="00E83A6E">
        <w:rPr>
          <w:rFonts w:ascii="Century Gothic" w:hAnsi="Century Gothic"/>
        </w:rPr>
        <w:t>,</w:t>
      </w:r>
      <w:r>
        <w:rPr>
          <w:rFonts w:ascii="Century Gothic" w:hAnsi="Century Gothic"/>
        </w:rPr>
        <w:t xml:space="preserve"> as required by the Basin Plan. </w:t>
      </w:r>
    </w:p>
    <w:p w14:paraId="6C65027B" w14:textId="1B985817" w:rsidR="00B17604" w:rsidRDefault="0079257F">
      <w:pPr>
        <w:pStyle w:val="Para0"/>
        <w:spacing w:after="120" w:line="240" w:lineRule="auto"/>
        <w:rPr>
          <w:rFonts w:ascii="Century Gothic" w:hAnsi="Century Gothic"/>
          <w:color w:val="auto"/>
        </w:rPr>
      </w:pPr>
      <w:r>
        <w:rPr>
          <w:rFonts w:ascii="Century Gothic" w:hAnsi="Century Gothic"/>
        </w:rPr>
        <w:t xml:space="preserve">When a decision is made by the </w:t>
      </w:r>
      <w:r w:rsidR="00857534">
        <w:rPr>
          <w:rFonts w:ascii="Century Gothic" w:hAnsi="Century Gothic"/>
        </w:rPr>
        <w:t>Commonwealth Environmental Water Holder</w:t>
      </w:r>
      <w:r w:rsidR="002B3E00">
        <w:rPr>
          <w:rFonts w:ascii="Century Gothic" w:hAnsi="Century Gothic"/>
        </w:rPr>
        <w:t xml:space="preserve"> </w:t>
      </w:r>
      <w:r>
        <w:rPr>
          <w:rFonts w:ascii="Century Gothic" w:hAnsi="Century Gothic"/>
        </w:rPr>
        <w:t>to proceed with a watering action</w:t>
      </w:r>
      <w:r w:rsidR="004B5F50">
        <w:rPr>
          <w:rFonts w:ascii="Century Gothic" w:hAnsi="Century Gothic"/>
        </w:rPr>
        <w:t>,</w:t>
      </w:r>
      <w:r>
        <w:rPr>
          <w:rFonts w:ascii="Century Gothic" w:hAnsi="Century Gothic"/>
        </w:rPr>
        <w:t xml:space="preserve"> a</w:t>
      </w:r>
      <w:r w:rsidRPr="00971C54">
        <w:rPr>
          <w:rFonts w:ascii="Century Gothic" w:hAnsi="Century Gothic"/>
          <w:color w:val="auto"/>
        </w:rPr>
        <w:t xml:space="preserve">rrangements </w:t>
      </w:r>
      <w:r>
        <w:rPr>
          <w:rFonts w:ascii="Century Gothic" w:hAnsi="Century Gothic"/>
          <w:color w:val="auto"/>
        </w:rPr>
        <w:t xml:space="preserve">for </w:t>
      </w:r>
      <w:r>
        <w:rPr>
          <w:rFonts w:ascii="Century Gothic" w:hAnsi="Century Gothic"/>
        </w:rPr>
        <w:t xml:space="preserve">implementation </w:t>
      </w:r>
      <w:r w:rsidRPr="00971C54">
        <w:rPr>
          <w:rFonts w:ascii="Century Gothic" w:hAnsi="Century Gothic"/>
          <w:color w:val="auto"/>
        </w:rPr>
        <w:t>are</w:t>
      </w:r>
      <w:r>
        <w:rPr>
          <w:rFonts w:ascii="Century Gothic" w:hAnsi="Century Gothic"/>
          <w:color w:val="auto"/>
        </w:rPr>
        <w:t xml:space="preserve"> </w:t>
      </w:r>
      <w:r w:rsidRPr="00971C54">
        <w:rPr>
          <w:rFonts w:ascii="Century Gothic" w:hAnsi="Century Gothic"/>
          <w:color w:val="auto"/>
        </w:rPr>
        <w:t>made with delivery partners</w:t>
      </w:r>
      <w:r>
        <w:rPr>
          <w:rFonts w:ascii="Century Gothic" w:hAnsi="Century Gothic"/>
          <w:color w:val="auto"/>
        </w:rPr>
        <w:t xml:space="preserve">. This </w:t>
      </w:r>
      <w:r w:rsidRPr="00971C54">
        <w:rPr>
          <w:rFonts w:ascii="Century Gothic" w:hAnsi="Century Gothic"/>
          <w:color w:val="auto"/>
        </w:rPr>
        <w:t>includ</w:t>
      </w:r>
      <w:r>
        <w:rPr>
          <w:rFonts w:ascii="Century Gothic" w:hAnsi="Century Gothic"/>
          <w:color w:val="auto"/>
        </w:rPr>
        <w:t>es</w:t>
      </w:r>
      <w:r w:rsidRPr="00971C54">
        <w:rPr>
          <w:rFonts w:ascii="Century Gothic" w:hAnsi="Century Gothic"/>
          <w:color w:val="auto"/>
        </w:rPr>
        <w:t xml:space="preserve"> river operators, who manage the delivery of the w</w:t>
      </w:r>
      <w:r>
        <w:rPr>
          <w:rFonts w:ascii="Century Gothic" w:hAnsi="Century Gothic"/>
          <w:color w:val="auto"/>
        </w:rPr>
        <w:t>ater and operational monitoring. Local community involvement is crucial at this stage of implementation and during water delivery as conditions can change rapidly and may result in the need to adjust, suspend or even cancel the watering action.</w:t>
      </w:r>
    </w:p>
    <w:p w14:paraId="6C65027C" w14:textId="77777777" w:rsidR="00B17604" w:rsidRDefault="0079257F">
      <w:pPr>
        <w:pStyle w:val="Para0"/>
        <w:spacing w:after="120" w:line="240" w:lineRule="auto"/>
        <w:rPr>
          <w:rFonts w:ascii="Century Gothic" w:hAnsi="Century Gothic"/>
          <w:color w:val="auto"/>
        </w:rPr>
      </w:pPr>
      <w:r w:rsidRPr="00971C54">
        <w:rPr>
          <w:rFonts w:ascii="Century Gothic" w:hAnsi="Century Gothic"/>
          <w:color w:val="auto"/>
        </w:rPr>
        <w:t xml:space="preserve">Upon completion of the watering </w:t>
      </w:r>
      <w:r>
        <w:rPr>
          <w:rFonts w:ascii="Century Gothic" w:hAnsi="Century Gothic"/>
          <w:color w:val="auto"/>
        </w:rPr>
        <w:t>action</w:t>
      </w:r>
      <w:r w:rsidRPr="00971C54">
        <w:rPr>
          <w:rFonts w:ascii="Century Gothic" w:hAnsi="Century Gothic"/>
          <w:color w:val="auto"/>
        </w:rPr>
        <w:t>, a review process</w:t>
      </w:r>
      <w:r>
        <w:rPr>
          <w:rFonts w:ascii="Century Gothic" w:hAnsi="Century Gothic"/>
          <w:color w:val="auto"/>
        </w:rPr>
        <w:t>, which generally takes place from March through to October,</w:t>
      </w:r>
      <w:r w:rsidRPr="00971C54">
        <w:rPr>
          <w:rFonts w:ascii="Century Gothic" w:hAnsi="Century Gothic"/>
          <w:color w:val="auto"/>
        </w:rPr>
        <w:t xml:space="preserve"> informs future watering </w:t>
      </w:r>
      <w:r>
        <w:rPr>
          <w:rFonts w:ascii="Century Gothic" w:hAnsi="Century Gothic"/>
          <w:color w:val="auto"/>
        </w:rPr>
        <w:t>actions</w:t>
      </w:r>
      <w:r w:rsidRPr="00971C54">
        <w:rPr>
          <w:rFonts w:ascii="Century Gothic" w:hAnsi="Century Gothic"/>
          <w:color w:val="auto"/>
        </w:rPr>
        <w:t xml:space="preserve"> and long term management. </w:t>
      </w:r>
      <w:r>
        <w:rPr>
          <w:rFonts w:ascii="Century Gothic" w:hAnsi="Century Gothic"/>
          <w:color w:val="auto"/>
        </w:rPr>
        <w:t>This review is informed by the weekly operational monitoring, results of ecological monitoring, and feedback provided by site managers and the local community.</w:t>
      </w:r>
    </w:p>
    <w:p w14:paraId="6C65027D" w14:textId="375EDBDD" w:rsidR="00607A70" w:rsidRPr="00607A70" w:rsidRDefault="000B72BF" w:rsidP="00607A70">
      <w:pPr>
        <w:ind w:left="-426"/>
        <w:jc w:val="center"/>
      </w:pPr>
      <w:r>
        <w:rPr>
          <w:noProof/>
        </w:rPr>
        <w:drawing>
          <wp:inline distT="0" distB="0" distL="0" distR="0" wp14:anchorId="1013D24B" wp14:editId="5BE7616F">
            <wp:extent cx="6034405" cy="5277485"/>
            <wp:effectExtent l="0" t="0" r="4445" b="0"/>
            <wp:docPr id="132" name="Picture 132" descr="This timeline illustrates the annual management process for Commonwealth environmental water.&#10;From January through to June, annual planning of Commonwealth environmental water use occurs with the Commonwealth Environmental Water Holder (CEWH) approving the Portfolio Management Plans for each catchment. Through an assessment of catchment conditions, unrealistic or unfeasible watering actions are eliminated. The planning process then feeds into the implementation process, which runs across the whole water year. Detailed planning and risk assessments of the feasible watering actions are made. The relevant approval documentation for watering actions is developed and the CEWH makes the final decision on all actions. If approved, the watering action is implemented with ongoing weekly operational monitoring, followed by a report to finalise the action (an acquittal report). The CEWH may make decisions to change, suspend of cancel watering actions to reflect changing conditions.&#10; In the final months of the watering year and in the beginning of the next, from March to October, a review of all watering actions within a catchment takes place. Additionally short and long term ecological monitoring occurs by other agencies and through the Long Term Intervention Monitoring programme. These reviews feed back into the planning process.   &#10;Stakeholder input is used throughout the entire process, Including annual planning, assessment of catchment conditions, detailed planning and risk assessments of watering actions, implementation of watering actions, monitoring (both operational and ecological) watering actions and reviewing watering actions." title="Figure 4. The annual man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4405" cy="5277485"/>
                    </a:xfrm>
                    <a:prstGeom prst="rect">
                      <a:avLst/>
                    </a:prstGeom>
                    <a:noFill/>
                  </pic:spPr>
                </pic:pic>
              </a:graphicData>
            </a:graphic>
          </wp:inline>
        </w:drawing>
      </w:r>
    </w:p>
    <w:p w14:paraId="6C65027E" w14:textId="10340D7B" w:rsidR="008B6031" w:rsidRDefault="00607A70" w:rsidP="008B6031">
      <w:pPr>
        <w:pStyle w:val="Caption"/>
        <w:jc w:val="left"/>
        <w:rPr>
          <w:rFonts w:ascii="Century Gothic" w:hAnsi="Century Gothic"/>
          <w:b w:val="0"/>
          <w:bCs w:val="0"/>
        </w:rPr>
      </w:pPr>
      <w:r w:rsidRPr="00607A70">
        <w:rPr>
          <w:noProof/>
        </w:rPr>
        <w:t xml:space="preserve"> </w:t>
      </w:r>
      <w:r w:rsidR="008B6031" w:rsidRPr="00C14C40">
        <w:rPr>
          <w:rFonts w:ascii="Century Gothic" w:hAnsi="Century Gothic"/>
        </w:rPr>
        <w:t xml:space="preserve">Figure </w:t>
      </w:r>
      <w:r w:rsidR="00D848C1" w:rsidRPr="00C14C40">
        <w:rPr>
          <w:rFonts w:ascii="Century Gothic" w:hAnsi="Century Gothic"/>
        </w:rPr>
        <w:fldChar w:fldCharType="begin"/>
      </w:r>
      <w:r w:rsidR="008B6031" w:rsidRPr="00C14C40">
        <w:rPr>
          <w:rFonts w:ascii="Century Gothic" w:hAnsi="Century Gothic"/>
        </w:rPr>
        <w:instrText xml:space="preserve"> SEQ Figure \* ARABIC </w:instrText>
      </w:r>
      <w:r w:rsidR="00D848C1" w:rsidRPr="00C14C40">
        <w:rPr>
          <w:rFonts w:ascii="Century Gothic" w:hAnsi="Century Gothic"/>
        </w:rPr>
        <w:fldChar w:fldCharType="separate"/>
      </w:r>
      <w:r w:rsidR="0044680F">
        <w:rPr>
          <w:rFonts w:ascii="Century Gothic" w:hAnsi="Century Gothic"/>
          <w:noProof/>
        </w:rPr>
        <w:t>4</w:t>
      </w:r>
      <w:r w:rsidR="00D848C1" w:rsidRPr="00C14C40">
        <w:rPr>
          <w:rFonts w:ascii="Century Gothic" w:hAnsi="Century Gothic"/>
        </w:rPr>
        <w:fldChar w:fldCharType="end"/>
      </w:r>
      <w:r w:rsidR="008B6031" w:rsidRPr="00E078BB">
        <w:rPr>
          <w:rFonts w:ascii="Century Gothic" w:hAnsi="Century Gothic"/>
          <w:bCs w:val="0"/>
        </w:rPr>
        <w:t xml:space="preserve">: </w:t>
      </w:r>
      <w:r w:rsidR="008B6031" w:rsidRPr="00E078BB">
        <w:rPr>
          <w:rFonts w:ascii="Century Gothic" w:hAnsi="Century Gothic"/>
          <w:b w:val="0"/>
          <w:bCs w:val="0"/>
        </w:rPr>
        <w:t>The annual management process for C</w:t>
      </w:r>
      <w:r w:rsidR="008B6031">
        <w:rPr>
          <w:rFonts w:ascii="Century Gothic" w:hAnsi="Century Gothic"/>
          <w:b w:val="0"/>
          <w:bCs w:val="0"/>
        </w:rPr>
        <w:t>ommonwealth environmental water</w:t>
      </w:r>
      <w:r w:rsidR="005F6C5F">
        <w:rPr>
          <w:rFonts w:ascii="Century Gothic" w:hAnsi="Century Gothic"/>
          <w:b w:val="0"/>
          <w:bCs w:val="0"/>
        </w:rPr>
        <w:t xml:space="preserve"> from the beginning of the water year (June) to the final review phase post the end of the water yea</w:t>
      </w:r>
      <w:r w:rsidR="00F059F0">
        <w:rPr>
          <w:rFonts w:ascii="Century Gothic" w:hAnsi="Century Gothic"/>
          <w:b w:val="0"/>
          <w:bCs w:val="0"/>
        </w:rPr>
        <w:t>r</w:t>
      </w:r>
      <w:r w:rsidR="005F6C5F">
        <w:rPr>
          <w:rFonts w:ascii="Century Gothic" w:hAnsi="Century Gothic"/>
          <w:b w:val="0"/>
          <w:bCs w:val="0"/>
        </w:rPr>
        <w:t xml:space="preserve"> (October).</w:t>
      </w:r>
    </w:p>
    <w:p w14:paraId="6C650280" w14:textId="77777777" w:rsidR="007A7A94" w:rsidRDefault="0079257F" w:rsidP="00607A70">
      <w:pPr>
        <w:pStyle w:val="Para0"/>
        <w:spacing w:after="120" w:line="240" w:lineRule="auto"/>
        <w:jc w:val="left"/>
        <w:rPr>
          <w:rFonts w:ascii="Century Gothic" w:hAnsi="Century Gothic" w:cs="Arial"/>
          <w:b/>
        </w:rPr>
      </w:pPr>
      <w:r w:rsidRPr="00971C54">
        <w:rPr>
          <w:rFonts w:ascii="Century Gothic" w:hAnsi="Century Gothic"/>
          <w:color w:val="auto"/>
        </w:rPr>
        <w:t xml:space="preserve">For further information see the </w:t>
      </w:r>
      <w:r w:rsidRPr="00971C54">
        <w:rPr>
          <w:rFonts w:ascii="Century Gothic" w:hAnsi="Century Gothic"/>
          <w:i/>
          <w:color w:val="auto"/>
        </w:rPr>
        <w:t xml:space="preserve">Framework for Determining Commonwealth environmental water use </w:t>
      </w:r>
      <w:r w:rsidRPr="00971C54">
        <w:rPr>
          <w:rFonts w:ascii="Century Gothic" w:hAnsi="Century Gothic"/>
          <w:color w:val="auto"/>
        </w:rPr>
        <w:t>(</w:t>
      </w:r>
      <w:r w:rsidRPr="00971C54">
        <w:rPr>
          <w:rFonts w:ascii="Century Gothic" w:hAnsi="Century Gothic" w:cs="Arial"/>
          <w:color w:val="auto"/>
        </w:rPr>
        <w:t xml:space="preserve">available at: </w:t>
      </w:r>
      <w:hyperlink r:id="rId36" w:history="1">
        <w:r w:rsidR="008450E5" w:rsidRPr="002B6397">
          <w:rPr>
            <w:rStyle w:val="Hyperlink"/>
            <w:rFonts w:ascii="Century Gothic" w:hAnsi="Century Gothic" w:cs="Arial"/>
          </w:rPr>
          <w:t>www.environment.gov.au/water/cewo/publications/framework-determining-cew-use</w:t>
        </w:r>
      </w:hyperlink>
      <w:r w:rsidR="008450E5">
        <w:rPr>
          <w:rFonts w:ascii="Century Gothic" w:hAnsi="Century Gothic" w:cs="Arial"/>
          <w:color w:val="auto"/>
        </w:rPr>
        <w:t>).</w:t>
      </w:r>
      <w:r w:rsidR="008F7615">
        <w:rPr>
          <w:rFonts w:ascii="Century Gothic" w:hAnsi="Century Gothic"/>
        </w:rPr>
        <w:br w:type="page"/>
      </w:r>
    </w:p>
    <w:p w14:paraId="6C650281" w14:textId="77777777" w:rsidR="007A7A94" w:rsidRDefault="00EC5E9F">
      <w:pPr>
        <w:pStyle w:val="Heading11"/>
        <w:spacing w:before="0" w:after="120"/>
      </w:pPr>
      <w:bookmarkStart w:id="227" w:name="_Toc517264665"/>
      <w:bookmarkStart w:id="228" w:name="_Toc418060473"/>
      <w:r w:rsidRPr="006C2670">
        <w:t xml:space="preserve">Carryover </w:t>
      </w:r>
      <w:r w:rsidRPr="003D0A27">
        <w:t>decision</w:t>
      </w:r>
      <w:r>
        <w:t>-</w:t>
      </w:r>
      <w:r w:rsidRPr="006C2670">
        <w:t>making</w:t>
      </w:r>
      <w:bookmarkEnd w:id="227"/>
    </w:p>
    <w:p w14:paraId="6C650282" w14:textId="77777777" w:rsidR="00B17604" w:rsidRDefault="00EC5E9F">
      <w:pPr>
        <w:pStyle w:val="ListBullet"/>
        <w:numPr>
          <w:ilvl w:val="0"/>
          <w:numId w:val="0"/>
        </w:numPr>
        <w:spacing w:after="120"/>
        <w:rPr>
          <w:rFonts w:ascii="Century Gothic" w:hAnsi="Century Gothic"/>
        </w:rPr>
      </w:pPr>
      <w:r w:rsidRPr="00943A6E">
        <w:rPr>
          <w:rFonts w:ascii="Century Gothic" w:hAnsi="Century Gothic"/>
        </w:rPr>
        <w:t>Carryover rules are set by States and vary markedly for different entitlements and in different water plan areas across the Basin. The carryover limits, account limits and use limits apply to all entitlement holders including the Commonwealth.</w:t>
      </w:r>
      <w:r>
        <w:rPr>
          <w:rFonts w:ascii="Century Gothic" w:hAnsi="Century Gothic"/>
        </w:rPr>
        <w:t xml:space="preserve"> When making carryover decisions, c</w:t>
      </w:r>
      <w:r w:rsidRPr="00F028C6">
        <w:rPr>
          <w:rFonts w:ascii="Century Gothic" w:hAnsi="Century Gothic"/>
        </w:rPr>
        <w:t>onsiderations include:</w:t>
      </w:r>
    </w:p>
    <w:p w14:paraId="477F6D3A" w14:textId="77777777" w:rsidR="00BE2C71" w:rsidRDefault="00BE2C71" w:rsidP="00BE2C71">
      <w:pPr>
        <w:pStyle w:val="ListBullet"/>
        <w:numPr>
          <w:ilvl w:val="0"/>
          <w:numId w:val="17"/>
        </w:numPr>
        <w:spacing w:after="120"/>
        <w:ind w:left="425" w:hanging="425"/>
        <w:jc w:val="left"/>
        <w:rPr>
          <w:rFonts w:ascii="Century Gothic" w:hAnsi="Century Gothic"/>
        </w:rPr>
      </w:pPr>
      <w:r>
        <w:rPr>
          <w:rFonts w:ascii="Century Gothic" w:hAnsi="Century Gothic"/>
        </w:rPr>
        <w:t>having</w:t>
      </w:r>
      <w:r w:rsidRPr="00F028C6">
        <w:rPr>
          <w:rFonts w:ascii="Century Gothic" w:hAnsi="Century Gothic"/>
        </w:rPr>
        <w:t xml:space="preserve"> sufficient water in accounts for environmental watering actions that occur early in a water year</w:t>
      </w:r>
    </w:p>
    <w:p w14:paraId="318B7FB6" w14:textId="77777777" w:rsidR="00BE2C71" w:rsidRDefault="00BE2C71" w:rsidP="00BE2C71">
      <w:pPr>
        <w:pStyle w:val="ListBullet"/>
        <w:numPr>
          <w:ilvl w:val="0"/>
          <w:numId w:val="17"/>
        </w:numPr>
        <w:spacing w:after="120"/>
        <w:ind w:left="425" w:hanging="425"/>
        <w:jc w:val="left"/>
        <w:rPr>
          <w:rFonts w:ascii="Century Gothic" w:hAnsi="Century Gothic"/>
        </w:rPr>
      </w:pPr>
      <w:r w:rsidRPr="00994672">
        <w:rPr>
          <w:rFonts w:ascii="Century Gothic" w:hAnsi="Century Gothic"/>
        </w:rPr>
        <w:t>considering the risk of carryover of water in accounts that may be subject to trade restrictions through the following water year.</w:t>
      </w:r>
    </w:p>
    <w:p w14:paraId="486936CD" w14:textId="77777777" w:rsidR="00BE2C71" w:rsidRDefault="00BE2C71" w:rsidP="00BE2C71">
      <w:pPr>
        <w:pStyle w:val="ListBullet"/>
        <w:numPr>
          <w:ilvl w:val="0"/>
          <w:numId w:val="17"/>
        </w:numPr>
        <w:spacing w:after="120"/>
        <w:ind w:left="425" w:hanging="425"/>
        <w:jc w:val="left"/>
        <w:rPr>
          <w:rFonts w:ascii="Century Gothic" w:hAnsi="Century Gothic"/>
        </w:rPr>
      </w:pPr>
      <w:r w:rsidRPr="00F028C6">
        <w:rPr>
          <w:rFonts w:ascii="Century Gothic" w:hAnsi="Century Gothic"/>
        </w:rPr>
        <w:t>consider</w:t>
      </w:r>
      <w:r>
        <w:rPr>
          <w:rFonts w:ascii="Century Gothic" w:hAnsi="Century Gothic"/>
        </w:rPr>
        <w:t>ing</w:t>
      </w:r>
      <w:r w:rsidRPr="00F028C6">
        <w:rPr>
          <w:rFonts w:ascii="Century Gothic" w:hAnsi="Century Gothic"/>
        </w:rPr>
        <w:t xml:space="preserve"> the cost-effectiveness with regard to the cost of water delivery and transfer fees against the potential market cost of water being reallocated under State rules</w:t>
      </w:r>
    </w:p>
    <w:p w14:paraId="6C650283" w14:textId="77777777" w:rsidR="00B17604" w:rsidRDefault="00EC5E9F" w:rsidP="00BC0CD5">
      <w:pPr>
        <w:pStyle w:val="ListBullet"/>
        <w:numPr>
          <w:ilvl w:val="0"/>
          <w:numId w:val="17"/>
        </w:numPr>
        <w:spacing w:after="120"/>
        <w:ind w:left="425" w:hanging="425"/>
        <w:jc w:val="left"/>
        <w:rPr>
          <w:rFonts w:ascii="Century Gothic" w:hAnsi="Century Gothic"/>
        </w:rPr>
      </w:pPr>
      <w:r w:rsidRPr="00F028C6">
        <w:rPr>
          <w:rFonts w:ascii="Century Gothic" w:hAnsi="Century Gothic"/>
        </w:rPr>
        <w:t>minimis</w:t>
      </w:r>
      <w:r>
        <w:rPr>
          <w:rFonts w:ascii="Century Gothic" w:hAnsi="Century Gothic"/>
        </w:rPr>
        <w:t>ing</w:t>
      </w:r>
      <w:r w:rsidRPr="00F028C6">
        <w:rPr>
          <w:rFonts w:ascii="Century Gothic" w:hAnsi="Century Gothic"/>
        </w:rPr>
        <w:t xml:space="preserve"> the risk of water being reallocated under State rules by carrying over water in accounts with better carryover provisions</w:t>
      </w:r>
    </w:p>
    <w:p w14:paraId="6C650287" w14:textId="304692D7" w:rsidR="007A7A94" w:rsidRDefault="00E47462">
      <w:pPr>
        <w:pStyle w:val="Heading11"/>
        <w:spacing w:before="0" w:after="120"/>
      </w:pPr>
      <w:bookmarkStart w:id="229" w:name="_Toc517264666"/>
      <w:r w:rsidRPr="006C2670">
        <w:t xml:space="preserve">Trade of </w:t>
      </w:r>
      <w:r w:rsidRPr="003D0A27">
        <w:t>environmental</w:t>
      </w:r>
      <w:r w:rsidRPr="006C2670">
        <w:t xml:space="preserve"> water allocations</w:t>
      </w:r>
      <w:bookmarkEnd w:id="228"/>
      <w:bookmarkEnd w:id="229"/>
    </w:p>
    <w:p w14:paraId="6C650288" w14:textId="1AD9B641" w:rsidR="00B17604" w:rsidRDefault="004A0A0D">
      <w:pPr>
        <w:tabs>
          <w:tab w:val="left" w:pos="1134"/>
        </w:tabs>
        <w:spacing w:after="120"/>
        <w:rPr>
          <w:rFonts w:ascii="Century Gothic" w:hAnsi="Century Gothic"/>
        </w:rPr>
      </w:pPr>
      <w:r>
        <w:rPr>
          <w:rFonts w:ascii="Century Gothic" w:hAnsi="Century Gothic"/>
        </w:rPr>
        <w:t>Decisions</w:t>
      </w:r>
      <w:r w:rsidR="00653339">
        <w:rPr>
          <w:rFonts w:ascii="Century Gothic" w:hAnsi="Century Gothic"/>
        </w:rPr>
        <w:t xml:space="preserve"> to </w:t>
      </w:r>
      <w:r w:rsidR="00BB14C6">
        <w:rPr>
          <w:rFonts w:ascii="Century Gothic" w:hAnsi="Century Gothic"/>
        </w:rPr>
        <w:t>sell</w:t>
      </w:r>
      <w:r w:rsidR="00653339">
        <w:rPr>
          <w:rFonts w:ascii="Century Gothic" w:hAnsi="Century Gothic"/>
        </w:rPr>
        <w:t xml:space="preserve"> water allocation</w:t>
      </w:r>
      <w:r>
        <w:rPr>
          <w:rFonts w:ascii="Century Gothic" w:hAnsi="Century Gothic"/>
        </w:rPr>
        <w:t>s</w:t>
      </w:r>
      <w:r w:rsidR="00653339">
        <w:rPr>
          <w:rFonts w:ascii="Century Gothic" w:hAnsi="Century Gothic"/>
        </w:rPr>
        <w:t xml:space="preserve"> </w:t>
      </w:r>
      <w:r>
        <w:rPr>
          <w:rFonts w:ascii="Century Gothic" w:hAnsi="Century Gothic"/>
        </w:rPr>
        <w:t>are</w:t>
      </w:r>
      <w:r w:rsidR="00653339">
        <w:rPr>
          <w:rFonts w:ascii="Century Gothic" w:hAnsi="Century Gothic"/>
        </w:rPr>
        <w:t xml:space="preserve"> made</w:t>
      </w:r>
      <w:r>
        <w:rPr>
          <w:rFonts w:ascii="Century Gothic" w:hAnsi="Century Gothic"/>
        </w:rPr>
        <w:t xml:space="preserve"> by the </w:t>
      </w:r>
      <w:r w:rsidR="00857534">
        <w:rPr>
          <w:rFonts w:ascii="Century Gothic" w:hAnsi="Century Gothic"/>
        </w:rPr>
        <w:t>Commonwealth Environmental Water Holder</w:t>
      </w:r>
      <w:r w:rsidR="002B3E00">
        <w:rPr>
          <w:rFonts w:ascii="Century Gothic" w:hAnsi="Century Gothic"/>
        </w:rPr>
        <w:t xml:space="preserve"> </w:t>
      </w:r>
      <w:r w:rsidR="00BB14C6">
        <w:rPr>
          <w:rFonts w:ascii="Century Gothic" w:hAnsi="Century Gothic"/>
        </w:rPr>
        <w:t xml:space="preserve">consistent with the obligations under </w:t>
      </w:r>
      <w:r w:rsidR="007D76E4">
        <w:rPr>
          <w:rFonts w:ascii="Century Gothic" w:hAnsi="Century Gothic"/>
        </w:rPr>
        <w:t xml:space="preserve">s.106 of the </w:t>
      </w:r>
      <w:r>
        <w:rPr>
          <w:rFonts w:ascii="Century Gothic" w:hAnsi="Century Gothic"/>
        </w:rPr>
        <w:t>Water Act.</w:t>
      </w:r>
      <w:r w:rsidR="00BB14C6">
        <w:rPr>
          <w:rFonts w:ascii="Century Gothic" w:hAnsi="Century Gothic"/>
        </w:rPr>
        <w:t xml:space="preserve"> Broadly, Commonwealth environmental water </w:t>
      </w:r>
      <w:r w:rsidR="007503FA">
        <w:rPr>
          <w:rFonts w:ascii="Century Gothic" w:hAnsi="Century Gothic"/>
        </w:rPr>
        <w:t>can be sold i</w:t>
      </w:r>
      <w:r w:rsidR="00A85FC6">
        <w:rPr>
          <w:rFonts w:ascii="Century Gothic" w:hAnsi="Century Gothic"/>
        </w:rPr>
        <w:t>f one of two conditions are met:</w:t>
      </w:r>
    </w:p>
    <w:p w14:paraId="6C650289" w14:textId="77777777" w:rsidR="00B17604" w:rsidRPr="000C1F89" w:rsidRDefault="008C4671">
      <w:pPr>
        <w:pStyle w:val="ListParagraph"/>
        <w:numPr>
          <w:ilvl w:val="0"/>
          <w:numId w:val="108"/>
        </w:numPr>
        <w:tabs>
          <w:tab w:val="left" w:pos="1134"/>
        </w:tabs>
        <w:spacing w:after="120"/>
        <w:rPr>
          <w:rFonts w:ascii="Century Gothic" w:hAnsi="Century Gothic"/>
        </w:rPr>
      </w:pPr>
      <w:r w:rsidRPr="000C1F89">
        <w:rPr>
          <w:rFonts w:ascii="Century Gothic" w:hAnsi="Century Gothic"/>
        </w:rPr>
        <w:t>Allocations can be sold if they are not required during the water year and either:</w:t>
      </w:r>
    </w:p>
    <w:p w14:paraId="6C65028A" w14:textId="77777777" w:rsidR="00B17604" w:rsidRPr="000C1F89" w:rsidRDefault="008C4671">
      <w:pPr>
        <w:pStyle w:val="ListParagraph"/>
        <w:numPr>
          <w:ilvl w:val="1"/>
          <w:numId w:val="108"/>
        </w:numPr>
        <w:tabs>
          <w:tab w:val="left" w:pos="1134"/>
        </w:tabs>
        <w:spacing w:after="120"/>
        <w:rPr>
          <w:rFonts w:ascii="Century Gothic" w:hAnsi="Century Gothic"/>
        </w:rPr>
      </w:pPr>
      <w:r w:rsidRPr="000C1F89">
        <w:rPr>
          <w:rFonts w:ascii="Century Gothic" w:hAnsi="Century Gothic"/>
        </w:rPr>
        <w:t>cannot be carried over; or</w:t>
      </w:r>
    </w:p>
    <w:p w14:paraId="6C65028B" w14:textId="77777777" w:rsidR="00B17604" w:rsidRPr="000C1F89" w:rsidRDefault="008C4671">
      <w:pPr>
        <w:pStyle w:val="ListParagraph"/>
        <w:numPr>
          <w:ilvl w:val="1"/>
          <w:numId w:val="108"/>
        </w:numPr>
        <w:tabs>
          <w:tab w:val="left" w:pos="1134"/>
        </w:tabs>
        <w:spacing w:after="120"/>
        <w:rPr>
          <w:rFonts w:ascii="Century Gothic" w:hAnsi="Century Gothic"/>
        </w:rPr>
      </w:pPr>
      <w:r w:rsidRPr="000C1F89">
        <w:rPr>
          <w:rFonts w:ascii="Century Gothic" w:hAnsi="Century Gothic"/>
        </w:rPr>
        <w:t>retaining the water is likely to result in forgoing future allocations due to account limits (section 106(2))</w:t>
      </w:r>
    </w:p>
    <w:p w14:paraId="6C65028C" w14:textId="77777777" w:rsidR="00B17604" w:rsidRPr="000C1F89" w:rsidRDefault="008C4671">
      <w:pPr>
        <w:pStyle w:val="ListParagraph"/>
        <w:numPr>
          <w:ilvl w:val="0"/>
          <w:numId w:val="0"/>
        </w:numPr>
        <w:tabs>
          <w:tab w:val="left" w:pos="1134"/>
        </w:tabs>
        <w:spacing w:after="120"/>
        <w:ind w:left="720"/>
        <w:rPr>
          <w:rFonts w:ascii="Century Gothic" w:hAnsi="Century Gothic"/>
        </w:rPr>
      </w:pPr>
      <w:r w:rsidRPr="000C1F89">
        <w:rPr>
          <w:rFonts w:ascii="Century Gothic" w:hAnsi="Century Gothic"/>
        </w:rPr>
        <w:t xml:space="preserve">Proceeds can be used in the same way as other Special Account funds. </w:t>
      </w:r>
    </w:p>
    <w:p w14:paraId="6C65028D" w14:textId="523894AF" w:rsidR="00B17604" w:rsidRPr="000C1F89" w:rsidRDefault="008C4671">
      <w:pPr>
        <w:pStyle w:val="ListParagraph"/>
        <w:numPr>
          <w:ilvl w:val="0"/>
          <w:numId w:val="108"/>
        </w:numPr>
        <w:tabs>
          <w:tab w:val="left" w:pos="1134"/>
        </w:tabs>
        <w:spacing w:after="120"/>
        <w:rPr>
          <w:rFonts w:ascii="Century Gothic" w:hAnsi="Century Gothic"/>
        </w:rPr>
      </w:pPr>
      <w:r w:rsidRPr="000C1F89">
        <w:rPr>
          <w:rFonts w:ascii="Century Gothic" w:hAnsi="Century Gothic"/>
        </w:rPr>
        <w:t xml:space="preserve">Allocations can be sold if the proceeds will be used to purchase water and/or invest in environmental activities, where the </w:t>
      </w:r>
      <w:r w:rsidR="00857534">
        <w:rPr>
          <w:rFonts w:ascii="Century Gothic" w:hAnsi="Century Gothic"/>
        </w:rPr>
        <w:t>Commonwealth Environmental Water Holder</w:t>
      </w:r>
      <w:r w:rsidR="002B3E00">
        <w:rPr>
          <w:rFonts w:ascii="Century Gothic" w:hAnsi="Century Gothic"/>
        </w:rPr>
        <w:t xml:space="preserve"> </w:t>
      </w:r>
      <w:r w:rsidRPr="000C1F89">
        <w:rPr>
          <w:rFonts w:ascii="Century Gothic" w:hAnsi="Century Gothic"/>
        </w:rPr>
        <w:t>reasonably believes this will provide greater capacity to achieve environmental objectives (section 106(3)).</w:t>
      </w:r>
      <w:r w:rsidR="00A85FC6" w:rsidRPr="000C1F89">
        <w:rPr>
          <w:rFonts w:ascii="Century Gothic" w:hAnsi="Century Gothic"/>
        </w:rPr>
        <w:t xml:space="preserve"> </w:t>
      </w:r>
    </w:p>
    <w:p w14:paraId="6C65028E" w14:textId="0FA49864" w:rsidR="00B17604" w:rsidRDefault="00773D47">
      <w:pPr>
        <w:tabs>
          <w:tab w:val="left" w:pos="1134"/>
        </w:tabs>
        <w:spacing w:after="120"/>
        <w:rPr>
          <w:rFonts w:ascii="Century Gothic" w:hAnsi="Century Gothic"/>
        </w:rPr>
      </w:pPr>
      <w:r w:rsidRPr="00A85FC6">
        <w:rPr>
          <w:rFonts w:ascii="Century Gothic" w:hAnsi="Century Gothic"/>
        </w:rPr>
        <w:t xml:space="preserve">The decision to </w:t>
      </w:r>
      <w:r w:rsidR="00BD521F" w:rsidRPr="00A85FC6">
        <w:rPr>
          <w:rFonts w:ascii="Century Gothic" w:hAnsi="Century Gothic"/>
        </w:rPr>
        <w:t>trade</w:t>
      </w:r>
      <w:r w:rsidRPr="00A85FC6">
        <w:rPr>
          <w:rFonts w:ascii="Century Gothic" w:hAnsi="Century Gothic"/>
        </w:rPr>
        <w:t xml:space="preserve"> water </w:t>
      </w:r>
      <w:r w:rsidR="00CC014F">
        <w:rPr>
          <w:rFonts w:ascii="Century Gothic" w:hAnsi="Century Gothic"/>
        </w:rPr>
        <w:t>is</w:t>
      </w:r>
      <w:r w:rsidR="007503FA">
        <w:rPr>
          <w:rFonts w:ascii="Century Gothic" w:hAnsi="Century Gothic"/>
        </w:rPr>
        <w:t xml:space="preserve"> </w:t>
      </w:r>
      <w:r w:rsidRPr="00A85FC6">
        <w:rPr>
          <w:rFonts w:ascii="Century Gothic" w:hAnsi="Century Gothic"/>
        </w:rPr>
        <w:t>made after considering: the current and forecast volume of water available in Commonwealth accounts; the balance of available environmental water (supply) to meet identified environmental demands; and (where appropriate) the prudent level of carryover.</w:t>
      </w:r>
      <w:r w:rsidR="00A1513F" w:rsidRPr="00A85FC6">
        <w:rPr>
          <w:rFonts w:ascii="Century Gothic" w:hAnsi="Century Gothic"/>
        </w:rPr>
        <w:t xml:space="preserve"> </w:t>
      </w:r>
      <w:r w:rsidR="0080132D" w:rsidRPr="00A85FC6">
        <w:rPr>
          <w:rFonts w:ascii="Century Gothic" w:hAnsi="Century Gothic"/>
        </w:rPr>
        <w:t xml:space="preserve">Decisions to trade also </w:t>
      </w:r>
      <w:r w:rsidR="00A5429A" w:rsidRPr="00A85FC6">
        <w:rPr>
          <w:rFonts w:ascii="Century Gothic" w:hAnsi="Century Gothic"/>
        </w:rPr>
        <w:t>include undertaking a market assessment</w:t>
      </w:r>
      <w:r w:rsidR="00EC5E9F" w:rsidRPr="00A85FC6">
        <w:rPr>
          <w:rFonts w:ascii="Century Gothic" w:hAnsi="Century Gothic"/>
        </w:rPr>
        <w:t>,</w:t>
      </w:r>
      <w:r w:rsidR="00A5429A" w:rsidRPr="00A85FC6">
        <w:rPr>
          <w:rFonts w:ascii="Century Gothic" w:hAnsi="Century Gothic"/>
        </w:rPr>
        <w:t xml:space="preserve"> which informs the mechanisms available to trade water</w:t>
      </w:r>
      <w:r w:rsidR="004A0A0D" w:rsidRPr="00A85FC6">
        <w:rPr>
          <w:rFonts w:ascii="Century Gothic" w:hAnsi="Century Gothic"/>
        </w:rPr>
        <w:t xml:space="preserve">, the volume of water to be </w:t>
      </w:r>
      <w:r w:rsidR="007D76E4" w:rsidRPr="00A85FC6">
        <w:rPr>
          <w:rFonts w:ascii="Century Gothic" w:hAnsi="Century Gothic"/>
        </w:rPr>
        <w:t xml:space="preserve">pursued or </w:t>
      </w:r>
      <w:r w:rsidR="004A0A0D" w:rsidRPr="00A85FC6">
        <w:rPr>
          <w:rFonts w:ascii="Century Gothic" w:hAnsi="Century Gothic"/>
        </w:rPr>
        <w:t>made available</w:t>
      </w:r>
      <w:r w:rsidR="007D76E4" w:rsidRPr="00A85FC6">
        <w:rPr>
          <w:rFonts w:ascii="Century Gothic" w:hAnsi="Century Gothic"/>
        </w:rPr>
        <w:t xml:space="preserve"> from the holdings,</w:t>
      </w:r>
      <w:r w:rsidR="00A5429A" w:rsidRPr="00A85FC6">
        <w:rPr>
          <w:rFonts w:ascii="Century Gothic" w:hAnsi="Century Gothic"/>
        </w:rPr>
        <w:t xml:space="preserve"> </w:t>
      </w:r>
      <w:r w:rsidR="004A0A0D" w:rsidRPr="00A85FC6">
        <w:rPr>
          <w:rFonts w:ascii="Century Gothic" w:hAnsi="Century Gothic"/>
        </w:rPr>
        <w:t xml:space="preserve">the </w:t>
      </w:r>
      <w:r w:rsidR="00A5429A" w:rsidRPr="00A85FC6">
        <w:rPr>
          <w:rFonts w:ascii="Century Gothic" w:hAnsi="Century Gothic"/>
        </w:rPr>
        <w:t xml:space="preserve">price </w:t>
      </w:r>
      <w:r w:rsidR="004A0A0D" w:rsidRPr="00A85FC6">
        <w:rPr>
          <w:rFonts w:ascii="Century Gothic" w:hAnsi="Century Gothic"/>
        </w:rPr>
        <w:t xml:space="preserve">at which the </w:t>
      </w:r>
      <w:r w:rsidR="00857534">
        <w:rPr>
          <w:rFonts w:ascii="Century Gothic" w:hAnsi="Century Gothic"/>
        </w:rPr>
        <w:t>Commonwealth Environmental Water Holder</w:t>
      </w:r>
      <w:r w:rsidR="002B3E00">
        <w:rPr>
          <w:rFonts w:ascii="Century Gothic" w:hAnsi="Century Gothic"/>
        </w:rPr>
        <w:t xml:space="preserve"> </w:t>
      </w:r>
      <w:r w:rsidR="004A0A0D" w:rsidRPr="00A85FC6">
        <w:rPr>
          <w:rFonts w:ascii="Century Gothic" w:hAnsi="Century Gothic"/>
        </w:rPr>
        <w:t>is willing to enter the market</w:t>
      </w:r>
      <w:r w:rsidR="0080132D" w:rsidRPr="00A85FC6">
        <w:rPr>
          <w:rFonts w:ascii="Century Gothic" w:hAnsi="Century Gothic"/>
        </w:rPr>
        <w:t xml:space="preserve"> and (in the case of purchases) the available budget</w:t>
      </w:r>
      <w:r w:rsidR="00A5429A" w:rsidRPr="00A85FC6">
        <w:rPr>
          <w:rFonts w:ascii="Century Gothic" w:hAnsi="Century Gothic"/>
        </w:rPr>
        <w:t>.</w:t>
      </w:r>
      <w:r w:rsidR="005837F4" w:rsidRPr="00A85FC6">
        <w:rPr>
          <w:rFonts w:ascii="Century Gothic" w:hAnsi="Century Gothic"/>
        </w:rPr>
        <w:t xml:space="preserve"> </w:t>
      </w:r>
    </w:p>
    <w:p w14:paraId="6C65028F" w14:textId="77777777" w:rsidR="00B17604" w:rsidRDefault="00953B4A">
      <w:pPr>
        <w:tabs>
          <w:tab w:val="left" w:pos="1134"/>
        </w:tabs>
        <w:spacing w:after="120"/>
        <w:rPr>
          <w:rFonts w:ascii="Century Gothic" w:hAnsi="Century Gothic"/>
        </w:rPr>
      </w:pPr>
      <w:r>
        <w:rPr>
          <w:rFonts w:ascii="Century Gothic" w:hAnsi="Century Gothic"/>
        </w:rPr>
        <w:t xml:space="preserve">The process for conducting a trading action is shown in </w:t>
      </w:r>
      <w:r w:rsidR="002E3CDD" w:rsidRPr="002E3CDD">
        <w:rPr>
          <w:rFonts w:ascii="Century Gothic" w:hAnsi="Century Gothic"/>
        </w:rPr>
        <w:t>Figure 5</w:t>
      </w:r>
      <w:r>
        <w:rPr>
          <w:rFonts w:ascii="Century Gothic" w:hAnsi="Century Gothic"/>
        </w:rPr>
        <w:t xml:space="preserve">. </w:t>
      </w:r>
    </w:p>
    <w:p w14:paraId="6C650290" w14:textId="1EDB24F9" w:rsidR="00B17604" w:rsidRDefault="00EC5E9F">
      <w:pPr>
        <w:tabs>
          <w:tab w:val="left" w:pos="1134"/>
        </w:tabs>
        <w:spacing w:after="120"/>
        <w:rPr>
          <w:rFonts w:ascii="Century Gothic" w:hAnsi="Century Gothic"/>
        </w:rPr>
      </w:pPr>
      <w:r w:rsidRPr="00B43A53">
        <w:rPr>
          <w:rFonts w:ascii="Century Gothic" w:hAnsi="Century Gothic"/>
        </w:rPr>
        <w:t xml:space="preserve">The </w:t>
      </w:r>
      <w:r>
        <w:rPr>
          <w:rFonts w:ascii="Century Gothic" w:hAnsi="Century Gothic"/>
        </w:rPr>
        <w:t xml:space="preserve">process is underpinned by </w:t>
      </w:r>
      <w:r w:rsidRPr="00B43A53">
        <w:rPr>
          <w:rFonts w:ascii="Century Gothic" w:hAnsi="Century Gothic"/>
        </w:rPr>
        <w:t xml:space="preserve">a trading framework that includes operating rules, </w:t>
      </w:r>
      <w:r w:rsidRPr="00B43A53">
        <w:rPr>
          <w:rFonts w:ascii="Century Gothic" w:hAnsi="Century Gothic" w:cs="Century Gothic"/>
        </w:rPr>
        <w:t>protocols</w:t>
      </w:r>
      <w:r>
        <w:rPr>
          <w:rFonts w:ascii="Century Gothic" w:hAnsi="Century Gothic" w:cs="Century Gothic"/>
        </w:rPr>
        <w:t xml:space="preserve"> and procedures</w:t>
      </w:r>
      <w:r w:rsidRPr="00B43A53">
        <w:rPr>
          <w:rFonts w:ascii="Century Gothic" w:hAnsi="Century Gothic" w:cs="Century Gothic"/>
        </w:rPr>
        <w:t xml:space="preserve">. The trading framework has been developed to ensure that the </w:t>
      </w:r>
      <w:r w:rsidR="00857534">
        <w:rPr>
          <w:rFonts w:ascii="Century Gothic" w:hAnsi="Century Gothic" w:cs="Century Gothic"/>
        </w:rPr>
        <w:t xml:space="preserve">Commonwealth Environmental Water </w:t>
      </w:r>
      <w:r w:rsidR="002B3E00">
        <w:rPr>
          <w:rFonts w:ascii="Century Gothic" w:hAnsi="Century Gothic" w:cs="Century Gothic"/>
        </w:rPr>
        <w:t>Holder’</w:t>
      </w:r>
      <w:r w:rsidRPr="00B43A53">
        <w:rPr>
          <w:rFonts w:ascii="Century Gothic" w:hAnsi="Century Gothic" w:cs="Century Gothic"/>
        </w:rPr>
        <w:t>s trading activities:</w:t>
      </w:r>
    </w:p>
    <w:p w14:paraId="6C650291" w14:textId="77777777" w:rsidR="00B17604" w:rsidRDefault="00EC5E9F" w:rsidP="00BC0CD5">
      <w:pPr>
        <w:pStyle w:val="ListBullet"/>
        <w:numPr>
          <w:ilvl w:val="0"/>
          <w:numId w:val="17"/>
        </w:numPr>
        <w:spacing w:after="120"/>
        <w:ind w:left="425" w:hanging="425"/>
        <w:jc w:val="left"/>
        <w:rPr>
          <w:rFonts w:ascii="Century Gothic" w:hAnsi="Century Gothic"/>
        </w:rPr>
      </w:pPr>
      <w:r w:rsidRPr="00B43A53">
        <w:rPr>
          <w:rFonts w:ascii="Century Gothic" w:hAnsi="Century Gothic"/>
        </w:rPr>
        <w:t>support enhanced environmental outcomes</w:t>
      </w:r>
    </w:p>
    <w:p w14:paraId="6C650292" w14:textId="77777777" w:rsidR="00B17604" w:rsidRDefault="00EC5E9F" w:rsidP="00BC0CD5">
      <w:pPr>
        <w:pStyle w:val="ListBullet"/>
        <w:numPr>
          <w:ilvl w:val="0"/>
          <w:numId w:val="17"/>
        </w:numPr>
        <w:spacing w:after="120"/>
        <w:ind w:left="425" w:hanging="425"/>
        <w:jc w:val="left"/>
        <w:rPr>
          <w:rFonts w:ascii="Century Gothic" w:hAnsi="Century Gothic"/>
        </w:rPr>
      </w:pPr>
      <w:r w:rsidRPr="00B43A53">
        <w:rPr>
          <w:rFonts w:ascii="Century Gothic" w:hAnsi="Century Gothic"/>
        </w:rPr>
        <w:t>have regard to social and economic outcomes</w:t>
      </w:r>
    </w:p>
    <w:p w14:paraId="6C650293" w14:textId="77777777" w:rsidR="00B17604" w:rsidRDefault="00EC5E9F" w:rsidP="00BC0CD5">
      <w:pPr>
        <w:pStyle w:val="ListBullet"/>
        <w:numPr>
          <w:ilvl w:val="0"/>
          <w:numId w:val="17"/>
        </w:numPr>
        <w:spacing w:after="120"/>
        <w:ind w:left="425" w:hanging="425"/>
        <w:jc w:val="left"/>
        <w:rPr>
          <w:rFonts w:ascii="Century Gothic" w:hAnsi="Century Gothic"/>
        </w:rPr>
      </w:pPr>
      <w:r w:rsidRPr="00B43A53">
        <w:rPr>
          <w:rFonts w:ascii="Century Gothic" w:hAnsi="Century Gothic"/>
        </w:rPr>
        <w:t>consider impacts on the market, including any third-party impacts</w:t>
      </w:r>
    </w:p>
    <w:p w14:paraId="6C650294" w14:textId="77777777" w:rsidR="00B17604" w:rsidRDefault="00EC5E9F" w:rsidP="00BC0CD5">
      <w:pPr>
        <w:pStyle w:val="ListBullet"/>
        <w:numPr>
          <w:ilvl w:val="0"/>
          <w:numId w:val="17"/>
        </w:numPr>
        <w:spacing w:after="120"/>
        <w:ind w:left="425" w:hanging="425"/>
        <w:jc w:val="left"/>
        <w:rPr>
          <w:rFonts w:ascii="Century Gothic" w:hAnsi="Century Gothic"/>
        </w:rPr>
      </w:pPr>
      <w:r w:rsidRPr="00B43A53">
        <w:rPr>
          <w:rFonts w:ascii="Century Gothic" w:hAnsi="Century Gothic"/>
        </w:rPr>
        <w:t>are undertaken in a manner which meets legislative requirements</w:t>
      </w:r>
    </w:p>
    <w:p w14:paraId="6C650295" w14:textId="77777777" w:rsidR="00B17604" w:rsidRDefault="00EC5E9F" w:rsidP="00BC0CD5">
      <w:pPr>
        <w:pStyle w:val="ListBullet"/>
        <w:numPr>
          <w:ilvl w:val="0"/>
          <w:numId w:val="17"/>
        </w:numPr>
        <w:spacing w:after="120"/>
        <w:ind w:left="425" w:hanging="425"/>
        <w:jc w:val="left"/>
        <w:rPr>
          <w:rFonts w:ascii="Century Gothic" w:hAnsi="Century Gothic"/>
        </w:rPr>
      </w:pPr>
      <w:r w:rsidRPr="00B43A53">
        <w:rPr>
          <w:rFonts w:ascii="Century Gothic" w:hAnsi="Century Gothic"/>
        </w:rPr>
        <w:t>are financially responsible, fair, equitable, transparent and accountable</w:t>
      </w:r>
      <w:r>
        <w:rPr>
          <w:rFonts w:ascii="Century Gothic" w:hAnsi="Century Gothic"/>
        </w:rPr>
        <w:t>.</w:t>
      </w:r>
    </w:p>
    <w:p w14:paraId="6C650296" w14:textId="2A261A1F" w:rsidR="00B17604" w:rsidRDefault="00EC5E9F">
      <w:pPr>
        <w:pStyle w:val="ListBullet"/>
        <w:numPr>
          <w:ilvl w:val="0"/>
          <w:numId w:val="0"/>
        </w:numPr>
        <w:spacing w:after="120"/>
        <w:rPr>
          <w:rFonts w:ascii="Century Gothic" w:hAnsi="Century Gothic"/>
        </w:rPr>
      </w:pPr>
      <w:r>
        <w:rPr>
          <w:rFonts w:ascii="Century Gothic" w:hAnsi="Century Gothic"/>
        </w:rPr>
        <w:t xml:space="preserve">The trading framework, operating rules, protocols and procedures also ensure that </w:t>
      </w:r>
      <w:r w:rsidRPr="00B43A53">
        <w:rPr>
          <w:rFonts w:ascii="Century Gothic" w:hAnsi="Century Gothic"/>
        </w:rPr>
        <w:t xml:space="preserve">the </w:t>
      </w:r>
      <w:r w:rsidR="00857534">
        <w:rPr>
          <w:rFonts w:ascii="Century Gothic" w:hAnsi="Century Gothic"/>
        </w:rPr>
        <w:t xml:space="preserve">Commonwealth Environmental Water Holder </w:t>
      </w:r>
      <w:r w:rsidRPr="00B43A53">
        <w:rPr>
          <w:rFonts w:ascii="Century Gothic" w:hAnsi="Century Gothic"/>
        </w:rPr>
        <w:t xml:space="preserve">and </w:t>
      </w:r>
      <w:r>
        <w:rPr>
          <w:rFonts w:ascii="Century Gothic" w:hAnsi="Century Gothic"/>
        </w:rPr>
        <w:t>the Office’s</w:t>
      </w:r>
      <w:r w:rsidRPr="00B43A53">
        <w:rPr>
          <w:rFonts w:ascii="Century Gothic" w:hAnsi="Century Gothic"/>
        </w:rPr>
        <w:t xml:space="preserve"> staff act with integrity and high ethical standards</w:t>
      </w:r>
      <w:r>
        <w:rPr>
          <w:rFonts w:ascii="Century Gothic" w:hAnsi="Century Gothic"/>
        </w:rPr>
        <w:t xml:space="preserve"> throughout the process. More information on the </w:t>
      </w:r>
      <w:r w:rsidRPr="00BE31EB">
        <w:rPr>
          <w:rFonts w:ascii="Century Gothic" w:hAnsi="Century Gothic" w:cs="Arial"/>
          <w:i/>
        </w:rPr>
        <w:t xml:space="preserve">Commonwealth Environmental Water Trading Framework </w:t>
      </w:r>
      <w:r>
        <w:rPr>
          <w:rFonts w:ascii="Century Gothic" w:hAnsi="Century Gothic" w:cs="Arial"/>
        </w:rPr>
        <w:t xml:space="preserve">can be accessed here: </w:t>
      </w:r>
      <w:hyperlink r:id="rId37" w:history="1">
        <w:r w:rsidR="008450E5" w:rsidRPr="002B6397">
          <w:rPr>
            <w:rStyle w:val="Hyperlink"/>
            <w:rFonts w:ascii="Century Gothic" w:hAnsi="Century Gothic" w:cs="Arial"/>
          </w:rPr>
          <w:t>http://www.environment.gov.au/water/cewo/trade/trading-framework</w:t>
        </w:r>
      </w:hyperlink>
      <w:r w:rsidR="00326B4E" w:rsidRPr="000E3C60">
        <w:rPr>
          <w:rFonts w:ascii="Century Gothic" w:hAnsi="Century Gothic"/>
        </w:rPr>
        <w:t>.</w:t>
      </w:r>
    </w:p>
    <w:p w14:paraId="6C650297" w14:textId="3A9FBC20" w:rsidR="00B17604" w:rsidRDefault="00EC5E9F">
      <w:pPr>
        <w:pStyle w:val="ListNumber"/>
        <w:numPr>
          <w:ilvl w:val="0"/>
          <w:numId w:val="0"/>
        </w:numPr>
        <w:spacing w:after="120"/>
        <w:rPr>
          <w:rFonts w:ascii="Century Gothic" w:hAnsi="Century Gothic"/>
        </w:rPr>
      </w:pPr>
      <w:r>
        <w:rPr>
          <w:rFonts w:ascii="Century Gothic" w:hAnsi="Century Gothic"/>
        </w:rPr>
        <w:t xml:space="preserve">Consistent with the operating rules, the Office publishes information on current trading actions as well </w:t>
      </w:r>
      <w:r w:rsidR="007503FA">
        <w:rPr>
          <w:rFonts w:ascii="Century Gothic" w:hAnsi="Century Gothic"/>
        </w:rPr>
        <w:t xml:space="preserve">as </w:t>
      </w:r>
      <w:r>
        <w:rPr>
          <w:rFonts w:ascii="Century Gothic" w:hAnsi="Century Gothic"/>
        </w:rPr>
        <w:t xml:space="preserve">providing quarterly updates on </w:t>
      </w:r>
      <w:r w:rsidR="00857534">
        <w:rPr>
          <w:rFonts w:ascii="Century Gothic" w:hAnsi="Century Gothic"/>
        </w:rPr>
        <w:t xml:space="preserve">Commonwealth Environmental Water Holder </w:t>
      </w:r>
      <w:r>
        <w:rPr>
          <w:rFonts w:ascii="Century Gothic" w:hAnsi="Century Gothic"/>
        </w:rPr>
        <w:t xml:space="preserve"> trading intentions. </w:t>
      </w:r>
    </w:p>
    <w:p w14:paraId="1C630784" w14:textId="77777777" w:rsidR="00A32A43" w:rsidRDefault="00A32A43">
      <w:pPr>
        <w:pStyle w:val="ListNumber"/>
        <w:numPr>
          <w:ilvl w:val="0"/>
          <w:numId w:val="0"/>
        </w:numPr>
        <w:spacing w:after="120"/>
        <w:rPr>
          <w:rFonts w:ascii="Century Gothic" w:hAnsi="Century Gothic"/>
        </w:rPr>
      </w:pPr>
    </w:p>
    <w:p w14:paraId="6C650298" w14:textId="403E0B8D" w:rsidR="007A7A94" w:rsidRDefault="00EC5E9F">
      <w:pPr>
        <w:pStyle w:val="ListNumber"/>
        <w:numPr>
          <w:ilvl w:val="0"/>
          <w:numId w:val="0"/>
        </w:numPr>
        <w:spacing w:after="120"/>
        <w:jc w:val="left"/>
        <w:rPr>
          <w:rFonts w:ascii="Century Gothic" w:hAnsi="Century Gothic"/>
        </w:rPr>
      </w:pPr>
      <w:r>
        <w:rPr>
          <w:rFonts w:ascii="Century Gothic" w:hAnsi="Century Gothic"/>
        </w:rPr>
        <w:t>Information on current trading actions</w:t>
      </w:r>
      <w:r w:rsidR="00A32A43">
        <w:rPr>
          <w:rFonts w:ascii="Century Gothic" w:hAnsi="Century Gothic"/>
        </w:rPr>
        <w:t xml:space="preserve"> and trade intentions is</w:t>
      </w:r>
      <w:r>
        <w:rPr>
          <w:rFonts w:ascii="Century Gothic" w:hAnsi="Century Gothic"/>
        </w:rPr>
        <w:t xml:space="preserve"> available at: </w:t>
      </w:r>
    </w:p>
    <w:p w14:paraId="144B65A9" w14:textId="4977F315" w:rsidR="00A32A43" w:rsidRDefault="00B75AA8">
      <w:pPr>
        <w:pStyle w:val="ListNumber"/>
        <w:numPr>
          <w:ilvl w:val="0"/>
          <w:numId w:val="0"/>
        </w:numPr>
        <w:spacing w:after="120"/>
        <w:jc w:val="left"/>
        <w:rPr>
          <w:rStyle w:val="Hyperlink"/>
          <w:rFonts w:ascii="Century Gothic" w:hAnsi="Century Gothic" w:cs="Arial"/>
        </w:rPr>
      </w:pPr>
      <w:hyperlink r:id="rId38" w:history="1">
        <w:r w:rsidR="00B27340" w:rsidRPr="00B27340">
          <w:rPr>
            <w:rStyle w:val="Hyperlink"/>
            <w:rFonts w:ascii="Century Gothic" w:hAnsi="Century Gothic" w:cs="Arial"/>
          </w:rPr>
          <w:t>http://www.environment.gov.au/water/cewo/trade</w:t>
        </w:r>
      </w:hyperlink>
      <w:r w:rsidR="00326B4E" w:rsidRPr="000E3C60">
        <w:rPr>
          <w:rFonts w:ascii="Century Gothic" w:hAnsi="Century Gothic"/>
        </w:rPr>
        <w:t>.</w:t>
      </w:r>
    </w:p>
    <w:p w14:paraId="319844DE" w14:textId="77777777" w:rsidR="00B27340" w:rsidRPr="00A32A43" w:rsidRDefault="00B27340">
      <w:pPr>
        <w:pStyle w:val="ListNumber"/>
        <w:numPr>
          <w:ilvl w:val="0"/>
          <w:numId w:val="0"/>
        </w:numPr>
        <w:spacing w:after="120"/>
        <w:jc w:val="left"/>
        <w:rPr>
          <w:rStyle w:val="Hyperlink"/>
          <w:rFonts w:ascii="Century Gothic" w:hAnsi="Century Gothic" w:cs="Arial"/>
        </w:rPr>
      </w:pPr>
    </w:p>
    <w:p w14:paraId="6C65029B" w14:textId="77777777" w:rsidR="007A7A94" w:rsidRDefault="00771FDF">
      <w:pPr>
        <w:pStyle w:val="ListBullet"/>
        <w:numPr>
          <w:ilvl w:val="0"/>
          <w:numId w:val="0"/>
        </w:numPr>
        <w:spacing w:after="120"/>
        <w:jc w:val="center"/>
        <w:rPr>
          <w:rFonts w:ascii="Century Gothic" w:hAnsi="Century Gothic"/>
          <w:i/>
        </w:rPr>
      </w:pPr>
      <w:r>
        <w:rPr>
          <w:rFonts w:ascii="Century Gothic" w:hAnsi="Century Gothic"/>
          <w:i/>
          <w:noProof/>
        </w:rPr>
        <w:drawing>
          <wp:inline distT="0" distB="0" distL="0" distR="0" wp14:anchorId="6C65033E" wp14:editId="629C3B9E">
            <wp:extent cx="4953000" cy="6060449"/>
            <wp:effectExtent l="0" t="0" r="0" b="0"/>
            <wp:docPr id="1" name="Picture 24" descr="This flowchart represents the process for conducting a Commonwealth environmental water trading action.&#10;In the hierarchy of the process, the Trading framework consists of Commonwealth and State legislation, which informs any Operating rules, as well as procedures and protocols. These elements flow down into the trading process.&#10;As part of the trading process, the first step is to identify a trading opportunity that will enhance capacity to support environmental objectives identified. Each Commonwealth Environmental Water Holder trading decision must be consistent with the requirements of the Water Act 2007. A public announcement of trading intentions then occurs. &#10;Once this occurs, the Commonwealth Environmental Water Office must approach the market via a market mechanism tailored to suit particular circumstances of the trading action. If any offers are received from the market, an evaluation takes place. Following this, trade approval is received with settlement and registration of the trade occurring. A public announcement of the trading outcomes must then be made within 30 days of registering the trade.&#10;While the process for conducting a trading action is underway, there is a consistent monitoring and review of the arrangements taking place. This is to ensure and support the compliance with the Water Act, Environmental Watering Plan, Water Trading Rules and operating rules. There is also ongoing review with departmental risk management and audit requirements.&#10;"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4956758" cy="6065047"/>
                    </a:xfrm>
                    <a:prstGeom prst="rect">
                      <a:avLst/>
                    </a:prstGeom>
                    <a:noFill/>
                    <a:ln w="9525">
                      <a:noFill/>
                      <a:miter lim="800000"/>
                      <a:headEnd/>
                      <a:tailEnd/>
                    </a:ln>
                  </pic:spPr>
                </pic:pic>
              </a:graphicData>
            </a:graphic>
          </wp:inline>
        </w:drawing>
      </w:r>
    </w:p>
    <w:p w14:paraId="6C65029C" w14:textId="77777777" w:rsidR="008B6031" w:rsidRDefault="008B6031" w:rsidP="008B6031">
      <w:pPr>
        <w:pStyle w:val="Caption"/>
        <w:rPr>
          <w:rFonts w:ascii="Century Gothic" w:hAnsi="Century Gothic"/>
        </w:rPr>
      </w:pPr>
      <w:r w:rsidRPr="00C14C40">
        <w:rPr>
          <w:rFonts w:ascii="Century Gothic" w:hAnsi="Century Gothic"/>
        </w:rPr>
        <w:t xml:space="preserve">Figure </w:t>
      </w:r>
      <w:r w:rsidR="00D848C1" w:rsidRPr="00C14C40">
        <w:rPr>
          <w:rFonts w:ascii="Century Gothic" w:hAnsi="Century Gothic"/>
        </w:rPr>
        <w:fldChar w:fldCharType="begin"/>
      </w:r>
      <w:r w:rsidRPr="00C14C40">
        <w:rPr>
          <w:rFonts w:ascii="Century Gothic" w:hAnsi="Century Gothic"/>
        </w:rPr>
        <w:instrText xml:space="preserve"> SEQ Figure \* ARABIC </w:instrText>
      </w:r>
      <w:r w:rsidR="00D848C1" w:rsidRPr="00C14C40">
        <w:rPr>
          <w:rFonts w:ascii="Century Gothic" w:hAnsi="Century Gothic"/>
        </w:rPr>
        <w:fldChar w:fldCharType="separate"/>
      </w:r>
      <w:r w:rsidR="0044680F">
        <w:rPr>
          <w:rFonts w:ascii="Century Gothic" w:hAnsi="Century Gothic"/>
          <w:noProof/>
        </w:rPr>
        <w:t>5</w:t>
      </w:r>
      <w:r w:rsidR="00D848C1" w:rsidRPr="00C14C40">
        <w:rPr>
          <w:rFonts w:ascii="Century Gothic" w:hAnsi="Century Gothic"/>
        </w:rPr>
        <w:fldChar w:fldCharType="end"/>
      </w:r>
      <w:r w:rsidRPr="00C14C40">
        <w:rPr>
          <w:rFonts w:ascii="Century Gothic" w:hAnsi="Century Gothic"/>
          <w:b w:val="0"/>
        </w:rPr>
        <w:t xml:space="preserve">: The process for conducting a Commonwealth environmental water trading action. </w:t>
      </w:r>
    </w:p>
    <w:p w14:paraId="6C6502A7" w14:textId="7A094415" w:rsidR="00E66504" w:rsidRDefault="00E66504">
      <w:pPr>
        <w:spacing w:after="0"/>
        <w:jc w:val="left"/>
        <w:rPr>
          <w:b/>
          <w:color w:val="5F497A" w:themeColor="accent4" w:themeShade="BF"/>
          <w:sz w:val="40"/>
          <w:szCs w:val="40"/>
          <w:lang w:val="en-GB" w:eastAsia="en-US"/>
        </w:rPr>
      </w:pPr>
      <w:bookmarkStart w:id="230" w:name="_Toc444088408"/>
      <w:bookmarkStart w:id="231" w:name="_Toc444088467"/>
      <w:bookmarkStart w:id="232" w:name="_Toc444088562"/>
      <w:bookmarkStart w:id="233" w:name="_Toc444088624"/>
      <w:bookmarkStart w:id="234" w:name="_Toc444091241"/>
      <w:bookmarkStart w:id="235" w:name="_Toc444091358"/>
      <w:bookmarkStart w:id="236" w:name="_Toc444091518"/>
      <w:bookmarkStart w:id="237" w:name="_Toc444247173"/>
      <w:bookmarkStart w:id="238" w:name="_Toc444247400"/>
      <w:bookmarkStart w:id="239" w:name="_Toc444258395"/>
      <w:bookmarkStart w:id="240" w:name="_Toc444259189"/>
      <w:bookmarkEnd w:id="230"/>
      <w:bookmarkEnd w:id="231"/>
      <w:bookmarkEnd w:id="232"/>
      <w:bookmarkEnd w:id="233"/>
      <w:bookmarkEnd w:id="234"/>
      <w:bookmarkEnd w:id="235"/>
      <w:bookmarkEnd w:id="236"/>
      <w:bookmarkEnd w:id="237"/>
      <w:bookmarkEnd w:id="238"/>
      <w:bookmarkEnd w:id="239"/>
      <w:bookmarkEnd w:id="240"/>
      <w:r>
        <w:br w:type="page"/>
      </w:r>
    </w:p>
    <w:p w14:paraId="6C6502A8" w14:textId="1BC5B274" w:rsidR="007A7A94" w:rsidRPr="000647A1" w:rsidRDefault="008C4671">
      <w:pPr>
        <w:pStyle w:val="Heading11"/>
        <w:spacing w:before="0" w:after="120"/>
      </w:pPr>
      <w:bookmarkStart w:id="241" w:name="_Toc517264667"/>
      <w:r w:rsidRPr="000647A1">
        <w:t>Investing in environmental activities</w:t>
      </w:r>
      <w:bookmarkEnd w:id="241"/>
    </w:p>
    <w:p w14:paraId="484B0416" w14:textId="77777777" w:rsidR="00C85F0B" w:rsidRPr="00C85F0B" w:rsidRDefault="00C85F0B" w:rsidP="00C85F0B">
      <w:pPr>
        <w:pStyle w:val="Heading1"/>
        <w:numPr>
          <w:ilvl w:val="0"/>
          <w:numId w:val="0"/>
        </w:numPr>
        <w:rPr>
          <w:rFonts w:ascii="Century Gothic" w:hAnsi="Century Gothic"/>
          <w:b w:val="0"/>
          <w:color w:val="auto"/>
          <w:sz w:val="20"/>
          <w:szCs w:val="20"/>
          <w:lang w:val="en-AU" w:eastAsia="en-AU"/>
        </w:rPr>
      </w:pPr>
      <w:r w:rsidRPr="00C85F0B">
        <w:rPr>
          <w:rFonts w:ascii="Century Gothic" w:hAnsi="Century Gothic"/>
          <w:b w:val="0"/>
          <w:color w:val="auto"/>
          <w:sz w:val="20"/>
          <w:szCs w:val="20"/>
          <w:lang w:val="en-AU" w:eastAsia="en-AU"/>
        </w:rPr>
        <w:t xml:space="preserve">Under the </w:t>
      </w:r>
      <w:r w:rsidRPr="00C85F0B">
        <w:rPr>
          <w:rFonts w:ascii="Century Gothic" w:hAnsi="Century Gothic"/>
          <w:b w:val="0"/>
          <w:i/>
          <w:color w:val="auto"/>
          <w:sz w:val="20"/>
          <w:szCs w:val="20"/>
          <w:lang w:val="en-AU" w:eastAsia="en-AU"/>
        </w:rPr>
        <w:t>Water Act 2007</w:t>
      </w:r>
      <w:r w:rsidRPr="00C85F0B">
        <w:rPr>
          <w:rFonts w:ascii="Century Gothic" w:hAnsi="Century Gothic"/>
          <w:b w:val="0"/>
          <w:color w:val="auto"/>
          <w:sz w:val="20"/>
          <w:szCs w:val="20"/>
          <w:lang w:val="en-AU" w:eastAsia="en-AU"/>
        </w:rPr>
        <w:t xml:space="preserve">, the Commonwealth Environmental Water Holder (CEWH) has the flexibility to use the proceeds from the sale of water allocations to fund environmental activities in the Basin. </w:t>
      </w:r>
    </w:p>
    <w:p w14:paraId="00E8A141" w14:textId="14B4D40F" w:rsidR="00C85F0B" w:rsidRPr="00C85F0B" w:rsidRDefault="00C85F0B" w:rsidP="00C85F0B">
      <w:pPr>
        <w:pStyle w:val="Heading1"/>
        <w:numPr>
          <w:ilvl w:val="0"/>
          <w:numId w:val="0"/>
        </w:numPr>
        <w:rPr>
          <w:rFonts w:ascii="Century Gothic" w:hAnsi="Century Gothic"/>
          <w:b w:val="0"/>
          <w:color w:val="auto"/>
          <w:sz w:val="20"/>
          <w:szCs w:val="20"/>
          <w:lang w:val="en-AU" w:eastAsia="en-AU"/>
        </w:rPr>
      </w:pPr>
      <w:r w:rsidRPr="00C85F0B">
        <w:rPr>
          <w:rFonts w:ascii="Century Gothic" w:hAnsi="Century Gothic"/>
          <w:b w:val="0"/>
          <w:color w:val="auto"/>
          <w:sz w:val="20"/>
          <w:szCs w:val="20"/>
          <w:lang w:val="en-AU" w:eastAsia="en-AU"/>
        </w:rPr>
        <w:t>‘Environmental activities’ must be consistent with the CEWH’s obligatio</w:t>
      </w:r>
      <w:r>
        <w:rPr>
          <w:rFonts w:ascii="Century Gothic" w:hAnsi="Century Gothic"/>
          <w:b w:val="0"/>
          <w:color w:val="auto"/>
          <w:sz w:val="20"/>
          <w:szCs w:val="20"/>
          <w:lang w:val="en-AU" w:eastAsia="en-AU"/>
        </w:rPr>
        <w:t xml:space="preserve">n to exercise their </w:t>
      </w:r>
      <w:r w:rsidRPr="00C85F0B">
        <w:rPr>
          <w:rFonts w:ascii="Century Gothic" w:hAnsi="Century Gothic"/>
          <w:b w:val="0"/>
          <w:color w:val="auto"/>
          <w:sz w:val="20"/>
          <w:szCs w:val="20"/>
          <w:lang w:val="en-AU" w:eastAsia="en-AU"/>
        </w:rPr>
        <w:t>function to protect and restore environmental assets. Environmental activities must also improve the capacity of the CEWH to meet the objectives of the Basin Plan environmental watering plan, and be directly linked to current or future delivery of water for the environment.</w:t>
      </w:r>
    </w:p>
    <w:p w14:paraId="777EE53F" w14:textId="77777777" w:rsidR="00C85F0B" w:rsidRPr="00C85F0B" w:rsidRDefault="00C85F0B" w:rsidP="00C85F0B">
      <w:pPr>
        <w:pStyle w:val="Heading1"/>
        <w:numPr>
          <w:ilvl w:val="0"/>
          <w:numId w:val="0"/>
        </w:numPr>
        <w:rPr>
          <w:rFonts w:ascii="Century Gothic" w:hAnsi="Century Gothic"/>
          <w:b w:val="0"/>
          <w:color w:val="auto"/>
          <w:sz w:val="20"/>
          <w:szCs w:val="20"/>
          <w:lang w:val="en-AU" w:eastAsia="en-AU"/>
        </w:rPr>
      </w:pPr>
      <w:r w:rsidRPr="00C85F0B">
        <w:rPr>
          <w:rFonts w:ascii="Century Gothic" w:hAnsi="Century Gothic"/>
          <w:b w:val="0"/>
          <w:color w:val="auto"/>
          <w:sz w:val="20"/>
          <w:szCs w:val="20"/>
          <w:lang w:val="en-AU" w:eastAsia="en-AU"/>
        </w:rPr>
        <w:t xml:space="preserve">The option of investing the proceeds in environmental activities will be considered alongside other available water management options, such as purchasing water at another time or place. The CEWH is finalising an Investment Framework and an Annual Investment Plan to inform future investment in environmental activities. </w:t>
      </w:r>
    </w:p>
    <w:p w14:paraId="6C6502AC" w14:textId="2C5BAF2C" w:rsidR="007A7A94" w:rsidRDefault="0010374D" w:rsidP="001D2666">
      <w:pPr>
        <w:rPr>
          <w:rFonts w:ascii="Century Gothic" w:hAnsi="Century Gothic"/>
        </w:rPr>
      </w:pPr>
      <w:r>
        <w:rPr>
          <w:rFonts w:ascii="Century Gothic" w:hAnsi="Century Gothic"/>
        </w:rPr>
        <w:br w:type="page"/>
      </w:r>
    </w:p>
    <w:p w14:paraId="6C6502AD" w14:textId="78BF55D3" w:rsidR="007A7A94" w:rsidRDefault="00F028C6">
      <w:pPr>
        <w:pStyle w:val="Heading1"/>
        <w:spacing w:after="120"/>
      </w:pPr>
      <w:bookmarkStart w:id="242" w:name="_Toc444088410"/>
      <w:bookmarkStart w:id="243" w:name="_Toc444088469"/>
      <w:bookmarkStart w:id="244" w:name="_Toc444088564"/>
      <w:bookmarkStart w:id="245" w:name="_Toc444088626"/>
      <w:bookmarkStart w:id="246" w:name="_Toc444091243"/>
      <w:bookmarkStart w:id="247" w:name="_Toc444091360"/>
      <w:bookmarkStart w:id="248" w:name="_Toc444091520"/>
      <w:bookmarkStart w:id="249" w:name="_Toc444247402"/>
      <w:bookmarkStart w:id="250" w:name="_Toc517264668"/>
      <w:bookmarkEnd w:id="242"/>
      <w:bookmarkEnd w:id="243"/>
      <w:bookmarkEnd w:id="244"/>
      <w:bookmarkEnd w:id="245"/>
      <w:bookmarkEnd w:id="246"/>
      <w:bookmarkEnd w:id="247"/>
      <w:bookmarkEnd w:id="248"/>
      <w:bookmarkEnd w:id="249"/>
      <w:r w:rsidRPr="0022362D">
        <w:t>Monitoring and Evaluation</w:t>
      </w:r>
      <w:bookmarkEnd w:id="250"/>
    </w:p>
    <w:p w14:paraId="6C6502AE" w14:textId="77777777" w:rsidR="00B17604" w:rsidRDefault="00E47462">
      <w:pPr>
        <w:pStyle w:val="Default"/>
        <w:spacing w:after="120"/>
        <w:jc w:val="both"/>
        <w:rPr>
          <w:rFonts w:ascii="Century Gothic" w:hAnsi="Century Gothic"/>
          <w:color w:val="auto"/>
          <w:sz w:val="20"/>
          <w:szCs w:val="20"/>
        </w:rPr>
      </w:pPr>
      <w:r w:rsidRPr="00BE31EB">
        <w:rPr>
          <w:rFonts w:ascii="Century Gothic" w:hAnsi="Century Gothic"/>
          <w:sz w:val="20"/>
          <w:szCs w:val="20"/>
        </w:rPr>
        <w:t xml:space="preserve">Monitoring and evaluation of Commonwealth environmental water use is undertaken in accordance with the Monitoring, Evaluation, Reporting and Improvement Framework, available on the Office’s website at: </w:t>
      </w:r>
      <w:hyperlink r:id="rId40" w:history="1">
        <w:r w:rsidR="00281DEF" w:rsidRPr="002B6397">
          <w:rPr>
            <w:rStyle w:val="Hyperlink"/>
            <w:rFonts w:ascii="Century Gothic" w:hAnsi="Century Gothic"/>
            <w:sz w:val="20"/>
            <w:szCs w:val="20"/>
          </w:rPr>
          <w:t>www.environment.gov.au/water/cewo/monitoring</w:t>
        </w:r>
      </w:hyperlink>
      <w:r w:rsidRPr="00BE31EB">
        <w:rPr>
          <w:rFonts w:ascii="Century Gothic" w:hAnsi="Century Gothic"/>
          <w:sz w:val="20"/>
          <w:szCs w:val="20"/>
        </w:rPr>
        <w:t>.  T</w:t>
      </w:r>
      <w:r w:rsidRPr="00BE31EB">
        <w:rPr>
          <w:rFonts w:ascii="Century Gothic" w:hAnsi="Century Gothic"/>
          <w:color w:val="auto"/>
          <w:sz w:val="20"/>
          <w:szCs w:val="20"/>
        </w:rPr>
        <w:t xml:space="preserve">he framework is a high level document that provides overarching guidance for the development and implementation of monitoring and evaluation activities. </w:t>
      </w:r>
    </w:p>
    <w:p w14:paraId="6C6502AF" w14:textId="77777777" w:rsidR="00B17604" w:rsidRDefault="00E47462">
      <w:pPr>
        <w:pStyle w:val="Figure1"/>
        <w:spacing w:after="120"/>
      </w:pPr>
      <w:r w:rsidRPr="00BE31EB">
        <w:t>Consistent with the role under the Water Act</w:t>
      </w:r>
      <w:r w:rsidRPr="00A55B12">
        <w:t xml:space="preserve"> and Basin Plan, monitoring and evaluation that the Office puts in place will focus on the environmental response to </w:t>
      </w:r>
      <w:r>
        <w:t xml:space="preserve">the use of </w:t>
      </w:r>
      <w:r w:rsidRPr="00A55B12">
        <w:t>Commonwealth environmental water</w:t>
      </w:r>
      <w:r>
        <w:t>, or what is known as intervention monitoring</w:t>
      </w:r>
      <w:r w:rsidRPr="00A55B12">
        <w:t>. How intervention monitoring of Commonwealth environmental water fits in with operational monitoring and broad scale monitoring under the Basin Plan is shown in</w:t>
      </w:r>
      <w:r w:rsidR="007906F4">
        <w:t xml:space="preserve"> </w:t>
      </w:r>
      <w:r w:rsidR="002E3CDD">
        <w:t>Figure 6</w:t>
      </w:r>
      <w:r w:rsidRPr="00A55B12">
        <w:t>.</w:t>
      </w:r>
      <w:r>
        <w:t xml:space="preserve"> </w:t>
      </w:r>
    </w:p>
    <w:p w14:paraId="6C6502B0" w14:textId="77777777" w:rsidR="007A7A94" w:rsidRDefault="00252EF4">
      <w:pPr>
        <w:pStyle w:val="Caption"/>
        <w:jc w:val="left"/>
        <w:rPr>
          <w:rFonts w:ascii="Century Gothic" w:hAnsi="Century Gothic"/>
        </w:rPr>
      </w:pPr>
      <w:r>
        <w:rPr>
          <w:rFonts w:ascii="Century Gothic" w:hAnsi="Century Gothic"/>
          <w:noProof/>
        </w:rPr>
        <w:drawing>
          <wp:inline distT="0" distB="0" distL="0" distR="0" wp14:anchorId="6C650340" wp14:editId="5239C2DF">
            <wp:extent cx="5798042" cy="4381697"/>
            <wp:effectExtent l="0" t="0" r="0" b="0"/>
            <wp:docPr id="87" name="Picture 87" descr="This figure shows how the temporal environmental water planning hierarchy in the Basin relates to different types of monitoring activities. Annual water use, carryover and trade options relate to operational and intervention monitoring activities of selected watering actions. Operational monitoring is generally undertaken by delivery partners while intervention monitoring for Commonwealth environmental water is undertaken by the Commonwealth Environmental Water Office. Development of the long-term watering plans by state governments relates to on-going intervention monitoring activities including those established by the Commonwealth Environmental Water Office, as well as long-term monitoring of environmental assets by states. The Basin Plan relates to program monitoring, which includes broad-scale ecological monitoring by the Murray-Darling Basin Authority across the Basin, over time scales greater than 5 years."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srcRect/>
                    <a:stretch>
                      <a:fillRect/>
                    </a:stretch>
                  </pic:blipFill>
                  <pic:spPr bwMode="auto">
                    <a:xfrm>
                      <a:off x="0" y="0"/>
                      <a:ext cx="5798042" cy="4381697"/>
                    </a:xfrm>
                    <a:prstGeom prst="rect">
                      <a:avLst/>
                    </a:prstGeom>
                    <a:noFill/>
                  </pic:spPr>
                </pic:pic>
              </a:graphicData>
            </a:graphic>
          </wp:inline>
        </w:drawing>
      </w:r>
    </w:p>
    <w:p w14:paraId="6C6502B1" w14:textId="77777777" w:rsidR="007A7A94" w:rsidRDefault="004543FB">
      <w:pPr>
        <w:spacing w:after="120"/>
        <w:rPr>
          <w:lang w:val="en-GB" w:eastAsia="en-US"/>
        </w:rPr>
      </w:pPr>
      <w:r w:rsidRPr="004543FB">
        <w:rPr>
          <w:rFonts w:ascii="Century Gothic" w:hAnsi="Century Gothic"/>
          <w:b/>
        </w:rPr>
        <w:t xml:space="preserve">Figure </w:t>
      </w:r>
      <w:r w:rsidR="00D848C1" w:rsidRPr="004543FB">
        <w:rPr>
          <w:rFonts w:ascii="Century Gothic" w:hAnsi="Century Gothic"/>
          <w:b/>
        </w:rPr>
        <w:fldChar w:fldCharType="begin"/>
      </w:r>
      <w:r w:rsidRPr="004543FB">
        <w:rPr>
          <w:rFonts w:ascii="Century Gothic" w:hAnsi="Century Gothic"/>
          <w:b/>
        </w:rPr>
        <w:instrText xml:space="preserve"> SEQ Figure \* ARABIC </w:instrText>
      </w:r>
      <w:r w:rsidR="00D848C1" w:rsidRPr="004543FB">
        <w:rPr>
          <w:rFonts w:ascii="Century Gothic" w:hAnsi="Century Gothic"/>
          <w:b/>
        </w:rPr>
        <w:fldChar w:fldCharType="separate"/>
      </w:r>
      <w:r w:rsidR="0044680F">
        <w:rPr>
          <w:rFonts w:ascii="Century Gothic" w:hAnsi="Century Gothic"/>
          <w:b/>
          <w:noProof/>
        </w:rPr>
        <w:t>6</w:t>
      </w:r>
      <w:r w:rsidR="00D848C1" w:rsidRPr="004543FB">
        <w:rPr>
          <w:rFonts w:ascii="Century Gothic" w:hAnsi="Century Gothic"/>
          <w:b/>
        </w:rPr>
        <w:fldChar w:fldCharType="end"/>
      </w:r>
      <w:r w:rsidRPr="004543FB">
        <w:rPr>
          <w:rFonts w:ascii="Century Gothic" w:hAnsi="Century Gothic"/>
          <w:b/>
        </w:rPr>
        <w:t>:</w:t>
      </w:r>
      <w:r w:rsidR="008B6031" w:rsidRPr="007906F4">
        <w:rPr>
          <w:rFonts w:ascii="Century Gothic" w:hAnsi="Century Gothic"/>
        </w:rPr>
        <w:t xml:space="preserve"> Operational and broad-scale monitoring under the Basin Plan</w:t>
      </w:r>
    </w:p>
    <w:p w14:paraId="6C6502B2" w14:textId="77777777" w:rsidR="007A7A94" w:rsidRDefault="00E47462">
      <w:pPr>
        <w:pStyle w:val="Heading6"/>
        <w:spacing w:after="120"/>
      </w:pPr>
      <w:bookmarkStart w:id="251" w:name="_Toc420502910"/>
      <w:bookmarkStart w:id="252" w:name="_Toc420502949"/>
      <w:bookmarkStart w:id="253" w:name="_Toc420926950"/>
      <w:bookmarkStart w:id="254" w:name="_Toc422389633"/>
      <w:bookmarkStart w:id="255" w:name="_Toc444088412"/>
      <w:bookmarkStart w:id="256" w:name="_Toc444088471"/>
      <w:bookmarkStart w:id="257" w:name="_Toc444088566"/>
      <w:bookmarkStart w:id="258" w:name="_Toc444088628"/>
      <w:bookmarkStart w:id="259" w:name="_Toc444091245"/>
      <w:bookmarkStart w:id="260" w:name="_Toc444091362"/>
      <w:bookmarkStart w:id="261" w:name="_Toc444091522"/>
      <w:bookmarkStart w:id="262" w:name="_Toc444247176"/>
      <w:bookmarkStart w:id="263" w:name="_Toc444247404"/>
      <w:bookmarkEnd w:id="251"/>
      <w:bookmarkEnd w:id="252"/>
      <w:bookmarkEnd w:id="253"/>
      <w:bookmarkEnd w:id="254"/>
      <w:bookmarkEnd w:id="255"/>
      <w:bookmarkEnd w:id="256"/>
      <w:bookmarkEnd w:id="257"/>
      <w:bookmarkEnd w:id="258"/>
      <w:bookmarkEnd w:id="259"/>
      <w:bookmarkEnd w:id="260"/>
      <w:bookmarkEnd w:id="261"/>
      <w:bookmarkEnd w:id="262"/>
      <w:bookmarkEnd w:id="263"/>
      <w:r w:rsidRPr="006C2670">
        <w:t>Operational monitoring</w:t>
      </w:r>
    </w:p>
    <w:p w14:paraId="6C6502B3" w14:textId="077A4105" w:rsidR="007A7A94" w:rsidRDefault="00E47462">
      <w:pPr>
        <w:spacing w:after="120"/>
        <w:rPr>
          <w:lang w:val="en-GB" w:eastAsia="en-US"/>
        </w:rPr>
      </w:pPr>
      <w:r w:rsidRPr="009814D8">
        <w:rPr>
          <w:rFonts w:ascii="Century Gothic" w:hAnsi="Century Gothic"/>
        </w:rPr>
        <w:t>Operational monitoring is monitoring that helps assess whether water has been delivered as planned (e.g. the volumes, timing (frequency and duration), location and flow rates of water delivered) and at a high level can include immediate environmental responses. Operational monitoring also helps to manage unintended consequences. Operational monitoring is</w:t>
      </w:r>
      <w:r w:rsidR="00D11401" w:rsidRPr="009814D8">
        <w:rPr>
          <w:rFonts w:ascii="Century Gothic" w:hAnsi="Century Gothic"/>
        </w:rPr>
        <w:t xml:space="preserve"> undertaken for all watering actions,</w:t>
      </w:r>
      <w:r w:rsidRPr="009814D8">
        <w:rPr>
          <w:rFonts w:ascii="Century Gothic" w:hAnsi="Century Gothic"/>
        </w:rPr>
        <w:t xml:space="preserve"> mostly by delivery partners in conjunction with the </w:t>
      </w:r>
      <w:r w:rsidR="00857534">
        <w:rPr>
          <w:rFonts w:ascii="Century Gothic" w:hAnsi="Century Gothic"/>
        </w:rPr>
        <w:t>Commonwealth Environmental Water Office</w:t>
      </w:r>
      <w:r w:rsidRPr="009814D8">
        <w:rPr>
          <w:rFonts w:ascii="Century Gothic" w:hAnsi="Century Gothic"/>
        </w:rPr>
        <w:t xml:space="preserve">. </w:t>
      </w:r>
    </w:p>
    <w:p w14:paraId="6C6502B4" w14:textId="77777777" w:rsidR="007A7A94" w:rsidRDefault="00E47462">
      <w:pPr>
        <w:pStyle w:val="Heading6"/>
        <w:spacing w:after="120"/>
      </w:pPr>
      <w:bookmarkStart w:id="264" w:name="_Toc444259192"/>
      <w:bookmarkEnd w:id="264"/>
      <w:r w:rsidRPr="006C2670">
        <w:t xml:space="preserve">Intervention </w:t>
      </w:r>
      <w:r w:rsidRPr="003D0A27">
        <w:t>monitoring</w:t>
      </w:r>
    </w:p>
    <w:p w14:paraId="6C6502B5" w14:textId="26D8A87F" w:rsidR="00B17604" w:rsidRDefault="00E47462">
      <w:pPr>
        <w:spacing w:after="120"/>
        <w:rPr>
          <w:rFonts w:ascii="Century Gothic" w:hAnsi="Century Gothic"/>
        </w:rPr>
      </w:pPr>
      <w:r>
        <w:rPr>
          <w:rFonts w:ascii="Century Gothic" w:hAnsi="Century Gothic"/>
        </w:rPr>
        <w:t xml:space="preserve">Intervention monitoring is monitoring </w:t>
      </w:r>
      <w:r w:rsidR="00D11401">
        <w:rPr>
          <w:rFonts w:ascii="Century Gothic" w:hAnsi="Century Gothic"/>
        </w:rPr>
        <w:t>that</w:t>
      </w:r>
      <w:r>
        <w:rPr>
          <w:rFonts w:ascii="Century Gothic" w:hAnsi="Century Gothic"/>
        </w:rPr>
        <w:t xml:space="preserve"> supports an assessment of the ecological response to water use. </w:t>
      </w:r>
      <w:r w:rsidRPr="00A55B12">
        <w:rPr>
          <w:rFonts w:ascii="Century Gothic" w:hAnsi="Century Gothic"/>
        </w:rPr>
        <w:t xml:space="preserve">The </w:t>
      </w:r>
      <w:r w:rsidR="00857534">
        <w:rPr>
          <w:rFonts w:ascii="Century Gothic" w:hAnsi="Century Gothic"/>
        </w:rPr>
        <w:t>Commonwealth Environmental Water Office</w:t>
      </w:r>
      <w:r w:rsidRPr="00A55B12">
        <w:rPr>
          <w:rFonts w:ascii="Century Gothic" w:hAnsi="Century Gothic"/>
        </w:rPr>
        <w:t xml:space="preserve"> commissions intervention monitoring of selected watering actions to:</w:t>
      </w:r>
    </w:p>
    <w:p w14:paraId="6C6502B6" w14:textId="77777777" w:rsidR="00B17604" w:rsidRDefault="00E47462" w:rsidP="00BC0CD5">
      <w:pPr>
        <w:pStyle w:val="ListBullet"/>
        <w:numPr>
          <w:ilvl w:val="0"/>
          <w:numId w:val="8"/>
        </w:numPr>
        <w:spacing w:after="120"/>
        <w:jc w:val="left"/>
        <w:rPr>
          <w:rFonts w:ascii="Century Gothic" w:hAnsi="Century Gothic"/>
        </w:rPr>
      </w:pPr>
      <w:r w:rsidRPr="00A55B12">
        <w:rPr>
          <w:rFonts w:ascii="Century Gothic" w:hAnsi="Century Gothic"/>
        </w:rPr>
        <w:t xml:space="preserve">demonstrate that Commonwealth environmental water is being managed well </w:t>
      </w:r>
    </w:p>
    <w:p w14:paraId="6C6502B7" w14:textId="77777777" w:rsidR="00B17604" w:rsidRDefault="00E47462" w:rsidP="00BC0CD5">
      <w:pPr>
        <w:pStyle w:val="ListBullet"/>
        <w:numPr>
          <w:ilvl w:val="0"/>
          <w:numId w:val="8"/>
        </w:numPr>
        <w:spacing w:after="120"/>
        <w:jc w:val="left"/>
        <w:rPr>
          <w:rFonts w:ascii="Century Gothic" w:hAnsi="Century Gothic"/>
        </w:rPr>
      </w:pPr>
      <w:r w:rsidRPr="00A55B12">
        <w:rPr>
          <w:rFonts w:ascii="Century Gothic" w:hAnsi="Century Gothic"/>
        </w:rPr>
        <w:t>dem</w:t>
      </w:r>
      <w:r>
        <w:rPr>
          <w:rFonts w:ascii="Century Gothic" w:hAnsi="Century Gothic"/>
        </w:rPr>
        <w:t>onstrate environmental outcomes</w:t>
      </w:r>
    </w:p>
    <w:p w14:paraId="6C6502B8" w14:textId="77777777" w:rsidR="00B17604" w:rsidRDefault="00E47462" w:rsidP="00BC0CD5">
      <w:pPr>
        <w:pStyle w:val="ListBullet"/>
        <w:numPr>
          <w:ilvl w:val="0"/>
          <w:numId w:val="8"/>
        </w:numPr>
        <w:spacing w:after="120"/>
        <w:jc w:val="left"/>
        <w:rPr>
          <w:rFonts w:ascii="Century Gothic" w:hAnsi="Century Gothic"/>
        </w:rPr>
      </w:pPr>
      <w:r w:rsidRPr="00A55B12">
        <w:rPr>
          <w:rFonts w:ascii="Century Gothic" w:hAnsi="Century Gothic"/>
        </w:rPr>
        <w:t xml:space="preserve">help managers of environmental water learn from experience and improve the delivery of water over time. </w:t>
      </w:r>
    </w:p>
    <w:p w14:paraId="6C6502B9" w14:textId="5289DCD3" w:rsidR="00B17604" w:rsidRDefault="00E47462">
      <w:pPr>
        <w:spacing w:after="120"/>
        <w:rPr>
          <w:rFonts w:ascii="Century Gothic" w:hAnsi="Century Gothic" w:cs="Arial"/>
        </w:rPr>
      </w:pPr>
      <w:r w:rsidRPr="00A55B12">
        <w:rPr>
          <w:rFonts w:ascii="Century Gothic" w:hAnsi="Century Gothic"/>
        </w:rPr>
        <w:t xml:space="preserve">The </w:t>
      </w:r>
      <w:r w:rsidR="00857534">
        <w:rPr>
          <w:rFonts w:ascii="Century Gothic" w:hAnsi="Century Gothic"/>
        </w:rPr>
        <w:t>Commonwealth Environmental Water Office</w:t>
      </w:r>
      <w:r w:rsidRPr="00A55B12">
        <w:rPr>
          <w:rFonts w:ascii="Century Gothic" w:hAnsi="Century Gothic"/>
        </w:rPr>
        <w:t xml:space="preserve"> </w:t>
      </w:r>
      <w:r>
        <w:rPr>
          <w:rFonts w:ascii="Century Gothic" w:hAnsi="Century Gothic"/>
        </w:rPr>
        <w:t>has established</w:t>
      </w:r>
      <w:r w:rsidRPr="00A55B12">
        <w:rPr>
          <w:rFonts w:ascii="Century Gothic" w:hAnsi="Century Gothic"/>
        </w:rPr>
        <w:t xml:space="preserve"> long-term intervention monitoring at selected areas within the Murray-Darling Basin</w:t>
      </w:r>
      <w:r>
        <w:rPr>
          <w:rFonts w:ascii="Century Gothic" w:hAnsi="Century Gothic"/>
        </w:rPr>
        <w:t xml:space="preserve"> that commenced in 2014–15</w:t>
      </w:r>
      <w:r w:rsidRPr="00A55B12">
        <w:rPr>
          <w:rFonts w:ascii="Century Gothic" w:hAnsi="Century Gothic"/>
        </w:rPr>
        <w:t xml:space="preserve">. The approach has a sound scientific basis that will allow us to translate the results of monitoring to other areas and identify the contribution to Basin Plan objectives. The </w:t>
      </w:r>
      <w:r w:rsidRPr="00E03D80">
        <w:rPr>
          <w:rFonts w:ascii="Century Gothic" w:hAnsi="Century Gothic"/>
        </w:rPr>
        <w:t xml:space="preserve">seven areas </w:t>
      </w:r>
      <w:r>
        <w:rPr>
          <w:rFonts w:ascii="Century Gothic" w:hAnsi="Century Gothic"/>
        </w:rPr>
        <w:t xml:space="preserve">where monitoring </w:t>
      </w:r>
      <w:r w:rsidR="00385716">
        <w:rPr>
          <w:rFonts w:ascii="Century Gothic" w:hAnsi="Century Gothic"/>
        </w:rPr>
        <w:t>is being</w:t>
      </w:r>
      <w:r>
        <w:rPr>
          <w:rFonts w:ascii="Century Gothic" w:hAnsi="Century Gothic"/>
        </w:rPr>
        <w:t xml:space="preserve"> undertaken </w:t>
      </w:r>
      <w:r w:rsidR="001409E5">
        <w:rPr>
          <w:rFonts w:ascii="Century Gothic" w:hAnsi="Century Gothic"/>
        </w:rPr>
        <w:t>are</w:t>
      </w:r>
      <w:r w:rsidR="00871FBD">
        <w:rPr>
          <w:rFonts w:ascii="Century Gothic" w:hAnsi="Century Gothic"/>
        </w:rPr>
        <w:t xml:space="preserve"> listed below.</w:t>
      </w:r>
    </w:p>
    <w:p w14:paraId="6C6502BA" w14:textId="77777777" w:rsidR="007A7A94" w:rsidRDefault="00E47462">
      <w:pPr>
        <w:pStyle w:val="ListBullet"/>
        <w:numPr>
          <w:ilvl w:val="0"/>
          <w:numId w:val="8"/>
        </w:numPr>
        <w:spacing w:after="120"/>
        <w:jc w:val="left"/>
        <w:rPr>
          <w:rFonts w:ascii="Century Gothic" w:hAnsi="Century Gothic"/>
        </w:rPr>
      </w:pPr>
      <w:r w:rsidRPr="00A55B12">
        <w:rPr>
          <w:rFonts w:ascii="Century Gothic" w:hAnsi="Century Gothic"/>
        </w:rPr>
        <w:t xml:space="preserve">Gwydir </w:t>
      </w:r>
      <w:r>
        <w:rPr>
          <w:rFonts w:ascii="Century Gothic" w:hAnsi="Century Gothic"/>
        </w:rPr>
        <w:t>River system</w:t>
      </w:r>
      <w:r w:rsidRPr="00A55B12">
        <w:rPr>
          <w:rFonts w:ascii="Century Gothic" w:hAnsi="Century Gothic"/>
        </w:rPr>
        <w:t xml:space="preserve"> (wetlands and floodplains) </w:t>
      </w:r>
      <w:hyperlink r:id="rId42" w:history="1">
        <w:r w:rsidR="006941ED" w:rsidRPr="006941ED">
          <w:rPr>
            <w:rStyle w:val="Hyperlink"/>
            <w:rFonts w:ascii="Century Gothic" w:hAnsi="Century Gothic"/>
          </w:rPr>
          <w:t>http://www.environment.gov.au/water/cewo/catchment/gwydir/monitoring</w:t>
        </w:r>
      </w:hyperlink>
    </w:p>
    <w:p w14:paraId="6C6502BB" w14:textId="77777777" w:rsidR="007A7A94" w:rsidRDefault="00E47462">
      <w:pPr>
        <w:pStyle w:val="ListBullet"/>
        <w:numPr>
          <w:ilvl w:val="0"/>
          <w:numId w:val="8"/>
        </w:numPr>
        <w:spacing w:after="120"/>
        <w:jc w:val="left"/>
        <w:rPr>
          <w:rFonts w:ascii="Century Gothic" w:hAnsi="Century Gothic"/>
        </w:rPr>
      </w:pPr>
      <w:r w:rsidRPr="00A55B12">
        <w:rPr>
          <w:rFonts w:ascii="Century Gothic" w:hAnsi="Century Gothic"/>
        </w:rPr>
        <w:t xml:space="preserve">Lachlan </w:t>
      </w:r>
      <w:r>
        <w:rPr>
          <w:rFonts w:ascii="Century Gothic" w:hAnsi="Century Gothic"/>
        </w:rPr>
        <w:t>R</w:t>
      </w:r>
      <w:r w:rsidRPr="00A55B12">
        <w:rPr>
          <w:rFonts w:ascii="Century Gothic" w:hAnsi="Century Gothic"/>
        </w:rPr>
        <w:t xml:space="preserve">iver system (in-stream and on fringing wetlands) </w:t>
      </w:r>
      <w:hyperlink r:id="rId43" w:history="1">
        <w:r w:rsidR="006941ED" w:rsidRPr="006941ED">
          <w:rPr>
            <w:rStyle w:val="Hyperlink"/>
            <w:rFonts w:ascii="Century Gothic" w:hAnsi="Century Gothic"/>
          </w:rPr>
          <w:t>http://www.environment.gov.au/water/cewo/catchment/lachlan/monitoring</w:t>
        </w:r>
      </w:hyperlink>
    </w:p>
    <w:p w14:paraId="6C6502BC" w14:textId="77777777" w:rsidR="007A7A94" w:rsidRDefault="00E47462">
      <w:pPr>
        <w:pStyle w:val="ListBullet"/>
        <w:numPr>
          <w:ilvl w:val="0"/>
          <w:numId w:val="8"/>
        </w:numPr>
        <w:spacing w:after="120"/>
        <w:jc w:val="left"/>
        <w:rPr>
          <w:rFonts w:ascii="Century Gothic" w:hAnsi="Century Gothic"/>
        </w:rPr>
      </w:pPr>
      <w:r w:rsidRPr="00A55B12">
        <w:rPr>
          <w:rFonts w:ascii="Century Gothic" w:hAnsi="Century Gothic"/>
        </w:rPr>
        <w:t xml:space="preserve">Murrumbidgee </w:t>
      </w:r>
      <w:r>
        <w:rPr>
          <w:rFonts w:ascii="Century Gothic" w:hAnsi="Century Gothic"/>
        </w:rPr>
        <w:t>River system</w:t>
      </w:r>
      <w:r w:rsidRPr="00A55B12">
        <w:rPr>
          <w:rFonts w:ascii="Century Gothic" w:hAnsi="Century Gothic"/>
        </w:rPr>
        <w:t xml:space="preserve"> (in-stream, on fringing wetlands and floodplains) </w:t>
      </w:r>
      <w:hyperlink r:id="rId44" w:history="1">
        <w:r w:rsidR="006941ED" w:rsidRPr="006941ED">
          <w:rPr>
            <w:rStyle w:val="Hyperlink"/>
            <w:rFonts w:ascii="Century Gothic" w:hAnsi="Century Gothic"/>
          </w:rPr>
          <w:t>http://www.environment.gov.au/water/cewo/catchment/murrumbidgee/monitoring</w:t>
        </w:r>
      </w:hyperlink>
    </w:p>
    <w:p w14:paraId="6C6502BD" w14:textId="77777777" w:rsidR="007A7A94" w:rsidRDefault="00E47462">
      <w:pPr>
        <w:pStyle w:val="ListBullet"/>
        <w:numPr>
          <w:ilvl w:val="0"/>
          <w:numId w:val="8"/>
        </w:numPr>
        <w:spacing w:after="120"/>
        <w:jc w:val="left"/>
        <w:rPr>
          <w:rFonts w:ascii="Century Gothic" w:hAnsi="Century Gothic"/>
        </w:rPr>
      </w:pPr>
      <w:r w:rsidRPr="00A55B12">
        <w:rPr>
          <w:rFonts w:ascii="Century Gothic" w:hAnsi="Century Gothic"/>
        </w:rPr>
        <w:t xml:space="preserve">Edward-Wakool </w:t>
      </w:r>
      <w:r>
        <w:rPr>
          <w:rFonts w:ascii="Century Gothic" w:hAnsi="Century Gothic"/>
        </w:rPr>
        <w:t>R</w:t>
      </w:r>
      <w:r w:rsidRPr="00A55B12">
        <w:rPr>
          <w:rFonts w:ascii="Century Gothic" w:hAnsi="Century Gothic"/>
        </w:rPr>
        <w:t xml:space="preserve">iver system (in-stream and on fringing wetlands) </w:t>
      </w:r>
      <w:hyperlink r:id="rId45" w:history="1">
        <w:r w:rsidR="006941ED" w:rsidRPr="006941ED">
          <w:rPr>
            <w:rStyle w:val="Hyperlink"/>
            <w:rFonts w:ascii="Century Gothic" w:hAnsi="Century Gothic"/>
          </w:rPr>
          <w:t>http://www.environment.gov.au/water/cewo/catchment/mid-murray/monitoring</w:t>
        </w:r>
      </w:hyperlink>
    </w:p>
    <w:p w14:paraId="6C6502BE" w14:textId="77777777" w:rsidR="007A7A94" w:rsidRDefault="00E47462">
      <w:pPr>
        <w:pStyle w:val="ListBullet"/>
        <w:numPr>
          <w:ilvl w:val="0"/>
          <w:numId w:val="8"/>
        </w:numPr>
        <w:spacing w:after="120"/>
        <w:jc w:val="left"/>
        <w:rPr>
          <w:rFonts w:ascii="Century Gothic" w:hAnsi="Century Gothic"/>
        </w:rPr>
      </w:pPr>
      <w:r>
        <w:rPr>
          <w:rFonts w:ascii="Century Gothic" w:hAnsi="Century Gothic"/>
        </w:rPr>
        <w:t>Goulburn R</w:t>
      </w:r>
      <w:r w:rsidRPr="00A55B12">
        <w:rPr>
          <w:rFonts w:ascii="Century Gothic" w:hAnsi="Century Gothic"/>
        </w:rPr>
        <w:t xml:space="preserve">iver (in-stream) </w:t>
      </w:r>
      <w:hyperlink r:id="rId46" w:history="1">
        <w:r w:rsidR="006941ED" w:rsidRPr="004B2910">
          <w:rPr>
            <w:rStyle w:val="Hyperlink"/>
            <w:rFonts w:ascii="Century Gothic" w:hAnsi="Century Gothic"/>
          </w:rPr>
          <w:t>http://www.environment.gov.au/water/cewo/catchment/northern-victorian-rivers/monitoring</w:t>
        </w:r>
      </w:hyperlink>
    </w:p>
    <w:p w14:paraId="6C6502BF" w14:textId="77777777" w:rsidR="007A7A94" w:rsidRDefault="00E47462">
      <w:pPr>
        <w:pStyle w:val="ListBullet"/>
        <w:numPr>
          <w:ilvl w:val="0"/>
          <w:numId w:val="8"/>
        </w:numPr>
        <w:spacing w:after="120"/>
        <w:jc w:val="left"/>
        <w:rPr>
          <w:rFonts w:ascii="Century Gothic" w:hAnsi="Century Gothic"/>
        </w:rPr>
      </w:pPr>
      <w:r>
        <w:rPr>
          <w:rFonts w:ascii="Century Gothic" w:hAnsi="Century Gothic"/>
        </w:rPr>
        <w:t xml:space="preserve">Lower </w:t>
      </w:r>
      <w:r w:rsidRPr="00A55B12">
        <w:rPr>
          <w:rFonts w:ascii="Century Gothic" w:hAnsi="Century Gothic"/>
        </w:rPr>
        <w:t xml:space="preserve">Murray River (in-stream) </w:t>
      </w:r>
      <w:hyperlink r:id="rId47" w:history="1">
        <w:r w:rsidR="006941ED" w:rsidRPr="006941ED">
          <w:rPr>
            <w:rStyle w:val="Hyperlink"/>
            <w:rFonts w:ascii="Century Gothic" w:hAnsi="Century Gothic"/>
          </w:rPr>
          <w:t>http://www.environment.gov.au/water/cewo/catchment/lower-murray-darling/monitoring</w:t>
        </w:r>
      </w:hyperlink>
    </w:p>
    <w:p w14:paraId="6C6502C0" w14:textId="77777777" w:rsidR="007A7A94" w:rsidRDefault="00E47462">
      <w:pPr>
        <w:pStyle w:val="ListBullet"/>
        <w:numPr>
          <w:ilvl w:val="0"/>
          <w:numId w:val="8"/>
        </w:numPr>
        <w:spacing w:after="120"/>
        <w:jc w:val="left"/>
        <w:rPr>
          <w:rFonts w:ascii="Century Gothic" w:hAnsi="Century Gothic"/>
        </w:rPr>
      </w:pPr>
      <w:r>
        <w:rPr>
          <w:rFonts w:ascii="Century Gothic" w:hAnsi="Century Gothic"/>
        </w:rPr>
        <w:t>Junction of the Warrego and Darling rivers</w:t>
      </w:r>
      <w:r w:rsidRPr="00A55B12">
        <w:rPr>
          <w:rFonts w:ascii="Century Gothic" w:hAnsi="Century Gothic"/>
        </w:rPr>
        <w:t xml:space="preserve"> (in-stream and floodplains, as well as an indicator of upstream unregulated rivers) </w:t>
      </w:r>
      <w:hyperlink r:id="rId48" w:history="1">
        <w:r w:rsidR="006941ED" w:rsidRPr="006941ED">
          <w:rPr>
            <w:rStyle w:val="Hyperlink"/>
            <w:rFonts w:ascii="Century Gothic" w:hAnsi="Century Gothic"/>
          </w:rPr>
          <w:t>http://www.environment.gov.au/water/cewo/catchment/northern-unregulated-rivers/monitoring</w:t>
        </w:r>
      </w:hyperlink>
    </w:p>
    <w:p w14:paraId="6C6502C1" w14:textId="6CE773A8" w:rsidR="007A7A94" w:rsidRDefault="00E47462">
      <w:pPr>
        <w:spacing w:after="120"/>
        <w:rPr>
          <w:rFonts w:ascii="Century Gothic" w:hAnsi="Century Gothic"/>
        </w:rPr>
      </w:pPr>
      <w:r w:rsidRPr="00D22B81">
        <w:rPr>
          <w:rFonts w:ascii="Century Gothic" w:hAnsi="Century Gothic"/>
        </w:rPr>
        <w:t>These areas have been chosen to be broadly representative of Commonwealth environmental watering, and complement existing monitoring program</w:t>
      </w:r>
      <w:r>
        <w:rPr>
          <w:rFonts w:ascii="Century Gothic" w:hAnsi="Century Gothic"/>
        </w:rPr>
        <w:t>me</w:t>
      </w:r>
      <w:r w:rsidRPr="00D22B81">
        <w:rPr>
          <w:rFonts w:ascii="Century Gothic" w:hAnsi="Century Gothic"/>
        </w:rPr>
        <w:t xml:space="preserve">s in the </w:t>
      </w:r>
      <w:r w:rsidR="00BE4223">
        <w:rPr>
          <w:rFonts w:ascii="Century Gothic" w:hAnsi="Century Gothic"/>
        </w:rPr>
        <w:t>Murray-Darling</w:t>
      </w:r>
      <w:r w:rsidRPr="00D22B81">
        <w:rPr>
          <w:rFonts w:ascii="Century Gothic" w:hAnsi="Century Gothic"/>
        </w:rPr>
        <w:t xml:space="preserve"> Basin, including The Living Murray program</w:t>
      </w:r>
      <w:r>
        <w:rPr>
          <w:rFonts w:ascii="Century Gothic" w:hAnsi="Century Gothic"/>
        </w:rPr>
        <w:t>me</w:t>
      </w:r>
      <w:r w:rsidRPr="00D22B81">
        <w:rPr>
          <w:rFonts w:ascii="Century Gothic" w:hAnsi="Century Gothic"/>
        </w:rPr>
        <w:t xml:space="preserve"> and Basin </w:t>
      </w:r>
      <w:r>
        <w:rPr>
          <w:rFonts w:ascii="Century Gothic" w:hAnsi="Century Gothic"/>
        </w:rPr>
        <w:t>s</w:t>
      </w:r>
      <w:r w:rsidRPr="00D22B81">
        <w:rPr>
          <w:rFonts w:ascii="Century Gothic" w:hAnsi="Century Gothic"/>
        </w:rPr>
        <w:t>tate monitoring initiatives.</w:t>
      </w:r>
      <w:r w:rsidR="00211F67">
        <w:rPr>
          <w:rFonts w:ascii="Century Gothic" w:hAnsi="Century Gothic"/>
        </w:rPr>
        <w:t xml:space="preserve"> </w:t>
      </w:r>
      <w:r w:rsidRPr="00A55B12">
        <w:rPr>
          <w:rFonts w:ascii="Century Gothic" w:hAnsi="Century Gothic"/>
        </w:rPr>
        <w:t xml:space="preserve">The Office will continue to publish </w:t>
      </w:r>
      <w:r>
        <w:rPr>
          <w:rFonts w:ascii="Century Gothic" w:hAnsi="Century Gothic"/>
        </w:rPr>
        <w:t>on its website</w:t>
      </w:r>
      <w:r w:rsidRPr="00A55B12">
        <w:rPr>
          <w:rFonts w:ascii="Century Gothic" w:hAnsi="Century Gothic"/>
        </w:rPr>
        <w:t xml:space="preserve"> results from all monitoring and evaluation </w:t>
      </w:r>
      <w:r>
        <w:rPr>
          <w:rFonts w:ascii="Century Gothic" w:hAnsi="Century Gothic"/>
        </w:rPr>
        <w:t>that has been commissioned</w:t>
      </w:r>
      <w:r w:rsidRPr="00A55B12">
        <w:rPr>
          <w:rFonts w:ascii="Century Gothic" w:hAnsi="Century Gothic"/>
        </w:rPr>
        <w:t xml:space="preserve">. </w:t>
      </w:r>
    </w:p>
    <w:p w14:paraId="6C6502C2" w14:textId="77777777" w:rsidR="008017AC" w:rsidRDefault="008017AC">
      <w:pPr>
        <w:spacing w:after="120"/>
        <w:rPr>
          <w:rFonts w:ascii="Century Gothic" w:hAnsi="Century Gothic"/>
        </w:rPr>
      </w:pPr>
    </w:p>
    <w:p w14:paraId="6C6502C9" w14:textId="77777777" w:rsidR="007A7A94" w:rsidRDefault="009436E3">
      <w:pPr>
        <w:spacing w:after="120"/>
        <w:jc w:val="left"/>
        <w:rPr>
          <w:b/>
          <w:color w:val="5F497A" w:themeColor="accent4" w:themeShade="BF"/>
          <w:sz w:val="40"/>
          <w:szCs w:val="40"/>
          <w:lang w:val="en-GB" w:eastAsia="en-US"/>
        </w:rPr>
      </w:pPr>
      <w:r>
        <w:rPr>
          <w:caps/>
          <w:color w:val="5F497A" w:themeColor="accent4" w:themeShade="BF"/>
          <w:sz w:val="40"/>
          <w:szCs w:val="40"/>
          <w:lang w:val="en-GB" w:eastAsia="en-US"/>
        </w:rPr>
        <w:br w:type="page"/>
      </w:r>
    </w:p>
    <w:p w14:paraId="6C6502CA" w14:textId="65FF9EB1" w:rsidR="007A7A94" w:rsidRDefault="00E47462">
      <w:pPr>
        <w:pStyle w:val="Heading1"/>
        <w:spacing w:after="120"/>
      </w:pPr>
      <w:bookmarkStart w:id="265" w:name="_Toc517264669"/>
      <w:r w:rsidRPr="0022362D">
        <w:t>Adaptive management</w:t>
      </w:r>
      <w:bookmarkEnd w:id="265"/>
    </w:p>
    <w:p w14:paraId="6C6502CB" w14:textId="13A6DEF1" w:rsidR="00B17604" w:rsidRDefault="003563F2">
      <w:pPr>
        <w:pStyle w:val="ListBullet"/>
        <w:numPr>
          <w:ilvl w:val="0"/>
          <w:numId w:val="0"/>
        </w:numPr>
        <w:spacing w:after="120"/>
        <w:rPr>
          <w:rFonts w:ascii="Century Gothic" w:hAnsi="Century Gothic"/>
        </w:rPr>
      </w:pPr>
      <w:r w:rsidRPr="00576FD5">
        <w:rPr>
          <w:rFonts w:ascii="Century Gothic" w:hAnsi="Century Gothic"/>
        </w:rPr>
        <w:t xml:space="preserve">Adaptive management is a </w:t>
      </w:r>
      <w:r w:rsidR="0077794E" w:rsidRPr="0077794E">
        <w:rPr>
          <w:rFonts w:ascii="Century Gothic" w:hAnsi="Century Gothic"/>
        </w:rPr>
        <w:t xml:space="preserve">systematic approach for deliberately learning from </w:t>
      </w:r>
      <w:r w:rsidR="0077794E">
        <w:rPr>
          <w:rFonts w:ascii="Century Gothic" w:hAnsi="Century Gothic"/>
        </w:rPr>
        <w:t>past</w:t>
      </w:r>
      <w:r w:rsidR="0077794E" w:rsidRPr="0077794E">
        <w:rPr>
          <w:rFonts w:ascii="Century Gothic" w:hAnsi="Century Gothic"/>
        </w:rPr>
        <w:t xml:space="preserve"> actions</w:t>
      </w:r>
      <w:r w:rsidR="00127AEC">
        <w:rPr>
          <w:rFonts w:ascii="Century Gothic" w:hAnsi="Century Gothic"/>
        </w:rPr>
        <w:t>,</w:t>
      </w:r>
      <w:r w:rsidR="0077794E" w:rsidRPr="0077794E">
        <w:rPr>
          <w:rFonts w:ascii="Century Gothic" w:hAnsi="Century Gothic"/>
        </w:rPr>
        <w:t xml:space="preserve"> with the intent to</w:t>
      </w:r>
      <w:r w:rsidR="00127AEC">
        <w:rPr>
          <w:rFonts w:ascii="Century Gothic" w:hAnsi="Century Gothic"/>
        </w:rPr>
        <w:t xml:space="preserve"> continually</w:t>
      </w:r>
      <w:r w:rsidR="0077794E" w:rsidRPr="0077794E">
        <w:rPr>
          <w:rFonts w:ascii="Century Gothic" w:hAnsi="Century Gothic"/>
        </w:rPr>
        <w:t xml:space="preserve"> improve </w:t>
      </w:r>
      <w:r w:rsidR="0077794E">
        <w:rPr>
          <w:rFonts w:ascii="Century Gothic" w:hAnsi="Century Gothic"/>
        </w:rPr>
        <w:t>future</w:t>
      </w:r>
      <w:r w:rsidR="0077794E" w:rsidRPr="0077794E">
        <w:rPr>
          <w:rFonts w:ascii="Century Gothic" w:hAnsi="Century Gothic"/>
        </w:rPr>
        <w:t xml:space="preserve"> </w:t>
      </w:r>
      <w:r w:rsidR="0077794E">
        <w:rPr>
          <w:rFonts w:ascii="Century Gothic" w:hAnsi="Century Gothic"/>
        </w:rPr>
        <w:t>planning and actions. It</w:t>
      </w:r>
      <w:r w:rsidRPr="00576FD5">
        <w:rPr>
          <w:rFonts w:ascii="Century Gothic" w:hAnsi="Century Gothic"/>
        </w:rPr>
        <w:t xml:space="preserve"> </w:t>
      </w:r>
      <w:r w:rsidR="00127AEC">
        <w:rPr>
          <w:rFonts w:ascii="Century Gothic" w:hAnsi="Century Gothic"/>
        </w:rPr>
        <w:t>relies</w:t>
      </w:r>
      <w:r w:rsidRPr="00576FD5">
        <w:rPr>
          <w:rFonts w:ascii="Century Gothic" w:hAnsi="Century Gothic"/>
        </w:rPr>
        <w:t xml:space="preserve"> on a combination of the latest information, including best available science</w:t>
      </w:r>
      <w:r w:rsidR="0077794E">
        <w:rPr>
          <w:rFonts w:ascii="Century Gothic" w:hAnsi="Century Gothic"/>
        </w:rPr>
        <w:t xml:space="preserve"> and monitoring outcomes,</w:t>
      </w:r>
      <w:r w:rsidRPr="00576FD5">
        <w:rPr>
          <w:rFonts w:ascii="Century Gothic" w:hAnsi="Century Gothic"/>
        </w:rPr>
        <w:t xml:space="preserve"> and</w:t>
      </w:r>
      <w:r w:rsidR="0077794E">
        <w:rPr>
          <w:rFonts w:ascii="Century Gothic" w:hAnsi="Century Gothic"/>
        </w:rPr>
        <w:t xml:space="preserve"> the</w:t>
      </w:r>
      <w:r w:rsidRPr="00576FD5">
        <w:rPr>
          <w:rFonts w:ascii="Century Gothic" w:hAnsi="Century Gothic"/>
        </w:rPr>
        <w:t xml:space="preserve"> knowledge, insights and experiences of those people living and working in the Basin.</w:t>
      </w:r>
      <w:r w:rsidR="00477FC3" w:rsidRPr="00576FD5">
        <w:rPr>
          <w:rFonts w:ascii="Century Gothic" w:hAnsi="Century Gothic"/>
        </w:rPr>
        <w:t xml:space="preserve"> </w:t>
      </w:r>
      <w:r w:rsidR="0087279F" w:rsidRPr="00576FD5">
        <w:rPr>
          <w:rFonts w:ascii="Century Gothic" w:hAnsi="Century Gothic"/>
        </w:rPr>
        <w:t xml:space="preserve">As outlined in the </w:t>
      </w:r>
      <w:r w:rsidR="00BE4223">
        <w:rPr>
          <w:rFonts w:ascii="Century Gothic" w:hAnsi="Century Gothic"/>
        </w:rPr>
        <w:t>Murray-Darling</w:t>
      </w:r>
      <w:r w:rsidR="0087279F" w:rsidRPr="00576FD5">
        <w:rPr>
          <w:rFonts w:ascii="Century Gothic" w:hAnsi="Century Gothic"/>
        </w:rPr>
        <w:t xml:space="preserve"> Basin Plan, a</w:t>
      </w:r>
      <w:r w:rsidR="00E002D3" w:rsidRPr="00576FD5">
        <w:rPr>
          <w:rFonts w:ascii="Century Gothic" w:hAnsi="Century Gothic"/>
        </w:rPr>
        <w:t>daptive management involves the following:</w:t>
      </w:r>
    </w:p>
    <w:p w14:paraId="6C6502CC" w14:textId="77777777" w:rsidR="00B17604" w:rsidRDefault="00E002D3" w:rsidP="00BC0CD5">
      <w:pPr>
        <w:pStyle w:val="ListBullet"/>
        <w:spacing w:after="120"/>
        <w:jc w:val="left"/>
        <w:rPr>
          <w:rFonts w:ascii="Century Gothic" w:hAnsi="Century Gothic"/>
        </w:rPr>
      </w:pPr>
      <w:r w:rsidRPr="00576FD5">
        <w:rPr>
          <w:rFonts w:ascii="Century Gothic" w:hAnsi="Century Gothic"/>
        </w:rPr>
        <w:t xml:space="preserve">setting clear objectives </w:t>
      </w:r>
    </w:p>
    <w:p w14:paraId="6C6502CD" w14:textId="77777777" w:rsidR="00B17604" w:rsidRDefault="00E002D3" w:rsidP="00BC0CD5">
      <w:pPr>
        <w:pStyle w:val="ListBullet"/>
        <w:spacing w:after="120"/>
        <w:jc w:val="left"/>
        <w:rPr>
          <w:rFonts w:ascii="Century Gothic" w:hAnsi="Century Gothic"/>
        </w:rPr>
      </w:pPr>
      <w:r w:rsidRPr="00576FD5">
        <w:rPr>
          <w:rFonts w:ascii="Century Gothic" w:hAnsi="Century Gothic"/>
        </w:rPr>
        <w:t>linking knowledge (including local knowledge) management, evaluation and feedback over time</w:t>
      </w:r>
    </w:p>
    <w:p w14:paraId="6C6502CE" w14:textId="77777777" w:rsidR="00B17604" w:rsidRDefault="00E002D3" w:rsidP="00BC0CD5">
      <w:pPr>
        <w:pStyle w:val="ListBullet"/>
        <w:spacing w:after="120"/>
        <w:jc w:val="left"/>
        <w:rPr>
          <w:rFonts w:ascii="Century Gothic" w:hAnsi="Century Gothic"/>
        </w:rPr>
      </w:pPr>
      <w:r w:rsidRPr="00576FD5">
        <w:rPr>
          <w:rFonts w:ascii="Century Gothic" w:hAnsi="Century Gothic"/>
        </w:rPr>
        <w:t>identifying and testing uncertainties</w:t>
      </w:r>
    </w:p>
    <w:p w14:paraId="6C6502CF" w14:textId="77777777" w:rsidR="00B17604" w:rsidRDefault="00E002D3" w:rsidP="00BC0CD5">
      <w:pPr>
        <w:pStyle w:val="ListBullet"/>
        <w:spacing w:after="120"/>
        <w:jc w:val="left"/>
        <w:rPr>
          <w:rFonts w:ascii="Century Gothic" w:hAnsi="Century Gothic"/>
        </w:rPr>
      </w:pPr>
      <w:r w:rsidRPr="00576FD5">
        <w:rPr>
          <w:rFonts w:ascii="Century Gothic" w:hAnsi="Century Gothic"/>
        </w:rPr>
        <w:t>using adaptive management as a tool to learn about the relevant system and change its management</w:t>
      </w:r>
    </w:p>
    <w:p w14:paraId="6C6502D0" w14:textId="77777777" w:rsidR="00B17604" w:rsidRDefault="00E002D3" w:rsidP="00BC0CD5">
      <w:pPr>
        <w:pStyle w:val="ListBullet"/>
        <w:spacing w:after="120"/>
        <w:jc w:val="left"/>
        <w:rPr>
          <w:rFonts w:ascii="Century Gothic" w:hAnsi="Century Gothic"/>
        </w:rPr>
      </w:pPr>
      <w:r w:rsidRPr="00576FD5">
        <w:rPr>
          <w:rFonts w:ascii="Century Gothic" w:hAnsi="Century Gothic"/>
        </w:rPr>
        <w:t>improving knowledge and ongoing implementation</w:t>
      </w:r>
    </w:p>
    <w:p w14:paraId="6C6502D1" w14:textId="77777777" w:rsidR="00B17604" w:rsidRDefault="00E002D3" w:rsidP="00BC0CD5">
      <w:pPr>
        <w:pStyle w:val="ListBullet"/>
        <w:spacing w:after="120"/>
        <w:jc w:val="left"/>
        <w:rPr>
          <w:rFonts w:ascii="Century Gothic" w:hAnsi="Century Gothic"/>
        </w:rPr>
      </w:pPr>
      <w:r w:rsidRPr="00576FD5">
        <w:rPr>
          <w:rFonts w:ascii="Century Gothic" w:hAnsi="Century Gothic"/>
        </w:rPr>
        <w:t>having regard to the social, economic and technical aspects of management.</w:t>
      </w:r>
    </w:p>
    <w:p w14:paraId="6C6502D2" w14:textId="77777777" w:rsidR="00B17604" w:rsidRDefault="00133D95">
      <w:pPr>
        <w:pStyle w:val="Figure1"/>
        <w:spacing w:after="120"/>
      </w:pPr>
      <w:r w:rsidRPr="00576FD5">
        <w:t xml:space="preserve">The development of </w:t>
      </w:r>
      <w:r w:rsidR="003563F2" w:rsidRPr="00576FD5">
        <w:t>portfolio management plans</w:t>
      </w:r>
      <w:r w:rsidRPr="00576FD5">
        <w:t xml:space="preserve"> are a critical element of the Office’s adaptive management process</w:t>
      </w:r>
      <w:r w:rsidR="00576FD5" w:rsidRPr="00576FD5">
        <w:t xml:space="preserve"> (see</w:t>
      </w:r>
      <w:r w:rsidR="007906F4">
        <w:t xml:space="preserve"> </w:t>
      </w:r>
      <w:r w:rsidR="002E3CDD">
        <w:t>Figure 7</w:t>
      </w:r>
      <w:r w:rsidR="00576FD5" w:rsidRPr="00576FD5">
        <w:t>)</w:t>
      </w:r>
      <w:r w:rsidR="003563F2" w:rsidRPr="00576FD5">
        <w:t xml:space="preserve">. </w:t>
      </w:r>
      <w:r w:rsidRPr="00576FD5">
        <w:t>The plans set out the objectives and outcomes that environmental water is aiming to contribute</w:t>
      </w:r>
      <w:r w:rsidR="0077794E">
        <w:t xml:space="preserve"> to</w:t>
      </w:r>
      <w:r w:rsidRPr="00576FD5">
        <w:t xml:space="preserve"> </w:t>
      </w:r>
      <w:r w:rsidR="0077794E">
        <w:t>(</w:t>
      </w:r>
      <w:r w:rsidRPr="00576FD5">
        <w:t>based on input from government agencies, communities and scientists</w:t>
      </w:r>
      <w:r w:rsidR="0077794E">
        <w:t>)</w:t>
      </w:r>
      <w:r w:rsidRPr="00576FD5">
        <w:t xml:space="preserve"> and the actions required to achieve these outcomes. These are then updated each year based on </w:t>
      </w:r>
      <w:r w:rsidR="00576FD5">
        <w:t xml:space="preserve">the evaluation of </w:t>
      </w:r>
      <w:r w:rsidR="00477FC3" w:rsidRPr="00576FD5">
        <w:t xml:space="preserve">monitoring </w:t>
      </w:r>
      <w:r w:rsidR="00576FD5">
        <w:t>results</w:t>
      </w:r>
      <w:r w:rsidR="00477FC3" w:rsidRPr="00576FD5">
        <w:t xml:space="preserve"> and </w:t>
      </w:r>
      <w:r w:rsidR="00576FD5">
        <w:t xml:space="preserve">the </w:t>
      </w:r>
      <w:r w:rsidRPr="00576FD5">
        <w:t>exp</w:t>
      </w:r>
      <w:r w:rsidR="00064B86" w:rsidRPr="00576FD5">
        <w:t>erience</w:t>
      </w:r>
      <w:r w:rsidR="00832E07" w:rsidRPr="00576FD5">
        <w:t xml:space="preserve"> of what has worked well and areas that require improvement. </w:t>
      </w:r>
    </w:p>
    <w:p w14:paraId="6C6502D3" w14:textId="77777777" w:rsidR="007A7A94" w:rsidRDefault="00576FD5">
      <w:pPr>
        <w:spacing w:after="120"/>
        <w:jc w:val="center"/>
        <w:rPr>
          <w:rFonts w:ascii="Century Gothic" w:hAnsi="Century Gothic"/>
        </w:rPr>
      </w:pPr>
      <w:r>
        <w:rPr>
          <w:rFonts w:ascii="Century Gothic" w:hAnsi="Century Gothic"/>
          <w:noProof/>
        </w:rPr>
        <w:drawing>
          <wp:inline distT="0" distB="0" distL="0" distR="0" wp14:anchorId="6C650342" wp14:editId="6E4FD40A">
            <wp:extent cx="4731026" cy="4383958"/>
            <wp:effectExtent l="0" t="0" r="0" b="0"/>
            <wp:docPr id="86" name="Picture 86" descr="This is a conceptual diagram of the adaptive management cycle. Each stage of the circular diagram represents the cyclical nature of the process that informs adaptive management practices. The stages include planning (to identify priority assets and desired outcomes), design (a program of environmental watering actions), monitoring (the environmental effects of watering), evaluation (of the effectiveness and efficiency), reflection (on what’s working, what’s not and why), reporting (on outcomes and communicate learning) and improvement (of adaptive approach and apply to next watering). All stages of the cycle require continuous participation and communication."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 cstate="print"/>
                    <a:srcRect/>
                    <a:stretch>
                      <a:fillRect/>
                    </a:stretch>
                  </pic:blipFill>
                  <pic:spPr bwMode="auto">
                    <a:xfrm>
                      <a:off x="0" y="0"/>
                      <a:ext cx="4733497" cy="4386248"/>
                    </a:xfrm>
                    <a:prstGeom prst="rect">
                      <a:avLst/>
                    </a:prstGeom>
                    <a:noFill/>
                  </pic:spPr>
                </pic:pic>
              </a:graphicData>
            </a:graphic>
          </wp:inline>
        </w:drawing>
      </w:r>
    </w:p>
    <w:p w14:paraId="6C6502D4" w14:textId="77777777" w:rsidR="00B17604" w:rsidRDefault="003E3DFB">
      <w:pPr>
        <w:pStyle w:val="Caption"/>
        <w:jc w:val="left"/>
        <w:rPr>
          <w:rFonts w:ascii="Century Gothic" w:hAnsi="Century Gothic"/>
        </w:rPr>
      </w:pPr>
      <w:r w:rsidRPr="007906F4">
        <w:rPr>
          <w:rFonts w:ascii="Century Gothic" w:hAnsi="Century Gothic"/>
        </w:rPr>
        <w:t xml:space="preserve">Figure </w:t>
      </w:r>
      <w:r w:rsidR="00D848C1" w:rsidRPr="007906F4">
        <w:rPr>
          <w:rFonts w:ascii="Century Gothic" w:hAnsi="Century Gothic"/>
        </w:rPr>
        <w:fldChar w:fldCharType="begin"/>
      </w:r>
      <w:r w:rsidRPr="007906F4">
        <w:rPr>
          <w:rFonts w:ascii="Century Gothic" w:hAnsi="Century Gothic"/>
        </w:rPr>
        <w:instrText xml:space="preserve"> SEQ Figure \* ARABIC </w:instrText>
      </w:r>
      <w:r w:rsidR="00D848C1" w:rsidRPr="007906F4">
        <w:rPr>
          <w:rFonts w:ascii="Century Gothic" w:hAnsi="Century Gothic"/>
        </w:rPr>
        <w:fldChar w:fldCharType="separate"/>
      </w:r>
      <w:r w:rsidR="0044680F">
        <w:rPr>
          <w:rFonts w:ascii="Century Gothic" w:hAnsi="Century Gothic"/>
          <w:noProof/>
        </w:rPr>
        <w:t>7</w:t>
      </w:r>
      <w:r w:rsidR="00D848C1" w:rsidRPr="007906F4">
        <w:rPr>
          <w:rFonts w:ascii="Century Gothic" w:hAnsi="Century Gothic"/>
        </w:rPr>
        <w:fldChar w:fldCharType="end"/>
      </w:r>
      <w:r w:rsidRPr="007906F4">
        <w:rPr>
          <w:rFonts w:ascii="Century Gothic" w:hAnsi="Century Gothic"/>
          <w:b w:val="0"/>
        </w:rPr>
        <w:t>:</w:t>
      </w:r>
      <w:r w:rsidRPr="007906F4">
        <w:rPr>
          <w:rFonts w:ascii="Century Gothic" w:hAnsi="Century Gothic"/>
        </w:rPr>
        <w:t xml:space="preserve"> </w:t>
      </w:r>
      <w:r w:rsidRPr="007906F4">
        <w:rPr>
          <w:rFonts w:ascii="Century Gothic" w:hAnsi="Century Gothic"/>
          <w:b w:val="0"/>
        </w:rPr>
        <w:t>The adaptive management cycle</w:t>
      </w:r>
    </w:p>
    <w:p w14:paraId="6C6502D5" w14:textId="77777777" w:rsidR="005A415C" w:rsidRDefault="005A415C" w:rsidP="006026F2">
      <w:pPr>
        <w:spacing w:after="120"/>
        <w:jc w:val="left"/>
        <w:rPr>
          <w:rFonts w:ascii="Century Gothic" w:hAnsi="Century Gothic"/>
        </w:rPr>
      </w:pPr>
    </w:p>
    <w:p w14:paraId="6C6502E8" w14:textId="505F29E8" w:rsidR="007A7A94" w:rsidRPr="00B73144" w:rsidRDefault="00477FC3" w:rsidP="00B73144">
      <w:pPr>
        <w:spacing w:after="120"/>
        <w:rPr>
          <w:rFonts w:ascii="Century Gothic" w:hAnsi="Century Gothic"/>
        </w:rPr>
      </w:pPr>
      <w:r w:rsidRPr="00576FD5">
        <w:rPr>
          <w:rFonts w:ascii="Century Gothic" w:hAnsi="Century Gothic"/>
        </w:rPr>
        <w:t>The practice of environmental water management will continue to evolve through the development of innovative and flexible approaches. This will help maximise environmental outcomes despite uncertainty over future conditions and changing circumstances.</w:t>
      </w:r>
      <w:bookmarkStart w:id="266" w:name="_Toc517264671"/>
      <w:bookmarkEnd w:id="266"/>
    </w:p>
    <w:p w14:paraId="6C6502E9" w14:textId="3652C6C8" w:rsidR="007A7A94" w:rsidRDefault="00E47462" w:rsidP="00F961D6">
      <w:pPr>
        <w:pStyle w:val="Attachment"/>
        <w:spacing w:after="120"/>
      </w:pPr>
      <w:bookmarkStart w:id="267" w:name="_Toc517264672"/>
      <w:r w:rsidRPr="00642205">
        <w:t>Attachment A</w:t>
      </w:r>
      <w:r w:rsidR="005539CE" w:rsidRPr="00642205">
        <w:t>:</w:t>
      </w:r>
      <w:r w:rsidRPr="00642205">
        <w:t xml:space="preserve"> </w:t>
      </w:r>
      <w:r w:rsidR="0097035C" w:rsidRPr="00642205">
        <w:t>Basin–wide environmental</w:t>
      </w:r>
      <w:r w:rsidR="00F961D6">
        <w:t xml:space="preserve"> </w:t>
      </w:r>
      <w:r w:rsidR="0097035C" w:rsidRPr="00642205">
        <w:t>watering strategy</w:t>
      </w:r>
      <w:bookmarkEnd w:id="267"/>
      <w:r w:rsidR="00A54F28">
        <w:t xml:space="preserve"> 2014</w:t>
      </w:r>
    </w:p>
    <w:p w14:paraId="0DC038B9" w14:textId="737C0BFA" w:rsidR="00B27340" w:rsidRDefault="0097035C">
      <w:pPr>
        <w:pStyle w:val="ListBullet"/>
        <w:numPr>
          <w:ilvl w:val="0"/>
          <w:numId w:val="0"/>
        </w:numPr>
        <w:spacing w:after="120"/>
        <w:jc w:val="left"/>
        <w:rPr>
          <w:rFonts w:ascii="Century Gothic" w:hAnsi="Century Gothic"/>
        </w:rPr>
      </w:pPr>
      <w:r w:rsidRPr="0097035C">
        <w:rPr>
          <w:rFonts w:ascii="Century Gothic" w:hAnsi="Century Gothic"/>
        </w:rPr>
        <w:t xml:space="preserve">The MDBA has identified the </w:t>
      </w:r>
      <w:r w:rsidR="006574C4">
        <w:rPr>
          <w:rFonts w:ascii="Century Gothic" w:hAnsi="Century Gothic"/>
        </w:rPr>
        <w:t>following</w:t>
      </w:r>
      <w:r w:rsidR="006574C4" w:rsidRPr="0097035C">
        <w:rPr>
          <w:rFonts w:ascii="Century Gothic" w:hAnsi="Century Gothic"/>
        </w:rPr>
        <w:t xml:space="preserve"> </w:t>
      </w:r>
      <w:r w:rsidRPr="0097035C">
        <w:rPr>
          <w:rFonts w:ascii="Century Gothic" w:hAnsi="Century Gothic"/>
        </w:rPr>
        <w:t>list</w:t>
      </w:r>
      <w:r w:rsidR="00E47462" w:rsidRPr="0097035C">
        <w:rPr>
          <w:rFonts w:ascii="Century Gothic" w:hAnsi="Century Gothic"/>
        </w:rPr>
        <w:t xml:space="preserve"> of quantified </w:t>
      </w:r>
      <w:r w:rsidR="006574C4">
        <w:rPr>
          <w:rFonts w:ascii="Century Gothic" w:hAnsi="Century Gothic"/>
        </w:rPr>
        <w:t xml:space="preserve">expected </w:t>
      </w:r>
      <w:r w:rsidR="00E47462" w:rsidRPr="0097035C">
        <w:rPr>
          <w:rFonts w:ascii="Century Gothic" w:hAnsi="Century Gothic"/>
        </w:rPr>
        <w:t xml:space="preserve">environmental outcomes that can be achieved </w:t>
      </w:r>
      <w:r w:rsidRPr="0097035C">
        <w:rPr>
          <w:rFonts w:ascii="Century Gothic" w:hAnsi="Century Gothic"/>
        </w:rPr>
        <w:t>through the Basin-wide environmental watering strategy</w:t>
      </w:r>
      <w:r w:rsidR="00B27340">
        <w:rPr>
          <w:rFonts w:ascii="Century Gothic" w:hAnsi="Century Gothic"/>
        </w:rPr>
        <w:t>:</w:t>
      </w:r>
    </w:p>
    <w:p w14:paraId="5CDB2F6D" w14:textId="12C4D335" w:rsidR="002B3E00" w:rsidRPr="009020A7" w:rsidRDefault="00B75AA8">
      <w:pPr>
        <w:pStyle w:val="ListBullet"/>
        <w:numPr>
          <w:ilvl w:val="0"/>
          <w:numId w:val="0"/>
        </w:numPr>
        <w:spacing w:after="120"/>
        <w:jc w:val="left"/>
        <w:rPr>
          <w:rFonts w:ascii="Century Gothic" w:hAnsi="Century Gothic"/>
          <w:sz w:val="18"/>
        </w:rPr>
      </w:pPr>
      <w:hyperlink r:id="rId50" w:history="1">
        <w:r w:rsidR="002B3E00" w:rsidRPr="00EB17FC">
          <w:rPr>
            <w:rStyle w:val="Hyperlink"/>
            <w:rFonts w:ascii="Century Gothic" w:hAnsi="Century Gothic"/>
          </w:rPr>
          <w:t>https://www.mdba.gov.au/publications/mdba-reports/basin-wide-environmental-watering-strategy-2014</w:t>
        </w:r>
      </w:hyperlink>
      <w:r w:rsidR="00326B4E" w:rsidRPr="000E3C60">
        <w:rPr>
          <w:rFonts w:ascii="Century Gothic" w:hAnsi="Century Gothic"/>
        </w:rPr>
        <w:t>.</w:t>
      </w:r>
    </w:p>
    <w:tbl>
      <w:tblPr>
        <w:tblStyle w:val="TableGrid"/>
        <w:tblW w:w="10349" w:type="dxa"/>
        <w:tblInd w:w="-176" w:type="dxa"/>
        <w:tblCellMar>
          <w:top w:w="85" w:type="dxa"/>
          <w:bottom w:w="85" w:type="dxa"/>
        </w:tblCellMar>
        <w:tblLook w:val="04A0" w:firstRow="1" w:lastRow="0" w:firstColumn="1" w:lastColumn="0" w:noHBand="0" w:noVBand="1"/>
      </w:tblPr>
      <w:tblGrid>
        <w:gridCol w:w="2587"/>
        <w:gridCol w:w="2587"/>
        <w:gridCol w:w="2587"/>
        <w:gridCol w:w="2588"/>
      </w:tblGrid>
      <w:tr w:rsidR="00E47462" w:rsidRPr="0097035C" w14:paraId="6C6502EF" w14:textId="77777777" w:rsidTr="009020A7">
        <w:trPr>
          <w:cnfStyle w:val="100000000000" w:firstRow="1" w:lastRow="0" w:firstColumn="0" w:lastColumn="0" w:oddVBand="0" w:evenVBand="0" w:oddHBand="0" w:evenHBand="0" w:firstRowFirstColumn="0" w:firstRowLastColumn="0" w:lastRowFirstColumn="0" w:lastRowLastColumn="0"/>
          <w:trHeight w:val="367"/>
          <w:tblHeader/>
        </w:trPr>
        <w:tc>
          <w:tcPr>
            <w:tcW w:w="2587" w:type="dxa"/>
            <w:shd w:val="clear" w:color="auto" w:fill="B2A1C7" w:themeFill="accent4" w:themeFillTint="99"/>
            <w:vAlign w:val="center"/>
          </w:tcPr>
          <w:p w14:paraId="6C6502EB" w14:textId="6ED461F5" w:rsidR="007A7A94" w:rsidRDefault="00E47462" w:rsidP="009020A7">
            <w:pPr>
              <w:spacing w:after="60"/>
              <w:jc w:val="left"/>
              <w:rPr>
                <w:rFonts w:ascii="Century Gothic" w:hAnsi="Century Gothic" w:cs="Arial"/>
                <w:b/>
                <w:color w:val="5F497A" w:themeColor="accent4" w:themeShade="BF"/>
                <w:sz w:val="18"/>
                <w:szCs w:val="18"/>
                <w:lang w:val="en-GB" w:eastAsia="en-US"/>
              </w:rPr>
            </w:pPr>
            <w:r w:rsidRPr="0097035C">
              <w:rPr>
                <w:rFonts w:ascii="Century Gothic" w:hAnsi="Century Gothic" w:cs="Arial"/>
                <w:b/>
                <w:sz w:val="18"/>
                <w:szCs w:val="18"/>
              </w:rPr>
              <w:t>River flows and connectivity</w:t>
            </w:r>
          </w:p>
        </w:tc>
        <w:tc>
          <w:tcPr>
            <w:tcW w:w="2587" w:type="dxa"/>
            <w:shd w:val="clear" w:color="auto" w:fill="B2A1C7" w:themeFill="accent4" w:themeFillTint="99"/>
            <w:vAlign w:val="center"/>
          </w:tcPr>
          <w:p w14:paraId="6C6502EC" w14:textId="77777777" w:rsidR="007A7A94" w:rsidRDefault="00E47462" w:rsidP="009020A7">
            <w:pPr>
              <w:spacing w:after="60"/>
              <w:jc w:val="left"/>
              <w:rPr>
                <w:rFonts w:ascii="Century Gothic" w:hAnsi="Century Gothic" w:cs="Arial"/>
                <w:b/>
                <w:color w:val="5F497A" w:themeColor="accent4" w:themeShade="BF"/>
                <w:sz w:val="18"/>
                <w:szCs w:val="18"/>
                <w:lang w:val="en-GB" w:eastAsia="en-US"/>
              </w:rPr>
            </w:pPr>
            <w:r w:rsidRPr="0097035C">
              <w:rPr>
                <w:rFonts w:ascii="Century Gothic" w:hAnsi="Century Gothic" w:cs="Arial"/>
                <w:b/>
                <w:sz w:val="18"/>
                <w:szCs w:val="18"/>
              </w:rPr>
              <w:t xml:space="preserve">Vegetation </w:t>
            </w:r>
          </w:p>
        </w:tc>
        <w:tc>
          <w:tcPr>
            <w:tcW w:w="2587" w:type="dxa"/>
            <w:shd w:val="clear" w:color="auto" w:fill="B2A1C7" w:themeFill="accent4" w:themeFillTint="99"/>
            <w:vAlign w:val="center"/>
          </w:tcPr>
          <w:p w14:paraId="6C6502ED" w14:textId="77777777" w:rsidR="007A7A94" w:rsidRDefault="00E47462" w:rsidP="009020A7">
            <w:pPr>
              <w:spacing w:after="60"/>
              <w:jc w:val="left"/>
              <w:rPr>
                <w:rFonts w:ascii="Century Gothic" w:hAnsi="Century Gothic" w:cs="Arial"/>
                <w:b/>
                <w:color w:val="5F497A" w:themeColor="accent4" w:themeShade="BF"/>
                <w:sz w:val="18"/>
                <w:szCs w:val="18"/>
                <w:lang w:val="en-GB" w:eastAsia="en-US"/>
              </w:rPr>
            </w:pPr>
            <w:r w:rsidRPr="0097035C">
              <w:rPr>
                <w:rFonts w:ascii="Century Gothic" w:hAnsi="Century Gothic" w:cs="Arial"/>
                <w:b/>
                <w:sz w:val="18"/>
                <w:szCs w:val="18"/>
              </w:rPr>
              <w:t xml:space="preserve">Waterbirds </w:t>
            </w:r>
          </w:p>
        </w:tc>
        <w:tc>
          <w:tcPr>
            <w:tcW w:w="2588" w:type="dxa"/>
            <w:shd w:val="clear" w:color="auto" w:fill="B2A1C7" w:themeFill="accent4" w:themeFillTint="99"/>
            <w:vAlign w:val="center"/>
          </w:tcPr>
          <w:p w14:paraId="6C6502EE" w14:textId="77777777" w:rsidR="007A7A94" w:rsidRDefault="00E47462" w:rsidP="009020A7">
            <w:pPr>
              <w:spacing w:after="60"/>
              <w:jc w:val="left"/>
              <w:rPr>
                <w:rFonts w:ascii="Century Gothic" w:hAnsi="Century Gothic" w:cs="Arial"/>
                <w:b/>
                <w:color w:val="5F497A" w:themeColor="accent4" w:themeShade="BF"/>
                <w:sz w:val="18"/>
                <w:szCs w:val="18"/>
                <w:lang w:val="en-GB" w:eastAsia="en-US"/>
              </w:rPr>
            </w:pPr>
            <w:r w:rsidRPr="0097035C">
              <w:rPr>
                <w:rFonts w:ascii="Century Gothic" w:hAnsi="Century Gothic" w:cs="Arial"/>
                <w:b/>
                <w:sz w:val="18"/>
                <w:szCs w:val="18"/>
              </w:rPr>
              <w:t xml:space="preserve">Fish </w:t>
            </w:r>
          </w:p>
        </w:tc>
      </w:tr>
      <w:tr w:rsidR="00E47462" w:rsidRPr="0097035C" w14:paraId="6C6502F4" w14:textId="77777777" w:rsidTr="009020A7">
        <w:trPr>
          <w:cnfStyle w:val="000000100000" w:firstRow="0" w:lastRow="0" w:firstColumn="0" w:lastColumn="0" w:oddVBand="0" w:evenVBand="0" w:oddHBand="1" w:evenHBand="0" w:firstRowFirstColumn="0" w:firstRowLastColumn="0" w:lastRowFirstColumn="0" w:lastRowLastColumn="0"/>
          <w:trHeight w:val="1187"/>
        </w:trPr>
        <w:tc>
          <w:tcPr>
            <w:tcW w:w="2587" w:type="dxa"/>
            <w:shd w:val="clear" w:color="auto" w:fill="B2A1C7" w:themeFill="accent4" w:themeFillTint="99"/>
            <w:vAlign w:val="center"/>
          </w:tcPr>
          <w:p w14:paraId="6C6502F0" w14:textId="77777777" w:rsidR="007A7A94" w:rsidRDefault="00E47462" w:rsidP="009020A7">
            <w:pPr>
              <w:spacing w:after="60"/>
              <w:jc w:val="left"/>
              <w:rPr>
                <w:rFonts w:ascii="Century Gothic" w:hAnsi="Century Gothic" w:cs="Arial"/>
                <w:b/>
                <w:color w:val="5F497A" w:themeColor="accent4" w:themeShade="BF"/>
                <w:sz w:val="18"/>
                <w:szCs w:val="18"/>
                <w:lang w:val="en-GB" w:eastAsia="en-US"/>
              </w:rPr>
            </w:pPr>
            <w:r w:rsidRPr="0097035C">
              <w:rPr>
                <w:rFonts w:ascii="Century Gothic" w:hAnsi="Century Gothic" w:cs="Arial"/>
                <w:b/>
                <w:sz w:val="18"/>
                <w:szCs w:val="18"/>
              </w:rPr>
              <w:t xml:space="preserve">Improve connections along rivers and between rivers and their floodplains </w:t>
            </w:r>
          </w:p>
        </w:tc>
        <w:tc>
          <w:tcPr>
            <w:tcW w:w="2587" w:type="dxa"/>
            <w:shd w:val="clear" w:color="auto" w:fill="B2A1C7" w:themeFill="accent4" w:themeFillTint="99"/>
            <w:vAlign w:val="center"/>
          </w:tcPr>
          <w:p w14:paraId="6C6502F1" w14:textId="77777777" w:rsidR="007A7A94" w:rsidRDefault="00E47462" w:rsidP="009020A7">
            <w:pPr>
              <w:spacing w:after="60"/>
              <w:jc w:val="left"/>
              <w:rPr>
                <w:rFonts w:ascii="Century Gothic" w:hAnsi="Century Gothic" w:cs="Arial"/>
                <w:b/>
                <w:color w:val="5F497A" w:themeColor="accent4" w:themeShade="BF"/>
                <w:sz w:val="18"/>
                <w:szCs w:val="18"/>
                <w:lang w:val="en-GB" w:eastAsia="en-US"/>
              </w:rPr>
            </w:pPr>
            <w:r w:rsidRPr="0097035C">
              <w:rPr>
                <w:rFonts w:ascii="Century Gothic" w:hAnsi="Century Gothic" w:cs="Arial"/>
                <w:b/>
                <w:sz w:val="18"/>
                <w:szCs w:val="18"/>
              </w:rPr>
              <w:t xml:space="preserve">Maintain the extent and improve the condition </w:t>
            </w:r>
          </w:p>
        </w:tc>
        <w:tc>
          <w:tcPr>
            <w:tcW w:w="2587" w:type="dxa"/>
            <w:shd w:val="clear" w:color="auto" w:fill="B2A1C7" w:themeFill="accent4" w:themeFillTint="99"/>
            <w:vAlign w:val="center"/>
          </w:tcPr>
          <w:p w14:paraId="6C6502F2" w14:textId="77777777" w:rsidR="007A7A94" w:rsidRDefault="00E47462" w:rsidP="009020A7">
            <w:pPr>
              <w:spacing w:after="60"/>
              <w:jc w:val="left"/>
              <w:rPr>
                <w:rFonts w:ascii="Century Gothic" w:hAnsi="Century Gothic" w:cs="Arial"/>
                <w:b/>
                <w:color w:val="5F497A" w:themeColor="accent4" w:themeShade="BF"/>
                <w:sz w:val="18"/>
                <w:szCs w:val="18"/>
                <w:lang w:val="en-GB" w:eastAsia="en-US"/>
              </w:rPr>
            </w:pPr>
            <w:r w:rsidRPr="0097035C">
              <w:rPr>
                <w:rStyle w:val="Strong"/>
                <w:rFonts w:ascii="Century Gothic" w:hAnsi="Century Gothic"/>
                <w:sz w:val="18"/>
                <w:szCs w:val="18"/>
              </w:rPr>
              <w:t xml:space="preserve">Maintain current species diversity, improve breeding success and numbers </w:t>
            </w:r>
          </w:p>
        </w:tc>
        <w:tc>
          <w:tcPr>
            <w:tcW w:w="2588" w:type="dxa"/>
            <w:shd w:val="clear" w:color="auto" w:fill="B2A1C7" w:themeFill="accent4" w:themeFillTint="99"/>
            <w:vAlign w:val="center"/>
          </w:tcPr>
          <w:p w14:paraId="6C6502F3" w14:textId="77777777" w:rsidR="007A7A94" w:rsidRDefault="00E47462" w:rsidP="009020A7">
            <w:pPr>
              <w:spacing w:after="60"/>
              <w:jc w:val="left"/>
              <w:rPr>
                <w:rFonts w:ascii="Century Gothic" w:hAnsi="Century Gothic" w:cs="Arial"/>
                <w:b/>
                <w:color w:val="5F497A" w:themeColor="accent4" w:themeShade="BF"/>
                <w:sz w:val="18"/>
                <w:szCs w:val="18"/>
                <w:lang w:val="en-GB" w:eastAsia="en-US"/>
              </w:rPr>
            </w:pPr>
            <w:r w:rsidRPr="0097035C">
              <w:rPr>
                <w:rFonts w:ascii="Century Gothic" w:hAnsi="Century Gothic" w:cs="Arial"/>
                <w:b/>
                <w:sz w:val="18"/>
                <w:szCs w:val="18"/>
              </w:rPr>
              <w:t>Maintain current species diversity, extend distributions, improve breeding success and numbers</w:t>
            </w:r>
          </w:p>
        </w:tc>
      </w:tr>
      <w:tr w:rsidR="00E47462" w:rsidRPr="0097035C" w14:paraId="6C65032A" w14:textId="77777777" w:rsidTr="0014495A">
        <w:trPr>
          <w:cnfStyle w:val="000000010000" w:firstRow="0" w:lastRow="0" w:firstColumn="0" w:lastColumn="0" w:oddVBand="0" w:evenVBand="0" w:oddHBand="0" w:evenHBand="1" w:firstRowFirstColumn="0" w:firstRowLastColumn="0" w:lastRowFirstColumn="0" w:lastRowLastColumn="0"/>
          <w:trHeight w:val="2416"/>
        </w:trPr>
        <w:tc>
          <w:tcPr>
            <w:tcW w:w="2587" w:type="dxa"/>
          </w:tcPr>
          <w:p w14:paraId="6C6502F5" w14:textId="77777777" w:rsidR="007A7A94" w:rsidRDefault="00E47462">
            <w:pPr>
              <w:spacing w:after="120"/>
              <w:jc w:val="left"/>
              <w:rPr>
                <w:rFonts w:ascii="Century Gothic" w:hAnsi="Century Gothic"/>
                <w:b/>
                <w:color w:val="5F497A" w:themeColor="accent4" w:themeShade="BF"/>
                <w:sz w:val="18"/>
                <w:szCs w:val="18"/>
                <w:lang w:val="en-GB" w:eastAsia="en-US"/>
              </w:rPr>
            </w:pPr>
            <w:r w:rsidRPr="0097035C">
              <w:rPr>
                <w:rFonts w:ascii="Century Gothic" w:hAnsi="Century Gothic"/>
                <w:b/>
                <w:sz w:val="18"/>
                <w:szCs w:val="18"/>
                <w:lang w:val="en-GB"/>
              </w:rPr>
              <w:t>Maintained base flows:</w:t>
            </w:r>
          </w:p>
          <w:p w14:paraId="6C6502F6" w14:textId="77777777" w:rsidR="007A7A94" w:rsidRDefault="00E47462">
            <w:pPr>
              <w:pStyle w:val="Tablebullet"/>
              <w:spacing w:before="0" w:after="120"/>
              <w:rPr>
                <w:rFonts w:ascii="Century Gothic" w:hAnsi="Century Gothic"/>
                <w:b/>
                <w:color w:val="5F497A" w:themeColor="accent4" w:themeShade="BF"/>
                <w:sz w:val="18"/>
                <w:szCs w:val="18"/>
                <w:lang w:val="en-GB"/>
              </w:rPr>
            </w:pPr>
            <w:r w:rsidRPr="0097035C">
              <w:rPr>
                <w:rFonts w:ascii="Century Gothic" w:hAnsi="Century Gothic"/>
                <w:sz w:val="18"/>
                <w:szCs w:val="18"/>
              </w:rPr>
              <w:t>at least 60</w:t>
            </w:r>
            <w:r w:rsidR="005539CE" w:rsidRPr="0097035C">
              <w:rPr>
                <w:rFonts w:ascii="Century Gothic" w:hAnsi="Century Gothic"/>
                <w:sz w:val="18"/>
                <w:szCs w:val="18"/>
              </w:rPr>
              <w:t xml:space="preserve"> per cent</w:t>
            </w:r>
            <w:r w:rsidRPr="0097035C">
              <w:rPr>
                <w:rFonts w:ascii="Century Gothic" w:hAnsi="Century Gothic"/>
                <w:sz w:val="18"/>
                <w:szCs w:val="18"/>
              </w:rPr>
              <w:t xml:space="preserve"> of natural levels</w:t>
            </w:r>
          </w:p>
          <w:p w14:paraId="6C6502F7" w14:textId="77777777" w:rsidR="007A7A94" w:rsidRDefault="007A7A94">
            <w:pPr>
              <w:spacing w:after="120"/>
              <w:jc w:val="left"/>
              <w:rPr>
                <w:rFonts w:ascii="Century Gothic" w:hAnsi="Century Gothic"/>
                <w:b/>
                <w:sz w:val="18"/>
                <w:szCs w:val="18"/>
              </w:rPr>
            </w:pPr>
          </w:p>
          <w:p w14:paraId="6C6502F8" w14:textId="77777777" w:rsidR="007A7A94" w:rsidRDefault="00E47462">
            <w:pPr>
              <w:spacing w:after="120"/>
              <w:jc w:val="left"/>
              <w:rPr>
                <w:rFonts w:ascii="Century Gothic" w:hAnsi="Century Gothic"/>
                <w:b/>
                <w:sz w:val="18"/>
                <w:szCs w:val="18"/>
              </w:rPr>
            </w:pPr>
            <w:r w:rsidRPr="0097035C">
              <w:rPr>
                <w:rFonts w:ascii="Century Gothic" w:hAnsi="Century Gothic"/>
                <w:b/>
                <w:sz w:val="18"/>
                <w:szCs w:val="18"/>
              </w:rPr>
              <w:t>Improved overall flow:</w:t>
            </w:r>
          </w:p>
          <w:p w14:paraId="6C6502F9"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10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more into the Barwon–Darling</w:t>
            </w:r>
            <w:r w:rsidRPr="0097035C">
              <w:rPr>
                <w:rFonts w:ascii="Century Gothic" w:hAnsi="Century Gothic"/>
                <w:sz w:val="18"/>
                <w:szCs w:val="18"/>
                <w:vertAlign w:val="superscript"/>
              </w:rPr>
              <w:footnoteReference w:id="3"/>
            </w:r>
          </w:p>
          <w:p w14:paraId="6C6502FA"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30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more into the River Murray</w:t>
            </w:r>
            <w:r w:rsidRPr="0097035C">
              <w:rPr>
                <w:rFonts w:ascii="Century Gothic" w:hAnsi="Century Gothic"/>
                <w:sz w:val="18"/>
                <w:szCs w:val="18"/>
                <w:vertAlign w:val="superscript"/>
              </w:rPr>
              <w:footnoteReference w:id="4"/>
            </w:r>
          </w:p>
          <w:p w14:paraId="6C6502FB"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30–40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more to the Murray mouth (and it open to the sea 90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of the time)</w:t>
            </w:r>
          </w:p>
          <w:p w14:paraId="6C6502FC" w14:textId="77777777" w:rsidR="007A7A94" w:rsidRDefault="007A7A94">
            <w:pPr>
              <w:pStyle w:val="Tablebullet"/>
              <w:numPr>
                <w:ilvl w:val="0"/>
                <w:numId w:val="0"/>
              </w:numPr>
              <w:spacing w:before="0" w:after="120"/>
              <w:ind w:left="176"/>
              <w:rPr>
                <w:rFonts w:ascii="Century Gothic" w:hAnsi="Century Gothic"/>
                <w:sz w:val="18"/>
                <w:szCs w:val="18"/>
                <w:lang w:val="en-GB"/>
              </w:rPr>
            </w:pPr>
          </w:p>
          <w:p w14:paraId="6C6502FD" w14:textId="77777777" w:rsidR="007A7A94" w:rsidRDefault="00E47462">
            <w:pPr>
              <w:spacing w:after="120"/>
              <w:jc w:val="left"/>
              <w:rPr>
                <w:rFonts w:ascii="Century Gothic" w:hAnsi="Century Gothic"/>
                <w:b/>
                <w:sz w:val="18"/>
                <w:szCs w:val="18"/>
              </w:rPr>
            </w:pPr>
            <w:r w:rsidRPr="0097035C">
              <w:rPr>
                <w:rFonts w:ascii="Century Gothic" w:hAnsi="Century Gothic"/>
                <w:b/>
                <w:sz w:val="18"/>
                <w:szCs w:val="18"/>
              </w:rPr>
              <w:t>Maintained connectivity in areas where it is relatively unaffected:</w:t>
            </w:r>
          </w:p>
          <w:p w14:paraId="6C6502FE"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between rivers and floodplains in the Paroo, Moonie, Nebine, Warrego and Ovens</w:t>
            </w:r>
          </w:p>
          <w:p w14:paraId="6C6502FF" w14:textId="77777777" w:rsidR="007A7A94" w:rsidRDefault="007A7A94">
            <w:pPr>
              <w:pStyle w:val="Tablebullet"/>
              <w:numPr>
                <w:ilvl w:val="0"/>
                <w:numId w:val="0"/>
              </w:numPr>
              <w:spacing w:before="0" w:after="120"/>
              <w:ind w:left="176"/>
              <w:rPr>
                <w:rFonts w:ascii="Century Gothic" w:hAnsi="Century Gothic"/>
                <w:sz w:val="18"/>
                <w:szCs w:val="18"/>
                <w:lang w:val="en-GB"/>
              </w:rPr>
            </w:pPr>
          </w:p>
          <w:p w14:paraId="6C650300" w14:textId="77777777" w:rsidR="007A7A94" w:rsidRDefault="00E47462">
            <w:pPr>
              <w:spacing w:after="120"/>
              <w:jc w:val="left"/>
              <w:rPr>
                <w:rFonts w:ascii="Century Gothic" w:hAnsi="Century Gothic"/>
                <w:b/>
                <w:sz w:val="18"/>
                <w:szCs w:val="18"/>
              </w:rPr>
            </w:pPr>
            <w:r w:rsidRPr="0097035C">
              <w:rPr>
                <w:rFonts w:ascii="Century Gothic" w:hAnsi="Century Gothic"/>
                <w:b/>
                <w:sz w:val="18"/>
                <w:szCs w:val="18"/>
              </w:rPr>
              <w:t xml:space="preserve">Improved connectivity with bank-full and/or low floodplain flows: </w:t>
            </w:r>
          </w:p>
          <w:p w14:paraId="6C650301" w14:textId="77777777" w:rsidR="007A7A94" w:rsidRDefault="00E47462">
            <w:pPr>
              <w:pStyle w:val="Tablebullet"/>
              <w:spacing w:before="0" w:after="120"/>
              <w:rPr>
                <w:rFonts w:ascii="Century Gothic" w:hAnsi="Century Gothic"/>
                <w:sz w:val="18"/>
                <w:szCs w:val="18"/>
              </w:rPr>
            </w:pPr>
            <w:r w:rsidRPr="0097035C">
              <w:rPr>
                <w:rFonts w:ascii="Century Gothic" w:hAnsi="Century Gothic"/>
                <w:sz w:val="18"/>
                <w:szCs w:val="18"/>
                <w:lang w:val="en-GB"/>
              </w:rPr>
              <w:t>by 30–60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in the Murray, Murrumbidgee, Goulburn and Condamine–Balonne</w:t>
            </w:r>
          </w:p>
          <w:p w14:paraId="6C650302"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by 10–20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in remaining catchments</w:t>
            </w:r>
            <w:r w:rsidRPr="0097035C">
              <w:rPr>
                <w:rFonts w:ascii="Century Gothic" w:hAnsi="Century Gothic"/>
                <w:sz w:val="18"/>
                <w:szCs w:val="18"/>
                <w:vertAlign w:val="superscript"/>
              </w:rPr>
              <w:footnoteReference w:id="5"/>
            </w:r>
          </w:p>
          <w:p w14:paraId="6C650303" w14:textId="2A1371BE" w:rsidR="007A7A94" w:rsidRDefault="007A7A94">
            <w:pPr>
              <w:spacing w:after="120"/>
              <w:jc w:val="left"/>
              <w:rPr>
                <w:rFonts w:ascii="Century Gothic" w:hAnsi="Century Gothic"/>
                <w:b/>
                <w:sz w:val="18"/>
                <w:szCs w:val="18"/>
                <w:lang w:val="en-GB"/>
              </w:rPr>
            </w:pPr>
          </w:p>
          <w:p w14:paraId="6C650304" w14:textId="77777777" w:rsidR="007A7A94" w:rsidRDefault="00E47462">
            <w:pPr>
              <w:spacing w:after="120"/>
              <w:jc w:val="left"/>
              <w:rPr>
                <w:rFonts w:ascii="Century Gothic" w:hAnsi="Century Gothic"/>
                <w:b/>
                <w:sz w:val="18"/>
                <w:szCs w:val="18"/>
                <w:lang w:val="en-GB"/>
              </w:rPr>
            </w:pPr>
            <w:r w:rsidRPr="0097035C">
              <w:rPr>
                <w:rFonts w:ascii="Century Gothic" w:hAnsi="Century Gothic"/>
                <w:b/>
                <w:sz w:val="18"/>
                <w:szCs w:val="18"/>
                <w:lang w:val="en-GB"/>
              </w:rPr>
              <w:t xml:space="preserve">Maintain the Lower Lakes above sea level </w:t>
            </w:r>
          </w:p>
        </w:tc>
        <w:tc>
          <w:tcPr>
            <w:tcW w:w="2587" w:type="dxa"/>
          </w:tcPr>
          <w:p w14:paraId="6C650305" w14:textId="77777777" w:rsidR="007A7A94" w:rsidRDefault="00E47462">
            <w:pPr>
              <w:spacing w:after="120"/>
              <w:jc w:val="left"/>
              <w:rPr>
                <w:rFonts w:ascii="Century Gothic" w:hAnsi="Century Gothic"/>
                <w:b/>
                <w:sz w:val="18"/>
                <w:szCs w:val="18"/>
                <w:lang w:val="en-GB"/>
              </w:rPr>
            </w:pPr>
            <w:r w:rsidRPr="0097035C">
              <w:rPr>
                <w:rFonts w:ascii="Century Gothic" w:hAnsi="Century Gothic"/>
                <w:b/>
                <w:sz w:val="18"/>
                <w:szCs w:val="18"/>
                <w:lang w:val="en-GB"/>
              </w:rPr>
              <w:t>Maintenance of the current extent of:</w:t>
            </w:r>
          </w:p>
          <w:p w14:paraId="6C650306"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about 360,000 hectares of river red gum; 409,000 ha of black box; 310,000 ha of coolibah forest and woodlands; and existing large communities of lignum</w:t>
            </w:r>
          </w:p>
          <w:p w14:paraId="6C650307"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non-woody communities near or in wetlands, streams and on low-lying floodplains</w:t>
            </w:r>
          </w:p>
          <w:p w14:paraId="6C650308" w14:textId="77777777" w:rsidR="007A7A94" w:rsidRDefault="007A7A94">
            <w:pPr>
              <w:spacing w:after="120"/>
              <w:jc w:val="left"/>
              <w:rPr>
                <w:rFonts w:ascii="Century Gothic" w:hAnsi="Century Gothic"/>
                <w:b/>
                <w:sz w:val="18"/>
                <w:szCs w:val="18"/>
                <w:lang w:val="en-GB"/>
              </w:rPr>
            </w:pPr>
          </w:p>
          <w:p w14:paraId="6C650309" w14:textId="77777777" w:rsidR="007A7A94" w:rsidRDefault="00E47462">
            <w:pPr>
              <w:spacing w:after="120"/>
              <w:jc w:val="left"/>
              <w:rPr>
                <w:rFonts w:ascii="Century Gothic" w:hAnsi="Century Gothic"/>
                <w:sz w:val="18"/>
                <w:szCs w:val="18"/>
                <w:lang w:val="en-GB"/>
              </w:rPr>
            </w:pPr>
            <w:r w:rsidRPr="0097035C">
              <w:rPr>
                <w:rFonts w:ascii="Century Gothic" w:hAnsi="Century Gothic"/>
                <w:b/>
                <w:sz w:val="18"/>
                <w:szCs w:val="18"/>
                <w:lang w:val="en-GB"/>
              </w:rPr>
              <w:t>Maintain the current condition of lowland floodplain forests and woodlands of</w:t>
            </w:r>
            <w:r w:rsidRPr="0097035C">
              <w:rPr>
                <w:rFonts w:ascii="Century Gothic" w:hAnsi="Century Gothic"/>
                <w:sz w:val="18"/>
                <w:szCs w:val="18"/>
                <w:lang w:val="en-GB"/>
              </w:rPr>
              <w:t xml:space="preserve">: </w:t>
            </w:r>
          </w:p>
          <w:p w14:paraId="6C65030A"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river red gum</w:t>
            </w:r>
          </w:p>
          <w:p w14:paraId="6C65030B"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 xml:space="preserve">black box </w:t>
            </w:r>
          </w:p>
          <w:p w14:paraId="6C65030C"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 xml:space="preserve">coolibah </w:t>
            </w:r>
          </w:p>
          <w:p w14:paraId="6C65030D" w14:textId="77777777" w:rsidR="007A7A94" w:rsidRDefault="007A7A94">
            <w:pPr>
              <w:spacing w:after="120"/>
              <w:jc w:val="left"/>
              <w:rPr>
                <w:rFonts w:ascii="Century Gothic" w:hAnsi="Century Gothic"/>
                <w:b/>
                <w:sz w:val="18"/>
                <w:szCs w:val="18"/>
                <w:lang w:val="en-GB"/>
              </w:rPr>
            </w:pPr>
          </w:p>
          <w:p w14:paraId="6C65030E" w14:textId="77777777" w:rsidR="007A7A94" w:rsidRDefault="00E47462">
            <w:pPr>
              <w:spacing w:after="120"/>
              <w:jc w:val="left"/>
              <w:rPr>
                <w:rFonts w:ascii="Century Gothic" w:hAnsi="Century Gothic"/>
                <w:b/>
                <w:sz w:val="18"/>
                <w:szCs w:val="18"/>
                <w:lang w:val="en-GB"/>
              </w:rPr>
            </w:pPr>
            <w:r w:rsidRPr="0097035C">
              <w:rPr>
                <w:rFonts w:ascii="Century Gothic" w:hAnsi="Century Gothic"/>
                <w:b/>
                <w:sz w:val="18"/>
                <w:szCs w:val="18"/>
                <w:lang w:val="en-GB"/>
              </w:rPr>
              <w:t>Improved condition</w:t>
            </w:r>
            <w:r w:rsidRPr="0097035C">
              <w:rPr>
                <w:rFonts w:ascii="Century Gothic" w:hAnsi="Century Gothic"/>
                <w:sz w:val="18"/>
                <w:szCs w:val="18"/>
                <w:lang w:val="en-GB"/>
              </w:rPr>
              <w:t xml:space="preserve"> </w:t>
            </w:r>
            <w:r w:rsidRPr="0097035C">
              <w:rPr>
                <w:rFonts w:ascii="Century Gothic" w:hAnsi="Century Gothic"/>
                <w:b/>
                <w:sz w:val="18"/>
                <w:szCs w:val="18"/>
                <w:lang w:val="en-GB"/>
              </w:rPr>
              <w:t>of:</w:t>
            </w:r>
          </w:p>
          <w:p w14:paraId="6C65030F" w14:textId="77777777" w:rsidR="007A7A94" w:rsidRDefault="00E47462">
            <w:pPr>
              <w:pStyle w:val="Tablebullet"/>
              <w:spacing w:before="0" w:after="120"/>
              <w:rPr>
                <w:rFonts w:ascii="Century Gothic" w:hAnsi="Century Gothic"/>
                <w:sz w:val="18"/>
                <w:szCs w:val="18"/>
              </w:rPr>
            </w:pPr>
            <w:r w:rsidRPr="0097035C">
              <w:rPr>
                <w:rFonts w:ascii="Century Gothic" w:hAnsi="Century Gothic"/>
                <w:sz w:val="18"/>
                <w:szCs w:val="18"/>
                <w:lang w:val="en-GB"/>
              </w:rPr>
              <w:t>southern river red gum</w:t>
            </w:r>
          </w:p>
        </w:tc>
        <w:tc>
          <w:tcPr>
            <w:tcW w:w="2587" w:type="dxa"/>
          </w:tcPr>
          <w:p w14:paraId="6C650310" w14:textId="77777777" w:rsidR="007A7A94" w:rsidRDefault="00E47462">
            <w:pPr>
              <w:spacing w:after="120"/>
              <w:jc w:val="left"/>
              <w:rPr>
                <w:rFonts w:ascii="Century Gothic" w:hAnsi="Century Gothic"/>
                <w:b/>
                <w:sz w:val="18"/>
                <w:szCs w:val="18"/>
                <w:lang w:val="en-GB"/>
              </w:rPr>
            </w:pPr>
            <w:r w:rsidRPr="0097035C">
              <w:rPr>
                <w:rFonts w:ascii="Century Gothic" w:hAnsi="Century Gothic"/>
                <w:b/>
                <w:sz w:val="18"/>
                <w:szCs w:val="18"/>
                <w:lang w:val="en-GB"/>
              </w:rPr>
              <w:t>Maintained current species diversity of:</w:t>
            </w:r>
          </w:p>
          <w:p w14:paraId="6C650311"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 xml:space="preserve">all current Basin waterbirds </w:t>
            </w:r>
          </w:p>
          <w:p w14:paraId="6C650312"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current migratory shorebirds at the Coorong</w:t>
            </w:r>
          </w:p>
          <w:p w14:paraId="6C650313" w14:textId="77777777" w:rsidR="007A7A94" w:rsidRDefault="007A7A94">
            <w:pPr>
              <w:pStyle w:val="Tablebullet"/>
              <w:numPr>
                <w:ilvl w:val="0"/>
                <w:numId w:val="0"/>
              </w:numPr>
              <w:spacing w:before="0" w:after="120"/>
              <w:ind w:left="175"/>
              <w:rPr>
                <w:rFonts w:ascii="Century Gothic" w:hAnsi="Century Gothic"/>
                <w:sz w:val="18"/>
                <w:szCs w:val="18"/>
                <w:lang w:val="en-GB"/>
              </w:rPr>
            </w:pPr>
          </w:p>
          <w:p w14:paraId="6C650314" w14:textId="77777777" w:rsidR="007A7A94" w:rsidRDefault="00E47462">
            <w:pPr>
              <w:spacing w:after="120"/>
              <w:jc w:val="left"/>
              <w:rPr>
                <w:rFonts w:ascii="Century Gothic" w:hAnsi="Century Gothic"/>
                <w:b/>
                <w:sz w:val="18"/>
                <w:szCs w:val="18"/>
                <w:lang w:val="en-GB"/>
              </w:rPr>
            </w:pPr>
            <w:r w:rsidRPr="0097035C">
              <w:rPr>
                <w:rFonts w:ascii="Century Gothic" w:hAnsi="Century Gothic"/>
                <w:b/>
                <w:sz w:val="18"/>
                <w:szCs w:val="18"/>
                <w:lang w:val="en-GB"/>
              </w:rPr>
              <w:t>Increased abundance:</w:t>
            </w:r>
          </w:p>
          <w:p w14:paraId="6C650315"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20–25</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increase in waterbirds by 2024</w:t>
            </w:r>
          </w:p>
          <w:p w14:paraId="6C650316" w14:textId="77777777" w:rsidR="007A7A94" w:rsidRDefault="007A7A94">
            <w:pPr>
              <w:pStyle w:val="Tablebullet"/>
              <w:numPr>
                <w:ilvl w:val="0"/>
                <w:numId w:val="0"/>
              </w:numPr>
              <w:spacing w:before="0" w:after="120"/>
              <w:ind w:left="176"/>
              <w:rPr>
                <w:rFonts w:ascii="Century Gothic" w:hAnsi="Century Gothic"/>
                <w:sz w:val="18"/>
                <w:szCs w:val="18"/>
              </w:rPr>
            </w:pPr>
          </w:p>
          <w:p w14:paraId="6C650317" w14:textId="77777777" w:rsidR="007A7A94" w:rsidRDefault="00E47462">
            <w:pPr>
              <w:spacing w:after="120"/>
              <w:jc w:val="left"/>
              <w:rPr>
                <w:rFonts w:ascii="Century Gothic" w:hAnsi="Century Gothic"/>
                <w:b/>
                <w:sz w:val="18"/>
                <w:szCs w:val="18"/>
              </w:rPr>
            </w:pPr>
            <w:r w:rsidRPr="0097035C">
              <w:rPr>
                <w:rFonts w:ascii="Century Gothic" w:hAnsi="Century Gothic"/>
                <w:b/>
                <w:sz w:val="18"/>
                <w:szCs w:val="18"/>
              </w:rPr>
              <w:t xml:space="preserve">Improved </w:t>
            </w:r>
            <w:r w:rsidRPr="0097035C">
              <w:rPr>
                <w:rFonts w:ascii="Century Gothic" w:hAnsi="Century Gothic"/>
                <w:b/>
                <w:sz w:val="18"/>
                <w:szCs w:val="18"/>
                <w:lang w:val="en-GB"/>
              </w:rPr>
              <w:t>breeding:</w:t>
            </w:r>
          </w:p>
          <w:p w14:paraId="6C650318"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up to 50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more breeding events for colonial nesting waterbird species</w:t>
            </w:r>
          </w:p>
          <w:p w14:paraId="6C650319"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a 30–40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increase in nests and broods for other waterbirds</w:t>
            </w:r>
          </w:p>
        </w:tc>
        <w:tc>
          <w:tcPr>
            <w:tcW w:w="2588" w:type="dxa"/>
          </w:tcPr>
          <w:p w14:paraId="6C65031A" w14:textId="77777777" w:rsidR="007A7A94" w:rsidRDefault="00E47462">
            <w:pPr>
              <w:spacing w:after="120"/>
              <w:jc w:val="left"/>
              <w:rPr>
                <w:rFonts w:ascii="Century Gothic" w:hAnsi="Century Gothic"/>
                <w:b/>
                <w:sz w:val="18"/>
                <w:szCs w:val="18"/>
              </w:rPr>
            </w:pPr>
            <w:r w:rsidRPr="0097035C">
              <w:rPr>
                <w:rFonts w:ascii="Century Gothic" w:hAnsi="Century Gothic"/>
                <w:b/>
                <w:sz w:val="18"/>
                <w:szCs w:val="18"/>
              </w:rPr>
              <w:t>Improved distribution:</w:t>
            </w:r>
          </w:p>
          <w:p w14:paraId="6C65031B"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of key short and long-lived fish species across the Basin</w:t>
            </w:r>
          </w:p>
          <w:p w14:paraId="6C65031C" w14:textId="77777777" w:rsidR="007A7A94" w:rsidRDefault="007A7A94">
            <w:pPr>
              <w:pStyle w:val="Tablebullet"/>
              <w:numPr>
                <w:ilvl w:val="0"/>
                <w:numId w:val="0"/>
              </w:numPr>
              <w:spacing w:before="0" w:after="120"/>
              <w:ind w:left="176"/>
              <w:rPr>
                <w:rFonts w:ascii="Century Gothic" w:hAnsi="Century Gothic"/>
                <w:sz w:val="18"/>
                <w:szCs w:val="18"/>
                <w:lang w:val="en-GB"/>
              </w:rPr>
            </w:pPr>
          </w:p>
          <w:p w14:paraId="6C65031D" w14:textId="77777777" w:rsidR="007A7A94" w:rsidRDefault="00E47462">
            <w:pPr>
              <w:spacing w:after="120"/>
              <w:jc w:val="left"/>
              <w:rPr>
                <w:rFonts w:ascii="Century Gothic" w:hAnsi="Century Gothic"/>
                <w:b/>
                <w:sz w:val="18"/>
                <w:szCs w:val="18"/>
              </w:rPr>
            </w:pPr>
            <w:r w:rsidRPr="0097035C">
              <w:rPr>
                <w:rFonts w:ascii="Century Gothic" w:hAnsi="Century Gothic"/>
                <w:b/>
                <w:sz w:val="18"/>
                <w:szCs w:val="18"/>
              </w:rPr>
              <w:t>Improved breeding success for:</w:t>
            </w:r>
          </w:p>
          <w:p w14:paraId="6C65031E"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short-lived species (every 1–2 years)</w:t>
            </w:r>
          </w:p>
          <w:p w14:paraId="6C65031F"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long-lived species in at least 8/10 years at 80</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of key sites </w:t>
            </w:r>
          </w:p>
          <w:p w14:paraId="6C650320"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mulloway in at least 5/10 years</w:t>
            </w:r>
          </w:p>
          <w:p w14:paraId="6C650321" w14:textId="77777777" w:rsidR="007A7A94" w:rsidRDefault="007A7A94">
            <w:pPr>
              <w:pStyle w:val="Tablebullet"/>
              <w:numPr>
                <w:ilvl w:val="0"/>
                <w:numId w:val="0"/>
              </w:numPr>
              <w:spacing w:before="0" w:after="120"/>
              <w:ind w:left="176"/>
              <w:rPr>
                <w:rFonts w:ascii="Century Gothic" w:hAnsi="Century Gothic"/>
                <w:sz w:val="18"/>
                <w:szCs w:val="18"/>
                <w:lang w:val="en-GB"/>
              </w:rPr>
            </w:pPr>
          </w:p>
          <w:p w14:paraId="6C650322" w14:textId="77777777" w:rsidR="007A7A94" w:rsidRDefault="00E47462">
            <w:pPr>
              <w:spacing w:after="120"/>
              <w:jc w:val="left"/>
              <w:rPr>
                <w:rFonts w:ascii="Century Gothic" w:hAnsi="Century Gothic"/>
                <w:b/>
                <w:sz w:val="18"/>
                <w:szCs w:val="18"/>
              </w:rPr>
            </w:pPr>
            <w:r w:rsidRPr="0097035C">
              <w:rPr>
                <w:rFonts w:ascii="Century Gothic" w:hAnsi="Century Gothic"/>
                <w:b/>
                <w:sz w:val="18"/>
                <w:szCs w:val="18"/>
              </w:rPr>
              <w:t>Improved populations of:</w:t>
            </w:r>
          </w:p>
          <w:p w14:paraId="6C650323"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short-lived species (numbers at pre-2007 levels)</w:t>
            </w:r>
          </w:p>
          <w:p w14:paraId="6C650324"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long-lived species (with a spread of age classes represented)</w:t>
            </w:r>
          </w:p>
          <w:p w14:paraId="6C650325"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Murray cod and golden perch (10–15</w:t>
            </w:r>
            <w:r w:rsidR="005539CE" w:rsidRPr="0097035C">
              <w:rPr>
                <w:rFonts w:ascii="Century Gothic" w:hAnsi="Century Gothic"/>
                <w:sz w:val="18"/>
                <w:szCs w:val="18"/>
                <w:lang w:val="en-GB"/>
              </w:rPr>
              <w:t xml:space="preserve"> per cent</w:t>
            </w:r>
            <w:r w:rsidRPr="0097035C">
              <w:rPr>
                <w:rFonts w:ascii="Century Gothic" w:hAnsi="Century Gothic"/>
                <w:sz w:val="18"/>
                <w:szCs w:val="18"/>
                <w:lang w:val="en-GB"/>
              </w:rPr>
              <w:t xml:space="preserve"> more mature fish at key sites)</w:t>
            </w:r>
          </w:p>
          <w:p w14:paraId="6C650326" w14:textId="77777777" w:rsidR="007A7A94" w:rsidRDefault="007A7A94">
            <w:pPr>
              <w:spacing w:after="120"/>
              <w:jc w:val="left"/>
              <w:rPr>
                <w:rFonts w:ascii="Century Gothic" w:hAnsi="Century Gothic"/>
                <w:b/>
                <w:sz w:val="18"/>
                <w:szCs w:val="18"/>
                <w:lang w:val="en-GB"/>
              </w:rPr>
            </w:pPr>
          </w:p>
          <w:p w14:paraId="6C650327" w14:textId="77777777" w:rsidR="007A7A94" w:rsidRDefault="00E47462">
            <w:pPr>
              <w:spacing w:after="120"/>
              <w:jc w:val="left"/>
              <w:rPr>
                <w:rFonts w:ascii="Century Gothic" w:hAnsi="Century Gothic"/>
                <w:sz w:val="18"/>
                <w:szCs w:val="18"/>
              </w:rPr>
            </w:pPr>
            <w:r w:rsidRPr="0097035C">
              <w:rPr>
                <w:rFonts w:ascii="Century Gothic" w:hAnsi="Century Gothic"/>
                <w:b/>
                <w:sz w:val="18"/>
                <w:szCs w:val="18"/>
                <w:lang w:val="en-GB"/>
              </w:rPr>
              <w:t>Improved movement:</w:t>
            </w:r>
          </w:p>
          <w:p w14:paraId="6C650328" w14:textId="77777777" w:rsidR="007A7A94" w:rsidRDefault="00E47462">
            <w:pPr>
              <w:pStyle w:val="Tablebullet"/>
              <w:spacing w:before="0" w:after="120"/>
              <w:rPr>
                <w:rFonts w:ascii="Century Gothic" w:hAnsi="Century Gothic"/>
                <w:sz w:val="18"/>
                <w:szCs w:val="18"/>
                <w:lang w:val="en-GB"/>
              </w:rPr>
            </w:pPr>
            <w:r w:rsidRPr="0097035C">
              <w:rPr>
                <w:rFonts w:ascii="Century Gothic" w:hAnsi="Century Gothic"/>
                <w:sz w:val="18"/>
                <w:szCs w:val="18"/>
                <w:lang w:val="en-GB"/>
              </w:rPr>
              <w:t xml:space="preserve">more native fish using fish passages </w:t>
            </w:r>
          </w:p>
          <w:p w14:paraId="6C650329" w14:textId="77777777" w:rsidR="007A7A94" w:rsidRDefault="007A7A94">
            <w:pPr>
              <w:spacing w:after="120"/>
              <w:jc w:val="left"/>
              <w:rPr>
                <w:rFonts w:ascii="Century Gothic" w:hAnsi="Century Gothic"/>
                <w:sz w:val="18"/>
                <w:szCs w:val="18"/>
              </w:rPr>
            </w:pPr>
          </w:p>
        </w:tc>
      </w:tr>
    </w:tbl>
    <w:p w14:paraId="4BDDAB9B" w14:textId="77777777" w:rsidR="00D8493A" w:rsidRPr="009020A7" w:rsidRDefault="00D8493A" w:rsidP="00F961D6">
      <w:pPr>
        <w:spacing w:after="120"/>
      </w:pPr>
    </w:p>
    <w:sectPr w:rsidR="00D8493A" w:rsidRPr="009020A7" w:rsidSect="00CE0FAD">
      <w:headerReference w:type="first" r:id="rId51"/>
      <w:pgSz w:w="11906" w:h="16838"/>
      <w:pgMar w:top="851" w:right="1276" w:bottom="567" w:left="1418"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65034C" w14:textId="77777777" w:rsidR="00262AAF" w:rsidRDefault="00262AAF" w:rsidP="00A60185">
      <w:pPr>
        <w:spacing w:after="0"/>
      </w:pPr>
      <w:r>
        <w:separator/>
      </w:r>
    </w:p>
  </w:endnote>
  <w:endnote w:type="continuationSeparator" w:id="0">
    <w:p w14:paraId="6C65034D" w14:textId="77777777" w:rsidR="00262AAF" w:rsidRDefault="00262AAF" w:rsidP="00A601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kkoPro-Regular">
    <w:altName w:val="Akko Pro Regular"/>
    <w:panose1 w:val="00000000000000000000"/>
    <w:charset w:val="4D"/>
    <w:family w:val="auto"/>
    <w:notTrueType/>
    <w:pitch w:val="default"/>
    <w:sig w:usb0="00000003" w:usb1="00000000" w:usb2="00000000" w:usb3="00000000" w:csb0="00000001" w:csb1="00000000"/>
  </w:font>
  <w:font w:name="AkkoPro-Light">
    <w:altName w:val="Akko Pro Light"/>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B3B89" w14:textId="77777777" w:rsidR="003B79D2" w:rsidRDefault="003B79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920678"/>
      <w:docPartObj>
        <w:docPartGallery w:val="Page Numbers (Bottom of Page)"/>
        <w:docPartUnique/>
      </w:docPartObj>
    </w:sdtPr>
    <w:sdtEndPr/>
    <w:sdtContent>
      <w:p w14:paraId="6C65034F" w14:textId="183D17F6" w:rsidR="00262AAF" w:rsidRDefault="00B75AA8">
        <w:pPr>
          <w:pStyle w:val="Footer"/>
          <w:jc w:val="center"/>
        </w:pPr>
      </w:p>
    </w:sdtContent>
  </w:sdt>
  <w:p w14:paraId="6C650350" w14:textId="77777777" w:rsidR="00262AAF" w:rsidRDefault="00262AA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50351" w14:textId="3238CB8C" w:rsidR="00262AAF" w:rsidRDefault="00262AAF">
    <w:pPr>
      <w:pStyle w:val="Footer"/>
      <w:jc w:val="center"/>
    </w:pPr>
    <w:r>
      <w:rPr>
        <w:noProof/>
      </w:rPr>
      <mc:AlternateContent>
        <mc:Choice Requires="wps">
          <w:drawing>
            <wp:anchor distT="0" distB="0" distL="114300" distR="114300" simplePos="0" relativeHeight="251661312" behindDoc="0" locked="0" layoutInCell="1" allowOverlap="1" wp14:anchorId="3FE22F63" wp14:editId="22137C8C">
              <wp:simplePos x="0" y="0"/>
              <wp:positionH relativeFrom="column">
                <wp:posOffset>-570614</wp:posOffset>
              </wp:positionH>
              <wp:positionV relativeFrom="paragraph">
                <wp:posOffset>-183471</wp:posOffset>
              </wp:positionV>
              <wp:extent cx="4749421" cy="266131"/>
              <wp:effectExtent l="0" t="0" r="0" b="635"/>
              <wp:wrapNone/>
              <wp:docPr id="206" name="Text Box 206"/>
              <wp:cNvGraphicFramePr/>
              <a:graphic xmlns:a="http://schemas.openxmlformats.org/drawingml/2006/main">
                <a:graphicData uri="http://schemas.microsoft.com/office/word/2010/wordprocessingShape">
                  <wps:wsp>
                    <wps:cNvSpPr txBox="1"/>
                    <wps:spPr>
                      <a:xfrm>
                        <a:off x="0" y="0"/>
                        <a:ext cx="4749421"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7DCA3" w14:textId="77777777" w:rsidR="00262AAF" w:rsidRPr="00F34F62" w:rsidRDefault="00262AAF" w:rsidP="00270D45">
                          <w:pPr>
                            <w:rPr>
                              <w:b/>
                              <w:color w:val="FFFFFF"/>
                              <w:sz w:val="14"/>
                              <w:szCs w:val="14"/>
                            </w:rPr>
                          </w:pPr>
                          <w:r w:rsidRPr="00F34F62">
                            <w:rPr>
                              <w:b/>
                              <w:color w:val="FFFFFF"/>
                              <w:sz w:val="14"/>
                              <w:szCs w:val="14"/>
                            </w:rPr>
                            <w:t>T: 1800 803 772  E: ewater@environment.gov.au  W: www.environment.gov.au/cewo</w:t>
                          </w:r>
                          <w:r>
                            <w:rPr>
                              <w:b/>
                              <w:color w:val="FFFFFF"/>
                              <w:sz w:val="14"/>
                              <w:szCs w:val="14"/>
                            </w:rPr>
                            <w:t xml:space="preserve">  </w:t>
                          </w:r>
                          <w:r>
                            <w:rPr>
                              <w:b/>
                              <w:noProof/>
                              <w:color w:val="FFFFFF"/>
                              <w:sz w:val="14"/>
                              <w:szCs w:val="14"/>
                            </w:rPr>
                            <w:drawing>
                              <wp:inline distT="0" distB="0" distL="0" distR="0" wp14:anchorId="7C074A54" wp14:editId="3EBB80BC">
                                <wp:extent cx="127813" cy="127813"/>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@theCEWH</w:t>
                          </w:r>
                        </w:p>
                        <w:p w14:paraId="7B682F4E" w14:textId="77777777" w:rsidR="00262AAF" w:rsidRDefault="00262AAF" w:rsidP="00270D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E22F63" id="_x0000_t202" coordsize="21600,21600" o:spt="202" path="m,l,21600r21600,l21600,xe">
              <v:stroke joinstyle="miter"/>
              <v:path gradientshapeok="t" o:connecttype="rect"/>
            </v:shapetype>
            <v:shape id="Text Box 206" o:spid="_x0000_s1036" type="#_x0000_t202" style="position:absolute;left:0;text-align:left;margin-left:-44.95pt;margin-top:-14.45pt;width:373.95pt;height:20.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" filled="f" stroked="f" strokeweight=".5pt">
              <v:textbox>
                <w:txbxContent>
                  <w:p w14:paraId="51C7DCA3" w14:textId="77777777" w:rsidR="00262AAF" w:rsidRPr="00F34F62" w:rsidRDefault="00262AAF" w:rsidP="00270D45">
                    <w:pPr>
                      <w:rPr>
                        <w:b/>
                        <w:color w:val="FFFFFF"/>
                        <w:sz w:val="14"/>
                        <w:szCs w:val="14"/>
                      </w:rPr>
                    </w:pPr>
                    <w:r w:rsidRPr="00F34F62">
                      <w:rPr>
                        <w:b/>
                        <w:color w:val="FFFFFF"/>
                        <w:sz w:val="14"/>
                        <w:szCs w:val="14"/>
                      </w:rPr>
                      <w:t>T: 1800 803 772  E: ewater@environment.gov.au  W: www.environment.gov.au/cewo</w:t>
                    </w:r>
                    <w:r>
                      <w:rPr>
                        <w:b/>
                        <w:color w:val="FFFFFF"/>
                        <w:sz w:val="14"/>
                        <w:szCs w:val="14"/>
                      </w:rPr>
                      <w:t xml:space="preserve">  </w:t>
                    </w:r>
                    <w:r>
                      <w:rPr>
                        <w:b/>
                        <w:noProof/>
                        <w:color w:val="FFFFFF"/>
                        <w:sz w:val="14"/>
                        <w:szCs w:val="14"/>
                      </w:rPr>
                      <w:drawing>
                        <wp:inline distT="0" distB="0" distL="0" distR="0" wp14:anchorId="7C074A54" wp14:editId="3EBB80BC">
                          <wp:extent cx="127813" cy="127813"/>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@theCEWH</w:t>
                    </w:r>
                  </w:p>
                  <w:p w14:paraId="7B682F4E" w14:textId="77777777" w:rsidR="00262AAF" w:rsidRDefault="00262AAF" w:rsidP="00270D45"/>
                </w:txbxContent>
              </v:textbox>
            </v:shape>
          </w:pict>
        </mc:Fallback>
      </mc:AlternateContent>
    </w:r>
  </w:p>
  <w:p w14:paraId="6C650352" w14:textId="77777777" w:rsidR="00262AAF" w:rsidRDefault="00262AAF" w:rsidP="00B25195">
    <w:pPr>
      <w:pStyle w:val="Footer"/>
      <w:tabs>
        <w:tab w:val="clear" w:pos="4513"/>
        <w:tab w:val="clear" w:pos="9026"/>
        <w:tab w:val="left" w:pos="724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11F7F" w14:textId="69F5879D" w:rsidR="00262AAF" w:rsidRDefault="00262AAF">
    <w:pPr>
      <w:pStyle w:val="Footer"/>
      <w:jc w:val="center"/>
    </w:pPr>
  </w:p>
  <w:p w14:paraId="39120AE7" w14:textId="77777777" w:rsidR="00262AAF" w:rsidRDefault="00262AAF">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14AD7" w14:textId="77777777" w:rsidR="00262AAF" w:rsidRDefault="00262AAF">
    <w:pPr>
      <w:pStyle w:val="Footer"/>
      <w:jc w:val="center"/>
    </w:pPr>
    <w:r>
      <w:rPr>
        <w:noProof/>
      </w:rPr>
      <mc:AlternateContent>
        <mc:Choice Requires="wps">
          <w:drawing>
            <wp:anchor distT="0" distB="0" distL="114300" distR="114300" simplePos="0" relativeHeight="251669504" behindDoc="0" locked="0" layoutInCell="1" allowOverlap="1" wp14:anchorId="51D2ECCF" wp14:editId="23D3AB4D">
              <wp:simplePos x="0" y="0"/>
              <wp:positionH relativeFrom="column">
                <wp:posOffset>-570614</wp:posOffset>
              </wp:positionH>
              <wp:positionV relativeFrom="paragraph">
                <wp:posOffset>-183471</wp:posOffset>
              </wp:positionV>
              <wp:extent cx="4749421" cy="266131"/>
              <wp:effectExtent l="0" t="0" r="0" b="635"/>
              <wp:wrapNone/>
              <wp:docPr id="24" name="Text Box 24"/>
              <wp:cNvGraphicFramePr/>
              <a:graphic xmlns:a="http://schemas.openxmlformats.org/drawingml/2006/main">
                <a:graphicData uri="http://schemas.microsoft.com/office/word/2010/wordprocessingShape">
                  <wps:wsp>
                    <wps:cNvSpPr txBox="1"/>
                    <wps:spPr>
                      <a:xfrm>
                        <a:off x="0" y="0"/>
                        <a:ext cx="4749421"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99AE9" w14:textId="77777777" w:rsidR="00262AAF" w:rsidRPr="00F34F62" w:rsidRDefault="00262AAF" w:rsidP="00270D45">
                          <w:pPr>
                            <w:rPr>
                              <w:b/>
                              <w:color w:val="FFFFFF"/>
                              <w:sz w:val="14"/>
                              <w:szCs w:val="14"/>
                            </w:rPr>
                          </w:pPr>
                          <w:r w:rsidRPr="00F34F62">
                            <w:rPr>
                              <w:b/>
                              <w:color w:val="FFFFFF"/>
                              <w:sz w:val="14"/>
                              <w:szCs w:val="14"/>
                            </w:rPr>
                            <w:t>T: 1800 803 772  E: ewater@environment.gov.au  W: www.environment.gov.au/cewo</w:t>
                          </w:r>
                          <w:r>
                            <w:rPr>
                              <w:b/>
                              <w:color w:val="FFFFFF"/>
                              <w:sz w:val="14"/>
                              <w:szCs w:val="14"/>
                            </w:rPr>
                            <w:t xml:space="preserve">  </w:t>
                          </w:r>
                          <w:r>
                            <w:rPr>
                              <w:b/>
                              <w:noProof/>
                              <w:color w:val="FFFFFF"/>
                              <w:sz w:val="14"/>
                              <w:szCs w:val="14"/>
                            </w:rPr>
                            <w:drawing>
                              <wp:inline distT="0" distB="0" distL="0" distR="0" wp14:anchorId="63749938" wp14:editId="0B26F428">
                                <wp:extent cx="127813" cy="127813"/>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@theCEWH</w:t>
                          </w:r>
                        </w:p>
                        <w:p w14:paraId="5458BF66" w14:textId="77777777" w:rsidR="00262AAF" w:rsidRDefault="00262AAF" w:rsidP="00270D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D2ECCF" id="_x0000_t202" coordsize="21600,21600" o:spt="202" path="m,l,21600r21600,l21600,xe">
              <v:stroke joinstyle="miter"/>
              <v:path gradientshapeok="t" o:connecttype="rect"/>
            </v:shapetype>
            <v:shape id="Text Box 24" o:spid="_x0000_s1037" type="#_x0000_t202" style="position:absolute;left:0;text-align:left;margin-left:-44.95pt;margin-top:-14.45pt;width:373.95pt;height:20.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" filled="f" stroked="f" strokeweight=".5pt">
              <v:textbox>
                <w:txbxContent>
                  <w:p w14:paraId="3F199AE9" w14:textId="77777777" w:rsidR="00262AAF" w:rsidRPr="00F34F62" w:rsidRDefault="00262AAF" w:rsidP="00270D45">
                    <w:pPr>
                      <w:rPr>
                        <w:b/>
                        <w:color w:val="FFFFFF"/>
                        <w:sz w:val="14"/>
                        <w:szCs w:val="14"/>
                      </w:rPr>
                    </w:pPr>
                    <w:r w:rsidRPr="00F34F62">
                      <w:rPr>
                        <w:b/>
                        <w:color w:val="FFFFFF"/>
                        <w:sz w:val="14"/>
                        <w:szCs w:val="14"/>
                      </w:rPr>
                      <w:t>T: 1800 803 772  E: ewater@environment.gov.au  W: www.environment.gov.au/cewo</w:t>
                    </w:r>
                    <w:r>
                      <w:rPr>
                        <w:b/>
                        <w:color w:val="FFFFFF"/>
                        <w:sz w:val="14"/>
                        <w:szCs w:val="14"/>
                      </w:rPr>
                      <w:t xml:space="preserve">  </w:t>
                    </w:r>
                    <w:r>
                      <w:rPr>
                        <w:b/>
                        <w:noProof/>
                        <w:color w:val="FFFFFF"/>
                        <w:sz w:val="14"/>
                        <w:szCs w:val="14"/>
                      </w:rPr>
                      <w:drawing>
                        <wp:inline distT="0" distB="0" distL="0" distR="0" wp14:anchorId="63749938" wp14:editId="0B26F428">
                          <wp:extent cx="127813" cy="127813"/>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icon_Artboard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952" cy="140952"/>
                                  </a:xfrm>
                                  <a:prstGeom prst="rect">
                                    <a:avLst/>
                                  </a:prstGeom>
                                </pic:spPr>
                              </pic:pic>
                            </a:graphicData>
                          </a:graphic>
                        </wp:inline>
                      </w:drawing>
                    </w:r>
                    <w:r>
                      <w:rPr>
                        <w:b/>
                        <w:color w:val="FFFFFF"/>
                        <w:sz w:val="14"/>
                        <w:szCs w:val="14"/>
                      </w:rPr>
                      <w:t>@theCEWH</w:t>
                    </w:r>
                  </w:p>
                  <w:p w14:paraId="5458BF66" w14:textId="77777777" w:rsidR="00262AAF" w:rsidRDefault="00262AAF" w:rsidP="00270D45"/>
                </w:txbxContent>
              </v:textbox>
            </v:shape>
          </w:pict>
        </mc:Fallback>
      </mc:AlternateContent>
    </w:r>
  </w:p>
  <w:p w14:paraId="45510FAB" w14:textId="77777777" w:rsidR="00262AAF" w:rsidRDefault="00262AAF" w:rsidP="00B25195">
    <w:pPr>
      <w:pStyle w:val="Footer"/>
      <w:tabs>
        <w:tab w:val="clear" w:pos="4513"/>
        <w:tab w:val="clear" w:pos="9026"/>
        <w:tab w:val="left" w:pos="7245"/>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10B29" w14:textId="77777777" w:rsidR="00262AAF" w:rsidRDefault="00262AAF">
    <w:pPr>
      <w:pStyle w:val="Footer"/>
      <w:jc w:val="center"/>
    </w:pPr>
    <w:r>
      <w:fldChar w:fldCharType="begin"/>
    </w:r>
    <w:r>
      <w:instrText xml:space="preserve"> PAGE   \* MERGEFORMAT </w:instrText>
    </w:r>
    <w:r>
      <w:fldChar w:fldCharType="separate"/>
    </w:r>
    <w:r w:rsidR="00B75AA8">
      <w:rPr>
        <w:noProof/>
      </w:rPr>
      <w:t>1</w:t>
    </w:r>
    <w:r>
      <w:rPr>
        <w:noProof/>
      </w:rPr>
      <w:fldChar w:fldCharType="end"/>
    </w:r>
  </w:p>
  <w:p w14:paraId="3BA5FD5C" w14:textId="77777777" w:rsidR="00262AAF" w:rsidRDefault="00262AAF">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38641"/>
      <w:docPartObj>
        <w:docPartGallery w:val="Page Numbers (Bottom of Page)"/>
        <w:docPartUnique/>
      </w:docPartObj>
    </w:sdtPr>
    <w:sdtEndPr/>
    <w:sdtContent>
      <w:p w14:paraId="6C650353" w14:textId="77777777" w:rsidR="00262AAF" w:rsidRDefault="00262AAF">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6C650354" w14:textId="77777777" w:rsidR="00262AAF" w:rsidRDefault="00262AAF" w:rsidP="00B25195">
    <w:pPr>
      <w:pStyle w:val="Footer"/>
      <w:tabs>
        <w:tab w:val="clear" w:pos="4513"/>
        <w:tab w:val="clear" w:pos="9026"/>
        <w:tab w:val="left" w:pos="72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5034A" w14:textId="77777777" w:rsidR="00262AAF" w:rsidRDefault="00262AAF" w:rsidP="00A60185">
      <w:pPr>
        <w:spacing w:after="0"/>
      </w:pPr>
      <w:r>
        <w:separator/>
      </w:r>
    </w:p>
  </w:footnote>
  <w:footnote w:type="continuationSeparator" w:id="0">
    <w:p w14:paraId="6C65034B" w14:textId="77777777" w:rsidR="00262AAF" w:rsidRDefault="00262AAF" w:rsidP="00A60185">
      <w:pPr>
        <w:spacing w:after="0"/>
      </w:pPr>
      <w:r>
        <w:continuationSeparator/>
      </w:r>
    </w:p>
  </w:footnote>
  <w:footnote w:id="1">
    <w:p w14:paraId="6C650355" w14:textId="01A7046D" w:rsidR="00262AAF" w:rsidRPr="007358BA" w:rsidRDefault="00262AAF" w:rsidP="00675265">
      <w:pPr>
        <w:pStyle w:val="FootnoteText"/>
        <w:rPr>
          <w:rFonts w:ascii="Century Gothic" w:hAnsi="Century Gothic"/>
          <w:sz w:val="16"/>
        </w:rPr>
      </w:pPr>
      <w:r w:rsidRPr="0093430A">
        <w:rPr>
          <w:rStyle w:val="FootnoteReference"/>
          <w:rFonts w:ascii="Century Gothic" w:hAnsi="Century Gothic"/>
          <w:sz w:val="16"/>
        </w:rPr>
        <w:footnoteRef/>
      </w:r>
      <w:r w:rsidRPr="0093430A">
        <w:rPr>
          <w:rFonts w:ascii="Century Gothic" w:hAnsi="Century Gothic"/>
          <w:sz w:val="16"/>
        </w:rPr>
        <w:t xml:space="preserve"> </w:t>
      </w:r>
      <w:r w:rsidRPr="0093430A">
        <w:rPr>
          <w:rFonts w:ascii="Century Gothic" w:hAnsi="Century Gothic"/>
          <w:i/>
          <w:iCs/>
          <w:sz w:val="16"/>
        </w:rPr>
        <w:t>Echuca Declaration</w:t>
      </w:r>
      <w:r w:rsidRPr="0093430A">
        <w:rPr>
          <w:rFonts w:ascii="Century Gothic" w:hAnsi="Century Gothic"/>
          <w:sz w:val="16"/>
        </w:rPr>
        <w:t>, as adopted by Northern Murray</w:t>
      </w:r>
      <w:r>
        <w:rPr>
          <w:rFonts w:ascii="Century Gothic" w:hAnsi="Century Gothic"/>
          <w:sz w:val="16"/>
        </w:rPr>
        <w:t>–</w:t>
      </w:r>
      <w:r w:rsidRPr="0093430A">
        <w:rPr>
          <w:rFonts w:ascii="Century Gothic" w:hAnsi="Century Gothic"/>
          <w:sz w:val="16"/>
        </w:rPr>
        <w:t>Darling Basin Aboriginal Nations and the Murray Lower Darling Rivers Indigenous Nations on 19 May 2010.</w:t>
      </w:r>
    </w:p>
  </w:footnote>
  <w:footnote w:id="2">
    <w:p w14:paraId="59A743F6" w14:textId="5E133028" w:rsidR="00262AAF" w:rsidRDefault="00262AAF" w:rsidP="00E66504">
      <w:pPr>
        <w:pStyle w:val="FootnoteText"/>
        <w:spacing w:after="0"/>
      </w:pPr>
      <w:r>
        <w:rPr>
          <w:rStyle w:val="FootnoteReference"/>
        </w:rPr>
        <w:footnoteRef/>
      </w:r>
      <w:r>
        <w:t xml:space="preserve"> </w:t>
      </w:r>
      <w:r w:rsidRPr="00E66504">
        <w:rPr>
          <w:sz w:val="16"/>
          <w:szCs w:val="16"/>
        </w:rPr>
        <w:t>N</w:t>
      </w:r>
      <w:r w:rsidRPr="00E66504">
        <w:rPr>
          <w:rFonts w:ascii="Century Gothic" w:hAnsi="Century Gothic"/>
          <w:i/>
          <w:sz w:val="16"/>
          <w:szCs w:val="16"/>
        </w:rPr>
        <w:t>ote that the expected outcomes of the Basin-wide environmental watering strategy will be achieved through the efforts of all governments in implementing the Basin Plan, and not solely through Commonwealth environmental water. The monitoring of the Basin-wide environmental watering strategy outcomes is the responsibility of the Murray–Darling Basin Authority</w:t>
      </w:r>
      <w:r w:rsidRPr="00E66504">
        <w:rPr>
          <w:rFonts w:ascii="Century Gothic" w:hAnsi="Century Gothic"/>
          <w:sz w:val="16"/>
          <w:szCs w:val="16"/>
        </w:rPr>
        <w:t>.</w:t>
      </w:r>
    </w:p>
  </w:footnote>
  <w:footnote w:id="3">
    <w:p w14:paraId="6C650356" w14:textId="77777777" w:rsidR="00262AAF" w:rsidRPr="009117C9" w:rsidRDefault="00262AAF" w:rsidP="00F961D6">
      <w:pPr>
        <w:pStyle w:val="FootnoteText"/>
        <w:spacing w:after="0"/>
        <w:ind w:left="-284"/>
        <w:jc w:val="left"/>
        <w:rPr>
          <w:rFonts w:ascii="Century Gothic" w:hAnsi="Century Gothic"/>
          <w:sz w:val="16"/>
          <w:szCs w:val="16"/>
        </w:rPr>
      </w:pPr>
      <w:r w:rsidRPr="009117C9">
        <w:rPr>
          <w:rStyle w:val="FootnoteReference"/>
          <w:rFonts w:ascii="Century Gothic" w:hAnsi="Century Gothic"/>
          <w:sz w:val="16"/>
          <w:szCs w:val="16"/>
        </w:rPr>
        <w:footnoteRef/>
      </w:r>
      <w:r w:rsidRPr="009117C9">
        <w:rPr>
          <w:rFonts w:ascii="Century Gothic" w:hAnsi="Century Gothic"/>
          <w:sz w:val="16"/>
          <w:szCs w:val="16"/>
        </w:rPr>
        <w:t xml:space="preserve"> Comprising tributary contributions from: Condamine–Balonne, Border Rivers, Gwydir, Namoi and Macquarie–Castlereagh</w:t>
      </w:r>
    </w:p>
  </w:footnote>
  <w:footnote w:id="4">
    <w:p w14:paraId="6C650357" w14:textId="77777777" w:rsidR="00262AAF" w:rsidRPr="009117C9" w:rsidRDefault="00262AAF" w:rsidP="00F961D6">
      <w:pPr>
        <w:pStyle w:val="FootnoteText"/>
        <w:spacing w:after="0"/>
        <w:ind w:left="-284"/>
        <w:jc w:val="left"/>
        <w:rPr>
          <w:rFonts w:ascii="Century Gothic" w:hAnsi="Century Gothic"/>
          <w:sz w:val="16"/>
          <w:szCs w:val="16"/>
        </w:rPr>
      </w:pPr>
      <w:r w:rsidRPr="009117C9">
        <w:rPr>
          <w:rStyle w:val="FootnoteReference"/>
          <w:rFonts w:ascii="Century Gothic" w:hAnsi="Century Gothic"/>
          <w:sz w:val="16"/>
          <w:szCs w:val="16"/>
        </w:rPr>
        <w:footnoteRef/>
      </w:r>
      <w:r w:rsidRPr="009117C9">
        <w:rPr>
          <w:rFonts w:ascii="Century Gothic" w:hAnsi="Century Gothic"/>
          <w:sz w:val="16"/>
          <w:szCs w:val="16"/>
        </w:rPr>
        <w:t xml:space="preserve"> Comprising tributary contributions from: Murrumbidgee, Goulburn</w:t>
      </w:r>
      <w:r w:rsidRPr="009117C9">
        <w:rPr>
          <w:rFonts w:ascii="Century Gothic" w:hAnsi="Century Gothic" w:cs="Arial"/>
          <w:sz w:val="16"/>
          <w:szCs w:val="16"/>
        </w:rPr>
        <w:t>–</w:t>
      </w:r>
      <w:r w:rsidRPr="009117C9">
        <w:rPr>
          <w:rFonts w:ascii="Century Gothic" w:hAnsi="Century Gothic"/>
          <w:sz w:val="16"/>
          <w:szCs w:val="16"/>
        </w:rPr>
        <w:t>Broken, Campaspe, Loddon and Lower Darling</w:t>
      </w:r>
    </w:p>
  </w:footnote>
  <w:footnote w:id="5">
    <w:p w14:paraId="6C650358" w14:textId="77777777" w:rsidR="00262AAF" w:rsidRDefault="00262AAF" w:rsidP="00F961D6">
      <w:pPr>
        <w:pStyle w:val="FootnoteText"/>
        <w:spacing w:after="0"/>
        <w:ind w:left="-284"/>
        <w:jc w:val="left"/>
      </w:pPr>
      <w:r w:rsidRPr="009117C9">
        <w:rPr>
          <w:rStyle w:val="FootnoteReference"/>
          <w:rFonts w:ascii="Century Gothic" w:hAnsi="Century Gothic"/>
          <w:sz w:val="16"/>
          <w:szCs w:val="16"/>
        </w:rPr>
        <w:footnoteRef/>
      </w:r>
      <w:r w:rsidRPr="009117C9">
        <w:rPr>
          <w:rFonts w:ascii="Century Gothic" w:hAnsi="Century Gothic"/>
          <w:sz w:val="16"/>
          <w:szCs w:val="16"/>
        </w:rPr>
        <w:t xml:space="preserve"> Border Rivers, Gwydir, Namoi, Macquarie–Castlereagh, Barwon–Darling, Lachlan, Campaspe, Loddon and Wimmera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5034E" w14:textId="77777777" w:rsidR="00262AAF" w:rsidRDefault="00262AAF" w:rsidP="00E45765">
    <w:pPr>
      <w:pStyle w:val="Classification"/>
    </w:pPr>
    <w:r>
      <w:fldChar w:fldCharType="begin"/>
    </w:r>
    <w:r>
      <w:instrText xml:space="preserve"> DOCPROPERTY SecurityClassification \* MERGEFORMAT </w:instrText>
    </w:r>
    <w:r>
      <w:fldChar w:fldCharType="separate"/>
    </w:r>
    <w:r w:rsidR="0044680F">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34E71" w14:textId="77777777" w:rsidR="003B79D2" w:rsidRDefault="003B79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DA5D2" w14:textId="6FAF46B7" w:rsidR="00262AAF" w:rsidRDefault="00262AAF">
    <w:pPr>
      <w:pStyle w:val="Header"/>
    </w:pPr>
    <w:r>
      <w:rPr>
        <w:noProof/>
      </w:rPr>
      <w:drawing>
        <wp:anchor distT="0" distB="0" distL="114300" distR="114300" simplePos="0" relativeHeight="251659264" behindDoc="1" locked="0" layoutInCell="0" allowOverlap="1" wp14:anchorId="12BB705D" wp14:editId="00004E0C">
          <wp:simplePos x="0" y="0"/>
          <wp:positionH relativeFrom="page">
            <wp:posOffset>139700</wp:posOffset>
          </wp:positionH>
          <wp:positionV relativeFrom="page">
            <wp:posOffset>152873</wp:posOffset>
          </wp:positionV>
          <wp:extent cx="7256173" cy="10332000"/>
          <wp:effectExtent l="0" t="0" r="1905" b="0"/>
          <wp:wrapNone/>
          <wp:docPr id="205" name="Picture 205"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6173" cy="10332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DA12C" w14:textId="77777777" w:rsidR="00262AAF" w:rsidRDefault="00262AA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78CC2" w14:textId="77777777" w:rsidR="00262AAF" w:rsidRDefault="00262AAF">
    <w:pPr>
      <w:pStyle w:val="Header"/>
    </w:pPr>
    <w:r>
      <w:rPr>
        <w:noProof/>
      </w:rPr>
      <w:drawing>
        <wp:anchor distT="0" distB="0" distL="114300" distR="114300" simplePos="0" relativeHeight="251667456" behindDoc="1" locked="0" layoutInCell="0" allowOverlap="1" wp14:anchorId="3FFFD38E" wp14:editId="5463C9B3">
          <wp:simplePos x="0" y="0"/>
          <wp:positionH relativeFrom="page">
            <wp:posOffset>139700</wp:posOffset>
          </wp:positionH>
          <wp:positionV relativeFrom="page">
            <wp:posOffset>152873</wp:posOffset>
          </wp:positionV>
          <wp:extent cx="7256173" cy="10332000"/>
          <wp:effectExtent l="0" t="0" r="1905" b="0"/>
          <wp:wrapNone/>
          <wp:docPr id="23" name="Picture 23"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6173" cy="10332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04FF7" w14:textId="77777777" w:rsidR="00262AAF" w:rsidRDefault="00262AAF">
    <w:pPr>
      <w:pStyle w:val="Header"/>
    </w:pPr>
    <w:r>
      <w:rPr>
        <w:noProof/>
      </w:rPr>
      <w:drawing>
        <wp:anchor distT="0" distB="0" distL="114300" distR="114300" simplePos="0" relativeHeight="251665408" behindDoc="1" locked="0" layoutInCell="0" allowOverlap="1" wp14:anchorId="2AD877EB" wp14:editId="4D7D4D42">
          <wp:simplePos x="0" y="0"/>
          <wp:positionH relativeFrom="page">
            <wp:posOffset>139700</wp:posOffset>
          </wp:positionH>
          <wp:positionV relativeFrom="page">
            <wp:posOffset>152873</wp:posOffset>
          </wp:positionV>
          <wp:extent cx="7256173" cy="10332000"/>
          <wp:effectExtent l="0" t="0" r="1905" b="0"/>
          <wp:wrapNone/>
          <wp:docPr id="22" name="Picture 22"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6173" cy="10332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5CED6" w14:textId="77777777" w:rsidR="00262AAF" w:rsidRDefault="00262AAF">
    <w:pPr>
      <w:pStyle w:val="Header"/>
    </w:pPr>
    <w:r>
      <w:rPr>
        <w:noProof/>
      </w:rPr>
      <w:drawing>
        <wp:anchor distT="0" distB="0" distL="114300" distR="114300" simplePos="0" relativeHeight="251671552" behindDoc="1" locked="0" layoutInCell="0" allowOverlap="1" wp14:anchorId="7A8CA135" wp14:editId="00117AAC">
          <wp:simplePos x="0" y="0"/>
          <wp:positionH relativeFrom="page">
            <wp:posOffset>139700</wp:posOffset>
          </wp:positionH>
          <wp:positionV relativeFrom="page">
            <wp:posOffset>152873</wp:posOffset>
          </wp:positionV>
          <wp:extent cx="7256173" cy="10332000"/>
          <wp:effectExtent l="0" t="0" r="1905" b="0"/>
          <wp:wrapNone/>
          <wp:docPr id="26" name="Picture 26"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6173" cy="10332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D3A6E" w14:textId="77777777" w:rsidR="00262AAF" w:rsidRDefault="00262AAF">
    <w:pPr>
      <w:pStyle w:val="Header"/>
    </w:pPr>
    <w:r>
      <w:rPr>
        <w:noProof/>
      </w:rPr>
      <w:drawing>
        <wp:anchor distT="0" distB="0" distL="114300" distR="114300" simplePos="0" relativeHeight="251663360" behindDoc="1" locked="0" layoutInCell="0" allowOverlap="1" wp14:anchorId="5F5771D7" wp14:editId="38B723D1">
          <wp:simplePos x="0" y="0"/>
          <wp:positionH relativeFrom="page">
            <wp:posOffset>139700</wp:posOffset>
          </wp:positionH>
          <wp:positionV relativeFrom="page">
            <wp:posOffset>152873</wp:posOffset>
          </wp:positionV>
          <wp:extent cx="7256173" cy="10332000"/>
          <wp:effectExtent l="0" t="0" r="1905" b="0"/>
          <wp:wrapNone/>
          <wp:docPr id="21" name="Picture 21"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6173" cy="10332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004BAF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052F00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7C6AEE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15:restartNumberingAfterBreak="0">
    <w:nsid w:val="051A5DEA"/>
    <w:multiLevelType w:val="multilevel"/>
    <w:tmpl w:val="97B0C790"/>
    <w:styleLink w:val="Style2"/>
    <w:lvl w:ilvl="0">
      <w:start w:val="1"/>
      <w:numFmt w:val="decimal"/>
      <w:suff w:val="space"/>
      <w:lvlText w:val="Table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57E6529"/>
    <w:multiLevelType w:val="multilevel"/>
    <w:tmpl w:val="343E7AD0"/>
    <w:lvl w:ilvl="0">
      <w:start w:val="1"/>
      <w:numFmt w:val="bullet"/>
      <w:lvlText w:val=""/>
      <w:lvlJc w:val="left"/>
      <w:pPr>
        <w:ind w:left="369" w:hanging="369"/>
      </w:pPr>
      <w:rPr>
        <w:rFonts w:ascii="Symbol" w:hAnsi="Symbol" w:hint="default"/>
      </w:rPr>
    </w:lvl>
    <w:lvl w:ilvl="1">
      <w:start w:val="1"/>
      <w:numFmt w:val="bullet"/>
      <w:lvlText w:val="o"/>
      <w:lvlJc w:val="left"/>
      <w:pPr>
        <w:ind w:left="737" w:hanging="368"/>
      </w:pPr>
      <w:rPr>
        <w:rFonts w:ascii="Courier New" w:hAnsi="Courier New" w:cs="Courier New" w:hint="default"/>
      </w:r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6" w15:restartNumberingAfterBreak="0">
    <w:nsid w:val="07A202B2"/>
    <w:multiLevelType w:val="hybridMultilevel"/>
    <w:tmpl w:val="E7320F30"/>
    <w:lvl w:ilvl="0" w:tplc="0C090017">
      <w:start w:val="1"/>
      <w:numFmt w:val="lowerLetter"/>
      <w:lvlText w:val="%1)"/>
      <w:lvlJc w:val="left"/>
      <w:pPr>
        <w:ind w:left="720" w:hanging="360"/>
      </w:pPr>
      <w:rPr>
        <w:b w:val="0"/>
        <w:i w:val="0"/>
      </w:rPr>
    </w:lvl>
    <w:lvl w:ilvl="1" w:tplc="431C0792">
      <w:start w:val="1"/>
      <w:numFmt w:val="lowerLetter"/>
      <w:lvlText w:val="%2."/>
      <w:lvlJc w:val="left"/>
      <w:pPr>
        <w:ind w:left="1440" w:hanging="360"/>
      </w:pPr>
    </w:lvl>
    <w:lvl w:ilvl="2" w:tplc="A53C62DA">
      <w:start w:val="1"/>
      <w:numFmt w:val="lowerRoman"/>
      <w:lvlText w:val="%3."/>
      <w:lvlJc w:val="right"/>
      <w:pPr>
        <w:ind w:left="2160" w:hanging="180"/>
      </w:pPr>
    </w:lvl>
    <w:lvl w:ilvl="3" w:tplc="9FBC740C">
      <w:start w:val="1"/>
      <w:numFmt w:val="decimal"/>
      <w:lvlText w:val="%4."/>
      <w:lvlJc w:val="left"/>
      <w:pPr>
        <w:tabs>
          <w:tab w:val="num" w:pos="2880"/>
        </w:tabs>
        <w:ind w:left="2880" w:hanging="360"/>
      </w:pPr>
    </w:lvl>
    <w:lvl w:ilvl="4" w:tplc="8A4C0088">
      <w:start w:val="1"/>
      <w:numFmt w:val="decimal"/>
      <w:lvlText w:val="%5."/>
      <w:lvlJc w:val="left"/>
      <w:pPr>
        <w:tabs>
          <w:tab w:val="num" w:pos="3600"/>
        </w:tabs>
        <w:ind w:left="3600" w:hanging="360"/>
      </w:pPr>
    </w:lvl>
    <w:lvl w:ilvl="5" w:tplc="D6729202">
      <w:start w:val="1"/>
      <w:numFmt w:val="decimal"/>
      <w:lvlText w:val="%6."/>
      <w:lvlJc w:val="left"/>
      <w:pPr>
        <w:tabs>
          <w:tab w:val="num" w:pos="4320"/>
        </w:tabs>
        <w:ind w:left="4320" w:hanging="360"/>
      </w:pPr>
    </w:lvl>
    <w:lvl w:ilvl="6" w:tplc="D3B8B002">
      <w:start w:val="1"/>
      <w:numFmt w:val="decimal"/>
      <w:lvlText w:val="%7."/>
      <w:lvlJc w:val="left"/>
      <w:pPr>
        <w:tabs>
          <w:tab w:val="num" w:pos="5040"/>
        </w:tabs>
        <w:ind w:left="5040" w:hanging="360"/>
      </w:pPr>
    </w:lvl>
    <w:lvl w:ilvl="7" w:tplc="D1F681D2">
      <w:start w:val="1"/>
      <w:numFmt w:val="decimal"/>
      <w:lvlText w:val="%8."/>
      <w:lvlJc w:val="left"/>
      <w:pPr>
        <w:tabs>
          <w:tab w:val="num" w:pos="5760"/>
        </w:tabs>
        <w:ind w:left="5760" w:hanging="360"/>
      </w:pPr>
    </w:lvl>
    <w:lvl w:ilvl="8" w:tplc="C58ACB8E">
      <w:start w:val="1"/>
      <w:numFmt w:val="decimal"/>
      <w:lvlText w:val="%9."/>
      <w:lvlJc w:val="left"/>
      <w:pPr>
        <w:tabs>
          <w:tab w:val="num" w:pos="6480"/>
        </w:tabs>
        <w:ind w:left="6480" w:hanging="360"/>
      </w:pPr>
    </w:lvl>
  </w:abstractNum>
  <w:abstractNum w:abstractNumId="7" w15:restartNumberingAfterBreak="0">
    <w:nsid w:val="0A020D15"/>
    <w:multiLevelType w:val="multilevel"/>
    <w:tmpl w:val="471C7B90"/>
    <w:lvl w:ilvl="0">
      <w:start w:val="1"/>
      <w:numFmt w:val="decimal"/>
      <w:lvlText w:val="%1."/>
      <w:lvlJc w:val="left"/>
      <w:pPr>
        <w:ind w:left="360" w:hanging="360"/>
      </w:pPr>
      <w:rPr>
        <w:rFonts w:cs="Times New Roman"/>
      </w:rPr>
    </w:lvl>
    <w:lvl w:ilvl="1">
      <w:start w:val="1"/>
      <w:numFmt w:val="decimal"/>
      <w:pStyle w:val="Heading2"/>
      <w:lvlText w:val="%1.%2."/>
      <w:lvlJc w:val="left"/>
      <w:pPr>
        <w:ind w:left="79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17A171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9452F64"/>
    <w:multiLevelType w:val="hybridMultilevel"/>
    <w:tmpl w:val="A2288A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745BC2"/>
    <w:multiLevelType w:val="multilevel"/>
    <w:tmpl w:val="E5E89F92"/>
    <w:numStyleLink w:val="BulletList"/>
  </w:abstractNum>
  <w:abstractNum w:abstractNumId="12" w15:restartNumberingAfterBreak="0">
    <w:nsid w:val="23826FB0"/>
    <w:multiLevelType w:val="multilevel"/>
    <w:tmpl w:val="1B5CE6A6"/>
    <w:lvl w:ilvl="0">
      <w:start w:val="1"/>
      <w:numFmt w:val="decimal"/>
      <w:lvlText w:val="%1."/>
      <w:lvlJc w:val="left"/>
      <w:pPr>
        <w:ind w:left="360" w:hanging="360"/>
      </w:pPr>
      <w:rPr>
        <w:rFonts w:hint="default"/>
      </w:rPr>
    </w:lvl>
    <w:lvl w:ilvl="1">
      <w:start w:val="1"/>
      <w:numFmt w:val="none"/>
      <w:lvlText w:val="2.1"/>
      <w:lvlJc w:val="left"/>
      <w:pPr>
        <w:ind w:left="432" w:hanging="432"/>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ADC75EC"/>
    <w:multiLevelType w:val="hybridMultilevel"/>
    <w:tmpl w:val="6A0A8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845749E"/>
    <w:multiLevelType w:val="multilevel"/>
    <w:tmpl w:val="A40A7F00"/>
    <w:lvl w:ilvl="0">
      <w:start w:val="1"/>
      <w:numFmt w:val="decimal"/>
      <w:lvlText w:val="%1."/>
      <w:lvlJc w:val="left"/>
      <w:pPr>
        <w:ind w:left="360" w:hanging="360"/>
      </w:pPr>
      <w:rPr>
        <w:rFonts w:hint="default"/>
      </w:rPr>
    </w:lvl>
    <w:lvl w:ilvl="1">
      <w:start w:val="1"/>
      <w:numFmt w:val="none"/>
      <w:lvlText w:val="1.1"/>
      <w:lvlJc w:val="left"/>
      <w:pPr>
        <w:ind w:left="432" w:hanging="432"/>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3723538"/>
    <w:multiLevelType w:val="hybridMultilevel"/>
    <w:tmpl w:val="22462D5E"/>
    <w:lvl w:ilvl="0" w:tplc="CF3EFF5C">
      <w:start w:val="1"/>
      <w:numFmt w:val="bullet"/>
      <w:pStyle w:val="Tablebullet"/>
      <w:lvlText w:val=""/>
      <w:lvlJc w:val="left"/>
      <w:pPr>
        <w:ind w:left="754" w:hanging="360"/>
      </w:pPr>
      <w:rPr>
        <w:rFonts w:ascii="Symbol" w:hAnsi="Symbol" w:hint="default"/>
        <w:sz w:val="22"/>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8" w15:restartNumberingAfterBreak="0">
    <w:nsid w:val="44D303EA"/>
    <w:multiLevelType w:val="multilevel"/>
    <w:tmpl w:val="C36A4EB0"/>
    <w:styleLink w:val="Style3"/>
    <w:lvl w:ilvl="0">
      <w:start w:val="1"/>
      <w:numFmt w:val="decimal"/>
      <w:suff w:val="space"/>
      <w:lvlText w:val="Figure %1: "/>
      <w:lvlJc w:val="left"/>
      <w:pPr>
        <w:ind w:left="1021" w:hanging="102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EA67FEE"/>
    <w:multiLevelType w:val="hybridMultilevel"/>
    <w:tmpl w:val="6E4A7B9C"/>
    <w:lvl w:ilvl="0" w:tplc="4482AF1A">
      <w:start w:val="1"/>
      <w:numFmt w:val="bullet"/>
      <w:pStyle w:val="Bullet1"/>
      <w:lvlText w:val=""/>
      <w:lvlJc w:val="left"/>
      <w:pPr>
        <w:ind w:left="720" w:hanging="360"/>
      </w:pPr>
      <w:rPr>
        <w:rFonts w:ascii="Symbol" w:hAnsi="Symbol" w:hint="default"/>
      </w:rPr>
    </w:lvl>
    <w:lvl w:ilvl="1" w:tplc="24867C52">
      <w:start w:val="1"/>
      <w:numFmt w:val="bullet"/>
      <w:lvlText w:val="o"/>
      <w:lvlJc w:val="left"/>
      <w:pPr>
        <w:ind w:left="1440" w:hanging="360"/>
      </w:pPr>
      <w:rPr>
        <w:rFonts w:ascii="Courier New" w:hAnsi="Courier New" w:cs="Courier New" w:hint="default"/>
      </w:rPr>
    </w:lvl>
    <w:lvl w:ilvl="2" w:tplc="F100177E" w:tentative="1">
      <w:start w:val="1"/>
      <w:numFmt w:val="bullet"/>
      <w:lvlText w:val=""/>
      <w:lvlJc w:val="left"/>
      <w:pPr>
        <w:ind w:left="2160" w:hanging="360"/>
      </w:pPr>
      <w:rPr>
        <w:rFonts w:ascii="Wingdings" w:hAnsi="Wingdings" w:hint="default"/>
      </w:rPr>
    </w:lvl>
    <w:lvl w:ilvl="3" w:tplc="86AACE5C" w:tentative="1">
      <w:start w:val="1"/>
      <w:numFmt w:val="bullet"/>
      <w:lvlText w:val=""/>
      <w:lvlJc w:val="left"/>
      <w:pPr>
        <w:ind w:left="2880" w:hanging="360"/>
      </w:pPr>
      <w:rPr>
        <w:rFonts w:ascii="Symbol" w:hAnsi="Symbol" w:hint="default"/>
      </w:rPr>
    </w:lvl>
    <w:lvl w:ilvl="4" w:tplc="2CAAF45A" w:tentative="1">
      <w:start w:val="1"/>
      <w:numFmt w:val="bullet"/>
      <w:lvlText w:val="o"/>
      <w:lvlJc w:val="left"/>
      <w:pPr>
        <w:ind w:left="3600" w:hanging="360"/>
      </w:pPr>
      <w:rPr>
        <w:rFonts w:ascii="Courier New" w:hAnsi="Courier New" w:cs="Courier New" w:hint="default"/>
      </w:rPr>
    </w:lvl>
    <w:lvl w:ilvl="5" w:tplc="A2004C5E" w:tentative="1">
      <w:start w:val="1"/>
      <w:numFmt w:val="bullet"/>
      <w:lvlText w:val=""/>
      <w:lvlJc w:val="left"/>
      <w:pPr>
        <w:ind w:left="4320" w:hanging="360"/>
      </w:pPr>
      <w:rPr>
        <w:rFonts w:ascii="Wingdings" w:hAnsi="Wingdings" w:hint="default"/>
      </w:rPr>
    </w:lvl>
    <w:lvl w:ilvl="6" w:tplc="014C2E10" w:tentative="1">
      <w:start w:val="1"/>
      <w:numFmt w:val="bullet"/>
      <w:lvlText w:val=""/>
      <w:lvlJc w:val="left"/>
      <w:pPr>
        <w:ind w:left="5040" w:hanging="360"/>
      </w:pPr>
      <w:rPr>
        <w:rFonts w:ascii="Symbol" w:hAnsi="Symbol" w:hint="default"/>
      </w:rPr>
    </w:lvl>
    <w:lvl w:ilvl="7" w:tplc="749033F6" w:tentative="1">
      <w:start w:val="1"/>
      <w:numFmt w:val="bullet"/>
      <w:lvlText w:val="o"/>
      <w:lvlJc w:val="left"/>
      <w:pPr>
        <w:ind w:left="5760" w:hanging="360"/>
      </w:pPr>
      <w:rPr>
        <w:rFonts w:ascii="Courier New" w:hAnsi="Courier New" w:cs="Courier New" w:hint="default"/>
      </w:rPr>
    </w:lvl>
    <w:lvl w:ilvl="8" w:tplc="CE8EC26A" w:tentative="1">
      <w:start w:val="1"/>
      <w:numFmt w:val="bullet"/>
      <w:lvlText w:val=""/>
      <w:lvlJc w:val="left"/>
      <w:pPr>
        <w:ind w:left="6480" w:hanging="360"/>
      </w:pPr>
      <w:rPr>
        <w:rFonts w:ascii="Wingdings" w:hAnsi="Wingdings" w:hint="default"/>
      </w:rPr>
    </w:lvl>
  </w:abstractNum>
  <w:abstractNum w:abstractNumId="20" w15:restartNumberingAfterBreak="0">
    <w:nsid w:val="51840174"/>
    <w:multiLevelType w:val="hybridMultilevel"/>
    <w:tmpl w:val="EABCEBD4"/>
    <w:lvl w:ilvl="0" w:tplc="0AEC48D2">
      <w:start w:val="1"/>
      <w:numFmt w:val="bullet"/>
      <w:lvlText w:val=""/>
      <w:lvlJc w:val="left"/>
      <w:pPr>
        <w:ind w:left="720" w:hanging="360"/>
      </w:pPr>
      <w:rPr>
        <w:rFonts w:ascii="Symbol" w:hAnsi="Symbol" w:hint="default"/>
      </w:rPr>
    </w:lvl>
    <w:lvl w:ilvl="1" w:tplc="2088863E" w:tentative="1">
      <w:start w:val="1"/>
      <w:numFmt w:val="bullet"/>
      <w:lvlText w:val="o"/>
      <w:lvlJc w:val="left"/>
      <w:pPr>
        <w:ind w:left="1440" w:hanging="360"/>
      </w:pPr>
      <w:rPr>
        <w:rFonts w:ascii="Courier New" w:hAnsi="Courier New" w:cs="Courier New" w:hint="default"/>
      </w:rPr>
    </w:lvl>
    <w:lvl w:ilvl="2" w:tplc="7CF4342C" w:tentative="1">
      <w:start w:val="1"/>
      <w:numFmt w:val="bullet"/>
      <w:lvlText w:val=""/>
      <w:lvlJc w:val="left"/>
      <w:pPr>
        <w:ind w:left="2160" w:hanging="360"/>
      </w:pPr>
      <w:rPr>
        <w:rFonts w:ascii="Wingdings" w:hAnsi="Wingdings" w:hint="default"/>
      </w:rPr>
    </w:lvl>
    <w:lvl w:ilvl="3" w:tplc="C2BC30D6" w:tentative="1">
      <w:start w:val="1"/>
      <w:numFmt w:val="bullet"/>
      <w:lvlText w:val=""/>
      <w:lvlJc w:val="left"/>
      <w:pPr>
        <w:ind w:left="2880" w:hanging="360"/>
      </w:pPr>
      <w:rPr>
        <w:rFonts w:ascii="Symbol" w:hAnsi="Symbol" w:hint="default"/>
      </w:rPr>
    </w:lvl>
    <w:lvl w:ilvl="4" w:tplc="03F8B7DC" w:tentative="1">
      <w:start w:val="1"/>
      <w:numFmt w:val="bullet"/>
      <w:lvlText w:val="o"/>
      <w:lvlJc w:val="left"/>
      <w:pPr>
        <w:ind w:left="3600" w:hanging="360"/>
      </w:pPr>
      <w:rPr>
        <w:rFonts w:ascii="Courier New" w:hAnsi="Courier New" w:cs="Courier New" w:hint="default"/>
      </w:rPr>
    </w:lvl>
    <w:lvl w:ilvl="5" w:tplc="03EA9806" w:tentative="1">
      <w:start w:val="1"/>
      <w:numFmt w:val="bullet"/>
      <w:lvlText w:val=""/>
      <w:lvlJc w:val="left"/>
      <w:pPr>
        <w:ind w:left="4320" w:hanging="360"/>
      </w:pPr>
      <w:rPr>
        <w:rFonts w:ascii="Wingdings" w:hAnsi="Wingdings" w:hint="default"/>
      </w:rPr>
    </w:lvl>
    <w:lvl w:ilvl="6" w:tplc="A47842CA" w:tentative="1">
      <w:start w:val="1"/>
      <w:numFmt w:val="bullet"/>
      <w:lvlText w:val=""/>
      <w:lvlJc w:val="left"/>
      <w:pPr>
        <w:ind w:left="5040" w:hanging="360"/>
      </w:pPr>
      <w:rPr>
        <w:rFonts w:ascii="Symbol" w:hAnsi="Symbol" w:hint="default"/>
      </w:rPr>
    </w:lvl>
    <w:lvl w:ilvl="7" w:tplc="C3F06130" w:tentative="1">
      <w:start w:val="1"/>
      <w:numFmt w:val="bullet"/>
      <w:lvlText w:val="o"/>
      <w:lvlJc w:val="left"/>
      <w:pPr>
        <w:ind w:left="5760" w:hanging="360"/>
      </w:pPr>
      <w:rPr>
        <w:rFonts w:ascii="Courier New" w:hAnsi="Courier New" w:cs="Courier New" w:hint="default"/>
      </w:rPr>
    </w:lvl>
    <w:lvl w:ilvl="8" w:tplc="DA78CA70" w:tentative="1">
      <w:start w:val="1"/>
      <w:numFmt w:val="bullet"/>
      <w:lvlText w:val=""/>
      <w:lvlJc w:val="left"/>
      <w:pPr>
        <w:ind w:left="6480" w:hanging="360"/>
      </w:pPr>
      <w:rPr>
        <w:rFonts w:ascii="Wingdings" w:hAnsi="Wingdings" w:hint="default"/>
      </w:rPr>
    </w:lvl>
  </w:abstractNum>
  <w:abstractNum w:abstractNumId="21" w15:restartNumberingAfterBreak="0">
    <w:nsid w:val="5942792B"/>
    <w:multiLevelType w:val="multilevel"/>
    <w:tmpl w:val="516A9FEE"/>
    <w:lvl w:ilvl="0">
      <w:start w:val="1"/>
      <w:numFmt w:val="bullet"/>
      <w:lvlText w:val="o"/>
      <w:lvlJc w:val="left"/>
      <w:pPr>
        <w:ind w:left="652" w:hanging="369"/>
      </w:pPr>
      <w:rPr>
        <w:rFonts w:ascii="Courier New" w:hAnsi="Courier New" w:cs="Courier New" w:hint="default"/>
        <w:sz w:val="22"/>
      </w:rPr>
    </w:lvl>
    <w:lvl w:ilvl="1">
      <w:start w:val="1"/>
      <w:numFmt w:val="lowerLetter"/>
      <w:lvlText w:val="%2."/>
      <w:lvlJc w:val="left"/>
      <w:pPr>
        <w:ind w:left="1021" w:hanging="369"/>
      </w:pPr>
      <w:rPr>
        <w:rFonts w:hint="default"/>
      </w:rPr>
    </w:lvl>
    <w:lvl w:ilvl="2">
      <w:start w:val="1"/>
      <w:numFmt w:val="lowerRoman"/>
      <w:lvlText w:val="%3."/>
      <w:lvlJc w:val="left"/>
      <w:pPr>
        <w:ind w:left="1390" w:hanging="369"/>
      </w:pPr>
      <w:rPr>
        <w:rFonts w:hint="default"/>
      </w:rPr>
    </w:lvl>
    <w:lvl w:ilvl="3">
      <w:start w:val="1"/>
      <w:numFmt w:val="none"/>
      <w:lvlText w:val="%4"/>
      <w:lvlJc w:val="left"/>
      <w:pPr>
        <w:ind w:left="1759" w:hanging="369"/>
      </w:pPr>
      <w:rPr>
        <w:rFonts w:hint="default"/>
      </w:rPr>
    </w:lvl>
    <w:lvl w:ilvl="4">
      <w:start w:val="1"/>
      <w:numFmt w:val="none"/>
      <w:lvlText w:val=""/>
      <w:lvlJc w:val="left"/>
      <w:pPr>
        <w:ind w:left="2128" w:hanging="369"/>
      </w:pPr>
      <w:rPr>
        <w:rFonts w:hint="default"/>
      </w:rPr>
    </w:lvl>
    <w:lvl w:ilvl="5">
      <w:start w:val="1"/>
      <w:numFmt w:val="none"/>
      <w:lvlText w:val=""/>
      <w:lvlJc w:val="left"/>
      <w:pPr>
        <w:ind w:left="2497" w:hanging="369"/>
      </w:pPr>
      <w:rPr>
        <w:rFonts w:hint="default"/>
      </w:rPr>
    </w:lvl>
    <w:lvl w:ilvl="6">
      <w:start w:val="1"/>
      <w:numFmt w:val="none"/>
      <w:lvlText w:val=""/>
      <w:lvlJc w:val="left"/>
      <w:pPr>
        <w:ind w:left="2866" w:hanging="369"/>
      </w:pPr>
      <w:rPr>
        <w:rFonts w:hint="default"/>
      </w:rPr>
    </w:lvl>
    <w:lvl w:ilvl="7">
      <w:start w:val="1"/>
      <w:numFmt w:val="none"/>
      <w:lvlText w:val=""/>
      <w:lvlJc w:val="left"/>
      <w:pPr>
        <w:ind w:left="3235" w:hanging="369"/>
      </w:pPr>
      <w:rPr>
        <w:rFonts w:hint="default"/>
      </w:rPr>
    </w:lvl>
    <w:lvl w:ilvl="8">
      <w:start w:val="1"/>
      <w:numFmt w:val="none"/>
      <w:lvlText w:val=""/>
      <w:lvlJc w:val="left"/>
      <w:pPr>
        <w:ind w:left="3604" w:hanging="369"/>
      </w:pPr>
      <w:rPr>
        <w:rFonts w:hint="default"/>
      </w:rPr>
    </w:lvl>
  </w:abstractNum>
  <w:abstractNum w:abstractNumId="22" w15:restartNumberingAfterBreak="0">
    <w:nsid w:val="6003150F"/>
    <w:multiLevelType w:val="hybridMultilevel"/>
    <w:tmpl w:val="E9C4B6AC"/>
    <w:lvl w:ilvl="0" w:tplc="61A46906">
      <w:start w:val="1"/>
      <w:numFmt w:val="decimal"/>
      <w:lvlText w:val="%1)"/>
      <w:lvlJc w:val="left"/>
      <w:pPr>
        <w:ind w:left="1500" w:hanging="1140"/>
      </w:pPr>
      <w:rPr>
        <w:rFonts w:hint="default"/>
      </w:rPr>
    </w:lvl>
    <w:lvl w:ilvl="1" w:tplc="57F85090">
      <w:start w:val="1"/>
      <w:numFmt w:val="lowerLetter"/>
      <w:lvlText w:val="%2)"/>
      <w:lvlJc w:val="left"/>
      <w:pPr>
        <w:ind w:left="2220" w:hanging="114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5456429"/>
    <w:multiLevelType w:val="multilevel"/>
    <w:tmpl w:val="E898CC72"/>
    <w:numStyleLink w:val="KeyPoints"/>
  </w:abstractNum>
  <w:abstractNum w:abstractNumId="24" w15:restartNumberingAfterBreak="0">
    <w:nsid w:val="6B3D5593"/>
    <w:multiLevelType w:val="multilevel"/>
    <w:tmpl w:val="3CCCC3B6"/>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5" w15:restartNumberingAfterBreak="0">
    <w:nsid w:val="6D907A01"/>
    <w:multiLevelType w:val="hybridMultilevel"/>
    <w:tmpl w:val="5B4ABC1C"/>
    <w:lvl w:ilvl="0" w:tplc="98C67E64">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1566E"/>
    <w:multiLevelType w:val="multilevel"/>
    <w:tmpl w:val="CBB6B95A"/>
    <w:lvl w:ilvl="0">
      <w:start w:val="1"/>
      <w:numFmt w:val="decimal"/>
      <w:pStyle w:val="Heading1"/>
      <w:lvlText w:val="%1."/>
      <w:lvlJc w:val="left"/>
      <w:pPr>
        <w:ind w:left="357" w:hanging="357"/>
      </w:pPr>
      <w:rPr>
        <w:rFonts w:cs="Times New Roman" w:hint="default"/>
        <w:b/>
        <w:bCs w:val="0"/>
        <w:i w:val="0"/>
        <w:iCs w:val="0"/>
        <w:caps w:val="0"/>
        <w:smallCaps w:val="0"/>
        <w:strike w:val="0"/>
        <w:dstrike w:val="0"/>
        <w:noProof w:val="0"/>
        <w:vanish w:val="0"/>
        <w:color w:val="5F497A"/>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11"/>
      <w:lvlText w:val="%1.%2."/>
      <w:lvlJc w:val="left"/>
      <w:pPr>
        <w:ind w:left="357" w:hanging="357"/>
      </w:pPr>
      <w:rPr>
        <w:rFonts w:hint="default"/>
      </w:rPr>
    </w:lvl>
    <w:lvl w:ilvl="2">
      <w:start w:val="1"/>
      <w:numFmt w:val="decimal"/>
      <w:lvlText w:val="%1.%2.%3."/>
      <w:lvlJc w:val="left"/>
      <w:pPr>
        <w:ind w:left="1350" w:hanging="357"/>
      </w:pPr>
      <w:rPr>
        <w:rFonts w:ascii="Century Gothic" w:hAnsi="Century Gothic" w:hint="default"/>
        <w:sz w:val="24"/>
        <w:szCs w:val="24"/>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7" w15:restartNumberingAfterBreak="0">
    <w:nsid w:val="74B92D98"/>
    <w:multiLevelType w:val="hybridMultilevel"/>
    <w:tmpl w:val="C9403332"/>
    <w:lvl w:ilvl="0" w:tplc="32EC1378">
      <w:start w:val="1"/>
      <w:numFmt w:val="bullet"/>
      <w:lvlText w:val=""/>
      <w:lvlJc w:val="left"/>
      <w:pPr>
        <w:tabs>
          <w:tab w:val="num" w:pos="360"/>
        </w:tabs>
        <w:ind w:left="360" w:hanging="360"/>
      </w:pPr>
      <w:rPr>
        <w:rFonts w:ascii="Symbol" w:hAnsi="Symbol" w:hint="default"/>
      </w:rPr>
    </w:lvl>
    <w:lvl w:ilvl="1" w:tplc="5582D450">
      <w:start w:val="1"/>
      <w:numFmt w:val="bullet"/>
      <w:lvlText w:val="•"/>
      <w:lvlJc w:val="left"/>
      <w:pPr>
        <w:tabs>
          <w:tab w:val="num" w:pos="1080"/>
        </w:tabs>
        <w:ind w:left="1080" w:hanging="360"/>
      </w:pPr>
      <w:rPr>
        <w:rFonts w:ascii="Arial" w:hAnsi="Arial" w:hint="default"/>
      </w:rPr>
    </w:lvl>
    <w:lvl w:ilvl="2" w:tplc="78D2B034" w:tentative="1">
      <w:start w:val="1"/>
      <w:numFmt w:val="bullet"/>
      <w:lvlText w:val="•"/>
      <w:lvlJc w:val="left"/>
      <w:pPr>
        <w:tabs>
          <w:tab w:val="num" w:pos="1800"/>
        </w:tabs>
        <w:ind w:left="1800" w:hanging="360"/>
      </w:pPr>
      <w:rPr>
        <w:rFonts w:ascii="Arial" w:hAnsi="Arial" w:hint="default"/>
      </w:rPr>
    </w:lvl>
    <w:lvl w:ilvl="3" w:tplc="6B307ECC" w:tentative="1">
      <w:start w:val="1"/>
      <w:numFmt w:val="bullet"/>
      <w:lvlText w:val="•"/>
      <w:lvlJc w:val="left"/>
      <w:pPr>
        <w:tabs>
          <w:tab w:val="num" w:pos="2520"/>
        </w:tabs>
        <w:ind w:left="2520" w:hanging="360"/>
      </w:pPr>
      <w:rPr>
        <w:rFonts w:ascii="Arial" w:hAnsi="Arial" w:hint="default"/>
      </w:rPr>
    </w:lvl>
    <w:lvl w:ilvl="4" w:tplc="FBDE304A" w:tentative="1">
      <w:start w:val="1"/>
      <w:numFmt w:val="bullet"/>
      <w:lvlText w:val="•"/>
      <w:lvlJc w:val="left"/>
      <w:pPr>
        <w:tabs>
          <w:tab w:val="num" w:pos="3240"/>
        </w:tabs>
        <w:ind w:left="3240" w:hanging="360"/>
      </w:pPr>
      <w:rPr>
        <w:rFonts w:ascii="Arial" w:hAnsi="Arial" w:hint="default"/>
      </w:rPr>
    </w:lvl>
    <w:lvl w:ilvl="5" w:tplc="EE281564" w:tentative="1">
      <w:start w:val="1"/>
      <w:numFmt w:val="bullet"/>
      <w:lvlText w:val="•"/>
      <w:lvlJc w:val="left"/>
      <w:pPr>
        <w:tabs>
          <w:tab w:val="num" w:pos="3960"/>
        </w:tabs>
        <w:ind w:left="3960" w:hanging="360"/>
      </w:pPr>
      <w:rPr>
        <w:rFonts w:ascii="Arial" w:hAnsi="Arial" w:hint="default"/>
      </w:rPr>
    </w:lvl>
    <w:lvl w:ilvl="6" w:tplc="FD5E9A64" w:tentative="1">
      <w:start w:val="1"/>
      <w:numFmt w:val="bullet"/>
      <w:lvlText w:val="•"/>
      <w:lvlJc w:val="left"/>
      <w:pPr>
        <w:tabs>
          <w:tab w:val="num" w:pos="4680"/>
        </w:tabs>
        <w:ind w:left="4680" w:hanging="360"/>
      </w:pPr>
      <w:rPr>
        <w:rFonts w:ascii="Arial" w:hAnsi="Arial" w:hint="default"/>
      </w:rPr>
    </w:lvl>
    <w:lvl w:ilvl="7" w:tplc="59BAA85A" w:tentative="1">
      <w:start w:val="1"/>
      <w:numFmt w:val="bullet"/>
      <w:lvlText w:val="•"/>
      <w:lvlJc w:val="left"/>
      <w:pPr>
        <w:tabs>
          <w:tab w:val="num" w:pos="5400"/>
        </w:tabs>
        <w:ind w:left="5400" w:hanging="360"/>
      </w:pPr>
      <w:rPr>
        <w:rFonts w:ascii="Arial" w:hAnsi="Arial" w:hint="default"/>
      </w:rPr>
    </w:lvl>
    <w:lvl w:ilvl="8" w:tplc="2CBCA6A4"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0" w15:restartNumberingAfterBreak="0">
    <w:nsid w:val="787C774D"/>
    <w:multiLevelType w:val="hybridMultilevel"/>
    <w:tmpl w:val="298C41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E3C153C"/>
    <w:multiLevelType w:val="hybridMultilevel"/>
    <w:tmpl w:val="919460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3"/>
  </w:num>
  <w:num w:numId="3">
    <w:abstractNumId w:val="15"/>
  </w:num>
  <w:num w:numId="4">
    <w:abstractNumId w:val="14"/>
  </w:num>
  <w:num w:numId="5">
    <w:abstractNumId w:val="23"/>
  </w:num>
  <w:num w:numId="6">
    <w:abstractNumId w:val="11"/>
  </w:num>
  <w:num w:numId="7">
    <w:abstractNumId w:val="10"/>
  </w:num>
  <w:num w:numId="8">
    <w:abstractNumId w:val="9"/>
  </w:num>
  <w:num w:numId="9">
    <w:abstractNumId w:val="27"/>
  </w:num>
  <w:num w:numId="10">
    <w:abstractNumId w:val="24"/>
  </w:num>
  <w:num w:numId="11">
    <w:abstractNumId w:val="21"/>
  </w:num>
  <w:num w:numId="12">
    <w:abstractNumId w:val="19"/>
  </w:num>
  <w:num w:numId="13">
    <w:abstractNumId w:val="4"/>
  </w:num>
  <w:num w:numId="14">
    <w:abstractNumId w:val="18"/>
  </w:num>
  <w:num w:numId="15">
    <w:abstractNumId w:val="17"/>
  </w:num>
  <w:num w:numId="16">
    <w:abstractNumId w:val="28"/>
  </w:num>
  <w:num w:numId="17">
    <w:abstractNumId w:val="20"/>
  </w:num>
  <w:num w:numId="18">
    <w:abstractNumId w:val="7"/>
  </w:num>
  <w:num w:numId="19">
    <w:abstractNumId w:val="12"/>
  </w:num>
  <w:num w:numId="20">
    <w:abstractNumId w:val="26"/>
  </w:num>
  <w:num w:numId="21">
    <w:abstractNumId w:val="8"/>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7"/>
  </w:num>
  <w:num w:numId="30">
    <w:abstractNumId w:val="11"/>
  </w:num>
  <w:num w:numId="31">
    <w:abstractNumId w:val="2"/>
  </w:num>
  <w:num w:numId="32">
    <w:abstractNumId w:val="13"/>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11"/>
  </w:num>
  <w:num w:numId="36">
    <w:abstractNumId w:val="11"/>
  </w:num>
  <w:num w:numId="37">
    <w:abstractNumId w:val="11"/>
  </w:num>
  <w:num w:numId="38">
    <w:abstractNumId w:val="11"/>
  </w:num>
  <w:num w:numId="39">
    <w:abstractNumId w:val="0"/>
  </w:num>
  <w:num w:numId="40">
    <w:abstractNumId w:val="7"/>
  </w:num>
  <w:num w:numId="41">
    <w:abstractNumId w:val="7"/>
  </w:num>
  <w:num w:numId="42">
    <w:abstractNumId w:val="7"/>
  </w:num>
  <w:num w:numId="43">
    <w:abstractNumId w:val="7"/>
  </w:num>
  <w:num w:numId="44">
    <w:abstractNumId w:val="7"/>
  </w:num>
  <w:num w:numId="45">
    <w:abstractNumId w:val="26"/>
  </w:num>
  <w:num w:numId="46">
    <w:abstractNumId w:val="26"/>
  </w:num>
  <w:num w:numId="47">
    <w:abstractNumId w:val="7"/>
  </w:num>
  <w:num w:numId="48">
    <w:abstractNumId w:val="12"/>
  </w:num>
  <w:num w:numId="49">
    <w:abstractNumId w:val="12"/>
  </w:num>
  <w:num w:numId="50">
    <w:abstractNumId w:val="12"/>
  </w:num>
  <w:num w:numId="51">
    <w:abstractNumId w:val="7"/>
  </w:num>
  <w:num w:numId="52">
    <w:abstractNumId w:val="7"/>
  </w:num>
  <w:num w:numId="53">
    <w:abstractNumId w:val="7"/>
  </w:num>
  <w:num w:numId="54">
    <w:abstractNumId w:val="12"/>
  </w:num>
  <w:num w:numId="55">
    <w:abstractNumId w:val="7"/>
  </w:num>
  <w:num w:numId="56">
    <w:abstractNumId w:val="12"/>
  </w:num>
  <w:num w:numId="57">
    <w:abstractNumId w:val="7"/>
  </w:num>
  <w:num w:numId="58">
    <w:abstractNumId w:val="7"/>
  </w:num>
  <w:num w:numId="59">
    <w:abstractNumId w:val="11"/>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num>
  <w:num w:numId="63">
    <w:abstractNumId w:val="11"/>
  </w:num>
  <w:num w:numId="64">
    <w:abstractNumId w:val="6"/>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num>
  <w:num w:numId="69">
    <w:abstractNumId w:val="25"/>
  </w:num>
  <w:num w:numId="70">
    <w:abstractNumId w:val="26"/>
  </w:num>
  <w:num w:numId="71">
    <w:abstractNumId w:val="26"/>
  </w:num>
  <w:num w:numId="72">
    <w:abstractNumId w:val="11"/>
  </w:num>
  <w:num w:numId="73">
    <w:abstractNumId w:val="26"/>
  </w:num>
  <w:num w:numId="74">
    <w:abstractNumId w:val="26"/>
  </w:num>
  <w:num w:numId="75">
    <w:abstractNumId w:val="26"/>
  </w:num>
  <w:num w:numId="76">
    <w:abstractNumId w:val="26"/>
  </w:num>
  <w:num w:numId="77">
    <w:abstractNumId w:val="26"/>
  </w:num>
  <w:num w:numId="78">
    <w:abstractNumId w:val="26"/>
  </w:num>
  <w:num w:numId="79">
    <w:abstractNumId w:val="26"/>
  </w:num>
  <w:num w:numId="80">
    <w:abstractNumId w:val="26"/>
  </w:num>
  <w:num w:numId="81">
    <w:abstractNumId w:val="26"/>
  </w:num>
  <w:num w:numId="82">
    <w:abstractNumId w:val="11"/>
  </w:num>
  <w:num w:numId="83">
    <w:abstractNumId w:val="26"/>
  </w:num>
  <w:num w:numId="84">
    <w:abstractNumId w:val="26"/>
  </w:num>
  <w:num w:numId="85">
    <w:abstractNumId w:val="1"/>
  </w:num>
  <w:num w:numId="86">
    <w:abstractNumId w:val="26"/>
  </w:num>
  <w:num w:numId="87">
    <w:abstractNumId w:val="11"/>
  </w:num>
  <w:num w:numId="88">
    <w:abstractNumId w:val="11"/>
  </w:num>
  <w:num w:numId="89">
    <w:abstractNumId w:val="11"/>
  </w:num>
  <w:num w:numId="90">
    <w:abstractNumId w:val="26"/>
  </w:num>
  <w:num w:numId="91">
    <w:abstractNumId w:val="26"/>
  </w:num>
  <w:num w:numId="92">
    <w:abstractNumId w:val="26"/>
  </w:num>
  <w:num w:numId="93">
    <w:abstractNumId w:val="26"/>
  </w:num>
  <w:num w:numId="94">
    <w:abstractNumId w:val="26"/>
  </w:num>
  <w:num w:numId="95">
    <w:abstractNumId w:val="26"/>
  </w:num>
  <w:num w:numId="96">
    <w:abstractNumId w:val="26"/>
  </w:num>
  <w:num w:numId="97">
    <w:abstractNumId w:val="26"/>
  </w:num>
  <w:num w:numId="98">
    <w:abstractNumId w:val="26"/>
  </w:num>
  <w:num w:numId="99">
    <w:abstractNumId w:val="26"/>
  </w:num>
  <w:num w:numId="100">
    <w:abstractNumId w:val="26"/>
  </w:num>
  <w:num w:numId="101">
    <w:abstractNumId w:val="26"/>
  </w:num>
  <w:num w:numId="102">
    <w:abstractNumId w:val="26"/>
  </w:num>
  <w:num w:numId="103">
    <w:abstractNumId w:val="26"/>
  </w:num>
  <w:num w:numId="104">
    <w:abstractNumId w:val="26"/>
  </w:num>
  <w:num w:numId="105">
    <w:abstractNumId w:val="11"/>
  </w:num>
  <w:num w:numId="106">
    <w:abstractNumId w:val="26"/>
  </w:num>
  <w:num w:numId="107">
    <w:abstractNumId w:val="26"/>
  </w:num>
  <w:num w:numId="108">
    <w:abstractNumId w:val="32"/>
  </w:num>
  <w:num w:numId="109">
    <w:abstractNumId w:val="22"/>
  </w:num>
  <w:num w:numId="110">
    <w:abstractNumId w:val="14"/>
  </w:num>
  <w:num w:numId="111">
    <w:abstractNumId w:val="11"/>
  </w:num>
  <w:num w:numId="112">
    <w:abstractNumId w:val="11"/>
  </w:num>
  <w:num w:numId="113">
    <w:abstractNumId w:val="11"/>
  </w:num>
  <w:num w:numId="114">
    <w:abstractNumId w:val="26"/>
  </w:num>
  <w:num w:numId="115">
    <w:abstractNumId w:val="26"/>
  </w:num>
  <w:num w:numId="116">
    <w:abstractNumId w:val="26"/>
  </w:num>
  <w:num w:numId="117">
    <w:abstractNumId w:val="26"/>
  </w:num>
  <w:num w:numId="118">
    <w:abstractNumId w:val="26"/>
  </w:num>
  <w:num w:numId="119">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0"/>
  </w:num>
  <w:num w:numId="121">
    <w:abstractNumId w:val="26"/>
  </w:num>
  <w:num w:numId="1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284"/>
  <w:drawingGridHorizontalSpacing w:val="100"/>
  <w:displayHorizontalDrawingGridEvery w:val="2"/>
  <w:displayVertic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E84CFF"/>
    <w:rsid w:val="00001811"/>
    <w:rsid w:val="00001DE0"/>
    <w:rsid w:val="00002A57"/>
    <w:rsid w:val="00002A9A"/>
    <w:rsid w:val="0000324B"/>
    <w:rsid w:val="00004AEE"/>
    <w:rsid w:val="00005CAA"/>
    <w:rsid w:val="00007CD7"/>
    <w:rsid w:val="00010210"/>
    <w:rsid w:val="000116B3"/>
    <w:rsid w:val="00011CDE"/>
    <w:rsid w:val="00012D66"/>
    <w:rsid w:val="00013501"/>
    <w:rsid w:val="00014539"/>
    <w:rsid w:val="00015ADA"/>
    <w:rsid w:val="00016992"/>
    <w:rsid w:val="00020C99"/>
    <w:rsid w:val="000212F5"/>
    <w:rsid w:val="0002707B"/>
    <w:rsid w:val="00031652"/>
    <w:rsid w:val="0003384D"/>
    <w:rsid w:val="00033AD2"/>
    <w:rsid w:val="00034353"/>
    <w:rsid w:val="00042D65"/>
    <w:rsid w:val="00043D4B"/>
    <w:rsid w:val="000441B3"/>
    <w:rsid w:val="000448B7"/>
    <w:rsid w:val="00044BD8"/>
    <w:rsid w:val="00046F6F"/>
    <w:rsid w:val="0005088B"/>
    <w:rsid w:val="0005148E"/>
    <w:rsid w:val="00051D81"/>
    <w:rsid w:val="00051DAE"/>
    <w:rsid w:val="000553B3"/>
    <w:rsid w:val="000647A1"/>
    <w:rsid w:val="00064B86"/>
    <w:rsid w:val="00070356"/>
    <w:rsid w:val="000703B6"/>
    <w:rsid w:val="00070D2B"/>
    <w:rsid w:val="00072C5A"/>
    <w:rsid w:val="00073B45"/>
    <w:rsid w:val="000759E5"/>
    <w:rsid w:val="00081397"/>
    <w:rsid w:val="00082BA8"/>
    <w:rsid w:val="000848CD"/>
    <w:rsid w:val="00084AC6"/>
    <w:rsid w:val="0008741A"/>
    <w:rsid w:val="0009013A"/>
    <w:rsid w:val="000909D4"/>
    <w:rsid w:val="00091608"/>
    <w:rsid w:val="00091C8B"/>
    <w:rsid w:val="00092DA6"/>
    <w:rsid w:val="0009333C"/>
    <w:rsid w:val="00093E26"/>
    <w:rsid w:val="00096462"/>
    <w:rsid w:val="0009704F"/>
    <w:rsid w:val="00097480"/>
    <w:rsid w:val="000A0F11"/>
    <w:rsid w:val="000A125A"/>
    <w:rsid w:val="000A57CD"/>
    <w:rsid w:val="000B0953"/>
    <w:rsid w:val="000B25F8"/>
    <w:rsid w:val="000B3758"/>
    <w:rsid w:val="000B3C56"/>
    <w:rsid w:val="000B4639"/>
    <w:rsid w:val="000B67A5"/>
    <w:rsid w:val="000B72BF"/>
    <w:rsid w:val="000B7681"/>
    <w:rsid w:val="000B7B42"/>
    <w:rsid w:val="000B7BCE"/>
    <w:rsid w:val="000C02B7"/>
    <w:rsid w:val="000C0F9B"/>
    <w:rsid w:val="000C1F89"/>
    <w:rsid w:val="000C4962"/>
    <w:rsid w:val="000C5100"/>
    <w:rsid w:val="000C52B0"/>
    <w:rsid w:val="000C5342"/>
    <w:rsid w:val="000C53A2"/>
    <w:rsid w:val="000C706A"/>
    <w:rsid w:val="000D16AD"/>
    <w:rsid w:val="000D1B30"/>
    <w:rsid w:val="000D1F19"/>
    <w:rsid w:val="000D2887"/>
    <w:rsid w:val="000D6A37"/>
    <w:rsid w:val="000D6D63"/>
    <w:rsid w:val="000E0081"/>
    <w:rsid w:val="000E07CF"/>
    <w:rsid w:val="000E31C1"/>
    <w:rsid w:val="000E3C60"/>
    <w:rsid w:val="000E5012"/>
    <w:rsid w:val="000E5D39"/>
    <w:rsid w:val="000E6795"/>
    <w:rsid w:val="000E745B"/>
    <w:rsid w:val="000E7922"/>
    <w:rsid w:val="000F2CF2"/>
    <w:rsid w:val="000F326D"/>
    <w:rsid w:val="000F3937"/>
    <w:rsid w:val="000F69B7"/>
    <w:rsid w:val="00100900"/>
    <w:rsid w:val="00100BEF"/>
    <w:rsid w:val="0010374D"/>
    <w:rsid w:val="00111326"/>
    <w:rsid w:val="00114173"/>
    <w:rsid w:val="0011498E"/>
    <w:rsid w:val="001167F3"/>
    <w:rsid w:val="00117844"/>
    <w:rsid w:val="00117A45"/>
    <w:rsid w:val="00120AC6"/>
    <w:rsid w:val="00121888"/>
    <w:rsid w:val="001224AE"/>
    <w:rsid w:val="00122785"/>
    <w:rsid w:val="0012467B"/>
    <w:rsid w:val="001272BF"/>
    <w:rsid w:val="0012766D"/>
    <w:rsid w:val="00127AEC"/>
    <w:rsid w:val="00127B84"/>
    <w:rsid w:val="00127F79"/>
    <w:rsid w:val="00131F36"/>
    <w:rsid w:val="001337D4"/>
    <w:rsid w:val="0013386D"/>
    <w:rsid w:val="00133D95"/>
    <w:rsid w:val="0013717F"/>
    <w:rsid w:val="0013797B"/>
    <w:rsid w:val="001409E5"/>
    <w:rsid w:val="00140C8A"/>
    <w:rsid w:val="0014495A"/>
    <w:rsid w:val="0014600F"/>
    <w:rsid w:val="00147BF3"/>
    <w:rsid w:val="00147C12"/>
    <w:rsid w:val="00150118"/>
    <w:rsid w:val="00152493"/>
    <w:rsid w:val="001527A1"/>
    <w:rsid w:val="001530DC"/>
    <w:rsid w:val="00154989"/>
    <w:rsid w:val="00154EFD"/>
    <w:rsid w:val="00155A9F"/>
    <w:rsid w:val="00160262"/>
    <w:rsid w:val="0016046B"/>
    <w:rsid w:val="00163C97"/>
    <w:rsid w:val="0016780A"/>
    <w:rsid w:val="00170334"/>
    <w:rsid w:val="001713FA"/>
    <w:rsid w:val="00173EBF"/>
    <w:rsid w:val="00175ED3"/>
    <w:rsid w:val="001765FA"/>
    <w:rsid w:val="00176705"/>
    <w:rsid w:val="00180697"/>
    <w:rsid w:val="00181191"/>
    <w:rsid w:val="00183C6C"/>
    <w:rsid w:val="001842A2"/>
    <w:rsid w:val="00184473"/>
    <w:rsid w:val="00185C54"/>
    <w:rsid w:val="00187511"/>
    <w:rsid w:val="00187FA8"/>
    <w:rsid w:val="001902DE"/>
    <w:rsid w:val="00192F5E"/>
    <w:rsid w:val="00195698"/>
    <w:rsid w:val="001956AE"/>
    <w:rsid w:val="00197772"/>
    <w:rsid w:val="001A4B14"/>
    <w:rsid w:val="001A513F"/>
    <w:rsid w:val="001A51C8"/>
    <w:rsid w:val="001A5D3B"/>
    <w:rsid w:val="001A6FA9"/>
    <w:rsid w:val="001B0489"/>
    <w:rsid w:val="001B134F"/>
    <w:rsid w:val="001B406B"/>
    <w:rsid w:val="001B4CA8"/>
    <w:rsid w:val="001B51D0"/>
    <w:rsid w:val="001B5EA1"/>
    <w:rsid w:val="001B60BF"/>
    <w:rsid w:val="001B6F0D"/>
    <w:rsid w:val="001B717B"/>
    <w:rsid w:val="001C0AE8"/>
    <w:rsid w:val="001C4F3D"/>
    <w:rsid w:val="001C7258"/>
    <w:rsid w:val="001D04AC"/>
    <w:rsid w:val="001D0CDC"/>
    <w:rsid w:val="001D1330"/>
    <w:rsid w:val="001D1D82"/>
    <w:rsid w:val="001D2666"/>
    <w:rsid w:val="001D2E17"/>
    <w:rsid w:val="001D5634"/>
    <w:rsid w:val="001D6223"/>
    <w:rsid w:val="001E0001"/>
    <w:rsid w:val="001E1182"/>
    <w:rsid w:val="001E21C0"/>
    <w:rsid w:val="001E3B33"/>
    <w:rsid w:val="001F1BE6"/>
    <w:rsid w:val="001F355B"/>
    <w:rsid w:val="001F7ACC"/>
    <w:rsid w:val="002005D7"/>
    <w:rsid w:val="002015E7"/>
    <w:rsid w:val="00201611"/>
    <w:rsid w:val="002019FB"/>
    <w:rsid w:val="00202C90"/>
    <w:rsid w:val="00205DB0"/>
    <w:rsid w:val="00206858"/>
    <w:rsid w:val="00207971"/>
    <w:rsid w:val="0021001E"/>
    <w:rsid w:val="0021084B"/>
    <w:rsid w:val="00211F67"/>
    <w:rsid w:val="00212C8B"/>
    <w:rsid w:val="00213DE8"/>
    <w:rsid w:val="00216118"/>
    <w:rsid w:val="002163F2"/>
    <w:rsid w:val="00216C9F"/>
    <w:rsid w:val="002209AB"/>
    <w:rsid w:val="0022362D"/>
    <w:rsid w:val="002251E3"/>
    <w:rsid w:val="00226177"/>
    <w:rsid w:val="00227A95"/>
    <w:rsid w:val="002316BD"/>
    <w:rsid w:val="002336D5"/>
    <w:rsid w:val="00234AD4"/>
    <w:rsid w:val="00235285"/>
    <w:rsid w:val="00236798"/>
    <w:rsid w:val="00236D7A"/>
    <w:rsid w:val="002377E0"/>
    <w:rsid w:val="00242E19"/>
    <w:rsid w:val="00244062"/>
    <w:rsid w:val="00246399"/>
    <w:rsid w:val="00246B39"/>
    <w:rsid w:val="002473FC"/>
    <w:rsid w:val="00247AFE"/>
    <w:rsid w:val="0025024D"/>
    <w:rsid w:val="00252E3C"/>
    <w:rsid w:val="00252EF4"/>
    <w:rsid w:val="002542CC"/>
    <w:rsid w:val="00255822"/>
    <w:rsid w:val="00262198"/>
    <w:rsid w:val="00262AAF"/>
    <w:rsid w:val="00270D45"/>
    <w:rsid w:val="00273B89"/>
    <w:rsid w:val="00281DEF"/>
    <w:rsid w:val="0028478D"/>
    <w:rsid w:val="00285F1B"/>
    <w:rsid w:val="00292462"/>
    <w:rsid w:val="00292B81"/>
    <w:rsid w:val="0029504A"/>
    <w:rsid w:val="002A4DDD"/>
    <w:rsid w:val="002A65CE"/>
    <w:rsid w:val="002B0247"/>
    <w:rsid w:val="002B18AE"/>
    <w:rsid w:val="002B3E00"/>
    <w:rsid w:val="002B6A9C"/>
    <w:rsid w:val="002B776E"/>
    <w:rsid w:val="002C04FC"/>
    <w:rsid w:val="002C1C93"/>
    <w:rsid w:val="002C1CF5"/>
    <w:rsid w:val="002C274D"/>
    <w:rsid w:val="002C3038"/>
    <w:rsid w:val="002C5066"/>
    <w:rsid w:val="002C5813"/>
    <w:rsid w:val="002C7230"/>
    <w:rsid w:val="002D0E3E"/>
    <w:rsid w:val="002D2B6D"/>
    <w:rsid w:val="002D44C4"/>
    <w:rsid w:val="002D4AAC"/>
    <w:rsid w:val="002D5B31"/>
    <w:rsid w:val="002D7BD0"/>
    <w:rsid w:val="002E0B60"/>
    <w:rsid w:val="002E18DF"/>
    <w:rsid w:val="002E3CDD"/>
    <w:rsid w:val="002E745C"/>
    <w:rsid w:val="002F045A"/>
    <w:rsid w:val="002F05F9"/>
    <w:rsid w:val="002F4EA6"/>
    <w:rsid w:val="002F53F4"/>
    <w:rsid w:val="002F5C66"/>
    <w:rsid w:val="002F5DE3"/>
    <w:rsid w:val="002F78F1"/>
    <w:rsid w:val="002F7FCE"/>
    <w:rsid w:val="0030039D"/>
    <w:rsid w:val="003005AA"/>
    <w:rsid w:val="00300FC3"/>
    <w:rsid w:val="00301EE6"/>
    <w:rsid w:val="0030326F"/>
    <w:rsid w:val="00306E0D"/>
    <w:rsid w:val="00310701"/>
    <w:rsid w:val="00315980"/>
    <w:rsid w:val="00315C25"/>
    <w:rsid w:val="00316171"/>
    <w:rsid w:val="00316F7F"/>
    <w:rsid w:val="003218E8"/>
    <w:rsid w:val="00322499"/>
    <w:rsid w:val="00323005"/>
    <w:rsid w:val="00325E34"/>
    <w:rsid w:val="00326B4E"/>
    <w:rsid w:val="00326C56"/>
    <w:rsid w:val="00326CE1"/>
    <w:rsid w:val="00330DCE"/>
    <w:rsid w:val="0033130A"/>
    <w:rsid w:val="00331E11"/>
    <w:rsid w:val="00334761"/>
    <w:rsid w:val="0033533E"/>
    <w:rsid w:val="00337EBC"/>
    <w:rsid w:val="00341917"/>
    <w:rsid w:val="00341DCD"/>
    <w:rsid w:val="00341E44"/>
    <w:rsid w:val="00343912"/>
    <w:rsid w:val="0034563E"/>
    <w:rsid w:val="0034714B"/>
    <w:rsid w:val="003518D6"/>
    <w:rsid w:val="003519E7"/>
    <w:rsid w:val="0035460C"/>
    <w:rsid w:val="003556BD"/>
    <w:rsid w:val="003563F2"/>
    <w:rsid w:val="00360FCB"/>
    <w:rsid w:val="00361C8E"/>
    <w:rsid w:val="00363BD9"/>
    <w:rsid w:val="00363F51"/>
    <w:rsid w:val="00364186"/>
    <w:rsid w:val="00364767"/>
    <w:rsid w:val="00364D54"/>
    <w:rsid w:val="00364E67"/>
    <w:rsid w:val="00365147"/>
    <w:rsid w:val="00366E0B"/>
    <w:rsid w:val="0037016E"/>
    <w:rsid w:val="00370E38"/>
    <w:rsid w:val="003710C7"/>
    <w:rsid w:val="003720A9"/>
    <w:rsid w:val="00372908"/>
    <w:rsid w:val="003737A2"/>
    <w:rsid w:val="003743BC"/>
    <w:rsid w:val="00374DB6"/>
    <w:rsid w:val="00383020"/>
    <w:rsid w:val="00384203"/>
    <w:rsid w:val="00384BE1"/>
    <w:rsid w:val="00384CA7"/>
    <w:rsid w:val="00385716"/>
    <w:rsid w:val="0038659E"/>
    <w:rsid w:val="0039170E"/>
    <w:rsid w:val="00392B56"/>
    <w:rsid w:val="00392BB7"/>
    <w:rsid w:val="00394D7E"/>
    <w:rsid w:val="003969EB"/>
    <w:rsid w:val="00397306"/>
    <w:rsid w:val="003975FD"/>
    <w:rsid w:val="003A1D92"/>
    <w:rsid w:val="003A1F4F"/>
    <w:rsid w:val="003A7515"/>
    <w:rsid w:val="003B057D"/>
    <w:rsid w:val="003B0DE8"/>
    <w:rsid w:val="003B1AD9"/>
    <w:rsid w:val="003B261C"/>
    <w:rsid w:val="003B3643"/>
    <w:rsid w:val="003B60CC"/>
    <w:rsid w:val="003B79D2"/>
    <w:rsid w:val="003C1B25"/>
    <w:rsid w:val="003C1ED6"/>
    <w:rsid w:val="003C2443"/>
    <w:rsid w:val="003C30F8"/>
    <w:rsid w:val="003C5168"/>
    <w:rsid w:val="003C5DA3"/>
    <w:rsid w:val="003C7B4D"/>
    <w:rsid w:val="003D0A27"/>
    <w:rsid w:val="003D16BD"/>
    <w:rsid w:val="003D2B9A"/>
    <w:rsid w:val="003D4BCD"/>
    <w:rsid w:val="003D65BD"/>
    <w:rsid w:val="003D685E"/>
    <w:rsid w:val="003D6C2B"/>
    <w:rsid w:val="003E01D8"/>
    <w:rsid w:val="003E1D82"/>
    <w:rsid w:val="003E2100"/>
    <w:rsid w:val="003E3BB9"/>
    <w:rsid w:val="003E3DFB"/>
    <w:rsid w:val="003E7D03"/>
    <w:rsid w:val="003F1B9B"/>
    <w:rsid w:val="003F1C8E"/>
    <w:rsid w:val="003F2E8F"/>
    <w:rsid w:val="003F5FCA"/>
    <w:rsid w:val="003F6037"/>
    <w:rsid w:val="003F6F5B"/>
    <w:rsid w:val="003F773B"/>
    <w:rsid w:val="00402507"/>
    <w:rsid w:val="0040342D"/>
    <w:rsid w:val="004068CA"/>
    <w:rsid w:val="0040711E"/>
    <w:rsid w:val="00410479"/>
    <w:rsid w:val="0041192D"/>
    <w:rsid w:val="00413EE1"/>
    <w:rsid w:val="0041493B"/>
    <w:rsid w:val="0042128E"/>
    <w:rsid w:val="00427644"/>
    <w:rsid w:val="00430114"/>
    <w:rsid w:val="00432B60"/>
    <w:rsid w:val="00432D99"/>
    <w:rsid w:val="0043324B"/>
    <w:rsid w:val="004338C8"/>
    <w:rsid w:val="00434DA1"/>
    <w:rsid w:val="00435157"/>
    <w:rsid w:val="00440698"/>
    <w:rsid w:val="00441CB0"/>
    <w:rsid w:val="0044365D"/>
    <w:rsid w:val="00443B9D"/>
    <w:rsid w:val="00443E23"/>
    <w:rsid w:val="00445C9E"/>
    <w:rsid w:val="0044680F"/>
    <w:rsid w:val="00450FF5"/>
    <w:rsid w:val="0045371E"/>
    <w:rsid w:val="004540E2"/>
    <w:rsid w:val="004543FB"/>
    <w:rsid w:val="00454454"/>
    <w:rsid w:val="00454495"/>
    <w:rsid w:val="00454AC8"/>
    <w:rsid w:val="00454C65"/>
    <w:rsid w:val="00460605"/>
    <w:rsid w:val="004624C6"/>
    <w:rsid w:val="00465ABE"/>
    <w:rsid w:val="004661C2"/>
    <w:rsid w:val="00467924"/>
    <w:rsid w:val="004712A5"/>
    <w:rsid w:val="004722FD"/>
    <w:rsid w:val="0047266F"/>
    <w:rsid w:val="0047599E"/>
    <w:rsid w:val="00476D6B"/>
    <w:rsid w:val="0047793A"/>
    <w:rsid w:val="00477FC3"/>
    <w:rsid w:val="004820BA"/>
    <w:rsid w:val="00482379"/>
    <w:rsid w:val="004835D0"/>
    <w:rsid w:val="00483A69"/>
    <w:rsid w:val="00483E3C"/>
    <w:rsid w:val="00487E31"/>
    <w:rsid w:val="00487F96"/>
    <w:rsid w:val="004906C1"/>
    <w:rsid w:val="00490C73"/>
    <w:rsid w:val="00492C16"/>
    <w:rsid w:val="00493004"/>
    <w:rsid w:val="004931D9"/>
    <w:rsid w:val="00495422"/>
    <w:rsid w:val="00495648"/>
    <w:rsid w:val="004956A0"/>
    <w:rsid w:val="00495D3C"/>
    <w:rsid w:val="004A0678"/>
    <w:rsid w:val="004A0A0D"/>
    <w:rsid w:val="004A123E"/>
    <w:rsid w:val="004A145F"/>
    <w:rsid w:val="004A1BF3"/>
    <w:rsid w:val="004A33B9"/>
    <w:rsid w:val="004A48A3"/>
    <w:rsid w:val="004B0D92"/>
    <w:rsid w:val="004B0EC0"/>
    <w:rsid w:val="004B2910"/>
    <w:rsid w:val="004B4370"/>
    <w:rsid w:val="004B59FE"/>
    <w:rsid w:val="004B5F50"/>
    <w:rsid w:val="004B608C"/>
    <w:rsid w:val="004B61FF"/>
    <w:rsid w:val="004B66F1"/>
    <w:rsid w:val="004C3EA0"/>
    <w:rsid w:val="004C3F5C"/>
    <w:rsid w:val="004C4314"/>
    <w:rsid w:val="004C7B8D"/>
    <w:rsid w:val="004D0ED7"/>
    <w:rsid w:val="004D48E6"/>
    <w:rsid w:val="004D63BA"/>
    <w:rsid w:val="004E14E2"/>
    <w:rsid w:val="004E1A02"/>
    <w:rsid w:val="004E591C"/>
    <w:rsid w:val="004F3C62"/>
    <w:rsid w:val="004F7169"/>
    <w:rsid w:val="00500D66"/>
    <w:rsid w:val="00500F8C"/>
    <w:rsid w:val="00501FED"/>
    <w:rsid w:val="00505D4A"/>
    <w:rsid w:val="00507E58"/>
    <w:rsid w:val="0051045D"/>
    <w:rsid w:val="005134E0"/>
    <w:rsid w:val="00513FC2"/>
    <w:rsid w:val="00514C8E"/>
    <w:rsid w:val="00515447"/>
    <w:rsid w:val="00515653"/>
    <w:rsid w:val="00515E2F"/>
    <w:rsid w:val="00525899"/>
    <w:rsid w:val="005307CF"/>
    <w:rsid w:val="00530D84"/>
    <w:rsid w:val="00531B53"/>
    <w:rsid w:val="00531DBF"/>
    <w:rsid w:val="00532182"/>
    <w:rsid w:val="0053762F"/>
    <w:rsid w:val="00537D87"/>
    <w:rsid w:val="00540914"/>
    <w:rsid w:val="00543F7D"/>
    <w:rsid w:val="00545759"/>
    <w:rsid w:val="005459C8"/>
    <w:rsid w:val="00545BE0"/>
    <w:rsid w:val="00546930"/>
    <w:rsid w:val="00547AD8"/>
    <w:rsid w:val="00550BD9"/>
    <w:rsid w:val="005539CE"/>
    <w:rsid w:val="00553B2D"/>
    <w:rsid w:val="00554C6A"/>
    <w:rsid w:val="00555378"/>
    <w:rsid w:val="00556C4F"/>
    <w:rsid w:val="005578FC"/>
    <w:rsid w:val="00560528"/>
    <w:rsid w:val="00560998"/>
    <w:rsid w:val="00560A3C"/>
    <w:rsid w:val="00561C3B"/>
    <w:rsid w:val="00562E85"/>
    <w:rsid w:val="0056332F"/>
    <w:rsid w:val="00564485"/>
    <w:rsid w:val="00566506"/>
    <w:rsid w:val="00567E98"/>
    <w:rsid w:val="005719B3"/>
    <w:rsid w:val="005721BB"/>
    <w:rsid w:val="0057257A"/>
    <w:rsid w:val="0057295E"/>
    <w:rsid w:val="00574C03"/>
    <w:rsid w:val="00574F85"/>
    <w:rsid w:val="00576FD5"/>
    <w:rsid w:val="005807A3"/>
    <w:rsid w:val="00581C39"/>
    <w:rsid w:val="00581F38"/>
    <w:rsid w:val="00583570"/>
    <w:rsid w:val="005837F4"/>
    <w:rsid w:val="00583F30"/>
    <w:rsid w:val="00585F5A"/>
    <w:rsid w:val="005903B6"/>
    <w:rsid w:val="00590D83"/>
    <w:rsid w:val="00590E52"/>
    <w:rsid w:val="00594D7C"/>
    <w:rsid w:val="005A0247"/>
    <w:rsid w:val="005A126E"/>
    <w:rsid w:val="005A1FC5"/>
    <w:rsid w:val="005A2251"/>
    <w:rsid w:val="005A415C"/>
    <w:rsid w:val="005A452F"/>
    <w:rsid w:val="005A47E1"/>
    <w:rsid w:val="005A53D7"/>
    <w:rsid w:val="005A6FF7"/>
    <w:rsid w:val="005B140D"/>
    <w:rsid w:val="005B42CB"/>
    <w:rsid w:val="005B4A47"/>
    <w:rsid w:val="005B5EE3"/>
    <w:rsid w:val="005B61FA"/>
    <w:rsid w:val="005B68C7"/>
    <w:rsid w:val="005C1FEA"/>
    <w:rsid w:val="005C2F4C"/>
    <w:rsid w:val="005C3495"/>
    <w:rsid w:val="005C7253"/>
    <w:rsid w:val="005D0F1A"/>
    <w:rsid w:val="005D329F"/>
    <w:rsid w:val="005D416E"/>
    <w:rsid w:val="005D6D88"/>
    <w:rsid w:val="005D7AAE"/>
    <w:rsid w:val="005E25BA"/>
    <w:rsid w:val="005E27D8"/>
    <w:rsid w:val="005E2948"/>
    <w:rsid w:val="005E321D"/>
    <w:rsid w:val="005E3DFC"/>
    <w:rsid w:val="005E4A17"/>
    <w:rsid w:val="005E5942"/>
    <w:rsid w:val="005E5AA0"/>
    <w:rsid w:val="005E60AF"/>
    <w:rsid w:val="005E7E73"/>
    <w:rsid w:val="005F031B"/>
    <w:rsid w:val="005F1DEA"/>
    <w:rsid w:val="005F3554"/>
    <w:rsid w:val="005F466D"/>
    <w:rsid w:val="005F6C5F"/>
    <w:rsid w:val="005F756E"/>
    <w:rsid w:val="00600AB7"/>
    <w:rsid w:val="00601DC7"/>
    <w:rsid w:val="00602667"/>
    <w:rsid w:val="006026F2"/>
    <w:rsid w:val="0060424C"/>
    <w:rsid w:val="00604482"/>
    <w:rsid w:val="00604F6D"/>
    <w:rsid w:val="00607A70"/>
    <w:rsid w:val="00607FC9"/>
    <w:rsid w:val="00611EFF"/>
    <w:rsid w:val="0062198A"/>
    <w:rsid w:val="00621E3A"/>
    <w:rsid w:val="00622FE1"/>
    <w:rsid w:val="00623152"/>
    <w:rsid w:val="00623ACD"/>
    <w:rsid w:val="00623DEC"/>
    <w:rsid w:val="0062521C"/>
    <w:rsid w:val="0062564E"/>
    <w:rsid w:val="00626349"/>
    <w:rsid w:val="0062683F"/>
    <w:rsid w:val="00627505"/>
    <w:rsid w:val="00630684"/>
    <w:rsid w:val="00630A2B"/>
    <w:rsid w:val="00630CB8"/>
    <w:rsid w:val="00632DC7"/>
    <w:rsid w:val="00634852"/>
    <w:rsid w:val="00634A38"/>
    <w:rsid w:val="00635311"/>
    <w:rsid w:val="006357FB"/>
    <w:rsid w:val="00636F43"/>
    <w:rsid w:val="00637039"/>
    <w:rsid w:val="006406FC"/>
    <w:rsid w:val="006409D5"/>
    <w:rsid w:val="00640E57"/>
    <w:rsid w:val="00641278"/>
    <w:rsid w:val="006417CF"/>
    <w:rsid w:val="00642205"/>
    <w:rsid w:val="00646122"/>
    <w:rsid w:val="00647C53"/>
    <w:rsid w:val="00647D10"/>
    <w:rsid w:val="00651422"/>
    <w:rsid w:val="00653339"/>
    <w:rsid w:val="00653E16"/>
    <w:rsid w:val="00655DED"/>
    <w:rsid w:val="00657220"/>
    <w:rsid w:val="00657362"/>
    <w:rsid w:val="006574C4"/>
    <w:rsid w:val="0066104B"/>
    <w:rsid w:val="0066209B"/>
    <w:rsid w:val="00662B21"/>
    <w:rsid w:val="006655EE"/>
    <w:rsid w:val="00667C10"/>
    <w:rsid w:val="00667EF4"/>
    <w:rsid w:val="00673B96"/>
    <w:rsid w:val="00675265"/>
    <w:rsid w:val="00676FCA"/>
    <w:rsid w:val="00677177"/>
    <w:rsid w:val="00680385"/>
    <w:rsid w:val="0068093B"/>
    <w:rsid w:val="00683CE4"/>
    <w:rsid w:val="0068612E"/>
    <w:rsid w:val="00687C92"/>
    <w:rsid w:val="00691131"/>
    <w:rsid w:val="00693AE8"/>
    <w:rsid w:val="006941ED"/>
    <w:rsid w:val="0069534E"/>
    <w:rsid w:val="0069669C"/>
    <w:rsid w:val="00697322"/>
    <w:rsid w:val="006A1200"/>
    <w:rsid w:val="006A4130"/>
    <w:rsid w:val="006A4F4E"/>
    <w:rsid w:val="006A5874"/>
    <w:rsid w:val="006A6C23"/>
    <w:rsid w:val="006B14DB"/>
    <w:rsid w:val="006B21C4"/>
    <w:rsid w:val="006B58B8"/>
    <w:rsid w:val="006B6289"/>
    <w:rsid w:val="006B79FD"/>
    <w:rsid w:val="006C0439"/>
    <w:rsid w:val="006C2670"/>
    <w:rsid w:val="006C4A1A"/>
    <w:rsid w:val="006C6F0A"/>
    <w:rsid w:val="006D0393"/>
    <w:rsid w:val="006D060D"/>
    <w:rsid w:val="006D1A83"/>
    <w:rsid w:val="006D4F1B"/>
    <w:rsid w:val="006D4FBC"/>
    <w:rsid w:val="006D6670"/>
    <w:rsid w:val="006D7E55"/>
    <w:rsid w:val="006E1B24"/>
    <w:rsid w:val="006E1CFE"/>
    <w:rsid w:val="006E43DA"/>
    <w:rsid w:val="006E7DEE"/>
    <w:rsid w:val="006F02A4"/>
    <w:rsid w:val="006F03B8"/>
    <w:rsid w:val="006F0829"/>
    <w:rsid w:val="006F10C4"/>
    <w:rsid w:val="006F1432"/>
    <w:rsid w:val="006F3197"/>
    <w:rsid w:val="006F40E9"/>
    <w:rsid w:val="006F5603"/>
    <w:rsid w:val="006F5972"/>
    <w:rsid w:val="006F7B87"/>
    <w:rsid w:val="00701400"/>
    <w:rsid w:val="007019F4"/>
    <w:rsid w:val="0070351B"/>
    <w:rsid w:val="007037CF"/>
    <w:rsid w:val="00704F5E"/>
    <w:rsid w:val="007167C0"/>
    <w:rsid w:val="00720481"/>
    <w:rsid w:val="00721105"/>
    <w:rsid w:val="00721ECC"/>
    <w:rsid w:val="00726CCB"/>
    <w:rsid w:val="00733193"/>
    <w:rsid w:val="0073461A"/>
    <w:rsid w:val="00737E24"/>
    <w:rsid w:val="007412B1"/>
    <w:rsid w:val="00742386"/>
    <w:rsid w:val="00744DDA"/>
    <w:rsid w:val="00745A15"/>
    <w:rsid w:val="00745E03"/>
    <w:rsid w:val="00746309"/>
    <w:rsid w:val="0074645A"/>
    <w:rsid w:val="007472DC"/>
    <w:rsid w:val="007503FA"/>
    <w:rsid w:val="00751473"/>
    <w:rsid w:val="007525F2"/>
    <w:rsid w:val="00755723"/>
    <w:rsid w:val="0075732A"/>
    <w:rsid w:val="00757AD9"/>
    <w:rsid w:val="00757AF0"/>
    <w:rsid w:val="007600F8"/>
    <w:rsid w:val="00760124"/>
    <w:rsid w:val="00760262"/>
    <w:rsid w:val="0076310C"/>
    <w:rsid w:val="00766220"/>
    <w:rsid w:val="0076744F"/>
    <w:rsid w:val="007678B3"/>
    <w:rsid w:val="00767BCE"/>
    <w:rsid w:val="00767EFC"/>
    <w:rsid w:val="007707DE"/>
    <w:rsid w:val="00770B5D"/>
    <w:rsid w:val="00771FDF"/>
    <w:rsid w:val="00773D47"/>
    <w:rsid w:val="00774686"/>
    <w:rsid w:val="007752F1"/>
    <w:rsid w:val="00775B3B"/>
    <w:rsid w:val="00775FBB"/>
    <w:rsid w:val="00776768"/>
    <w:rsid w:val="00776F17"/>
    <w:rsid w:val="007770D5"/>
    <w:rsid w:val="0077794E"/>
    <w:rsid w:val="0078187A"/>
    <w:rsid w:val="00781CCA"/>
    <w:rsid w:val="00784832"/>
    <w:rsid w:val="00787113"/>
    <w:rsid w:val="007906F4"/>
    <w:rsid w:val="0079257F"/>
    <w:rsid w:val="00794ED8"/>
    <w:rsid w:val="00795FF9"/>
    <w:rsid w:val="007A0C63"/>
    <w:rsid w:val="007A1E75"/>
    <w:rsid w:val="007A2573"/>
    <w:rsid w:val="007A36F9"/>
    <w:rsid w:val="007A426F"/>
    <w:rsid w:val="007A7A94"/>
    <w:rsid w:val="007B106C"/>
    <w:rsid w:val="007B1A4E"/>
    <w:rsid w:val="007B262C"/>
    <w:rsid w:val="007B3BE5"/>
    <w:rsid w:val="007B3D05"/>
    <w:rsid w:val="007B450F"/>
    <w:rsid w:val="007B5503"/>
    <w:rsid w:val="007B7017"/>
    <w:rsid w:val="007C179C"/>
    <w:rsid w:val="007C4583"/>
    <w:rsid w:val="007C6BB3"/>
    <w:rsid w:val="007D14B4"/>
    <w:rsid w:val="007D20D4"/>
    <w:rsid w:val="007D3AD7"/>
    <w:rsid w:val="007D4961"/>
    <w:rsid w:val="007D55A4"/>
    <w:rsid w:val="007D6696"/>
    <w:rsid w:val="007D76E4"/>
    <w:rsid w:val="007E0563"/>
    <w:rsid w:val="007E1547"/>
    <w:rsid w:val="007E24F6"/>
    <w:rsid w:val="007E3416"/>
    <w:rsid w:val="007E7578"/>
    <w:rsid w:val="007F045A"/>
    <w:rsid w:val="007F5F74"/>
    <w:rsid w:val="007F715D"/>
    <w:rsid w:val="008000B2"/>
    <w:rsid w:val="008005B9"/>
    <w:rsid w:val="00800E58"/>
    <w:rsid w:val="00800F64"/>
    <w:rsid w:val="00801050"/>
    <w:rsid w:val="0080132D"/>
    <w:rsid w:val="008017AC"/>
    <w:rsid w:val="00802F0B"/>
    <w:rsid w:val="0080394F"/>
    <w:rsid w:val="00805FEE"/>
    <w:rsid w:val="008069DC"/>
    <w:rsid w:val="00810345"/>
    <w:rsid w:val="00810A67"/>
    <w:rsid w:val="00812931"/>
    <w:rsid w:val="00814D71"/>
    <w:rsid w:val="00815820"/>
    <w:rsid w:val="008172B8"/>
    <w:rsid w:val="00821241"/>
    <w:rsid w:val="0083156F"/>
    <w:rsid w:val="00832E07"/>
    <w:rsid w:val="00833CF7"/>
    <w:rsid w:val="00834CDE"/>
    <w:rsid w:val="00835883"/>
    <w:rsid w:val="008366A9"/>
    <w:rsid w:val="00842464"/>
    <w:rsid w:val="0084332C"/>
    <w:rsid w:val="008450E5"/>
    <w:rsid w:val="00845601"/>
    <w:rsid w:val="008471EB"/>
    <w:rsid w:val="008519E6"/>
    <w:rsid w:val="00855C5C"/>
    <w:rsid w:val="00856D61"/>
    <w:rsid w:val="00857534"/>
    <w:rsid w:val="008600C5"/>
    <w:rsid w:val="00860886"/>
    <w:rsid w:val="008625CC"/>
    <w:rsid w:val="00866046"/>
    <w:rsid w:val="00866107"/>
    <w:rsid w:val="008703D1"/>
    <w:rsid w:val="00871FBD"/>
    <w:rsid w:val="0087279F"/>
    <w:rsid w:val="00875147"/>
    <w:rsid w:val="008757BD"/>
    <w:rsid w:val="00877902"/>
    <w:rsid w:val="00877A37"/>
    <w:rsid w:val="008810B4"/>
    <w:rsid w:val="00886D66"/>
    <w:rsid w:val="00887F59"/>
    <w:rsid w:val="00890280"/>
    <w:rsid w:val="0089088C"/>
    <w:rsid w:val="008942F7"/>
    <w:rsid w:val="00895346"/>
    <w:rsid w:val="008A3C96"/>
    <w:rsid w:val="008B0572"/>
    <w:rsid w:val="008B4019"/>
    <w:rsid w:val="008B49C9"/>
    <w:rsid w:val="008B5430"/>
    <w:rsid w:val="008B5C6D"/>
    <w:rsid w:val="008B6031"/>
    <w:rsid w:val="008B65C9"/>
    <w:rsid w:val="008B7D33"/>
    <w:rsid w:val="008B7E5D"/>
    <w:rsid w:val="008C0108"/>
    <w:rsid w:val="008C1228"/>
    <w:rsid w:val="008C248B"/>
    <w:rsid w:val="008C2923"/>
    <w:rsid w:val="008C2D4A"/>
    <w:rsid w:val="008C314C"/>
    <w:rsid w:val="008C4671"/>
    <w:rsid w:val="008C5573"/>
    <w:rsid w:val="008C7DC9"/>
    <w:rsid w:val="008D1B2C"/>
    <w:rsid w:val="008D3900"/>
    <w:rsid w:val="008D5590"/>
    <w:rsid w:val="008D64E6"/>
    <w:rsid w:val="008D6E1D"/>
    <w:rsid w:val="008D7099"/>
    <w:rsid w:val="008D750A"/>
    <w:rsid w:val="008E16E9"/>
    <w:rsid w:val="008E1D37"/>
    <w:rsid w:val="008E60E0"/>
    <w:rsid w:val="008E7D2F"/>
    <w:rsid w:val="008F39B4"/>
    <w:rsid w:val="008F4162"/>
    <w:rsid w:val="008F7562"/>
    <w:rsid w:val="008F7615"/>
    <w:rsid w:val="00900348"/>
    <w:rsid w:val="009020A7"/>
    <w:rsid w:val="00903D3B"/>
    <w:rsid w:val="00903E02"/>
    <w:rsid w:val="00904769"/>
    <w:rsid w:val="00907713"/>
    <w:rsid w:val="009102C9"/>
    <w:rsid w:val="009117C9"/>
    <w:rsid w:val="00911FA0"/>
    <w:rsid w:val="00913135"/>
    <w:rsid w:val="00913175"/>
    <w:rsid w:val="009145CE"/>
    <w:rsid w:val="0091492F"/>
    <w:rsid w:val="00914CCC"/>
    <w:rsid w:val="00914D09"/>
    <w:rsid w:val="009150F9"/>
    <w:rsid w:val="00916E7D"/>
    <w:rsid w:val="00916EDB"/>
    <w:rsid w:val="009204A3"/>
    <w:rsid w:val="00920861"/>
    <w:rsid w:val="00920F8C"/>
    <w:rsid w:val="00921DEE"/>
    <w:rsid w:val="00922B13"/>
    <w:rsid w:val="009242EF"/>
    <w:rsid w:val="00926AA1"/>
    <w:rsid w:val="00931A4F"/>
    <w:rsid w:val="00932291"/>
    <w:rsid w:val="00932836"/>
    <w:rsid w:val="00932861"/>
    <w:rsid w:val="009328DC"/>
    <w:rsid w:val="0093408E"/>
    <w:rsid w:val="009358C6"/>
    <w:rsid w:val="00940242"/>
    <w:rsid w:val="00940958"/>
    <w:rsid w:val="009421A3"/>
    <w:rsid w:val="009436E3"/>
    <w:rsid w:val="00943A6E"/>
    <w:rsid w:val="009440F9"/>
    <w:rsid w:val="00947DA5"/>
    <w:rsid w:val="00950A81"/>
    <w:rsid w:val="00952A6C"/>
    <w:rsid w:val="00952DDF"/>
    <w:rsid w:val="00953B4A"/>
    <w:rsid w:val="00955752"/>
    <w:rsid w:val="009610A3"/>
    <w:rsid w:val="00963B6A"/>
    <w:rsid w:val="00963C8F"/>
    <w:rsid w:val="0096429A"/>
    <w:rsid w:val="00970132"/>
    <w:rsid w:val="0097035C"/>
    <w:rsid w:val="0097091C"/>
    <w:rsid w:val="00970950"/>
    <w:rsid w:val="009712D9"/>
    <w:rsid w:val="00972813"/>
    <w:rsid w:val="00976C8F"/>
    <w:rsid w:val="009812D4"/>
    <w:rsid w:val="009814D8"/>
    <w:rsid w:val="009824F2"/>
    <w:rsid w:val="00984094"/>
    <w:rsid w:val="0099087C"/>
    <w:rsid w:val="009910D3"/>
    <w:rsid w:val="00991992"/>
    <w:rsid w:val="009920D8"/>
    <w:rsid w:val="00992577"/>
    <w:rsid w:val="00993E5F"/>
    <w:rsid w:val="00994672"/>
    <w:rsid w:val="009952F5"/>
    <w:rsid w:val="0099558B"/>
    <w:rsid w:val="00995707"/>
    <w:rsid w:val="00996101"/>
    <w:rsid w:val="0099657D"/>
    <w:rsid w:val="009974AA"/>
    <w:rsid w:val="009A149D"/>
    <w:rsid w:val="009A2935"/>
    <w:rsid w:val="009A43A7"/>
    <w:rsid w:val="009A6254"/>
    <w:rsid w:val="009B38BE"/>
    <w:rsid w:val="009B4EDC"/>
    <w:rsid w:val="009B6488"/>
    <w:rsid w:val="009C1F2E"/>
    <w:rsid w:val="009C27C4"/>
    <w:rsid w:val="009C2C84"/>
    <w:rsid w:val="009C3D0F"/>
    <w:rsid w:val="009C503F"/>
    <w:rsid w:val="009C5A51"/>
    <w:rsid w:val="009C6358"/>
    <w:rsid w:val="009D0B87"/>
    <w:rsid w:val="009D2E3A"/>
    <w:rsid w:val="009D31D8"/>
    <w:rsid w:val="009E00DF"/>
    <w:rsid w:val="009E1713"/>
    <w:rsid w:val="009E1B19"/>
    <w:rsid w:val="009E4CA0"/>
    <w:rsid w:val="009E564C"/>
    <w:rsid w:val="009E622F"/>
    <w:rsid w:val="009F0485"/>
    <w:rsid w:val="009F1837"/>
    <w:rsid w:val="009F35E2"/>
    <w:rsid w:val="009F5285"/>
    <w:rsid w:val="009F65F9"/>
    <w:rsid w:val="009F68BA"/>
    <w:rsid w:val="009F7A28"/>
    <w:rsid w:val="00A00964"/>
    <w:rsid w:val="00A00F57"/>
    <w:rsid w:val="00A05D5E"/>
    <w:rsid w:val="00A06277"/>
    <w:rsid w:val="00A079DC"/>
    <w:rsid w:val="00A108B5"/>
    <w:rsid w:val="00A111C2"/>
    <w:rsid w:val="00A13294"/>
    <w:rsid w:val="00A1513F"/>
    <w:rsid w:val="00A1562A"/>
    <w:rsid w:val="00A16042"/>
    <w:rsid w:val="00A2000A"/>
    <w:rsid w:val="00A20B8E"/>
    <w:rsid w:val="00A22406"/>
    <w:rsid w:val="00A26B7A"/>
    <w:rsid w:val="00A30E66"/>
    <w:rsid w:val="00A32A43"/>
    <w:rsid w:val="00A32B66"/>
    <w:rsid w:val="00A3369C"/>
    <w:rsid w:val="00A338E7"/>
    <w:rsid w:val="00A34B75"/>
    <w:rsid w:val="00A35CAA"/>
    <w:rsid w:val="00A36E7F"/>
    <w:rsid w:val="00A40098"/>
    <w:rsid w:val="00A41E65"/>
    <w:rsid w:val="00A43E0A"/>
    <w:rsid w:val="00A4409E"/>
    <w:rsid w:val="00A501D0"/>
    <w:rsid w:val="00A50227"/>
    <w:rsid w:val="00A530C7"/>
    <w:rsid w:val="00A5429A"/>
    <w:rsid w:val="00A54F28"/>
    <w:rsid w:val="00A55E49"/>
    <w:rsid w:val="00A55F5B"/>
    <w:rsid w:val="00A60185"/>
    <w:rsid w:val="00A60AA5"/>
    <w:rsid w:val="00A61108"/>
    <w:rsid w:val="00A6387E"/>
    <w:rsid w:val="00A65682"/>
    <w:rsid w:val="00A661EA"/>
    <w:rsid w:val="00A66BF9"/>
    <w:rsid w:val="00A70D45"/>
    <w:rsid w:val="00A7310D"/>
    <w:rsid w:val="00A7409A"/>
    <w:rsid w:val="00A7437A"/>
    <w:rsid w:val="00A76661"/>
    <w:rsid w:val="00A80D59"/>
    <w:rsid w:val="00A830E5"/>
    <w:rsid w:val="00A83B75"/>
    <w:rsid w:val="00A84E26"/>
    <w:rsid w:val="00A85FC6"/>
    <w:rsid w:val="00A87135"/>
    <w:rsid w:val="00A917C9"/>
    <w:rsid w:val="00A92206"/>
    <w:rsid w:val="00A93280"/>
    <w:rsid w:val="00A93D9A"/>
    <w:rsid w:val="00A94BCD"/>
    <w:rsid w:val="00A94FE6"/>
    <w:rsid w:val="00A951EA"/>
    <w:rsid w:val="00A96066"/>
    <w:rsid w:val="00AA2548"/>
    <w:rsid w:val="00AA3BDD"/>
    <w:rsid w:val="00AA58C4"/>
    <w:rsid w:val="00AA6D13"/>
    <w:rsid w:val="00AA7003"/>
    <w:rsid w:val="00AB11C8"/>
    <w:rsid w:val="00AC08A8"/>
    <w:rsid w:val="00AC6DF4"/>
    <w:rsid w:val="00AD16A4"/>
    <w:rsid w:val="00AD2B78"/>
    <w:rsid w:val="00AD32AD"/>
    <w:rsid w:val="00AD56C8"/>
    <w:rsid w:val="00AD58F2"/>
    <w:rsid w:val="00AD5B34"/>
    <w:rsid w:val="00AD63F1"/>
    <w:rsid w:val="00AE055A"/>
    <w:rsid w:val="00AE0E57"/>
    <w:rsid w:val="00AE2FA6"/>
    <w:rsid w:val="00AE6A0D"/>
    <w:rsid w:val="00AF045C"/>
    <w:rsid w:val="00AF520B"/>
    <w:rsid w:val="00B010D0"/>
    <w:rsid w:val="00B046C9"/>
    <w:rsid w:val="00B04F5E"/>
    <w:rsid w:val="00B0512A"/>
    <w:rsid w:val="00B0529F"/>
    <w:rsid w:val="00B10A87"/>
    <w:rsid w:val="00B10EE9"/>
    <w:rsid w:val="00B116DE"/>
    <w:rsid w:val="00B11E78"/>
    <w:rsid w:val="00B1418B"/>
    <w:rsid w:val="00B150EB"/>
    <w:rsid w:val="00B1522D"/>
    <w:rsid w:val="00B174C7"/>
    <w:rsid w:val="00B17604"/>
    <w:rsid w:val="00B21195"/>
    <w:rsid w:val="00B24B22"/>
    <w:rsid w:val="00B25195"/>
    <w:rsid w:val="00B25310"/>
    <w:rsid w:val="00B27340"/>
    <w:rsid w:val="00B30E18"/>
    <w:rsid w:val="00B31DEC"/>
    <w:rsid w:val="00B32F8F"/>
    <w:rsid w:val="00B3492A"/>
    <w:rsid w:val="00B4069C"/>
    <w:rsid w:val="00B40D43"/>
    <w:rsid w:val="00B416C9"/>
    <w:rsid w:val="00B43A53"/>
    <w:rsid w:val="00B459A7"/>
    <w:rsid w:val="00B516F3"/>
    <w:rsid w:val="00B54DE9"/>
    <w:rsid w:val="00B54E77"/>
    <w:rsid w:val="00B552F2"/>
    <w:rsid w:val="00B553EC"/>
    <w:rsid w:val="00B55E3F"/>
    <w:rsid w:val="00B609CE"/>
    <w:rsid w:val="00B63C1E"/>
    <w:rsid w:val="00B64A2C"/>
    <w:rsid w:val="00B65FA7"/>
    <w:rsid w:val="00B714DD"/>
    <w:rsid w:val="00B71D7C"/>
    <w:rsid w:val="00B73144"/>
    <w:rsid w:val="00B74068"/>
    <w:rsid w:val="00B75AA8"/>
    <w:rsid w:val="00B75B52"/>
    <w:rsid w:val="00B838CE"/>
    <w:rsid w:val="00B87D9B"/>
    <w:rsid w:val="00B9125A"/>
    <w:rsid w:val="00B92EB8"/>
    <w:rsid w:val="00B93440"/>
    <w:rsid w:val="00B93DD0"/>
    <w:rsid w:val="00B97732"/>
    <w:rsid w:val="00B9787E"/>
    <w:rsid w:val="00BA0F49"/>
    <w:rsid w:val="00BA2EBF"/>
    <w:rsid w:val="00BA4334"/>
    <w:rsid w:val="00BA5E36"/>
    <w:rsid w:val="00BA65A8"/>
    <w:rsid w:val="00BA6D19"/>
    <w:rsid w:val="00BA6DCE"/>
    <w:rsid w:val="00BA7461"/>
    <w:rsid w:val="00BA7DA9"/>
    <w:rsid w:val="00BB14C6"/>
    <w:rsid w:val="00BC0CD5"/>
    <w:rsid w:val="00BC4215"/>
    <w:rsid w:val="00BC6CDE"/>
    <w:rsid w:val="00BC7659"/>
    <w:rsid w:val="00BD122C"/>
    <w:rsid w:val="00BD1A6F"/>
    <w:rsid w:val="00BD2F79"/>
    <w:rsid w:val="00BD4000"/>
    <w:rsid w:val="00BD4ECD"/>
    <w:rsid w:val="00BD521F"/>
    <w:rsid w:val="00BD5CB1"/>
    <w:rsid w:val="00BE2BCE"/>
    <w:rsid w:val="00BE2C71"/>
    <w:rsid w:val="00BE4223"/>
    <w:rsid w:val="00BE5BE2"/>
    <w:rsid w:val="00BE6D3C"/>
    <w:rsid w:val="00BE7852"/>
    <w:rsid w:val="00BF0A4B"/>
    <w:rsid w:val="00BF2A65"/>
    <w:rsid w:val="00BF791F"/>
    <w:rsid w:val="00BF7923"/>
    <w:rsid w:val="00BF7C7E"/>
    <w:rsid w:val="00BF7CEE"/>
    <w:rsid w:val="00C01737"/>
    <w:rsid w:val="00C03819"/>
    <w:rsid w:val="00C03880"/>
    <w:rsid w:val="00C03993"/>
    <w:rsid w:val="00C04741"/>
    <w:rsid w:val="00C04E8B"/>
    <w:rsid w:val="00C05774"/>
    <w:rsid w:val="00C05F1E"/>
    <w:rsid w:val="00C07CF5"/>
    <w:rsid w:val="00C135CF"/>
    <w:rsid w:val="00C14C40"/>
    <w:rsid w:val="00C16AF3"/>
    <w:rsid w:val="00C201B9"/>
    <w:rsid w:val="00C2446B"/>
    <w:rsid w:val="00C2683F"/>
    <w:rsid w:val="00C3054C"/>
    <w:rsid w:val="00C3184D"/>
    <w:rsid w:val="00C33E30"/>
    <w:rsid w:val="00C433B2"/>
    <w:rsid w:val="00C43D79"/>
    <w:rsid w:val="00C4714E"/>
    <w:rsid w:val="00C51CCA"/>
    <w:rsid w:val="00C54EF8"/>
    <w:rsid w:val="00C5504F"/>
    <w:rsid w:val="00C567DB"/>
    <w:rsid w:val="00C5747B"/>
    <w:rsid w:val="00C57B55"/>
    <w:rsid w:val="00C63376"/>
    <w:rsid w:val="00C633A8"/>
    <w:rsid w:val="00C6719A"/>
    <w:rsid w:val="00C74F97"/>
    <w:rsid w:val="00C7642F"/>
    <w:rsid w:val="00C766A1"/>
    <w:rsid w:val="00C8276E"/>
    <w:rsid w:val="00C82EA4"/>
    <w:rsid w:val="00C8413D"/>
    <w:rsid w:val="00C842AC"/>
    <w:rsid w:val="00C8464C"/>
    <w:rsid w:val="00C8535C"/>
    <w:rsid w:val="00C85F0B"/>
    <w:rsid w:val="00C90205"/>
    <w:rsid w:val="00C93532"/>
    <w:rsid w:val="00C9498D"/>
    <w:rsid w:val="00C96688"/>
    <w:rsid w:val="00C96AFC"/>
    <w:rsid w:val="00CA0723"/>
    <w:rsid w:val="00CA2AF4"/>
    <w:rsid w:val="00CA4BC2"/>
    <w:rsid w:val="00CB1690"/>
    <w:rsid w:val="00CB49A3"/>
    <w:rsid w:val="00CC014F"/>
    <w:rsid w:val="00CC02F0"/>
    <w:rsid w:val="00CC0C6C"/>
    <w:rsid w:val="00CC2C10"/>
    <w:rsid w:val="00CC4365"/>
    <w:rsid w:val="00CC768E"/>
    <w:rsid w:val="00CD0060"/>
    <w:rsid w:val="00CD098F"/>
    <w:rsid w:val="00CD0EED"/>
    <w:rsid w:val="00CD0F77"/>
    <w:rsid w:val="00CD10DD"/>
    <w:rsid w:val="00CD11B0"/>
    <w:rsid w:val="00CD24AC"/>
    <w:rsid w:val="00CD3F6C"/>
    <w:rsid w:val="00CD61FD"/>
    <w:rsid w:val="00CD69EB"/>
    <w:rsid w:val="00CD7762"/>
    <w:rsid w:val="00CE0507"/>
    <w:rsid w:val="00CE0FAD"/>
    <w:rsid w:val="00CE14A6"/>
    <w:rsid w:val="00CE3D04"/>
    <w:rsid w:val="00CE5A67"/>
    <w:rsid w:val="00CE66B2"/>
    <w:rsid w:val="00CE71C2"/>
    <w:rsid w:val="00CF0DDD"/>
    <w:rsid w:val="00CF178F"/>
    <w:rsid w:val="00CF188B"/>
    <w:rsid w:val="00CF34E9"/>
    <w:rsid w:val="00CF3D09"/>
    <w:rsid w:val="00CF42D5"/>
    <w:rsid w:val="00CF4EDA"/>
    <w:rsid w:val="00CF5754"/>
    <w:rsid w:val="00CF749B"/>
    <w:rsid w:val="00CF7C88"/>
    <w:rsid w:val="00D00A19"/>
    <w:rsid w:val="00D02150"/>
    <w:rsid w:val="00D021CB"/>
    <w:rsid w:val="00D10F1A"/>
    <w:rsid w:val="00D11401"/>
    <w:rsid w:val="00D116F8"/>
    <w:rsid w:val="00D11956"/>
    <w:rsid w:val="00D127B7"/>
    <w:rsid w:val="00D130EF"/>
    <w:rsid w:val="00D13EAF"/>
    <w:rsid w:val="00D15282"/>
    <w:rsid w:val="00D170BC"/>
    <w:rsid w:val="00D17596"/>
    <w:rsid w:val="00D20B62"/>
    <w:rsid w:val="00D21D54"/>
    <w:rsid w:val="00D22640"/>
    <w:rsid w:val="00D25C97"/>
    <w:rsid w:val="00D25CC3"/>
    <w:rsid w:val="00D26D3A"/>
    <w:rsid w:val="00D300A2"/>
    <w:rsid w:val="00D31E40"/>
    <w:rsid w:val="00D334E0"/>
    <w:rsid w:val="00D338A4"/>
    <w:rsid w:val="00D33AEF"/>
    <w:rsid w:val="00D37953"/>
    <w:rsid w:val="00D44173"/>
    <w:rsid w:val="00D45EE3"/>
    <w:rsid w:val="00D46609"/>
    <w:rsid w:val="00D468FF"/>
    <w:rsid w:val="00D4707E"/>
    <w:rsid w:val="00D5025C"/>
    <w:rsid w:val="00D50618"/>
    <w:rsid w:val="00D509E9"/>
    <w:rsid w:val="00D5182D"/>
    <w:rsid w:val="00D535EC"/>
    <w:rsid w:val="00D53B1C"/>
    <w:rsid w:val="00D54ED5"/>
    <w:rsid w:val="00D55F05"/>
    <w:rsid w:val="00D569B5"/>
    <w:rsid w:val="00D57DF8"/>
    <w:rsid w:val="00D677C0"/>
    <w:rsid w:val="00D742F7"/>
    <w:rsid w:val="00D75717"/>
    <w:rsid w:val="00D76514"/>
    <w:rsid w:val="00D80C11"/>
    <w:rsid w:val="00D80C55"/>
    <w:rsid w:val="00D848C1"/>
    <w:rsid w:val="00D8493A"/>
    <w:rsid w:val="00D86706"/>
    <w:rsid w:val="00D86FAA"/>
    <w:rsid w:val="00D90115"/>
    <w:rsid w:val="00D90E9C"/>
    <w:rsid w:val="00D914A2"/>
    <w:rsid w:val="00D93B8E"/>
    <w:rsid w:val="00D94C19"/>
    <w:rsid w:val="00D9551D"/>
    <w:rsid w:val="00D964DB"/>
    <w:rsid w:val="00D97DE6"/>
    <w:rsid w:val="00DA09DD"/>
    <w:rsid w:val="00DA0BE1"/>
    <w:rsid w:val="00DA1B12"/>
    <w:rsid w:val="00DA23A1"/>
    <w:rsid w:val="00DA3D69"/>
    <w:rsid w:val="00DA40F6"/>
    <w:rsid w:val="00DA4BB2"/>
    <w:rsid w:val="00DA4DEF"/>
    <w:rsid w:val="00DA54C9"/>
    <w:rsid w:val="00DA6739"/>
    <w:rsid w:val="00DA6C58"/>
    <w:rsid w:val="00DA6CAE"/>
    <w:rsid w:val="00DB1A9E"/>
    <w:rsid w:val="00DB31D6"/>
    <w:rsid w:val="00DB4005"/>
    <w:rsid w:val="00DB7C2E"/>
    <w:rsid w:val="00DC0C5B"/>
    <w:rsid w:val="00DC13FD"/>
    <w:rsid w:val="00DC1ACF"/>
    <w:rsid w:val="00DC34EB"/>
    <w:rsid w:val="00DC388C"/>
    <w:rsid w:val="00DC3FA0"/>
    <w:rsid w:val="00DC4F3D"/>
    <w:rsid w:val="00DC6EB1"/>
    <w:rsid w:val="00DC7158"/>
    <w:rsid w:val="00DC795C"/>
    <w:rsid w:val="00DD1D21"/>
    <w:rsid w:val="00DD4F26"/>
    <w:rsid w:val="00DD6972"/>
    <w:rsid w:val="00DD6AC0"/>
    <w:rsid w:val="00DE0161"/>
    <w:rsid w:val="00DF0E4F"/>
    <w:rsid w:val="00DF1550"/>
    <w:rsid w:val="00DF1617"/>
    <w:rsid w:val="00DF1E5B"/>
    <w:rsid w:val="00DF2275"/>
    <w:rsid w:val="00DF2AB6"/>
    <w:rsid w:val="00DF37DE"/>
    <w:rsid w:val="00DF3F5E"/>
    <w:rsid w:val="00DF42DB"/>
    <w:rsid w:val="00DF5653"/>
    <w:rsid w:val="00DF6C3A"/>
    <w:rsid w:val="00E002D3"/>
    <w:rsid w:val="00E0129F"/>
    <w:rsid w:val="00E01CA4"/>
    <w:rsid w:val="00E049A2"/>
    <w:rsid w:val="00E05589"/>
    <w:rsid w:val="00E0596E"/>
    <w:rsid w:val="00E06F66"/>
    <w:rsid w:val="00E07698"/>
    <w:rsid w:val="00E078BB"/>
    <w:rsid w:val="00E1233F"/>
    <w:rsid w:val="00E12C2F"/>
    <w:rsid w:val="00E15F1E"/>
    <w:rsid w:val="00E2042D"/>
    <w:rsid w:val="00E206E8"/>
    <w:rsid w:val="00E218BF"/>
    <w:rsid w:val="00E228B3"/>
    <w:rsid w:val="00E24024"/>
    <w:rsid w:val="00E2467F"/>
    <w:rsid w:val="00E2646B"/>
    <w:rsid w:val="00E26AC3"/>
    <w:rsid w:val="00E27644"/>
    <w:rsid w:val="00E356E5"/>
    <w:rsid w:val="00E36F81"/>
    <w:rsid w:val="00E37D2E"/>
    <w:rsid w:val="00E42AB1"/>
    <w:rsid w:val="00E45765"/>
    <w:rsid w:val="00E47462"/>
    <w:rsid w:val="00E5098C"/>
    <w:rsid w:val="00E50E74"/>
    <w:rsid w:val="00E5339B"/>
    <w:rsid w:val="00E57CF2"/>
    <w:rsid w:val="00E60213"/>
    <w:rsid w:val="00E61A1F"/>
    <w:rsid w:val="00E6254F"/>
    <w:rsid w:val="00E64530"/>
    <w:rsid w:val="00E65948"/>
    <w:rsid w:val="00E661B2"/>
    <w:rsid w:val="00E66504"/>
    <w:rsid w:val="00E71682"/>
    <w:rsid w:val="00E74D29"/>
    <w:rsid w:val="00E74E13"/>
    <w:rsid w:val="00E83A6E"/>
    <w:rsid w:val="00E83C74"/>
    <w:rsid w:val="00E83CEE"/>
    <w:rsid w:val="00E83F25"/>
    <w:rsid w:val="00E84CFF"/>
    <w:rsid w:val="00E84D11"/>
    <w:rsid w:val="00E87C94"/>
    <w:rsid w:val="00E90499"/>
    <w:rsid w:val="00E91EE8"/>
    <w:rsid w:val="00E91F18"/>
    <w:rsid w:val="00E9226D"/>
    <w:rsid w:val="00E9333E"/>
    <w:rsid w:val="00EA094C"/>
    <w:rsid w:val="00EA416C"/>
    <w:rsid w:val="00EA5941"/>
    <w:rsid w:val="00EA5978"/>
    <w:rsid w:val="00EA7944"/>
    <w:rsid w:val="00EB0332"/>
    <w:rsid w:val="00EB0557"/>
    <w:rsid w:val="00EB60CE"/>
    <w:rsid w:val="00EB6345"/>
    <w:rsid w:val="00EB7D53"/>
    <w:rsid w:val="00EC0561"/>
    <w:rsid w:val="00EC207E"/>
    <w:rsid w:val="00EC5E9F"/>
    <w:rsid w:val="00EC7032"/>
    <w:rsid w:val="00ED095A"/>
    <w:rsid w:val="00ED1AFB"/>
    <w:rsid w:val="00ED2168"/>
    <w:rsid w:val="00ED373C"/>
    <w:rsid w:val="00ED6897"/>
    <w:rsid w:val="00EE0693"/>
    <w:rsid w:val="00EE3146"/>
    <w:rsid w:val="00EE4EA3"/>
    <w:rsid w:val="00EE60C2"/>
    <w:rsid w:val="00EF047E"/>
    <w:rsid w:val="00EF32DF"/>
    <w:rsid w:val="00EF368C"/>
    <w:rsid w:val="00EF50BB"/>
    <w:rsid w:val="00EF53FF"/>
    <w:rsid w:val="00F00169"/>
    <w:rsid w:val="00F00192"/>
    <w:rsid w:val="00F0053B"/>
    <w:rsid w:val="00F00F71"/>
    <w:rsid w:val="00F01876"/>
    <w:rsid w:val="00F01DF6"/>
    <w:rsid w:val="00F028C6"/>
    <w:rsid w:val="00F0340D"/>
    <w:rsid w:val="00F0356C"/>
    <w:rsid w:val="00F059A6"/>
    <w:rsid w:val="00F059F0"/>
    <w:rsid w:val="00F07BD7"/>
    <w:rsid w:val="00F07F3F"/>
    <w:rsid w:val="00F14172"/>
    <w:rsid w:val="00F145AA"/>
    <w:rsid w:val="00F14FDD"/>
    <w:rsid w:val="00F15BFB"/>
    <w:rsid w:val="00F172E3"/>
    <w:rsid w:val="00F176F6"/>
    <w:rsid w:val="00F17791"/>
    <w:rsid w:val="00F203CC"/>
    <w:rsid w:val="00F21930"/>
    <w:rsid w:val="00F21AC1"/>
    <w:rsid w:val="00F22C71"/>
    <w:rsid w:val="00F23756"/>
    <w:rsid w:val="00F24651"/>
    <w:rsid w:val="00F2523A"/>
    <w:rsid w:val="00F25FFA"/>
    <w:rsid w:val="00F27B87"/>
    <w:rsid w:val="00F310D2"/>
    <w:rsid w:val="00F33B3B"/>
    <w:rsid w:val="00F350B3"/>
    <w:rsid w:val="00F35BE6"/>
    <w:rsid w:val="00F36E16"/>
    <w:rsid w:val="00F36F3D"/>
    <w:rsid w:val="00F3714C"/>
    <w:rsid w:val="00F41C7A"/>
    <w:rsid w:val="00F427A1"/>
    <w:rsid w:val="00F42BC7"/>
    <w:rsid w:val="00F42F07"/>
    <w:rsid w:val="00F45155"/>
    <w:rsid w:val="00F477BD"/>
    <w:rsid w:val="00F509F3"/>
    <w:rsid w:val="00F531A4"/>
    <w:rsid w:val="00F53491"/>
    <w:rsid w:val="00F5362B"/>
    <w:rsid w:val="00F579D9"/>
    <w:rsid w:val="00F57E39"/>
    <w:rsid w:val="00F61917"/>
    <w:rsid w:val="00F65086"/>
    <w:rsid w:val="00F65A1C"/>
    <w:rsid w:val="00F66F50"/>
    <w:rsid w:val="00F73B30"/>
    <w:rsid w:val="00F74463"/>
    <w:rsid w:val="00F75C5A"/>
    <w:rsid w:val="00F76A92"/>
    <w:rsid w:val="00F80C8C"/>
    <w:rsid w:val="00F81919"/>
    <w:rsid w:val="00F82E4D"/>
    <w:rsid w:val="00F82FF8"/>
    <w:rsid w:val="00F8330D"/>
    <w:rsid w:val="00F84169"/>
    <w:rsid w:val="00F84305"/>
    <w:rsid w:val="00F8485C"/>
    <w:rsid w:val="00F87149"/>
    <w:rsid w:val="00F87FFE"/>
    <w:rsid w:val="00F902E5"/>
    <w:rsid w:val="00F9043D"/>
    <w:rsid w:val="00F930A4"/>
    <w:rsid w:val="00F94269"/>
    <w:rsid w:val="00F954C9"/>
    <w:rsid w:val="00F96135"/>
    <w:rsid w:val="00F961D6"/>
    <w:rsid w:val="00F96AE9"/>
    <w:rsid w:val="00F9713A"/>
    <w:rsid w:val="00FA0B24"/>
    <w:rsid w:val="00FA3864"/>
    <w:rsid w:val="00FA3941"/>
    <w:rsid w:val="00FA4CF0"/>
    <w:rsid w:val="00FA61AA"/>
    <w:rsid w:val="00FA67C5"/>
    <w:rsid w:val="00FA69A4"/>
    <w:rsid w:val="00FB1279"/>
    <w:rsid w:val="00FB1495"/>
    <w:rsid w:val="00FC0B68"/>
    <w:rsid w:val="00FC19B5"/>
    <w:rsid w:val="00FC231D"/>
    <w:rsid w:val="00FC33AF"/>
    <w:rsid w:val="00FD1325"/>
    <w:rsid w:val="00FD1694"/>
    <w:rsid w:val="00FD4729"/>
    <w:rsid w:val="00FD7636"/>
    <w:rsid w:val="00FE2960"/>
    <w:rsid w:val="00FE29EB"/>
    <w:rsid w:val="00FE3229"/>
    <w:rsid w:val="00FE6485"/>
    <w:rsid w:val="00FE74C3"/>
    <w:rsid w:val="00FF0E84"/>
    <w:rsid w:val="00FF215C"/>
    <w:rsid w:val="00FF2A41"/>
    <w:rsid w:val="00FF2A7F"/>
    <w:rsid w:val="00FF49E8"/>
    <w:rsid w:val="00FF4F55"/>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C650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iPriority="0"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241"/>
    <w:pPr>
      <w:spacing w:after="220"/>
      <w:jc w:val="both"/>
    </w:pPr>
    <w:rPr>
      <w:rFonts w:ascii="Calibri" w:eastAsia="Times New Roman" w:hAnsi="Calibri"/>
    </w:rPr>
  </w:style>
  <w:style w:type="paragraph" w:styleId="Heading1">
    <w:name w:val="heading 1"/>
    <w:basedOn w:val="Normal"/>
    <w:next w:val="Normal"/>
    <w:link w:val="Heading1Char"/>
    <w:qFormat/>
    <w:rsid w:val="00AF520B"/>
    <w:pPr>
      <w:keepNext/>
      <w:numPr>
        <w:numId w:val="66"/>
      </w:numPr>
      <w:spacing w:after="240"/>
      <w:jc w:val="left"/>
      <w:outlineLvl w:val="0"/>
    </w:pPr>
    <w:rPr>
      <w:b/>
      <w:color w:val="5F497A" w:themeColor="accent4" w:themeShade="BF"/>
      <w:sz w:val="48"/>
      <w:szCs w:val="48"/>
      <w:lang w:val="en-GB" w:eastAsia="en-US"/>
    </w:rPr>
  </w:style>
  <w:style w:type="paragraph" w:styleId="Heading2">
    <w:name w:val="heading 2"/>
    <w:basedOn w:val="Normal"/>
    <w:next w:val="Normal"/>
    <w:link w:val="Heading2Char"/>
    <w:qFormat/>
    <w:rsid w:val="000E31C1"/>
    <w:pPr>
      <w:keepNext/>
      <w:numPr>
        <w:ilvl w:val="1"/>
        <w:numId w:val="18"/>
      </w:numPr>
      <w:outlineLvl w:val="1"/>
    </w:pPr>
    <w:rPr>
      <w:rFonts w:cs="Arial"/>
      <w:b/>
    </w:rPr>
  </w:style>
  <w:style w:type="paragraph" w:styleId="Heading3">
    <w:name w:val="heading 3"/>
    <w:basedOn w:val="Normal"/>
    <w:next w:val="Normal"/>
    <w:link w:val="Heading3Char"/>
    <w:qFormat/>
    <w:rsid w:val="000E31C1"/>
    <w:pPr>
      <w:keepNext/>
      <w:numPr>
        <w:ilvl w:val="2"/>
        <w:numId w:val="18"/>
      </w:numPr>
      <w:outlineLvl w:val="2"/>
    </w:pPr>
    <w:rPr>
      <w:rFonts w:cs="Arial"/>
      <w:b/>
      <w:i/>
    </w:rPr>
  </w:style>
  <w:style w:type="paragraph" w:styleId="Heading4">
    <w:name w:val="heading 4"/>
    <w:basedOn w:val="Normal"/>
    <w:next w:val="Normal"/>
    <w:link w:val="Heading4Char"/>
    <w:qFormat/>
    <w:rsid w:val="000E31C1"/>
    <w:pPr>
      <w:keepNext/>
      <w:numPr>
        <w:ilvl w:val="3"/>
        <w:numId w:val="18"/>
      </w:numPr>
      <w:outlineLvl w:val="3"/>
    </w:pPr>
    <w:rPr>
      <w:rFonts w:cs="Arial"/>
      <w:i/>
    </w:rPr>
  </w:style>
  <w:style w:type="paragraph" w:styleId="Heading5">
    <w:name w:val="heading 5"/>
    <w:basedOn w:val="Heading4"/>
    <w:next w:val="Normal"/>
    <w:link w:val="Heading5Char"/>
    <w:qFormat/>
    <w:rsid w:val="00821241"/>
    <w:pPr>
      <w:numPr>
        <w:ilvl w:val="4"/>
      </w:numPr>
      <w:spacing w:before="240" w:after="120"/>
      <w:outlineLvl w:val="4"/>
    </w:pPr>
    <w:rPr>
      <w:rFonts w:cs="Calibri"/>
      <w:b/>
      <w:i w:val="0"/>
      <w:sz w:val="24"/>
      <w:lang w:val="en-GB"/>
    </w:rPr>
  </w:style>
  <w:style w:type="paragraph" w:styleId="Heading6">
    <w:name w:val="heading 6"/>
    <w:basedOn w:val="Heading2"/>
    <w:next w:val="Normal"/>
    <w:link w:val="Heading6Char"/>
    <w:qFormat/>
    <w:rsid w:val="00AD16A4"/>
    <w:pPr>
      <w:numPr>
        <w:ilvl w:val="0"/>
        <w:numId w:val="0"/>
      </w:numPr>
      <w:spacing w:after="240"/>
      <w:jc w:val="left"/>
      <w:outlineLvl w:val="5"/>
    </w:pPr>
    <w:rPr>
      <w:rFonts w:ascii="Century Gothic" w:hAnsi="Century Gothic" w:cs="Calibri"/>
      <w:noProof/>
      <w:color w:val="5F497A" w:themeColor="accent4" w:themeShade="BF"/>
      <w:sz w:val="24"/>
      <w:szCs w:val="24"/>
      <w:lang w:val="en-GB" w:eastAsia="en-US"/>
    </w:rPr>
  </w:style>
  <w:style w:type="paragraph" w:styleId="Heading7">
    <w:name w:val="heading 7"/>
    <w:basedOn w:val="Heading6"/>
    <w:next w:val="Normal"/>
    <w:link w:val="Heading7Char"/>
    <w:uiPriority w:val="9"/>
    <w:qFormat/>
    <w:rsid w:val="00821241"/>
    <w:pPr>
      <w:numPr>
        <w:ilvl w:val="6"/>
      </w:numPr>
      <w:tabs>
        <w:tab w:val="left" w:pos="1418"/>
      </w:tabs>
      <w:outlineLvl w:val="6"/>
    </w:pPr>
  </w:style>
  <w:style w:type="paragraph" w:styleId="Heading8">
    <w:name w:val="heading 8"/>
    <w:basedOn w:val="Heading7"/>
    <w:next w:val="Normal"/>
    <w:link w:val="Heading8Char"/>
    <w:qFormat/>
    <w:rsid w:val="0082124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style>
  <w:style w:type="character" w:customStyle="1" w:styleId="Heading1Char">
    <w:name w:val="Heading 1 Char"/>
    <w:basedOn w:val="DefaultParagraphFont"/>
    <w:link w:val="Heading1"/>
    <w:rsid w:val="00AF520B"/>
    <w:rPr>
      <w:rFonts w:ascii="Calibri" w:eastAsia="Times New Roman" w:hAnsi="Calibri"/>
      <w:b/>
      <w:color w:val="5F497A" w:themeColor="accent4" w:themeShade="BF"/>
      <w:sz w:val="48"/>
      <w:szCs w:val="48"/>
      <w:lang w:val="en-GB" w:eastAsia="en-US"/>
    </w:rPr>
  </w:style>
  <w:style w:type="character" w:customStyle="1" w:styleId="Heading2Char">
    <w:name w:val="Heading 2 Char"/>
    <w:basedOn w:val="DefaultParagraphFont"/>
    <w:link w:val="Heading2"/>
    <w:rsid w:val="000E31C1"/>
    <w:rPr>
      <w:rFonts w:ascii="Calibri" w:eastAsia="Times New Roman" w:hAnsi="Calibri" w:cs="Arial"/>
      <w:b/>
    </w:rPr>
  </w:style>
  <w:style w:type="character" w:customStyle="1" w:styleId="Heading3Char">
    <w:name w:val="Heading 3 Char"/>
    <w:basedOn w:val="DefaultParagraphFont"/>
    <w:link w:val="Heading3"/>
    <w:rsid w:val="000E31C1"/>
    <w:rPr>
      <w:rFonts w:ascii="Calibri" w:eastAsia="Times New Roman" w:hAnsi="Calibri" w:cs="Arial"/>
      <w:b/>
      <w:i/>
    </w:rPr>
  </w:style>
  <w:style w:type="character" w:customStyle="1" w:styleId="Heading4Char">
    <w:name w:val="Heading 4 Char"/>
    <w:basedOn w:val="DefaultParagraphFont"/>
    <w:link w:val="Heading4"/>
    <w:rsid w:val="000E31C1"/>
    <w:rPr>
      <w:rFonts w:ascii="Calibri" w:eastAsia="Times New Roman" w:hAnsi="Calibri" w:cs="Arial"/>
      <w:i/>
    </w:rPr>
  </w:style>
  <w:style w:type="paragraph" w:styleId="ListBullet">
    <w:name w:val="List Bullet"/>
    <w:basedOn w:val="Normal"/>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cs="Arial"/>
      <w:color w:val="FF0000"/>
      <w:sz w:val="28"/>
      <w:szCs w:val="28"/>
    </w:rPr>
  </w:style>
  <w:style w:type="paragraph" w:styleId="ListParagraph">
    <w:name w:val="List Paragraph"/>
    <w:aliases w:val="Bullet list,1 heading,DDM Gen Text,List Paragraph1,List Paragraph11,Recommendation,List 1"/>
    <w:basedOn w:val="Normal"/>
    <w:uiPriority w:val="1"/>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customStyle="1" w:styleId="Heading5Char">
    <w:name w:val="Heading 5 Char"/>
    <w:basedOn w:val="DefaultParagraphFont"/>
    <w:link w:val="Heading5"/>
    <w:rsid w:val="00821241"/>
    <w:rPr>
      <w:rFonts w:ascii="Calibri" w:eastAsia="Times New Roman" w:hAnsi="Calibri" w:cs="Calibri"/>
      <w:b/>
      <w:sz w:val="24"/>
      <w:lang w:val="en-GB"/>
    </w:rPr>
  </w:style>
  <w:style w:type="character" w:customStyle="1" w:styleId="Heading6Char">
    <w:name w:val="Heading 6 Char"/>
    <w:basedOn w:val="DefaultParagraphFont"/>
    <w:link w:val="Heading6"/>
    <w:rsid w:val="00AD16A4"/>
    <w:rPr>
      <w:rFonts w:ascii="Century Gothic" w:eastAsia="Times New Roman" w:hAnsi="Century Gothic" w:cs="Calibri"/>
      <w:b/>
      <w:noProof/>
      <w:color w:val="5F497A" w:themeColor="accent4" w:themeShade="BF"/>
      <w:sz w:val="24"/>
      <w:szCs w:val="24"/>
      <w:lang w:val="en-GB" w:eastAsia="en-US"/>
    </w:rPr>
  </w:style>
  <w:style w:type="character" w:customStyle="1" w:styleId="Heading7Char">
    <w:name w:val="Heading 7 Char"/>
    <w:basedOn w:val="DefaultParagraphFont"/>
    <w:link w:val="Heading7"/>
    <w:uiPriority w:val="9"/>
    <w:rsid w:val="00821241"/>
    <w:rPr>
      <w:rFonts w:ascii="Calibri" w:eastAsia="Times New Roman" w:hAnsi="Calibri" w:cs="Calibri"/>
      <w:b/>
      <w:sz w:val="24"/>
      <w:lang w:val="en-GB"/>
    </w:rPr>
  </w:style>
  <w:style w:type="character" w:customStyle="1" w:styleId="Heading8Char">
    <w:name w:val="Heading 8 Char"/>
    <w:basedOn w:val="DefaultParagraphFont"/>
    <w:link w:val="Heading8"/>
    <w:rsid w:val="00821241"/>
    <w:rPr>
      <w:rFonts w:ascii="Calibri" w:eastAsia="Times New Roman" w:hAnsi="Calibri" w:cs="Calibri"/>
      <w:b/>
      <w:sz w:val="24"/>
      <w:lang w:val="en-GB"/>
    </w:rPr>
  </w:style>
  <w:style w:type="paragraph" w:styleId="TOCHeading">
    <w:name w:val="TOC Heading"/>
    <w:basedOn w:val="Heading1"/>
    <w:next w:val="Normal"/>
    <w:uiPriority w:val="39"/>
    <w:unhideWhenUsed/>
    <w:qFormat/>
    <w:rsid w:val="009C5A51"/>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unhideWhenUsed/>
    <w:qFormat/>
    <w:rsid w:val="00CE0FAD"/>
    <w:pPr>
      <w:tabs>
        <w:tab w:val="left" w:pos="1134"/>
        <w:tab w:val="right" w:leader="dot" w:pos="9202"/>
      </w:tabs>
      <w:spacing w:after="100"/>
      <w:ind w:left="284"/>
    </w:pPr>
  </w:style>
  <w:style w:type="paragraph" w:styleId="TOC2">
    <w:name w:val="toc 2"/>
    <w:basedOn w:val="Normal"/>
    <w:next w:val="Normal"/>
    <w:autoRedefine/>
    <w:uiPriority w:val="39"/>
    <w:unhideWhenUsed/>
    <w:qFormat/>
    <w:rsid w:val="009C5A51"/>
    <w:pPr>
      <w:spacing w:after="100"/>
      <w:ind w:left="200"/>
    </w:pPr>
  </w:style>
  <w:style w:type="paragraph" w:styleId="TOC3">
    <w:name w:val="toc 3"/>
    <w:basedOn w:val="Normal"/>
    <w:next w:val="Normal"/>
    <w:autoRedefine/>
    <w:uiPriority w:val="39"/>
    <w:unhideWhenUsed/>
    <w:qFormat/>
    <w:rsid w:val="009C5A51"/>
    <w:pPr>
      <w:spacing w:after="100"/>
      <w:ind w:left="400"/>
    </w:pPr>
  </w:style>
  <w:style w:type="character" w:styleId="Hyperlink">
    <w:name w:val="Hyperlink"/>
    <w:basedOn w:val="DefaultParagraphFont"/>
    <w:uiPriority w:val="99"/>
    <w:unhideWhenUsed/>
    <w:rsid w:val="009C5A51"/>
    <w:rPr>
      <w:color w:val="0000FF" w:themeColor="hyperlink"/>
      <w:u w:val="single"/>
    </w:rPr>
  </w:style>
  <w:style w:type="character" w:styleId="FollowedHyperlink">
    <w:name w:val="FollowedHyperlink"/>
    <w:basedOn w:val="DefaultParagraphFont"/>
    <w:uiPriority w:val="99"/>
    <w:semiHidden/>
    <w:unhideWhenUsed/>
    <w:rsid w:val="003F1C8E"/>
    <w:rPr>
      <w:color w:val="800080" w:themeColor="followedHyperlink"/>
      <w:u w:val="single"/>
    </w:rPr>
  </w:style>
  <w:style w:type="paragraph" w:customStyle="1" w:styleId="Para0">
    <w:name w:val="Para 0"/>
    <w:basedOn w:val="Normal"/>
    <w:link w:val="Para0Char"/>
    <w:qFormat/>
    <w:rsid w:val="003F1C8E"/>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1C8E"/>
    <w:rPr>
      <w:rFonts w:eastAsia="Times New Roman"/>
      <w:color w:val="000000"/>
      <w:lang w:val="en-GB" w:eastAsia="en-US"/>
    </w:rPr>
  </w:style>
  <w:style w:type="paragraph" w:customStyle="1" w:styleId="StyleStylePara12Arial11ptAfter0pt10ptAuto">
    <w:name w:val="Style Style Para 12 + Arial 11 pt After:  0 pt + 10 pt Auto"/>
    <w:basedOn w:val="Normal"/>
    <w:uiPriority w:val="99"/>
    <w:rsid w:val="003F1C8E"/>
    <w:pPr>
      <w:numPr>
        <w:numId w:val="7"/>
      </w:numPr>
      <w:spacing w:after="0"/>
      <w:jc w:val="left"/>
    </w:pPr>
    <w:rPr>
      <w:rFonts w:ascii="Times New Roman" w:hAnsi="Times New Roman"/>
      <w:sz w:val="24"/>
      <w:lang w:eastAsia="en-US"/>
    </w:rPr>
  </w:style>
  <w:style w:type="paragraph" w:styleId="FootnoteText">
    <w:name w:val="footnote text"/>
    <w:basedOn w:val="Normal"/>
    <w:link w:val="FootnoteTextChar"/>
    <w:uiPriority w:val="99"/>
    <w:rsid w:val="00675265"/>
  </w:style>
  <w:style w:type="character" w:customStyle="1" w:styleId="FootnoteTextChar">
    <w:name w:val="Footnote Text Char"/>
    <w:basedOn w:val="DefaultParagraphFont"/>
    <w:link w:val="FootnoteText"/>
    <w:uiPriority w:val="99"/>
    <w:rsid w:val="00675265"/>
    <w:rPr>
      <w:rFonts w:ascii="Calibri" w:eastAsia="Times New Roman" w:hAnsi="Calibri"/>
    </w:rPr>
  </w:style>
  <w:style w:type="character" w:styleId="FootnoteReference">
    <w:name w:val="footnote reference"/>
    <w:basedOn w:val="DefaultParagraphFont"/>
    <w:uiPriority w:val="99"/>
    <w:rsid w:val="00675265"/>
    <w:rPr>
      <w:rFonts w:cs="Times New Roman"/>
      <w:vertAlign w:val="superscript"/>
    </w:rPr>
  </w:style>
  <w:style w:type="paragraph" w:styleId="NormalWeb">
    <w:name w:val="Normal (Web)"/>
    <w:basedOn w:val="Normal"/>
    <w:uiPriority w:val="99"/>
    <w:unhideWhenUsed/>
    <w:rsid w:val="00675265"/>
    <w:pPr>
      <w:spacing w:after="180"/>
      <w:jc w:val="left"/>
      <w:textAlignment w:val="baseline"/>
    </w:pPr>
    <w:rPr>
      <w:rFonts w:ascii="Times New Roman" w:hAnsi="Times New Roman"/>
      <w:sz w:val="24"/>
      <w:szCs w:val="24"/>
    </w:rPr>
  </w:style>
  <w:style w:type="paragraph" w:styleId="Caption">
    <w:name w:val="caption"/>
    <w:aliases w:val="Figure,CDM B/Caption,Table Caption,TABLE,Char,Item"/>
    <w:basedOn w:val="Normal"/>
    <w:next w:val="Normal"/>
    <w:link w:val="CaptionChar"/>
    <w:uiPriority w:val="35"/>
    <w:qFormat/>
    <w:rsid w:val="00856D61"/>
    <w:rPr>
      <w:b/>
      <w:bCs/>
    </w:rPr>
  </w:style>
  <w:style w:type="character" w:customStyle="1" w:styleId="CaptionChar">
    <w:name w:val="Caption Char"/>
    <w:aliases w:val="Figure Char,CDM B/Caption Char,Table Caption Char,TABLE Char,Char Char,Item Char"/>
    <w:basedOn w:val="DefaultParagraphFont"/>
    <w:link w:val="Caption"/>
    <w:uiPriority w:val="35"/>
    <w:locked/>
    <w:rsid w:val="00856D61"/>
    <w:rPr>
      <w:rFonts w:ascii="Calibri" w:eastAsia="Times New Roman" w:hAnsi="Calibri"/>
      <w:b/>
      <w:bCs/>
    </w:rPr>
  </w:style>
  <w:style w:type="paragraph" w:customStyle="1" w:styleId="Default">
    <w:name w:val="Default"/>
    <w:rsid w:val="00856D61"/>
    <w:pPr>
      <w:autoSpaceDE w:val="0"/>
      <w:autoSpaceDN w:val="0"/>
      <w:adjustRightInd w:val="0"/>
    </w:pPr>
    <w:rPr>
      <w:rFonts w:ascii="Times New Roman" w:eastAsia="Times New Roman" w:hAnsi="Times New Roman"/>
      <w:color w:val="000000"/>
      <w:sz w:val="24"/>
      <w:szCs w:val="24"/>
    </w:rPr>
  </w:style>
  <w:style w:type="paragraph" w:styleId="CommentText">
    <w:name w:val="annotation text"/>
    <w:basedOn w:val="Normal"/>
    <w:link w:val="CommentTextChar"/>
    <w:uiPriority w:val="99"/>
    <w:unhideWhenUsed/>
    <w:rsid w:val="009F0485"/>
    <w:pPr>
      <w:spacing w:after="0"/>
      <w:jc w:val="left"/>
    </w:pPr>
    <w:rPr>
      <w:lang w:eastAsia="en-US"/>
    </w:rPr>
  </w:style>
  <w:style w:type="character" w:customStyle="1" w:styleId="CommentTextChar">
    <w:name w:val="Comment Text Char"/>
    <w:basedOn w:val="DefaultParagraphFont"/>
    <w:link w:val="CommentText"/>
    <w:uiPriority w:val="99"/>
    <w:rsid w:val="009F0485"/>
    <w:rPr>
      <w:rFonts w:ascii="Calibri" w:eastAsia="Times New Roman" w:hAnsi="Calibri"/>
      <w:lang w:eastAsia="en-US"/>
    </w:rPr>
  </w:style>
  <w:style w:type="character" w:styleId="Strong">
    <w:name w:val="Strong"/>
    <w:basedOn w:val="DefaultParagraphFont"/>
    <w:uiPriority w:val="22"/>
    <w:qFormat/>
    <w:rsid w:val="009F0485"/>
    <w:rPr>
      <w:b/>
      <w:bCs/>
    </w:rPr>
  </w:style>
  <w:style w:type="character" w:styleId="CommentReference">
    <w:name w:val="annotation reference"/>
    <w:basedOn w:val="DefaultParagraphFont"/>
    <w:uiPriority w:val="99"/>
    <w:semiHidden/>
    <w:unhideWhenUsed/>
    <w:rsid w:val="00F0356C"/>
    <w:rPr>
      <w:sz w:val="16"/>
      <w:szCs w:val="16"/>
    </w:rPr>
  </w:style>
  <w:style w:type="paragraph" w:styleId="CommentSubject">
    <w:name w:val="annotation subject"/>
    <w:basedOn w:val="CommentText"/>
    <w:next w:val="CommentText"/>
    <w:link w:val="CommentSubjectChar"/>
    <w:uiPriority w:val="99"/>
    <w:semiHidden/>
    <w:unhideWhenUsed/>
    <w:rsid w:val="00F0356C"/>
    <w:pPr>
      <w:spacing w:after="220"/>
      <w:jc w:val="both"/>
    </w:pPr>
    <w:rPr>
      <w:b/>
      <w:bCs/>
      <w:lang w:eastAsia="en-AU"/>
    </w:rPr>
  </w:style>
  <w:style w:type="character" w:customStyle="1" w:styleId="CommentSubjectChar">
    <w:name w:val="Comment Subject Char"/>
    <w:basedOn w:val="CommentTextChar"/>
    <w:link w:val="CommentSubject"/>
    <w:uiPriority w:val="99"/>
    <w:semiHidden/>
    <w:rsid w:val="00F0356C"/>
    <w:rPr>
      <w:rFonts w:ascii="Calibri" w:eastAsia="Times New Roman" w:hAnsi="Calibri"/>
      <w:b/>
      <w:bCs/>
      <w:lang w:eastAsia="en-US"/>
    </w:rPr>
  </w:style>
  <w:style w:type="paragraph" w:customStyle="1" w:styleId="Bullet1">
    <w:name w:val="Bullet 1"/>
    <w:basedOn w:val="Normal"/>
    <w:link w:val="Bullet1Char"/>
    <w:qFormat/>
    <w:rsid w:val="00195698"/>
    <w:pPr>
      <w:numPr>
        <w:numId w:val="12"/>
      </w:numPr>
      <w:spacing w:after="200" w:line="276" w:lineRule="auto"/>
      <w:jc w:val="left"/>
    </w:pPr>
    <w:rPr>
      <w:rFonts w:ascii="Arial" w:eastAsiaTheme="minorHAnsi" w:hAnsi="Arial" w:cs="Arial"/>
      <w:sz w:val="24"/>
      <w:szCs w:val="22"/>
    </w:rPr>
  </w:style>
  <w:style w:type="character" w:customStyle="1" w:styleId="Bullet1Char">
    <w:name w:val="Bullet 1 Char"/>
    <w:aliases w:val="List Paragraph Char,Bullet list Char,1 heading Char,DDM Gen Text Char,List Paragraph1 Char,List Paragraph11 Char,Recommendation Char,List 1 Char"/>
    <w:basedOn w:val="DefaultParagraphFont"/>
    <w:link w:val="Bullet1"/>
    <w:uiPriority w:val="34"/>
    <w:rsid w:val="00195698"/>
    <w:rPr>
      <w:rFonts w:eastAsiaTheme="minorHAnsi" w:cs="Arial"/>
      <w:sz w:val="24"/>
      <w:szCs w:val="22"/>
    </w:rPr>
  </w:style>
  <w:style w:type="numbering" w:customStyle="1" w:styleId="Style2">
    <w:name w:val="Style2"/>
    <w:uiPriority w:val="99"/>
    <w:rsid w:val="006E43DA"/>
    <w:pPr>
      <w:numPr>
        <w:numId w:val="13"/>
      </w:numPr>
    </w:pPr>
  </w:style>
  <w:style w:type="numbering" w:customStyle="1" w:styleId="Style3">
    <w:name w:val="Style3"/>
    <w:uiPriority w:val="99"/>
    <w:rsid w:val="006E43DA"/>
    <w:pPr>
      <w:numPr>
        <w:numId w:val="14"/>
      </w:numPr>
    </w:pPr>
  </w:style>
  <w:style w:type="paragraph" w:customStyle="1" w:styleId="Tablebullet">
    <w:name w:val="Table bullet"/>
    <w:basedOn w:val="ListParagraph"/>
    <w:link w:val="TablebulletChar"/>
    <w:qFormat/>
    <w:rsid w:val="006E43DA"/>
    <w:pPr>
      <w:numPr>
        <w:numId w:val="15"/>
      </w:numPr>
      <w:tabs>
        <w:tab w:val="left" w:pos="176"/>
        <w:tab w:val="left" w:pos="567"/>
      </w:tabs>
      <w:spacing w:before="60" w:after="0"/>
      <w:ind w:left="176" w:hanging="176"/>
      <w:contextualSpacing/>
      <w:jc w:val="left"/>
    </w:pPr>
    <w:rPr>
      <w:rFonts w:ascii="Arial Narrow" w:eastAsiaTheme="minorHAnsi" w:hAnsi="Arial Narrow" w:cstheme="minorBidi"/>
      <w:sz w:val="22"/>
      <w:szCs w:val="22"/>
      <w:lang w:eastAsia="en-US"/>
    </w:rPr>
  </w:style>
  <w:style w:type="character" w:customStyle="1" w:styleId="TablebulletChar">
    <w:name w:val="Table bullet Char"/>
    <w:basedOn w:val="DefaultParagraphFont"/>
    <w:link w:val="Tablebullet"/>
    <w:rsid w:val="006E43DA"/>
    <w:rPr>
      <w:rFonts w:ascii="Arial Narrow" w:eastAsiaTheme="minorHAnsi" w:hAnsi="Arial Narrow" w:cstheme="minorBidi"/>
      <w:sz w:val="22"/>
      <w:szCs w:val="22"/>
      <w:lang w:eastAsia="en-US"/>
    </w:rPr>
  </w:style>
  <w:style w:type="paragraph" w:customStyle="1" w:styleId="Para0number">
    <w:name w:val="Para 0 number"/>
    <w:basedOn w:val="Para0"/>
    <w:uiPriority w:val="99"/>
    <w:rsid w:val="0079257F"/>
    <w:pPr>
      <w:numPr>
        <w:numId w:val="16"/>
      </w:numPr>
      <w:spacing w:after="60"/>
    </w:pPr>
  </w:style>
  <w:style w:type="character" w:styleId="Emphasis">
    <w:name w:val="Emphasis"/>
    <w:basedOn w:val="DefaultParagraphFont"/>
    <w:uiPriority w:val="20"/>
    <w:qFormat/>
    <w:rsid w:val="00273B89"/>
    <w:rPr>
      <w:i/>
      <w:iCs/>
    </w:rPr>
  </w:style>
  <w:style w:type="paragraph" w:customStyle="1" w:styleId="H1-AkkpPro36pt">
    <w:name w:val="H1 - Akkp Pro 36pt"/>
    <w:basedOn w:val="Normal"/>
    <w:uiPriority w:val="99"/>
    <w:rsid w:val="00212C8B"/>
    <w:pPr>
      <w:widowControl w:val="0"/>
      <w:suppressAutoHyphens/>
      <w:autoSpaceDE w:val="0"/>
      <w:autoSpaceDN w:val="0"/>
      <w:adjustRightInd w:val="0"/>
      <w:spacing w:after="57" w:line="640" w:lineRule="atLeast"/>
      <w:jc w:val="left"/>
      <w:textAlignment w:val="center"/>
    </w:pPr>
    <w:rPr>
      <w:rFonts w:ascii="AkkoPro-Regular" w:eastAsiaTheme="minorEastAsia" w:hAnsi="AkkoPro-Regular" w:cs="AkkoPro-Regular"/>
      <w:caps/>
      <w:color w:val="002A48"/>
      <w:sz w:val="72"/>
      <w:szCs w:val="72"/>
      <w:lang w:val="en-GB" w:eastAsia="en-US"/>
    </w:rPr>
  </w:style>
  <w:style w:type="paragraph" w:customStyle="1" w:styleId="H1-AkkoPrro">
    <w:name w:val="H1 - Akko Prro"/>
    <w:basedOn w:val="Normal"/>
    <w:uiPriority w:val="99"/>
    <w:rsid w:val="00212C8B"/>
    <w:pPr>
      <w:widowControl w:val="0"/>
      <w:suppressAutoHyphens/>
      <w:autoSpaceDE w:val="0"/>
      <w:autoSpaceDN w:val="0"/>
      <w:adjustRightInd w:val="0"/>
      <w:spacing w:after="0" w:line="360" w:lineRule="atLeast"/>
      <w:jc w:val="left"/>
      <w:textAlignment w:val="center"/>
    </w:pPr>
    <w:rPr>
      <w:rFonts w:ascii="AkkoPro-Light" w:eastAsiaTheme="minorEastAsia" w:hAnsi="AkkoPro-Light" w:cs="AkkoPro-Light"/>
      <w:color w:val="E97200"/>
      <w:sz w:val="32"/>
      <w:szCs w:val="32"/>
      <w:lang w:val="en-GB" w:eastAsia="en-US"/>
    </w:rPr>
  </w:style>
  <w:style w:type="paragraph" w:customStyle="1" w:styleId="Introtext">
    <w:name w:val="Intro text"/>
    <w:basedOn w:val="Normal"/>
    <w:uiPriority w:val="99"/>
    <w:rsid w:val="00212C8B"/>
    <w:pPr>
      <w:widowControl w:val="0"/>
      <w:suppressAutoHyphens/>
      <w:autoSpaceDE w:val="0"/>
      <w:autoSpaceDN w:val="0"/>
      <w:adjustRightInd w:val="0"/>
      <w:spacing w:after="113" w:line="350" w:lineRule="atLeast"/>
      <w:jc w:val="left"/>
      <w:textAlignment w:val="center"/>
    </w:pPr>
    <w:rPr>
      <w:rFonts w:ascii="AkkoPro-Light" w:eastAsiaTheme="minorEastAsia" w:hAnsi="AkkoPro-Light" w:cs="AkkoPro-Light"/>
      <w:color w:val="000000"/>
      <w:sz w:val="26"/>
      <w:szCs w:val="26"/>
      <w:lang w:val="en-US" w:eastAsia="en-US"/>
    </w:rPr>
  </w:style>
  <w:style w:type="paragraph" w:customStyle="1" w:styleId="Bodycopy">
    <w:name w:val="Body copy"/>
    <w:basedOn w:val="Normal"/>
    <w:uiPriority w:val="99"/>
    <w:rsid w:val="00212C8B"/>
    <w:pPr>
      <w:widowControl w:val="0"/>
      <w:suppressAutoHyphens/>
      <w:autoSpaceDE w:val="0"/>
      <w:autoSpaceDN w:val="0"/>
      <w:adjustRightInd w:val="0"/>
      <w:spacing w:after="113" w:line="270" w:lineRule="atLeast"/>
      <w:jc w:val="left"/>
      <w:textAlignment w:val="center"/>
    </w:pPr>
    <w:rPr>
      <w:rFonts w:ascii="AkkoPro-Light" w:eastAsiaTheme="minorEastAsia" w:hAnsi="AkkoPro-Light" w:cs="AkkoPro-Light"/>
      <w:color w:val="000000"/>
      <w:sz w:val="18"/>
      <w:szCs w:val="18"/>
      <w:lang w:val="en-US" w:eastAsia="en-US"/>
    </w:rPr>
  </w:style>
  <w:style w:type="character" w:customStyle="1" w:styleId="mediaitemsummary">
    <w:name w:val="mediaitemsummary"/>
    <w:basedOn w:val="DefaultParagraphFont"/>
    <w:rsid w:val="00C90205"/>
  </w:style>
  <w:style w:type="paragraph" w:styleId="Revision">
    <w:name w:val="Revision"/>
    <w:hidden/>
    <w:uiPriority w:val="99"/>
    <w:semiHidden/>
    <w:rsid w:val="00F27B87"/>
    <w:rPr>
      <w:rFonts w:ascii="Calibri" w:eastAsia="Times New Roman" w:hAnsi="Calibri"/>
    </w:rPr>
  </w:style>
  <w:style w:type="paragraph" w:customStyle="1" w:styleId="Heading11">
    <w:name w:val="Heading 1.1"/>
    <w:basedOn w:val="Heading1"/>
    <w:link w:val="Heading11Char"/>
    <w:qFormat/>
    <w:rsid w:val="00082BA8"/>
    <w:pPr>
      <w:numPr>
        <w:ilvl w:val="1"/>
      </w:numPr>
      <w:spacing w:before="240"/>
    </w:pPr>
    <w:rPr>
      <w:sz w:val="40"/>
      <w:szCs w:val="40"/>
    </w:rPr>
  </w:style>
  <w:style w:type="paragraph" w:customStyle="1" w:styleId="Attachment">
    <w:name w:val="Attachment"/>
    <w:basedOn w:val="Heading1"/>
    <w:link w:val="AttachmentChar"/>
    <w:qFormat/>
    <w:rsid w:val="00642205"/>
    <w:pPr>
      <w:numPr>
        <w:numId w:val="0"/>
      </w:numPr>
    </w:pPr>
  </w:style>
  <w:style w:type="character" w:customStyle="1" w:styleId="Heading11Char">
    <w:name w:val="Heading 1.1 Char"/>
    <w:basedOn w:val="Heading1Char"/>
    <w:link w:val="Heading11"/>
    <w:rsid w:val="00082BA8"/>
    <w:rPr>
      <w:rFonts w:ascii="Calibri" w:eastAsia="Times New Roman" w:hAnsi="Calibri"/>
      <w:b/>
      <w:color w:val="5F497A" w:themeColor="accent4" w:themeShade="BF"/>
      <w:sz w:val="40"/>
      <w:szCs w:val="40"/>
      <w:lang w:val="en-GB" w:eastAsia="en-US"/>
    </w:rPr>
  </w:style>
  <w:style w:type="paragraph" w:customStyle="1" w:styleId="CaseStudy">
    <w:name w:val="Case Study"/>
    <w:basedOn w:val="Heading1"/>
    <w:link w:val="CaseStudyChar"/>
    <w:qFormat/>
    <w:rsid w:val="00D15282"/>
    <w:pPr>
      <w:numPr>
        <w:numId w:val="0"/>
      </w:numPr>
      <w:ind w:left="360" w:hanging="360"/>
    </w:pPr>
    <w:rPr>
      <w:sz w:val="22"/>
      <w:szCs w:val="22"/>
    </w:rPr>
  </w:style>
  <w:style w:type="character" w:customStyle="1" w:styleId="AttachmentChar">
    <w:name w:val="Attachment Char"/>
    <w:basedOn w:val="Heading1Char"/>
    <w:link w:val="Attachment"/>
    <w:rsid w:val="00642205"/>
    <w:rPr>
      <w:rFonts w:ascii="Calibri" w:eastAsia="Times New Roman" w:hAnsi="Calibri"/>
      <w:b/>
      <w:color w:val="5F497A" w:themeColor="accent4" w:themeShade="BF"/>
      <w:sz w:val="48"/>
      <w:szCs w:val="48"/>
      <w:lang w:val="en-GB" w:eastAsia="en-US"/>
    </w:rPr>
  </w:style>
  <w:style w:type="paragraph" w:customStyle="1" w:styleId="Figure1">
    <w:name w:val="Figure 1"/>
    <w:basedOn w:val="Normal"/>
    <w:link w:val="Figure1Char"/>
    <w:qFormat/>
    <w:rsid w:val="008600C5"/>
    <w:rPr>
      <w:rFonts w:ascii="Century Gothic" w:hAnsi="Century Gothic" w:cs="Calibri"/>
    </w:rPr>
  </w:style>
  <w:style w:type="character" w:customStyle="1" w:styleId="CaseStudyChar">
    <w:name w:val="Case Study Char"/>
    <w:basedOn w:val="Heading1Char"/>
    <w:link w:val="CaseStudy"/>
    <w:rsid w:val="00D15282"/>
    <w:rPr>
      <w:rFonts w:ascii="Calibri" w:eastAsia="Times New Roman" w:hAnsi="Calibri"/>
      <w:b/>
      <w:color w:val="5F497A" w:themeColor="accent4" w:themeShade="BF"/>
      <w:sz w:val="22"/>
      <w:szCs w:val="22"/>
      <w:lang w:val="en-GB" w:eastAsia="en-US"/>
    </w:rPr>
  </w:style>
  <w:style w:type="character" w:customStyle="1" w:styleId="Figure1Char">
    <w:name w:val="Figure 1 Char"/>
    <w:basedOn w:val="DefaultParagraphFont"/>
    <w:link w:val="Figure1"/>
    <w:rsid w:val="008600C5"/>
    <w:rPr>
      <w:rFonts w:ascii="Century Gothic" w:eastAsia="Times New Roman" w:hAnsi="Century Gothic" w:cs="Calibri"/>
    </w:rPr>
  </w:style>
  <w:style w:type="paragraph" w:styleId="PlainText">
    <w:name w:val="Plain Text"/>
    <w:basedOn w:val="Normal"/>
    <w:link w:val="PlainTextChar"/>
    <w:uiPriority w:val="99"/>
    <w:semiHidden/>
    <w:unhideWhenUsed/>
    <w:rsid w:val="00301EE6"/>
    <w:pPr>
      <w:spacing w:after="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semiHidden/>
    <w:rsid w:val="00301EE6"/>
    <w:rPr>
      <w:rFonts w:ascii="Consolas" w:eastAsiaTheme="minorHAnsi" w:hAnsi="Consolas" w:cs="Consolas"/>
      <w:sz w:val="21"/>
      <w:szCs w:val="21"/>
    </w:rPr>
  </w:style>
  <w:style w:type="paragraph" w:customStyle="1" w:styleId="Pa4">
    <w:name w:val="Pa4"/>
    <w:basedOn w:val="Normal"/>
    <w:next w:val="Normal"/>
    <w:uiPriority w:val="99"/>
    <w:rsid w:val="00D8493A"/>
    <w:pPr>
      <w:autoSpaceDE w:val="0"/>
      <w:autoSpaceDN w:val="0"/>
      <w:adjustRightInd w:val="0"/>
      <w:spacing w:after="0" w:line="181" w:lineRule="atLeast"/>
      <w:jc w:val="left"/>
    </w:pPr>
    <w:rPr>
      <w:rFonts w:ascii="Adobe Garamond Pro" w:hAnsi="Adobe Garamond Pro"/>
      <w:sz w:val="24"/>
      <w:szCs w:val="24"/>
    </w:rPr>
  </w:style>
  <w:style w:type="paragraph" w:styleId="BodyText">
    <w:name w:val="Body Text"/>
    <w:link w:val="BodyTextChar"/>
    <w:rsid w:val="00C85F0B"/>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eastAsia="Times New Roman"/>
      <w:sz w:val="22"/>
      <w:szCs w:val="22"/>
    </w:rPr>
  </w:style>
  <w:style w:type="character" w:customStyle="1" w:styleId="BodyTextChar">
    <w:name w:val="Body Text Char"/>
    <w:basedOn w:val="DefaultParagraphFont"/>
    <w:link w:val="BodyText"/>
    <w:rsid w:val="00C85F0B"/>
    <w:rPr>
      <w:rFonts w:eastAsia="Times New Roman"/>
      <w:sz w:val="22"/>
      <w:szCs w:val="22"/>
    </w:rPr>
  </w:style>
  <w:style w:type="paragraph" w:customStyle="1" w:styleId="LegalClauseLevel1">
    <w:name w:val="Legal Clause Level 1"/>
    <w:basedOn w:val="Normal"/>
    <w:rsid w:val="00C85F0B"/>
    <w:pPr>
      <w:numPr>
        <w:numId w:val="123"/>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C85F0B"/>
    <w:pPr>
      <w:keepNext/>
      <w:numPr>
        <w:ilvl w:val="1"/>
        <w:numId w:val="123"/>
      </w:numPr>
      <w:spacing w:before="60" w:after="60" w:line="280" w:lineRule="exact"/>
      <w:jc w:val="left"/>
    </w:pPr>
    <w:rPr>
      <w:rFonts w:ascii="Arial" w:eastAsiaTheme="minorHAnsi"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56784">
      <w:bodyDiv w:val="1"/>
      <w:marLeft w:val="0"/>
      <w:marRight w:val="0"/>
      <w:marTop w:val="0"/>
      <w:marBottom w:val="0"/>
      <w:divBdr>
        <w:top w:val="none" w:sz="0" w:space="0" w:color="auto"/>
        <w:left w:val="none" w:sz="0" w:space="0" w:color="auto"/>
        <w:bottom w:val="none" w:sz="0" w:space="0" w:color="auto"/>
        <w:right w:val="none" w:sz="0" w:space="0" w:color="auto"/>
      </w:divBdr>
      <w:divsChild>
        <w:div w:id="617876304">
          <w:marLeft w:val="0"/>
          <w:marRight w:val="0"/>
          <w:marTop w:val="0"/>
          <w:marBottom w:val="0"/>
          <w:divBdr>
            <w:top w:val="none" w:sz="0" w:space="0" w:color="auto"/>
            <w:left w:val="none" w:sz="0" w:space="0" w:color="auto"/>
            <w:bottom w:val="none" w:sz="0" w:space="0" w:color="auto"/>
            <w:right w:val="none" w:sz="0" w:space="0" w:color="auto"/>
          </w:divBdr>
          <w:divsChild>
            <w:div w:id="1061713766">
              <w:marLeft w:val="0"/>
              <w:marRight w:val="0"/>
              <w:marTop w:val="0"/>
              <w:marBottom w:val="0"/>
              <w:divBdr>
                <w:top w:val="none" w:sz="0" w:space="0" w:color="auto"/>
                <w:left w:val="none" w:sz="0" w:space="0" w:color="auto"/>
                <w:bottom w:val="none" w:sz="0" w:space="0" w:color="auto"/>
                <w:right w:val="none" w:sz="0" w:space="0" w:color="auto"/>
              </w:divBdr>
              <w:divsChild>
                <w:div w:id="915018645">
                  <w:marLeft w:val="0"/>
                  <w:marRight w:val="0"/>
                  <w:marTop w:val="0"/>
                  <w:marBottom w:val="0"/>
                  <w:divBdr>
                    <w:top w:val="none" w:sz="0" w:space="0" w:color="auto"/>
                    <w:left w:val="none" w:sz="0" w:space="0" w:color="auto"/>
                    <w:bottom w:val="none" w:sz="0" w:space="0" w:color="auto"/>
                    <w:right w:val="none" w:sz="0" w:space="0" w:color="auto"/>
                  </w:divBdr>
                  <w:divsChild>
                    <w:div w:id="1161310860">
                      <w:marLeft w:val="150"/>
                      <w:marRight w:val="150"/>
                      <w:marTop w:val="0"/>
                      <w:marBottom w:val="0"/>
                      <w:divBdr>
                        <w:top w:val="none" w:sz="0" w:space="0" w:color="auto"/>
                        <w:left w:val="none" w:sz="0" w:space="0" w:color="auto"/>
                        <w:bottom w:val="none" w:sz="0" w:space="0" w:color="auto"/>
                        <w:right w:val="none" w:sz="0" w:space="0" w:color="auto"/>
                      </w:divBdr>
                      <w:divsChild>
                        <w:div w:id="667052748">
                          <w:marLeft w:val="0"/>
                          <w:marRight w:val="0"/>
                          <w:marTop w:val="0"/>
                          <w:marBottom w:val="0"/>
                          <w:divBdr>
                            <w:top w:val="none" w:sz="0" w:space="0" w:color="auto"/>
                            <w:left w:val="none" w:sz="0" w:space="0" w:color="auto"/>
                            <w:bottom w:val="none" w:sz="0" w:space="0" w:color="auto"/>
                            <w:right w:val="none" w:sz="0" w:space="0" w:color="auto"/>
                          </w:divBdr>
                          <w:divsChild>
                            <w:div w:id="1077747145">
                              <w:marLeft w:val="0"/>
                              <w:marRight w:val="0"/>
                              <w:marTop w:val="0"/>
                              <w:marBottom w:val="240"/>
                              <w:divBdr>
                                <w:top w:val="none" w:sz="0" w:space="0" w:color="auto"/>
                                <w:left w:val="none" w:sz="0" w:space="0" w:color="auto"/>
                                <w:bottom w:val="none" w:sz="0" w:space="0" w:color="auto"/>
                                <w:right w:val="none" w:sz="0" w:space="0" w:color="auto"/>
                              </w:divBdr>
                              <w:divsChild>
                                <w:div w:id="318851656">
                                  <w:marLeft w:val="0"/>
                                  <w:marRight w:val="0"/>
                                  <w:marTop w:val="0"/>
                                  <w:marBottom w:val="0"/>
                                  <w:divBdr>
                                    <w:top w:val="none" w:sz="0" w:space="0" w:color="auto"/>
                                    <w:left w:val="none" w:sz="0" w:space="0" w:color="auto"/>
                                    <w:bottom w:val="none" w:sz="0" w:space="0" w:color="auto"/>
                                    <w:right w:val="none" w:sz="0" w:space="0" w:color="auto"/>
                                  </w:divBdr>
                                  <w:divsChild>
                                    <w:div w:id="1548835944">
                                      <w:marLeft w:val="0"/>
                                      <w:marRight w:val="0"/>
                                      <w:marTop w:val="0"/>
                                      <w:marBottom w:val="0"/>
                                      <w:divBdr>
                                        <w:top w:val="none" w:sz="0" w:space="0" w:color="auto"/>
                                        <w:left w:val="none" w:sz="0" w:space="0" w:color="auto"/>
                                        <w:bottom w:val="none" w:sz="0" w:space="0" w:color="auto"/>
                                        <w:right w:val="none" w:sz="0" w:space="0" w:color="auto"/>
                                      </w:divBdr>
                                      <w:divsChild>
                                        <w:div w:id="1965193540">
                                          <w:marLeft w:val="0"/>
                                          <w:marRight w:val="0"/>
                                          <w:marTop w:val="0"/>
                                          <w:marBottom w:val="0"/>
                                          <w:divBdr>
                                            <w:top w:val="none" w:sz="0" w:space="0" w:color="auto"/>
                                            <w:left w:val="none" w:sz="0" w:space="0" w:color="auto"/>
                                            <w:bottom w:val="none" w:sz="0" w:space="0" w:color="auto"/>
                                            <w:right w:val="none" w:sz="0" w:space="0" w:color="auto"/>
                                          </w:divBdr>
                                          <w:divsChild>
                                            <w:div w:id="1278220763">
                                              <w:marLeft w:val="0"/>
                                              <w:marRight w:val="0"/>
                                              <w:marTop w:val="0"/>
                                              <w:marBottom w:val="0"/>
                                              <w:divBdr>
                                                <w:top w:val="none" w:sz="0" w:space="0" w:color="auto"/>
                                                <w:left w:val="none" w:sz="0" w:space="0" w:color="auto"/>
                                                <w:bottom w:val="none" w:sz="0" w:space="0" w:color="auto"/>
                                                <w:right w:val="none" w:sz="0" w:space="0" w:color="auto"/>
                                              </w:divBdr>
                                              <w:divsChild>
                                                <w:div w:id="1033119535">
                                                  <w:marLeft w:val="0"/>
                                                  <w:marRight w:val="0"/>
                                                  <w:marTop w:val="0"/>
                                                  <w:marBottom w:val="0"/>
                                                  <w:divBdr>
                                                    <w:top w:val="none" w:sz="0" w:space="0" w:color="auto"/>
                                                    <w:left w:val="none" w:sz="0" w:space="0" w:color="auto"/>
                                                    <w:bottom w:val="none" w:sz="0" w:space="0" w:color="auto"/>
                                                    <w:right w:val="none" w:sz="0" w:space="0" w:color="auto"/>
                                                  </w:divBdr>
                                                  <w:divsChild>
                                                    <w:div w:id="6789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486626">
      <w:bodyDiv w:val="1"/>
      <w:marLeft w:val="0"/>
      <w:marRight w:val="0"/>
      <w:marTop w:val="0"/>
      <w:marBottom w:val="0"/>
      <w:divBdr>
        <w:top w:val="none" w:sz="0" w:space="0" w:color="auto"/>
        <w:left w:val="none" w:sz="0" w:space="0" w:color="auto"/>
        <w:bottom w:val="none" w:sz="0" w:space="0" w:color="auto"/>
        <w:right w:val="none" w:sz="0" w:space="0" w:color="auto"/>
      </w:divBdr>
    </w:div>
    <w:div w:id="192573748">
      <w:bodyDiv w:val="1"/>
      <w:marLeft w:val="0"/>
      <w:marRight w:val="0"/>
      <w:marTop w:val="0"/>
      <w:marBottom w:val="0"/>
      <w:divBdr>
        <w:top w:val="none" w:sz="0" w:space="0" w:color="auto"/>
        <w:left w:val="none" w:sz="0" w:space="0" w:color="auto"/>
        <w:bottom w:val="none" w:sz="0" w:space="0" w:color="auto"/>
        <w:right w:val="none" w:sz="0" w:space="0" w:color="auto"/>
      </w:divBdr>
    </w:div>
    <w:div w:id="200479690">
      <w:bodyDiv w:val="1"/>
      <w:marLeft w:val="0"/>
      <w:marRight w:val="0"/>
      <w:marTop w:val="0"/>
      <w:marBottom w:val="0"/>
      <w:divBdr>
        <w:top w:val="none" w:sz="0" w:space="0" w:color="auto"/>
        <w:left w:val="none" w:sz="0" w:space="0" w:color="auto"/>
        <w:bottom w:val="none" w:sz="0" w:space="0" w:color="auto"/>
        <w:right w:val="none" w:sz="0" w:space="0" w:color="auto"/>
      </w:divBdr>
      <w:divsChild>
        <w:div w:id="1955401122">
          <w:marLeft w:val="0"/>
          <w:marRight w:val="0"/>
          <w:marTop w:val="0"/>
          <w:marBottom w:val="0"/>
          <w:divBdr>
            <w:top w:val="none" w:sz="0" w:space="0" w:color="auto"/>
            <w:left w:val="none" w:sz="0" w:space="0" w:color="auto"/>
            <w:bottom w:val="none" w:sz="0" w:space="0" w:color="auto"/>
            <w:right w:val="none" w:sz="0" w:space="0" w:color="auto"/>
          </w:divBdr>
          <w:divsChild>
            <w:div w:id="1354108398">
              <w:marLeft w:val="0"/>
              <w:marRight w:val="0"/>
              <w:marTop w:val="0"/>
              <w:marBottom w:val="0"/>
              <w:divBdr>
                <w:top w:val="none" w:sz="0" w:space="0" w:color="auto"/>
                <w:left w:val="none" w:sz="0" w:space="0" w:color="auto"/>
                <w:bottom w:val="none" w:sz="0" w:space="0" w:color="auto"/>
                <w:right w:val="none" w:sz="0" w:space="0" w:color="auto"/>
              </w:divBdr>
              <w:divsChild>
                <w:div w:id="162858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14340">
      <w:bodyDiv w:val="1"/>
      <w:marLeft w:val="0"/>
      <w:marRight w:val="0"/>
      <w:marTop w:val="0"/>
      <w:marBottom w:val="0"/>
      <w:divBdr>
        <w:top w:val="none" w:sz="0" w:space="0" w:color="auto"/>
        <w:left w:val="none" w:sz="0" w:space="0" w:color="auto"/>
        <w:bottom w:val="none" w:sz="0" w:space="0" w:color="auto"/>
        <w:right w:val="none" w:sz="0" w:space="0" w:color="auto"/>
      </w:divBdr>
    </w:div>
    <w:div w:id="423232296">
      <w:bodyDiv w:val="1"/>
      <w:marLeft w:val="0"/>
      <w:marRight w:val="0"/>
      <w:marTop w:val="0"/>
      <w:marBottom w:val="0"/>
      <w:divBdr>
        <w:top w:val="none" w:sz="0" w:space="0" w:color="auto"/>
        <w:left w:val="none" w:sz="0" w:space="0" w:color="auto"/>
        <w:bottom w:val="none" w:sz="0" w:space="0" w:color="auto"/>
        <w:right w:val="none" w:sz="0" w:space="0" w:color="auto"/>
      </w:divBdr>
    </w:div>
    <w:div w:id="433206338">
      <w:bodyDiv w:val="1"/>
      <w:marLeft w:val="0"/>
      <w:marRight w:val="0"/>
      <w:marTop w:val="0"/>
      <w:marBottom w:val="0"/>
      <w:divBdr>
        <w:top w:val="none" w:sz="0" w:space="0" w:color="auto"/>
        <w:left w:val="none" w:sz="0" w:space="0" w:color="auto"/>
        <w:bottom w:val="none" w:sz="0" w:space="0" w:color="auto"/>
        <w:right w:val="none" w:sz="0" w:space="0" w:color="auto"/>
      </w:divBdr>
    </w:div>
    <w:div w:id="443155312">
      <w:bodyDiv w:val="1"/>
      <w:marLeft w:val="0"/>
      <w:marRight w:val="0"/>
      <w:marTop w:val="0"/>
      <w:marBottom w:val="0"/>
      <w:divBdr>
        <w:top w:val="none" w:sz="0" w:space="0" w:color="auto"/>
        <w:left w:val="none" w:sz="0" w:space="0" w:color="auto"/>
        <w:bottom w:val="none" w:sz="0" w:space="0" w:color="auto"/>
        <w:right w:val="none" w:sz="0" w:space="0" w:color="auto"/>
      </w:divBdr>
      <w:divsChild>
        <w:div w:id="1535458732">
          <w:marLeft w:val="0"/>
          <w:marRight w:val="0"/>
          <w:marTop w:val="0"/>
          <w:marBottom w:val="0"/>
          <w:divBdr>
            <w:top w:val="none" w:sz="0" w:space="0" w:color="auto"/>
            <w:left w:val="none" w:sz="0" w:space="0" w:color="auto"/>
            <w:bottom w:val="none" w:sz="0" w:space="0" w:color="auto"/>
            <w:right w:val="none" w:sz="0" w:space="0" w:color="auto"/>
          </w:divBdr>
          <w:divsChild>
            <w:div w:id="1671565709">
              <w:marLeft w:val="0"/>
              <w:marRight w:val="0"/>
              <w:marTop w:val="0"/>
              <w:marBottom w:val="0"/>
              <w:divBdr>
                <w:top w:val="none" w:sz="0" w:space="0" w:color="auto"/>
                <w:left w:val="none" w:sz="0" w:space="0" w:color="auto"/>
                <w:bottom w:val="none" w:sz="0" w:space="0" w:color="auto"/>
                <w:right w:val="none" w:sz="0" w:space="0" w:color="auto"/>
              </w:divBdr>
              <w:divsChild>
                <w:div w:id="467354775">
                  <w:marLeft w:val="0"/>
                  <w:marRight w:val="0"/>
                  <w:marTop w:val="0"/>
                  <w:marBottom w:val="0"/>
                  <w:divBdr>
                    <w:top w:val="none" w:sz="0" w:space="0" w:color="auto"/>
                    <w:left w:val="none" w:sz="0" w:space="0" w:color="auto"/>
                    <w:bottom w:val="none" w:sz="0" w:space="0" w:color="auto"/>
                    <w:right w:val="none" w:sz="0" w:space="0" w:color="auto"/>
                  </w:divBdr>
                  <w:divsChild>
                    <w:div w:id="32121025">
                      <w:marLeft w:val="150"/>
                      <w:marRight w:val="150"/>
                      <w:marTop w:val="0"/>
                      <w:marBottom w:val="0"/>
                      <w:divBdr>
                        <w:top w:val="none" w:sz="0" w:space="0" w:color="auto"/>
                        <w:left w:val="none" w:sz="0" w:space="0" w:color="auto"/>
                        <w:bottom w:val="none" w:sz="0" w:space="0" w:color="auto"/>
                        <w:right w:val="none" w:sz="0" w:space="0" w:color="auto"/>
                      </w:divBdr>
                      <w:divsChild>
                        <w:div w:id="1060859988">
                          <w:marLeft w:val="0"/>
                          <w:marRight w:val="0"/>
                          <w:marTop w:val="0"/>
                          <w:marBottom w:val="0"/>
                          <w:divBdr>
                            <w:top w:val="none" w:sz="0" w:space="0" w:color="auto"/>
                            <w:left w:val="none" w:sz="0" w:space="0" w:color="auto"/>
                            <w:bottom w:val="none" w:sz="0" w:space="0" w:color="auto"/>
                            <w:right w:val="none" w:sz="0" w:space="0" w:color="auto"/>
                          </w:divBdr>
                          <w:divsChild>
                            <w:div w:id="1767534321">
                              <w:marLeft w:val="0"/>
                              <w:marRight w:val="0"/>
                              <w:marTop w:val="0"/>
                              <w:marBottom w:val="240"/>
                              <w:divBdr>
                                <w:top w:val="none" w:sz="0" w:space="0" w:color="auto"/>
                                <w:left w:val="none" w:sz="0" w:space="0" w:color="auto"/>
                                <w:bottom w:val="none" w:sz="0" w:space="0" w:color="auto"/>
                                <w:right w:val="none" w:sz="0" w:space="0" w:color="auto"/>
                              </w:divBdr>
                              <w:divsChild>
                                <w:div w:id="1570530073">
                                  <w:marLeft w:val="0"/>
                                  <w:marRight w:val="0"/>
                                  <w:marTop w:val="0"/>
                                  <w:marBottom w:val="0"/>
                                  <w:divBdr>
                                    <w:top w:val="none" w:sz="0" w:space="0" w:color="auto"/>
                                    <w:left w:val="none" w:sz="0" w:space="0" w:color="auto"/>
                                    <w:bottom w:val="none" w:sz="0" w:space="0" w:color="auto"/>
                                    <w:right w:val="none" w:sz="0" w:space="0" w:color="auto"/>
                                  </w:divBdr>
                                  <w:divsChild>
                                    <w:div w:id="2032536282">
                                      <w:marLeft w:val="0"/>
                                      <w:marRight w:val="0"/>
                                      <w:marTop w:val="0"/>
                                      <w:marBottom w:val="0"/>
                                      <w:divBdr>
                                        <w:top w:val="none" w:sz="0" w:space="0" w:color="auto"/>
                                        <w:left w:val="none" w:sz="0" w:space="0" w:color="auto"/>
                                        <w:bottom w:val="none" w:sz="0" w:space="0" w:color="auto"/>
                                        <w:right w:val="none" w:sz="0" w:space="0" w:color="auto"/>
                                      </w:divBdr>
                                      <w:divsChild>
                                        <w:div w:id="1381520219">
                                          <w:marLeft w:val="0"/>
                                          <w:marRight w:val="0"/>
                                          <w:marTop w:val="0"/>
                                          <w:marBottom w:val="0"/>
                                          <w:divBdr>
                                            <w:top w:val="none" w:sz="0" w:space="0" w:color="auto"/>
                                            <w:left w:val="none" w:sz="0" w:space="0" w:color="auto"/>
                                            <w:bottom w:val="none" w:sz="0" w:space="0" w:color="auto"/>
                                            <w:right w:val="none" w:sz="0" w:space="0" w:color="auto"/>
                                          </w:divBdr>
                                          <w:divsChild>
                                            <w:div w:id="196041897">
                                              <w:marLeft w:val="0"/>
                                              <w:marRight w:val="0"/>
                                              <w:marTop w:val="0"/>
                                              <w:marBottom w:val="0"/>
                                              <w:divBdr>
                                                <w:top w:val="none" w:sz="0" w:space="0" w:color="auto"/>
                                                <w:left w:val="none" w:sz="0" w:space="0" w:color="auto"/>
                                                <w:bottom w:val="none" w:sz="0" w:space="0" w:color="auto"/>
                                                <w:right w:val="none" w:sz="0" w:space="0" w:color="auto"/>
                                              </w:divBdr>
                                              <w:divsChild>
                                                <w:div w:id="1710297940">
                                                  <w:marLeft w:val="0"/>
                                                  <w:marRight w:val="0"/>
                                                  <w:marTop w:val="0"/>
                                                  <w:marBottom w:val="0"/>
                                                  <w:divBdr>
                                                    <w:top w:val="none" w:sz="0" w:space="0" w:color="auto"/>
                                                    <w:left w:val="none" w:sz="0" w:space="0" w:color="auto"/>
                                                    <w:bottom w:val="none" w:sz="0" w:space="0" w:color="auto"/>
                                                    <w:right w:val="none" w:sz="0" w:space="0" w:color="auto"/>
                                                  </w:divBdr>
                                                  <w:divsChild>
                                                    <w:div w:id="5211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3134403">
      <w:bodyDiv w:val="1"/>
      <w:marLeft w:val="0"/>
      <w:marRight w:val="0"/>
      <w:marTop w:val="0"/>
      <w:marBottom w:val="0"/>
      <w:divBdr>
        <w:top w:val="none" w:sz="0" w:space="0" w:color="auto"/>
        <w:left w:val="none" w:sz="0" w:space="0" w:color="auto"/>
        <w:bottom w:val="none" w:sz="0" w:space="0" w:color="auto"/>
        <w:right w:val="none" w:sz="0" w:space="0" w:color="auto"/>
      </w:divBdr>
      <w:divsChild>
        <w:div w:id="1523975940">
          <w:marLeft w:val="0"/>
          <w:marRight w:val="0"/>
          <w:marTop w:val="0"/>
          <w:marBottom w:val="0"/>
          <w:divBdr>
            <w:top w:val="none" w:sz="0" w:space="0" w:color="auto"/>
            <w:left w:val="none" w:sz="0" w:space="0" w:color="auto"/>
            <w:bottom w:val="none" w:sz="0" w:space="0" w:color="auto"/>
            <w:right w:val="none" w:sz="0" w:space="0" w:color="auto"/>
          </w:divBdr>
          <w:divsChild>
            <w:div w:id="755445732">
              <w:marLeft w:val="0"/>
              <w:marRight w:val="0"/>
              <w:marTop w:val="0"/>
              <w:marBottom w:val="0"/>
              <w:divBdr>
                <w:top w:val="none" w:sz="0" w:space="0" w:color="auto"/>
                <w:left w:val="none" w:sz="0" w:space="0" w:color="auto"/>
                <w:bottom w:val="none" w:sz="0" w:space="0" w:color="auto"/>
                <w:right w:val="none" w:sz="0" w:space="0" w:color="auto"/>
              </w:divBdr>
              <w:divsChild>
                <w:div w:id="2106067896">
                  <w:marLeft w:val="0"/>
                  <w:marRight w:val="0"/>
                  <w:marTop w:val="0"/>
                  <w:marBottom w:val="0"/>
                  <w:divBdr>
                    <w:top w:val="none" w:sz="0" w:space="0" w:color="auto"/>
                    <w:left w:val="none" w:sz="0" w:space="0" w:color="auto"/>
                    <w:bottom w:val="none" w:sz="0" w:space="0" w:color="auto"/>
                    <w:right w:val="none" w:sz="0" w:space="0" w:color="auto"/>
                  </w:divBdr>
                  <w:divsChild>
                    <w:div w:id="1043404184">
                      <w:marLeft w:val="150"/>
                      <w:marRight w:val="150"/>
                      <w:marTop w:val="0"/>
                      <w:marBottom w:val="0"/>
                      <w:divBdr>
                        <w:top w:val="none" w:sz="0" w:space="0" w:color="auto"/>
                        <w:left w:val="none" w:sz="0" w:space="0" w:color="auto"/>
                        <w:bottom w:val="none" w:sz="0" w:space="0" w:color="auto"/>
                        <w:right w:val="none" w:sz="0" w:space="0" w:color="auto"/>
                      </w:divBdr>
                      <w:divsChild>
                        <w:div w:id="1530677405">
                          <w:marLeft w:val="0"/>
                          <w:marRight w:val="0"/>
                          <w:marTop w:val="0"/>
                          <w:marBottom w:val="0"/>
                          <w:divBdr>
                            <w:top w:val="none" w:sz="0" w:space="0" w:color="auto"/>
                            <w:left w:val="none" w:sz="0" w:space="0" w:color="auto"/>
                            <w:bottom w:val="none" w:sz="0" w:space="0" w:color="auto"/>
                            <w:right w:val="none" w:sz="0" w:space="0" w:color="auto"/>
                          </w:divBdr>
                          <w:divsChild>
                            <w:div w:id="630987353">
                              <w:marLeft w:val="0"/>
                              <w:marRight w:val="0"/>
                              <w:marTop w:val="0"/>
                              <w:marBottom w:val="240"/>
                              <w:divBdr>
                                <w:top w:val="none" w:sz="0" w:space="0" w:color="auto"/>
                                <w:left w:val="none" w:sz="0" w:space="0" w:color="auto"/>
                                <w:bottom w:val="none" w:sz="0" w:space="0" w:color="auto"/>
                                <w:right w:val="none" w:sz="0" w:space="0" w:color="auto"/>
                              </w:divBdr>
                              <w:divsChild>
                                <w:div w:id="998996087">
                                  <w:marLeft w:val="0"/>
                                  <w:marRight w:val="0"/>
                                  <w:marTop w:val="0"/>
                                  <w:marBottom w:val="0"/>
                                  <w:divBdr>
                                    <w:top w:val="none" w:sz="0" w:space="0" w:color="auto"/>
                                    <w:left w:val="none" w:sz="0" w:space="0" w:color="auto"/>
                                    <w:bottom w:val="none" w:sz="0" w:space="0" w:color="auto"/>
                                    <w:right w:val="none" w:sz="0" w:space="0" w:color="auto"/>
                                  </w:divBdr>
                                  <w:divsChild>
                                    <w:div w:id="1271472325">
                                      <w:marLeft w:val="0"/>
                                      <w:marRight w:val="0"/>
                                      <w:marTop w:val="0"/>
                                      <w:marBottom w:val="0"/>
                                      <w:divBdr>
                                        <w:top w:val="none" w:sz="0" w:space="0" w:color="auto"/>
                                        <w:left w:val="none" w:sz="0" w:space="0" w:color="auto"/>
                                        <w:bottom w:val="none" w:sz="0" w:space="0" w:color="auto"/>
                                        <w:right w:val="none" w:sz="0" w:space="0" w:color="auto"/>
                                      </w:divBdr>
                                      <w:divsChild>
                                        <w:div w:id="1916351997">
                                          <w:marLeft w:val="0"/>
                                          <w:marRight w:val="0"/>
                                          <w:marTop w:val="0"/>
                                          <w:marBottom w:val="0"/>
                                          <w:divBdr>
                                            <w:top w:val="none" w:sz="0" w:space="0" w:color="auto"/>
                                            <w:left w:val="none" w:sz="0" w:space="0" w:color="auto"/>
                                            <w:bottom w:val="none" w:sz="0" w:space="0" w:color="auto"/>
                                            <w:right w:val="none" w:sz="0" w:space="0" w:color="auto"/>
                                          </w:divBdr>
                                          <w:divsChild>
                                            <w:div w:id="1641301764">
                                              <w:marLeft w:val="0"/>
                                              <w:marRight w:val="0"/>
                                              <w:marTop w:val="0"/>
                                              <w:marBottom w:val="0"/>
                                              <w:divBdr>
                                                <w:top w:val="none" w:sz="0" w:space="0" w:color="auto"/>
                                                <w:left w:val="none" w:sz="0" w:space="0" w:color="auto"/>
                                                <w:bottom w:val="none" w:sz="0" w:space="0" w:color="auto"/>
                                                <w:right w:val="none" w:sz="0" w:space="0" w:color="auto"/>
                                              </w:divBdr>
                                              <w:divsChild>
                                                <w:div w:id="1611277080">
                                                  <w:marLeft w:val="0"/>
                                                  <w:marRight w:val="0"/>
                                                  <w:marTop w:val="0"/>
                                                  <w:marBottom w:val="0"/>
                                                  <w:divBdr>
                                                    <w:top w:val="none" w:sz="0" w:space="0" w:color="auto"/>
                                                    <w:left w:val="none" w:sz="0" w:space="0" w:color="auto"/>
                                                    <w:bottom w:val="none" w:sz="0" w:space="0" w:color="auto"/>
                                                    <w:right w:val="none" w:sz="0" w:space="0" w:color="auto"/>
                                                  </w:divBdr>
                                                  <w:divsChild>
                                                    <w:div w:id="44292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1574570">
      <w:bodyDiv w:val="1"/>
      <w:marLeft w:val="0"/>
      <w:marRight w:val="0"/>
      <w:marTop w:val="0"/>
      <w:marBottom w:val="0"/>
      <w:divBdr>
        <w:top w:val="none" w:sz="0" w:space="0" w:color="auto"/>
        <w:left w:val="none" w:sz="0" w:space="0" w:color="auto"/>
        <w:bottom w:val="none" w:sz="0" w:space="0" w:color="auto"/>
        <w:right w:val="none" w:sz="0" w:space="0" w:color="auto"/>
      </w:divBdr>
      <w:divsChild>
        <w:div w:id="846208874">
          <w:marLeft w:val="0"/>
          <w:marRight w:val="0"/>
          <w:marTop w:val="0"/>
          <w:marBottom w:val="0"/>
          <w:divBdr>
            <w:top w:val="none" w:sz="0" w:space="0" w:color="auto"/>
            <w:left w:val="none" w:sz="0" w:space="0" w:color="auto"/>
            <w:bottom w:val="none" w:sz="0" w:space="0" w:color="auto"/>
            <w:right w:val="none" w:sz="0" w:space="0" w:color="auto"/>
          </w:divBdr>
          <w:divsChild>
            <w:div w:id="359858581">
              <w:marLeft w:val="0"/>
              <w:marRight w:val="0"/>
              <w:marTop w:val="0"/>
              <w:marBottom w:val="0"/>
              <w:divBdr>
                <w:top w:val="none" w:sz="0" w:space="0" w:color="auto"/>
                <w:left w:val="none" w:sz="0" w:space="0" w:color="auto"/>
                <w:bottom w:val="none" w:sz="0" w:space="0" w:color="auto"/>
                <w:right w:val="none" w:sz="0" w:space="0" w:color="auto"/>
              </w:divBdr>
              <w:divsChild>
                <w:div w:id="1307275659">
                  <w:marLeft w:val="0"/>
                  <w:marRight w:val="0"/>
                  <w:marTop w:val="0"/>
                  <w:marBottom w:val="0"/>
                  <w:divBdr>
                    <w:top w:val="none" w:sz="0" w:space="0" w:color="auto"/>
                    <w:left w:val="none" w:sz="0" w:space="0" w:color="auto"/>
                    <w:bottom w:val="none" w:sz="0" w:space="0" w:color="auto"/>
                    <w:right w:val="none" w:sz="0" w:space="0" w:color="auto"/>
                  </w:divBdr>
                  <w:divsChild>
                    <w:div w:id="1067918764">
                      <w:marLeft w:val="150"/>
                      <w:marRight w:val="150"/>
                      <w:marTop w:val="0"/>
                      <w:marBottom w:val="0"/>
                      <w:divBdr>
                        <w:top w:val="none" w:sz="0" w:space="0" w:color="auto"/>
                        <w:left w:val="none" w:sz="0" w:space="0" w:color="auto"/>
                        <w:bottom w:val="none" w:sz="0" w:space="0" w:color="auto"/>
                        <w:right w:val="none" w:sz="0" w:space="0" w:color="auto"/>
                      </w:divBdr>
                      <w:divsChild>
                        <w:div w:id="664207608">
                          <w:marLeft w:val="0"/>
                          <w:marRight w:val="0"/>
                          <w:marTop w:val="0"/>
                          <w:marBottom w:val="0"/>
                          <w:divBdr>
                            <w:top w:val="none" w:sz="0" w:space="0" w:color="auto"/>
                            <w:left w:val="none" w:sz="0" w:space="0" w:color="auto"/>
                            <w:bottom w:val="none" w:sz="0" w:space="0" w:color="auto"/>
                            <w:right w:val="none" w:sz="0" w:space="0" w:color="auto"/>
                          </w:divBdr>
                          <w:divsChild>
                            <w:div w:id="1460994546">
                              <w:marLeft w:val="0"/>
                              <w:marRight w:val="0"/>
                              <w:marTop w:val="0"/>
                              <w:marBottom w:val="240"/>
                              <w:divBdr>
                                <w:top w:val="none" w:sz="0" w:space="0" w:color="auto"/>
                                <w:left w:val="none" w:sz="0" w:space="0" w:color="auto"/>
                                <w:bottom w:val="none" w:sz="0" w:space="0" w:color="auto"/>
                                <w:right w:val="none" w:sz="0" w:space="0" w:color="auto"/>
                              </w:divBdr>
                              <w:divsChild>
                                <w:div w:id="136800519">
                                  <w:marLeft w:val="0"/>
                                  <w:marRight w:val="0"/>
                                  <w:marTop w:val="0"/>
                                  <w:marBottom w:val="0"/>
                                  <w:divBdr>
                                    <w:top w:val="none" w:sz="0" w:space="0" w:color="auto"/>
                                    <w:left w:val="none" w:sz="0" w:space="0" w:color="auto"/>
                                    <w:bottom w:val="none" w:sz="0" w:space="0" w:color="auto"/>
                                    <w:right w:val="none" w:sz="0" w:space="0" w:color="auto"/>
                                  </w:divBdr>
                                  <w:divsChild>
                                    <w:div w:id="1778021468">
                                      <w:marLeft w:val="0"/>
                                      <w:marRight w:val="0"/>
                                      <w:marTop w:val="0"/>
                                      <w:marBottom w:val="0"/>
                                      <w:divBdr>
                                        <w:top w:val="none" w:sz="0" w:space="0" w:color="auto"/>
                                        <w:left w:val="none" w:sz="0" w:space="0" w:color="auto"/>
                                        <w:bottom w:val="none" w:sz="0" w:space="0" w:color="auto"/>
                                        <w:right w:val="none" w:sz="0" w:space="0" w:color="auto"/>
                                      </w:divBdr>
                                      <w:divsChild>
                                        <w:div w:id="325984688">
                                          <w:marLeft w:val="0"/>
                                          <w:marRight w:val="0"/>
                                          <w:marTop w:val="0"/>
                                          <w:marBottom w:val="0"/>
                                          <w:divBdr>
                                            <w:top w:val="none" w:sz="0" w:space="0" w:color="auto"/>
                                            <w:left w:val="none" w:sz="0" w:space="0" w:color="auto"/>
                                            <w:bottom w:val="none" w:sz="0" w:space="0" w:color="auto"/>
                                            <w:right w:val="none" w:sz="0" w:space="0" w:color="auto"/>
                                          </w:divBdr>
                                          <w:divsChild>
                                            <w:div w:id="395056256">
                                              <w:marLeft w:val="0"/>
                                              <w:marRight w:val="0"/>
                                              <w:marTop w:val="0"/>
                                              <w:marBottom w:val="0"/>
                                              <w:divBdr>
                                                <w:top w:val="none" w:sz="0" w:space="0" w:color="auto"/>
                                                <w:left w:val="none" w:sz="0" w:space="0" w:color="auto"/>
                                                <w:bottom w:val="none" w:sz="0" w:space="0" w:color="auto"/>
                                                <w:right w:val="none" w:sz="0" w:space="0" w:color="auto"/>
                                              </w:divBdr>
                                              <w:divsChild>
                                                <w:div w:id="74980578">
                                                  <w:marLeft w:val="0"/>
                                                  <w:marRight w:val="0"/>
                                                  <w:marTop w:val="0"/>
                                                  <w:marBottom w:val="0"/>
                                                  <w:divBdr>
                                                    <w:top w:val="none" w:sz="0" w:space="0" w:color="auto"/>
                                                    <w:left w:val="none" w:sz="0" w:space="0" w:color="auto"/>
                                                    <w:bottom w:val="none" w:sz="0" w:space="0" w:color="auto"/>
                                                    <w:right w:val="none" w:sz="0" w:space="0" w:color="auto"/>
                                                  </w:divBdr>
                                                  <w:divsChild>
                                                    <w:div w:id="12415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7708104">
      <w:bodyDiv w:val="1"/>
      <w:marLeft w:val="0"/>
      <w:marRight w:val="0"/>
      <w:marTop w:val="0"/>
      <w:marBottom w:val="0"/>
      <w:divBdr>
        <w:top w:val="none" w:sz="0" w:space="0" w:color="auto"/>
        <w:left w:val="none" w:sz="0" w:space="0" w:color="auto"/>
        <w:bottom w:val="none" w:sz="0" w:space="0" w:color="auto"/>
        <w:right w:val="none" w:sz="0" w:space="0" w:color="auto"/>
      </w:divBdr>
    </w:div>
    <w:div w:id="779493430">
      <w:bodyDiv w:val="1"/>
      <w:marLeft w:val="0"/>
      <w:marRight w:val="0"/>
      <w:marTop w:val="0"/>
      <w:marBottom w:val="0"/>
      <w:divBdr>
        <w:top w:val="none" w:sz="0" w:space="0" w:color="auto"/>
        <w:left w:val="none" w:sz="0" w:space="0" w:color="auto"/>
        <w:bottom w:val="none" w:sz="0" w:space="0" w:color="auto"/>
        <w:right w:val="none" w:sz="0" w:space="0" w:color="auto"/>
      </w:divBdr>
    </w:div>
    <w:div w:id="826557684">
      <w:bodyDiv w:val="1"/>
      <w:marLeft w:val="0"/>
      <w:marRight w:val="0"/>
      <w:marTop w:val="0"/>
      <w:marBottom w:val="0"/>
      <w:divBdr>
        <w:top w:val="none" w:sz="0" w:space="0" w:color="auto"/>
        <w:left w:val="none" w:sz="0" w:space="0" w:color="auto"/>
        <w:bottom w:val="none" w:sz="0" w:space="0" w:color="auto"/>
        <w:right w:val="none" w:sz="0" w:space="0" w:color="auto"/>
      </w:divBdr>
    </w:div>
    <w:div w:id="829292660">
      <w:bodyDiv w:val="1"/>
      <w:marLeft w:val="0"/>
      <w:marRight w:val="0"/>
      <w:marTop w:val="0"/>
      <w:marBottom w:val="0"/>
      <w:divBdr>
        <w:top w:val="none" w:sz="0" w:space="0" w:color="auto"/>
        <w:left w:val="none" w:sz="0" w:space="0" w:color="auto"/>
        <w:bottom w:val="none" w:sz="0" w:space="0" w:color="auto"/>
        <w:right w:val="none" w:sz="0" w:space="0" w:color="auto"/>
      </w:divBdr>
    </w:div>
    <w:div w:id="901326581">
      <w:bodyDiv w:val="1"/>
      <w:marLeft w:val="0"/>
      <w:marRight w:val="0"/>
      <w:marTop w:val="0"/>
      <w:marBottom w:val="0"/>
      <w:divBdr>
        <w:top w:val="none" w:sz="0" w:space="0" w:color="auto"/>
        <w:left w:val="none" w:sz="0" w:space="0" w:color="auto"/>
        <w:bottom w:val="none" w:sz="0" w:space="0" w:color="auto"/>
        <w:right w:val="none" w:sz="0" w:space="0" w:color="auto"/>
      </w:divBdr>
    </w:div>
    <w:div w:id="951861804">
      <w:bodyDiv w:val="1"/>
      <w:marLeft w:val="0"/>
      <w:marRight w:val="0"/>
      <w:marTop w:val="0"/>
      <w:marBottom w:val="0"/>
      <w:divBdr>
        <w:top w:val="none" w:sz="0" w:space="0" w:color="auto"/>
        <w:left w:val="none" w:sz="0" w:space="0" w:color="auto"/>
        <w:bottom w:val="none" w:sz="0" w:space="0" w:color="auto"/>
        <w:right w:val="none" w:sz="0" w:space="0" w:color="auto"/>
      </w:divBdr>
      <w:divsChild>
        <w:div w:id="1528327711">
          <w:marLeft w:val="0"/>
          <w:marRight w:val="0"/>
          <w:marTop w:val="0"/>
          <w:marBottom w:val="0"/>
          <w:divBdr>
            <w:top w:val="none" w:sz="0" w:space="0" w:color="auto"/>
            <w:left w:val="none" w:sz="0" w:space="0" w:color="auto"/>
            <w:bottom w:val="none" w:sz="0" w:space="0" w:color="auto"/>
            <w:right w:val="none" w:sz="0" w:space="0" w:color="auto"/>
          </w:divBdr>
          <w:divsChild>
            <w:div w:id="767852432">
              <w:marLeft w:val="0"/>
              <w:marRight w:val="0"/>
              <w:marTop w:val="0"/>
              <w:marBottom w:val="0"/>
              <w:divBdr>
                <w:top w:val="none" w:sz="0" w:space="0" w:color="auto"/>
                <w:left w:val="none" w:sz="0" w:space="0" w:color="auto"/>
                <w:bottom w:val="none" w:sz="0" w:space="0" w:color="auto"/>
                <w:right w:val="none" w:sz="0" w:space="0" w:color="auto"/>
              </w:divBdr>
              <w:divsChild>
                <w:div w:id="140075847">
                  <w:marLeft w:val="0"/>
                  <w:marRight w:val="0"/>
                  <w:marTop w:val="0"/>
                  <w:marBottom w:val="0"/>
                  <w:divBdr>
                    <w:top w:val="none" w:sz="0" w:space="0" w:color="auto"/>
                    <w:left w:val="none" w:sz="0" w:space="0" w:color="auto"/>
                    <w:bottom w:val="none" w:sz="0" w:space="0" w:color="auto"/>
                    <w:right w:val="none" w:sz="0" w:space="0" w:color="auto"/>
                  </w:divBdr>
                  <w:divsChild>
                    <w:div w:id="1735810932">
                      <w:marLeft w:val="150"/>
                      <w:marRight w:val="150"/>
                      <w:marTop w:val="0"/>
                      <w:marBottom w:val="0"/>
                      <w:divBdr>
                        <w:top w:val="none" w:sz="0" w:space="0" w:color="auto"/>
                        <w:left w:val="none" w:sz="0" w:space="0" w:color="auto"/>
                        <w:bottom w:val="none" w:sz="0" w:space="0" w:color="auto"/>
                        <w:right w:val="none" w:sz="0" w:space="0" w:color="auto"/>
                      </w:divBdr>
                      <w:divsChild>
                        <w:div w:id="800264566">
                          <w:marLeft w:val="0"/>
                          <w:marRight w:val="0"/>
                          <w:marTop w:val="0"/>
                          <w:marBottom w:val="0"/>
                          <w:divBdr>
                            <w:top w:val="none" w:sz="0" w:space="0" w:color="auto"/>
                            <w:left w:val="none" w:sz="0" w:space="0" w:color="auto"/>
                            <w:bottom w:val="none" w:sz="0" w:space="0" w:color="auto"/>
                            <w:right w:val="none" w:sz="0" w:space="0" w:color="auto"/>
                          </w:divBdr>
                          <w:divsChild>
                            <w:div w:id="765199501">
                              <w:marLeft w:val="0"/>
                              <w:marRight w:val="0"/>
                              <w:marTop w:val="0"/>
                              <w:marBottom w:val="240"/>
                              <w:divBdr>
                                <w:top w:val="none" w:sz="0" w:space="0" w:color="auto"/>
                                <w:left w:val="none" w:sz="0" w:space="0" w:color="auto"/>
                                <w:bottom w:val="none" w:sz="0" w:space="0" w:color="auto"/>
                                <w:right w:val="none" w:sz="0" w:space="0" w:color="auto"/>
                              </w:divBdr>
                              <w:divsChild>
                                <w:div w:id="1110246508">
                                  <w:marLeft w:val="0"/>
                                  <w:marRight w:val="0"/>
                                  <w:marTop w:val="0"/>
                                  <w:marBottom w:val="0"/>
                                  <w:divBdr>
                                    <w:top w:val="none" w:sz="0" w:space="0" w:color="auto"/>
                                    <w:left w:val="none" w:sz="0" w:space="0" w:color="auto"/>
                                    <w:bottom w:val="none" w:sz="0" w:space="0" w:color="auto"/>
                                    <w:right w:val="none" w:sz="0" w:space="0" w:color="auto"/>
                                  </w:divBdr>
                                  <w:divsChild>
                                    <w:div w:id="1820078839">
                                      <w:marLeft w:val="0"/>
                                      <w:marRight w:val="0"/>
                                      <w:marTop w:val="0"/>
                                      <w:marBottom w:val="0"/>
                                      <w:divBdr>
                                        <w:top w:val="none" w:sz="0" w:space="0" w:color="auto"/>
                                        <w:left w:val="none" w:sz="0" w:space="0" w:color="auto"/>
                                        <w:bottom w:val="none" w:sz="0" w:space="0" w:color="auto"/>
                                        <w:right w:val="none" w:sz="0" w:space="0" w:color="auto"/>
                                      </w:divBdr>
                                      <w:divsChild>
                                        <w:div w:id="1574002040">
                                          <w:marLeft w:val="0"/>
                                          <w:marRight w:val="0"/>
                                          <w:marTop w:val="0"/>
                                          <w:marBottom w:val="0"/>
                                          <w:divBdr>
                                            <w:top w:val="none" w:sz="0" w:space="0" w:color="auto"/>
                                            <w:left w:val="none" w:sz="0" w:space="0" w:color="auto"/>
                                            <w:bottom w:val="none" w:sz="0" w:space="0" w:color="auto"/>
                                            <w:right w:val="none" w:sz="0" w:space="0" w:color="auto"/>
                                          </w:divBdr>
                                          <w:divsChild>
                                            <w:div w:id="1872113233">
                                              <w:marLeft w:val="0"/>
                                              <w:marRight w:val="0"/>
                                              <w:marTop w:val="0"/>
                                              <w:marBottom w:val="0"/>
                                              <w:divBdr>
                                                <w:top w:val="none" w:sz="0" w:space="0" w:color="auto"/>
                                                <w:left w:val="none" w:sz="0" w:space="0" w:color="auto"/>
                                                <w:bottom w:val="none" w:sz="0" w:space="0" w:color="auto"/>
                                                <w:right w:val="none" w:sz="0" w:space="0" w:color="auto"/>
                                              </w:divBdr>
                                              <w:divsChild>
                                                <w:div w:id="2066442480">
                                                  <w:marLeft w:val="0"/>
                                                  <w:marRight w:val="0"/>
                                                  <w:marTop w:val="0"/>
                                                  <w:marBottom w:val="0"/>
                                                  <w:divBdr>
                                                    <w:top w:val="none" w:sz="0" w:space="0" w:color="auto"/>
                                                    <w:left w:val="none" w:sz="0" w:space="0" w:color="auto"/>
                                                    <w:bottom w:val="none" w:sz="0" w:space="0" w:color="auto"/>
                                                    <w:right w:val="none" w:sz="0" w:space="0" w:color="auto"/>
                                                  </w:divBdr>
                                                  <w:divsChild>
                                                    <w:div w:id="99773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0757965">
      <w:bodyDiv w:val="1"/>
      <w:marLeft w:val="0"/>
      <w:marRight w:val="0"/>
      <w:marTop w:val="0"/>
      <w:marBottom w:val="0"/>
      <w:divBdr>
        <w:top w:val="none" w:sz="0" w:space="0" w:color="auto"/>
        <w:left w:val="none" w:sz="0" w:space="0" w:color="auto"/>
        <w:bottom w:val="none" w:sz="0" w:space="0" w:color="auto"/>
        <w:right w:val="none" w:sz="0" w:space="0" w:color="auto"/>
      </w:divBdr>
    </w:div>
    <w:div w:id="1228104230">
      <w:bodyDiv w:val="1"/>
      <w:marLeft w:val="0"/>
      <w:marRight w:val="0"/>
      <w:marTop w:val="0"/>
      <w:marBottom w:val="0"/>
      <w:divBdr>
        <w:top w:val="none" w:sz="0" w:space="0" w:color="auto"/>
        <w:left w:val="none" w:sz="0" w:space="0" w:color="auto"/>
        <w:bottom w:val="none" w:sz="0" w:space="0" w:color="auto"/>
        <w:right w:val="none" w:sz="0" w:space="0" w:color="auto"/>
      </w:divBdr>
    </w:div>
    <w:div w:id="1490755300">
      <w:bodyDiv w:val="1"/>
      <w:marLeft w:val="0"/>
      <w:marRight w:val="0"/>
      <w:marTop w:val="0"/>
      <w:marBottom w:val="0"/>
      <w:divBdr>
        <w:top w:val="none" w:sz="0" w:space="0" w:color="auto"/>
        <w:left w:val="none" w:sz="0" w:space="0" w:color="auto"/>
        <w:bottom w:val="none" w:sz="0" w:space="0" w:color="auto"/>
        <w:right w:val="none" w:sz="0" w:space="0" w:color="auto"/>
      </w:divBdr>
    </w:div>
    <w:div w:id="1495681048">
      <w:bodyDiv w:val="1"/>
      <w:marLeft w:val="0"/>
      <w:marRight w:val="0"/>
      <w:marTop w:val="0"/>
      <w:marBottom w:val="0"/>
      <w:divBdr>
        <w:top w:val="none" w:sz="0" w:space="0" w:color="auto"/>
        <w:left w:val="none" w:sz="0" w:space="0" w:color="auto"/>
        <w:bottom w:val="none" w:sz="0" w:space="0" w:color="auto"/>
        <w:right w:val="none" w:sz="0" w:space="0" w:color="auto"/>
      </w:divBdr>
    </w:div>
    <w:div w:id="1716856307">
      <w:bodyDiv w:val="1"/>
      <w:marLeft w:val="0"/>
      <w:marRight w:val="0"/>
      <w:marTop w:val="0"/>
      <w:marBottom w:val="0"/>
      <w:divBdr>
        <w:top w:val="none" w:sz="0" w:space="0" w:color="auto"/>
        <w:left w:val="none" w:sz="0" w:space="0" w:color="auto"/>
        <w:bottom w:val="none" w:sz="0" w:space="0" w:color="auto"/>
        <w:right w:val="none" w:sz="0" w:space="0" w:color="auto"/>
      </w:divBdr>
    </w:div>
    <w:div w:id="189951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www.environment.gov.au/water/cewo/publications/environmental-water-outcomes-framework"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environment.gov.au/water/cewo/publications" TargetMode="External"/><Relationship Id="rId34" Type="http://schemas.openxmlformats.org/officeDocument/2006/relationships/image" Target="media/image5.png"/><Relationship Id="rId42" Type="http://schemas.openxmlformats.org/officeDocument/2006/relationships/hyperlink" Target="http://www.environment.gov.au/water/cewo/catchment/gwydir/monitoring" TargetMode="External"/><Relationship Id="rId47" Type="http://schemas.openxmlformats.org/officeDocument/2006/relationships/hyperlink" Target="http://www.environment.gov.au/water/cewo/catchment/lower-murray-darling/monitoring" TargetMode="External"/><Relationship Id="rId50" Type="http://schemas.openxmlformats.org/officeDocument/2006/relationships/hyperlink" Target="https://www.mdba.gov.au/publications/mdba-reports/basin-wide-environmental-watering-strategy-2014"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eader" Target="header7.xml"/><Relationship Id="rId38" Type="http://schemas.openxmlformats.org/officeDocument/2006/relationships/hyperlink" Target="http://www.environment.gov.au/water/cewo/trade" TargetMode="External"/><Relationship Id="rId46" Type="http://schemas.openxmlformats.org/officeDocument/2006/relationships/hyperlink" Target="http://www.environment.gov.au/water/cewo/catchment/northern-victorian-rivers/monitorin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www.environment.gov.au/water/cewo"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ewater@environment.gov.au" TargetMode="External"/><Relationship Id="rId32" Type="http://schemas.openxmlformats.org/officeDocument/2006/relationships/footer" Target="footer7.xml"/><Relationship Id="rId37" Type="http://schemas.openxmlformats.org/officeDocument/2006/relationships/hyperlink" Target="http://www.environment.gov.au/water/cewo/trade/trading-framework" TargetMode="External"/><Relationship Id="rId40" Type="http://schemas.openxmlformats.org/officeDocument/2006/relationships/hyperlink" Target="http://www.environment.gov.au/water/cewo/monitoring" TargetMode="External"/><Relationship Id="rId45" Type="http://schemas.openxmlformats.org/officeDocument/2006/relationships/hyperlink" Target="http://www.environment.gov.au/water/cewo/catchment/mid-murray/monitorin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environment.gov.au/ewater/partners/index.html" TargetMode="External"/><Relationship Id="rId28" Type="http://schemas.openxmlformats.org/officeDocument/2006/relationships/hyperlink" Target="http://www.environment.gov.au/water/cewo/about/water-holdings" TargetMode="External"/><Relationship Id="rId36" Type="http://schemas.openxmlformats.org/officeDocument/2006/relationships/hyperlink" Target="http://www.environment.gov.au/water/cewo/publications/framework-determining-cew-use" TargetMode="External"/><Relationship Id="rId49" Type="http://schemas.openxmlformats.org/officeDocument/2006/relationships/image" Target="media/image9.png"/><Relationship Id="rId10" Type="http://schemas.openxmlformats.org/officeDocument/2006/relationships/hyperlink" Target="http://www.environment.gov.au/water/cewo" TargetMode="External"/><Relationship Id="rId19" Type="http://schemas.openxmlformats.org/officeDocument/2006/relationships/header" Target="header5.xml"/><Relationship Id="rId31" Type="http://schemas.openxmlformats.org/officeDocument/2006/relationships/header" Target="header6.xml"/><Relationship Id="rId44" Type="http://schemas.openxmlformats.org/officeDocument/2006/relationships/hyperlink" Target="http://www.environment.gov.au/water/cewo/catchment/murrumbidgee/monitorin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water@environment.gov.au" TargetMode="External"/><Relationship Id="rId14" Type="http://schemas.openxmlformats.org/officeDocument/2006/relationships/footer" Target="footer2.xml"/><Relationship Id="rId22" Type="http://schemas.openxmlformats.org/officeDocument/2006/relationships/hyperlink" Target="http://www.environment.gov.au/water/cewo/local-engagement" TargetMode="External"/><Relationship Id="rId27" Type="http://schemas.openxmlformats.org/officeDocument/2006/relationships/hyperlink" Target="http://www.mdba.gov.au/managing-water/environmental-water/basin-annual-environmental-watering-priorities" TargetMode="External"/><Relationship Id="rId30" Type="http://schemas.openxmlformats.org/officeDocument/2006/relationships/image" Target="media/image4.jpeg"/><Relationship Id="rId35" Type="http://schemas.openxmlformats.org/officeDocument/2006/relationships/image" Target="media/image6.png"/><Relationship Id="rId43" Type="http://schemas.openxmlformats.org/officeDocument/2006/relationships/hyperlink" Target="http://www.environment.gov.au/water/cewo/catchment/lachlan/monitoring" TargetMode="External"/><Relationship Id="rId48" Type="http://schemas.openxmlformats.org/officeDocument/2006/relationships/hyperlink" Target="http://www.environment.gov.au/water/cewo/catchment/northern-unregulated-rivers/monitoring" TargetMode="External"/><Relationship Id="rId8" Type="http://schemas.openxmlformats.org/officeDocument/2006/relationships/image" Target="media/image1.jpeg"/><Relationship Id="rId51" Type="http://schemas.openxmlformats.org/officeDocument/2006/relationships/header" Target="header8.xml"/></Relationships>
</file>

<file path=word/_rels/foot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9E1AF-ABEE-47CF-AAC1-18EFD0A40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2B8850A4.dotm</Template>
  <TotalTime>0</TotalTime>
  <Pages>25</Pages>
  <Words>8325</Words>
  <Characters>51951</Characters>
  <Application>Microsoft Office Word</Application>
  <DocSecurity>0</DocSecurity>
  <Lines>1367</Lines>
  <Paragraphs>558</Paragraphs>
  <ScaleCrop>false</ScaleCrop>
  <Company/>
  <LinksUpToDate>false</LinksUpToDate>
  <CharactersWithSpaces>59718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Approach to planning for the use, carryover and trade of Commonwealth environmental water</dc:title>
  <dc:creator/>
  <cp:lastModifiedBy/>
  <cp:revision>1</cp:revision>
  <dcterms:created xsi:type="dcterms:W3CDTF">2019-07-05T04:01:00Z</dcterms:created>
  <dcterms:modified xsi:type="dcterms:W3CDTF">2019-07-05T04:01:00Z</dcterms:modified>
</cp:coreProperties>
</file>