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8ACA266" w14:textId="3CD757DB" w:rsidR="00D8493A" w:rsidRPr="00D8493A" w:rsidRDefault="00D8493A" w:rsidP="00D8493A">
      <w:pPr>
        <w:kinsoku w:val="0"/>
        <w:overflowPunct w:val="0"/>
        <w:autoSpaceDE w:val="0"/>
        <w:autoSpaceDN w:val="0"/>
        <w:adjustRightInd w:val="0"/>
        <w:spacing w:after="0" w:line="200" w:lineRule="atLeast"/>
        <w:ind w:left="119"/>
        <w:jc w:val="left"/>
        <w:rPr>
          <w:rFonts w:ascii="Times New Roman" w:eastAsia="Calibri" w:hAnsi="Times New Roman"/>
        </w:rPr>
      </w:pPr>
      <w:bookmarkStart w:id="0" w:name="_Toc382821590"/>
      <w:r w:rsidRPr="00D8493A">
        <w:rPr>
          <w:rFonts w:ascii="Times New Roman" w:eastAsia="Calibri" w:hAnsi="Times New Roman"/>
          <w:noProof/>
        </w:rPr>
        <w:drawing>
          <wp:inline distT="0" distB="0" distL="0" distR="0" wp14:anchorId="6E6D429F" wp14:editId="1F52321C">
            <wp:extent cx="3933825" cy="676275"/>
            <wp:effectExtent l="0" t="0" r="9525" b="9525"/>
            <wp:docPr id="18" name="Picture 18" title="Australian Government C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933825" cy="676275"/>
                    </a:xfrm>
                    <a:prstGeom prst="rect">
                      <a:avLst/>
                    </a:prstGeom>
                    <a:noFill/>
                    <a:ln>
                      <a:noFill/>
                    </a:ln>
                  </pic:spPr>
                </pic:pic>
              </a:graphicData>
            </a:graphic>
          </wp:inline>
        </w:drawing>
      </w:r>
    </w:p>
    <w:p w14:paraId="59DCBE3C" w14:textId="77777777" w:rsidR="00D8493A" w:rsidRDefault="00D8493A" w:rsidP="00410479"/>
    <w:p w14:paraId="2526A263" w14:textId="77777777" w:rsidR="00D8493A" w:rsidRDefault="00D8493A" w:rsidP="00410479">
      <w:pPr>
        <w:rPr>
          <w:b/>
          <w:sz w:val="36"/>
          <w:szCs w:val="36"/>
        </w:rPr>
      </w:pPr>
    </w:p>
    <w:p w14:paraId="2AF5ADEB" w14:textId="77777777" w:rsidR="00410479" w:rsidRPr="00D8493A" w:rsidRDefault="00410479" w:rsidP="00410479">
      <w:pPr>
        <w:rPr>
          <w:b/>
          <w:sz w:val="36"/>
          <w:szCs w:val="36"/>
        </w:rPr>
      </w:pPr>
      <w:r w:rsidRPr="00D8493A">
        <w:rPr>
          <w:b/>
          <w:sz w:val="36"/>
          <w:szCs w:val="36"/>
        </w:rPr>
        <w:t>Commonwealth Environmental W</w:t>
      </w:r>
      <w:bookmarkStart w:id="1" w:name="_GoBack"/>
      <w:bookmarkEnd w:id="1"/>
      <w:r w:rsidRPr="00D8493A">
        <w:rPr>
          <w:b/>
          <w:sz w:val="36"/>
          <w:szCs w:val="36"/>
        </w:rPr>
        <w:t>ater</w:t>
      </w:r>
    </w:p>
    <w:p w14:paraId="2E1DD53B" w14:textId="77777777" w:rsidR="00410479" w:rsidRPr="00D8493A" w:rsidRDefault="00410479" w:rsidP="00410479">
      <w:pPr>
        <w:rPr>
          <w:sz w:val="28"/>
          <w:szCs w:val="28"/>
        </w:rPr>
      </w:pPr>
      <w:r w:rsidRPr="00D8493A">
        <w:rPr>
          <w:sz w:val="28"/>
          <w:szCs w:val="28"/>
        </w:rPr>
        <w:t xml:space="preserve">Portfolio Management Planning </w:t>
      </w:r>
    </w:p>
    <w:p w14:paraId="498A0F80" w14:textId="77777777" w:rsidR="00410479" w:rsidRPr="00D8493A" w:rsidRDefault="00410479" w:rsidP="00410479">
      <w:pPr>
        <w:rPr>
          <w:color w:val="1F497D" w:themeColor="text2"/>
          <w:sz w:val="40"/>
          <w:szCs w:val="40"/>
        </w:rPr>
      </w:pPr>
      <w:r w:rsidRPr="00D8493A">
        <w:rPr>
          <w:color w:val="1F497D" w:themeColor="text2"/>
          <w:sz w:val="40"/>
          <w:szCs w:val="40"/>
        </w:rPr>
        <w:t>Approach to planning for the use, carryover and trade of Commonwealth environmental water</w:t>
      </w:r>
    </w:p>
    <w:p w14:paraId="50817DE3" w14:textId="77777777" w:rsidR="00410479" w:rsidRDefault="00410479" w:rsidP="00410479">
      <w:pPr>
        <w:rPr>
          <w:sz w:val="24"/>
          <w:szCs w:val="24"/>
        </w:rPr>
      </w:pPr>
      <w:r w:rsidRPr="00D8493A">
        <w:rPr>
          <w:sz w:val="24"/>
          <w:szCs w:val="24"/>
        </w:rPr>
        <w:t>2018–19</w:t>
      </w:r>
    </w:p>
    <w:p w14:paraId="5630646A" w14:textId="77777777" w:rsidR="00D8493A" w:rsidRPr="00D8493A" w:rsidRDefault="00D8493A" w:rsidP="00410479">
      <w:pPr>
        <w:rPr>
          <w:sz w:val="24"/>
          <w:szCs w:val="24"/>
        </w:rPr>
      </w:pPr>
    </w:p>
    <w:p w14:paraId="3809908A" w14:textId="19CAA521" w:rsidR="00D8493A" w:rsidRDefault="00D8493A" w:rsidP="00410479">
      <w:r w:rsidRPr="00D8493A">
        <w:rPr>
          <w:noProof/>
        </w:rPr>
        <w:drawing>
          <wp:inline distT="0" distB="0" distL="0" distR="0" wp14:anchorId="509AC7C3" wp14:editId="01F4BDEB">
            <wp:extent cx="5759450" cy="294217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59450" cy="2942177"/>
                    </a:xfrm>
                    <a:prstGeom prst="rect">
                      <a:avLst/>
                    </a:prstGeom>
                    <a:noFill/>
                    <a:ln>
                      <a:noFill/>
                    </a:ln>
                  </pic:spPr>
                </pic:pic>
              </a:graphicData>
            </a:graphic>
          </wp:inline>
        </w:drawing>
      </w:r>
    </w:p>
    <w:p w14:paraId="47ED351C" w14:textId="383FDFC1" w:rsidR="00992577" w:rsidRDefault="00D8493A" w:rsidP="00D8493A">
      <w:pPr>
        <w:tabs>
          <w:tab w:val="left" w:pos="630"/>
        </w:tabs>
        <w:spacing w:after="120"/>
        <w:ind w:left="114" w:hanging="1418"/>
        <w:jc w:val="left"/>
        <w:rPr>
          <w:rFonts w:ascii="Century Gothic" w:hAnsi="Century Gothic" w:cstheme="minorHAnsi"/>
          <w:b/>
          <w:color w:val="07601F"/>
          <w:sz w:val="44"/>
          <w:szCs w:val="44"/>
        </w:rPr>
        <w:sectPr w:rsidR="00992577" w:rsidSect="00D8493A">
          <w:headerReference w:type="even" r:id="rId10"/>
          <w:headerReference w:type="default" r:id="rId11"/>
          <w:footerReference w:type="even" r:id="rId12"/>
          <w:footerReference w:type="default" r:id="rId13"/>
          <w:headerReference w:type="first" r:id="rId14"/>
          <w:footerReference w:type="first" r:id="rId15"/>
          <w:pgSz w:w="11906" w:h="16838"/>
          <w:pgMar w:top="851" w:right="1418" w:bottom="1134" w:left="1418" w:header="425" w:footer="187" w:gutter="0"/>
          <w:pgNumType w:start="0"/>
          <w:cols w:space="708"/>
          <w:titlePg/>
          <w:docGrid w:linePitch="360"/>
        </w:sectPr>
      </w:pPr>
      <w:r>
        <w:rPr>
          <w:rFonts w:ascii="Century Gothic" w:hAnsi="Century Gothic" w:cstheme="minorHAnsi"/>
          <w:b/>
          <w:color w:val="07601F"/>
          <w:sz w:val="44"/>
          <w:szCs w:val="44"/>
        </w:rPr>
        <w:tab/>
      </w:r>
    </w:p>
    <w:p w14:paraId="6C650065" w14:textId="200F0C88" w:rsidR="007A7A94" w:rsidRDefault="007A7A94">
      <w:pPr>
        <w:spacing w:after="120"/>
        <w:rPr>
          <w:rFonts w:ascii="Century Gothic" w:hAnsi="Century Gothic"/>
        </w:rPr>
      </w:pPr>
    </w:p>
    <w:p w14:paraId="487A82D6" w14:textId="77777777" w:rsidR="00D8493A" w:rsidRPr="00D76454" w:rsidRDefault="00D8493A" w:rsidP="00D8493A">
      <w:pPr>
        <w:pStyle w:val="Pa4"/>
        <w:spacing w:before="220"/>
        <w:rPr>
          <w:rFonts w:ascii="Century Gothic" w:hAnsi="Century Gothic" w:cs="Century Gothic"/>
          <w:color w:val="000000"/>
          <w:sz w:val="20"/>
          <w:szCs w:val="20"/>
        </w:rPr>
      </w:pPr>
      <w:r w:rsidRPr="00D76454">
        <w:rPr>
          <w:rFonts w:ascii="Century Gothic" w:hAnsi="Century Gothic" w:cs="Century Gothic"/>
          <w:color w:val="000000"/>
          <w:sz w:val="20"/>
          <w:szCs w:val="20"/>
        </w:rPr>
        <w:t xml:space="preserve">Front cover image credit: </w:t>
      </w:r>
      <w:r>
        <w:rPr>
          <w:rFonts w:ascii="Century Gothic" w:hAnsi="Century Gothic" w:cs="Century Gothic"/>
          <w:color w:val="000000"/>
          <w:sz w:val="20"/>
          <w:szCs w:val="20"/>
        </w:rPr>
        <w:t>Coorong, Lower Lakes and Murray Mouth</w:t>
      </w:r>
      <w:r w:rsidRPr="00D76454">
        <w:rPr>
          <w:rFonts w:ascii="Century Gothic" w:hAnsi="Century Gothic" w:cs="Century Gothic"/>
          <w:color w:val="000000"/>
          <w:sz w:val="20"/>
          <w:szCs w:val="20"/>
        </w:rPr>
        <w:t>, Photo by Commonwealth Environmental Water Office</w:t>
      </w:r>
    </w:p>
    <w:p w14:paraId="1EFA2B94" w14:textId="77777777" w:rsidR="00D8493A" w:rsidRPr="00D76454" w:rsidRDefault="00D8493A" w:rsidP="00D8493A">
      <w:pPr>
        <w:pStyle w:val="Pa4"/>
        <w:spacing w:before="220"/>
        <w:rPr>
          <w:rFonts w:ascii="Century Gothic" w:hAnsi="Century Gothic" w:cs="Century Gothic"/>
          <w:color w:val="000000"/>
          <w:sz w:val="20"/>
          <w:szCs w:val="20"/>
        </w:rPr>
      </w:pPr>
      <w:r w:rsidRPr="00D76454">
        <w:rPr>
          <w:rFonts w:ascii="Century Gothic" w:hAnsi="Century Gothic" w:cs="Century Gothic"/>
          <w:color w:val="000000"/>
          <w:sz w:val="20"/>
          <w:szCs w:val="20"/>
        </w:rPr>
        <w:t xml:space="preserve">Back cover image credit: </w:t>
      </w:r>
      <w:r>
        <w:rPr>
          <w:rFonts w:ascii="Century Gothic" w:hAnsi="Century Gothic" w:cs="Century Gothic"/>
          <w:color w:val="000000"/>
          <w:sz w:val="20"/>
          <w:szCs w:val="20"/>
        </w:rPr>
        <w:t>Magpie geese</w:t>
      </w:r>
      <w:r w:rsidRPr="00D76454">
        <w:rPr>
          <w:rFonts w:ascii="Century Gothic" w:hAnsi="Century Gothic" w:cs="Century Gothic"/>
          <w:color w:val="000000"/>
          <w:sz w:val="20"/>
          <w:szCs w:val="20"/>
        </w:rPr>
        <w:t>, Photo by Commonwealth Environmental Water Office</w:t>
      </w:r>
    </w:p>
    <w:p w14:paraId="7E668C74" w14:textId="77777777" w:rsidR="00D8493A" w:rsidRDefault="00D8493A" w:rsidP="00D8493A">
      <w:pPr>
        <w:spacing w:before="40" w:after="40"/>
        <w:rPr>
          <w:rFonts w:ascii="Century Gothic" w:hAnsi="Century Gothic" w:cs="Century Gothic"/>
          <w:color w:val="000000"/>
        </w:rPr>
      </w:pPr>
    </w:p>
    <w:p w14:paraId="3F27271E" w14:textId="77777777" w:rsidR="00D8493A" w:rsidRDefault="00D8493A" w:rsidP="00D8493A">
      <w:pPr>
        <w:rPr>
          <w:rFonts w:ascii="Century Gothic" w:hAnsi="Century Gothic"/>
        </w:rPr>
      </w:pPr>
    </w:p>
    <w:p w14:paraId="5C146FCE" w14:textId="77777777" w:rsidR="00D8493A" w:rsidRDefault="00D8493A" w:rsidP="00D8493A">
      <w:pPr>
        <w:rPr>
          <w:rFonts w:ascii="Century Gothic" w:hAnsi="Century Gothic"/>
          <w:b/>
          <w:color w:val="5F497A" w:themeColor="accent4" w:themeShade="BF"/>
          <w:sz w:val="24"/>
          <w:szCs w:val="24"/>
        </w:rPr>
      </w:pPr>
      <w:r>
        <w:rPr>
          <w:rFonts w:ascii="Century Gothic" w:hAnsi="Century Gothic"/>
          <w:b/>
          <w:color w:val="5F497A" w:themeColor="accent4" w:themeShade="BF"/>
          <w:sz w:val="24"/>
          <w:szCs w:val="24"/>
        </w:rPr>
        <w:t>Acknowledgement of the traditional owners of the Murray–Darling Basin</w:t>
      </w:r>
    </w:p>
    <w:p w14:paraId="17121DBC" w14:textId="77777777" w:rsidR="00D8493A" w:rsidRDefault="00D8493A" w:rsidP="00D8493A">
      <w:pPr>
        <w:jc w:val="left"/>
        <w:rPr>
          <w:rFonts w:ascii="Century Gothic" w:hAnsi="Century Gothic"/>
        </w:rPr>
      </w:pPr>
      <w:r>
        <w:rPr>
          <w:rFonts w:ascii="Century Gothic" w:hAnsi="Century Gothic" w:cs="Century Gothic"/>
          <w:color w:val="000000"/>
        </w:rPr>
        <w:t>The Commonwealth Environmental Water Office respectfully acknowledges the traditional owners, their Elders past and present, their Nations of the Murray–Darling Basin, and their cultural, social, environmental, spiritual and economic connection to their lands and waters.</w:t>
      </w:r>
    </w:p>
    <w:p w14:paraId="2D0B7E5A" w14:textId="77777777" w:rsidR="00D8493A" w:rsidRDefault="00D8493A" w:rsidP="00D8493A">
      <w:pPr>
        <w:rPr>
          <w:rFonts w:ascii="Century Gothic" w:hAnsi="Century Gothic"/>
        </w:rPr>
      </w:pPr>
    </w:p>
    <w:p w14:paraId="2CFB205B" w14:textId="77777777" w:rsidR="00D8493A" w:rsidRDefault="00D8493A" w:rsidP="00D8493A">
      <w:pPr>
        <w:spacing w:after="0"/>
        <w:jc w:val="left"/>
        <w:rPr>
          <w:rFonts w:ascii="Century Gothic" w:hAnsi="Century Gothic" w:cs="Century Gothic"/>
          <w:color w:val="000000"/>
        </w:rPr>
      </w:pPr>
      <w:r>
        <w:rPr>
          <w:rFonts w:ascii="Century Gothic" w:hAnsi="Century Gothic" w:cs="Century Gothic"/>
          <w:color w:val="000000"/>
        </w:rPr>
        <w:t>© Copyright Commonwealth of Australia, 2018.</w:t>
      </w:r>
    </w:p>
    <w:p w14:paraId="39151ED9" w14:textId="77777777" w:rsidR="00D8493A" w:rsidRDefault="00D8493A" w:rsidP="00D8493A">
      <w:pPr>
        <w:spacing w:after="0"/>
        <w:jc w:val="left"/>
        <w:rPr>
          <w:rFonts w:ascii="Century Gothic" w:hAnsi="Century Gothic" w:cs="Century Gothic"/>
          <w:color w:val="000000"/>
        </w:rPr>
      </w:pPr>
    </w:p>
    <w:p w14:paraId="7A4D31DC" w14:textId="77777777" w:rsidR="00D8493A" w:rsidRDefault="00D8493A" w:rsidP="00D8493A">
      <w:pPr>
        <w:spacing w:after="0"/>
        <w:jc w:val="left"/>
        <w:rPr>
          <w:rFonts w:ascii="Century Gothic" w:hAnsi="Century Gothic" w:cs="Century Gothic"/>
          <w:color w:val="000000"/>
        </w:rPr>
      </w:pPr>
      <w:r>
        <w:rPr>
          <w:rFonts w:ascii="Century Gothic" w:hAnsi="Century Gothic" w:cs="Century Gothic"/>
          <w:noProof/>
          <w:color w:val="000000"/>
        </w:rPr>
        <w:drawing>
          <wp:inline distT="0" distB="0" distL="0" distR="0" wp14:anchorId="53207217" wp14:editId="1EC5C87B">
            <wp:extent cx="1821180" cy="525780"/>
            <wp:effectExtent l="0" t="0" r="7620" b="7620"/>
            <wp:docPr id="10" name="Picture 10" descr="creative_commons_lice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eative_commons_licence.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21180" cy="525780"/>
                    </a:xfrm>
                    <a:prstGeom prst="rect">
                      <a:avLst/>
                    </a:prstGeom>
                    <a:noFill/>
                    <a:ln>
                      <a:noFill/>
                    </a:ln>
                  </pic:spPr>
                </pic:pic>
              </a:graphicData>
            </a:graphic>
          </wp:inline>
        </w:drawing>
      </w:r>
    </w:p>
    <w:p w14:paraId="7E7ECC9D" w14:textId="77777777" w:rsidR="00D8493A" w:rsidRDefault="00D8493A" w:rsidP="00D8493A">
      <w:pPr>
        <w:pStyle w:val="Pa4"/>
        <w:spacing w:before="220"/>
        <w:rPr>
          <w:rFonts w:ascii="Century Gothic" w:hAnsi="Century Gothic" w:cs="Century Gothic"/>
          <w:color w:val="000000"/>
          <w:sz w:val="20"/>
          <w:szCs w:val="20"/>
        </w:rPr>
      </w:pPr>
      <w:r w:rsidRPr="005C5FFB">
        <w:rPr>
          <w:rFonts w:ascii="Century Gothic" w:hAnsi="Century Gothic" w:cs="Century Gothic"/>
          <w:i/>
          <w:color w:val="000000"/>
          <w:sz w:val="20"/>
          <w:szCs w:val="20"/>
        </w:rPr>
        <w:t>Commonwealth Environmental Water Portfolio Management Planning: Approach to planning for the use, carryover and trade of Commonwealth environmental water 2018–19</w:t>
      </w:r>
      <w:r>
        <w:rPr>
          <w:rFonts w:ascii="Century Gothic" w:hAnsi="Century Gothic" w:cs="Century Gothic"/>
          <w:color w:val="000000"/>
          <w:sz w:val="20"/>
          <w:szCs w:val="20"/>
        </w:rPr>
        <w:t xml:space="preserve"> is licensed by the Commonwealth of Australia for use under a Creative Commons Attribution 4.0 International licence with the exception of the Coat of Arms of the Commonwealth of Australia, the logo of the agency responsible for publishing the report, content supplied by third parties, and any images depicting people. For licence conditions see: https://creativecommons.org/licenses/by/4.0/ </w:t>
      </w:r>
    </w:p>
    <w:p w14:paraId="617CA170" w14:textId="77777777" w:rsidR="00D8493A" w:rsidRDefault="00D8493A" w:rsidP="00D8493A">
      <w:pPr>
        <w:pStyle w:val="Pa4"/>
        <w:spacing w:before="220"/>
        <w:rPr>
          <w:rFonts w:ascii="Century Gothic" w:hAnsi="Century Gothic" w:cs="Century Gothic"/>
          <w:color w:val="000000"/>
          <w:sz w:val="20"/>
          <w:szCs w:val="20"/>
        </w:rPr>
      </w:pPr>
      <w:r>
        <w:rPr>
          <w:rFonts w:ascii="Century Gothic" w:hAnsi="Century Gothic" w:cs="Century Gothic"/>
          <w:color w:val="000000"/>
          <w:sz w:val="20"/>
          <w:szCs w:val="20"/>
        </w:rPr>
        <w:t>This report should be attributed as ‘</w:t>
      </w:r>
      <w:r w:rsidRPr="005C5FFB">
        <w:rPr>
          <w:rFonts w:ascii="Century Gothic" w:hAnsi="Century Gothic" w:cs="Century Gothic"/>
          <w:i/>
          <w:color w:val="000000"/>
          <w:sz w:val="20"/>
          <w:szCs w:val="20"/>
        </w:rPr>
        <w:t>Commonwealth Environmental Water Portfolio Management Planning: Approach to planning for the use, carryover and trade of Commonwealth environmental water 2018–19</w:t>
      </w:r>
      <w:r>
        <w:rPr>
          <w:rFonts w:ascii="Century Gothic" w:hAnsi="Century Gothic" w:cs="Century Gothic"/>
          <w:color w:val="000000"/>
          <w:sz w:val="20"/>
          <w:szCs w:val="20"/>
        </w:rPr>
        <w:t>, Commonwealth of Australia, 2018’.</w:t>
      </w:r>
    </w:p>
    <w:p w14:paraId="054A3004" w14:textId="77777777" w:rsidR="00D8493A" w:rsidRDefault="00D8493A" w:rsidP="00D8493A">
      <w:pPr>
        <w:pStyle w:val="Pa4"/>
        <w:spacing w:before="220"/>
        <w:rPr>
          <w:rFonts w:ascii="Century Gothic" w:hAnsi="Century Gothic" w:cs="Century Gothic"/>
          <w:color w:val="000000"/>
          <w:sz w:val="20"/>
          <w:szCs w:val="20"/>
        </w:rPr>
      </w:pPr>
      <w:r>
        <w:rPr>
          <w:rFonts w:ascii="Century Gothic" w:hAnsi="Century Gothic" w:cs="Century Gothic"/>
          <w:color w:val="000000"/>
          <w:sz w:val="20"/>
          <w:szCs w:val="20"/>
        </w:rPr>
        <w:t>The Commonwealth of Australia has made all reasonable efforts to identify content supplied by third parties using the following format ‘© Copyright’ noting the third party.</w:t>
      </w:r>
    </w:p>
    <w:p w14:paraId="0A20B344" w14:textId="77777777" w:rsidR="00D8493A" w:rsidRDefault="00D8493A" w:rsidP="00D8493A">
      <w:pPr>
        <w:pStyle w:val="Pa4"/>
        <w:spacing w:before="220"/>
        <w:rPr>
          <w:rFonts w:ascii="Century Gothic" w:hAnsi="Century Gothic" w:cs="Century Gothic"/>
          <w:color w:val="000000"/>
          <w:sz w:val="20"/>
          <w:szCs w:val="20"/>
        </w:rPr>
      </w:pPr>
      <w:r>
        <w:rPr>
          <w:rFonts w:ascii="Century Gothic" w:hAnsi="Century Gothic" w:cs="Century Gothic"/>
          <w:color w:val="000000"/>
          <w:sz w:val="20"/>
          <w:szCs w:val="20"/>
        </w:rPr>
        <w:t xml:space="preserve">The views and opinions expressed in this publication are those of the authors and do not necessarily reflect those of the Australian Government or the Minister for the Environment and Energy. </w:t>
      </w:r>
    </w:p>
    <w:p w14:paraId="2389F8D1" w14:textId="77777777" w:rsidR="00D8493A" w:rsidRPr="005C5FFB" w:rsidRDefault="00D8493A" w:rsidP="00D8493A"/>
    <w:p w14:paraId="6C650066" w14:textId="24A8CE48" w:rsidR="007A7A94" w:rsidRDefault="00D8493A" w:rsidP="00D8493A">
      <w:pPr>
        <w:spacing w:after="120"/>
        <w:rPr>
          <w:rFonts w:ascii="Century Gothic" w:hAnsi="Century Gothic"/>
        </w:rPr>
      </w:pPr>
      <w:r>
        <w:rPr>
          <w:rFonts w:ascii="Century Gothic" w:hAnsi="Century Gothic" w:cs="Century Gothic"/>
          <w:color w:val="000000"/>
        </w:rPr>
        <w:t>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r>
        <w:rPr>
          <w:rFonts w:cs="Adobe Garamond Pro"/>
          <w:color w:val="808284"/>
          <w:sz w:val="18"/>
          <w:szCs w:val="18"/>
        </w:rPr>
        <w:t xml:space="preserve"> </w:t>
      </w:r>
    </w:p>
    <w:p w14:paraId="6C650067" w14:textId="4411FE70" w:rsidR="007A7A94" w:rsidRDefault="007A7A94">
      <w:pPr>
        <w:spacing w:after="120"/>
        <w:rPr>
          <w:rFonts w:ascii="Century Gothic" w:hAnsi="Century Gothic"/>
        </w:rPr>
      </w:pPr>
    </w:p>
    <w:p w14:paraId="6C650068" w14:textId="18E140FA" w:rsidR="007A7A94" w:rsidRDefault="007A7A94">
      <w:pPr>
        <w:spacing w:after="120"/>
        <w:rPr>
          <w:rFonts w:ascii="Century Gothic" w:hAnsi="Century Gothic"/>
        </w:rPr>
      </w:pPr>
    </w:p>
    <w:p w14:paraId="1BAB0A78" w14:textId="0577C0CA" w:rsidR="003B1AD9" w:rsidRDefault="003B1AD9">
      <w:pPr>
        <w:spacing w:after="0"/>
        <w:jc w:val="left"/>
        <w:rPr>
          <w:rFonts w:ascii="Century Gothic" w:hAnsi="Century Gothic"/>
          <w:b/>
          <w:color w:val="5F497A" w:themeColor="accent4" w:themeShade="BF"/>
          <w:sz w:val="24"/>
          <w:szCs w:val="24"/>
        </w:rPr>
        <w:sectPr w:rsidR="003B1AD9" w:rsidSect="00D8493A">
          <w:pgSz w:w="11906" w:h="16838"/>
          <w:pgMar w:top="851" w:right="1418" w:bottom="1134" w:left="1418" w:header="425" w:footer="187" w:gutter="0"/>
          <w:pgNumType w:start="0"/>
          <w:cols w:space="708"/>
          <w:titlePg/>
          <w:docGrid w:linePitch="360"/>
        </w:sectPr>
      </w:pPr>
    </w:p>
    <w:bookmarkEnd w:id="0" w:displacedByCustomXml="next"/>
    <w:bookmarkStart w:id="2" w:name="_Toc382821591" w:displacedByCustomXml="next"/>
    <w:sdt>
      <w:sdtPr>
        <w:rPr>
          <w:rFonts w:ascii="Calibri" w:eastAsia="Times New Roman" w:hAnsi="Calibri" w:cs="Times New Roman"/>
          <w:b w:val="0"/>
          <w:bCs w:val="0"/>
          <w:color w:val="auto"/>
          <w:sz w:val="20"/>
          <w:szCs w:val="20"/>
          <w:lang w:val="en-AU" w:eastAsia="en-AU"/>
        </w:rPr>
        <w:id w:val="34341674"/>
        <w:docPartObj>
          <w:docPartGallery w:val="Table of Contents"/>
          <w:docPartUnique/>
        </w:docPartObj>
      </w:sdtPr>
      <w:sdtContent>
        <w:p w14:paraId="6C65007D" w14:textId="77777777" w:rsidR="007A7A94" w:rsidRPr="00CD24AC" w:rsidRDefault="00D13EAF">
          <w:pPr>
            <w:pStyle w:val="TOCHeading"/>
            <w:numPr>
              <w:ilvl w:val="0"/>
              <w:numId w:val="0"/>
            </w:numPr>
            <w:spacing w:before="0" w:after="120"/>
            <w:rPr>
              <w:rFonts w:ascii="Century Gothic" w:hAnsi="Century Gothic"/>
            </w:rPr>
          </w:pPr>
          <w:r w:rsidRPr="00CD24AC">
            <w:rPr>
              <w:rFonts w:ascii="Century Gothic" w:hAnsi="Century Gothic"/>
            </w:rPr>
            <w:t>Contents</w:t>
          </w:r>
        </w:p>
        <w:p w14:paraId="7602EF09" w14:textId="77777777" w:rsidR="00CE5A67" w:rsidRPr="00CD24AC" w:rsidRDefault="00D848C1" w:rsidP="00CD24AC">
          <w:pPr>
            <w:pStyle w:val="TOC1"/>
            <w:tabs>
              <w:tab w:val="left" w:pos="400"/>
              <w:tab w:val="right" w:leader="dot" w:pos="9202"/>
            </w:tabs>
            <w:ind w:left="284" w:hanging="284"/>
            <w:rPr>
              <w:rFonts w:ascii="Century Gothic" w:eastAsiaTheme="minorEastAsia" w:hAnsi="Century Gothic" w:cstheme="minorBidi"/>
              <w:b/>
              <w:noProof/>
              <w:sz w:val="22"/>
              <w:szCs w:val="22"/>
            </w:rPr>
          </w:pPr>
          <w:r w:rsidRPr="00CD24AC">
            <w:rPr>
              <w:rFonts w:ascii="Century Gothic" w:hAnsi="Century Gothic"/>
            </w:rPr>
            <w:fldChar w:fldCharType="begin"/>
          </w:r>
          <w:r w:rsidR="00D13EAF" w:rsidRPr="00CD24AC">
            <w:rPr>
              <w:rFonts w:ascii="Century Gothic" w:hAnsi="Century Gothic"/>
            </w:rPr>
            <w:instrText xml:space="preserve"> TOC \o "1-3" \h \z \u </w:instrText>
          </w:r>
          <w:r w:rsidRPr="00CD24AC">
            <w:rPr>
              <w:rFonts w:ascii="Century Gothic" w:hAnsi="Century Gothic"/>
            </w:rPr>
            <w:fldChar w:fldCharType="separate"/>
          </w:r>
          <w:hyperlink w:anchor="_Toc517264633" w:history="1">
            <w:r w:rsidR="00CE5A67" w:rsidRPr="00CD24AC">
              <w:rPr>
                <w:rStyle w:val="Hyperlink"/>
                <w:rFonts w:ascii="Century Gothic" w:hAnsi="Century Gothic"/>
                <w:b/>
                <w:noProof/>
              </w:rPr>
              <w:t>1.</w:t>
            </w:r>
            <w:r w:rsidR="00CE5A67" w:rsidRPr="00CD24AC">
              <w:rPr>
                <w:rFonts w:ascii="Century Gothic" w:eastAsiaTheme="minorEastAsia" w:hAnsi="Century Gothic" w:cstheme="minorBidi"/>
                <w:b/>
                <w:noProof/>
                <w:sz w:val="22"/>
                <w:szCs w:val="22"/>
              </w:rPr>
              <w:tab/>
            </w:r>
            <w:r w:rsidR="00CE5A67" w:rsidRPr="00CD24AC">
              <w:rPr>
                <w:rStyle w:val="Hyperlink"/>
                <w:rFonts w:ascii="Century Gothic" w:hAnsi="Century Gothic"/>
                <w:b/>
                <w:noProof/>
              </w:rPr>
              <w:t>Introduction</w:t>
            </w:r>
            <w:r w:rsidR="00CE5A67" w:rsidRPr="00CD24AC">
              <w:rPr>
                <w:rFonts w:ascii="Century Gothic" w:hAnsi="Century Gothic"/>
                <w:b/>
                <w:noProof/>
                <w:webHidden/>
              </w:rPr>
              <w:tab/>
            </w:r>
            <w:r w:rsidR="00CE5A67" w:rsidRPr="00CD24AC">
              <w:rPr>
                <w:rFonts w:ascii="Century Gothic" w:hAnsi="Century Gothic"/>
                <w:b/>
                <w:noProof/>
                <w:webHidden/>
              </w:rPr>
              <w:fldChar w:fldCharType="begin"/>
            </w:r>
            <w:r w:rsidR="00CE5A67" w:rsidRPr="00CD24AC">
              <w:rPr>
                <w:rFonts w:ascii="Century Gothic" w:hAnsi="Century Gothic"/>
                <w:b/>
                <w:noProof/>
                <w:webHidden/>
              </w:rPr>
              <w:instrText xml:space="preserve"> PAGEREF _Toc517264633 \h </w:instrText>
            </w:r>
            <w:r w:rsidR="00CE5A67" w:rsidRPr="00CD24AC">
              <w:rPr>
                <w:rFonts w:ascii="Century Gothic" w:hAnsi="Century Gothic"/>
                <w:b/>
                <w:noProof/>
                <w:webHidden/>
              </w:rPr>
            </w:r>
            <w:r w:rsidR="00CE5A67" w:rsidRPr="00CD24AC">
              <w:rPr>
                <w:rFonts w:ascii="Century Gothic" w:hAnsi="Century Gothic"/>
                <w:b/>
                <w:noProof/>
                <w:webHidden/>
              </w:rPr>
              <w:fldChar w:fldCharType="separate"/>
            </w:r>
            <w:r w:rsidR="00CD24AC">
              <w:rPr>
                <w:rFonts w:ascii="Century Gothic" w:hAnsi="Century Gothic"/>
                <w:b/>
                <w:noProof/>
                <w:webHidden/>
              </w:rPr>
              <w:t>1</w:t>
            </w:r>
            <w:r w:rsidR="00CE5A67" w:rsidRPr="00CD24AC">
              <w:rPr>
                <w:rFonts w:ascii="Century Gothic" w:hAnsi="Century Gothic"/>
                <w:b/>
                <w:noProof/>
                <w:webHidden/>
              </w:rPr>
              <w:fldChar w:fldCharType="end"/>
            </w:r>
          </w:hyperlink>
        </w:p>
        <w:p w14:paraId="69991D2F" w14:textId="792FD3A6" w:rsidR="00CE5A67" w:rsidRPr="00CD24AC" w:rsidRDefault="00D11956" w:rsidP="00CD24AC">
          <w:pPr>
            <w:pStyle w:val="TOC1"/>
            <w:tabs>
              <w:tab w:val="left" w:pos="660"/>
              <w:tab w:val="right" w:leader="dot" w:pos="9202"/>
            </w:tabs>
            <w:ind w:left="284"/>
            <w:rPr>
              <w:rFonts w:ascii="Century Gothic" w:eastAsiaTheme="minorEastAsia" w:hAnsi="Century Gothic" w:cstheme="minorBidi"/>
              <w:noProof/>
              <w:sz w:val="22"/>
              <w:szCs w:val="22"/>
            </w:rPr>
          </w:pPr>
          <w:hyperlink w:anchor="_Toc517264634" w:history="1">
            <w:r w:rsidR="00CE5A67" w:rsidRPr="00CD24AC">
              <w:rPr>
                <w:rStyle w:val="Hyperlink"/>
                <w:rFonts w:ascii="Century Gothic" w:hAnsi="Century Gothic"/>
                <w:noProof/>
              </w:rPr>
              <w:t>1.1.</w:t>
            </w:r>
            <w:r w:rsidR="00CE5A67" w:rsidRPr="00CD24AC">
              <w:rPr>
                <w:rFonts w:ascii="Century Gothic" w:eastAsiaTheme="minorEastAsia" w:hAnsi="Century Gothic" w:cstheme="minorBidi"/>
                <w:noProof/>
                <w:sz w:val="22"/>
                <w:szCs w:val="22"/>
              </w:rPr>
              <w:tab/>
            </w:r>
            <w:r w:rsidR="00CE5A67" w:rsidRPr="00CD24AC">
              <w:rPr>
                <w:rStyle w:val="Hyperlink"/>
                <w:rFonts w:ascii="Century Gothic" w:hAnsi="Century Gothic"/>
                <w:noProof/>
              </w:rPr>
              <w:t>Purpose of the document</w:t>
            </w:r>
            <w:r w:rsidR="00CE5A67" w:rsidRPr="00CD24AC">
              <w:rPr>
                <w:rFonts w:ascii="Century Gothic" w:hAnsi="Century Gothic"/>
                <w:noProof/>
                <w:webHidden/>
              </w:rPr>
              <w:tab/>
            </w:r>
            <w:r w:rsidR="00CE5A67" w:rsidRPr="00CD24AC">
              <w:rPr>
                <w:rFonts w:ascii="Century Gothic" w:hAnsi="Century Gothic"/>
                <w:noProof/>
                <w:webHidden/>
              </w:rPr>
              <w:fldChar w:fldCharType="begin"/>
            </w:r>
            <w:r w:rsidR="00CE5A67" w:rsidRPr="00CD24AC">
              <w:rPr>
                <w:rFonts w:ascii="Century Gothic" w:hAnsi="Century Gothic"/>
                <w:noProof/>
                <w:webHidden/>
              </w:rPr>
              <w:instrText xml:space="preserve"> PAGEREF _Toc517264634 \h </w:instrText>
            </w:r>
            <w:r w:rsidR="00CE5A67" w:rsidRPr="00CD24AC">
              <w:rPr>
                <w:rFonts w:ascii="Century Gothic" w:hAnsi="Century Gothic"/>
                <w:noProof/>
                <w:webHidden/>
              </w:rPr>
            </w:r>
            <w:r w:rsidR="00CE5A67" w:rsidRPr="00CD24AC">
              <w:rPr>
                <w:rFonts w:ascii="Century Gothic" w:hAnsi="Century Gothic"/>
                <w:noProof/>
                <w:webHidden/>
              </w:rPr>
              <w:fldChar w:fldCharType="separate"/>
            </w:r>
            <w:r w:rsidR="00CD24AC">
              <w:rPr>
                <w:rFonts w:ascii="Century Gothic" w:hAnsi="Century Gothic"/>
                <w:noProof/>
                <w:webHidden/>
              </w:rPr>
              <w:t>1</w:t>
            </w:r>
            <w:r w:rsidR="00CE5A67" w:rsidRPr="00CD24AC">
              <w:rPr>
                <w:rFonts w:ascii="Century Gothic" w:hAnsi="Century Gothic"/>
                <w:noProof/>
                <w:webHidden/>
              </w:rPr>
              <w:fldChar w:fldCharType="end"/>
            </w:r>
          </w:hyperlink>
        </w:p>
        <w:p w14:paraId="32018A16" w14:textId="77777777" w:rsidR="00CE5A67" w:rsidRPr="00CD24AC" w:rsidRDefault="00D11956" w:rsidP="00CD24AC">
          <w:pPr>
            <w:pStyle w:val="TOC1"/>
            <w:tabs>
              <w:tab w:val="left" w:pos="660"/>
              <w:tab w:val="right" w:leader="dot" w:pos="9202"/>
            </w:tabs>
            <w:ind w:left="284"/>
            <w:rPr>
              <w:rFonts w:ascii="Century Gothic" w:eastAsiaTheme="minorEastAsia" w:hAnsi="Century Gothic" w:cstheme="minorBidi"/>
              <w:noProof/>
              <w:sz w:val="22"/>
              <w:szCs w:val="22"/>
            </w:rPr>
          </w:pPr>
          <w:hyperlink w:anchor="_Toc517264635" w:history="1">
            <w:r w:rsidR="00CE5A67" w:rsidRPr="00CD24AC">
              <w:rPr>
                <w:rStyle w:val="Hyperlink"/>
                <w:rFonts w:ascii="Century Gothic" w:hAnsi="Century Gothic"/>
                <w:noProof/>
              </w:rPr>
              <w:t>1.2.</w:t>
            </w:r>
            <w:r w:rsidR="00CE5A67" w:rsidRPr="00CD24AC">
              <w:rPr>
                <w:rFonts w:ascii="Century Gothic" w:eastAsiaTheme="minorEastAsia" w:hAnsi="Century Gothic" w:cstheme="minorBidi"/>
                <w:noProof/>
                <w:sz w:val="22"/>
                <w:szCs w:val="22"/>
              </w:rPr>
              <w:tab/>
            </w:r>
            <w:r w:rsidR="00CE5A67" w:rsidRPr="00CD24AC">
              <w:rPr>
                <w:rStyle w:val="Hyperlink"/>
                <w:rFonts w:ascii="Century Gothic" w:hAnsi="Century Gothic"/>
                <w:noProof/>
              </w:rPr>
              <w:t>About Commonwealth environmental water</w:t>
            </w:r>
            <w:r w:rsidR="00CE5A67" w:rsidRPr="00CD24AC">
              <w:rPr>
                <w:rFonts w:ascii="Century Gothic" w:hAnsi="Century Gothic"/>
                <w:noProof/>
                <w:webHidden/>
              </w:rPr>
              <w:tab/>
            </w:r>
            <w:r w:rsidR="00CE5A67" w:rsidRPr="00CD24AC">
              <w:rPr>
                <w:rFonts w:ascii="Century Gothic" w:hAnsi="Century Gothic"/>
                <w:noProof/>
                <w:webHidden/>
              </w:rPr>
              <w:fldChar w:fldCharType="begin"/>
            </w:r>
            <w:r w:rsidR="00CE5A67" w:rsidRPr="00CD24AC">
              <w:rPr>
                <w:rFonts w:ascii="Century Gothic" w:hAnsi="Century Gothic"/>
                <w:noProof/>
                <w:webHidden/>
              </w:rPr>
              <w:instrText xml:space="preserve"> PAGEREF _Toc517264635 \h </w:instrText>
            </w:r>
            <w:r w:rsidR="00CE5A67" w:rsidRPr="00CD24AC">
              <w:rPr>
                <w:rFonts w:ascii="Century Gothic" w:hAnsi="Century Gothic"/>
                <w:noProof/>
                <w:webHidden/>
              </w:rPr>
            </w:r>
            <w:r w:rsidR="00CE5A67" w:rsidRPr="00CD24AC">
              <w:rPr>
                <w:rFonts w:ascii="Century Gothic" w:hAnsi="Century Gothic"/>
                <w:noProof/>
                <w:webHidden/>
              </w:rPr>
              <w:fldChar w:fldCharType="separate"/>
            </w:r>
            <w:r w:rsidR="00CD24AC">
              <w:rPr>
                <w:rFonts w:ascii="Century Gothic" w:hAnsi="Century Gothic"/>
                <w:noProof/>
                <w:webHidden/>
              </w:rPr>
              <w:t>1</w:t>
            </w:r>
            <w:r w:rsidR="00CE5A67" w:rsidRPr="00CD24AC">
              <w:rPr>
                <w:rFonts w:ascii="Century Gothic" w:hAnsi="Century Gothic"/>
                <w:noProof/>
                <w:webHidden/>
              </w:rPr>
              <w:fldChar w:fldCharType="end"/>
            </w:r>
          </w:hyperlink>
        </w:p>
        <w:p w14:paraId="001B4B0F" w14:textId="77777777" w:rsidR="00CE5A67" w:rsidRPr="00CD24AC" w:rsidRDefault="00D11956" w:rsidP="00CD24AC">
          <w:pPr>
            <w:pStyle w:val="TOC1"/>
            <w:tabs>
              <w:tab w:val="left" w:pos="660"/>
              <w:tab w:val="right" w:leader="dot" w:pos="9202"/>
            </w:tabs>
            <w:ind w:left="284"/>
            <w:rPr>
              <w:rFonts w:ascii="Century Gothic" w:eastAsiaTheme="minorEastAsia" w:hAnsi="Century Gothic" w:cstheme="minorBidi"/>
              <w:noProof/>
              <w:sz w:val="22"/>
              <w:szCs w:val="22"/>
            </w:rPr>
          </w:pPr>
          <w:hyperlink w:anchor="_Toc517264636" w:history="1">
            <w:r w:rsidR="00CE5A67" w:rsidRPr="00CD24AC">
              <w:rPr>
                <w:rStyle w:val="Hyperlink"/>
                <w:rFonts w:ascii="Century Gothic" w:hAnsi="Century Gothic"/>
                <w:noProof/>
              </w:rPr>
              <w:t>1.3.</w:t>
            </w:r>
            <w:r w:rsidR="00CE5A67" w:rsidRPr="00CD24AC">
              <w:rPr>
                <w:rFonts w:ascii="Century Gothic" w:eastAsiaTheme="minorEastAsia" w:hAnsi="Century Gothic" w:cstheme="minorBidi"/>
                <w:noProof/>
                <w:sz w:val="22"/>
                <w:szCs w:val="22"/>
              </w:rPr>
              <w:tab/>
            </w:r>
            <w:r w:rsidR="00CE5A67" w:rsidRPr="00CD24AC">
              <w:rPr>
                <w:rStyle w:val="Hyperlink"/>
                <w:rFonts w:ascii="Century Gothic" w:hAnsi="Century Gothic"/>
                <w:noProof/>
              </w:rPr>
              <w:t>About the Commonwealth Environmental Water Holder</w:t>
            </w:r>
            <w:r w:rsidR="00CE5A67" w:rsidRPr="00CD24AC">
              <w:rPr>
                <w:rFonts w:ascii="Century Gothic" w:hAnsi="Century Gothic"/>
                <w:noProof/>
                <w:webHidden/>
              </w:rPr>
              <w:tab/>
            </w:r>
            <w:r w:rsidR="00CE5A67" w:rsidRPr="00CD24AC">
              <w:rPr>
                <w:rFonts w:ascii="Century Gothic" w:hAnsi="Century Gothic"/>
                <w:noProof/>
                <w:webHidden/>
              </w:rPr>
              <w:fldChar w:fldCharType="begin"/>
            </w:r>
            <w:r w:rsidR="00CE5A67" w:rsidRPr="00CD24AC">
              <w:rPr>
                <w:rFonts w:ascii="Century Gothic" w:hAnsi="Century Gothic"/>
                <w:noProof/>
                <w:webHidden/>
              </w:rPr>
              <w:instrText xml:space="preserve"> PAGEREF _Toc517264636 \h </w:instrText>
            </w:r>
            <w:r w:rsidR="00CE5A67" w:rsidRPr="00CD24AC">
              <w:rPr>
                <w:rFonts w:ascii="Century Gothic" w:hAnsi="Century Gothic"/>
                <w:noProof/>
                <w:webHidden/>
              </w:rPr>
            </w:r>
            <w:r w:rsidR="00CE5A67" w:rsidRPr="00CD24AC">
              <w:rPr>
                <w:rFonts w:ascii="Century Gothic" w:hAnsi="Century Gothic"/>
                <w:noProof/>
                <w:webHidden/>
              </w:rPr>
              <w:fldChar w:fldCharType="separate"/>
            </w:r>
            <w:r w:rsidR="00CD24AC">
              <w:rPr>
                <w:rFonts w:ascii="Century Gothic" w:hAnsi="Century Gothic"/>
                <w:noProof/>
                <w:webHidden/>
              </w:rPr>
              <w:t>1</w:t>
            </w:r>
            <w:r w:rsidR="00CE5A67" w:rsidRPr="00CD24AC">
              <w:rPr>
                <w:rFonts w:ascii="Century Gothic" w:hAnsi="Century Gothic"/>
                <w:noProof/>
                <w:webHidden/>
              </w:rPr>
              <w:fldChar w:fldCharType="end"/>
            </w:r>
          </w:hyperlink>
        </w:p>
        <w:p w14:paraId="321B227E" w14:textId="77777777" w:rsidR="00CE5A67" w:rsidRPr="00CD24AC" w:rsidRDefault="00D11956" w:rsidP="00CD24AC">
          <w:pPr>
            <w:pStyle w:val="TOC1"/>
            <w:tabs>
              <w:tab w:val="left" w:pos="880"/>
              <w:tab w:val="right" w:leader="dot" w:pos="9202"/>
            </w:tabs>
            <w:ind w:left="284"/>
            <w:rPr>
              <w:rFonts w:ascii="Century Gothic" w:eastAsiaTheme="minorEastAsia" w:hAnsi="Century Gothic" w:cstheme="minorBidi"/>
              <w:noProof/>
              <w:sz w:val="22"/>
              <w:szCs w:val="22"/>
            </w:rPr>
          </w:pPr>
          <w:hyperlink w:anchor="_Toc517264637" w:history="1">
            <w:r w:rsidR="00CE5A67" w:rsidRPr="00CD24AC">
              <w:rPr>
                <w:rStyle w:val="Hyperlink"/>
                <w:rFonts w:ascii="Century Gothic" w:hAnsi="Century Gothic" w:cs="Arial"/>
                <w:noProof/>
              </w:rPr>
              <w:t>1.3.1.</w:t>
            </w:r>
            <w:r w:rsidR="00CE5A67" w:rsidRPr="00CD24AC">
              <w:rPr>
                <w:rFonts w:ascii="Century Gothic" w:eastAsiaTheme="minorEastAsia" w:hAnsi="Century Gothic" w:cstheme="minorBidi"/>
                <w:noProof/>
                <w:sz w:val="22"/>
                <w:szCs w:val="22"/>
              </w:rPr>
              <w:tab/>
            </w:r>
            <w:r w:rsidR="00CE5A67" w:rsidRPr="00CD24AC">
              <w:rPr>
                <w:rStyle w:val="Hyperlink"/>
                <w:rFonts w:ascii="Century Gothic" w:hAnsi="Century Gothic" w:cs="Arial"/>
                <w:noProof/>
              </w:rPr>
              <w:t>Good neighbour policy</w:t>
            </w:r>
            <w:r w:rsidR="00CE5A67" w:rsidRPr="00CD24AC">
              <w:rPr>
                <w:rFonts w:ascii="Century Gothic" w:hAnsi="Century Gothic"/>
                <w:noProof/>
                <w:webHidden/>
              </w:rPr>
              <w:tab/>
            </w:r>
            <w:r w:rsidR="00CE5A67" w:rsidRPr="00CD24AC">
              <w:rPr>
                <w:rFonts w:ascii="Century Gothic" w:hAnsi="Century Gothic"/>
                <w:noProof/>
                <w:webHidden/>
              </w:rPr>
              <w:fldChar w:fldCharType="begin"/>
            </w:r>
            <w:r w:rsidR="00CE5A67" w:rsidRPr="00CD24AC">
              <w:rPr>
                <w:rFonts w:ascii="Century Gothic" w:hAnsi="Century Gothic"/>
                <w:noProof/>
                <w:webHidden/>
              </w:rPr>
              <w:instrText xml:space="preserve"> PAGEREF _Toc517264637 \h </w:instrText>
            </w:r>
            <w:r w:rsidR="00CE5A67" w:rsidRPr="00CD24AC">
              <w:rPr>
                <w:rFonts w:ascii="Century Gothic" w:hAnsi="Century Gothic"/>
                <w:noProof/>
                <w:webHidden/>
              </w:rPr>
            </w:r>
            <w:r w:rsidR="00CE5A67" w:rsidRPr="00CD24AC">
              <w:rPr>
                <w:rFonts w:ascii="Century Gothic" w:hAnsi="Century Gothic"/>
                <w:noProof/>
                <w:webHidden/>
              </w:rPr>
              <w:fldChar w:fldCharType="separate"/>
            </w:r>
            <w:r w:rsidR="00CD24AC">
              <w:rPr>
                <w:rFonts w:ascii="Century Gothic" w:hAnsi="Century Gothic"/>
                <w:noProof/>
                <w:webHidden/>
              </w:rPr>
              <w:t>1</w:t>
            </w:r>
            <w:r w:rsidR="00CE5A67" w:rsidRPr="00CD24AC">
              <w:rPr>
                <w:rFonts w:ascii="Century Gothic" w:hAnsi="Century Gothic"/>
                <w:noProof/>
                <w:webHidden/>
              </w:rPr>
              <w:fldChar w:fldCharType="end"/>
            </w:r>
          </w:hyperlink>
        </w:p>
        <w:p w14:paraId="5606FD69" w14:textId="77777777" w:rsidR="00CE5A67" w:rsidRPr="00CD24AC" w:rsidRDefault="00D11956" w:rsidP="00CD24AC">
          <w:pPr>
            <w:pStyle w:val="TOC1"/>
            <w:tabs>
              <w:tab w:val="left" w:pos="880"/>
              <w:tab w:val="right" w:leader="dot" w:pos="9202"/>
            </w:tabs>
            <w:ind w:left="284"/>
            <w:rPr>
              <w:rFonts w:ascii="Century Gothic" w:eastAsiaTheme="minorEastAsia" w:hAnsi="Century Gothic" w:cstheme="minorBidi"/>
              <w:noProof/>
              <w:sz w:val="22"/>
              <w:szCs w:val="22"/>
            </w:rPr>
          </w:pPr>
          <w:hyperlink w:anchor="_Toc517264638" w:history="1">
            <w:r w:rsidR="00CE5A67" w:rsidRPr="00CD24AC">
              <w:rPr>
                <w:rStyle w:val="Hyperlink"/>
                <w:rFonts w:ascii="Century Gothic" w:hAnsi="Century Gothic" w:cs="Arial"/>
                <w:noProof/>
              </w:rPr>
              <w:t>1.3.2.</w:t>
            </w:r>
            <w:r w:rsidR="00CE5A67" w:rsidRPr="00CD24AC">
              <w:rPr>
                <w:rFonts w:ascii="Century Gothic" w:eastAsiaTheme="minorEastAsia" w:hAnsi="Century Gothic" w:cstheme="minorBidi"/>
                <w:noProof/>
                <w:sz w:val="22"/>
                <w:szCs w:val="22"/>
              </w:rPr>
              <w:tab/>
            </w:r>
            <w:r w:rsidR="00CE5A67" w:rsidRPr="00CD24AC">
              <w:rPr>
                <w:rStyle w:val="Hyperlink"/>
                <w:rFonts w:ascii="Century Gothic" w:hAnsi="Century Gothic" w:cs="Arial"/>
                <w:noProof/>
              </w:rPr>
              <w:t>Basin Plan obligations</w:t>
            </w:r>
            <w:r w:rsidR="00CE5A67" w:rsidRPr="00CD24AC">
              <w:rPr>
                <w:rFonts w:ascii="Century Gothic" w:hAnsi="Century Gothic"/>
                <w:noProof/>
                <w:webHidden/>
              </w:rPr>
              <w:tab/>
            </w:r>
            <w:r w:rsidR="00CE5A67" w:rsidRPr="00CD24AC">
              <w:rPr>
                <w:rFonts w:ascii="Century Gothic" w:hAnsi="Century Gothic"/>
                <w:noProof/>
                <w:webHidden/>
              </w:rPr>
              <w:fldChar w:fldCharType="begin"/>
            </w:r>
            <w:r w:rsidR="00CE5A67" w:rsidRPr="00CD24AC">
              <w:rPr>
                <w:rFonts w:ascii="Century Gothic" w:hAnsi="Century Gothic"/>
                <w:noProof/>
                <w:webHidden/>
              </w:rPr>
              <w:instrText xml:space="preserve"> PAGEREF _Toc517264638 \h </w:instrText>
            </w:r>
            <w:r w:rsidR="00CE5A67" w:rsidRPr="00CD24AC">
              <w:rPr>
                <w:rFonts w:ascii="Century Gothic" w:hAnsi="Century Gothic"/>
                <w:noProof/>
                <w:webHidden/>
              </w:rPr>
            </w:r>
            <w:r w:rsidR="00CE5A67" w:rsidRPr="00CD24AC">
              <w:rPr>
                <w:rFonts w:ascii="Century Gothic" w:hAnsi="Century Gothic"/>
                <w:noProof/>
                <w:webHidden/>
              </w:rPr>
              <w:fldChar w:fldCharType="separate"/>
            </w:r>
            <w:r w:rsidR="00CD24AC">
              <w:rPr>
                <w:rFonts w:ascii="Century Gothic" w:hAnsi="Century Gothic"/>
                <w:noProof/>
                <w:webHidden/>
              </w:rPr>
              <w:t>2</w:t>
            </w:r>
            <w:r w:rsidR="00CE5A67" w:rsidRPr="00CD24AC">
              <w:rPr>
                <w:rFonts w:ascii="Century Gothic" w:hAnsi="Century Gothic"/>
                <w:noProof/>
                <w:webHidden/>
              </w:rPr>
              <w:fldChar w:fldCharType="end"/>
            </w:r>
          </w:hyperlink>
        </w:p>
        <w:p w14:paraId="653491DD" w14:textId="77777777" w:rsidR="00CE5A67" w:rsidRPr="00CD24AC" w:rsidRDefault="00D11956" w:rsidP="00CD24AC">
          <w:pPr>
            <w:pStyle w:val="TOC1"/>
            <w:tabs>
              <w:tab w:val="left" w:pos="660"/>
              <w:tab w:val="right" w:leader="dot" w:pos="9202"/>
            </w:tabs>
            <w:ind w:left="284"/>
            <w:rPr>
              <w:rFonts w:ascii="Century Gothic" w:eastAsiaTheme="minorEastAsia" w:hAnsi="Century Gothic" w:cstheme="minorBidi"/>
              <w:noProof/>
              <w:sz w:val="22"/>
              <w:szCs w:val="22"/>
            </w:rPr>
          </w:pPr>
          <w:hyperlink w:anchor="_Toc517264639" w:history="1">
            <w:r w:rsidR="00CE5A67" w:rsidRPr="00CD24AC">
              <w:rPr>
                <w:rStyle w:val="Hyperlink"/>
                <w:rFonts w:ascii="Century Gothic" w:hAnsi="Century Gothic"/>
                <w:noProof/>
              </w:rPr>
              <w:t>1.4.</w:t>
            </w:r>
            <w:r w:rsidR="00CE5A67" w:rsidRPr="00CD24AC">
              <w:rPr>
                <w:rFonts w:ascii="Century Gothic" w:eastAsiaTheme="minorEastAsia" w:hAnsi="Century Gothic" w:cstheme="minorBidi"/>
                <w:noProof/>
                <w:sz w:val="22"/>
                <w:szCs w:val="22"/>
              </w:rPr>
              <w:tab/>
            </w:r>
            <w:r w:rsidR="00CE5A67" w:rsidRPr="00CD24AC">
              <w:rPr>
                <w:rStyle w:val="Hyperlink"/>
                <w:rFonts w:ascii="Century Gothic" w:hAnsi="Century Gothic"/>
                <w:noProof/>
              </w:rPr>
              <w:t>Working with others</w:t>
            </w:r>
            <w:r w:rsidR="00CE5A67" w:rsidRPr="00CD24AC">
              <w:rPr>
                <w:rFonts w:ascii="Century Gothic" w:hAnsi="Century Gothic"/>
                <w:noProof/>
                <w:webHidden/>
              </w:rPr>
              <w:tab/>
            </w:r>
            <w:r w:rsidR="00CE5A67" w:rsidRPr="00CD24AC">
              <w:rPr>
                <w:rFonts w:ascii="Century Gothic" w:hAnsi="Century Gothic"/>
                <w:noProof/>
                <w:webHidden/>
              </w:rPr>
              <w:fldChar w:fldCharType="begin"/>
            </w:r>
            <w:r w:rsidR="00CE5A67" w:rsidRPr="00CD24AC">
              <w:rPr>
                <w:rFonts w:ascii="Century Gothic" w:hAnsi="Century Gothic"/>
                <w:noProof/>
                <w:webHidden/>
              </w:rPr>
              <w:instrText xml:space="preserve"> PAGEREF _Toc517264639 \h </w:instrText>
            </w:r>
            <w:r w:rsidR="00CE5A67" w:rsidRPr="00CD24AC">
              <w:rPr>
                <w:rFonts w:ascii="Century Gothic" w:hAnsi="Century Gothic"/>
                <w:noProof/>
                <w:webHidden/>
              </w:rPr>
            </w:r>
            <w:r w:rsidR="00CE5A67" w:rsidRPr="00CD24AC">
              <w:rPr>
                <w:rFonts w:ascii="Century Gothic" w:hAnsi="Century Gothic"/>
                <w:noProof/>
                <w:webHidden/>
              </w:rPr>
              <w:fldChar w:fldCharType="separate"/>
            </w:r>
            <w:r w:rsidR="00CD24AC">
              <w:rPr>
                <w:rFonts w:ascii="Century Gothic" w:hAnsi="Century Gothic"/>
                <w:noProof/>
                <w:webHidden/>
              </w:rPr>
              <w:t>2</w:t>
            </w:r>
            <w:r w:rsidR="00CE5A67" w:rsidRPr="00CD24AC">
              <w:rPr>
                <w:rFonts w:ascii="Century Gothic" w:hAnsi="Century Gothic"/>
                <w:noProof/>
                <w:webHidden/>
              </w:rPr>
              <w:fldChar w:fldCharType="end"/>
            </w:r>
          </w:hyperlink>
        </w:p>
        <w:p w14:paraId="2CCCBAA1" w14:textId="77777777" w:rsidR="00CE5A67" w:rsidRPr="00CD24AC" w:rsidRDefault="00D11956" w:rsidP="00CD24AC">
          <w:pPr>
            <w:pStyle w:val="TOC1"/>
            <w:tabs>
              <w:tab w:val="left" w:pos="880"/>
              <w:tab w:val="right" w:leader="dot" w:pos="9202"/>
            </w:tabs>
            <w:ind w:left="284"/>
            <w:rPr>
              <w:rFonts w:ascii="Century Gothic" w:eastAsiaTheme="minorEastAsia" w:hAnsi="Century Gothic" w:cstheme="minorBidi"/>
              <w:noProof/>
              <w:sz w:val="22"/>
              <w:szCs w:val="22"/>
            </w:rPr>
          </w:pPr>
          <w:hyperlink w:anchor="_Toc517264640" w:history="1">
            <w:r w:rsidR="00CE5A67" w:rsidRPr="00CD24AC">
              <w:rPr>
                <w:rStyle w:val="Hyperlink"/>
                <w:rFonts w:ascii="Century Gothic" w:hAnsi="Century Gothic" w:cs="Arial"/>
                <w:noProof/>
              </w:rPr>
              <w:t>1.4.1.</w:t>
            </w:r>
            <w:r w:rsidR="00CE5A67" w:rsidRPr="00CD24AC">
              <w:rPr>
                <w:rFonts w:ascii="Century Gothic" w:eastAsiaTheme="minorEastAsia" w:hAnsi="Century Gothic" w:cstheme="minorBidi"/>
                <w:noProof/>
                <w:sz w:val="22"/>
                <w:szCs w:val="22"/>
              </w:rPr>
              <w:tab/>
            </w:r>
            <w:r w:rsidR="00CE5A67" w:rsidRPr="00CD24AC">
              <w:rPr>
                <w:rStyle w:val="Hyperlink"/>
                <w:rFonts w:ascii="Century Gothic" w:hAnsi="Century Gothic" w:cs="Arial"/>
                <w:noProof/>
              </w:rPr>
              <w:t>Delivery partners</w:t>
            </w:r>
            <w:r w:rsidR="00CE5A67" w:rsidRPr="00CD24AC">
              <w:rPr>
                <w:rFonts w:ascii="Century Gothic" w:hAnsi="Century Gothic"/>
                <w:noProof/>
                <w:webHidden/>
              </w:rPr>
              <w:tab/>
            </w:r>
            <w:r w:rsidR="00CE5A67" w:rsidRPr="00CD24AC">
              <w:rPr>
                <w:rFonts w:ascii="Century Gothic" w:hAnsi="Century Gothic"/>
                <w:noProof/>
                <w:webHidden/>
              </w:rPr>
              <w:fldChar w:fldCharType="begin"/>
            </w:r>
            <w:r w:rsidR="00CE5A67" w:rsidRPr="00CD24AC">
              <w:rPr>
                <w:rFonts w:ascii="Century Gothic" w:hAnsi="Century Gothic"/>
                <w:noProof/>
                <w:webHidden/>
              </w:rPr>
              <w:instrText xml:space="preserve"> PAGEREF _Toc517264640 \h </w:instrText>
            </w:r>
            <w:r w:rsidR="00CE5A67" w:rsidRPr="00CD24AC">
              <w:rPr>
                <w:rFonts w:ascii="Century Gothic" w:hAnsi="Century Gothic"/>
                <w:noProof/>
                <w:webHidden/>
              </w:rPr>
            </w:r>
            <w:r w:rsidR="00CE5A67" w:rsidRPr="00CD24AC">
              <w:rPr>
                <w:rFonts w:ascii="Century Gothic" w:hAnsi="Century Gothic"/>
                <w:noProof/>
                <w:webHidden/>
              </w:rPr>
              <w:fldChar w:fldCharType="separate"/>
            </w:r>
            <w:r w:rsidR="00CD24AC">
              <w:rPr>
                <w:rFonts w:ascii="Century Gothic" w:hAnsi="Century Gothic"/>
                <w:noProof/>
                <w:webHidden/>
              </w:rPr>
              <w:t>3</w:t>
            </w:r>
            <w:r w:rsidR="00CE5A67" w:rsidRPr="00CD24AC">
              <w:rPr>
                <w:rFonts w:ascii="Century Gothic" w:hAnsi="Century Gothic"/>
                <w:noProof/>
                <w:webHidden/>
              </w:rPr>
              <w:fldChar w:fldCharType="end"/>
            </w:r>
          </w:hyperlink>
        </w:p>
        <w:p w14:paraId="4520892E" w14:textId="77777777" w:rsidR="00CE5A67" w:rsidRPr="00CD24AC" w:rsidRDefault="00D11956" w:rsidP="00CD24AC">
          <w:pPr>
            <w:pStyle w:val="TOC1"/>
            <w:tabs>
              <w:tab w:val="left" w:pos="880"/>
              <w:tab w:val="right" w:leader="dot" w:pos="9202"/>
            </w:tabs>
            <w:ind w:left="284"/>
            <w:rPr>
              <w:rFonts w:ascii="Century Gothic" w:eastAsiaTheme="minorEastAsia" w:hAnsi="Century Gothic" w:cstheme="minorBidi"/>
              <w:noProof/>
              <w:sz w:val="22"/>
              <w:szCs w:val="22"/>
            </w:rPr>
          </w:pPr>
          <w:hyperlink w:anchor="_Toc517264641" w:history="1">
            <w:r w:rsidR="00CE5A67" w:rsidRPr="00CD24AC">
              <w:rPr>
                <w:rStyle w:val="Hyperlink"/>
                <w:rFonts w:ascii="Century Gothic" w:hAnsi="Century Gothic" w:cs="Arial"/>
                <w:noProof/>
              </w:rPr>
              <w:t>1.4.2.</w:t>
            </w:r>
            <w:r w:rsidR="00CE5A67" w:rsidRPr="00CD24AC">
              <w:rPr>
                <w:rFonts w:ascii="Century Gothic" w:eastAsiaTheme="minorEastAsia" w:hAnsi="Century Gothic" w:cstheme="minorBidi"/>
                <w:noProof/>
                <w:sz w:val="22"/>
                <w:szCs w:val="22"/>
              </w:rPr>
              <w:tab/>
            </w:r>
            <w:r w:rsidR="00CE5A67" w:rsidRPr="00CD24AC">
              <w:rPr>
                <w:rStyle w:val="Hyperlink"/>
                <w:rFonts w:ascii="Century Gothic" w:hAnsi="Century Gothic" w:cs="Arial"/>
                <w:noProof/>
              </w:rPr>
              <w:t>Community engagement</w:t>
            </w:r>
            <w:r w:rsidR="00CE5A67" w:rsidRPr="00CD24AC">
              <w:rPr>
                <w:rFonts w:ascii="Century Gothic" w:hAnsi="Century Gothic"/>
                <w:noProof/>
                <w:webHidden/>
              </w:rPr>
              <w:tab/>
            </w:r>
            <w:r w:rsidR="00CE5A67" w:rsidRPr="00CD24AC">
              <w:rPr>
                <w:rFonts w:ascii="Century Gothic" w:hAnsi="Century Gothic"/>
                <w:noProof/>
                <w:webHidden/>
              </w:rPr>
              <w:fldChar w:fldCharType="begin"/>
            </w:r>
            <w:r w:rsidR="00CE5A67" w:rsidRPr="00CD24AC">
              <w:rPr>
                <w:rFonts w:ascii="Century Gothic" w:hAnsi="Century Gothic"/>
                <w:noProof/>
                <w:webHidden/>
              </w:rPr>
              <w:instrText xml:space="preserve"> PAGEREF _Toc517264641 \h </w:instrText>
            </w:r>
            <w:r w:rsidR="00CE5A67" w:rsidRPr="00CD24AC">
              <w:rPr>
                <w:rFonts w:ascii="Century Gothic" w:hAnsi="Century Gothic"/>
                <w:noProof/>
                <w:webHidden/>
              </w:rPr>
            </w:r>
            <w:r w:rsidR="00CE5A67" w:rsidRPr="00CD24AC">
              <w:rPr>
                <w:rFonts w:ascii="Century Gothic" w:hAnsi="Century Gothic"/>
                <w:noProof/>
                <w:webHidden/>
              </w:rPr>
              <w:fldChar w:fldCharType="separate"/>
            </w:r>
            <w:r w:rsidR="00CD24AC">
              <w:rPr>
                <w:rFonts w:ascii="Century Gothic" w:hAnsi="Century Gothic"/>
                <w:noProof/>
                <w:webHidden/>
              </w:rPr>
              <w:t>3</w:t>
            </w:r>
            <w:r w:rsidR="00CE5A67" w:rsidRPr="00CD24AC">
              <w:rPr>
                <w:rFonts w:ascii="Century Gothic" w:hAnsi="Century Gothic"/>
                <w:noProof/>
                <w:webHidden/>
              </w:rPr>
              <w:fldChar w:fldCharType="end"/>
            </w:r>
          </w:hyperlink>
        </w:p>
        <w:p w14:paraId="0C3B899F" w14:textId="77777777" w:rsidR="00CE5A67" w:rsidRPr="00CD24AC" w:rsidRDefault="00D11956" w:rsidP="00CD24AC">
          <w:pPr>
            <w:pStyle w:val="TOC1"/>
            <w:tabs>
              <w:tab w:val="left" w:pos="880"/>
              <w:tab w:val="right" w:leader="dot" w:pos="9202"/>
            </w:tabs>
            <w:ind w:left="284"/>
            <w:rPr>
              <w:rFonts w:ascii="Century Gothic" w:eastAsiaTheme="minorEastAsia" w:hAnsi="Century Gothic" w:cstheme="minorBidi"/>
              <w:noProof/>
              <w:sz w:val="22"/>
              <w:szCs w:val="22"/>
            </w:rPr>
          </w:pPr>
          <w:hyperlink w:anchor="_Toc517264642" w:history="1">
            <w:r w:rsidR="00CE5A67" w:rsidRPr="00CD24AC">
              <w:rPr>
                <w:rStyle w:val="Hyperlink"/>
                <w:rFonts w:ascii="Century Gothic" w:hAnsi="Century Gothic" w:cs="Arial"/>
                <w:noProof/>
              </w:rPr>
              <w:t>1.4.3.</w:t>
            </w:r>
            <w:r w:rsidR="00CE5A67" w:rsidRPr="00CD24AC">
              <w:rPr>
                <w:rFonts w:ascii="Century Gothic" w:eastAsiaTheme="minorEastAsia" w:hAnsi="Century Gothic" w:cstheme="minorBidi"/>
                <w:noProof/>
                <w:sz w:val="22"/>
                <w:szCs w:val="22"/>
              </w:rPr>
              <w:tab/>
            </w:r>
            <w:r w:rsidR="00CE5A67" w:rsidRPr="00CD24AC">
              <w:rPr>
                <w:rStyle w:val="Hyperlink"/>
                <w:rFonts w:ascii="Century Gothic" w:hAnsi="Century Gothic" w:cs="Arial"/>
                <w:noProof/>
              </w:rPr>
              <w:t>Indigenous engagement</w:t>
            </w:r>
            <w:r w:rsidR="00CE5A67" w:rsidRPr="00CD24AC">
              <w:rPr>
                <w:rFonts w:ascii="Century Gothic" w:hAnsi="Century Gothic"/>
                <w:noProof/>
                <w:webHidden/>
              </w:rPr>
              <w:tab/>
            </w:r>
            <w:r w:rsidR="00CE5A67" w:rsidRPr="00CD24AC">
              <w:rPr>
                <w:rFonts w:ascii="Century Gothic" w:hAnsi="Century Gothic"/>
                <w:noProof/>
                <w:webHidden/>
              </w:rPr>
              <w:fldChar w:fldCharType="begin"/>
            </w:r>
            <w:r w:rsidR="00CE5A67" w:rsidRPr="00CD24AC">
              <w:rPr>
                <w:rFonts w:ascii="Century Gothic" w:hAnsi="Century Gothic"/>
                <w:noProof/>
                <w:webHidden/>
              </w:rPr>
              <w:instrText xml:space="preserve"> PAGEREF _Toc517264642 \h </w:instrText>
            </w:r>
            <w:r w:rsidR="00CE5A67" w:rsidRPr="00CD24AC">
              <w:rPr>
                <w:rFonts w:ascii="Century Gothic" w:hAnsi="Century Gothic"/>
                <w:noProof/>
                <w:webHidden/>
              </w:rPr>
            </w:r>
            <w:r w:rsidR="00CE5A67" w:rsidRPr="00CD24AC">
              <w:rPr>
                <w:rFonts w:ascii="Century Gothic" w:hAnsi="Century Gothic"/>
                <w:noProof/>
                <w:webHidden/>
              </w:rPr>
              <w:fldChar w:fldCharType="separate"/>
            </w:r>
            <w:r w:rsidR="00CD24AC">
              <w:rPr>
                <w:rFonts w:ascii="Century Gothic" w:hAnsi="Century Gothic"/>
                <w:noProof/>
                <w:webHidden/>
              </w:rPr>
              <w:t>3</w:t>
            </w:r>
            <w:r w:rsidR="00CE5A67" w:rsidRPr="00CD24AC">
              <w:rPr>
                <w:rFonts w:ascii="Century Gothic" w:hAnsi="Century Gothic"/>
                <w:noProof/>
                <w:webHidden/>
              </w:rPr>
              <w:fldChar w:fldCharType="end"/>
            </w:r>
          </w:hyperlink>
        </w:p>
        <w:p w14:paraId="631B5F6B" w14:textId="77777777" w:rsidR="00CE5A67" w:rsidRPr="00CD24AC" w:rsidRDefault="00D11956" w:rsidP="00CD24AC">
          <w:pPr>
            <w:pStyle w:val="TOC1"/>
            <w:tabs>
              <w:tab w:val="left" w:pos="660"/>
              <w:tab w:val="right" w:leader="dot" w:pos="9202"/>
            </w:tabs>
            <w:ind w:left="284"/>
            <w:rPr>
              <w:rFonts w:ascii="Century Gothic" w:eastAsiaTheme="minorEastAsia" w:hAnsi="Century Gothic" w:cstheme="minorBidi"/>
              <w:noProof/>
              <w:sz w:val="22"/>
              <w:szCs w:val="22"/>
            </w:rPr>
          </w:pPr>
          <w:hyperlink w:anchor="_Toc517264643" w:history="1">
            <w:r w:rsidR="00CE5A67" w:rsidRPr="00CD24AC">
              <w:rPr>
                <w:rStyle w:val="Hyperlink"/>
                <w:rFonts w:ascii="Century Gothic" w:hAnsi="Century Gothic"/>
                <w:noProof/>
              </w:rPr>
              <w:t>1.5.</w:t>
            </w:r>
            <w:r w:rsidR="00CE5A67" w:rsidRPr="00CD24AC">
              <w:rPr>
                <w:rFonts w:ascii="Century Gothic" w:eastAsiaTheme="minorEastAsia" w:hAnsi="Century Gothic" w:cstheme="minorBidi"/>
                <w:noProof/>
                <w:sz w:val="22"/>
                <w:szCs w:val="22"/>
              </w:rPr>
              <w:tab/>
            </w:r>
            <w:r w:rsidR="00CE5A67" w:rsidRPr="00CD24AC">
              <w:rPr>
                <w:rStyle w:val="Hyperlink"/>
                <w:rFonts w:ascii="Century Gothic" w:hAnsi="Century Gothic"/>
                <w:noProof/>
              </w:rPr>
              <w:t>Supporting multiple outcomes</w:t>
            </w:r>
            <w:r w:rsidR="00CE5A67" w:rsidRPr="00CD24AC">
              <w:rPr>
                <w:rFonts w:ascii="Century Gothic" w:hAnsi="Century Gothic"/>
                <w:noProof/>
                <w:webHidden/>
              </w:rPr>
              <w:tab/>
            </w:r>
            <w:r w:rsidR="00CE5A67" w:rsidRPr="00CD24AC">
              <w:rPr>
                <w:rFonts w:ascii="Century Gothic" w:hAnsi="Century Gothic"/>
                <w:noProof/>
                <w:webHidden/>
              </w:rPr>
              <w:fldChar w:fldCharType="begin"/>
            </w:r>
            <w:r w:rsidR="00CE5A67" w:rsidRPr="00CD24AC">
              <w:rPr>
                <w:rFonts w:ascii="Century Gothic" w:hAnsi="Century Gothic"/>
                <w:noProof/>
                <w:webHidden/>
              </w:rPr>
              <w:instrText xml:space="preserve"> PAGEREF _Toc517264643 \h </w:instrText>
            </w:r>
            <w:r w:rsidR="00CE5A67" w:rsidRPr="00CD24AC">
              <w:rPr>
                <w:rFonts w:ascii="Century Gothic" w:hAnsi="Century Gothic"/>
                <w:noProof/>
                <w:webHidden/>
              </w:rPr>
            </w:r>
            <w:r w:rsidR="00CE5A67" w:rsidRPr="00CD24AC">
              <w:rPr>
                <w:rFonts w:ascii="Century Gothic" w:hAnsi="Century Gothic"/>
                <w:noProof/>
                <w:webHidden/>
              </w:rPr>
              <w:fldChar w:fldCharType="separate"/>
            </w:r>
            <w:r w:rsidR="00CD24AC">
              <w:rPr>
                <w:rFonts w:ascii="Century Gothic" w:hAnsi="Century Gothic"/>
                <w:noProof/>
                <w:webHidden/>
              </w:rPr>
              <w:t>5</w:t>
            </w:r>
            <w:r w:rsidR="00CE5A67" w:rsidRPr="00CD24AC">
              <w:rPr>
                <w:rFonts w:ascii="Century Gothic" w:hAnsi="Century Gothic"/>
                <w:noProof/>
                <w:webHidden/>
              </w:rPr>
              <w:fldChar w:fldCharType="end"/>
            </w:r>
          </w:hyperlink>
        </w:p>
        <w:p w14:paraId="2C2870BA" w14:textId="77777777" w:rsidR="00CE5A67" w:rsidRPr="00CD24AC" w:rsidRDefault="00D11956" w:rsidP="00CD24AC">
          <w:pPr>
            <w:pStyle w:val="TOC1"/>
            <w:tabs>
              <w:tab w:val="left" w:pos="880"/>
              <w:tab w:val="right" w:leader="dot" w:pos="9202"/>
            </w:tabs>
            <w:ind w:left="284"/>
            <w:rPr>
              <w:rFonts w:ascii="Century Gothic" w:eastAsiaTheme="minorEastAsia" w:hAnsi="Century Gothic" w:cstheme="minorBidi"/>
              <w:noProof/>
              <w:sz w:val="22"/>
              <w:szCs w:val="22"/>
            </w:rPr>
          </w:pPr>
          <w:hyperlink w:anchor="_Toc517264644" w:history="1">
            <w:r w:rsidR="00CE5A67" w:rsidRPr="00CD24AC">
              <w:rPr>
                <w:rStyle w:val="Hyperlink"/>
                <w:rFonts w:ascii="Century Gothic" w:hAnsi="Century Gothic" w:cs="Arial"/>
                <w:noProof/>
              </w:rPr>
              <w:t>1.5.1.</w:t>
            </w:r>
            <w:r w:rsidR="00CE5A67" w:rsidRPr="00CD24AC">
              <w:rPr>
                <w:rFonts w:ascii="Century Gothic" w:eastAsiaTheme="minorEastAsia" w:hAnsi="Century Gothic" w:cstheme="minorBidi"/>
                <w:noProof/>
                <w:sz w:val="22"/>
                <w:szCs w:val="22"/>
              </w:rPr>
              <w:tab/>
            </w:r>
            <w:r w:rsidR="00CE5A67" w:rsidRPr="00CD24AC">
              <w:rPr>
                <w:rStyle w:val="Hyperlink"/>
                <w:rFonts w:ascii="Century Gothic" w:hAnsi="Century Gothic" w:cs="Arial"/>
                <w:noProof/>
              </w:rPr>
              <w:t>Aboriginal cultural outcomes</w:t>
            </w:r>
            <w:r w:rsidR="00CE5A67" w:rsidRPr="00CD24AC">
              <w:rPr>
                <w:rFonts w:ascii="Century Gothic" w:hAnsi="Century Gothic"/>
                <w:noProof/>
                <w:webHidden/>
              </w:rPr>
              <w:tab/>
            </w:r>
            <w:r w:rsidR="00CE5A67" w:rsidRPr="00CD24AC">
              <w:rPr>
                <w:rFonts w:ascii="Century Gothic" w:hAnsi="Century Gothic"/>
                <w:noProof/>
                <w:webHidden/>
              </w:rPr>
              <w:fldChar w:fldCharType="begin"/>
            </w:r>
            <w:r w:rsidR="00CE5A67" w:rsidRPr="00CD24AC">
              <w:rPr>
                <w:rFonts w:ascii="Century Gothic" w:hAnsi="Century Gothic"/>
                <w:noProof/>
                <w:webHidden/>
              </w:rPr>
              <w:instrText xml:space="preserve"> PAGEREF _Toc517264644 \h </w:instrText>
            </w:r>
            <w:r w:rsidR="00CE5A67" w:rsidRPr="00CD24AC">
              <w:rPr>
                <w:rFonts w:ascii="Century Gothic" w:hAnsi="Century Gothic"/>
                <w:noProof/>
                <w:webHidden/>
              </w:rPr>
            </w:r>
            <w:r w:rsidR="00CE5A67" w:rsidRPr="00CD24AC">
              <w:rPr>
                <w:rFonts w:ascii="Century Gothic" w:hAnsi="Century Gothic"/>
                <w:noProof/>
                <w:webHidden/>
              </w:rPr>
              <w:fldChar w:fldCharType="separate"/>
            </w:r>
            <w:r w:rsidR="00CD24AC">
              <w:rPr>
                <w:rFonts w:ascii="Century Gothic" w:hAnsi="Century Gothic"/>
                <w:noProof/>
                <w:webHidden/>
              </w:rPr>
              <w:t>5</w:t>
            </w:r>
            <w:r w:rsidR="00CE5A67" w:rsidRPr="00CD24AC">
              <w:rPr>
                <w:rFonts w:ascii="Century Gothic" w:hAnsi="Century Gothic"/>
                <w:noProof/>
                <w:webHidden/>
              </w:rPr>
              <w:fldChar w:fldCharType="end"/>
            </w:r>
          </w:hyperlink>
        </w:p>
        <w:p w14:paraId="267955C8" w14:textId="77777777" w:rsidR="00CE5A67" w:rsidRPr="00CD24AC" w:rsidRDefault="00D11956" w:rsidP="00CD24AC">
          <w:pPr>
            <w:pStyle w:val="TOC1"/>
            <w:tabs>
              <w:tab w:val="left" w:pos="880"/>
              <w:tab w:val="right" w:leader="dot" w:pos="9202"/>
            </w:tabs>
            <w:ind w:left="284"/>
            <w:rPr>
              <w:rFonts w:ascii="Century Gothic" w:eastAsiaTheme="minorEastAsia" w:hAnsi="Century Gothic" w:cstheme="minorBidi"/>
              <w:noProof/>
              <w:sz w:val="22"/>
              <w:szCs w:val="22"/>
            </w:rPr>
          </w:pPr>
          <w:hyperlink w:anchor="_Toc517264645" w:history="1">
            <w:r w:rsidR="00CE5A67" w:rsidRPr="00CD24AC">
              <w:rPr>
                <w:rStyle w:val="Hyperlink"/>
                <w:rFonts w:ascii="Century Gothic" w:hAnsi="Century Gothic" w:cs="Arial"/>
                <w:noProof/>
              </w:rPr>
              <w:t>1.5.2.</w:t>
            </w:r>
            <w:r w:rsidR="00CE5A67" w:rsidRPr="00CD24AC">
              <w:rPr>
                <w:rFonts w:ascii="Century Gothic" w:eastAsiaTheme="minorEastAsia" w:hAnsi="Century Gothic" w:cstheme="minorBidi"/>
                <w:noProof/>
                <w:sz w:val="22"/>
                <w:szCs w:val="22"/>
              </w:rPr>
              <w:tab/>
            </w:r>
            <w:r w:rsidR="00CE5A67" w:rsidRPr="00CD24AC">
              <w:rPr>
                <w:rStyle w:val="Hyperlink"/>
                <w:rFonts w:ascii="Century Gothic" w:hAnsi="Century Gothic" w:cs="Arial"/>
                <w:noProof/>
              </w:rPr>
              <w:t>Benefits to other water users</w:t>
            </w:r>
            <w:r w:rsidR="00CE5A67" w:rsidRPr="00CD24AC">
              <w:rPr>
                <w:rFonts w:ascii="Century Gothic" w:hAnsi="Century Gothic"/>
                <w:noProof/>
                <w:webHidden/>
              </w:rPr>
              <w:tab/>
            </w:r>
            <w:r w:rsidR="00CE5A67" w:rsidRPr="00CD24AC">
              <w:rPr>
                <w:rFonts w:ascii="Century Gothic" w:hAnsi="Century Gothic"/>
                <w:noProof/>
                <w:webHidden/>
              </w:rPr>
              <w:fldChar w:fldCharType="begin"/>
            </w:r>
            <w:r w:rsidR="00CE5A67" w:rsidRPr="00CD24AC">
              <w:rPr>
                <w:rFonts w:ascii="Century Gothic" w:hAnsi="Century Gothic"/>
                <w:noProof/>
                <w:webHidden/>
              </w:rPr>
              <w:instrText xml:space="preserve"> PAGEREF _Toc517264645 \h </w:instrText>
            </w:r>
            <w:r w:rsidR="00CE5A67" w:rsidRPr="00CD24AC">
              <w:rPr>
                <w:rFonts w:ascii="Century Gothic" w:hAnsi="Century Gothic"/>
                <w:noProof/>
                <w:webHidden/>
              </w:rPr>
            </w:r>
            <w:r w:rsidR="00CE5A67" w:rsidRPr="00CD24AC">
              <w:rPr>
                <w:rFonts w:ascii="Century Gothic" w:hAnsi="Century Gothic"/>
                <w:noProof/>
                <w:webHidden/>
              </w:rPr>
              <w:fldChar w:fldCharType="separate"/>
            </w:r>
            <w:r w:rsidR="00CD24AC">
              <w:rPr>
                <w:rFonts w:ascii="Century Gothic" w:hAnsi="Century Gothic"/>
                <w:noProof/>
                <w:webHidden/>
              </w:rPr>
              <w:t>5</w:t>
            </w:r>
            <w:r w:rsidR="00CE5A67" w:rsidRPr="00CD24AC">
              <w:rPr>
                <w:rFonts w:ascii="Century Gothic" w:hAnsi="Century Gothic"/>
                <w:noProof/>
                <w:webHidden/>
              </w:rPr>
              <w:fldChar w:fldCharType="end"/>
            </w:r>
          </w:hyperlink>
        </w:p>
        <w:p w14:paraId="17DC94B4" w14:textId="77777777" w:rsidR="00CE5A67" w:rsidRPr="00CD24AC" w:rsidRDefault="00D11956" w:rsidP="00CD24AC">
          <w:pPr>
            <w:pStyle w:val="TOC1"/>
            <w:tabs>
              <w:tab w:val="left" w:pos="660"/>
              <w:tab w:val="right" w:leader="dot" w:pos="9202"/>
            </w:tabs>
            <w:ind w:left="284"/>
            <w:rPr>
              <w:rFonts w:ascii="Century Gothic" w:eastAsiaTheme="minorEastAsia" w:hAnsi="Century Gothic" w:cstheme="minorBidi"/>
              <w:noProof/>
              <w:sz w:val="22"/>
              <w:szCs w:val="22"/>
            </w:rPr>
          </w:pPr>
          <w:hyperlink w:anchor="_Toc517264646" w:history="1">
            <w:r w:rsidR="00CE5A67" w:rsidRPr="00CD24AC">
              <w:rPr>
                <w:rStyle w:val="Hyperlink"/>
                <w:rFonts w:ascii="Century Gothic" w:hAnsi="Century Gothic"/>
                <w:noProof/>
              </w:rPr>
              <w:t>1.6.</w:t>
            </w:r>
            <w:r w:rsidR="00CE5A67" w:rsidRPr="00CD24AC">
              <w:rPr>
                <w:rFonts w:ascii="Century Gothic" w:eastAsiaTheme="minorEastAsia" w:hAnsi="Century Gothic" w:cstheme="minorBidi"/>
                <w:noProof/>
                <w:sz w:val="22"/>
                <w:szCs w:val="22"/>
              </w:rPr>
              <w:tab/>
            </w:r>
            <w:r w:rsidR="00CE5A67" w:rsidRPr="00CD24AC">
              <w:rPr>
                <w:rStyle w:val="Hyperlink"/>
                <w:rFonts w:ascii="Century Gothic" w:hAnsi="Century Gothic"/>
                <w:noProof/>
              </w:rPr>
              <w:t>Contact information</w:t>
            </w:r>
            <w:r w:rsidR="00CE5A67" w:rsidRPr="00CD24AC">
              <w:rPr>
                <w:rFonts w:ascii="Century Gothic" w:hAnsi="Century Gothic"/>
                <w:noProof/>
                <w:webHidden/>
              </w:rPr>
              <w:tab/>
            </w:r>
            <w:r w:rsidR="00CE5A67" w:rsidRPr="00CD24AC">
              <w:rPr>
                <w:rFonts w:ascii="Century Gothic" w:hAnsi="Century Gothic"/>
                <w:noProof/>
                <w:webHidden/>
              </w:rPr>
              <w:fldChar w:fldCharType="begin"/>
            </w:r>
            <w:r w:rsidR="00CE5A67" w:rsidRPr="00CD24AC">
              <w:rPr>
                <w:rFonts w:ascii="Century Gothic" w:hAnsi="Century Gothic"/>
                <w:noProof/>
                <w:webHidden/>
              </w:rPr>
              <w:instrText xml:space="preserve"> PAGEREF _Toc517264646 \h </w:instrText>
            </w:r>
            <w:r w:rsidR="00CE5A67" w:rsidRPr="00CD24AC">
              <w:rPr>
                <w:rFonts w:ascii="Century Gothic" w:hAnsi="Century Gothic"/>
                <w:noProof/>
                <w:webHidden/>
              </w:rPr>
            </w:r>
            <w:r w:rsidR="00CE5A67" w:rsidRPr="00CD24AC">
              <w:rPr>
                <w:rFonts w:ascii="Century Gothic" w:hAnsi="Century Gothic"/>
                <w:noProof/>
                <w:webHidden/>
              </w:rPr>
              <w:fldChar w:fldCharType="separate"/>
            </w:r>
            <w:r w:rsidR="00CD24AC">
              <w:rPr>
                <w:rFonts w:ascii="Century Gothic" w:hAnsi="Century Gothic"/>
                <w:noProof/>
                <w:webHidden/>
              </w:rPr>
              <w:t>5</w:t>
            </w:r>
            <w:r w:rsidR="00CE5A67" w:rsidRPr="00CD24AC">
              <w:rPr>
                <w:rFonts w:ascii="Century Gothic" w:hAnsi="Century Gothic"/>
                <w:noProof/>
                <w:webHidden/>
              </w:rPr>
              <w:fldChar w:fldCharType="end"/>
            </w:r>
          </w:hyperlink>
        </w:p>
        <w:p w14:paraId="044175F7" w14:textId="77777777" w:rsidR="00CE5A67" w:rsidRPr="00CD24AC" w:rsidRDefault="00D11956">
          <w:pPr>
            <w:pStyle w:val="TOC1"/>
            <w:tabs>
              <w:tab w:val="left" w:pos="400"/>
              <w:tab w:val="right" w:leader="dot" w:pos="9202"/>
            </w:tabs>
            <w:rPr>
              <w:rFonts w:ascii="Century Gothic" w:eastAsiaTheme="minorEastAsia" w:hAnsi="Century Gothic" w:cstheme="minorBidi"/>
              <w:b/>
              <w:noProof/>
              <w:sz w:val="22"/>
              <w:szCs w:val="22"/>
            </w:rPr>
          </w:pPr>
          <w:hyperlink w:anchor="_Toc517264647" w:history="1">
            <w:r w:rsidR="00CE5A67" w:rsidRPr="00CD24AC">
              <w:rPr>
                <w:rStyle w:val="Hyperlink"/>
                <w:rFonts w:ascii="Century Gothic" w:hAnsi="Century Gothic"/>
                <w:b/>
                <w:noProof/>
              </w:rPr>
              <w:t>2.</w:t>
            </w:r>
            <w:r w:rsidR="00CE5A67" w:rsidRPr="00CD24AC">
              <w:rPr>
                <w:rFonts w:ascii="Century Gothic" w:eastAsiaTheme="minorEastAsia" w:hAnsi="Century Gothic" w:cstheme="minorBidi"/>
                <w:b/>
                <w:noProof/>
                <w:sz w:val="22"/>
                <w:szCs w:val="22"/>
              </w:rPr>
              <w:tab/>
            </w:r>
            <w:r w:rsidR="00CE5A67" w:rsidRPr="00CD24AC">
              <w:rPr>
                <w:rStyle w:val="Hyperlink"/>
                <w:rFonts w:ascii="Century Gothic" w:hAnsi="Century Gothic"/>
                <w:b/>
                <w:noProof/>
              </w:rPr>
              <w:t>Portfolio management planning</w:t>
            </w:r>
            <w:r w:rsidR="00CE5A67" w:rsidRPr="00CD24AC">
              <w:rPr>
                <w:rFonts w:ascii="Century Gothic" w:hAnsi="Century Gothic"/>
                <w:b/>
                <w:noProof/>
                <w:webHidden/>
              </w:rPr>
              <w:tab/>
            </w:r>
            <w:r w:rsidR="00CE5A67" w:rsidRPr="00CD24AC">
              <w:rPr>
                <w:rFonts w:ascii="Century Gothic" w:hAnsi="Century Gothic"/>
                <w:b/>
                <w:noProof/>
                <w:webHidden/>
              </w:rPr>
              <w:fldChar w:fldCharType="begin"/>
            </w:r>
            <w:r w:rsidR="00CE5A67" w:rsidRPr="00CD24AC">
              <w:rPr>
                <w:rFonts w:ascii="Century Gothic" w:hAnsi="Century Gothic"/>
                <w:b/>
                <w:noProof/>
                <w:webHidden/>
              </w:rPr>
              <w:instrText xml:space="preserve"> PAGEREF _Toc517264647 \h </w:instrText>
            </w:r>
            <w:r w:rsidR="00CE5A67" w:rsidRPr="00CD24AC">
              <w:rPr>
                <w:rFonts w:ascii="Century Gothic" w:hAnsi="Century Gothic"/>
                <w:b/>
                <w:noProof/>
                <w:webHidden/>
              </w:rPr>
            </w:r>
            <w:r w:rsidR="00CE5A67" w:rsidRPr="00CD24AC">
              <w:rPr>
                <w:rFonts w:ascii="Century Gothic" w:hAnsi="Century Gothic"/>
                <w:b/>
                <w:noProof/>
                <w:webHidden/>
              </w:rPr>
              <w:fldChar w:fldCharType="separate"/>
            </w:r>
            <w:r w:rsidR="00CD24AC" w:rsidRPr="00CD24AC">
              <w:rPr>
                <w:rFonts w:ascii="Century Gothic" w:hAnsi="Century Gothic"/>
                <w:b/>
                <w:noProof/>
                <w:webHidden/>
              </w:rPr>
              <w:t>6</w:t>
            </w:r>
            <w:r w:rsidR="00CE5A67" w:rsidRPr="00CD24AC">
              <w:rPr>
                <w:rFonts w:ascii="Century Gothic" w:hAnsi="Century Gothic"/>
                <w:b/>
                <w:noProof/>
                <w:webHidden/>
              </w:rPr>
              <w:fldChar w:fldCharType="end"/>
            </w:r>
          </w:hyperlink>
        </w:p>
        <w:p w14:paraId="5E573D86" w14:textId="77777777" w:rsidR="00CE5A67" w:rsidRPr="00CD24AC" w:rsidRDefault="00D11956" w:rsidP="00CD24AC">
          <w:pPr>
            <w:pStyle w:val="TOC1"/>
            <w:tabs>
              <w:tab w:val="left" w:pos="660"/>
              <w:tab w:val="right" w:leader="dot" w:pos="9202"/>
            </w:tabs>
            <w:ind w:left="284"/>
            <w:rPr>
              <w:rFonts w:ascii="Century Gothic" w:eastAsiaTheme="minorEastAsia" w:hAnsi="Century Gothic" w:cstheme="minorBidi"/>
              <w:noProof/>
              <w:sz w:val="22"/>
              <w:szCs w:val="22"/>
            </w:rPr>
          </w:pPr>
          <w:hyperlink w:anchor="_Toc517264648" w:history="1">
            <w:r w:rsidR="00CE5A67" w:rsidRPr="00CD24AC">
              <w:rPr>
                <w:rStyle w:val="Hyperlink"/>
                <w:rFonts w:ascii="Century Gothic" w:hAnsi="Century Gothic"/>
                <w:noProof/>
              </w:rPr>
              <w:t>2.1.</w:t>
            </w:r>
            <w:r w:rsidR="00CE5A67" w:rsidRPr="00CD24AC">
              <w:rPr>
                <w:rFonts w:ascii="Century Gothic" w:eastAsiaTheme="minorEastAsia" w:hAnsi="Century Gothic" w:cstheme="minorBidi"/>
                <w:noProof/>
                <w:sz w:val="22"/>
                <w:szCs w:val="22"/>
              </w:rPr>
              <w:tab/>
            </w:r>
            <w:r w:rsidR="00CE5A67" w:rsidRPr="00CD24AC">
              <w:rPr>
                <w:rStyle w:val="Hyperlink"/>
                <w:rFonts w:ascii="Century Gothic" w:hAnsi="Century Gothic"/>
                <w:noProof/>
              </w:rPr>
              <w:t>Management options</w:t>
            </w:r>
            <w:r w:rsidR="00CE5A67" w:rsidRPr="00CD24AC">
              <w:rPr>
                <w:rFonts w:ascii="Century Gothic" w:hAnsi="Century Gothic"/>
                <w:noProof/>
                <w:webHidden/>
              </w:rPr>
              <w:tab/>
            </w:r>
            <w:r w:rsidR="00CE5A67" w:rsidRPr="00CD24AC">
              <w:rPr>
                <w:rFonts w:ascii="Century Gothic" w:hAnsi="Century Gothic"/>
                <w:noProof/>
                <w:webHidden/>
              </w:rPr>
              <w:fldChar w:fldCharType="begin"/>
            </w:r>
            <w:r w:rsidR="00CE5A67" w:rsidRPr="00CD24AC">
              <w:rPr>
                <w:rFonts w:ascii="Century Gothic" w:hAnsi="Century Gothic"/>
                <w:noProof/>
                <w:webHidden/>
              </w:rPr>
              <w:instrText xml:space="preserve"> PAGEREF _Toc517264648 \h </w:instrText>
            </w:r>
            <w:r w:rsidR="00CE5A67" w:rsidRPr="00CD24AC">
              <w:rPr>
                <w:rFonts w:ascii="Century Gothic" w:hAnsi="Century Gothic"/>
                <w:noProof/>
                <w:webHidden/>
              </w:rPr>
            </w:r>
            <w:r w:rsidR="00CE5A67" w:rsidRPr="00CD24AC">
              <w:rPr>
                <w:rFonts w:ascii="Century Gothic" w:hAnsi="Century Gothic"/>
                <w:noProof/>
                <w:webHidden/>
              </w:rPr>
              <w:fldChar w:fldCharType="separate"/>
            </w:r>
            <w:r w:rsidR="00CD24AC">
              <w:rPr>
                <w:rFonts w:ascii="Century Gothic" w:hAnsi="Century Gothic"/>
                <w:noProof/>
                <w:webHidden/>
              </w:rPr>
              <w:t>6</w:t>
            </w:r>
            <w:r w:rsidR="00CE5A67" w:rsidRPr="00CD24AC">
              <w:rPr>
                <w:rFonts w:ascii="Century Gothic" w:hAnsi="Century Gothic"/>
                <w:noProof/>
                <w:webHidden/>
              </w:rPr>
              <w:fldChar w:fldCharType="end"/>
            </w:r>
          </w:hyperlink>
        </w:p>
        <w:p w14:paraId="53E031BE" w14:textId="77777777" w:rsidR="00CE5A67" w:rsidRPr="00CD24AC" w:rsidRDefault="00D11956" w:rsidP="00CD24AC">
          <w:pPr>
            <w:pStyle w:val="TOC1"/>
            <w:tabs>
              <w:tab w:val="left" w:pos="660"/>
              <w:tab w:val="right" w:leader="dot" w:pos="9202"/>
            </w:tabs>
            <w:ind w:left="284"/>
            <w:rPr>
              <w:rFonts w:ascii="Century Gothic" w:eastAsiaTheme="minorEastAsia" w:hAnsi="Century Gothic" w:cstheme="minorBidi"/>
              <w:noProof/>
              <w:sz w:val="22"/>
              <w:szCs w:val="22"/>
            </w:rPr>
          </w:pPr>
          <w:hyperlink w:anchor="_Toc517264649" w:history="1">
            <w:r w:rsidR="00CE5A67" w:rsidRPr="00CD24AC">
              <w:rPr>
                <w:rStyle w:val="Hyperlink"/>
                <w:rFonts w:ascii="Century Gothic" w:hAnsi="Century Gothic"/>
                <w:noProof/>
              </w:rPr>
              <w:t>2.2.</w:t>
            </w:r>
            <w:r w:rsidR="00CE5A67" w:rsidRPr="00CD24AC">
              <w:rPr>
                <w:rFonts w:ascii="Century Gothic" w:eastAsiaTheme="minorEastAsia" w:hAnsi="Century Gothic" w:cstheme="minorBidi"/>
                <w:noProof/>
                <w:sz w:val="22"/>
                <w:szCs w:val="22"/>
              </w:rPr>
              <w:tab/>
            </w:r>
            <w:r w:rsidR="00CE5A67" w:rsidRPr="00CD24AC">
              <w:rPr>
                <w:rStyle w:val="Hyperlink"/>
                <w:rFonts w:ascii="Century Gothic" w:hAnsi="Century Gothic"/>
                <w:noProof/>
              </w:rPr>
              <w:t>Why do we undertake portfolio management planning</w:t>
            </w:r>
            <w:r w:rsidR="00CE5A67" w:rsidRPr="00CD24AC">
              <w:rPr>
                <w:rFonts w:ascii="Century Gothic" w:hAnsi="Century Gothic"/>
                <w:noProof/>
                <w:webHidden/>
              </w:rPr>
              <w:tab/>
            </w:r>
            <w:r w:rsidR="00CE5A67" w:rsidRPr="00CD24AC">
              <w:rPr>
                <w:rFonts w:ascii="Century Gothic" w:hAnsi="Century Gothic"/>
                <w:noProof/>
                <w:webHidden/>
              </w:rPr>
              <w:fldChar w:fldCharType="begin"/>
            </w:r>
            <w:r w:rsidR="00CE5A67" w:rsidRPr="00CD24AC">
              <w:rPr>
                <w:rFonts w:ascii="Century Gothic" w:hAnsi="Century Gothic"/>
                <w:noProof/>
                <w:webHidden/>
              </w:rPr>
              <w:instrText xml:space="preserve"> PAGEREF _Toc517264649 \h </w:instrText>
            </w:r>
            <w:r w:rsidR="00CE5A67" w:rsidRPr="00CD24AC">
              <w:rPr>
                <w:rFonts w:ascii="Century Gothic" w:hAnsi="Century Gothic"/>
                <w:noProof/>
                <w:webHidden/>
              </w:rPr>
            </w:r>
            <w:r w:rsidR="00CE5A67" w:rsidRPr="00CD24AC">
              <w:rPr>
                <w:rFonts w:ascii="Century Gothic" w:hAnsi="Century Gothic"/>
                <w:noProof/>
                <w:webHidden/>
              </w:rPr>
              <w:fldChar w:fldCharType="separate"/>
            </w:r>
            <w:r w:rsidR="00CD24AC">
              <w:rPr>
                <w:rFonts w:ascii="Century Gothic" w:hAnsi="Century Gothic"/>
                <w:noProof/>
                <w:webHidden/>
              </w:rPr>
              <w:t>6</w:t>
            </w:r>
            <w:r w:rsidR="00CE5A67" w:rsidRPr="00CD24AC">
              <w:rPr>
                <w:rFonts w:ascii="Century Gothic" w:hAnsi="Century Gothic"/>
                <w:noProof/>
                <w:webHidden/>
              </w:rPr>
              <w:fldChar w:fldCharType="end"/>
            </w:r>
          </w:hyperlink>
        </w:p>
        <w:p w14:paraId="5AE12DB9" w14:textId="77777777" w:rsidR="00CE5A67" w:rsidRPr="00CD24AC" w:rsidRDefault="00D11956" w:rsidP="00CD24AC">
          <w:pPr>
            <w:pStyle w:val="TOC1"/>
            <w:tabs>
              <w:tab w:val="left" w:pos="660"/>
              <w:tab w:val="right" w:leader="dot" w:pos="9202"/>
            </w:tabs>
            <w:ind w:left="284"/>
            <w:rPr>
              <w:rFonts w:ascii="Century Gothic" w:eastAsiaTheme="minorEastAsia" w:hAnsi="Century Gothic" w:cstheme="minorBidi"/>
              <w:noProof/>
              <w:sz w:val="22"/>
              <w:szCs w:val="22"/>
            </w:rPr>
          </w:pPr>
          <w:hyperlink w:anchor="_Toc517264650" w:history="1">
            <w:r w:rsidR="00CE5A67" w:rsidRPr="00CD24AC">
              <w:rPr>
                <w:rStyle w:val="Hyperlink"/>
                <w:rFonts w:ascii="Century Gothic" w:hAnsi="Century Gothic"/>
                <w:noProof/>
              </w:rPr>
              <w:t>2.3.</w:t>
            </w:r>
            <w:r w:rsidR="00CE5A67" w:rsidRPr="00CD24AC">
              <w:rPr>
                <w:rFonts w:ascii="Century Gothic" w:eastAsiaTheme="minorEastAsia" w:hAnsi="Century Gothic" w:cstheme="minorBidi"/>
                <w:noProof/>
                <w:sz w:val="22"/>
                <w:szCs w:val="22"/>
              </w:rPr>
              <w:tab/>
            </w:r>
            <w:r w:rsidR="00CE5A67" w:rsidRPr="00CD24AC">
              <w:rPr>
                <w:rStyle w:val="Hyperlink"/>
                <w:rFonts w:ascii="Century Gothic" w:hAnsi="Century Gothic"/>
                <w:noProof/>
              </w:rPr>
              <w:t>What are we trying to achieve?</w:t>
            </w:r>
            <w:r w:rsidR="00CE5A67" w:rsidRPr="00CD24AC">
              <w:rPr>
                <w:rFonts w:ascii="Century Gothic" w:hAnsi="Century Gothic"/>
                <w:noProof/>
                <w:webHidden/>
              </w:rPr>
              <w:tab/>
            </w:r>
            <w:r w:rsidR="00CE5A67" w:rsidRPr="00CD24AC">
              <w:rPr>
                <w:rFonts w:ascii="Century Gothic" w:hAnsi="Century Gothic"/>
                <w:noProof/>
                <w:webHidden/>
              </w:rPr>
              <w:fldChar w:fldCharType="begin"/>
            </w:r>
            <w:r w:rsidR="00CE5A67" w:rsidRPr="00CD24AC">
              <w:rPr>
                <w:rFonts w:ascii="Century Gothic" w:hAnsi="Century Gothic"/>
                <w:noProof/>
                <w:webHidden/>
              </w:rPr>
              <w:instrText xml:space="preserve"> PAGEREF _Toc517264650 \h </w:instrText>
            </w:r>
            <w:r w:rsidR="00CE5A67" w:rsidRPr="00CD24AC">
              <w:rPr>
                <w:rFonts w:ascii="Century Gothic" w:hAnsi="Century Gothic"/>
                <w:noProof/>
                <w:webHidden/>
              </w:rPr>
            </w:r>
            <w:r w:rsidR="00CE5A67" w:rsidRPr="00CD24AC">
              <w:rPr>
                <w:rFonts w:ascii="Century Gothic" w:hAnsi="Century Gothic"/>
                <w:noProof/>
                <w:webHidden/>
              </w:rPr>
              <w:fldChar w:fldCharType="separate"/>
            </w:r>
            <w:r w:rsidR="00CD24AC">
              <w:rPr>
                <w:rFonts w:ascii="Century Gothic" w:hAnsi="Century Gothic"/>
                <w:noProof/>
                <w:webHidden/>
              </w:rPr>
              <w:t>7</w:t>
            </w:r>
            <w:r w:rsidR="00CE5A67" w:rsidRPr="00CD24AC">
              <w:rPr>
                <w:rFonts w:ascii="Century Gothic" w:hAnsi="Century Gothic"/>
                <w:noProof/>
                <w:webHidden/>
              </w:rPr>
              <w:fldChar w:fldCharType="end"/>
            </w:r>
          </w:hyperlink>
        </w:p>
        <w:p w14:paraId="0BA3FB09" w14:textId="77777777" w:rsidR="00CE5A67" w:rsidRPr="00CD24AC" w:rsidRDefault="00D11956" w:rsidP="00CD24AC">
          <w:pPr>
            <w:pStyle w:val="TOC1"/>
            <w:tabs>
              <w:tab w:val="left" w:pos="880"/>
              <w:tab w:val="right" w:leader="dot" w:pos="9202"/>
            </w:tabs>
            <w:ind w:left="284"/>
            <w:rPr>
              <w:rFonts w:ascii="Century Gothic" w:eastAsiaTheme="minorEastAsia" w:hAnsi="Century Gothic" w:cstheme="minorBidi"/>
              <w:noProof/>
              <w:sz w:val="22"/>
              <w:szCs w:val="22"/>
            </w:rPr>
          </w:pPr>
          <w:hyperlink w:anchor="_Toc517264651" w:history="1">
            <w:r w:rsidR="00CE5A67" w:rsidRPr="00CD24AC">
              <w:rPr>
                <w:rStyle w:val="Hyperlink"/>
                <w:rFonts w:ascii="Century Gothic" w:hAnsi="Century Gothic" w:cs="Arial"/>
                <w:noProof/>
              </w:rPr>
              <w:t>2.3.1.</w:t>
            </w:r>
            <w:r w:rsidR="00CE5A67" w:rsidRPr="00CD24AC">
              <w:rPr>
                <w:rFonts w:ascii="Century Gothic" w:eastAsiaTheme="minorEastAsia" w:hAnsi="Century Gothic" w:cstheme="minorBidi"/>
                <w:noProof/>
                <w:sz w:val="22"/>
                <w:szCs w:val="22"/>
              </w:rPr>
              <w:tab/>
            </w:r>
            <w:r w:rsidR="00CE5A67" w:rsidRPr="00CD24AC">
              <w:rPr>
                <w:rStyle w:val="Hyperlink"/>
                <w:rFonts w:ascii="Century Gothic" w:hAnsi="Century Gothic" w:cs="Arial"/>
                <w:noProof/>
              </w:rPr>
              <w:t>Basin-wide long-term environmental objectives and outcomes</w:t>
            </w:r>
            <w:r w:rsidR="00CE5A67" w:rsidRPr="00CD24AC">
              <w:rPr>
                <w:rFonts w:ascii="Century Gothic" w:hAnsi="Century Gothic"/>
                <w:noProof/>
                <w:webHidden/>
              </w:rPr>
              <w:tab/>
            </w:r>
            <w:r w:rsidR="00CE5A67" w:rsidRPr="00CD24AC">
              <w:rPr>
                <w:rFonts w:ascii="Century Gothic" w:hAnsi="Century Gothic"/>
                <w:noProof/>
                <w:webHidden/>
              </w:rPr>
              <w:fldChar w:fldCharType="begin"/>
            </w:r>
            <w:r w:rsidR="00CE5A67" w:rsidRPr="00CD24AC">
              <w:rPr>
                <w:rFonts w:ascii="Century Gothic" w:hAnsi="Century Gothic"/>
                <w:noProof/>
                <w:webHidden/>
              </w:rPr>
              <w:instrText xml:space="preserve"> PAGEREF _Toc517264651 \h </w:instrText>
            </w:r>
            <w:r w:rsidR="00CE5A67" w:rsidRPr="00CD24AC">
              <w:rPr>
                <w:rFonts w:ascii="Century Gothic" w:hAnsi="Century Gothic"/>
                <w:noProof/>
                <w:webHidden/>
              </w:rPr>
            </w:r>
            <w:r w:rsidR="00CE5A67" w:rsidRPr="00CD24AC">
              <w:rPr>
                <w:rFonts w:ascii="Century Gothic" w:hAnsi="Century Gothic"/>
                <w:noProof/>
                <w:webHidden/>
              </w:rPr>
              <w:fldChar w:fldCharType="separate"/>
            </w:r>
            <w:r w:rsidR="00CD24AC">
              <w:rPr>
                <w:rFonts w:ascii="Century Gothic" w:hAnsi="Century Gothic"/>
                <w:noProof/>
                <w:webHidden/>
              </w:rPr>
              <w:t>7</w:t>
            </w:r>
            <w:r w:rsidR="00CE5A67" w:rsidRPr="00CD24AC">
              <w:rPr>
                <w:rFonts w:ascii="Century Gothic" w:hAnsi="Century Gothic"/>
                <w:noProof/>
                <w:webHidden/>
              </w:rPr>
              <w:fldChar w:fldCharType="end"/>
            </w:r>
          </w:hyperlink>
        </w:p>
        <w:p w14:paraId="2CE2402B" w14:textId="77777777" w:rsidR="00CE5A67" w:rsidRPr="00CD24AC" w:rsidRDefault="00D11956" w:rsidP="00CD24AC">
          <w:pPr>
            <w:pStyle w:val="TOC1"/>
            <w:tabs>
              <w:tab w:val="left" w:pos="880"/>
              <w:tab w:val="right" w:leader="dot" w:pos="9202"/>
            </w:tabs>
            <w:ind w:left="284"/>
            <w:rPr>
              <w:rFonts w:ascii="Century Gothic" w:eastAsiaTheme="minorEastAsia" w:hAnsi="Century Gothic" w:cstheme="minorBidi"/>
              <w:noProof/>
              <w:sz w:val="22"/>
              <w:szCs w:val="22"/>
            </w:rPr>
          </w:pPr>
          <w:hyperlink w:anchor="_Toc517264652" w:history="1">
            <w:r w:rsidR="00CE5A67" w:rsidRPr="00CD24AC">
              <w:rPr>
                <w:rStyle w:val="Hyperlink"/>
                <w:rFonts w:ascii="Century Gothic" w:hAnsi="Century Gothic" w:cs="Arial"/>
                <w:noProof/>
              </w:rPr>
              <w:t>2.3.2.</w:t>
            </w:r>
            <w:r w:rsidR="00CE5A67" w:rsidRPr="00CD24AC">
              <w:rPr>
                <w:rFonts w:ascii="Century Gothic" w:eastAsiaTheme="minorEastAsia" w:hAnsi="Century Gothic" w:cstheme="minorBidi"/>
                <w:noProof/>
                <w:sz w:val="22"/>
                <w:szCs w:val="22"/>
              </w:rPr>
              <w:tab/>
            </w:r>
            <w:r w:rsidR="00CE5A67" w:rsidRPr="00CD24AC">
              <w:rPr>
                <w:rStyle w:val="Hyperlink"/>
                <w:rFonts w:ascii="Century Gothic" w:hAnsi="Century Gothic" w:cs="Arial"/>
                <w:noProof/>
              </w:rPr>
              <w:t>Catchment long-term environmental objectives and outcomes</w:t>
            </w:r>
            <w:r w:rsidR="00CE5A67" w:rsidRPr="00CD24AC">
              <w:rPr>
                <w:rFonts w:ascii="Century Gothic" w:hAnsi="Century Gothic"/>
                <w:noProof/>
                <w:webHidden/>
              </w:rPr>
              <w:tab/>
            </w:r>
            <w:r w:rsidR="00CE5A67" w:rsidRPr="00CD24AC">
              <w:rPr>
                <w:rFonts w:ascii="Century Gothic" w:hAnsi="Century Gothic"/>
                <w:noProof/>
                <w:webHidden/>
              </w:rPr>
              <w:fldChar w:fldCharType="begin"/>
            </w:r>
            <w:r w:rsidR="00CE5A67" w:rsidRPr="00CD24AC">
              <w:rPr>
                <w:rFonts w:ascii="Century Gothic" w:hAnsi="Century Gothic"/>
                <w:noProof/>
                <w:webHidden/>
              </w:rPr>
              <w:instrText xml:space="preserve"> PAGEREF _Toc517264652 \h </w:instrText>
            </w:r>
            <w:r w:rsidR="00CE5A67" w:rsidRPr="00CD24AC">
              <w:rPr>
                <w:rFonts w:ascii="Century Gothic" w:hAnsi="Century Gothic"/>
                <w:noProof/>
                <w:webHidden/>
              </w:rPr>
            </w:r>
            <w:r w:rsidR="00CE5A67" w:rsidRPr="00CD24AC">
              <w:rPr>
                <w:rFonts w:ascii="Century Gothic" w:hAnsi="Century Gothic"/>
                <w:noProof/>
                <w:webHidden/>
              </w:rPr>
              <w:fldChar w:fldCharType="separate"/>
            </w:r>
            <w:r w:rsidR="00CD24AC">
              <w:rPr>
                <w:rFonts w:ascii="Century Gothic" w:hAnsi="Century Gothic"/>
                <w:noProof/>
                <w:webHidden/>
              </w:rPr>
              <w:t>7</w:t>
            </w:r>
            <w:r w:rsidR="00CE5A67" w:rsidRPr="00CD24AC">
              <w:rPr>
                <w:rFonts w:ascii="Century Gothic" w:hAnsi="Century Gothic"/>
                <w:noProof/>
                <w:webHidden/>
              </w:rPr>
              <w:fldChar w:fldCharType="end"/>
            </w:r>
          </w:hyperlink>
        </w:p>
        <w:p w14:paraId="7EC4786D" w14:textId="77777777" w:rsidR="00CE5A67" w:rsidRPr="00CD24AC" w:rsidRDefault="00D11956" w:rsidP="00CD24AC">
          <w:pPr>
            <w:pStyle w:val="TOC1"/>
            <w:tabs>
              <w:tab w:val="left" w:pos="880"/>
              <w:tab w:val="right" w:leader="dot" w:pos="9202"/>
            </w:tabs>
            <w:ind w:left="284"/>
            <w:rPr>
              <w:rFonts w:ascii="Century Gothic" w:eastAsiaTheme="minorEastAsia" w:hAnsi="Century Gothic" w:cstheme="minorBidi"/>
              <w:noProof/>
              <w:sz w:val="22"/>
              <w:szCs w:val="22"/>
            </w:rPr>
          </w:pPr>
          <w:hyperlink w:anchor="_Toc517264653" w:history="1">
            <w:r w:rsidR="00CE5A67" w:rsidRPr="00CD24AC">
              <w:rPr>
                <w:rStyle w:val="Hyperlink"/>
                <w:rFonts w:ascii="Century Gothic" w:hAnsi="Century Gothic" w:cs="Arial"/>
                <w:noProof/>
              </w:rPr>
              <w:t>2.3.3.</w:t>
            </w:r>
            <w:r w:rsidR="00CE5A67" w:rsidRPr="00CD24AC">
              <w:rPr>
                <w:rFonts w:ascii="Century Gothic" w:eastAsiaTheme="minorEastAsia" w:hAnsi="Century Gothic" w:cstheme="minorBidi"/>
                <w:noProof/>
                <w:sz w:val="22"/>
                <w:szCs w:val="22"/>
              </w:rPr>
              <w:tab/>
            </w:r>
            <w:r w:rsidR="00CE5A67" w:rsidRPr="00CD24AC">
              <w:rPr>
                <w:rStyle w:val="Hyperlink"/>
                <w:rFonts w:ascii="Century Gothic" w:hAnsi="Century Gothic" w:cs="Arial"/>
                <w:noProof/>
              </w:rPr>
              <w:t>Outcomes from Commonwealth environmental water</w:t>
            </w:r>
            <w:r w:rsidR="00CE5A67" w:rsidRPr="00CD24AC">
              <w:rPr>
                <w:rFonts w:ascii="Century Gothic" w:hAnsi="Century Gothic"/>
                <w:noProof/>
                <w:webHidden/>
              </w:rPr>
              <w:tab/>
            </w:r>
            <w:r w:rsidR="00CE5A67" w:rsidRPr="00CD24AC">
              <w:rPr>
                <w:rFonts w:ascii="Century Gothic" w:hAnsi="Century Gothic"/>
                <w:noProof/>
                <w:webHidden/>
              </w:rPr>
              <w:fldChar w:fldCharType="begin"/>
            </w:r>
            <w:r w:rsidR="00CE5A67" w:rsidRPr="00CD24AC">
              <w:rPr>
                <w:rFonts w:ascii="Century Gothic" w:hAnsi="Century Gothic"/>
                <w:noProof/>
                <w:webHidden/>
              </w:rPr>
              <w:instrText xml:space="preserve"> PAGEREF _Toc517264653 \h </w:instrText>
            </w:r>
            <w:r w:rsidR="00CE5A67" w:rsidRPr="00CD24AC">
              <w:rPr>
                <w:rFonts w:ascii="Century Gothic" w:hAnsi="Century Gothic"/>
                <w:noProof/>
                <w:webHidden/>
              </w:rPr>
            </w:r>
            <w:r w:rsidR="00CE5A67" w:rsidRPr="00CD24AC">
              <w:rPr>
                <w:rFonts w:ascii="Century Gothic" w:hAnsi="Century Gothic"/>
                <w:noProof/>
                <w:webHidden/>
              </w:rPr>
              <w:fldChar w:fldCharType="separate"/>
            </w:r>
            <w:r w:rsidR="00CD24AC">
              <w:rPr>
                <w:rFonts w:ascii="Century Gothic" w:hAnsi="Century Gothic"/>
                <w:noProof/>
                <w:webHidden/>
              </w:rPr>
              <w:t>7</w:t>
            </w:r>
            <w:r w:rsidR="00CE5A67" w:rsidRPr="00CD24AC">
              <w:rPr>
                <w:rFonts w:ascii="Century Gothic" w:hAnsi="Century Gothic"/>
                <w:noProof/>
                <w:webHidden/>
              </w:rPr>
              <w:fldChar w:fldCharType="end"/>
            </w:r>
          </w:hyperlink>
        </w:p>
        <w:p w14:paraId="524CE063" w14:textId="77777777" w:rsidR="00CE5A67" w:rsidRPr="00CD24AC" w:rsidRDefault="00D11956" w:rsidP="00CD24AC">
          <w:pPr>
            <w:pStyle w:val="TOC1"/>
            <w:tabs>
              <w:tab w:val="left" w:pos="880"/>
              <w:tab w:val="right" w:leader="dot" w:pos="9202"/>
            </w:tabs>
            <w:ind w:left="284"/>
            <w:rPr>
              <w:rFonts w:ascii="Century Gothic" w:eastAsiaTheme="minorEastAsia" w:hAnsi="Century Gothic" w:cstheme="minorBidi"/>
              <w:noProof/>
              <w:sz w:val="22"/>
              <w:szCs w:val="22"/>
            </w:rPr>
          </w:pPr>
          <w:hyperlink w:anchor="_Toc517264654" w:history="1">
            <w:r w:rsidR="00CE5A67" w:rsidRPr="00CD24AC">
              <w:rPr>
                <w:rStyle w:val="Hyperlink"/>
                <w:rFonts w:ascii="Century Gothic" w:hAnsi="Century Gothic" w:cs="Arial"/>
                <w:noProof/>
              </w:rPr>
              <w:t>2.3.4.</w:t>
            </w:r>
            <w:r w:rsidR="00CE5A67" w:rsidRPr="00CD24AC">
              <w:rPr>
                <w:rFonts w:ascii="Century Gothic" w:eastAsiaTheme="minorEastAsia" w:hAnsi="Century Gothic" w:cstheme="minorBidi"/>
                <w:noProof/>
                <w:sz w:val="22"/>
                <w:szCs w:val="22"/>
              </w:rPr>
              <w:tab/>
            </w:r>
            <w:r w:rsidR="00CE5A67" w:rsidRPr="00CD24AC">
              <w:rPr>
                <w:rStyle w:val="Hyperlink"/>
                <w:rFonts w:ascii="Century Gothic" w:hAnsi="Century Gothic" w:cs="Arial"/>
                <w:noProof/>
              </w:rPr>
              <w:t>Annual environmental water demands</w:t>
            </w:r>
            <w:r w:rsidR="00CE5A67" w:rsidRPr="00CD24AC">
              <w:rPr>
                <w:rFonts w:ascii="Century Gothic" w:hAnsi="Century Gothic"/>
                <w:noProof/>
                <w:webHidden/>
              </w:rPr>
              <w:tab/>
            </w:r>
            <w:r w:rsidR="00CE5A67" w:rsidRPr="00CD24AC">
              <w:rPr>
                <w:rFonts w:ascii="Century Gothic" w:hAnsi="Century Gothic"/>
                <w:noProof/>
                <w:webHidden/>
              </w:rPr>
              <w:fldChar w:fldCharType="begin"/>
            </w:r>
            <w:r w:rsidR="00CE5A67" w:rsidRPr="00CD24AC">
              <w:rPr>
                <w:rFonts w:ascii="Century Gothic" w:hAnsi="Century Gothic"/>
                <w:noProof/>
                <w:webHidden/>
              </w:rPr>
              <w:instrText xml:space="preserve"> PAGEREF _Toc517264654 \h </w:instrText>
            </w:r>
            <w:r w:rsidR="00CE5A67" w:rsidRPr="00CD24AC">
              <w:rPr>
                <w:rFonts w:ascii="Century Gothic" w:hAnsi="Century Gothic"/>
                <w:noProof/>
                <w:webHidden/>
              </w:rPr>
            </w:r>
            <w:r w:rsidR="00CE5A67" w:rsidRPr="00CD24AC">
              <w:rPr>
                <w:rFonts w:ascii="Century Gothic" w:hAnsi="Century Gothic"/>
                <w:noProof/>
                <w:webHidden/>
              </w:rPr>
              <w:fldChar w:fldCharType="separate"/>
            </w:r>
            <w:r w:rsidR="00CD24AC">
              <w:rPr>
                <w:rFonts w:ascii="Century Gothic" w:hAnsi="Century Gothic"/>
                <w:noProof/>
                <w:webHidden/>
              </w:rPr>
              <w:t>9</w:t>
            </w:r>
            <w:r w:rsidR="00CE5A67" w:rsidRPr="00CD24AC">
              <w:rPr>
                <w:rFonts w:ascii="Century Gothic" w:hAnsi="Century Gothic"/>
                <w:noProof/>
                <w:webHidden/>
              </w:rPr>
              <w:fldChar w:fldCharType="end"/>
            </w:r>
          </w:hyperlink>
        </w:p>
        <w:p w14:paraId="6A491A4B" w14:textId="77777777" w:rsidR="00CE5A67" w:rsidRPr="00CD24AC" w:rsidRDefault="00D11956" w:rsidP="00CD24AC">
          <w:pPr>
            <w:pStyle w:val="TOC1"/>
            <w:tabs>
              <w:tab w:val="left" w:pos="660"/>
              <w:tab w:val="right" w:leader="dot" w:pos="9202"/>
            </w:tabs>
            <w:ind w:left="284"/>
            <w:rPr>
              <w:rFonts w:ascii="Century Gothic" w:eastAsiaTheme="minorEastAsia" w:hAnsi="Century Gothic" w:cstheme="minorBidi"/>
              <w:noProof/>
              <w:sz w:val="22"/>
              <w:szCs w:val="22"/>
            </w:rPr>
          </w:pPr>
          <w:hyperlink w:anchor="_Toc517264655" w:history="1">
            <w:r w:rsidR="00CE5A67" w:rsidRPr="00CD24AC">
              <w:rPr>
                <w:rStyle w:val="Hyperlink"/>
                <w:rFonts w:ascii="Century Gothic" w:hAnsi="Century Gothic"/>
                <w:noProof/>
              </w:rPr>
              <w:t>2.4.</w:t>
            </w:r>
            <w:r w:rsidR="00CE5A67" w:rsidRPr="00CD24AC">
              <w:rPr>
                <w:rFonts w:ascii="Century Gothic" w:eastAsiaTheme="minorEastAsia" w:hAnsi="Century Gothic" w:cstheme="minorBidi"/>
                <w:noProof/>
                <w:sz w:val="22"/>
                <w:szCs w:val="22"/>
              </w:rPr>
              <w:tab/>
            </w:r>
            <w:r w:rsidR="00CE5A67" w:rsidRPr="00CD24AC">
              <w:rPr>
                <w:rStyle w:val="Hyperlink"/>
                <w:rFonts w:ascii="Century Gothic" w:hAnsi="Century Gothic"/>
                <w:noProof/>
              </w:rPr>
              <w:t>How much water is available to manage?</w:t>
            </w:r>
            <w:r w:rsidR="00CE5A67" w:rsidRPr="00CD24AC">
              <w:rPr>
                <w:rFonts w:ascii="Century Gothic" w:hAnsi="Century Gothic"/>
                <w:noProof/>
                <w:webHidden/>
              </w:rPr>
              <w:tab/>
            </w:r>
            <w:r w:rsidR="00CE5A67" w:rsidRPr="00CD24AC">
              <w:rPr>
                <w:rFonts w:ascii="Century Gothic" w:hAnsi="Century Gothic"/>
                <w:noProof/>
                <w:webHidden/>
              </w:rPr>
              <w:fldChar w:fldCharType="begin"/>
            </w:r>
            <w:r w:rsidR="00CE5A67" w:rsidRPr="00CD24AC">
              <w:rPr>
                <w:rFonts w:ascii="Century Gothic" w:hAnsi="Century Gothic"/>
                <w:noProof/>
                <w:webHidden/>
              </w:rPr>
              <w:instrText xml:space="preserve"> PAGEREF _Toc517264655 \h </w:instrText>
            </w:r>
            <w:r w:rsidR="00CE5A67" w:rsidRPr="00CD24AC">
              <w:rPr>
                <w:rFonts w:ascii="Century Gothic" w:hAnsi="Century Gothic"/>
                <w:noProof/>
                <w:webHidden/>
              </w:rPr>
            </w:r>
            <w:r w:rsidR="00CE5A67" w:rsidRPr="00CD24AC">
              <w:rPr>
                <w:rFonts w:ascii="Century Gothic" w:hAnsi="Century Gothic"/>
                <w:noProof/>
                <w:webHidden/>
              </w:rPr>
              <w:fldChar w:fldCharType="separate"/>
            </w:r>
            <w:r w:rsidR="00CD24AC">
              <w:rPr>
                <w:rFonts w:ascii="Century Gothic" w:hAnsi="Century Gothic"/>
                <w:noProof/>
                <w:webHidden/>
              </w:rPr>
              <w:t>10</w:t>
            </w:r>
            <w:r w:rsidR="00CE5A67" w:rsidRPr="00CD24AC">
              <w:rPr>
                <w:rFonts w:ascii="Century Gothic" w:hAnsi="Century Gothic"/>
                <w:noProof/>
                <w:webHidden/>
              </w:rPr>
              <w:fldChar w:fldCharType="end"/>
            </w:r>
          </w:hyperlink>
        </w:p>
        <w:p w14:paraId="11829168" w14:textId="77777777" w:rsidR="00CE5A67" w:rsidRPr="00CD24AC" w:rsidRDefault="00D11956" w:rsidP="00CD24AC">
          <w:pPr>
            <w:pStyle w:val="TOC1"/>
            <w:tabs>
              <w:tab w:val="left" w:pos="880"/>
              <w:tab w:val="right" w:leader="dot" w:pos="9202"/>
            </w:tabs>
            <w:ind w:left="284"/>
            <w:rPr>
              <w:rFonts w:ascii="Century Gothic" w:eastAsiaTheme="minorEastAsia" w:hAnsi="Century Gothic" w:cstheme="minorBidi"/>
              <w:noProof/>
              <w:sz w:val="22"/>
              <w:szCs w:val="22"/>
            </w:rPr>
          </w:pPr>
          <w:hyperlink w:anchor="_Toc517264656" w:history="1">
            <w:r w:rsidR="00CE5A67" w:rsidRPr="00CD24AC">
              <w:rPr>
                <w:rStyle w:val="Hyperlink"/>
                <w:rFonts w:ascii="Century Gothic" w:hAnsi="Century Gothic" w:cs="Arial"/>
                <w:noProof/>
              </w:rPr>
              <w:t>2.4.1.</w:t>
            </w:r>
            <w:r w:rsidR="00CE5A67" w:rsidRPr="00CD24AC">
              <w:rPr>
                <w:rFonts w:ascii="Century Gothic" w:eastAsiaTheme="minorEastAsia" w:hAnsi="Century Gothic" w:cstheme="minorBidi"/>
                <w:noProof/>
                <w:sz w:val="22"/>
                <w:szCs w:val="22"/>
              </w:rPr>
              <w:tab/>
            </w:r>
            <w:r w:rsidR="00CE5A67" w:rsidRPr="00CD24AC">
              <w:rPr>
                <w:rStyle w:val="Hyperlink"/>
                <w:rFonts w:ascii="Century Gothic" w:hAnsi="Century Gothic" w:cs="Arial"/>
                <w:noProof/>
              </w:rPr>
              <w:t>Commonwealth environmental water holdings</w:t>
            </w:r>
            <w:r w:rsidR="00CE5A67" w:rsidRPr="00CD24AC">
              <w:rPr>
                <w:rFonts w:ascii="Century Gothic" w:hAnsi="Century Gothic"/>
                <w:noProof/>
                <w:webHidden/>
              </w:rPr>
              <w:tab/>
            </w:r>
            <w:r w:rsidR="00CE5A67" w:rsidRPr="00CD24AC">
              <w:rPr>
                <w:rFonts w:ascii="Century Gothic" w:hAnsi="Century Gothic"/>
                <w:noProof/>
                <w:webHidden/>
              </w:rPr>
              <w:fldChar w:fldCharType="begin"/>
            </w:r>
            <w:r w:rsidR="00CE5A67" w:rsidRPr="00CD24AC">
              <w:rPr>
                <w:rFonts w:ascii="Century Gothic" w:hAnsi="Century Gothic"/>
                <w:noProof/>
                <w:webHidden/>
              </w:rPr>
              <w:instrText xml:space="preserve"> PAGEREF _Toc517264656 \h </w:instrText>
            </w:r>
            <w:r w:rsidR="00CE5A67" w:rsidRPr="00CD24AC">
              <w:rPr>
                <w:rFonts w:ascii="Century Gothic" w:hAnsi="Century Gothic"/>
                <w:noProof/>
                <w:webHidden/>
              </w:rPr>
            </w:r>
            <w:r w:rsidR="00CE5A67" w:rsidRPr="00CD24AC">
              <w:rPr>
                <w:rFonts w:ascii="Century Gothic" w:hAnsi="Century Gothic"/>
                <w:noProof/>
                <w:webHidden/>
              </w:rPr>
              <w:fldChar w:fldCharType="separate"/>
            </w:r>
            <w:r w:rsidR="00CD24AC">
              <w:rPr>
                <w:rFonts w:ascii="Century Gothic" w:hAnsi="Century Gothic"/>
                <w:noProof/>
                <w:webHidden/>
              </w:rPr>
              <w:t>10</w:t>
            </w:r>
            <w:r w:rsidR="00CE5A67" w:rsidRPr="00CD24AC">
              <w:rPr>
                <w:rFonts w:ascii="Century Gothic" w:hAnsi="Century Gothic"/>
                <w:noProof/>
                <w:webHidden/>
              </w:rPr>
              <w:fldChar w:fldCharType="end"/>
            </w:r>
          </w:hyperlink>
        </w:p>
        <w:p w14:paraId="5910F44F" w14:textId="77777777" w:rsidR="00CE5A67" w:rsidRPr="00CD24AC" w:rsidRDefault="00D11956" w:rsidP="00CD24AC">
          <w:pPr>
            <w:pStyle w:val="TOC1"/>
            <w:tabs>
              <w:tab w:val="left" w:pos="880"/>
              <w:tab w:val="right" w:leader="dot" w:pos="9202"/>
            </w:tabs>
            <w:ind w:left="284"/>
            <w:rPr>
              <w:rFonts w:ascii="Century Gothic" w:eastAsiaTheme="minorEastAsia" w:hAnsi="Century Gothic" w:cstheme="minorBidi"/>
              <w:noProof/>
              <w:sz w:val="22"/>
              <w:szCs w:val="22"/>
            </w:rPr>
          </w:pPr>
          <w:hyperlink w:anchor="_Toc517264657" w:history="1">
            <w:r w:rsidR="00CE5A67" w:rsidRPr="00CD24AC">
              <w:rPr>
                <w:rStyle w:val="Hyperlink"/>
                <w:rFonts w:ascii="Century Gothic" w:hAnsi="Century Gothic" w:cs="Arial"/>
                <w:noProof/>
              </w:rPr>
              <w:t>2.4.2.</w:t>
            </w:r>
            <w:r w:rsidR="00CE5A67" w:rsidRPr="00CD24AC">
              <w:rPr>
                <w:rFonts w:ascii="Century Gothic" w:eastAsiaTheme="minorEastAsia" w:hAnsi="Century Gothic" w:cstheme="minorBidi"/>
                <w:noProof/>
                <w:sz w:val="22"/>
                <w:szCs w:val="22"/>
              </w:rPr>
              <w:tab/>
            </w:r>
            <w:r w:rsidR="00CE5A67" w:rsidRPr="00CD24AC">
              <w:rPr>
                <w:rStyle w:val="Hyperlink"/>
                <w:rFonts w:ascii="Century Gothic" w:hAnsi="Century Gothic" w:cs="Arial"/>
                <w:noProof/>
              </w:rPr>
              <w:t>Complementary water resources</w:t>
            </w:r>
            <w:r w:rsidR="00CE5A67" w:rsidRPr="00CD24AC">
              <w:rPr>
                <w:rFonts w:ascii="Century Gothic" w:hAnsi="Century Gothic"/>
                <w:noProof/>
                <w:webHidden/>
              </w:rPr>
              <w:tab/>
            </w:r>
            <w:r w:rsidR="00CE5A67" w:rsidRPr="00CD24AC">
              <w:rPr>
                <w:rFonts w:ascii="Century Gothic" w:hAnsi="Century Gothic"/>
                <w:noProof/>
                <w:webHidden/>
              </w:rPr>
              <w:fldChar w:fldCharType="begin"/>
            </w:r>
            <w:r w:rsidR="00CE5A67" w:rsidRPr="00CD24AC">
              <w:rPr>
                <w:rFonts w:ascii="Century Gothic" w:hAnsi="Century Gothic"/>
                <w:noProof/>
                <w:webHidden/>
              </w:rPr>
              <w:instrText xml:space="preserve"> PAGEREF _Toc517264657 \h </w:instrText>
            </w:r>
            <w:r w:rsidR="00CE5A67" w:rsidRPr="00CD24AC">
              <w:rPr>
                <w:rFonts w:ascii="Century Gothic" w:hAnsi="Century Gothic"/>
                <w:noProof/>
                <w:webHidden/>
              </w:rPr>
            </w:r>
            <w:r w:rsidR="00CE5A67" w:rsidRPr="00CD24AC">
              <w:rPr>
                <w:rFonts w:ascii="Century Gothic" w:hAnsi="Century Gothic"/>
                <w:noProof/>
                <w:webHidden/>
              </w:rPr>
              <w:fldChar w:fldCharType="separate"/>
            </w:r>
            <w:r w:rsidR="00CD24AC">
              <w:rPr>
                <w:rFonts w:ascii="Century Gothic" w:hAnsi="Century Gothic"/>
                <w:noProof/>
                <w:webHidden/>
              </w:rPr>
              <w:t>10</w:t>
            </w:r>
            <w:r w:rsidR="00CE5A67" w:rsidRPr="00CD24AC">
              <w:rPr>
                <w:rFonts w:ascii="Century Gothic" w:hAnsi="Century Gothic"/>
                <w:noProof/>
                <w:webHidden/>
              </w:rPr>
              <w:fldChar w:fldCharType="end"/>
            </w:r>
          </w:hyperlink>
        </w:p>
        <w:p w14:paraId="7A795702" w14:textId="77777777" w:rsidR="00CE5A67" w:rsidRPr="00CD24AC" w:rsidRDefault="00D11956" w:rsidP="00CD24AC">
          <w:pPr>
            <w:pStyle w:val="TOC1"/>
            <w:tabs>
              <w:tab w:val="left" w:pos="660"/>
              <w:tab w:val="right" w:leader="dot" w:pos="9202"/>
            </w:tabs>
            <w:ind w:left="284"/>
            <w:rPr>
              <w:rFonts w:ascii="Century Gothic" w:eastAsiaTheme="minorEastAsia" w:hAnsi="Century Gothic" w:cstheme="minorBidi"/>
              <w:noProof/>
              <w:sz w:val="22"/>
              <w:szCs w:val="22"/>
            </w:rPr>
          </w:pPr>
          <w:hyperlink w:anchor="_Toc517264658" w:history="1">
            <w:r w:rsidR="00CE5A67" w:rsidRPr="00CD24AC">
              <w:rPr>
                <w:rStyle w:val="Hyperlink"/>
                <w:rFonts w:ascii="Century Gothic" w:hAnsi="Century Gothic"/>
                <w:noProof/>
              </w:rPr>
              <w:t>2.5.</w:t>
            </w:r>
            <w:r w:rsidR="00CE5A67" w:rsidRPr="00CD24AC">
              <w:rPr>
                <w:rFonts w:ascii="Century Gothic" w:eastAsiaTheme="minorEastAsia" w:hAnsi="Century Gothic" w:cstheme="minorBidi"/>
                <w:noProof/>
                <w:sz w:val="22"/>
                <w:szCs w:val="22"/>
              </w:rPr>
              <w:tab/>
            </w:r>
            <w:r w:rsidR="00CE5A67" w:rsidRPr="00CD24AC">
              <w:rPr>
                <w:rStyle w:val="Hyperlink"/>
                <w:rFonts w:ascii="Century Gothic" w:hAnsi="Century Gothic"/>
                <w:noProof/>
              </w:rPr>
              <w:t>How do we plan?</w:t>
            </w:r>
            <w:r w:rsidR="00CE5A67" w:rsidRPr="00CD24AC">
              <w:rPr>
                <w:rFonts w:ascii="Century Gothic" w:hAnsi="Century Gothic"/>
                <w:noProof/>
                <w:webHidden/>
              </w:rPr>
              <w:tab/>
            </w:r>
            <w:r w:rsidR="00CE5A67" w:rsidRPr="00CD24AC">
              <w:rPr>
                <w:rFonts w:ascii="Century Gothic" w:hAnsi="Century Gothic"/>
                <w:noProof/>
                <w:webHidden/>
              </w:rPr>
              <w:fldChar w:fldCharType="begin"/>
            </w:r>
            <w:r w:rsidR="00CE5A67" w:rsidRPr="00CD24AC">
              <w:rPr>
                <w:rFonts w:ascii="Century Gothic" w:hAnsi="Century Gothic"/>
                <w:noProof/>
                <w:webHidden/>
              </w:rPr>
              <w:instrText xml:space="preserve"> PAGEREF _Toc517264658 \h </w:instrText>
            </w:r>
            <w:r w:rsidR="00CE5A67" w:rsidRPr="00CD24AC">
              <w:rPr>
                <w:rFonts w:ascii="Century Gothic" w:hAnsi="Century Gothic"/>
                <w:noProof/>
                <w:webHidden/>
              </w:rPr>
            </w:r>
            <w:r w:rsidR="00CE5A67" w:rsidRPr="00CD24AC">
              <w:rPr>
                <w:rFonts w:ascii="Century Gothic" w:hAnsi="Century Gothic"/>
                <w:noProof/>
                <w:webHidden/>
              </w:rPr>
              <w:fldChar w:fldCharType="separate"/>
            </w:r>
            <w:r w:rsidR="00CD24AC">
              <w:rPr>
                <w:rFonts w:ascii="Century Gothic" w:hAnsi="Century Gothic"/>
                <w:noProof/>
                <w:webHidden/>
              </w:rPr>
              <w:t>10</w:t>
            </w:r>
            <w:r w:rsidR="00CE5A67" w:rsidRPr="00CD24AC">
              <w:rPr>
                <w:rFonts w:ascii="Century Gothic" w:hAnsi="Century Gothic"/>
                <w:noProof/>
                <w:webHidden/>
              </w:rPr>
              <w:fldChar w:fldCharType="end"/>
            </w:r>
          </w:hyperlink>
        </w:p>
        <w:p w14:paraId="1C0BDF8A" w14:textId="77777777" w:rsidR="00CE5A67" w:rsidRPr="00CD24AC" w:rsidRDefault="00D11956" w:rsidP="00CD24AC">
          <w:pPr>
            <w:pStyle w:val="TOC1"/>
            <w:tabs>
              <w:tab w:val="left" w:pos="880"/>
              <w:tab w:val="right" w:leader="dot" w:pos="9202"/>
            </w:tabs>
            <w:ind w:left="284"/>
            <w:rPr>
              <w:rFonts w:ascii="Century Gothic" w:eastAsiaTheme="minorEastAsia" w:hAnsi="Century Gothic" w:cstheme="minorBidi"/>
              <w:noProof/>
              <w:sz w:val="22"/>
              <w:szCs w:val="22"/>
            </w:rPr>
          </w:pPr>
          <w:hyperlink w:anchor="_Toc517264659" w:history="1">
            <w:r w:rsidR="00CE5A67" w:rsidRPr="00CD24AC">
              <w:rPr>
                <w:rStyle w:val="Hyperlink"/>
                <w:rFonts w:ascii="Century Gothic" w:hAnsi="Century Gothic" w:cs="Arial"/>
                <w:noProof/>
              </w:rPr>
              <w:t>2.5.1.</w:t>
            </w:r>
            <w:r w:rsidR="00CE5A67" w:rsidRPr="00CD24AC">
              <w:rPr>
                <w:rFonts w:ascii="Century Gothic" w:eastAsiaTheme="minorEastAsia" w:hAnsi="Century Gothic" w:cstheme="minorBidi"/>
                <w:noProof/>
                <w:sz w:val="22"/>
                <w:szCs w:val="22"/>
              </w:rPr>
              <w:tab/>
            </w:r>
            <w:r w:rsidR="00CE5A67" w:rsidRPr="00CD24AC">
              <w:rPr>
                <w:rStyle w:val="Hyperlink"/>
                <w:rFonts w:ascii="Century Gothic" w:hAnsi="Century Gothic" w:cs="Arial"/>
                <w:noProof/>
              </w:rPr>
              <w:t>Catchment planning</w:t>
            </w:r>
            <w:r w:rsidR="00CE5A67" w:rsidRPr="00CD24AC">
              <w:rPr>
                <w:rFonts w:ascii="Century Gothic" w:hAnsi="Century Gothic"/>
                <w:noProof/>
                <w:webHidden/>
              </w:rPr>
              <w:tab/>
            </w:r>
            <w:r w:rsidR="00CE5A67" w:rsidRPr="00CD24AC">
              <w:rPr>
                <w:rFonts w:ascii="Century Gothic" w:hAnsi="Century Gothic"/>
                <w:noProof/>
                <w:webHidden/>
              </w:rPr>
              <w:fldChar w:fldCharType="begin"/>
            </w:r>
            <w:r w:rsidR="00CE5A67" w:rsidRPr="00CD24AC">
              <w:rPr>
                <w:rFonts w:ascii="Century Gothic" w:hAnsi="Century Gothic"/>
                <w:noProof/>
                <w:webHidden/>
              </w:rPr>
              <w:instrText xml:space="preserve"> PAGEREF _Toc517264659 \h </w:instrText>
            </w:r>
            <w:r w:rsidR="00CE5A67" w:rsidRPr="00CD24AC">
              <w:rPr>
                <w:rFonts w:ascii="Century Gothic" w:hAnsi="Century Gothic"/>
                <w:noProof/>
                <w:webHidden/>
              </w:rPr>
            </w:r>
            <w:r w:rsidR="00CE5A67" w:rsidRPr="00CD24AC">
              <w:rPr>
                <w:rFonts w:ascii="Century Gothic" w:hAnsi="Century Gothic"/>
                <w:noProof/>
                <w:webHidden/>
              </w:rPr>
              <w:fldChar w:fldCharType="separate"/>
            </w:r>
            <w:r w:rsidR="00CD24AC">
              <w:rPr>
                <w:rFonts w:ascii="Century Gothic" w:hAnsi="Century Gothic"/>
                <w:noProof/>
                <w:webHidden/>
              </w:rPr>
              <w:t>13</w:t>
            </w:r>
            <w:r w:rsidR="00CE5A67" w:rsidRPr="00CD24AC">
              <w:rPr>
                <w:rFonts w:ascii="Century Gothic" w:hAnsi="Century Gothic"/>
                <w:noProof/>
                <w:webHidden/>
              </w:rPr>
              <w:fldChar w:fldCharType="end"/>
            </w:r>
          </w:hyperlink>
        </w:p>
        <w:p w14:paraId="0E8B75B2" w14:textId="77777777" w:rsidR="00CE5A67" w:rsidRPr="00CD24AC" w:rsidRDefault="00D11956" w:rsidP="00CD24AC">
          <w:pPr>
            <w:pStyle w:val="TOC1"/>
            <w:tabs>
              <w:tab w:val="left" w:pos="880"/>
              <w:tab w:val="right" w:leader="dot" w:pos="9202"/>
            </w:tabs>
            <w:ind w:left="284"/>
            <w:rPr>
              <w:rFonts w:ascii="Century Gothic" w:eastAsiaTheme="minorEastAsia" w:hAnsi="Century Gothic" w:cstheme="minorBidi"/>
              <w:noProof/>
              <w:sz w:val="22"/>
              <w:szCs w:val="22"/>
            </w:rPr>
          </w:pPr>
          <w:hyperlink w:anchor="_Toc517264660" w:history="1">
            <w:r w:rsidR="00CE5A67" w:rsidRPr="00CD24AC">
              <w:rPr>
                <w:rStyle w:val="Hyperlink"/>
                <w:rFonts w:ascii="Century Gothic" w:hAnsi="Century Gothic" w:cs="Arial"/>
                <w:noProof/>
              </w:rPr>
              <w:t>2.5.2.</w:t>
            </w:r>
            <w:r w:rsidR="00CE5A67" w:rsidRPr="00CD24AC">
              <w:rPr>
                <w:rFonts w:ascii="Century Gothic" w:eastAsiaTheme="minorEastAsia" w:hAnsi="Century Gothic" w:cstheme="minorBidi"/>
                <w:noProof/>
                <w:sz w:val="22"/>
                <w:szCs w:val="22"/>
              </w:rPr>
              <w:tab/>
            </w:r>
            <w:r w:rsidR="00CE5A67" w:rsidRPr="00CD24AC">
              <w:rPr>
                <w:rStyle w:val="Hyperlink"/>
                <w:rFonts w:ascii="Century Gothic" w:hAnsi="Century Gothic" w:cs="Arial"/>
                <w:noProof/>
              </w:rPr>
              <w:t>Basin-wide planning</w:t>
            </w:r>
            <w:r w:rsidR="00CE5A67" w:rsidRPr="00CD24AC">
              <w:rPr>
                <w:rFonts w:ascii="Century Gothic" w:hAnsi="Century Gothic"/>
                <w:noProof/>
                <w:webHidden/>
              </w:rPr>
              <w:tab/>
            </w:r>
            <w:r w:rsidR="00CE5A67" w:rsidRPr="00CD24AC">
              <w:rPr>
                <w:rFonts w:ascii="Century Gothic" w:hAnsi="Century Gothic"/>
                <w:noProof/>
                <w:webHidden/>
              </w:rPr>
              <w:fldChar w:fldCharType="begin"/>
            </w:r>
            <w:r w:rsidR="00CE5A67" w:rsidRPr="00CD24AC">
              <w:rPr>
                <w:rFonts w:ascii="Century Gothic" w:hAnsi="Century Gothic"/>
                <w:noProof/>
                <w:webHidden/>
              </w:rPr>
              <w:instrText xml:space="preserve"> PAGEREF _Toc517264660 \h </w:instrText>
            </w:r>
            <w:r w:rsidR="00CE5A67" w:rsidRPr="00CD24AC">
              <w:rPr>
                <w:rFonts w:ascii="Century Gothic" w:hAnsi="Century Gothic"/>
                <w:noProof/>
                <w:webHidden/>
              </w:rPr>
            </w:r>
            <w:r w:rsidR="00CE5A67" w:rsidRPr="00CD24AC">
              <w:rPr>
                <w:rFonts w:ascii="Century Gothic" w:hAnsi="Century Gothic"/>
                <w:noProof/>
                <w:webHidden/>
              </w:rPr>
              <w:fldChar w:fldCharType="separate"/>
            </w:r>
            <w:r w:rsidR="00CD24AC">
              <w:rPr>
                <w:rFonts w:ascii="Century Gothic" w:hAnsi="Century Gothic"/>
                <w:noProof/>
                <w:webHidden/>
              </w:rPr>
              <w:t>13</w:t>
            </w:r>
            <w:r w:rsidR="00CE5A67" w:rsidRPr="00CD24AC">
              <w:rPr>
                <w:rFonts w:ascii="Century Gothic" w:hAnsi="Century Gothic"/>
                <w:noProof/>
                <w:webHidden/>
              </w:rPr>
              <w:fldChar w:fldCharType="end"/>
            </w:r>
          </w:hyperlink>
        </w:p>
        <w:p w14:paraId="172EE8DC" w14:textId="77777777" w:rsidR="00CE5A67" w:rsidRPr="00CD24AC" w:rsidRDefault="00D11956" w:rsidP="00CD24AC">
          <w:pPr>
            <w:pStyle w:val="TOC1"/>
            <w:tabs>
              <w:tab w:val="left" w:pos="660"/>
              <w:tab w:val="right" w:leader="dot" w:pos="9202"/>
            </w:tabs>
            <w:ind w:left="284"/>
            <w:rPr>
              <w:rFonts w:ascii="Century Gothic" w:eastAsiaTheme="minorEastAsia" w:hAnsi="Century Gothic" w:cstheme="minorBidi"/>
              <w:noProof/>
              <w:sz w:val="22"/>
              <w:szCs w:val="22"/>
            </w:rPr>
          </w:pPr>
          <w:hyperlink w:anchor="_Toc517264661" w:history="1">
            <w:r w:rsidR="00CE5A67" w:rsidRPr="00CD24AC">
              <w:rPr>
                <w:rStyle w:val="Hyperlink"/>
                <w:rFonts w:ascii="Century Gothic" w:hAnsi="Century Gothic"/>
                <w:noProof/>
              </w:rPr>
              <w:t>2.6.</w:t>
            </w:r>
            <w:r w:rsidR="00CE5A67" w:rsidRPr="00CD24AC">
              <w:rPr>
                <w:rFonts w:ascii="Century Gothic" w:eastAsiaTheme="minorEastAsia" w:hAnsi="Century Gothic" w:cstheme="minorBidi"/>
                <w:noProof/>
                <w:sz w:val="22"/>
                <w:szCs w:val="22"/>
              </w:rPr>
              <w:tab/>
            </w:r>
            <w:r w:rsidR="00CE5A67" w:rsidRPr="00CD24AC">
              <w:rPr>
                <w:rStyle w:val="Hyperlink"/>
                <w:rFonts w:ascii="Century Gothic" w:hAnsi="Century Gothic"/>
                <w:noProof/>
              </w:rPr>
              <w:t>Constraints to Commonwealth environmental watering</w:t>
            </w:r>
            <w:r w:rsidR="00CE5A67" w:rsidRPr="00CD24AC">
              <w:rPr>
                <w:rFonts w:ascii="Century Gothic" w:hAnsi="Century Gothic"/>
                <w:noProof/>
                <w:webHidden/>
              </w:rPr>
              <w:tab/>
            </w:r>
            <w:r w:rsidR="00CE5A67" w:rsidRPr="00CD24AC">
              <w:rPr>
                <w:rFonts w:ascii="Century Gothic" w:hAnsi="Century Gothic"/>
                <w:noProof/>
                <w:webHidden/>
              </w:rPr>
              <w:fldChar w:fldCharType="begin"/>
            </w:r>
            <w:r w:rsidR="00CE5A67" w:rsidRPr="00CD24AC">
              <w:rPr>
                <w:rFonts w:ascii="Century Gothic" w:hAnsi="Century Gothic"/>
                <w:noProof/>
                <w:webHidden/>
              </w:rPr>
              <w:instrText xml:space="preserve"> PAGEREF _Toc517264661 \h </w:instrText>
            </w:r>
            <w:r w:rsidR="00CE5A67" w:rsidRPr="00CD24AC">
              <w:rPr>
                <w:rFonts w:ascii="Century Gothic" w:hAnsi="Century Gothic"/>
                <w:noProof/>
                <w:webHidden/>
              </w:rPr>
            </w:r>
            <w:r w:rsidR="00CE5A67" w:rsidRPr="00CD24AC">
              <w:rPr>
                <w:rFonts w:ascii="Century Gothic" w:hAnsi="Century Gothic"/>
                <w:noProof/>
                <w:webHidden/>
              </w:rPr>
              <w:fldChar w:fldCharType="separate"/>
            </w:r>
            <w:r w:rsidR="00CD24AC">
              <w:rPr>
                <w:rFonts w:ascii="Century Gothic" w:hAnsi="Century Gothic"/>
                <w:noProof/>
                <w:webHidden/>
              </w:rPr>
              <w:t>13</w:t>
            </w:r>
            <w:r w:rsidR="00CE5A67" w:rsidRPr="00CD24AC">
              <w:rPr>
                <w:rFonts w:ascii="Century Gothic" w:hAnsi="Century Gothic"/>
                <w:noProof/>
                <w:webHidden/>
              </w:rPr>
              <w:fldChar w:fldCharType="end"/>
            </w:r>
          </w:hyperlink>
        </w:p>
        <w:p w14:paraId="7DA8066D" w14:textId="77777777" w:rsidR="00CE5A67" w:rsidRPr="00CD24AC" w:rsidRDefault="00D11956" w:rsidP="00CD24AC">
          <w:pPr>
            <w:pStyle w:val="TOC1"/>
            <w:tabs>
              <w:tab w:val="left" w:pos="880"/>
              <w:tab w:val="right" w:leader="dot" w:pos="9202"/>
            </w:tabs>
            <w:ind w:left="284"/>
            <w:rPr>
              <w:rFonts w:ascii="Century Gothic" w:eastAsiaTheme="minorEastAsia" w:hAnsi="Century Gothic" w:cstheme="minorBidi"/>
              <w:noProof/>
              <w:sz w:val="22"/>
              <w:szCs w:val="22"/>
            </w:rPr>
          </w:pPr>
          <w:hyperlink w:anchor="_Toc517264662" w:history="1">
            <w:r w:rsidR="00CE5A67" w:rsidRPr="00CD24AC">
              <w:rPr>
                <w:rStyle w:val="Hyperlink"/>
                <w:rFonts w:ascii="Century Gothic" w:hAnsi="Century Gothic"/>
                <w:noProof/>
              </w:rPr>
              <w:t>2.6.1.</w:t>
            </w:r>
            <w:r w:rsidR="00CE5A67" w:rsidRPr="00CD24AC">
              <w:rPr>
                <w:rFonts w:ascii="Century Gothic" w:eastAsiaTheme="minorEastAsia" w:hAnsi="Century Gothic" w:cstheme="minorBidi"/>
                <w:noProof/>
                <w:sz w:val="22"/>
                <w:szCs w:val="22"/>
              </w:rPr>
              <w:tab/>
            </w:r>
            <w:r w:rsidR="00CE5A67" w:rsidRPr="00CD24AC">
              <w:rPr>
                <w:rStyle w:val="Hyperlink"/>
                <w:rFonts w:ascii="Century Gothic" w:hAnsi="Century Gothic" w:cs="Arial"/>
                <w:noProof/>
              </w:rPr>
              <w:t>Constraints relaxation</w:t>
            </w:r>
            <w:r w:rsidR="00CE5A67" w:rsidRPr="00CD24AC">
              <w:rPr>
                <w:rFonts w:ascii="Century Gothic" w:hAnsi="Century Gothic"/>
                <w:noProof/>
                <w:webHidden/>
              </w:rPr>
              <w:tab/>
            </w:r>
            <w:r w:rsidR="00CE5A67" w:rsidRPr="00CD24AC">
              <w:rPr>
                <w:rFonts w:ascii="Century Gothic" w:hAnsi="Century Gothic"/>
                <w:noProof/>
                <w:webHidden/>
              </w:rPr>
              <w:fldChar w:fldCharType="begin"/>
            </w:r>
            <w:r w:rsidR="00CE5A67" w:rsidRPr="00CD24AC">
              <w:rPr>
                <w:rFonts w:ascii="Century Gothic" w:hAnsi="Century Gothic"/>
                <w:noProof/>
                <w:webHidden/>
              </w:rPr>
              <w:instrText xml:space="preserve"> PAGEREF _Toc517264662 \h </w:instrText>
            </w:r>
            <w:r w:rsidR="00CE5A67" w:rsidRPr="00CD24AC">
              <w:rPr>
                <w:rFonts w:ascii="Century Gothic" w:hAnsi="Century Gothic"/>
                <w:noProof/>
                <w:webHidden/>
              </w:rPr>
            </w:r>
            <w:r w:rsidR="00CE5A67" w:rsidRPr="00CD24AC">
              <w:rPr>
                <w:rFonts w:ascii="Century Gothic" w:hAnsi="Century Gothic"/>
                <w:noProof/>
                <w:webHidden/>
              </w:rPr>
              <w:fldChar w:fldCharType="separate"/>
            </w:r>
            <w:r w:rsidR="00CD24AC">
              <w:rPr>
                <w:rFonts w:ascii="Century Gothic" w:hAnsi="Century Gothic"/>
                <w:noProof/>
                <w:webHidden/>
              </w:rPr>
              <w:t>14</w:t>
            </w:r>
            <w:r w:rsidR="00CE5A67" w:rsidRPr="00CD24AC">
              <w:rPr>
                <w:rFonts w:ascii="Century Gothic" w:hAnsi="Century Gothic"/>
                <w:noProof/>
                <w:webHidden/>
              </w:rPr>
              <w:fldChar w:fldCharType="end"/>
            </w:r>
          </w:hyperlink>
        </w:p>
        <w:p w14:paraId="320B80E1" w14:textId="77777777" w:rsidR="00CE5A67" w:rsidRPr="00CD24AC" w:rsidRDefault="00D11956">
          <w:pPr>
            <w:pStyle w:val="TOC1"/>
            <w:tabs>
              <w:tab w:val="left" w:pos="400"/>
              <w:tab w:val="right" w:leader="dot" w:pos="9202"/>
            </w:tabs>
            <w:rPr>
              <w:rFonts w:ascii="Century Gothic" w:eastAsiaTheme="minorEastAsia" w:hAnsi="Century Gothic" w:cstheme="minorBidi"/>
              <w:b/>
              <w:noProof/>
              <w:sz w:val="22"/>
              <w:szCs w:val="22"/>
            </w:rPr>
          </w:pPr>
          <w:hyperlink w:anchor="_Toc517264663" w:history="1">
            <w:r w:rsidR="00CE5A67" w:rsidRPr="00CD24AC">
              <w:rPr>
                <w:rStyle w:val="Hyperlink"/>
                <w:rFonts w:ascii="Century Gothic" w:hAnsi="Century Gothic"/>
                <w:b/>
                <w:noProof/>
              </w:rPr>
              <w:t>3.</w:t>
            </w:r>
            <w:r w:rsidR="00CE5A67" w:rsidRPr="00CD24AC">
              <w:rPr>
                <w:rFonts w:ascii="Century Gothic" w:eastAsiaTheme="minorEastAsia" w:hAnsi="Century Gothic" w:cstheme="minorBidi"/>
                <w:b/>
                <w:noProof/>
                <w:sz w:val="22"/>
                <w:szCs w:val="22"/>
              </w:rPr>
              <w:tab/>
            </w:r>
            <w:r w:rsidR="00CE5A67" w:rsidRPr="00CD24AC">
              <w:rPr>
                <w:rStyle w:val="Hyperlink"/>
                <w:rFonts w:ascii="Century Gothic" w:hAnsi="Century Gothic"/>
                <w:b/>
                <w:noProof/>
              </w:rPr>
              <w:t>From planning to decision-making</w:t>
            </w:r>
            <w:r w:rsidR="00CE5A67" w:rsidRPr="00CD24AC">
              <w:rPr>
                <w:rFonts w:ascii="Century Gothic" w:hAnsi="Century Gothic"/>
                <w:b/>
                <w:noProof/>
                <w:webHidden/>
              </w:rPr>
              <w:tab/>
            </w:r>
            <w:r w:rsidR="00CE5A67" w:rsidRPr="00CD24AC">
              <w:rPr>
                <w:rFonts w:ascii="Century Gothic" w:hAnsi="Century Gothic"/>
                <w:b/>
                <w:noProof/>
                <w:webHidden/>
              </w:rPr>
              <w:fldChar w:fldCharType="begin"/>
            </w:r>
            <w:r w:rsidR="00CE5A67" w:rsidRPr="00CD24AC">
              <w:rPr>
                <w:rFonts w:ascii="Century Gothic" w:hAnsi="Century Gothic"/>
                <w:b/>
                <w:noProof/>
                <w:webHidden/>
              </w:rPr>
              <w:instrText xml:space="preserve"> PAGEREF _Toc517264663 \h </w:instrText>
            </w:r>
            <w:r w:rsidR="00CE5A67" w:rsidRPr="00CD24AC">
              <w:rPr>
                <w:rFonts w:ascii="Century Gothic" w:hAnsi="Century Gothic"/>
                <w:b/>
                <w:noProof/>
                <w:webHidden/>
              </w:rPr>
            </w:r>
            <w:r w:rsidR="00CE5A67" w:rsidRPr="00CD24AC">
              <w:rPr>
                <w:rFonts w:ascii="Century Gothic" w:hAnsi="Century Gothic"/>
                <w:b/>
                <w:noProof/>
                <w:webHidden/>
              </w:rPr>
              <w:fldChar w:fldCharType="separate"/>
            </w:r>
            <w:r w:rsidR="00CD24AC" w:rsidRPr="00CD24AC">
              <w:rPr>
                <w:rFonts w:ascii="Century Gothic" w:hAnsi="Century Gothic"/>
                <w:b/>
                <w:noProof/>
                <w:webHidden/>
              </w:rPr>
              <w:t>15</w:t>
            </w:r>
            <w:r w:rsidR="00CE5A67" w:rsidRPr="00CD24AC">
              <w:rPr>
                <w:rFonts w:ascii="Century Gothic" w:hAnsi="Century Gothic"/>
                <w:b/>
                <w:noProof/>
                <w:webHidden/>
              </w:rPr>
              <w:fldChar w:fldCharType="end"/>
            </w:r>
          </w:hyperlink>
        </w:p>
        <w:p w14:paraId="7E5C062F" w14:textId="77777777" w:rsidR="00CE5A67" w:rsidRPr="00CD24AC" w:rsidRDefault="00D11956" w:rsidP="00CD24AC">
          <w:pPr>
            <w:pStyle w:val="TOC1"/>
            <w:tabs>
              <w:tab w:val="left" w:pos="660"/>
              <w:tab w:val="right" w:leader="dot" w:pos="9202"/>
            </w:tabs>
            <w:ind w:left="284"/>
            <w:rPr>
              <w:rFonts w:ascii="Century Gothic" w:eastAsiaTheme="minorEastAsia" w:hAnsi="Century Gothic" w:cstheme="minorBidi"/>
              <w:noProof/>
              <w:sz w:val="22"/>
              <w:szCs w:val="22"/>
            </w:rPr>
          </w:pPr>
          <w:hyperlink w:anchor="_Toc517264664" w:history="1">
            <w:r w:rsidR="00CE5A67" w:rsidRPr="00CD24AC">
              <w:rPr>
                <w:rStyle w:val="Hyperlink"/>
                <w:rFonts w:ascii="Century Gothic" w:hAnsi="Century Gothic"/>
                <w:noProof/>
              </w:rPr>
              <w:t>3.1.</w:t>
            </w:r>
            <w:r w:rsidR="00CE5A67" w:rsidRPr="00CD24AC">
              <w:rPr>
                <w:rFonts w:ascii="Century Gothic" w:eastAsiaTheme="minorEastAsia" w:hAnsi="Century Gothic" w:cstheme="minorBidi"/>
                <w:noProof/>
                <w:sz w:val="22"/>
                <w:szCs w:val="22"/>
              </w:rPr>
              <w:tab/>
            </w:r>
            <w:r w:rsidR="00CE5A67" w:rsidRPr="00CD24AC">
              <w:rPr>
                <w:rStyle w:val="Hyperlink"/>
                <w:rFonts w:ascii="Century Gothic" w:hAnsi="Century Gothic"/>
                <w:noProof/>
              </w:rPr>
              <w:t>Commonwealth environmental watering decisions</w:t>
            </w:r>
            <w:r w:rsidR="00CE5A67" w:rsidRPr="00CD24AC">
              <w:rPr>
                <w:rFonts w:ascii="Century Gothic" w:hAnsi="Century Gothic"/>
                <w:noProof/>
                <w:webHidden/>
              </w:rPr>
              <w:tab/>
            </w:r>
            <w:r w:rsidR="00CE5A67" w:rsidRPr="00CD24AC">
              <w:rPr>
                <w:rFonts w:ascii="Century Gothic" w:hAnsi="Century Gothic"/>
                <w:noProof/>
                <w:webHidden/>
              </w:rPr>
              <w:fldChar w:fldCharType="begin"/>
            </w:r>
            <w:r w:rsidR="00CE5A67" w:rsidRPr="00CD24AC">
              <w:rPr>
                <w:rFonts w:ascii="Century Gothic" w:hAnsi="Century Gothic"/>
                <w:noProof/>
                <w:webHidden/>
              </w:rPr>
              <w:instrText xml:space="preserve"> PAGEREF _Toc517264664 \h </w:instrText>
            </w:r>
            <w:r w:rsidR="00CE5A67" w:rsidRPr="00CD24AC">
              <w:rPr>
                <w:rFonts w:ascii="Century Gothic" w:hAnsi="Century Gothic"/>
                <w:noProof/>
                <w:webHidden/>
              </w:rPr>
            </w:r>
            <w:r w:rsidR="00CE5A67" w:rsidRPr="00CD24AC">
              <w:rPr>
                <w:rFonts w:ascii="Century Gothic" w:hAnsi="Century Gothic"/>
                <w:noProof/>
                <w:webHidden/>
              </w:rPr>
              <w:fldChar w:fldCharType="separate"/>
            </w:r>
            <w:r w:rsidR="00CD24AC">
              <w:rPr>
                <w:rFonts w:ascii="Century Gothic" w:hAnsi="Century Gothic"/>
                <w:noProof/>
                <w:webHidden/>
              </w:rPr>
              <w:t>15</w:t>
            </w:r>
            <w:r w:rsidR="00CE5A67" w:rsidRPr="00CD24AC">
              <w:rPr>
                <w:rFonts w:ascii="Century Gothic" w:hAnsi="Century Gothic"/>
                <w:noProof/>
                <w:webHidden/>
              </w:rPr>
              <w:fldChar w:fldCharType="end"/>
            </w:r>
          </w:hyperlink>
        </w:p>
        <w:p w14:paraId="2B664019" w14:textId="77777777" w:rsidR="00CE5A67" w:rsidRPr="00CD24AC" w:rsidRDefault="00D11956" w:rsidP="00CD24AC">
          <w:pPr>
            <w:pStyle w:val="TOC1"/>
            <w:tabs>
              <w:tab w:val="left" w:pos="660"/>
              <w:tab w:val="right" w:leader="dot" w:pos="9202"/>
            </w:tabs>
            <w:ind w:left="284"/>
            <w:rPr>
              <w:rFonts w:ascii="Century Gothic" w:eastAsiaTheme="minorEastAsia" w:hAnsi="Century Gothic" w:cstheme="minorBidi"/>
              <w:noProof/>
              <w:sz w:val="22"/>
              <w:szCs w:val="22"/>
            </w:rPr>
          </w:pPr>
          <w:hyperlink w:anchor="_Toc517264665" w:history="1">
            <w:r w:rsidR="00CE5A67" w:rsidRPr="00CD24AC">
              <w:rPr>
                <w:rStyle w:val="Hyperlink"/>
                <w:rFonts w:ascii="Century Gothic" w:hAnsi="Century Gothic"/>
                <w:noProof/>
              </w:rPr>
              <w:t>3.2.</w:t>
            </w:r>
            <w:r w:rsidR="00CE5A67" w:rsidRPr="00CD24AC">
              <w:rPr>
                <w:rFonts w:ascii="Century Gothic" w:eastAsiaTheme="minorEastAsia" w:hAnsi="Century Gothic" w:cstheme="minorBidi"/>
                <w:noProof/>
                <w:sz w:val="22"/>
                <w:szCs w:val="22"/>
              </w:rPr>
              <w:tab/>
            </w:r>
            <w:r w:rsidR="00CE5A67" w:rsidRPr="00CD24AC">
              <w:rPr>
                <w:rStyle w:val="Hyperlink"/>
                <w:rFonts w:ascii="Century Gothic" w:hAnsi="Century Gothic"/>
                <w:noProof/>
              </w:rPr>
              <w:t>Carryover decision-making</w:t>
            </w:r>
            <w:r w:rsidR="00CE5A67" w:rsidRPr="00CD24AC">
              <w:rPr>
                <w:rFonts w:ascii="Century Gothic" w:hAnsi="Century Gothic"/>
                <w:noProof/>
                <w:webHidden/>
              </w:rPr>
              <w:tab/>
            </w:r>
            <w:r w:rsidR="00CE5A67" w:rsidRPr="00CD24AC">
              <w:rPr>
                <w:rFonts w:ascii="Century Gothic" w:hAnsi="Century Gothic"/>
                <w:noProof/>
                <w:webHidden/>
              </w:rPr>
              <w:fldChar w:fldCharType="begin"/>
            </w:r>
            <w:r w:rsidR="00CE5A67" w:rsidRPr="00CD24AC">
              <w:rPr>
                <w:rFonts w:ascii="Century Gothic" w:hAnsi="Century Gothic"/>
                <w:noProof/>
                <w:webHidden/>
              </w:rPr>
              <w:instrText xml:space="preserve"> PAGEREF _Toc517264665 \h </w:instrText>
            </w:r>
            <w:r w:rsidR="00CE5A67" w:rsidRPr="00CD24AC">
              <w:rPr>
                <w:rFonts w:ascii="Century Gothic" w:hAnsi="Century Gothic"/>
                <w:noProof/>
                <w:webHidden/>
              </w:rPr>
            </w:r>
            <w:r w:rsidR="00CE5A67" w:rsidRPr="00CD24AC">
              <w:rPr>
                <w:rFonts w:ascii="Century Gothic" w:hAnsi="Century Gothic"/>
                <w:noProof/>
                <w:webHidden/>
              </w:rPr>
              <w:fldChar w:fldCharType="separate"/>
            </w:r>
            <w:r w:rsidR="00CD24AC">
              <w:rPr>
                <w:rFonts w:ascii="Century Gothic" w:hAnsi="Century Gothic"/>
                <w:noProof/>
                <w:webHidden/>
              </w:rPr>
              <w:t>17</w:t>
            </w:r>
            <w:r w:rsidR="00CE5A67" w:rsidRPr="00CD24AC">
              <w:rPr>
                <w:rFonts w:ascii="Century Gothic" w:hAnsi="Century Gothic"/>
                <w:noProof/>
                <w:webHidden/>
              </w:rPr>
              <w:fldChar w:fldCharType="end"/>
            </w:r>
          </w:hyperlink>
        </w:p>
        <w:p w14:paraId="0CB5BED9" w14:textId="77777777" w:rsidR="00CE5A67" w:rsidRPr="00CD24AC" w:rsidRDefault="00D11956" w:rsidP="00CD24AC">
          <w:pPr>
            <w:pStyle w:val="TOC1"/>
            <w:tabs>
              <w:tab w:val="left" w:pos="660"/>
              <w:tab w:val="right" w:leader="dot" w:pos="9202"/>
            </w:tabs>
            <w:ind w:left="284"/>
            <w:rPr>
              <w:rFonts w:ascii="Century Gothic" w:eastAsiaTheme="minorEastAsia" w:hAnsi="Century Gothic" w:cstheme="minorBidi"/>
              <w:noProof/>
              <w:sz w:val="22"/>
              <w:szCs w:val="22"/>
            </w:rPr>
          </w:pPr>
          <w:hyperlink w:anchor="_Toc517264666" w:history="1">
            <w:r w:rsidR="00CE5A67" w:rsidRPr="00CD24AC">
              <w:rPr>
                <w:rStyle w:val="Hyperlink"/>
                <w:rFonts w:ascii="Century Gothic" w:hAnsi="Century Gothic"/>
                <w:noProof/>
              </w:rPr>
              <w:t>3.3.</w:t>
            </w:r>
            <w:r w:rsidR="00CE5A67" w:rsidRPr="00CD24AC">
              <w:rPr>
                <w:rFonts w:ascii="Century Gothic" w:eastAsiaTheme="minorEastAsia" w:hAnsi="Century Gothic" w:cstheme="minorBidi"/>
                <w:noProof/>
                <w:sz w:val="22"/>
                <w:szCs w:val="22"/>
              </w:rPr>
              <w:tab/>
            </w:r>
            <w:r w:rsidR="00CE5A67" w:rsidRPr="00CD24AC">
              <w:rPr>
                <w:rStyle w:val="Hyperlink"/>
                <w:rFonts w:ascii="Century Gothic" w:hAnsi="Century Gothic"/>
                <w:noProof/>
              </w:rPr>
              <w:t>Trade of environmental water allocations</w:t>
            </w:r>
            <w:r w:rsidR="00CE5A67" w:rsidRPr="00CD24AC">
              <w:rPr>
                <w:rFonts w:ascii="Century Gothic" w:hAnsi="Century Gothic"/>
                <w:noProof/>
                <w:webHidden/>
              </w:rPr>
              <w:tab/>
            </w:r>
            <w:r w:rsidR="00CE5A67" w:rsidRPr="00CD24AC">
              <w:rPr>
                <w:rFonts w:ascii="Century Gothic" w:hAnsi="Century Gothic"/>
                <w:noProof/>
                <w:webHidden/>
              </w:rPr>
              <w:fldChar w:fldCharType="begin"/>
            </w:r>
            <w:r w:rsidR="00CE5A67" w:rsidRPr="00CD24AC">
              <w:rPr>
                <w:rFonts w:ascii="Century Gothic" w:hAnsi="Century Gothic"/>
                <w:noProof/>
                <w:webHidden/>
              </w:rPr>
              <w:instrText xml:space="preserve"> PAGEREF _Toc517264666 \h </w:instrText>
            </w:r>
            <w:r w:rsidR="00CE5A67" w:rsidRPr="00CD24AC">
              <w:rPr>
                <w:rFonts w:ascii="Century Gothic" w:hAnsi="Century Gothic"/>
                <w:noProof/>
                <w:webHidden/>
              </w:rPr>
            </w:r>
            <w:r w:rsidR="00CE5A67" w:rsidRPr="00CD24AC">
              <w:rPr>
                <w:rFonts w:ascii="Century Gothic" w:hAnsi="Century Gothic"/>
                <w:noProof/>
                <w:webHidden/>
              </w:rPr>
              <w:fldChar w:fldCharType="separate"/>
            </w:r>
            <w:r w:rsidR="00CD24AC">
              <w:rPr>
                <w:rFonts w:ascii="Century Gothic" w:hAnsi="Century Gothic"/>
                <w:noProof/>
                <w:webHidden/>
              </w:rPr>
              <w:t>17</w:t>
            </w:r>
            <w:r w:rsidR="00CE5A67" w:rsidRPr="00CD24AC">
              <w:rPr>
                <w:rFonts w:ascii="Century Gothic" w:hAnsi="Century Gothic"/>
                <w:noProof/>
                <w:webHidden/>
              </w:rPr>
              <w:fldChar w:fldCharType="end"/>
            </w:r>
          </w:hyperlink>
        </w:p>
        <w:p w14:paraId="3367546A" w14:textId="77777777" w:rsidR="00CE5A67" w:rsidRPr="00CD24AC" w:rsidRDefault="00D11956" w:rsidP="00CD24AC">
          <w:pPr>
            <w:pStyle w:val="TOC1"/>
            <w:tabs>
              <w:tab w:val="left" w:pos="660"/>
              <w:tab w:val="right" w:leader="dot" w:pos="9202"/>
            </w:tabs>
            <w:ind w:left="284"/>
            <w:rPr>
              <w:rFonts w:ascii="Century Gothic" w:eastAsiaTheme="minorEastAsia" w:hAnsi="Century Gothic" w:cstheme="minorBidi"/>
              <w:noProof/>
              <w:sz w:val="22"/>
              <w:szCs w:val="22"/>
            </w:rPr>
          </w:pPr>
          <w:hyperlink w:anchor="_Toc517264667" w:history="1">
            <w:r w:rsidR="00CE5A67" w:rsidRPr="00CD24AC">
              <w:rPr>
                <w:rStyle w:val="Hyperlink"/>
                <w:rFonts w:ascii="Century Gothic" w:hAnsi="Century Gothic"/>
                <w:noProof/>
              </w:rPr>
              <w:t>3.4.</w:t>
            </w:r>
            <w:r w:rsidR="00CE5A67" w:rsidRPr="00CD24AC">
              <w:rPr>
                <w:rFonts w:ascii="Century Gothic" w:eastAsiaTheme="minorEastAsia" w:hAnsi="Century Gothic" w:cstheme="minorBidi"/>
                <w:noProof/>
                <w:sz w:val="22"/>
                <w:szCs w:val="22"/>
              </w:rPr>
              <w:tab/>
            </w:r>
            <w:r w:rsidR="00CE5A67" w:rsidRPr="00CD24AC">
              <w:rPr>
                <w:rStyle w:val="Hyperlink"/>
                <w:rFonts w:ascii="Century Gothic" w:hAnsi="Century Gothic"/>
                <w:noProof/>
              </w:rPr>
              <w:t>Investing in environmental activities</w:t>
            </w:r>
            <w:r w:rsidR="00CE5A67" w:rsidRPr="00CD24AC">
              <w:rPr>
                <w:rFonts w:ascii="Century Gothic" w:hAnsi="Century Gothic"/>
                <w:noProof/>
                <w:webHidden/>
              </w:rPr>
              <w:tab/>
            </w:r>
            <w:r w:rsidR="00CE5A67" w:rsidRPr="00CD24AC">
              <w:rPr>
                <w:rFonts w:ascii="Century Gothic" w:hAnsi="Century Gothic"/>
                <w:noProof/>
                <w:webHidden/>
              </w:rPr>
              <w:fldChar w:fldCharType="begin"/>
            </w:r>
            <w:r w:rsidR="00CE5A67" w:rsidRPr="00CD24AC">
              <w:rPr>
                <w:rFonts w:ascii="Century Gothic" w:hAnsi="Century Gothic"/>
                <w:noProof/>
                <w:webHidden/>
              </w:rPr>
              <w:instrText xml:space="preserve"> PAGEREF _Toc517264667 \h </w:instrText>
            </w:r>
            <w:r w:rsidR="00CE5A67" w:rsidRPr="00CD24AC">
              <w:rPr>
                <w:rFonts w:ascii="Century Gothic" w:hAnsi="Century Gothic"/>
                <w:noProof/>
                <w:webHidden/>
              </w:rPr>
            </w:r>
            <w:r w:rsidR="00CE5A67" w:rsidRPr="00CD24AC">
              <w:rPr>
                <w:rFonts w:ascii="Century Gothic" w:hAnsi="Century Gothic"/>
                <w:noProof/>
                <w:webHidden/>
              </w:rPr>
              <w:fldChar w:fldCharType="separate"/>
            </w:r>
            <w:r w:rsidR="00CD24AC">
              <w:rPr>
                <w:rFonts w:ascii="Century Gothic" w:hAnsi="Century Gothic"/>
                <w:noProof/>
                <w:webHidden/>
              </w:rPr>
              <w:t>19</w:t>
            </w:r>
            <w:r w:rsidR="00CE5A67" w:rsidRPr="00CD24AC">
              <w:rPr>
                <w:rFonts w:ascii="Century Gothic" w:hAnsi="Century Gothic"/>
                <w:noProof/>
                <w:webHidden/>
              </w:rPr>
              <w:fldChar w:fldCharType="end"/>
            </w:r>
          </w:hyperlink>
        </w:p>
        <w:p w14:paraId="1E1E2839" w14:textId="77777777" w:rsidR="00CE5A67" w:rsidRPr="00CD24AC" w:rsidRDefault="00D11956">
          <w:pPr>
            <w:pStyle w:val="TOC1"/>
            <w:tabs>
              <w:tab w:val="left" w:pos="400"/>
              <w:tab w:val="right" w:leader="dot" w:pos="9202"/>
            </w:tabs>
            <w:rPr>
              <w:rFonts w:ascii="Century Gothic" w:eastAsiaTheme="minorEastAsia" w:hAnsi="Century Gothic" w:cstheme="minorBidi"/>
              <w:b/>
              <w:noProof/>
              <w:sz w:val="22"/>
              <w:szCs w:val="22"/>
            </w:rPr>
          </w:pPr>
          <w:hyperlink w:anchor="_Toc517264668" w:history="1">
            <w:r w:rsidR="00CE5A67" w:rsidRPr="00CD24AC">
              <w:rPr>
                <w:rStyle w:val="Hyperlink"/>
                <w:rFonts w:ascii="Century Gothic" w:hAnsi="Century Gothic"/>
                <w:b/>
                <w:noProof/>
              </w:rPr>
              <w:t>4.</w:t>
            </w:r>
            <w:r w:rsidR="00CE5A67" w:rsidRPr="00CD24AC">
              <w:rPr>
                <w:rFonts w:ascii="Century Gothic" w:eastAsiaTheme="minorEastAsia" w:hAnsi="Century Gothic" w:cstheme="minorBidi"/>
                <w:b/>
                <w:noProof/>
                <w:sz w:val="22"/>
                <w:szCs w:val="22"/>
              </w:rPr>
              <w:tab/>
            </w:r>
            <w:r w:rsidR="00CE5A67" w:rsidRPr="00CD24AC">
              <w:rPr>
                <w:rStyle w:val="Hyperlink"/>
                <w:rFonts w:ascii="Century Gothic" w:hAnsi="Century Gothic"/>
                <w:b/>
                <w:noProof/>
              </w:rPr>
              <w:t>Monitoring and Evaluation</w:t>
            </w:r>
            <w:r w:rsidR="00CE5A67" w:rsidRPr="00CD24AC">
              <w:rPr>
                <w:rFonts w:ascii="Century Gothic" w:hAnsi="Century Gothic"/>
                <w:b/>
                <w:noProof/>
                <w:webHidden/>
              </w:rPr>
              <w:tab/>
            </w:r>
            <w:r w:rsidR="00CE5A67" w:rsidRPr="00CD24AC">
              <w:rPr>
                <w:rFonts w:ascii="Century Gothic" w:hAnsi="Century Gothic"/>
                <w:b/>
                <w:noProof/>
                <w:webHidden/>
              </w:rPr>
              <w:fldChar w:fldCharType="begin"/>
            </w:r>
            <w:r w:rsidR="00CE5A67" w:rsidRPr="00CD24AC">
              <w:rPr>
                <w:rFonts w:ascii="Century Gothic" w:hAnsi="Century Gothic"/>
                <w:b/>
                <w:noProof/>
                <w:webHidden/>
              </w:rPr>
              <w:instrText xml:space="preserve"> PAGEREF _Toc517264668 \h </w:instrText>
            </w:r>
            <w:r w:rsidR="00CE5A67" w:rsidRPr="00CD24AC">
              <w:rPr>
                <w:rFonts w:ascii="Century Gothic" w:hAnsi="Century Gothic"/>
                <w:b/>
                <w:noProof/>
                <w:webHidden/>
              </w:rPr>
            </w:r>
            <w:r w:rsidR="00CE5A67" w:rsidRPr="00CD24AC">
              <w:rPr>
                <w:rFonts w:ascii="Century Gothic" w:hAnsi="Century Gothic"/>
                <w:b/>
                <w:noProof/>
                <w:webHidden/>
              </w:rPr>
              <w:fldChar w:fldCharType="separate"/>
            </w:r>
            <w:r w:rsidR="00CD24AC" w:rsidRPr="00CD24AC">
              <w:rPr>
                <w:rFonts w:ascii="Century Gothic" w:hAnsi="Century Gothic"/>
                <w:b/>
                <w:noProof/>
                <w:webHidden/>
              </w:rPr>
              <w:t>20</w:t>
            </w:r>
            <w:r w:rsidR="00CE5A67" w:rsidRPr="00CD24AC">
              <w:rPr>
                <w:rFonts w:ascii="Century Gothic" w:hAnsi="Century Gothic"/>
                <w:b/>
                <w:noProof/>
                <w:webHidden/>
              </w:rPr>
              <w:fldChar w:fldCharType="end"/>
            </w:r>
          </w:hyperlink>
        </w:p>
        <w:p w14:paraId="05F9D1A7" w14:textId="77777777" w:rsidR="00CE5A67" w:rsidRPr="00CD24AC" w:rsidRDefault="00D11956">
          <w:pPr>
            <w:pStyle w:val="TOC1"/>
            <w:tabs>
              <w:tab w:val="left" w:pos="400"/>
              <w:tab w:val="right" w:leader="dot" w:pos="9202"/>
            </w:tabs>
            <w:rPr>
              <w:rFonts w:ascii="Century Gothic" w:hAnsi="Century Gothic"/>
              <w:b/>
              <w:noProof/>
            </w:rPr>
          </w:pPr>
          <w:hyperlink w:anchor="_Toc517264669" w:history="1">
            <w:r w:rsidR="00CE5A67" w:rsidRPr="00CD24AC">
              <w:rPr>
                <w:rStyle w:val="Hyperlink"/>
                <w:rFonts w:ascii="Century Gothic" w:hAnsi="Century Gothic"/>
                <w:b/>
                <w:noProof/>
              </w:rPr>
              <w:t>5.</w:t>
            </w:r>
            <w:r w:rsidR="00CE5A67" w:rsidRPr="00CD24AC">
              <w:rPr>
                <w:rFonts w:ascii="Century Gothic" w:eastAsiaTheme="minorEastAsia" w:hAnsi="Century Gothic" w:cstheme="minorBidi"/>
                <w:b/>
                <w:noProof/>
                <w:sz w:val="22"/>
                <w:szCs w:val="22"/>
              </w:rPr>
              <w:tab/>
            </w:r>
            <w:r w:rsidR="00CE5A67" w:rsidRPr="00CD24AC">
              <w:rPr>
                <w:rStyle w:val="Hyperlink"/>
                <w:rFonts w:ascii="Century Gothic" w:hAnsi="Century Gothic"/>
                <w:b/>
                <w:noProof/>
              </w:rPr>
              <w:t>Adaptive management</w:t>
            </w:r>
            <w:r w:rsidR="00CE5A67" w:rsidRPr="00CD24AC">
              <w:rPr>
                <w:rFonts w:ascii="Century Gothic" w:hAnsi="Century Gothic"/>
                <w:b/>
                <w:noProof/>
                <w:webHidden/>
              </w:rPr>
              <w:tab/>
            </w:r>
            <w:r w:rsidR="00CE5A67" w:rsidRPr="00CD24AC">
              <w:rPr>
                <w:rFonts w:ascii="Century Gothic" w:hAnsi="Century Gothic"/>
                <w:b/>
                <w:noProof/>
                <w:webHidden/>
              </w:rPr>
              <w:fldChar w:fldCharType="begin"/>
            </w:r>
            <w:r w:rsidR="00CE5A67" w:rsidRPr="00CD24AC">
              <w:rPr>
                <w:rFonts w:ascii="Century Gothic" w:hAnsi="Century Gothic"/>
                <w:b/>
                <w:noProof/>
                <w:webHidden/>
              </w:rPr>
              <w:instrText xml:space="preserve"> PAGEREF _Toc517264669 \h </w:instrText>
            </w:r>
            <w:r w:rsidR="00CE5A67" w:rsidRPr="00CD24AC">
              <w:rPr>
                <w:rFonts w:ascii="Century Gothic" w:hAnsi="Century Gothic"/>
                <w:b/>
                <w:noProof/>
                <w:webHidden/>
              </w:rPr>
            </w:r>
            <w:r w:rsidR="00CE5A67" w:rsidRPr="00CD24AC">
              <w:rPr>
                <w:rFonts w:ascii="Century Gothic" w:hAnsi="Century Gothic"/>
                <w:b/>
                <w:noProof/>
                <w:webHidden/>
              </w:rPr>
              <w:fldChar w:fldCharType="separate"/>
            </w:r>
            <w:r w:rsidR="00CD24AC" w:rsidRPr="00CD24AC">
              <w:rPr>
                <w:rFonts w:ascii="Century Gothic" w:hAnsi="Century Gothic"/>
                <w:b/>
                <w:noProof/>
                <w:webHidden/>
              </w:rPr>
              <w:t>22</w:t>
            </w:r>
            <w:r w:rsidR="00CE5A67" w:rsidRPr="00CD24AC">
              <w:rPr>
                <w:rFonts w:ascii="Century Gothic" w:hAnsi="Century Gothic"/>
                <w:b/>
                <w:noProof/>
                <w:webHidden/>
              </w:rPr>
              <w:fldChar w:fldCharType="end"/>
            </w:r>
          </w:hyperlink>
        </w:p>
        <w:p w14:paraId="1C3BC18B" w14:textId="77777777" w:rsidR="00CE5A67" w:rsidRPr="00CD24AC" w:rsidRDefault="00D11956">
          <w:pPr>
            <w:pStyle w:val="TOC1"/>
            <w:tabs>
              <w:tab w:val="right" w:leader="dot" w:pos="9202"/>
            </w:tabs>
            <w:rPr>
              <w:rFonts w:ascii="Century Gothic" w:eastAsiaTheme="minorEastAsia" w:hAnsi="Century Gothic" w:cstheme="minorBidi"/>
              <w:b/>
              <w:noProof/>
              <w:sz w:val="22"/>
              <w:szCs w:val="22"/>
            </w:rPr>
          </w:pPr>
          <w:hyperlink w:anchor="_Toc517264672" w:history="1">
            <w:r w:rsidR="00CE5A67" w:rsidRPr="00CD24AC">
              <w:rPr>
                <w:rStyle w:val="Hyperlink"/>
                <w:rFonts w:ascii="Century Gothic" w:hAnsi="Century Gothic"/>
                <w:b/>
                <w:noProof/>
              </w:rPr>
              <w:t>Attachment A: Basin–wide environmental watering strategy</w:t>
            </w:r>
            <w:r w:rsidR="00CE5A67" w:rsidRPr="00CD24AC">
              <w:rPr>
                <w:rFonts w:ascii="Century Gothic" w:hAnsi="Century Gothic"/>
                <w:b/>
                <w:noProof/>
                <w:webHidden/>
              </w:rPr>
              <w:tab/>
            </w:r>
            <w:r w:rsidR="00CE5A67" w:rsidRPr="00CD24AC">
              <w:rPr>
                <w:rFonts w:ascii="Century Gothic" w:hAnsi="Century Gothic"/>
                <w:b/>
                <w:noProof/>
                <w:webHidden/>
              </w:rPr>
              <w:fldChar w:fldCharType="begin"/>
            </w:r>
            <w:r w:rsidR="00CE5A67" w:rsidRPr="00CD24AC">
              <w:rPr>
                <w:rFonts w:ascii="Century Gothic" w:hAnsi="Century Gothic"/>
                <w:b/>
                <w:noProof/>
                <w:webHidden/>
              </w:rPr>
              <w:instrText xml:space="preserve"> PAGEREF _Toc517264672 \h </w:instrText>
            </w:r>
            <w:r w:rsidR="00CE5A67" w:rsidRPr="00CD24AC">
              <w:rPr>
                <w:rFonts w:ascii="Century Gothic" w:hAnsi="Century Gothic"/>
                <w:b/>
                <w:noProof/>
                <w:webHidden/>
              </w:rPr>
            </w:r>
            <w:r w:rsidR="00CE5A67" w:rsidRPr="00CD24AC">
              <w:rPr>
                <w:rFonts w:ascii="Century Gothic" w:hAnsi="Century Gothic"/>
                <w:b/>
                <w:noProof/>
                <w:webHidden/>
              </w:rPr>
              <w:fldChar w:fldCharType="separate"/>
            </w:r>
            <w:r w:rsidR="00CD24AC" w:rsidRPr="00CD24AC">
              <w:rPr>
                <w:rFonts w:ascii="Century Gothic" w:hAnsi="Century Gothic"/>
                <w:b/>
                <w:noProof/>
                <w:webHidden/>
              </w:rPr>
              <w:t>25</w:t>
            </w:r>
            <w:r w:rsidR="00CE5A67" w:rsidRPr="00CD24AC">
              <w:rPr>
                <w:rFonts w:ascii="Century Gothic" w:hAnsi="Century Gothic"/>
                <w:b/>
                <w:noProof/>
                <w:webHidden/>
              </w:rPr>
              <w:fldChar w:fldCharType="end"/>
            </w:r>
          </w:hyperlink>
        </w:p>
        <w:p w14:paraId="6C6500A3" w14:textId="77777777" w:rsidR="007A7A94" w:rsidRDefault="00D848C1">
          <w:pPr>
            <w:spacing w:after="120"/>
          </w:pPr>
          <w:r w:rsidRPr="00CD24AC">
            <w:rPr>
              <w:rFonts w:ascii="Century Gothic" w:hAnsi="Century Gothic"/>
            </w:rPr>
            <w:fldChar w:fldCharType="end"/>
          </w:r>
        </w:p>
      </w:sdtContent>
    </w:sdt>
    <w:p w14:paraId="6C6500A4" w14:textId="77777777" w:rsidR="007A7A94" w:rsidRDefault="00963C8F">
      <w:pPr>
        <w:pStyle w:val="Heading1"/>
        <w:spacing w:after="120"/>
      </w:pPr>
      <w:r w:rsidRPr="002D0E3E">
        <w:rPr>
          <w:rFonts w:ascii="Century Gothic" w:hAnsi="Century Gothic"/>
          <w:noProof/>
        </w:rPr>
        <w:br w:type="column"/>
      </w:r>
      <w:bookmarkStart w:id="3" w:name="_Toc517264633"/>
      <w:r w:rsidR="00E84CFF" w:rsidRPr="00AF520B">
        <w:lastRenderedPageBreak/>
        <w:t>Introduction</w:t>
      </w:r>
      <w:bookmarkStart w:id="4" w:name="_Toc415473564"/>
      <w:bookmarkEnd w:id="3"/>
    </w:p>
    <w:p w14:paraId="6C6500A5" w14:textId="145171CE" w:rsidR="007A7A94" w:rsidRDefault="00DD1D21">
      <w:pPr>
        <w:pStyle w:val="Heading11"/>
        <w:spacing w:before="0" w:after="120"/>
        <w:ind w:left="851" w:hanging="851"/>
      </w:pPr>
      <w:bookmarkStart w:id="5" w:name="_Toc517264634"/>
      <w:bookmarkEnd w:id="4"/>
      <w:bookmarkEnd w:id="2"/>
      <w:r>
        <w:t>Pu</w:t>
      </w:r>
      <w:r w:rsidRPr="008471EB">
        <w:t>rpose</w:t>
      </w:r>
      <w:r>
        <w:t xml:space="preserve"> of the document</w:t>
      </w:r>
      <w:bookmarkEnd w:id="5"/>
    </w:p>
    <w:p w14:paraId="6C6500A6" w14:textId="7744A929" w:rsidR="00B17604" w:rsidRDefault="00561C3B">
      <w:pPr>
        <w:tabs>
          <w:tab w:val="left" w:pos="1134"/>
        </w:tabs>
        <w:spacing w:after="120"/>
        <w:rPr>
          <w:rFonts w:ascii="Century Gothic" w:hAnsi="Century Gothic" w:cs="Arial"/>
        </w:rPr>
      </w:pPr>
      <w:r>
        <w:rPr>
          <w:rFonts w:ascii="Century Gothic" w:hAnsi="Century Gothic" w:cs="Arial"/>
        </w:rPr>
        <w:t xml:space="preserve">Each year, </w:t>
      </w:r>
      <w:r w:rsidR="004068CA">
        <w:rPr>
          <w:rFonts w:ascii="Century Gothic" w:hAnsi="Century Gothic" w:cs="Arial"/>
        </w:rPr>
        <w:t xml:space="preserve">plans are </w:t>
      </w:r>
      <w:r w:rsidR="00A7437A">
        <w:rPr>
          <w:rFonts w:ascii="Century Gothic" w:hAnsi="Century Gothic" w:cs="Arial"/>
        </w:rPr>
        <w:t>published</w:t>
      </w:r>
      <w:r w:rsidR="0096429A">
        <w:rPr>
          <w:rFonts w:ascii="Century Gothic" w:hAnsi="Century Gothic" w:cs="Arial"/>
        </w:rPr>
        <w:t xml:space="preserve"> to support the management and use of t</w:t>
      </w:r>
      <w:r w:rsidR="004068CA">
        <w:rPr>
          <w:rFonts w:ascii="Century Gothic" w:hAnsi="Century Gothic" w:cs="Arial"/>
        </w:rPr>
        <w:t>he Commonwealth environmental water</w:t>
      </w:r>
      <w:r w:rsidR="00A7437A">
        <w:rPr>
          <w:rFonts w:ascii="Century Gothic" w:hAnsi="Century Gothic" w:cs="Arial"/>
        </w:rPr>
        <w:t xml:space="preserve"> portfolio</w:t>
      </w:r>
      <w:r w:rsidR="0096429A">
        <w:rPr>
          <w:rFonts w:ascii="Century Gothic" w:hAnsi="Century Gothic" w:cs="Arial"/>
        </w:rPr>
        <w:t xml:space="preserve">. </w:t>
      </w:r>
      <w:r w:rsidR="00A7437A">
        <w:rPr>
          <w:rFonts w:ascii="Century Gothic" w:hAnsi="Century Gothic" w:cs="Arial"/>
        </w:rPr>
        <w:t xml:space="preserve">In preparing these plans, the Commonwealth Environmental Water Office adopts a mutil-year approach that integrates all management options, including </w:t>
      </w:r>
      <w:r w:rsidR="00A501D0">
        <w:rPr>
          <w:rFonts w:ascii="Century Gothic" w:hAnsi="Century Gothic" w:cs="Arial"/>
        </w:rPr>
        <w:t xml:space="preserve">water delivery, carryover and trade. </w:t>
      </w:r>
    </w:p>
    <w:p w14:paraId="6C6500A7" w14:textId="77777777" w:rsidR="00B17604" w:rsidRDefault="0096429A" w:rsidP="0021084B">
      <w:pPr>
        <w:tabs>
          <w:tab w:val="left" w:pos="1134"/>
        </w:tabs>
        <w:spacing w:after="120"/>
        <w:rPr>
          <w:rFonts w:ascii="Century Gothic" w:hAnsi="Century Gothic" w:cs="Arial"/>
        </w:rPr>
      </w:pPr>
      <w:r>
        <w:rPr>
          <w:rFonts w:ascii="Century Gothic" w:hAnsi="Century Gothic" w:cs="Arial"/>
        </w:rPr>
        <w:t xml:space="preserve">This document provides an overview </w:t>
      </w:r>
      <w:r w:rsidR="006A5874">
        <w:rPr>
          <w:rFonts w:ascii="Century Gothic" w:hAnsi="Century Gothic" w:cs="Arial"/>
        </w:rPr>
        <w:t>of th</w:t>
      </w:r>
      <w:r w:rsidR="00A501D0">
        <w:rPr>
          <w:rFonts w:ascii="Century Gothic" w:hAnsi="Century Gothic" w:cs="Arial"/>
        </w:rPr>
        <w:t>is approach</w:t>
      </w:r>
      <w:r w:rsidR="00A7437A">
        <w:rPr>
          <w:rFonts w:ascii="Century Gothic" w:hAnsi="Century Gothic" w:cs="Arial"/>
        </w:rPr>
        <w:t>, including the processes and factors considered in the planning process and how this informs decisions of the use of Commonwealth environmental water</w:t>
      </w:r>
      <w:r>
        <w:rPr>
          <w:rFonts w:ascii="Century Gothic" w:hAnsi="Century Gothic" w:cs="Arial"/>
        </w:rPr>
        <w:t xml:space="preserve">. </w:t>
      </w:r>
      <w:r w:rsidR="00A7437A">
        <w:rPr>
          <w:rFonts w:ascii="Century Gothic" w:hAnsi="Century Gothic" w:cs="Arial"/>
        </w:rPr>
        <w:t>P</w:t>
      </w:r>
      <w:r>
        <w:rPr>
          <w:rFonts w:ascii="Century Gothic" w:hAnsi="Century Gothic" w:cs="Arial"/>
        </w:rPr>
        <w:t xml:space="preserve">lans for specific </w:t>
      </w:r>
      <w:r w:rsidR="008B5430">
        <w:rPr>
          <w:rFonts w:ascii="Century Gothic" w:hAnsi="Century Gothic" w:cs="Arial"/>
        </w:rPr>
        <w:t xml:space="preserve">Basin </w:t>
      </w:r>
      <w:r>
        <w:rPr>
          <w:rFonts w:ascii="Century Gothic" w:hAnsi="Century Gothic" w:cs="Arial"/>
        </w:rPr>
        <w:t xml:space="preserve">regions are available </w:t>
      </w:r>
      <w:r w:rsidR="00A00F57">
        <w:rPr>
          <w:rFonts w:ascii="Century Gothic" w:hAnsi="Century Gothic"/>
        </w:rPr>
        <w:t xml:space="preserve">at: </w:t>
      </w:r>
      <w:hyperlink r:id="rId17" w:history="1">
        <w:r w:rsidR="00A00F57" w:rsidRPr="003D2FF0">
          <w:rPr>
            <w:rStyle w:val="Hyperlink"/>
            <w:rFonts w:ascii="Century Gothic" w:hAnsi="Century Gothic"/>
          </w:rPr>
          <w:t>http://www.environment.gov.au/water/cewo/publications</w:t>
        </w:r>
      </w:hyperlink>
      <w:r w:rsidR="00A00F57">
        <w:rPr>
          <w:rFonts w:ascii="Century Gothic" w:hAnsi="Century Gothic"/>
        </w:rPr>
        <w:t>).</w:t>
      </w:r>
    </w:p>
    <w:p w14:paraId="6C6500A8" w14:textId="5EB5D9D2" w:rsidR="008B5430" w:rsidRDefault="008B5430" w:rsidP="008B5430">
      <w:pPr>
        <w:pStyle w:val="Heading11"/>
        <w:spacing w:before="0" w:after="120"/>
        <w:ind w:left="851" w:hanging="851"/>
      </w:pPr>
      <w:bookmarkStart w:id="6" w:name="_Toc517264635"/>
      <w:r w:rsidRPr="000E3C60">
        <w:t>About Commonwealth environmental water</w:t>
      </w:r>
      <w:bookmarkEnd w:id="6"/>
    </w:p>
    <w:p w14:paraId="6C6500A9" w14:textId="47BC6333" w:rsidR="00B17604" w:rsidRDefault="00AA6D13">
      <w:pPr>
        <w:tabs>
          <w:tab w:val="left" w:pos="1134"/>
        </w:tabs>
        <w:spacing w:after="120"/>
        <w:rPr>
          <w:rFonts w:ascii="Century Gothic" w:hAnsi="Century Gothic" w:cs="Arial"/>
        </w:rPr>
      </w:pPr>
      <w:r>
        <w:rPr>
          <w:rFonts w:ascii="Century Gothic" w:hAnsi="Century Gothic" w:cs="Arial"/>
        </w:rPr>
        <w:t xml:space="preserve">The </w:t>
      </w:r>
      <w:r w:rsidR="008B5430" w:rsidRPr="00DF2AB6">
        <w:rPr>
          <w:rFonts w:ascii="Century Gothic" w:hAnsi="Century Gothic" w:cs="Arial"/>
        </w:rPr>
        <w:t>Commonwealth environmental water holdings are water entitlements</w:t>
      </w:r>
      <w:r>
        <w:rPr>
          <w:rFonts w:ascii="Century Gothic" w:hAnsi="Century Gothic" w:cs="Arial"/>
        </w:rPr>
        <w:t xml:space="preserve"> and rights</w:t>
      </w:r>
      <w:r w:rsidR="008B5430" w:rsidRPr="00DF2AB6">
        <w:rPr>
          <w:rFonts w:ascii="Century Gothic" w:hAnsi="Century Gothic" w:cs="Arial"/>
        </w:rPr>
        <w:t xml:space="preserve">, issued by </w:t>
      </w:r>
      <w:r>
        <w:rPr>
          <w:rFonts w:ascii="Century Gothic" w:hAnsi="Century Gothic" w:cs="Arial"/>
        </w:rPr>
        <w:t>Basin S</w:t>
      </w:r>
      <w:r w:rsidR="008B5430" w:rsidRPr="00DF2AB6">
        <w:rPr>
          <w:rFonts w:ascii="Century Gothic" w:hAnsi="Century Gothic" w:cs="Arial"/>
        </w:rPr>
        <w:t xml:space="preserve">tate governments that </w:t>
      </w:r>
      <w:r w:rsidR="007A1E75">
        <w:rPr>
          <w:rFonts w:ascii="Century Gothic" w:hAnsi="Century Gothic" w:cs="Arial"/>
        </w:rPr>
        <w:t xml:space="preserve">were </w:t>
      </w:r>
      <w:r w:rsidR="008B5430" w:rsidRPr="00DF2AB6">
        <w:rPr>
          <w:rFonts w:ascii="Century Gothic" w:hAnsi="Century Gothic" w:cs="Arial"/>
        </w:rPr>
        <w:t xml:space="preserve"> acquired by the Australia</w:t>
      </w:r>
      <w:r w:rsidR="008B5430">
        <w:rPr>
          <w:rFonts w:ascii="Century Gothic" w:hAnsi="Century Gothic" w:cs="Arial"/>
        </w:rPr>
        <w:t>n</w:t>
      </w:r>
      <w:r w:rsidR="008B5430" w:rsidRPr="00DF2AB6">
        <w:rPr>
          <w:rFonts w:ascii="Century Gothic" w:hAnsi="Century Gothic" w:cs="Arial"/>
        </w:rPr>
        <w:t xml:space="preserve"> Government</w:t>
      </w:r>
      <w:r w:rsidR="008B5430">
        <w:rPr>
          <w:rFonts w:ascii="Century Gothic" w:hAnsi="Century Gothic" w:cs="Arial"/>
        </w:rPr>
        <w:t xml:space="preserve"> </w:t>
      </w:r>
      <w:r w:rsidR="008B5430" w:rsidRPr="00DF2AB6">
        <w:rPr>
          <w:rFonts w:ascii="Century Gothic" w:hAnsi="Century Gothic" w:cs="Arial"/>
        </w:rPr>
        <w:t xml:space="preserve">through investments in water-saving infrastructure and purchases on the water market. </w:t>
      </w:r>
    </w:p>
    <w:p w14:paraId="59EA8E44" w14:textId="77777777" w:rsidR="007A1E75" w:rsidRDefault="008B5430">
      <w:pPr>
        <w:tabs>
          <w:tab w:val="left" w:pos="1134"/>
        </w:tabs>
        <w:spacing w:after="120"/>
        <w:rPr>
          <w:rFonts w:ascii="Century Gothic" w:hAnsi="Century Gothic" w:cs="Arial"/>
        </w:rPr>
      </w:pPr>
      <w:r w:rsidRPr="00DF2AB6">
        <w:rPr>
          <w:rFonts w:ascii="Century Gothic" w:hAnsi="Century Gothic" w:cs="Arial"/>
        </w:rPr>
        <w:t xml:space="preserve">The holdings are a mix of entitlement types held across </w:t>
      </w:r>
      <w:r w:rsidR="009C2C84">
        <w:rPr>
          <w:rFonts w:ascii="Century Gothic" w:hAnsi="Century Gothic" w:cs="Arial"/>
        </w:rPr>
        <w:t xml:space="preserve">23 surface water resource plan areas and </w:t>
      </w:r>
      <w:r w:rsidR="005E321D">
        <w:rPr>
          <w:rFonts w:ascii="Century Gothic" w:hAnsi="Century Gothic" w:cs="Arial"/>
        </w:rPr>
        <w:t>nine</w:t>
      </w:r>
      <w:r w:rsidR="009C2C84">
        <w:rPr>
          <w:rFonts w:ascii="Century Gothic" w:hAnsi="Century Gothic" w:cs="Arial"/>
        </w:rPr>
        <w:t xml:space="preserve"> ground water resource plan areas</w:t>
      </w:r>
      <w:r w:rsidR="00AA6D13">
        <w:rPr>
          <w:rFonts w:ascii="Century Gothic" w:hAnsi="Century Gothic" w:cs="Arial"/>
        </w:rPr>
        <w:t xml:space="preserve">, </w:t>
      </w:r>
      <w:r w:rsidR="009C2C84">
        <w:rPr>
          <w:rFonts w:ascii="Century Gothic" w:hAnsi="Century Gothic" w:cs="Arial"/>
        </w:rPr>
        <w:t xml:space="preserve">as defined in Chapter 3, </w:t>
      </w:r>
      <w:r w:rsidR="009421A3">
        <w:rPr>
          <w:rFonts w:ascii="Century Gothic" w:hAnsi="Century Gothic" w:cs="Arial"/>
        </w:rPr>
        <w:t>P</w:t>
      </w:r>
      <w:r w:rsidR="009C2C84">
        <w:rPr>
          <w:rFonts w:ascii="Century Gothic" w:hAnsi="Century Gothic" w:cs="Arial"/>
        </w:rPr>
        <w:t xml:space="preserve">art 2 of the </w:t>
      </w:r>
      <w:r w:rsidR="00BE4223">
        <w:rPr>
          <w:rFonts w:ascii="Century Gothic" w:hAnsi="Century Gothic" w:cs="Arial"/>
        </w:rPr>
        <w:t>Basin Plan 2012</w:t>
      </w:r>
      <w:r w:rsidRPr="00DF2AB6">
        <w:rPr>
          <w:rFonts w:ascii="Century Gothic" w:hAnsi="Century Gothic" w:cs="Arial"/>
        </w:rPr>
        <w:t>.</w:t>
      </w:r>
    </w:p>
    <w:p w14:paraId="6C6500AA" w14:textId="41774CCE" w:rsidR="00B17604" w:rsidRDefault="008B5430">
      <w:pPr>
        <w:tabs>
          <w:tab w:val="left" w:pos="1134"/>
        </w:tabs>
        <w:spacing w:after="120"/>
        <w:rPr>
          <w:rFonts w:ascii="Century Gothic" w:hAnsi="Century Gothic" w:cs="Arial"/>
        </w:rPr>
      </w:pPr>
      <w:r w:rsidRPr="00DF2AB6">
        <w:rPr>
          <w:rFonts w:ascii="Century Gothic" w:hAnsi="Century Gothic" w:cs="Arial"/>
        </w:rPr>
        <w:t xml:space="preserve">The rules governing the </w:t>
      </w:r>
      <w:r w:rsidR="007A1E75">
        <w:rPr>
          <w:rFonts w:ascii="Century Gothic" w:hAnsi="Century Gothic" w:cs="Arial"/>
        </w:rPr>
        <w:t xml:space="preserve">Commonwealth environmental water </w:t>
      </w:r>
      <w:r w:rsidRPr="00DF2AB6">
        <w:rPr>
          <w:rFonts w:ascii="Century Gothic" w:hAnsi="Century Gothic" w:cs="Arial"/>
        </w:rPr>
        <w:t>entitlements vary across states and across catchments</w:t>
      </w:r>
      <w:r w:rsidR="007A1E75">
        <w:rPr>
          <w:rFonts w:ascii="Century Gothic" w:hAnsi="Century Gothic" w:cs="Arial"/>
        </w:rPr>
        <w:t xml:space="preserve"> but they</w:t>
      </w:r>
      <w:r w:rsidRPr="00DF2AB6">
        <w:rPr>
          <w:rFonts w:ascii="Century Gothic" w:hAnsi="Century Gothic" w:cs="Arial"/>
        </w:rPr>
        <w:t xml:space="preserve"> are subject to the same fees, allocations, carryover and other rules as equivalent entitlements held by other water users.</w:t>
      </w:r>
      <w:r w:rsidR="007A1E75">
        <w:rPr>
          <w:rFonts w:ascii="Century Gothic" w:hAnsi="Century Gothic" w:cs="Arial"/>
        </w:rPr>
        <w:t xml:space="preserve"> These rules determine how the Commonwealth’s water can be used, the value of the portfolio and the environmental outcomes that can be achieved.</w:t>
      </w:r>
      <w:r w:rsidRPr="00DF2AB6">
        <w:rPr>
          <w:rFonts w:ascii="Century Gothic" w:hAnsi="Century Gothic" w:cs="Arial"/>
        </w:rPr>
        <w:t xml:space="preserve"> </w:t>
      </w:r>
    </w:p>
    <w:p w14:paraId="6C6500AB" w14:textId="72641BB4" w:rsidR="007A7A94" w:rsidRDefault="00DF2AB6">
      <w:pPr>
        <w:pStyle w:val="Heading11"/>
        <w:spacing w:before="0" w:after="120"/>
        <w:ind w:left="851" w:hanging="851"/>
      </w:pPr>
      <w:bookmarkStart w:id="7" w:name="_Toc517264636"/>
      <w:r>
        <w:t>About</w:t>
      </w:r>
      <w:r w:rsidR="00611EFF" w:rsidRPr="00611EFF">
        <w:t xml:space="preserve"> the Commonwealth Environmental Water Holder</w:t>
      </w:r>
      <w:bookmarkEnd w:id="7"/>
    </w:p>
    <w:p w14:paraId="6C6500AC" w14:textId="0A079C88" w:rsidR="00B17604" w:rsidRDefault="003F1C8E">
      <w:pPr>
        <w:spacing w:after="120"/>
        <w:rPr>
          <w:rFonts w:ascii="Century Gothic" w:hAnsi="Century Gothic" w:cs="Arial"/>
        </w:rPr>
      </w:pPr>
      <w:r w:rsidRPr="000A3F3C">
        <w:rPr>
          <w:rFonts w:ascii="Century Gothic" w:hAnsi="Century Gothic" w:cs="Arial"/>
        </w:rPr>
        <w:t xml:space="preserve">The Commonwealth Environmental Water </w:t>
      </w:r>
      <w:r w:rsidR="00857534">
        <w:rPr>
          <w:rFonts w:ascii="Century Gothic" w:hAnsi="Century Gothic" w:cs="Arial"/>
        </w:rPr>
        <w:t xml:space="preserve">Office </w:t>
      </w:r>
      <w:r w:rsidRPr="000A3F3C">
        <w:rPr>
          <w:rFonts w:ascii="Century Gothic" w:hAnsi="Century Gothic" w:cs="Arial"/>
        </w:rPr>
        <w:t xml:space="preserve">is a statutory position established by the </w:t>
      </w:r>
      <w:r w:rsidRPr="0019600B">
        <w:rPr>
          <w:rFonts w:ascii="Century Gothic" w:hAnsi="Century Gothic" w:cs="Arial"/>
          <w:i/>
          <w:iCs/>
        </w:rPr>
        <w:t>Water Act 2007</w:t>
      </w:r>
      <w:r w:rsidRPr="0019600B">
        <w:rPr>
          <w:rFonts w:ascii="Century Gothic" w:hAnsi="Century Gothic" w:cs="Arial"/>
          <w:iCs/>
        </w:rPr>
        <w:t xml:space="preserve"> </w:t>
      </w:r>
      <w:r>
        <w:rPr>
          <w:rFonts w:ascii="Century Gothic" w:hAnsi="Century Gothic" w:cs="Arial"/>
          <w:iCs/>
        </w:rPr>
        <w:t>(</w:t>
      </w:r>
      <w:r w:rsidRPr="0019600B">
        <w:rPr>
          <w:rFonts w:ascii="Century Gothic" w:hAnsi="Century Gothic" w:cs="Arial"/>
          <w:iCs/>
        </w:rPr>
        <w:t>the Water Act)</w:t>
      </w:r>
      <w:r w:rsidRPr="00E92354">
        <w:rPr>
          <w:rFonts w:ascii="Century Gothic" w:hAnsi="Century Gothic" w:cs="Arial"/>
          <w:iCs/>
        </w:rPr>
        <w:t xml:space="preserve"> </w:t>
      </w:r>
      <w:r w:rsidRPr="000A3F3C">
        <w:rPr>
          <w:rFonts w:ascii="Century Gothic" w:hAnsi="Century Gothic" w:cs="Arial"/>
        </w:rPr>
        <w:t xml:space="preserve">to manage the Commonwealth environmental water holdings. </w:t>
      </w:r>
      <w:r w:rsidR="00002A57">
        <w:rPr>
          <w:rFonts w:ascii="Century Gothic" w:hAnsi="Century Gothic" w:cs="Arial"/>
        </w:rPr>
        <w:t xml:space="preserve">This water </w:t>
      </w:r>
      <w:r w:rsidR="00002A57" w:rsidRPr="000A3F3C">
        <w:rPr>
          <w:rFonts w:ascii="Century Gothic" w:hAnsi="Century Gothic" w:cs="Arial"/>
        </w:rPr>
        <w:t xml:space="preserve">must be managed to protect or restore </w:t>
      </w:r>
      <w:r w:rsidR="00002A57" w:rsidRPr="003B261C">
        <w:rPr>
          <w:rFonts w:ascii="Century Gothic" w:hAnsi="Century Gothic" w:cs="Arial"/>
        </w:rPr>
        <w:t xml:space="preserve">the rivers, wetlands and floodplains (and the native animals and plants they support) of the </w:t>
      </w:r>
      <w:r w:rsidR="00BE4223">
        <w:rPr>
          <w:rFonts w:ascii="Century Gothic" w:hAnsi="Century Gothic" w:cs="Arial"/>
        </w:rPr>
        <w:t>Murray-Darling</w:t>
      </w:r>
      <w:r w:rsidR="00002A57" w:rsidRPr="003B261C">
        <w:rPr>
          <w:rFonts w:ascii="Century Gothic" w:hAnsi="Century Gothic" w:cs="Arial"/>
        </w:rPr>
        <w:t xml:space="preserve"> Basin</w:t>
      </w:r>
      <w:r w:rsidR="00002A57" w:rsidRPr="000A3F3C">
        <w:rPr>
          <w:rFonts w:ascii="Century Gothic" w:hAnsi="Century Gothic" w:cs="Arial"/>
        </w:rPr>
        <w:t>, so as to give effect to relevant international agreements</w:t>
      </w:r>
      <w:r w:rsidR="00002A57">
        <w:rPr>
          <w:rFonts w:ascii="Century Gothic" w:hAnsi="Century Gothic" w:cs="Arial"/>
        </w:rPr>
        <w:t>.</w:t>
      </w:r>
    </w:p>
    <w:p w14:paraId="6C6500AD" w14:textId="439515A6" w:rsidR="00B17604" w:rsidRPr="00C33E30" w:rsidRDefault="00590D83">
      <w:pPr>
        <w:tabs>
          <w:tab w:val="left" w:pos="1134"/>
        </w:tabs>
        <w:spacing w:after="120"/>
        <w:rPr>
          <w:rFonts w:ascii="Century Gothic" w:hAnsi="Century Gothic" w:cs="Arial"/>
        </w:rPr>
      </w:pPr>
      <w:r w:rsidRPr="00051D81">
        <w:rPr>
          <w:rFonts w:ascii="Century Gothic" w:hAnsi="Century Gothic" w:cs="Arial"/>
        </w:rPr>
        <w:t xml:space="preserve">The </w:t>
      </w:r>
      <w:r w:rsidR="00857534">
        <w:rPr>
          <w:rFonts w:ascii="Century Gothic" w:hAnsi="Century Gothic" w:cs="Arial"/>
        </w:rPr>
        <w:t>Commonwealth Environmental Water Holder</w:t>
      </w:r>
      <w:r w:rsidRPr="00051D81">
        <w:rPr>
          <w:rFonts w:ascii="Century Gothic" w:hAnsi="Century Gothic" w:cs="Arial"/>
        </w:rPr>
        <w:t xml:space="preserve"> is governed by the </w:t>
      </w:r>
      <w:r w:rsidR="000E3C60" w:rsidRPr="000E3C60">
        <w:rPr>
          <w:rFonts w:ascii="Century Gothic" w:hAnsi="Century Gothic" w:cs="Arial"/>
        </w:rPr>
        <w:t>Water Act</w:t>
      </w:r>
      <w:r w:rsidRPr="00051D81">
        <w:rPr>
          <w:rFonts w:ascii="Century Gothic" w:hAnsi="Century Gothic" w:cs="Arial"/>
        </w:rPr>
        <w:t xml:space="preserve"> and the</w:t>
      </w:r>
      <w:r w:rsidR="00360FCB" w:rsidRPr="00360FCB">
        <w:rPr>
          <w:rFonts w:ascii="Century Gothic" w:hAnsi="Century Gothic" w:cs="Arial"/>
        </w:rPr>
        <w:t xml:space="preserve"> </w:t>
      </w:r>
      <w:r w:rsidRPr="00051D81">
        <w:rPr>
          <w:rFonts w:ascii="Century Gothic" w:hAnsi="Century Gothic" w:cs="Arial"/>
        </w:rPr>
        <w:t>Basin Plan</w:t>
      </w:r>
      <w:r w:rsidR="005E321D">
        <w:rPr>
          <w:rFonts w:ascii="Century Gothic" w:hAnsi="Century Gothic" w:cs="Arial"/>
        </w:rPr>
        <w:t xml:space="preserve"> 2012</w:t>
      </w:r>
      <w:r w:rsidR="001A6FA9">
        <w:rPr>
          <w:rFonts w:ascii="Century Gothic" w:hAnsi="Century Gothic" w:cs="Arial"/>
        </w:rPr>
        <w:t xml:space="preserve"> (Basin Plan)</w:t>
      </w:r>
      <w:r w:rsidRPr="00051D81">
        <w:rPr>
          <w:rFonts w:ascii="Century Gothic" w:hAnsi="Century Gothic" w:cs="Arial"/>
        </w:rPr>
        <w:t>, and must comply with the specific requirements and standards of Commonwealth</w:t>
      </w:r>
      <w:r w:rsidR="005E321D">
        <w:rPr>
          <w:rFonts w:ascii="Century Gothic" w:hAnsi="Century Gothic" w:cs="Arial"/>
        </w:rPr>
        <w:t xml:space="preserve"> and state</w:t>
      </w:r>
      <w:r w:rsidRPr="00051D81">
        <w:rPr>
          <w:rFonts w:ascii="Century Gothic" w:hAnsi="Century Gothic" w:cs="Arial"/>
        </w:rPr>
        <w:t xml:space="preserve"> legal, policy and </w:t>
      </w:r>
      <w:r w:rsidRPr="00C33E30">
        <w:rPr>
          <w:rFonts w:ascii="Century Gothic" w:hAnsi="Century Gothic" w:cs="Arial"/>
        </w:rPr>
        <w:t>environmental legislation and frameworks.</w:t>
      </w:r>
    </w:p>
    <w:p w14:paraId="6C6500AE" w14:textId="60A357D5" w:rsidR="00246399" w:rsidRDefault="005E321D" w:rsidP="005E321D">
      <w:pPr>
        <w:spacing w:after="120"/>
        <w:rPr>
          <w:rFonts w:ascii="Century Gothic" w:hAnsi="Century Gothic" w:cs="Arial"/>
        </w:rPr>
      </w:pPr>
      <w:r w:rsidRPr="005E321D">
        <w:rPr>
          <w:rFonts w:ascii="Century Gothic" w:hAnsi="Century Gothic" w:cs="Arial"/>
        </w:rPr>
        <w:t xml:space="preserve">Ms Jody Swirepik commenced in the role of </w:t>
      </w:r>
      <w:r w:rsidR="00857534">
        <w:rPr>
          <w:rFonts w:ascii="Century Gothic" w:hAnsi="Century Gothic" w:cs="Arial"/>
        </w:rPr>
        <w:t xml:space="preserve">Commonwealth Environmental Water Holder </w:t>
      </w:r>
      <w:r w:rsidRPr="005E321D">
        <w:rPr>
          <w:rFonts w:ascii="Century Gothic" w:hAnsi="Century Gothic" w:cs="Arial"/>
        </w:rPr>
        <w:t>in February 2018. Ms Swirepik is supported by staff of the Commonwealth Environmental Water Office within the Department of the Environment and Energy in Canberra</w:t>
      </w:r>
      <w:r>
        <w:rPr>
          <w:rFonts w:ascii="Century Gothic" w:hAnsi="Century Gothic" w:cs="Arial"/>
        </w:rPr>
        <w:t>.</w:t>
      </w:r>
      <w:r w:rsidRPr="005E321D">
        <w:rPr>
          <w:rFonts w:ascii="Century Gothic" w:hAnsi="Century Gothic" w:cs="Arial"/>
        </w:rPr>
        <w:t xml:space="preserve"> </w:t>
      </w:r>
      <w:r w:rsidR="00002A57" w:rsidRPr="00C33E30">
        <w:rPr>
          <w:rFonts w:ascii="Century Gothic" w:hAnsi="Century Gothic" w:cs="Arial"/>
        </w:rPr>
        <w:t xml:space="preserve">The </w:t>
      </w:r>
      <w:r w:rsidR="00857534">
        <w:rPr>
          <w:rFonts w:ascii="Century Gothic" w:hAnsi="Century Gothic" w:cs="Arial"/>
        </w:rPr>
        <w:t>Commonwealth Environmental Water Office</w:t>
      </w:r>
      <w:r>
        <w:rPr>
          <w:rFonts w:ascii="Century Gothic" w:hAnsi="Century Gothic" w:cs="Arial"/>
        </w:rPr>
        <w:t xml:space="preserve"> employs</w:t>
      </w:r>
      <w:r w:rsidR="00002A57" w:rsidRPr="00C33E30">
        <w:rPr>
          <w:rFonts w:ascii="Century Gothic" w:hAnsi="Century Gothic" w:cs="Arial"/>
        </w:rPr>
        <w:t xml:space="preserve"> six </w:t>
      </w:r>
      <w:r w:rsidR="00AA6D13">
        <w:rPr>
          <w:rFonts w:ascii="Century Gothic" w:hAnsi="Century Gothic" w:cs="Arial"/>
        </w:rPr>
        <w:t xml:space="preserve">full time </w:t>
      </w:r>
      <w:r w:rsidR="00002A57" w:rsidRPr="00C33E30">
        <w:rPr>
          <w:rFonts w:ascii="Century Gothic" w:hAnsi="Century Gothic" w:cs="Arial"/>
        </w:rPr>
        <w:t xml:space="preserve">local engagement officers who live and work in regional centres across the </w:t>
      </w:r>
      <w:r w:rsidR="00BE4223">
        <w:rPr>
          <w:rFonts w:ascii="Century Gothic" w:hAnsi="Century Gothic" w:cs="Arial"/>
        </w:rPr>
        <w:t>Murray-Darling</w:t>
      </w:r>
      <w:r w:rsidR="00002A57" w:rsidRPr="00C33E30">
        <w:rPr>
          <w:rFonts w:ascii="Century Gothic" w:hAnsi="Century Gothic" w:cs="Arial"/>
        </w:rPr>
        <w:t xml:space="preserve"> Basin</w:t>
      </w:r>
      <w:r w:rsidR="00AA6D13">
        <w:rPr>
          <w:rFonts w:ascii="Century Gothic" w:hAnsi="Century Gothic" w:cs="Arial"/>
        </w:rPr>
        <w:t xml:space="preserve"> connecting Canberra to the regions</w:t>
      </w:r>
      <w:r w:rsidR="00002A57" w:rsidRPr="00C33E30">
        <w:rPr>
          <w:rFonts w:ascii="Century Gothic" w:hAnsi="Century Gothic" w:cs="Arial"/>
        </w:rPr>
        <w:t>.</w:t>
      </w:r>
    </w:p>
    <w:p w14:paraId="6C6500AF" w14:textId="6519C68E" w:rsidR="00D37953" w:rsidRDefault="00585F5A">
      <w:pPr>
        <w:pStyle w:val="Heading11"/>
        <w:numPr>
          <w:ilvl w:val="2"/>
          <w:numId w:val="66"/>
        </w:numPr>
        <w:spacing w:before="0" w:after="120"/>
        <w:ind w:left="1418" w:hanging="704"/>
        <w:rPr>
          <w:rFonts w:ascii="Century Gothic" w:hAnsi="Century Gothic" w:cs="Arial"/>
          <w:sz w:val="24"/>
          <w:szCs w:val="24"/>
        </w:rPr>
      </w:pPr>
      <w:r w:rsidRPr="00585F5A">
        <w:rPr>
          <w:rFonts w:ascii="Century Gothic" w:hAnsi="Century Gothic" w:cs="Arial"/>
          <w:sz w:val="24"/>
          <w:szCs w:val="24"/>
        </w:rPr>
        <w:t xml:space="preserve"> </w:t>
      </w:r>
      <w:bookmarkStart w:id="8" w:name="_Toc517264637"/>
      <w:r w:rsidRPr="00585F5A">
        <w:rPr>
          <w:rFonts w:ascii="Century Gothic" w:hAnsi="Century Gothic" w:cs="Arial"/>
          <w:sz w:val="24"/>
          <w:szCs w:val="24"/>
        </w:rPr>
        <w:t>Good neighbour policy</w:t>
      </w:r>
      <w:bookmarkEnd w:id="8"/>
    </w:p>
    <w:p w14:paraId="6C6500B0" w14:textId="6231479B" w:rsidR="00B17604" w:rsidRDefault="00482379">
      <w:pPr>
        <w:tabs>
          <w:tab w:val="left" w:pos="1134"/>
        </w:tabs>
        <w:spacing w:after="120"/>
        <w:rPr>
          <w:rFonts w:ascii="Century Gothic" w:hAnsi="Century Gothic" w:cs="Arial"/>
        </w:rPr>
      </w:pPr>
      <w:r w:rsidRPr="00482379">
        <w:rPr>
          <w:rFonts w:ascii="Century Gothic" w:hAnsi="Century Gothic" w:cs="Arial"/>
        </w:rPr>
        <w:t xml:space="preserve">While the </w:t>
      </w:r>
      <w:r w:rsidR="00857534">
        <w:rPr>
          <w:rFonts w:ascii="Century Gothic" w:hAnsi="Century Gothic" w:cs="Arial"/>
        </w:rPr>
        <w:t>Commonwealth Environmental Water Holder</w:t>
      </w:r>
      <w:r w:rsidRPr="00482379">
        <w:rPr>
          <w:rFonts w:ascii="Century Gothic" w:hAnsi="Century Gothic" w:cs="Arial"/>
        </w:rPr>
        <w:t xml:space="preserve">’s primary focus is on achieving, monitoring and reporting environmental outcomes, it also has a responsibility to minimise risks to communities while undertaking its activities. As a member of the Basin community, the </w:t>
      </w:r>
      <w:r w:rsidR="00857534">
        <w:rPr>
          <w:rFonts w:ascii="Century Gothic" w:hAnsi="Century Gothic" w:cs="Arial"/>
        </w:rPr>
        <w:t xml:space="preserve">Commonwealth Environmental Water Holder </w:t>
      </w:r>
      <w:r w:rsidRPr="00482379">
        <w:rPr>
          <w:rFonts w:ascii="Century Gothic" w:hAnsi="Century Gothic" w:cs="Arial"/>
        </w:rPr>
        <w:t xml:space="preserve">is committed to being a ‘good neighbour’. Operating effectively in a working river system where much of Australia’s food and fibre is produced </w:t>
      </w:r>
      <w:r w:rsidR="004E591C">
        <w:rPr>
          <w:rFonts w:ascii="Century Gothic" w:hAnsi="Century Gothic" w:cs="Arial"/>
        </w:rPr>
        <w:t>means</w:t>
      </w:r>
      <w:r w:rsidRPr="00482379">
        <w:rPr>
          <w:rFonts w:ascii="Century Gothic" w:hAnsi="Century Gothic" w:cs="Arial"/>
        </w:rPr>
        <w:t xml:space="preserve"> that environmental water management must co-exist with agricultural production </w:t>
      </w:r>
      <w:r w:rsidR="00781CCA">
        <w:rPr>
          <w:rFonts w:ascii="Century Gothic" w:hAnsi="Century Gothic" w:cs="Arial"/>
        </w:rPr>
        <w:t>through</w:t>
      </w:r>
      <w:r w:rsidRPr="00482379">
        <w:rPr>
          <w:rFonts w:ascii="Century Gothic" w:hAnsi="Century Gothic" w:cs="Arial"/>
        </w:rPr>
        <w:t xml:space="preserve"> mutually respectful</w:t>
      </w:r>
      <w:r w:rsidR="00781CCA">
        <w:rPr>
          <w:rFonts w:ascii="Century Gothic" w:hAnsi="Century Gothic" w:cs="Arial"/>
        </w:rPr>
        <w:t xml:space="preserve"> arrangements.</w:t>
      </w:r>
    </w:p>
    <w:p w14:paraId="6C6500B1" w14:textId="421B0B06" w:rsidR="00B17604" w:rsidRDefault="000E3C60">
      <w:pPr>
        <w:tabs>
          <w:tab w:val="left" w:pos="1134"/>
        </w:tabs>
        <w:spacing w:after="120"/>
        <w:rPr>
          <w:rFonts w:ascii="Century Gothic" w:hAnsi="Century Gothic" w:cs="Arial"/>
        </w:rPr>
      </w:pPr>
      <w:r w:rsidRPr="000E3C60">
        <w:rPr>
          <w:rFonts w:ascii="Century Gothic" w:hAnsi="Century Gothic" w:cs="Arial"/>
        </w:rPr>
        <w:t xml:space="preserve">The Good Neighbour Policy is </w:t>
      </w:r>
      <w:r w:rsidR="00482379">
        <w:rPr>
          <w:rFonts w:ascii="Century Gothic" w:hAnsi="Century Gothic" w:cs="Arial"/>
        </w:rPr>
        <w:t xml:space="preserve">based on </w:t>
      </w:r>
      <w:r w:rsidRPr="000E3C60">
        <w:rPr>
          <w:rFonts w:ascii="Century Gothic" w:hAnsi="Century Gothic" w:cs="Arial"/>
        </w:rPr>
        <w:t>practices that guide the management of Commonwealth environmental water</w:t>
      </w:r>
      <w:r w:rsidR="00781CCA">
        <w:rPr>
          <w:rFonts w:ascii="Century Gothic" w:hAnsi="Century Gothic" w:cs="Arial"/>
        </w:rPr>
        <w:t>, and support</w:t>
      </w:r>
      <w:r w:rsidRPr="000E3C60">
        <w:rPr>
          <w:rFonts w:ascii="Century Gothic" w:hAnsi="Century Gothic" w:cs="Arial"/>
        </w:rPr>
        <w:t xml:space="preserve"> mutually beneficial relationships with other water users and landholders</w:t>
      </w:r>
      <w:r w:rsidR="00781CCA">
        <w:rPr>
          <w:rFonts w:ascii="Century Gothic" w:hAnsi="Century Gothic" w:cs="Arial"/>
        </w:rPr>
        <w:t>.</w:t>
      </w:r>
    </w:p>
    <w:p w14:paraId="01B59CE1" w14:textId="359C66C7" w:rsidR="00630CB8" w:rsidRDefault="00630CB8">
      <w:pPr>
        <w:tabs>
          <w:tab w:val="left" w:pos="1134"/>
        </w:tabs>
        <w:spacing w:after="120"/>
        <w:rPr>
          <w:rFonts w:ascii="Century Gothic" w:hAnsi="Century Gothic" w:cs="Arial"/>
        </w:rPr>
      </w:pPr>
      <w:r w:rsidRPr="00630CB8">
        <w:rPr>
          <w:rFonts w:ascii="Century Gothic" w:hAnsi="Century Gothic" w:cs="Arial"/>
        </w:rPr>
        <w:lastRenderedPageBreak/>
        <w:t xml:space="preserve">All </w:t>
      </w:r>
      <w:r w:rsidR="00513FC2">
        <w:rPr>
          <w:rFonts w:ascii="Century Gothic" w:hAnsi="Century Gothic" w:cs="Arial"/>
        </w:rPr>
        <w:t xml:space="preserve">environmental water </w:t>
      </w:r>
      <w:r w:rsidRPr="00630CB8">
        <w:rPr>
          <w:rFonts w:ascii="Century Gothic" w:hAnsi="Century Gothic" w:cs="Arial"/>
        </w:rPr>
        <w:t>decisions are informed by risk assessments, which draw on previous results captured through effective monitoring activities. River operators provide important advice to us on whether our water orders might affect other users and they will not deliver environmental flows above the operational limits that apply to all water deliveries.</w:t>
      </w:r>
    </w:p>
    <w:p w14:paraId="19388623" w14:textId="77777777" w:rsidR="00630CB8" w:rsidRPr="00630CB8" w:rsidRDefault="00630CB8" w:rsidP="00630CB8">
      <w:pPr>
        <w:tabs>
          <w:tab w:val="left" w:pos="1134"/>
        </w:tabs>
        <w:spacing w:after="120"/>
        <w:rPr>
          <w:rFonts w:ascii="Century Gothic" w:hAnsi="Century Gothic" w:cs="Arial"/>
        </w:rPr>
      </w:pPr>
      <w:r w:rsidRPr="00630CB8">
        <w:rPr>
          <w:rFonts w:ascii="Century Gothic" w:hAnsi="Century Gothic" w:cs="Arial"/>
        </w:rPr>
        <w:t xml:space="preserve">Examples of good neighbour policy in action include: </w:t>
      </w:r>
    </w:p>
    <w:p w14:paraId="287EB03A" w14:textId="301D4955" w:rsidR="00630CB8" w:rsidRPr="00630CB8" w:rsidRDefault="00630CB8" w:rsidP="00630CB8">
      <w:pPr>
        <w:numPr>
          <w:ilvl w:val="0"/>
          <w:numId w:val="120"/>
        </w:numPr>
        <w:tabs>
          <w:tab w:val="left" w:pos="1134"/>
        </w:tabs>
        <w:spacing w:after="120"/>
        <w:rPr>
          <w:rFonts w:ascii="Century Gothic" w:hAnsi="Century Gothic" w:cs="Arial"/>
        </w:rPr>
      </w:pPr>
      <w:r w:rsidRPr="00630CB8">
        <w:rPr>
          <w:rFonts w:ascii="Century Gothic" w:hAnsi="Century Gothic" w:cs="Arial"/>
        </w:rPr>
        <w:t xml:space="preserve">The </w:t>
      </w:r>
      <w:r w:rsidR="00857534">
        <w:rPr>
          <w:rFonts w:ascii="Century Gothic" w:hAnsi="Century Gothic" w:cs="Arial"/>
          <w:lang w:val="en-GB"/>
        </w:rPr>
        <w:t>Commonwealth Environmental Water Holder</w:t>
      </w:r>
      <w:r w:rsidRPr="00630CB8">
        <w:rPr>
          <w:rFonts w:ascii="Century Gothic" w:hAnsi="Century Gothic" w:cs="Arial"/>
        </w:rPr>
        <w:t xml:space="preserve"> has not, and will not, place water orders that would flood private land without the consent of the landholder. </w:t>
      </w:r>
    </w:p>
    <w:p w14:paraId="1F3B6DCD" w14:textId="053AE79B" w:rsidR="00630CB8" w:rsidRPr="00630CB8" w:rsidRDefault="00630CB8" w:rsidP="00630CB8">
      <w:pPr>
        <w:numPr>
          <w:ilvl w:val="0"/>
          <w:numId w:val="120"/>
        </w:numPr>
        <w:tabs>
          <w:tab w:val="left" w:pos="1134"/>
        </w:tabs>
        <w:spacing w:after="120"/>
        <w:rPr>
          <w:rFonts w:ascii="Century Gothic" w:hAnsi="Century Gothic" w:cs="Arial"/>
        </w:rPr>
      </w:pPr>
      <w:r w:rsidRPr="00630CB8">
        <w:rPr>
          <w:rFonts w:ascii="Century Gothic" w:hAnsi="Century Gothic" w:cs="Arial"/>
          <w:lang w:val="en-GB"/>
        </w:rPr>
        <w:t>A</w:t>
      </w:r>
      <w:r w:rsidRPr="00630CB8">
        <w:rPr>
          <w:rFonts w:ascii="Century Gothic" w:hAnsi="Century Gothic" w:cs="Arial"/>
        </w:rPr>
        <w:t xml:space="preserve">n appropriate share of the channel capacity in a river system is used by the </w:t>
      </w:r>
      <w:r w:rsidR="00857534">
        <w:rPr>
          <w:rFonts w:ascii="Century Gothic" w:hAnsi="Century Gothic" w:cs="Arial"/>
        </w:rPr>
        <w:t xml:space="preserve">Commonwealth Environmental Water Holder </w:t>
      </w:r>
      <w:r w:rsidRPr="00630CB8">
        <w:rPr>
          <w:rFonts w:ascii="Century Gothic" w:hAnsi="Century Gothic" w:cs="Arial"/>
        </w:rPr>
        <w:t xml:space="preserve">for environmental watering </w:t>
      </w:r>
      <w:r w:rsidR="00513FC2">
        <w:rPr>
          <w:rFonts w:ascii="Century Gothic" w:hAnsi="Century Gothic" w:cs="Arial"/>
        </w:rPr>
        <w:t>to minimise any impact on other water orders.</w:t>
      </w:r>
    </w:p>
    <w:p w14:paraId="34D13AD7" w14:textId="68930DB5" w:rsidR="00630CB8" w:rsidRDefault="00630CB8" w:rsidP="00630CB8">
      <w:pPr>
        <w:tabs>
          <w:tab w:val="left" w:pos="1134"/>
        </w:tabs>
        <w:spacing w:after="120"/>
        <w:rPr>
          <w:rFonts w:ascii="Century Gothic" w:hAnsi="Century Gothic" w:cs="Arial"/>
        </w:rPr>
      </w:pPr>
      <w:r w:rsidRPr="00630CB8">
        <w:rPr>
          <w:rFonts w:ascii="Century Gothic" w:hAnsi="Century Gothic" w:cs="Arial"/>
        </w:rPr>
        <w:t xml:space="preserve">The </w:t>
      </w:r>
      <w:r w:rsidR="00857534">
        <w:rPr>
          <w:rFonts w:ascii="Century Gothic" w:hAnsi="Century Gothic" w:cs="Arial"/>
        </w:rPr>
        <w:t>Commonwealth Environmental Water Office</w:t>
      </w:r>
      <w:r w:rsidRPr="00630CB8">
        <w:rPr>
          <w:rFonts w:ascii="Century Gothic" w:hAnsi="Century Gothic" w:cs="Arial"/>
        </w:rPr>
        <w:t xml:space="preserve"> works closely with communities and delivery partners (including state agencies, river operators</w:t>
      </w:r>
      <w:r w:rsidR="003E7D03">
        <w:rPr>
          <w:rFonts w:ascii="Century Gothic" w:hAnsi="Century Gothic" w:cs="Arial"/>
        </w:rPr>
        <w:t xml:space="preserve">, Indigenous groups </w:t>
      </w:r>
      <w:r w:rsidRPr="00630CB8">
        <w:rPr>
          <w:rFonts w:ascii="Century Gothic" w:hAnsi="Century Gothic" w:cs="Arial"/>
        </w:rPr>
        <w:t xml:space="preserve"> and local advisory groups) so they can engage meaningfully on Commonwealth environmental water management</w:t>
      </w:r>
      <w:r>
        <w:rPr>
          <w:rFonts w:ascii="Century Gothic" w:hAnsi="Century Gothic" w:cs="Arial"/>
        </w:rPr>
        <w:t>.</w:t>
      </w:r>
    </w:p>
    <w:p w14:paraId="6C6500B3" w14:textId="01897269" w:rsidR="007A7A94" w:rsidRDefault="000E3C60">
      <w:pPr>
        <w:pStyle w:val="Heading11"/>
        <w:numPr>
          <w:ilvl w:val="2"/>
          <w:numId w:val="66"/>
        </w:numPr>
        <w:spacing w:before="0" w:after="120"/>
        <w:ind w:left="1418" w:hanging="704"/>
        <w:rPr>
          <w:rFonts w:ascii="Century Gothic" w:hAnsi="Century Gothic" w:cs="Arial"/>
          <w:sz w:val="24"/>
          <w:szCs w:val="24"/>
        </w:rPr>
      </w:pPr>
      <w:bookmarkStart w:id="9" w:name="_Toc382821598"/>
      <w:bookmarkStart w:id="10" w:name="_Toc517264638"/>
      <w:r w:rsidRPr="000E3C60">
        <w:rPr>
          <w:rFonts w:ascii="Century Gothic" w:hAnsi="Century Gothic" w:cs="Arial"/>
          <w:sz w:val="24"/>
          <w:szCs w:val="24"/>
        </w:rPr>
        <w:t xml:space="preserve">Basin Plan </w:t>
      </w:r>
      <w:bookmarkEnd w:id="9"/>
      <w:r w:rsidR="008B5430">
        <w:rPr>
          <w:rFonts w:ascii="Century Gothic" w:hAnsi="Century Gothic" w:cs="Arial"/>
          <w:sz w:val="24"/>
          <w:szCs w:val="24"/>
        </w:rPr>
        <w:t>obligations</w:t>
      </w:r>
      <w:bookmarkEnd w:id="10"/>
    </w:p>
    <w:p w14:paraId="6C6500B4" w14:textId="77777777" w:rsidR="00B17604" w:rsidRDefault="003F1C8E">
      <w:pPr>
        <w:tabs>
          <w:tab w:val="left" w:pos="1134"/>
        </w:tabs>
        <w:spacing w:after="120"/>
        <w:rPr>
          <w:rFonts w:ascii="Century Gothic" w:hAnsi="Century Gothic" w:cs="Arial"/>
        </w:rPr>
      </w:pPr>
      <w:r w:rsidRPr="0062683F">
        <w:rPr>
          <w:rFonts w:ascii="Century Gothic" w:hAnsi="Century Gothic" w:cs="Arial"/>
        </w:rPr>
        <w:t xml:space="preserve">The Basin Plan is a high-level plan </w:t>
      </w:r>
      <w:r w:rsidR="00091C8B">
        <w:rPr>
          <w:rFonts w:ascii="Century Gothic" w:hAnsi="Century Gothic" w:cs="Arial"/>
        </w:rPr>
        <w:t xml:space="preserve">to </w:t>
      </w:r>
      <w:r w:rsidRPr="0062683F">
        <w:rPr>
          <w:rFonts w:ascii="Century Gothic" w:hAnsi="Century Gothic" w:cs="Arial"/>
        </w:rPr>
        <w:t>ensur</w:t>
      </w:r>
      <w:r w:rsidR="00091C8B">
        <w:rPr>
          <w:rFonts w:ascii="Century Gothic" w:hAnsi="Century Gothic" w:cs="Arial"/>
        </w:rPr>
        <w:t>e</w:t>
      </w:r>
      <w:r w:rsidRPr="0062683F">
        <w:rPr>
          <w:rFonts w:ascii="Century Gothic" w:hAnsi="Century Gothic" w:cs="Arial"/>
        </w:rPr>
        <w:t xml:space="preserve"> that the Basin’s water resources are managed in an integrated and sustainable way. Key components include sustainable limits on surface water and groundwater extraction (referred to as ‘sustainable diversion limits’ or SDLs); an environmental watering plan; a water quality and salinity management plan; water resource plan requirements; water trading rules; and a monitoring and evaluation programme.</w:t>
      </w:r>
    </w:p>
    <w:p w14:paraId="6C6500B5" w14:textId="1724985F" w:rsidR="00B17604" w:rsidRDefault="00FC33AF">
      <w:pPr>
        <w:autoSpaceDE w:val="0"/>
        <w:autoSpaceDN w:val="0"/>
        <w:adjustRightInd w:val="0"/>
        <w:spacing w:after="120"/>
        <w:rPr>
          <w:rFonts w:ascii="Century Gothic" w:hAnsi="Century Gothic" w:cs="Arial"/>
        </w:rPr>
      </w:pPr>
      <w:r w:rsidRPr="0062683F">
        <w:rPr>
          <w:rFonts w:ascii="Century Gothic" w:hAnsi="Century Gothic" w:cs="Arial"/>
        </w:rPr>
        <w:t>The Basin Plan’s environmental watering plan requires the</w:t>
      </w:r>
      <w:r w:rsidR="00860886">
        <w:rPr>
          <w:rFonts w:ascii="Century Gothic" w:hAnsi="Century Gothic" w:cs="Arial"/>
        </w:rPr>
        <w:t xml:space="preserve"> </w:t>
      </w:r>
      <w:r w:rsidR="00857534">
        <w:rPr>
          <w:rFonts w:ascii="Century Gothic" w:hAnsi="Century Gothic" w:cs="Arial"/>
        </w:rPr>
        <w:t xml:space="preserve">Commonwealth Environmental Water Holder </w:t>
      </w:r>
      <w:r w:rsidRPr="0062683F">
        <w:rPr>
          <w:rFonts w:ascii="Century Gothic" w:hAnsi="Century Gothic" w:cs="Arial"/>
        </w:rPr>
        <w:t xml:space="preserve"> to perform its functions and exercise its powers in a way that is consistent with both the environmental watering plan and the Basin-wide environmental watering strategy.</w:t>
      </w:r>
    </w:p>
    <w:p w14:paraId="6C6500B6" w14:textId="77777777" w:rsidR="00B17604" w:rsidRDefault="003F1C8E">
      <w:pPr>
        <w:tabs>
          <w:tab w:val="left" w:pos="1134"/>
        </w:tabs>
        <w:spacing w:after="120"/>
        <w:rPr>
          <w:rFonts w:ascii="Century Gothic" w:hAnsi="Century Gothic" w:cs="Arial"/>
        </w:rPr>
      </w:pPr>
      <w:r w:rsidRPr="0062683F">
        <w:rPr>
          <w:rFonts w:ascii="Century Gothic" w:hAnsi="Century Gothic" w:cs="Arial"/>
        </w:rPr>
        <w:t>Commonwealth environmental water</w:t>
      </w:r>
      <w:r w:rsidR="00FC33AF" w:rsidRPr="0062683F">
        <w:rPr>
          <w:rFonts w:ascii="Century Gothic" w:hAnsi="Century Gothic" w:cs="Arial"/>
        </w:rPr>
        <w:t>ing</w:t>
      </w:r>
      <w:r w:rsidRPr="0062683F">
        <w:rPr>
          <w:rFonts w:ascii="Century Gothic" w:hAnsi="Century Gothic" w:cs="Arial"/>
        </w:rPr>
        <w:t xml:space="preserve"> must:</w:t>
      </w:r>
    </w:p>
    <w:p w14:paraId="6C6500B7" w14:textId="77777777" w:rsidR="00B17604" w:rsidRDefault="003F1C8E">
      <w:pPr>
        <w:pStyle w:val="ListBullet"/>
        <w:numPr>
          <w:ilvl w:val="0"/>
          <w:numId w:val="7"/>
        </w:numPr>
        <w:tabs>
          <w:tab w:val="clear" w:pos="284"/>
        </w:tabs>
        <w:spacing w:after="120"/>
        <w:ind w:left="369" w:hanging="369"/>
        <w:rPr>
          <w:rFonts w:ascii="Century Gothic" w:hAnsi="Century Gothic"/>
        </w:rPr>
      </w:pPr>
      <w:r w:rsidRPr="0062683F">
        <w:rPr>
          <w:rFonts w:ascii="Century Gothic" w:hAnsi="Century Gothic"/>
        </w:rPr>
        <w:t>be consistent with the environmental watering plan’s objectives</w:t>
      </w:r>
    </w:p>
    <w:p w14:paraId="6C6500B8" w14:textId="77777777" w:rsidR="00B17604" w:rsidRDefault="003F1C8E">
      <w:pPr>
        <w:pStyle w:val="ListBullet"/>
        <w:numPr>
          <w:ilvl w:val="0"/>
          <w:numId w:val="7"/>
        </w:numPr>
        <w:tabs>
          <w:tab w:val="clear" w:pos="284"/>
        </w:tabs>
        <w:spacing w:after="120"/>
        <w:ind w:left="369" w:hanging="369"/>
        <w:rPr>
          <w:rFonts w:ascii="Century Gothic" w:hAnsi="Century Gothic"/>
        </w:rPr>
      </w:pPr>
      <w:r w:rsidRPr="0062683F">
        <w:rPr>
          <w:rFonts w:ascii="Century Gothic" w:hAnsi="Century Gothic"/>
        </w:rPr>
        <w:t xml:space="preserve">have regard to the Basin annual environmental watering priorities </w:t>
      </w:r>
    </w:p>
    <w:p w14:paraId="6C6500B9" w14:textId="625AB4B5" w:rsidR="00B17604" w:rsidRDefault="003F1C8E">
      <w:pPr>
        <w:pStyle w:val="ListBullet"/>
        <w:numPr>
          <w:ilvl w:val="0"/>
          <w:numId w:val="7"/>
        </w:numPr>
        <w:tabs>
          <w:tab w:val="clear" w:pos="284"/>
        </w:tabs>
        <w:spacing w:after="120"/>
        <w:ind w:left="369" w:hanging="369"/>
        <w:rPr>
          <w:rFonts w:ascii="Century Gothic" w:hAnsi="Century Gothic"/>
        </w:rPr>
      </w:pPr>
      <w:r w:rsidRPr="0062683F">
        <w:rPr>
          <w:rFonts w:ascii="Century Gothic" w:hAnsi="Century Gothic"/>
        </w:rPr>
        <w:t xml:space="preserve">be in accordance with the principles to be applied in environmental watering, which include maximising environmental outcomes, having regard to risks and costs, </w:t>
      </w:r>
      <w:r w:rsidR="00DA6C58">
        <w:rPr>
          <w:rFonts w:ascii="Century Gothic" w:hAnsi="Century Gothic"/>
        </w:rPr>
        <w:t xml:space="preserve">having regard to indigenous values, social and economic outcomes, </w:t>
      </w:r>
      <w:r w:rsidRPr="0062683F">
        <w:rPr>
          <w:rFonts w:ascii="Century Gothic" w:hAnsi="Century Gothic"/>
        </w:rPr>
        <w:t>working effectively with local communities,</w:t>
      </w:r>
      <w:r w:rsidR="00D677C0">
        <w:rPr>
          <w:rFonts w:ascii="Century Gothic" w:hAnsi="Century Gothic"/>
        </w:rPr>
        <w:t xml:space="preserve"> and</w:t>
      </w:r>
      <w:r w:rsidRPr="0062683F">
        <w:rPr>
          <w:rFonts w:ascii="Century Gothic" w:hAnsi="Century Gothic"/>
        </w:rPr>
        <w:t xml:space="preserve"> applying adaptive management and the precautionary principle</w:t>
      </w:r>
    </w:p>
    <w:p w14:paraId="6C6500BA" w14:textId="77777777" w:rsidR="00B17604" w:rsidRDefault="003F1C8E">
      <w:pPr>
        <w:pStyle w:val="ListBullet"/>
        <w:numPr>
          <w:ilvl w:val="0"/>
          <w:numId w:val="7"/>
        </w:numPr>
        <w:tabs>
          <w:tab w:val="clear" w:pos="284"/>
        </w:tabs>
        <w:spacing w:after="120"/>
        <w:ind w:left="369" w:hanging="369"/>
        <w:rPr>
          <w:rFonts w:ascii="Century Gothic" w:hAnsi="Century Gothic"/>
        </w:rPr>
      </w:pPr>
      <w:r w:rsidRPr="0062683F">
        <w:rPr>
          <w:rFonts w:ascii="Century Gothic" w:hAnsi="Century Gothic"/>
        </w:rPr>
        <w:t>have regard to the water quality and salinity targets for managing flows.</w:t>
      </w:r>
    </w:p>
    <w:p w14:paraId="6C6500BB" w14:textId="77777777" w:rsidR="00B17604" w:rsidRDefault="00F028C6">
      <w:pPr>
        <w:pStyle w:val="ListBullet"/>
        <w:numPr>
          <w:ilvl w:val="0"/>
          <w:numId w:val="0"/>
        </w:numPr>
        <w:spacing w:after="120"/>
        <w:rPr>
          <w:rFonts w:ascii="Century Gothic" w:hAnsi="Century Gothic"/>
        </w:rPr>
      </w:pPr>
      <w:r w:rsidRPr="0062683F">
        <w:rPr>
          <w:rFonts w:ascii="Century Gothic" w:hAnsi="Century Gothic" w:cs="Arial"/>
        </w:rPr>
        <w:t xml:space="preserve">Trade of environmental water must </w:t>
      </w:r>
      <w:r w:rsidR="00E65948">
        <w:rPr>
          <w:rFonts w:ascii="Century Gothic" w:hAnsi="Century Gothic" w:cs="Arial"/>
        </w:rPr>
        <w:t xml:space="preserve">be </w:t>
      </w:r>
      <w:r w:rsidRPr="0062683F">
        <w:rPr>
          <w:rFonts w:ascii="Century Gothic" w:hAnsi="Century Gothic" w:cs="Arial"/>
        </w:rPr>
        <w:t xml:space="preserve">undertaken consistent with the </w:t>
      </w:r>
      <w:r w:rsidR="00976C8F" w:rsidRPr="0062683F">
        <w:rPr>
          <w:rFonts w:ascii="Century Gothic" w:hAnsi="Century Gothic" w:cs="Arial"/>
        </w:rPr>
        <w:t xml:space="preserve">Basin Plan’s </w:t>
      </w:r>
      <w:r w:rsidRPr="0062683F">
        <w:rPr>
          <w:rFonts w:ascii="Century Gothic" w:hAnsi="Century Gothic" w:cs="Arial"/>
        </w:rPr>
        <w:t>water trading rules, including that arrangements be in place to avoid trading on the basis of non-public information that may have a material impact on a person’s decision to trade</w:t>
      </w:r>
      <w:r w:rsidR="00FC33AF" w:rsidRPr="0062683F">
        <w:rPr>
          <w:rFonts w:ascii="Century Gothic" w:hAnsi="Century Gothic"/>
        </w:rPr>
        <w:t xml:space="preserve">. </w:t>
      </w:r>
    </w:p>
    <w:p w14:paraId="6C6500BC" w14:textId="551537AA" w:rsidR="00B17604" w:rsidRDefault="003F1C8E">
      <w:pPr>
        <w:tabs>
          <w:tab w:val="left" w:pos="1134"/>
        </w:tabs>
        <w:spacing w:after="120"/>
        <w:rPr>
          <w:rFonts w:ascii="Century Gothic" w:hAnsi="Century Gothic" w:cs="Arial"/>
        </w:rPr>
      </w:pPr>
      <w:r w:rsidRPr="0062683F">
        <w:rPr>
          <w:rFonts w:ascii="Century Gothic" w:hAnsi="Century Gothic" w:cs="Arial"/>
        </w:rPr>
        <w:t xml:space="preserve">The Basin Plan also places a number of other obligations relating to the </w:t>
      </w:r>
      <w:r w:rsidR="00857534">
        <w:rPr>
          <w:rFonts w:ascii="Century Gothic" w:hAnsi="Century Gothic" w:cs="Arial"/>
        </w:rPr>
        <w:t xml:space="preserve">Commonwealth Environmental Water Holder </w:t>
      </w:r>
      <w:r w:rsidR="00995707" w:rsidRPr="0062683F">
        <w:rPr>
          <w:rFonts w:ascii="Century Gothic" w:hAnsi="Century Gothic" w:cs="Arial"/>
        </w:rPr>
        <w:t xml:space="preserve">’s </w:t>
      </w:r>
      <w:r w:rsidRPr="0062683F">
        <w:rPr>
          <w:rFonts w:ascii="Century Gothic" w:hAnsi="Century Gothic" w:cs="Arial"/>
        </w:rPr>
        <w:t xml:space="preserve">monitoring, evaluation and reporting activities. </w:t>
      </w:r>
    </w:p>
    <w:p w14:paraId="6C6500BD" w14:textId="498CCE9E" w:rsidR="007A7A94" w:rsidRDefault="00316171">
      <w:pPr>
        <w:pStyle w:val="Heading11"/>
        <w:spacing w:before="0" w:after="120"/>
      </w:pPr>
      <w:bookmarkStart w:id="11" w:name="_Toc415473567"/>
      <w:bookmarkStart w:id="12" w:name="_Toc517264639"/>
      <w:r w:rsidRPr="00560998">
        <w:t xml:space="preserve">Working with </w:t>
      </w:r>
      <w:bookmarkEnd w:id="11"/>
      <w:r w:rsidR="004338C8">
        <w:t>others</w:t>
      </w:r>
      <w:bookmarkEnd w:id="12"/>
    </w:p>
    <w:p w14:paraId="6C6500BE" w14:textId="235650CB" w:rsidR="00B17604" w:rsidRDefault="004338C8">
      <w:pPr>
        <w:spacing w:after="120"/>
        <w:rPr>
          <w:rFonts w:ascii="Century Gothic" w:hAnsi="Century Gothic" w:cs="Arial"/>
        </w:rPr>
      </w:pPr>
      <w:r w:rsidRPr="004338C8">
        <w:rPr>
          <w:rFonts w:ascii="Century Gothic" w:hAnsi="Century Gothic" w:cs="Arial"/>
        </w:rPr>
        <w:t xml:space="preserve">Commonwealth environmental water cannot be delivered without the coordinated effort of many stakeholders. The planning, delivery and monitoring of Commonwealth environmental water is undertaken in partnership with a range of organisations </w:t>
      </w:r>
      <w:r w:rsidR="00002A9A">
        <w:rPr>
          <w:rFonts w:ascii="Century Gothic" w:hAnsi="Century Gothic" w:cs="Arial"/>
        </w:rPr>
        <w:t xml:space="preserve">and communities </w:t>
      </w:r>
      <w:r w:rsidRPr="004338C8">
        <w:rPr>
          <w:rFonts w:ascii="Century Gothic" w:hAnsi="Century Gothic" w:cs="Arial"/>
        </w:rPr>
        <w:t xml:space="preserve">across the Basin. </w:t>
      </w:r>
    </w:p>
    <w:p w14:paraId="4647D4BC" w14:textId="22D71392" w:rsidR="00441CB0" w:rsidRDefault="00441CB0" w:rsidP="00441CB0">
      <w:pPr>
        <w:pStyle w:val="Para0"/>
        <w:spacing w:after="120" w:line="240" w:lineRule="auto"/>
        <w:rPr>
          <w:rFonts w:ascii="Century Gothic" w:hAnsi="Century Gothic"/>
          <w:color w:val="auto"/>
        </w:rPr>
      </w:pPr>
      <w:r>
        <w:rPr>
          <w:rFonts w:ascii="Century Gothic" w:hAnsi="Century Gothic" w:cs="Arial"/>
        </w:rPr>
        <w:t>To this effect, t</w:t>
      </w:r>
      <w:r>
        <w:rPr>
          <w:rFonts w:ascii="Century Gothic" w:hAnsi="Century Gothic"/>
          <w:color w:val="auto"/>
        </w:rPr>
        <w:t>he</w:t>
      </w:r>
      <w:r w:rsidRPr="000E3C60">
        <w:rPr>
          <w:rFonts w:ascii="Century Gothic" w:hAnsi="Century Gothic"/>
          <w:color w:val="auto"/>
        </w:rPr>
        <w:t xml:space="preserve"> </w:t>
      </w:r>
      <w:r>
        <w:rPr>
          <w:rFonts w:ascii="Century Gothic" w:hAnsi="Century Gothic"/>
          <w:color w:val="auto"/>
        </w:rPr>
        <w:t xml:space="preserve">Commonwealth Environmental Water Holder </w:t>
      </w:r>
      <w:r w:rsidRPr="000E3C60">
        <w:rPr>
          <w:rFonts w:ascii="Century Gothic" w:hAnsi="Century Gothic"/>
          <w:color w:val="auto"/>
        </w:rPr>
        <w:t>regularly meets with individuals and representatives of local government, business, landholders, Aboriginal communities and peak bodies, to discuss the planning, management, and monitoring of Commonwealth environmental water. These meetings occur at locations throughout the Basin and in Canberra.</w:t>
      </w:r>
    </w:p>
    <w:p w14:paraId="4CB90FAE" w14:textId="77777777" w:rsidR="00441CB0" w:rsidRDefault="00441CB0" w:rsidP="00441CB0">
      <w:pPr>
        <w:pStyle w:val="Para0"/>
        <w:spacing w:after="120" w:line="240" w:lineRule="auto"/>
      </w:pPr>
      <w:r w:rsidRPr="004338C8">
        <w:rPr>
          <w:rFonts w:ascii="Century Gothic" w:hAnsi="Century Gothic"/>
          <w:color w:val="auto"/>
        </w:rPr>
        <w:t xml:space="preserve">This outreach activity is complemented by the work of the </w:t>
      </w:r>
      <w:r>
        <w:rPr>
          <w:rFonts w:ascii="Century Gothic" w:hAnsi="Century Gothic"/>
          <w:color w:val="auto"/>
        </w:rPr>
        <w:t>Commonwealth Environmental Water Office</w:t>
      </w:r>
      <w:r w:rsidRPr="004338C8">
        <w:rPr>
          <w:rFonts w:ascii="Century Gothic" w:hAnsi="Century Gothic"/>
          <w:color w:val="auto"/>
        </w:rPr>
        <w:t xml:space="preserve">, including the six local engagement officers who live and work in Basin communities. These officers are located in </w:t>
      </w:r>
      <w:r>
        <w:rPr>
          <w:rFonts w:ascii="Century Gothic" w:hAnsi="Century Gothic"/>
          <w:color w:val="auto"/>
        </w:rPr>
        <w:t>Tamworth, Walgett</w:t>
      </w:r>
      <w:r w:rsidRPr="004338C8">
        <w:rPr>
          <w:rFonts w:ascii="Century Gothic" w:hAnsi="Century Gothic"/>
          <w:color w:val="auto"/>
        </w:rPr>
        <w:t xml:space="preserve">, </w:t>
      </w:r>
      <w:r>
        <w:rPr>
          <w:rFonts w:ascii="Century Gothic" w:hAnsi="Century Gothic"/>
          <w:color w:val="auto"/>
        </w:rPr>
        <w:t>Wagga Wagga</w:t>
      </w:r>
      <w:r w:rsidRPr="004338C8">
        <w:rPr>
          <w:rFonts w:ascii="Century Gothic" w:hAnsi="Century Gothic"/>
          <w:color w:val="auto"/>
        </w:rPr>
        <w:t xml:space="preserve">, </w:t>
      </w:r>
      <w:r>
        <w:rPr>
          <w:rFonts w:ascii="Century Gothic" w:hAnsi="Century Gothic"/>
          <w:color w:val="auto"/>
        </w:rPr>
        <w:t>Albury</w:t>
      </w:r>
      <w:r w:rsidRPr="004338C8">
        <w:rPr>
          <w:rFonts w:ascii="Century Gothic" w:hAnsi="Century Gothic"/>
          <w:color w:val="auto"/>
        </w:rPr>
        <w:t>, Mildura and Berri</w:t>
      </w:r>
      <w:r>
        <w:rPr>
          <w:rFonts w:ascii="Century Gothic" w:hAnsi="Century Gothic"/>
          <w:color w:val="auto"/>
        </w:rPr>
        <w:t>.</w:t>
      </w:r>
      <w:r w:rsidRPr="000B0953">
        <w:rPr>
          <w:rFonts w:ascii="Century Gothic" w:hAnsi="Century Gothic"/>
          <w:color w:val="auto"/>
        </w:rPr>
        <w:t xml:space="preserve"> </w:t>
      </w:r>
      <w:r w:rsidRPr="00CF5754">
        <w:rPr>
          <w:rFonts w:ascii="Century Gothic" w:hAnsi="Century Gothic"/>
          <w:color w:val="auto"/>
        </w:rPr>
        <w:t xml:space="preserve">These six officers, alongside other officers of local land and water management agencies, work closely with all levels of government as well as local communities and businesses to assist members of the community to participate in environmental water planning and decision making. </w:t>
      </w:r>
      <w:r>
        <w:rPr>
          <w:rFonts w:ascii="Century Gothic" w:hAnsi="Century Gothic"/>
          <w:color w:val="auto"/>
        </w:rPr>
        <w:t xml:space="preserve">For further information please refer to: </w:t>
      </w:r>
      <w:hyperlink r:id="rId18" w:history="1">
        <w:r w:rsidRPr="002B6397">
          <w:rPr>
            <w:rStyle w:val="Hyperlink"/>
            <w:rFonts w:ascii="Century Gothic" w:hAnsi="Century Gothic"/>
          </w:rPr>
          <w:t>http://www.environment.gov.au/water/cewo/local-engagement</w:t>
        </w:r>
      </w:hyperlink>
      <w:r w:rsidRPr="000E3C60">
        <w:rPr>
          <w:rFonts w:ascii="Century Gothic" w:hAnsi="Century Gothic"/>
          <w:color w:val="auto"/>
        </w:rPr>
        <w:t>.</w:t>
      </w:r>
    </w:p>
    <w:p w14:paraId="6C6500BF" w14:textId="7F511A49" w:rsidR="007A7A94" w:rsidRDefault="000E3C60">
      <w:pPr>
        <w:pStyle w:val="Heading11"/>
        <w:numPr>
          <w:ilvl w:val="2"/>
          <w:numId w:val="66"/>
        </w:numPr>
        <w:spacing w:before="0" w:after="120"/>
        <w:ind w:left="1418" w:hanging="704"/>
        <w:rPr>
          <w:rFonts w:ascii="Century Gothic" w:hAnsi="Century Gothic" w:cs="Arial"/>
          <w:sz w:val="24"/>
          <w:szCs w:val="24"/>
        </w:rPr>
      </w:pPr>
      <w:bookmarkStart w:id="13" w:name="_Toc517264640"/>
      <w:r w:rsidRPr="000E3C60">
        <w:rPr>
          <w:rFonts w:ascii="Century Gothic" w:hAnsi="Century Gothic" w:cs="Arial"/>
          <w:sz w:val="24"/>
          <w:szCs w:val="24"/>
        </w:rPr>
        <w:lastRenderedPageBreak/>
        <w:t>Delivery partners</w:t>
      </w:r>
      <w:bookmarkEnd w:id="13"/>
    </w:p>
    <w:p w14:paraId="6C6500C0" w14:textId="50D27205" w:rsidR="00B17604" w:rsidRDefault="0091492F">
      <w:pPr>
        <w:spacing w:after="120"/>
        <w:rPr>
          <w:rFonts w:ascii="Century Gothic" w:hAnsi="Century Gothic" w:cs="Arial"/>
        </w:rPr>
      </w:pPr>
      <w:r w:rsidRPr="0091492F">
        <w:rPr>
          <w:rFonts w:ascii="Century Gothic" w:hAnsi="Century Gothic" w:cs="Arial"/>
        </w:rPr>
        <w:t>Planning for Commonwealth environmental water use involves conversations</w:t>
      </w:r>
      <w:r w:rsidR="00E57CF2" w:rsidRPr="00BE31EB">
        <w:rPr>
          <w:rFonts w:ascii="Century Gothic" w:hAnsi="Century Gothic" w:cs="Arial"/>
        </w:rPr>
        <w:t xml:space="preserve"> with state government departments and agencies, river operators, catchment management and land service agencies, local environmental watering advisory groups, wetland managers, holders of environmental water, the Murray</w:t>
      </w:r>
      <w:r w:rsidR="00AA6D13">
        <w:rPr>
          <w:rFonts w:ascii="Century Gothic" w:hAnsi="Century Gothic" w:cs="Arial"/>
        </w:rPr>
        <w:t>-</w:t>
      </w:r>
      <w:r w:rsidR="00E57CF2" w:rsidRPr="00BE31EB">
        <w:rPr>
          <w:rFonts w:ascii="Century Gothic" w:hAnsi="Century Gothic" w:cs="Arial"/>
        </w:rPr>
        <w:t>Darling Basin Authority</w:t>
      </w:r>
      <w:r>
        <w:rPr>
          <w:rFonts w:ascii="Century Gothic" w:hAnsi="Century Gothic" w:cs="Arial"/>
        </w:rPr>
        <w:t xml:space="preserve">, </w:t>
      </w:r>
      <w:r w:rsidRPr="00BE31EB">
        <w:rPr>
          <w:rFonts w:ascii="Century Gothic" w:hAnsi="Century Gothic" w:cs="Arial"/>
        </w:rPr>
        <w:t>landholders and communities</w:t>
      </w:r>
      <w:r>
        <w:rPr>
          <w:rFonts w:ascii="Century Gothic" w:hAnsi="Century Gothic" w:cs="Arial"/>
        </w:rPr>
        <w:t xml:space="preserve">, </w:t>
      </w:r>
      <w:r w:rsidRPr="0091492F">
        <w:rPr>
          <w:rFonts w:ascii="Century Gothic" w:hAnsi="Century Gothic" w:cs="Arial"/>
        </w:rPr>
        <w:t>as well as the organisations responsible for the monitoring the outcomes from environmental wate</w:t>
      </w:r>
      <w:r>
        <w:rPr>
          <w:rFonts w:ascii="Century Gothic" w:hAnsi="Century Gothic" w:cs="Arial"/>
        </w:rPr>
        <w:t>r</w:t>
      </w:r>
      <w:r w:rsidR="00E57CF2" w:rsidRPr="00BE31EB">
        <w:rPr>
          <w:rFonts w:ascii="Century Gothic" w:hAnsi="Century Gothic" w:cs="Arial"/>
        </w:rPr>
        <w:t xml:space="preserve">. </w:t>
      </w:r>
      <w:r>
        <w:rPr>
          <w:rFonts w:ascii="Century Gothic" w:hAnsi="Century Gothic" w:cs="Arial"/>
        </w:rPr>
        <w:t xml:space="preserve"> </w:t>
      </w:r>
      <w:r w:rsidRPr="0091492F">
        <w:rPr>
          <w:rFonts w:ascii="Century Gothic" w:hAnsi="Century Gothic" w:cs="Arial"/>
        </w:rPr>
        <w:t>These conversations identify environmental demands, relevant lessons learnt and outcomes from previous watering, barriers to delivery (e.g. infrastructure maintenance), potential risks, other complementary sources of water and any relevant operational plans.</w:t>
      </w:r>
    </w:p>
    <w:p w14:paraId="6C6500C1" w14:textId="48A2FDA1" w:rsidR="00B17604" w:rsidRDefault="004338C8">
      <w:pPr>
        <w:spacing w:after="120"/>
        <w:rPr>
          <w:rFonts w:ascii="Century Gothic" w:hAnsi="Century Gothic" w:cs="Arial"/>
        </w:rPr>
      </w:pPr>
      <w:r w:rsidRPr="004338C8">
        <w:rPr>
          <w:rFonts w:ascii="Century Gothic" w:hAnsi="Century Gothic" w:cs="Arial"/>
        </w:rPr>
        <w:t xml:space="preserve">The Commonwealth Environmental Water Holder has entered into formal partnership agreements with the Victorian Environmental Water Holder, the New South Wales Office of Environment and Heritage, the South Australian </w:t>
      </w:r>
      <w:r w:rsidR="00BE4223">
        <w:rPr>
          <w:rFonts w:ascii="Century Gothic" w:hAnsi="Century Gothic" w:cs="Arial"/>
        </w:rPr>
        <w:t>Murray-Darling</w:t>
      </w:r>
      <w:r w:rsidR="00F35BE6">
        <w:rPr>
          <w:rFonts w:ascii="Century Gothic" w:hAnsi="Century Gothic" w:cs="Arial"/>
        </w:rPr>
        <w:t xml:space="preserve"> Basin </w:t>
      </w:r>
      <w:r w:rsidRPr="004338C8">
        <w:rPr>
          <w:rFonts w:ascii="Century Gothic" w:hAnsi="Century Gothic" w:cs="Arial"/>
        </w:rPr>
        <w:t>Natural Resource Management Board</w:t>
      </w:r>
      <w:r>
        <w:rPr>
          <w:rFonts w:ascii="Century Gothic" w:hAnsi="Century Gothic" w:cs="Arial"/>
        </w:rPr>
        <w:t>,</w:t>
      </w:r>
      <w:r w:rsidRPr="004338C8">
        <w:rPr>
          <w:rFonts w:ascii="Century Gothic" w:hAnsi="Century Gothic" w:cs="Arial"/>
        </w:rPr>
        <w:t xml:space="preserve"> </w:t>
      </w:r>
      <w:r w:rsidR="00F35BE6">
        <w:rPr>
          <w:rFonts w:ascii="Century Gothic" w:hAnsi="Century Gothic" w:cs="Arial"/>
        </w:rPr>
        <w:t xml:space="preserve">Banrock Station, </w:t>
      </w:r>
      <w:r w:rsidRPr="004338C8">
        <w:rPr>
          <w:rFonts w:ascii="Century Gothic" w:hAnsi="Century Gothic" w:cs="Arial"/>
        </w:rPr>
        <w:t>the Nature Foundation South Australia</w:t>
      </w:r>
      <w:r w:rsidR="00443B9D">
        <w:rPr>
          <w:rFonts w:ascii="Century Gothic" w:hAnsi="Century Gothic" w:cs="Arial"/>
        </w:rPr>
        <w:t>,</w:t>
      </w:r>
      <w:r>
        <w:rPr>
          <w:rFonts w:ascii="Century Gothic" w:hAnsi="Century Gothic" w:cs="Arial"/>
        </w:rPr>
        <w:t xml:space="preserve"> the </w:t>
      </w:r>
      <w:r w:rsidRPr="006C6F0A">
        <w:rPr>
          <w:rFonts w:ascii="Century Gothic" w:hAnsi="Century Gothic" w:cs="Arial"/>
        </w:rPr>
        <w:t>Ngarrindjeri</w:t>
      </w:r>
      <w:r>
        <w:rPr>
          <w:rFonts w:ascii="Century Gothic" w:hAnsi="Century Gothic" w:cs="Arial"/>
        </w:rPr>
        <w:t xml:space="preserve"> Regional Authority</w:t>
      </w:r>
      <w:r w:rsidR="00443B9D">
        <w:rPr>
          <w:rFonts w:ascii="Century Gothic" w:hAnsi="Century Gothic" w:cs="Arial"/>
        </w:rPr>
        <w:t xml:space="preserve"> and the Renmark Irrigation Trust</w:t>
      </w:r>
      <w:r w:rsidR="007503FA">
        <w:rPr>
          <w:rFonts w:ascii="Century Gothic" w:hAnsi="Century Gothic" w:cs="Arial"/>
        </w:rPr>
        <w:t>. These agreements outline</w:t>
      </w:r>
      <w:r w:rsidRPr="004338C8">
        <w:rPr>
          <w:rFonts w:ascii="Century Gothic" w:hAnsi="Century Gothic" w:cs="Arial"/>
        </w:rPr>
        <w:t xml:space="preserve"> the way in which the </w:t>
      </w:r>
      <w:r w:rsidR="00857534">
        <w:rPr>
          <w:rFonts w:ascii="Century Gothic" w:hAnsi="Century Gothic" w:cs="Arial"/>
        </w:rPr>
        <w:t xml:space="preserve">Commonwealth Environmental Water Holder </w:t>
      </w:r>
      <w:r w:rsidR="00860886">
        <w:rPr>
          <w:rFonts w:ascii="Century Gothic" w:hAnsi="Century Gothic" w:cs="Arial"/>
        </w:rPr>
        <w:t xml:space="preserve"> </w:t>
      </w:r>
      <w:r w:rsidRPr="004338C8">
        <w:rPr>
          <w:rFonts w:ascii="Century Gothic" w:hAnsi="Century Gothic" w:cs="Arial"/>
        </w:rPr>
        <w:t>and staff of the Commonwealth Environmental Water Office will work with partners to coordinate the management of environmental water. The Commonwealth Environmental Water Holder also continues to work collaboratively with other partners where formal agreements are not in place</w:t>
      </w:r>
      <w:r>
        <w:rPr>
          <w:rFonts w:ascii="Century Gothic" w:hAnsi="Century Gothic" w:cs="Arial"/>
        </w:rPr>
        <w:t>.</w:t>
      </w:r>
    </w:p>
    <w:p w14:paraId="6C6500C2" w14:textId="1FD4A676" w:rsidR="007A7A94" w:rsidRDefault="006C6F0A">
      <w:pPr>
        <w:pStyle w:val="Heading11"/>
        <w:numPr>
          <w:ilvl w:val="2"/>
          <w:numId w:val="66"/>
        </w:numPr>
        <w:spacing w:before="0" w:after="120"/>
        <w:ind w:left="1418" w:hanging="704"/>
        <w:rPr>
          <w:rFonts w:ascii="Century Gothic" w:hAnsi="Century Gothic" w:cs="Arial"/>
          <w:sz w:val="24"/>
          <w:szCs w:val="24"/>
        </w:rPr>
      </w:pPr>
      <w:bookmarkStart w:id="14" w:name="_Toc415473568"/>
      <w:bookmarkStart w:id="15" w:name="_Toc517264641"/>
      <w:r>
        <w:rPr>
          <w:rFonts w:ascii="Century Gothic" w:hAnsi="Century Gothic" w:cs="Arial"/>
          <w:sz w:val="24"/>
          <w:szCs w:val="24"/>
        </w:rPr>
        <w:t>Community engagement</w:t>
      </w:r>
      <w:bookmarkEnd w:id="14"/>
      <w:bookmarkEnd w:id="15"/>
    </w:p>
    <w:p w14:paraId="6C6500C3" w14:textId="77777777" w:rsidR="00B17604" w:rsidRDefault="00C03993">
      <w:pPr>
        <w:pStyle w:val="Para0"/>
        <w:spacing w:after="120" w:line="240" w:lineRule="auto"/>
        <w:rPr>
          <w:rFonts w:ascii="Century Gothic" w:hAnsi="Century Gothic"/>
          <w:color w:val="auto"/>
        </w:rPr>
      </w:pPr>
      <w:r w:rsidRPr="00CF5754">
        <w:rPr>
          <w:rFonts w:ascii="Century Gothic" w:hAnsi="Century Gothic"/>
          <w:color w:val="auto"/>
        </w:rPr>
        <w:t xml:space="preserve">Local information and experience is critical to being able to effectively manage and deliver Commonwealth environmental water. We are very grateful for the expertise, advice, feedback and support provided by our </w:t>
      </w:r>
      <w:hyperlink r:id="rId19" w:history="1">
        <w:r w:rsidRPr="00CF5754">
          <w:rPr>
            <w:rFonts w:ascii="Century Gothic" w:hAnsi="Century Gothic"/>
            <w:color w:val="auto"/>
          </w:rPr>
          <w:t>delivery partners</w:t>
        </w:r>
      </w:hyperlink>
      <w:r w:rsidRPr="00CF5754">
        <w:rPr>
          <w:rFonts w:ascii="Century Gothic" w:hAnsi="Century Gothic"/>
          <w:color w:val="auto"/>
        </w:rPr>
        <w:t>, environmental water holders</w:t>
      </w:r>
      <w:r w:rsidR="00795FF9">
        <w:rPr>
          <w:rFonts w:ascii="Century Gothic" w:hAnsi="Century Gothic"/>
          <w:color w:val="auto"/>
        </w:rPr>
        <w:t xml:space="preserve"> and</w:t>
      </w:r>
      <w:r w:rsidRPr="00CF5754">
        <w:rPr>
          <w:rFonts w:ascii="Century Gothic" w:hAnsi="Century Gothic"/>
          <w:color w:val="auto"/>
        </w:rPr>
        <w:t xml:space="preserve"> members of regional advisory groups who invite us to participate in their processes, and the many landowners who work with us to plan, manage and monitor the use of environmental water in the Basin.</w:t>
      </w:r>
    </w:p>
    <w:p w14:paraId="6C6500C4" w14:textId="14C9AC8F" w:rsidR="00B17604" w:rsidRDefault="000E3C60">
      <w:pPr>
        <w:pStyle w:val="Para0"/>
        <w:spacing w:after="120" w:line="240" w:lineRule="auto"/>
        <w:rPr>
          <w:rFonts w:ascii="Century Gothic" w:hAnsi="Century Gothic"/>
          <w:color w:val="auto"/>
        </w:rPr>
      </w:pPr>
      <w:r w:rsidRPr="000E3C60">
        <w:rPr>
          <w:rFonts w:ascii="Century Gothic" w:hAnsi="Century Gothic"/>
          <w:color w:val="auto"/>
        </w:rPr>
        <w:t xml:space="preserve">The </w:t>
      </w:r>
      <w:r w:rsidR="00857534">
        <w:rPr>
          <w:rFonts w:ascii="Century Gothic" w:hAnsi="Century Gothic"/>
          <w:color w:val="auto"/>
        </w:rPr>
        <w:t>Commonwealth Environmental Water Office</w:t>
      </w:r>
      <w:r w:rsidR="006409D5">
        <w:rPr>
          <w:rFonts w:ascii="Century Gothic" w:hAnsi="Century Gothic"/>
          <w:color w:val="auto"/>
        </w:rPr>
        <w:t xml:space="preserve"> </w:t>
      </w:r>
      <w:r w:rsidRPr="000E3C60">
        <w:rPr>
          <w:rFonts w:ascii="Century Gothic" w:hAnsi="Century Gothic"/>
          <w:color w:val="auto"/>
        </w:rPr>
        <w:t xml:space="preserve">is involved in state government-led local engagement processes such as environmental water advisory groups. These local forums enable the </w:t>
      </w:r>
      <w:r w:rsidR="00857534">
        <w:rPr>
          <w:rFonts w:ascii="Century Gothic" w:hAnsi="Century Gothic"/>
          <w:color w:val="auto"/>
        </w:rPr>
        <w:t xml:space="preserve">Commonwealth Environmental Water Holder </w:t>
      </w:r>
      <w:r w:rsidR="00002A9A">
        <w:rPr>
          <w:rFonts w:ascii="Century Gothic" w:hAnsi="Century Gothic"/>
          <w:color w:val="auto"/>
        </w:rPr>
        <w:t>t</w:t>
      </w:r>
      <w:r w:rsidRPr="000E3C60">
        <w:rPr>
          <w:rFonts w:ascii="Century Gothic" w:hAnsi="Century Gothic"/>
          <w:color w:val="auto"/>
        </w:rPr>
        <w:t>o keep abreast of local information whilst accessing a range of people who are experienced in local water and land management issues. This includes community representatives (landholders, Aboriginal community representatives and others) with intimate knowledge of how their rivers, floodplains and wetlands work.</w:t>
      </w:r>
    </w:p>
    <w:p w14:paraId="6C6500C9" w14:textId="6423F16E" w:rsidR="00D86FAA" w:rsidRPr="009E00DF" w:rsidRDefault="009E00DF" w:rsidP="009E00DF">
      <w:pPr>
        <w:pStyle w:val="Heading11"/>
        <w:numPr>
          <w:ilvl w:val="2"/>
          <w:numId w:val="66"/>
        </w:numPr>
        <w:spacing w:before="0" w:after="120"/>
        <w:ind w:left="1418" w:hanging="704"/>
        <w:rPr>
          <w:rFonts w:ascii="Century Gothic" w:hAnsi="Century Gothic" w:cs="Arial"/>
          <w:sz w:val="24"/>
          <w:szCs w:val="24"/>
        </w:rPr>
      </w:pPr>
      <w:bookmarkStart w:id="16" w:name="_Toc517264642"/>
      <w:r w:rsidRPr="009E00DF">
        <w:rPr>
          <w:rFonts w:ascii="Century Gothic" w:hAnsi="Century Gothic" w:cs="Arial"/>
          <w:sz w:val="24"/>
          <w:szCs w:val="24"/>
        </w:rPr>
        <w:t>Indigenous engagement</w:t>
      </w:r>
      <w:bookmarkEnd w:id="16"/>
    </w:p>
    <w:p w14:paraId="64F7D151" w14:textId="4A0A400E" w:rsidR="002005D7" w:rsidRPr="009E00DF" w:rsidRDefault="009E00DF" w:rsidP="002005D7">
      <w:pPr>
        <w:spacing w:after="200" w:line="276" w:lineRule="auto"/>
        <w:jc w:val="left"/>
        <w:rPr>
          <w:rFonts w:ascii="Century Gothic" w:hAnsi="Century Gothic"/>
          <w:lang w:val="en-GB" w:eastAsia="en-US"/>
        </w:rPr>
      </w:pPr>
      <w:r w:rsidRPr="009E00DF">
        <w:rPr>
          <w:rFonts w:ascii="Century Gothic" w:hAnsi="Century Gothic"/>
          <w:lang w:val="en-GB" w:eastAsia="en-US"/>
        </w:rPr>
        <w:t>The C</w:t>
      </w:r>
      <w:r w:rsidR="00C5747B">
        <w:rPr>
          <w:rFonts w:ascii="Century Gothic" w:hAnsi="Century Gothic"/>
          <w:lang w:val="en-GB" w:eastAsia="en-US"/>
        </w:rPr>
        <w:t xml:space="preserve">ommonwealth </w:t>
      </w:r>
      <w:r w:rsidRPr="009E00DF">
        <w:rPr>
          <w:rFonts w:ascii="Century Gothic" w:hAnsi="Century Gothic"/>
          <w:lang w:val="en-GB" w:eastAsia="en-US"/>
        </w:rPr>
        <w:t>E</w:t>
      </w:r>
      <w:r w:rsidR="00C5747B">
        <w:rPr>
          <w:rFonts w:ascii="Century Gothic" w:hAnsi="Century Gothic"/>
          <w:lang w:val="en-GB" w:eastAsia="en-US"/>
        </w:rPr>
        <w:t xml:space="preserve">nvironmental </w:t>
      </w:r>
      <w:r w:rsidRPr="009E00DF">
        <w:rPr>
          <w:rFonts w:ascii="Century Gothic" w:hAnsi="Century Gothic"/>
          <w:lang w:val="en-GB" w:eastAsia="en-US"/>
        </w:rPr>
        <w:t>W</w:t>
      </w:r>
      <w:r w:rsidR="00C5747B">
        <w:rPr>
          <w:rFonts w:ascii="Century Gothic" w:hAnsi="Century Gothic"/>
          <w:lang w:val="en-GB" w:eastAsia="en-US"/>
        </w:rPr>
        <w:t xml:space="preserve">ater </w:t>
      </w:r>
      <w:r w:rsidRPr="009E00DF">
        <w:rPr>
          <w:rFonts w:ascii="Century Gothic" w:hAnsi="Century Gothic"/>
          <w:lang w:val="en-GB" w:eastAsia="en-US"/>
        </w:rPr>
        <w:t>H</w:t>
      </w:r>
      <w:r w:rsidR="00C5747B">
        <w:rPr>
          <w:rFonts w:ascii="Century Gothic" w:hAnsi="Century Gothic"/>
          <w:lang w:val="en-GB" w:eastAsia="en-US"/>
        </w:rPr>
        <w:t>older</w:t>
      </w:r>
      <w:r w:rsidRPr="009E00DF">
        <w:rPr>
          <w:rFonts w:ascii="Century Gothic" w:hAnsi="Century Gothic"/>
          <w:lang w:val="en-GB" w:eastAsia="en-US"/>
        </w:rPr>
        <w:t xml:space="preserve"> engages in a number of ways with Indigenous Nations in recognition of the cultural importance of the Basin to Indigenous people. This is </w:t>
      </w:r>
      <w:r w:rsidR="002C7230">
        <w:rPr>
          <w:rFonts w:ascii="Century Gothic" w:hAnsi="Century Gothic"/>
          <w:lang w:val="en-GB" w:eastAsia="en-US"/>
        </w:rPr>
        <w:t xml:space="preserve">of particular </w:t>
      </w:r>
      <w:r w:rsidRPr="009E00DF">
        <w:rPr>
          <w:rFonts w:ascii="Century Gothic" w:hAnsi="Century Gothic"/>
          <w:lang w:val="en-GB" w:eastAsia="en-US"/>
        </w:rPr>
        <w:t>importan</w:t>
      </w:r>
      <w:r w:rsidR="002C7230">
        <w:rPr>
          <w:rFonts w:ascii="Century Gothic" w:hAnsi="Century Gothic"/>
          <w:lang w:val="en-GB" w:eastAsia="en-US"/>
        </w:rPr>
        <w:t>ce</w:t>
      </w:r>
      <w:r w:rsidRPr="009E00DF">
        <w:rPr>
          <w:rFonts w:ascii="Century Gothic" w:hAnsi="Century Gothic"/>
          <w:lang w:val="en-GB" w:eastAsia="en-US"/>
        </w:rPr>
        <w:t xml:space="preserve"> given the </w:t>
      </w:r>
      <w:r w:rsidR="00C5747B">
        <w:rPr>
          <w:rFonts w:ascii="Century Gothic" w:hAnsi="Century Gothic"/>
          <w:lang w:val="en-GB" w:eastAsia="en-US"/>
        </w:rPr>
        <w:t xml:space="preserve">assurance </w:t>
      </w:r>
      <w:r w:rsidRPr="009E00DF">
        <w:rPr>
          <w:rFonts w:ascii="Century Gothic" w:hAnsi="Century Gothic"/>
          <w:lang w:val="en-GB" w:eastAsia="en-US"/>
        </w:rPr>
        <w:t>by Basin Ministers</w:t>
      </w:r>
      <w:r w:rsidR="00C5747B">
        <w:rPr>
          <w:rFonts w:ascii="Century Gothic" w:hAnsi="Century Gothic"/>
          <w:lang w:val="en-GB" w:eastAsia="en-US"/>
        </w:rPr>
        <w:t xml:space="preserve"> that t</w:t>
      </w:r>
      <w:r w:rsidR="00D338A4">
        <w:rPr>
          <w:rFonts w:ascii="Century Gothic" w:hAnsi="Century Gothic"/>
          <w:lang w:val="en-GB" w:eastAsia="en-US"/>
        </w:rPr>
        <w:t xml:space="preserve">he CEWH </w:t>
      </w:r>
      <w:r w:rsidR="00C5747B">
        <w:rPr>
          <w:rFonts w:ascii="Century Gothic" w:hAnsi="Century Gothic"/>
          <w:lang w:val="en-GB" w:eastAsia="en-US"/>
        </w:rPr>
        <w:t>will</w:t>
      </w:r>
      <w:r w:rsidR="00D338A4">
        <w:rPr>
          <w:rFonts w:ascii="Century Gothic" w:hAnsi="Century Gothic"/>
          <w:lang w:val="en-GB" w:eastAsia="en-US"/>
        </w:rPr>
        <w:t xml:space="preserve"> </w:t>
      </w:r>
      <w:r w:rsidRPr="009E00DF">
        <w:rPr>
          <w:rFonts w:ascii="Century Gothic" w:hAnsi="Century Gothic"/>
          <w:lang w:val="en-GB" w:eastAsia="en-US"/>
        </w:rPr>
        <w:t xml:space="preserve">improve </w:t>
      </w:r>
      <w:r w:rsidR="00D338A4">
        <w:rPr>
          <w:rFonts w:ascii="Century Gothic" w:hAnsi="Century Gothic"/>
          <w:lang w:val="en-GB" w:eastAsia="en-US"/>
        </w:rPr>
        <w:t>engagement with indigenous communities on decisions underpinning the beneficial use of environmental water</w:t>
      </w:r>
      <w:r w:rsidR="002005D7">
        <w:rPr>
          <w:rFonts w:ascii="Century Gothic" w:hAnsi="Century Gothic"/>
          <w:lang w:val="en-GB" w:eastAsia="en-US"/>
        </w:rPr>
        <w:t>. Further to this, in</w:t>
      </w:r>
      <w:r w:rsidR="002005D7" w:rsidRPr="009E00DF">
        <w:rPr>
          <w:rFonts w:ascii="Century Gothic" w:hAnsi="Century Gothic"/>
          <w:lang w:val="en-GB" w:eastAsia="en-US"/>
        </w:rPr>
        <w:t xml:space="preserve"> delivering environmental water to achieve legislated environmental outcomes, the CEWH </w:t>
      </w:r>
      <w:r w:rsidR="002005D7">
        <w:rPr>
          <w:rFonts w:ascii="Century Gothic" w:hAnsi="Century Gothic"/>
          <w:lang w:val="en-GB" w:eastAsia="en-US"/>
        </w:rPr>
        <w:t>is</w:t>
      </w:r>
      <w:r w:rsidR="002005D7" w:rsidRPr="009E00DF">
        <w:rPr>
          <w:rFonts w:ascii="Century Gothic" w:hAnsi="Century Gothic"/>
          <w:lang w:val="en-GB" w:eastAsia="en-US"/>
        </w:rPr>
        <w:t xml:space="preserve"> legally obligated to have “regard to Indigenous values</w:t>
      </w:r>
      <w:r w:rsidR="002005D7">
        <w:rPr>
          <w:rFonts w:ascii="Century Gothic" w:hAnsi="Century Gothic"/>
          <w:lang w:val="en-GB" w:eastAsia="en-US"/>
        </w:rPr>
        <w:t xml:space="preserve"> when it undertakes environmental watering</w:t>
      </w:r>
      <w:r w:rsidR="002005D7" w:rsidRPr="009E00DF">
        <w:rPr>
          <w:rFonts w:ascii="Century Gothic" w:hAnsi="Century Gothic"/>
          <w:lang w:val="en-GB" w:eastAsia="en-US"/>
        </w:rPr>
        <w:t>”.</w:t>
      </w:r>
    </w:p>
    <w:p w14:paraId="27E5668D" w14:textId="77777777" w:rsidR="009E00DF" w:rsidRPr="009E00DF" w:rsidRDefault="009E00DF" w:rsidP="009E00DF">
      <w:pPr>
        <w:spacing w:after="200" w:line="276" w:lineRule="auto"/>
        <w:jc w:val="left"/>
        <w:rPr>
          <w:rFonts w:ascii="Century Gothic" w:hAnsi="Century Gothic"/>
          <w:lang w:val="en-GB" w:eastAsia="en-US"/>
        </w:rPr>
      </w:pPr>
      <w:r w:rsidRPr="009E00DF">
        <w:rPr>
          <w:rFonts w:ascii="Century Gothic" w:hAnsi="Century Gothic"/>
          <w:lang w:val="en-GB" w:eastAsia="en-US"/>
        </w:rPr>
        <w:t xml:space="preserve">We work directly with Indigenous peoples from across the Basin including the Ngarrindjeri Regional Authority, the Tar-Ru Lands Board of Management, the Nari Nari people at Toogimbie Indigenous Protected Area and the Ngiyampaa Wayilwan people in the planning and delivery of Commonwealth environmental water. </w:t>
      </w:r>
    </w:p>
    <w:p w14:paraId="269BF848" w14:textId="6038BCC0" w:rsidR="009E00DF" w:rsidRDefault="009E00DF" w:rsidP="009E00DF">
      <w:pPr>
        <w:spacing w:after="200" w:line="276" w:lineRule="auto"/>
        <w:jc w:val="left"/>
        <w:rPr>
          <w:rFonts w:ascii="Century Gothic" w:hAnsi="Century Gothic"/>
          <w:lang w:val="en-GB" w:eastAsia="en-US"/>
        </w:rPr>
      </w:pPr>
      <w:r w:rsidRPr="009E00DF">
        <w:rPr>
          <w:rFonts w:ascii="Century Gothic" w:hAnsi="Century Gothic"/>
          <w:lang w:val="en-GB" w:eastAsia="en-US"/>
        </w:rPr>
        <w:t xml:space="preserve">The CEWH established a formal partnership agreement with the Ngarrindjeri Regional Authority in South Australiain November 2015. This agreement includes engagement protocols and agreed processes for the Ngarrindjeri Regional Authority to put forward environmental watering proposals that achieve mutual benefits for wetlands in the lower River Murray region. </w:t>
      </w:r>
    </w:p>
    <w:tbl>
      <w:tblPr>
        <w:tblStyle w:val="TableGrid"/>
        <w:tblW w:w="0" w:type="auto"/>
        <w:tblLook w:val="04A0" w:firstRow="1" w:lastRow="0" w:firstColumn="1" w:lastColumn="0" w:noHBand="0" w:noVBand="1"/>
      </w:tblPr>
      <w:tblGrid>
        <w:gridCol w:w="9202"/>
      </w:tblGrid>
      <w:tr w:rsidR="00693AE8" w:rsidRPr="002B6A9C" w14:paraId="6C6500D0" w14:textId="77777777" w:rsidTr="002005D7">
        <w:trPr>
          <w:cnfStyle w:val="100000000000" w:firstRow="1" w:lastRow="0" w:firstColumn="0" w:lastColumn="0" w:oddVBand="0" w:evenVBand="0" w:oddHBand="0" w:evenHBand="0" w:firstRowFirstColumn="0" w:firstRowLastColumn="0" w:lastRowFirstColumn="0" w:lastRowLastColumn="0"/>
          <w:trHeight w:val="7080"/>
        </w:trPr>
        <w:tc>
          <w:tcPr>
            <w:tcW w:w="9202" w:type="dxa"/>
          </w:tcPr>
          <w:p w14:paraId="6C6500CA" w14:textId="77777777" w:rsidR="007A7A94" w:rsidRDefault="00693AE8">
            <w:pPr>
              <w:pStyle w:val="CaseStudy"/>
              <w:spacing w:after="120"/>
              <w:rPr>
                <w:sz w:val="48"/>
                <w:szCs w:val="48"/>
              </w:rPr>
            </w:pPr>
            <w:r w:rsidRPr="00DD6972">
              <w:lastRenderedPageBreak/>
              <w:t>Case Study:</w:t>
            </w:r>
            <w:r>
              <w:t xml:space="preserve"> </w:t>
            </w:r>
            <w:r w:rsidRPr="00DD6972">
              <w:t>Working together to support the recovery of the Murray hardyhead</w:t>
            </w:r>
          </w:p>
          <w:p w14:paraId="6C6500CB" w14:textId="4B34EF1F" w:rsidR="00B17604" w:rsidRDefault="00693AE8">
            <w:pPr>
              <w:spacing w:after="120"/>
              <w:rPr>
                <w:rFonts w:ascii="Century Gothic" w:hAnsi="Century Gothic" w:cs="Arial"/>
              </w:rPr>
            </w:pPr>
            <w:r w:rsidRPr="002B6A9C">
              <w:rPr>
                <w:rFonts w:ascii="Century Gothic" w:hAnsi="Century Gothic" w:cs="Arial"/>
              </w:rPr>
              <w:t xml:space="preserve">The Murray hardyhead is a small native fish found only within the floodplains of the southern </w:t>
            </w:r>
            <w:r w:rsidR="00BE4223">
              <w:rPr>
                <w:rFonts w:ascii="Century Gothic" w:hAnsi="Century Gothic" w:cs="Arial"/>
              </w:rPr>
              <w:t>Murray-Darling</w:t>
            </w:r>
            <w:r w:rsidRPr="002B6A9C">
              <w:rPr>
                <w:rFonts w:ascii="Century Gothic" w:hAnsi="Century Gothic" w:cs="Arial"/>
              </w:rPr>
              <w:t xml:space="preserve"> Basin. It was once widespread and abundant in the Murray and Murrumbidgee river systems but has suffered a serious population decline over the past 50 years, and is now nationally endangered. </w:t>
            </w:r>
          </w:p>
          <w:p w14:paraId="6C6500CC" w14:textId="691D4CDB" w:rsidR="00B17604" w:rsidRDefault="00693AE8">
            <w:pPr>
              <w:spacing w:after="120"/>
              <w:rPr>
                <w:rFonts w:ascii="Century Gothic" w:hAnsi="Century Gothic" w:cs="Arial"/>
              </w:rPr>
            </w:pPr>
            <w:r w:rsidRPr="002B6A9C">
              <w:rPr>
                <w:rFonts w:ascii="Century Gothic" w:hAnsi="Century Gothic" w:cs="Arial"/>
              </w:rPr>
              <w:t xml:space="preserve">In 2012, Murray hardyhead that had been bred in captivity by the </w:t>
            </w:r>
            <w:r w:rsidR="00BE4223">
              <w:rPr>
                <w:rFonts w:ascii="Century Gothic" w:hAnsi="Century Gothic" w:cs="Arial"/>
              </w:rPr>
              <w:t>Murray-Darling</w:t>
            </w:r>
            <w:r w:rsidRPr="002B6A9C">
              <w:rPr>
                <w:rFonts w:ascii="Century Gothic" w:hAnsi="Century Gothic" w:cs="Arial"/>
              </w:rPr>
              <w:t xml:space="preserve"> Freshwater Research Centre, were re-introduced to two wetlands in the South Australian Riverland. Following conservation efforts by South Australian government agencies and the delivery of Commonwealth environmental water, record numbers of Murray hardyhead were found in these wetlands in 2015. This provided an opportunity to relocate a portion of these Murray hardyhead and establish a new population.</w:t>
            </w:r>
          </w:p>
          <w:p w14:paraId="6C6500CD" w14:textId="77777777" w:rsidR="00B17604" w:rsidRDefault="00693AE8">
            <w:pPr>
              <w:spacing w:after="120"/>
              <w:rPr>
                <w:rFonts w:ascii="Century Gothic" w:hAnsi="Century Gothic" w:cs="Arial"/>
              </w:rPr>
            </w:pPr>
            <w:r w:rsidRPr="002B6A9C">
              <w:rPr>
                <w:rFonts w:ascii="Century Gothic" w:hAnsi="Century Gothic" w:cs="Arial"/>
              </w:rPr>
              <w:t>The Mallee Catchment Management Authority has been working to restore wetlands in the Victorian Mallee using Commonwealth and Victorian environmental water for many years. One of these restoration sites, Brickworks Billabong, was identified as providing suitable habitat for Murray hardyhead. This billabong was in a suitable condition due to the installation of a regulator to allow more natural wetting and drying cycles in the wetland and the delivery of environmental water to provide habitat and food for Murray hardyhead.</w:t>
            </w:r>
          </w:p>
          <w:p w14:paraId="6C6500CE" w14:textId="007E07E9" w:rsidR="00B17604" w:rsidRDefault="00693AE8">
            <w:pPr>
              <w:spacing w:after="120"/>
              <w:rPr>
                <w:rFonts w:ascii="Century Gothic" w:hAnsi="Century Gothic" w:cs="Arial"/>
              </w:rPr>
            </w:pPr>
            <w:r w:rsidRPr="002B6A9C">
              <w:rPr>
                <w:rFonts w:ascii="Century Gothic" w:hAnsi="Century Gothic" w:cs="Arial"/>
              </w:rPr>
              <w:t xml:space="preserve">Additional Commonwealth environmental water was delivered to Brickworks Billabong to further boost habitat and enhance food supplies in preparation for the arrival of the fish. In March 2015, the </w:t>
            </w:r>
            <w:r w:rsidR="00BE4223">
              <w:rPr>
                <w:rFonts w:ascii="Century Gothic" w:hAnsi="Century Gothic" w:cs="Arial"/>
              </w:rPr>
              <w:t>Murray-Darling</w:t>
            </w:r>
            <w:r w:rsidRPr="002B6A9C">
              <w:rPr>
                <w:rFonts w:ascii="Century Gothic" w:hAnsi="Century Gothic" w:cs="Arial"/>
              </w:rPr>
              <w:t xml:space="preserve"> Freshwater Research Centre and South Australian government staff captured approximately 2500 Murray hardyhead and relocated them to Brickworks Billabong. The Murray hardyhead were transported in an oxygenated water-holding trailer</w:t>
            </w:r>
            <w:r>
              <w:rPr>
                <w:rFonts w:ascii="Century Gothic" w:hAnsi="Century Gothic" w:cs="Arial"/>
              </w:rPr>
              <w:t xml:space="preserve"> </w:t>
            </w:r>
            <w:r w:rsidRPr="002B6A9C">
              <w:rPr>
                <w:rFonts w:ascii="Century Gothic" w:hAnsi="Century Gothic" w:cs="Arial"/>
              </w:rPr>
              <w:t xml:space="preserve">provided by the Victorian Department of Environment, Land, Water and Planning. </w:t>
            </w:r>
          </w:p>
          <w:p w14:paraId="6C6500CF" w14:textId="77777777" w:rsidR="00B17604" w:rsidRDefault="00693AE8">
            <w:pPr>
              <w:spacing w:after="120"/>
              <w:rPr>
                <w:rFonts w:ascii="Century Gothic" w:hAnsi="Century Gothic" w:cs="Arial"/>
                <w:b/>
              </w:rPr>
            </w:pPr>
            <w:r w:rsidRPr="002B6A9C">
              <w:rPr>
                <w:rFonts w:ascii="Century Gothic" w:hAnsi="Century Gothic" w:cs="Arial"/>
              </w:rPr>
              <w:t>The translocation appears to have been successful, with monitoring in August 2015 detecting juvenile Murray hardyhead (estimated to be 2–3 months old). These juveniles are likely to be the first generation off-spring of the translocated fish.</w:t>
            </w:r>
          </w:p>
        </w:tc>
      </w:tr>
    </w:tbl>
    <w:p w14:paraId="6C6500D1" w14:textId="77777777" w:rsidR="007A7A94" w:rsidRDefault="007A7A94">
      <w:pPr>
        <w:pStyle w:val="Para0"/>
        <w:spacing w:after="120" w:line="240" w:lineRule="auto"/>
        <w:jc w:val="left"/>
        <w:rPr>
          <w:rFonts w:ascii="Century Gothic" w:hAnsi="Century Gothic"/>
          <w:color w:val="auto"/>
        </w:rPr>
      </w:pPr>
    </w:p>
    <w:p w14:paraId="6C6500D2" w14:textId="77777777" w:rsidR="00D86FAA" w:rsidRDefault="00D86FAA">
      <w:pPr>
        <w:spacing w:after="0"/>
        <w:jc w:val="left"/>
        <w:rPr>
          <w:b/>
          <w:color w:val="5F497A" w:themeColor="accent4" w:themeShade="BF"/>
          <w:sz w:val="40"/>
          <w:szCs w:val="40"/>
          <w:lang w:val="en-GB" w:eastAsia="en-US"/>
        </w:rPr>
      </w:pPr>
      <w:r>
        <w:br w:type="page"/>
      </w:r>
    </w:p>
    <w:p w14:paraId="6C6500D3" w14:textId="3C9CB611" w:rsidR="007A7A94" w:rsidRDefault="00995707">
      <w:pPr>
        <w:pStyle w:val="Heading11"/>
        <w:spacing w:before="0" w:after="120"/>
      </w:pPr>
      <w:bookmarkStart w:id="17" w:name="_Toc517264643"/>
      <w:r w:rsidRPr="00560998">
        <w:lastRenderedPageBreak/>
        <w:t>Supporting multiple outcomes</w:t>
      </w:r>
      <w:bookmarkEnd w:id="17"/>
    </w:p>
    <w:p w14:paraId="6C6500D4" w14:textId="425671A9" w:rsidR="00B17604" w:rsidRDefault="00675265">
      <w:pPr>
        <w:pStyle w:val="Para0"/>
        <w:spacing w:after="120" w:line="240" w:lineRule="auto"/>
        <w:rPr>
          <w:rFonts w:ascii="Century Gothic" w:hAnsi="Century Gothic"/>
          <w:color w:val="auto"/>
        </w:rPr>
      </w:pPr>
      <w:r w:rsidRPr="00BE31EB">
        <w:rPr>
          <w:rFonts w:ascii="Century Gothic" w:hAnsi="Century Gothic"/>
          <w:color w:val="auto"/>
        </w:rPr>
        <w:t>While the primary purpose of any Commonwealth environmental watering action is to achieve environmental outcomes, there are also opportunities to support complementary social, cultural and economic outcomes.</w:t>
      </w:r>
      <w:r w:rsidR="000E5012">
        <w:rPr>
          <w:rFonts w:ascii="Century Gothic" w:hAnsi="Century Gothic"/>
          <w:color w:val="auto"/>
        </w:rPr>
        <w:t xml:space="preserve"> </w:t>
      </w:r>
      <w:r w:rsidRPr="00BE31EB">
        <w:rPr>
          <w:rFonts w:ascii="Century Gothic" w:hAnsi="Century Gothic"/>
          <w:color w:val="auto"/>
        </w:rPr>
        <w:t xml:space="preserve">Providing environmental water to rivers, wetlands and floodplains can support recreational and tourism activities (such as fishing, birdwatching, boating/kayaking and camping), improve water quality and create a more sustainable environment to underpin commercial activities. In planning environmental watering actions, the </w:t>
      </w:r>
      <w:r w:rsidR="00857534">
        <w:rPr>
          <w:rFonts w:ascii="Century Gothic" w:hAnsi="Century Gothic"/>
          <w:color w:val="auto"/>
        </w:rPr>
        <w:t>Commonwealth Environmental Water Office</w:t>
      </w:r>
      <w:r w:rsidRPr="00BE31EB">
        <w:rPr>
          <w:rFonts w:ascii="Century Gothic" w:hAnsi="Century Gothic"/>
          <w:color w:val="auto"/>
        </w:rPr>
        <w:t xml:space="preserve"> welcomes </w:t>
      </w:r>
      <w:r w:rsidR="003F2E8F" w:rsidRPr="00BE31EB">
        <w:rPr>
          <w:rFonts w:ascii="Century Gothic" w:hAnsi="Century Gothic"/>
          <w:color w:val="auto"/>
        </w:rPr>
        <w:t>ideas and advice</w:t>
      </w:r>
      <w:r w:rsidR="003F2E8F">
        <w:rPr>
          <w:rFonts w:ascii="Century Gothic" w:hAnsi="Century Gothic"/>
          <w:color w:val="auto"/>
        </w:rPr>
        <w:t xml:space="preserve"> from</w:t>
      </w:r>
      <w:r w:rsidR="003F2E8F" w:rsidRPr="00BE31EB">
        <w:rPr>
          <w:rFonts w:ascii="Century Gothic" w:hAnsi="Century Gothic"/>
          <w:color w:val="auto"/>
        </w:rPr>
        <w:t xml:space="preserve"> </w:t>
      </w:r>
      <w:r w:rsidRPr="00BE31EB">
        <w:rPr>
          <w:rFonts w:ascii="Century Gothic" w:hAnsi="Century Gothic"/>
          <w:color w:val="auto"/>
        </w:rPr>
        <w:t>local community groups and local governments on opportunities for achieving complementary social and economic outcomes. This could include providing information on important local wetlands, recreational activities or tourism events.</w:t>
      </w:r>
    </w:p>
    <w:p w14:paraId="6C6500D5" w14:textId="2A0277DD" w:rsidR="007A7A94" w:rsidRDefault="000E3C60">
      <w:pPr>
        <w:pStyle w:val="Heading11"/>
        <w:numPr>
          <w:ilvl w:val="2"/>
          <w:numId w:val="66"/>
        </w:numPr>
        <w:spacing w:before="0" w:after="120"/>
        <w:ind w:left="1418" w:hanging="704"/>
        <w:rPr>
          <w:rFonts w:ascii="Century Gothic" w:hAnsi="Century Gothic" w:cs="Arial"/>
          <w:sz w:val="24"/>
          <w:szCs w:val="24"/>
        </w:rPr>
      </w:pPr>
      <w:bookmarkStart w:id="18" w:name="_Toc517264644"/>
      <w:r w:rsidRPr="000E3C60">
        <w:rPr>
          <w:rFonts w:ascii="Century Gothic" w:hAnsi="Century Gothic" w:cs="Arial"/>
          <w:sz w:val="24"/>
          <w:szCs w:val="24"/>
        </w:rPr>
        <w:t>Aboriginal cultural outcomes</w:t>
      </w:r>
      <w:bookmarkEnd w:id="18"/>
    </w:p>
    <w:p w14:paraId="6C6500D6" w14:textId="6FA5833B" w:rsidR="00B17604" w:rsidRDefault="00675265">
      <w:pPr>
        <w:pStyle w:val="Para0"/>
        <w:spacing w:after="120" w:line="240" w:lineRule="auto"/>
        <w:rPr>
          <w:rFonts w:ascii="Century Gothic" w:hAnsi="Century Gothic"/>
          <w:color w:val="auto"/>
        </w:rPr>
      </w:pPr>
      <w:r w:rsidRPr="00BE31EB">
        <w:rPr>
          <w:rFonts w:ascii="Century Gothic" w:hAnsi="Century Gothic"/>
          <w:color w:val="auto"/>
        </w:rPr>
        <w:t xml:space="preserve">The Office recognises and acknowledges that the traditional owners and their Nations in the </w:t>
      </w:r>
      <w:r w:rsidR="00BE4223">
        <w:rPr>
          <w:rFonts w:ascii="Century Gothic" w:hAnsi="Century Gothic"/>
          <w:color w:val="auto"/>
        </w:rPr>
        <w:t>Murray-Darling</w:t>
      </w:r>
      <w:r w:rsidRPr="00BE31EB">
        <w:rPr>
          <w:rFonts w:ascii="Century Gothic" w:hAnsi="Century Gothic"/>
          <w:color w:val="auto"/>
        </w:rPr>
        <w:t xml:space="preserve"> Basin have a deep cultural, social, environmental, spiritual and economic connection to their lands and waters. The concept of cultural flows has been developed to help translate this complex relationship into the language of water planning and management. The Northern </w:t>
      </w:r>
      <w:r w:rsidR="00BE4223">
        <w:rPr>
          <w:rFonts w:ascii="Century Gothic" w:hAnsi="Century Gothic"/>
          <w:color w:val="auto"/>
        </w:rPr>
        <w:t>Murray-Darling</w:t>
      </w:r>
      <w:r w:rsidRPr="00BE31EB">
        <w:rPr>
          <w:rFonts w:ascii="Century Gothic" w:hAnsi="Century Gothic"/>
          <w:color w:val="auto"/>
        </w:rPr>
        <w:t xml:space="preserve"> Basin Aboriginal Nations and the Murray Lower Darling Rivers Indigenous Nations have adopted the following definition of cultural flows: “Water entitlements that are legally and beneficially owned by the Indigenous Nations and are of sufficient and adequate quantity to improve the spiritual, cultural, environmental, social and economic conditions of those Indigenous Nations. This is our inherent right”</w:t>
      </w:r>
      <w:r w:rsidRPr="00BE31EB">
        <w:rPr>
          <w:rStyle w:val="FootnoteReference"/>
          <w:rFonts w:ascii="Century Gothic" w:hAnsi="Century Gothic"/>
          <w:color w:val="auto"/>
        </w:rPr>
        <w:footnoteReference w:id="1"/>
      </w:r>
      <w:r w:rsidRPr="00BE31EB">
        <w:rPr>
          <w:rFonts w:ascii="Century Gothic" w:hAnsi="Century Gothic"/>
          <w:color w:val="auto"/>
        </w:rPr>
        <w:t xml:space="preserve">. </w:t>
      </w:r>
    </w:p>
    <w:p w14:paraId="6C6500D7" w14:textId="4CAFE317" w:rsidR="00B17604" w:rsidRDefault="00675265">
      <w:pPr>
        <w:pStyle w:val="Para0"/>
        <w:spacing w:after="120" w:line="240" w:lineRule="auto"/>
        <w:rPr>
          <w:rFonts w:ascii="Century Gothic" w:hAnsi="Century Gothic"/>
          <w:color w:val="auto"/>
        </w:rPr>
      </w:pPr>
      <w:r w:rsidRPr="00BE31EB">
        <w:rPr>
          <w:rFonts w:ascii="Century Gothic" w:hAnsi="Century Gothic"/>
          <w:color w:val="auto"/>
        </w:rPr>
        <w:t xml:space="preserve">While environmental flows are not cultural flows, there are opportunities to support complementary cultural outcomes through environmental water use. For this reason, the </w:t>
      </w:r>
      <w:r w:rsidR="00857534">
        <w:rPr>
          <w:rFonts w:ascii="Century Gothic" w:hAnsi="Century Gothic"/>
          <w:color w:val="auto"/>
        </w:rPr>
        <w:t>Commonwealth Environmental Water Office</w:t>
      </w:r>
      <w:r w:rsidRPr="00BE31EB">
        <w:rPr>
          <w:rFonts w:ascii="Century Gothic" w:hAnsi="Century Gothic"/>
          <w:color w:val="auto"/>
        </w:rPr>
        <w:t xml:space="preserve"> engages with Indigenous nations to identify such opportunities and welcomes interested communities or organisations bringing forward proposals. </w:t>
      </w:r>
    </w:p>
    <w:p w14:paraId="6C6500D8" w14:textId="3F93D99C" w:rsidR="007A7A94" w:rsidRDefault="000E3C60">
      <w:pPr>
        <w:pStyle w:val="Heading11"/>
        <w:numPr>
          <w:ilvl w:val="2"/>
          <w:numId w:val="66"/>
        </w:numPr>
        <w:spacing w:before="0" w:after="120"/>
        <w:ind w:left="1418" w:hanging="704"/>
        <w:rPr>
          <w:rFonts w:ascii="Century Gothic" w:hAnsi="Century Gothic" w:cs="Arial"/>
          <w:sz w:val="24"/>
          <w:szCs w:val="24"/>
        </w:rPr>
      </w:pPr>
      <w:bookmarkStart w:id="19" w:name="_Toc517264645"/>
      <w:r w:rsidRPr="000E3C60">
        <w:rPr>
          <w:rFonts w:ascii="Century Gothic" w:hAnsi="Century Gothic" w:cs="Arial"/>
          <w:sz w:val="24"/>
          <w:szCs w:val="24"/>
        </w:rPr>
        <w:t>Benefits to other water users</w:t>
      </w:r>
      <w:bookmarkEnd w:id="19"/>
    </w:p>
    <w:p w14:paraId="6C6500D9" w14:textId="77777777" w:rsidR="00B17604" w:rsidRDefault="003F2E8F">
      <w:pPr>
        <w:pStyle w:val="ListBullet"/>
        <w:numPr>
          <w:ilvl w:val="0"/>
          <w:numId w:val="0"/>
        </w:numPr>
        <w:spacing w:after="120"/>
        <w:rPr>
          <w:rFonts w:ascii="Century Gothic" w:hAnsi="Century Gothic"/>
        </w:rPr>
      </w:pPr>
      <w:r w:rsidRPr="003F2E8F">
        <w:rPr>
          <w:rFonts w:ascii="Century Gothic" w:hAnsi="Century Gothic"/>
        </w:rPr>
        <w:t>Environmental water is often delivered in response to natural triggers, such as naturally occurring flow events. This means the timing of environmental water is often different from the timing of irrigation deliveries</w:t>
      </w:r>
      <w:r w:rsidR="00693AE8">
        <w:rPr>
          <w:rFonts w:ascii="Century Gothic" w:hAnsi="Century Gothic"/>
        </w:rPr>
        <w:t>, which can have benefits for other water users</w:t>
      </w:r>
      <w:r w:rsidRPr="003F2E8F">
        <w:rPr>
          <w:rFonts w:ascii="Century Gothic" w:hAnsi="Century Gothic"/>
        </w:rPr>
        <w:t xml:space="preserve">. </w:t>
      </w:r>
    </w:p>
    <w:p w14:paraId="6C6500DA" w14:textId="77777777" w:rsidR="00B17604" w:rsidRDefault="00693AE8">
      <w:pPr>
        <w:pStyle w:val="ListBullet"/>
        <w:numPr>
          <w:ilvl w:val="0"/>
          <w:numId w:val="0"/>
        </w:numPr>
        <w:spacing w:after="120"/>
        <w:rPr>
          <w:rFonts w:ascii="Century Gothic" w:hAnsi="Century Gothic"/>
        </w:rPr>
      </w:pPr>
      <w:r>
        <w:rPr>
          <w:rFonts w:ascii="Century Gothic" w:hAnsi="Century Gothic"/>
        </w:rPr>
        <w:t>For example, i</w:t>
      </w:r>
      <w:r w:rsidR="003F2E8F" w:rsidRPr="003F2E8F">
        <w:rPr>
          <w:rFonts w:ascii="Century Gothic" w:hAnsi="Century Gothic"/>
        </w:rPr>
        <w:t>n the southern Basin</w:t>
      </w:r>
      <w:r>
        <w:rPr>
          <w:rFonts w:ascii="Century Gothic" w:hAnsi="Century Gothic"/>
        </w:rPr>
        <w:t>,</w:t>
      </w:r>
      <w:r w:rsidR="003F2E8F" w:rsidRPr="003F2E8F">
        <w:rPr>
          <w:rFonts w:ascii="Century Gothic" w:hAnsi="Century Gothic"/>
        </w:rPr>
        <w:t xml:space="preserve"> significant volumes are delivered in winter and spring, prior to the start of the irrigation season.</w:t>
      </w:r>
      <w:r>
        <w:rPr>
          <w:rFonts w:ascii="Century Gothic" w:hAnsi="Century Gothic"/>
        </w:rPr>
        <w:t xml:space="preserve"> </w:t>
      </w:r>
      <w:r w:rsidR="002B6A9C" w:rsidRPr="00903D3B">
        <w:rPr>
          <w:rFonts w:ascii="Century Gothic" w:hAnsi="Century Gothic"/>
        </w:rPr>
        <w:t>While environmental water is delivered in winter and spring for environmental outcomes, it also provides benefits for other water users</w:t>
      </w:r>
      <w:r>
        <w:rPr>
          <w:rFonts w:ascii="Century Gothic" w:hAnsi="Century Gothic"/>
        </w:rPr>
        <w:t>, including</w:t>
      </w:r>
      <w:r w:rsidR="002B6A9C" w:rsidRPr="00903D3B">
        <w:rPr>
          <w:rFonts w:ascii="Century Gothic" w:hAnsi="Century Gothic"/>
        </w:rPr>
        <w:t>:</w:t>
      </w:r>
    </w:p>
    <w:p w14:paraId="6C6500DB" w14:textId="77777777" w:rsidR="00B17604" w:rsidRDefault="002B6A9C">
      <w:pPr>
        <w:pStyle w:val="ListBullet"/>
        <w:spacing w:after="120"/>
        <w:rPr>
          <w:rFonts w:ascii="Century Gothic" w:hAnsi="Century Gothic"/>
        </w:rPr>
      </w:pPr>
      <w:r w:rsidRPr="00903D3B">
        <w:rPr>
          <w:rFonts w:ascii="Century Gothic" w:hAnsi="Century Gothic"/>
        </w:rPr>
        <w:t>increas</w:t>
      </w:r>
      <w:r w:rsidR="00693AE8">
        <w:rPr>
          <w:rFonts w:ascii="Century Gothic" w:hAnsi="Century Gothic"/>
        </w:rPr>
        <w:t>ing</w:t>
      </w:r>
      <w:r w:rsidRPr="00903D3B">
        <w:rPr>
          <w:rFonts w:ascii="Century Gothic" w:hAnsi="Century Gothic"/>
        </w:rPr>
        <w:t xml:space="preserve"> the free space in dams available to capture inflows. This in-turn increases the availability of water for other water users. Preliminary modelling indicates early water delivery in the River Murray is expected to benefit water users in all states (New South Wales</w:t>
      </w:r>
      <w:r w:rsidR="007503FA">
        <w:rPr>
          <w:rFonts w:ascii="Century Gothic" w:hAnsi="Century Gothic"/>
        </w:rPr>
        <w:t>, South Australia and Victoria)</w:t>
      </w:r>
      <w:r w:rsidRPr="00903D3B">
        <w:rPr>
          <w:rFonts w:ascii="Century Gothic" w:hAnsi="Century Gothic"/>
        </w:rPr>
        <w:t xml:space="preserve"> </w:t>
      </w:r>
    </w:p>
    <w:p w14:paraId="6C6500DC" w14:textId="77777777" w:rsidR="00B17604" w:rsidRDefault="002B6A9C">
      <w:pPr>
        <w:pStyle w:val="ListBullet"/>
        <w:spacing w:after="120"/>
        <w:rPr>
          <w:rFonts w:ascii="Century Gothic" w:hAnsi="Century Gothic"/>
        </w:rPr>
      </w:pPr>
      <w:r w:rsidRPr="00903D3B">
        <w:rPr>
          <w:rFonts w:ascii="Century Gothic" w:hAnsi="Century Gothic"/>
        </w:rPr>
        <w:t>reduc</w:t>
      </w:r>
      <w:r w:rsidR="00693AE8">
        <w:rPr>
          <w:rFonts w:ascii="Century Gothic" w:hAnsi="Century Gothic"/>
        </w:rPr>
        <w:t>ing</w:t>
      </w:r>
      <w:r w:rsidRPr="00903D3B">
        <w:rPr>
          <w:rFonts w:ascii="Century Gothic" w:hAnsi="Century Gothic"/>
        </w:rPr>
        <w:t xml:space="preserve"> water losses in the system under standard river operations, resulting in improvements in state water resource shares</w:t>
      </w:r>
    </w:p>
    <w:p w14:paraId="6C6500DD" w14:textId="77777777" w:rsidR="00B17604" w:rsidRDefault="002B6A9C">
      <w:pPr>
        <w:pStyle w:val="ListBullet"/>
        <w:spacing w:after="120"/>
        <w:rPr>
          <w:rFonts w:ascii="Century Gothic" w:hAnsi="Century Gothic"/>
        </w:rPr>
      </w:pPr>
      <w:r w:rsidRPr="00903D3B">
        <w:rPr>
          <w:rFonts w:ascii="Century Gothic" w:hAnsi="Century Gothic"/>
        </w:rPr>
        <w:t>reduc</w:t>
      </w:r>
      <w:r w:rsidR="00693AE8">
        <w:rPr>
          <w:rFonts w:ascii="Century Gothic" w:hAnsi="Century Gothic"/>
        </w:rPr>
        <w:t>ing</w:t>
      </w:r>
      <w:r w:rsidRPr="00903D3B">
        <w:rPr>
          <w:rFonts w:ascii="Century Gothic" w:hAnsi="Century Gothic"/>
        </w:rPr>
        <w:t xml:space="preserve"> competition for channel capacity during periods of peak agricultural demands. </w:t>
      </w:r>
    </w:p>
    <w:p w14:paraId="6C6500DE" w14:textId="734A456D" w:rsidR="007A7A94" w:rsidRDefault="00F00169">
      <w:pPr>
        <w:pStyle w:val="Heading11"/>
        <w:spacing w:before="0" w:after="120"/>
      </w:pPr>
      <w:bookmarkStart w:id="20" w:name="_Toc444088369"/>
      <w:bookmarkStart w:id="21" w:name="_Toc444088428"/>
      <w:bookmarkStart w:id="22" w:name="_Toc444088523"/>
      <w:bookmarkStart w:id="23" w:name="_Toc444088585"/>
      <w:bookmarkStart w:id="24" w:name="_Toc444091202"/>
      <w:bookmarkStart w:id="25" w:name="_Toc444091319"/>
      <w:bookmarkStart w:id="26" w:name="_Toc444091479"/>
      <w:bookmarkStart w:id="27" w:name="_Toc444247145"/>
      <w:bookmarkStart w:id="28" w:name="_Toc444247373"/>
      <w:bookmarkStart w:id="29" w:name="_Toc444258376"/>
      <w:bookmarkStart w:id="30" w:name="_Toc444259168"/>
      <w:bookmarkStart w:id="31" w:name="_Toc517264646"/>
      <w:bookmarkEnd w:id="20"/>
      <w:bookmarkEnd w:id="21"/>
      <w:bookmarkEnd w:id="22"/>
      <w:bookmarkEnd w:id="23"/>
      <w:bookmarkEnd w:id="24"/>
      <w:bookmarkEnd w:id="25"/>
      <w:bookmarkEnd w:id="26"/>
      <w:bookmarkEnd w:id="27"/>
      <w:bookmarkEnd w:id="28"/>
      <w:bookmarkEnd w:id="29"/>
      <w:bookmarkEnd w:id="30"/>
      <w:r w:rsidRPr="00560998">
        <w:t>Contact information</w:t>
      </w:r>
      <w:bookmarkEnd w:id="31"/>
    </w:p>
    <w:p w14:paraId="6C6500DF" w14:textId="0925020C" w:rsidR="00B17604" w:rsidRDefault="005A53D7">
      <w:pPr>
        <w:autoSpaceDE w:val="0"/>
        <w:autoSpaceDN w:val="0"/>
        <w:adjustRightInd w:val="0"/>
        <w:spacing w:after="120"/>
        <w:rPr>
          <w:rFonts w:ascii="Century Gothic" w:eastAsia="Calibri" w:hAnsi="Century Gothic" w:cs="Century Gothic"/>
          <w:color w:val="000000"/>
        </w:rPr>
      </w:pPr>
      <w:r w:rsidRPr="005A53D7">
        <w:rPr>
          <w:rFonts w:ascii="Century Gothic" w:eastAsia="Calibri" w:hAnsi="Century Gothic" w:cs="Century Gothic"/>
          <w:color w:val="000000"/>
        </w:rPr>
        <w:t xml:space="preserve">The </w:t>
      </w:r>
      <w:r w:rsidR="00857534">
        <w:rPr>
          <w:rFonts w:ascii="Century Gothic" w:eastAsia="Calibri" w:hAnsi="Century Gothic" w:cs="Century Gothic"/>
          <w:color w:val="000000"/>
        </w:rPr>
        <w:t>Commonwealth Environmental Water Office</w:t>
      </w:r>
      <w:r w:rsidRPr="005A53D7">
        <w:rPr>
          <w:rFonts w:ascii="Century Gothic" w:eastAsia="Calibri" w:hAnsi="Century Gothic" w:cs="Century Gothic"/>
          <w:color w:val="000000"/>
        </w:rPr>
        <w:t xml:space="preserve"> welcomes information from the community on how environmental water can best be managed. If you have any comments or suggestions, please call 1800 218 478 or send an email to: </w:t>
      </w:r>
      <w:hyperlink r:id="rId20" w:history="1">
        <w:r w:rsidR="00590E52" w:rsidRPr="003127F5">
          <w:rPr>
            <w:rStyle w:val="Hyperlink"/>
            <w:rFonts w:ascii="Century Gothic" w:eastAsia="Calibri" w:hAnsi="Century Gothic" w:cs="Century Gothic"/>
          </w:rPr>
          <w:t>ewater@environment.gov.au</w:t>
        </w:r>
      </w:hyperlink>
      <w:r w:rsidR="00326B4E" w:rsidRPr="000E3C60">
        <w:rPr>
          <w:rFonts w:ascii="Century Gothic" w:hAnsi="Century Gothic"/>
        </w:rPr>
        <w:t>.</w:t>
      </w:r>
      <w:r w:rsidRPr="005A53D7">
        <w:rPr>
          <w:rFonts w:ascii="Century Gothic" w:eastAsia="Calibri" w:hAnsi="Century Gothic" w:cs="Century Gothic"/>
          <w:color w:val="000000"/>
        </w:rPr>
        <w:t xml:space="preserve"> </w:t>
      </w:r>
    </w:p>
    <w:p w14:paraId="6C6500E0" w14:textId="1752E60C" w:rsidR="007A7A94" w:rsidRDefault="00995707">
      <w:pPr>
        <w:pStyle w:val="Heading1"/>
        <w:spacing w:after="120"/>
      </w:pPr>
      <w:r w:rsidRPr="00D93B8E">
        <w:rPr>
          <w:rFonts w:ascii="Century Gothic" w:hAnsi="Century Gothic"/>
          <w:noProof/>
          <w:szCs w:val="24"/>
        </w:rPr>
        <w:br w:type="page"/>
      </w:r>
      <w:bookmarkStart w:id="32" w:name="_Toc517264647"/>
      <w:r w:rsidR="00EC7032" w:rsidRPr="00EC7032">
        <w:lastRenderedPageBreak/>
        <w:t>Portfolio management planning</w:t>
      </w:r>
      <w:bookmarkEnd w:id="32"/>
    </w:p>
    <w:p w14:paraId="6C6500E1" w14:textId="3BEC231E" w:rsidR="007A7A94" w:rsidRDefault="00CF7C88">
      <w:pPr>
        <w:pStyle w:val="Heading11"/>
        <w:spacing w:before="0" w:after="120"/>
        <w:ind w:left="851" w:hanging="851"/>
      </w:pPr>
      <w:bookmarkStart w:id="33" w:name="_Toc444088372"/>
      <w:bookmarkStart w:id="34" w:name="_Toc444088431"/>
      <w:bookmarkStart w:id="35" w:name="_Toc444088526"/>
      <w:bookmarkStart w:id="36" w:name="_Toc444088588"/>
      <w:bookmarkStart w:id="37" w:name="_Toc444091205"/>
      <w:bookmarkStart w:id="38" w:name="_Toc444091322"/>
      <w:bookmarkStart w:id="39" w:name="_Toc444091482"/>
      <w:bookmarkStart w:id="40" w:name="_Toc444247376"/>
      <w:bookmarkStart w:id="41" w:name="_Toc444510319"/>
      <w:bookmarkStart w:id="42" w:name="_Toc444088373"/>
      <w:bookmarkStart w:id="43" w:name="_Toc444088432"/>
      <w:bookmarkStart w:id="44" w:name="_Toc444088527"/>
      <w:bookmarkStart w:id="45" w:name="_Toc444088589"/>
      <w:bookmarkStart w:id="46" w:name="_Toc444091206"/>
      <w:bookmarkStart w:id="47" w:name="_Toc444091323"/>
      <w:bookmarkStart w:id="48" w:name="_Toc444091483"/>
      <w:bookmarkStart w:id="49" w:name="_Toc444247377"/>
      <w:bookmarkStart w:id="50" w:name="_Toc444510320"/>
      <w:bookmarkStart w:id="51" w:name="_Toc444088374"/>
      <w:bookmarkStart w:id="52" w:name="_Toc444088433"/>
      <w:bookmarkStart w:id="53" w:name="_Toc444088528"/>
      <w:bookmarkStart w:id="54" w:name="_Toc444088590"/>
      <w:bookmarkStart w:id="55" w:name="_Toc444091207"/>
      <w:bookmarkStart w:id="56" w:name="_Toc444091324"/>
      <w:bookmarkStart w:id="57" w:name="_Toc444091484"/>
      <w:bookmarkStart w:id="58" w:name="_Toc444247378"/>
      <w:bookmarkStart w:id="59" w:name="_Toc444510321"/>
      <w:bookmarkStart w:id="60" w:name="_Toc444088375"/>
      <w:bookmarkStart w:id="61" w:name="_Toc444088434"/>
      <w:bookmarkStart w:id="62" w:name="_Toc444088529"/>
      <w:bookmarkStart w:id="63" w:name="_Toc444088591"/>
      <w:bookmarkStart w:id="64" w:name="_Toc444091208"/>
      <w:bookmarkStart w:id="65" w:name="_Toc444091325"/>
      <w:bookmarkStart w:id="66" w:name="_Toc444091485"/>
      <w:bookmarkStart w:id="67" w:name="_Toc444247379"/>
      <w:bookmarkStart w:id="68" w:name="_Toc444510322"/>
      <w:bookmarkStart w:id="69" w:name="_Toc444088376"/>
      <w:bookmarkStart w:id="70" w:name="_Toc444088435"/>
      <w:bookmarkStart w:id="71" w:name="_Toc444088530"/>
      <w:bookmarkStart w:id="72" w:name="_Toc444088592"/>
      <w:bookmarkStart w:id="73" w:name="_Toc444091209"/>
      <w:bookmarkStart w:id="74" w:name="_Toc444091326"/>
      <w:bookmarkStart w:id="75" w:name="_Toc444091486"/>
      <w:bookmarkStart w:id="76" w:name="_Toc444247380"/>
      <w:bookmarkStart w:id="77" w:name="_Toc444510323"/>
      <w:bookmarkStart w:id="78" w:name="_Toc444088377"/>
      <w:bookmarkStart w:id="79" w:name="_Toc444088436"/>
      <w:bookmarkStart w:id="80" w:name="_Toc444088531"/>
      <w:bookmarkStart w:id="81" w:name="_Toc444088593"/>
      <w:bookmarkStart w:id="82" w:name="_Toc444091210"/>
      <w:bookmarkStart w:id="83" w:name="_Toc444091327"/>
      <w:bookmarkStart w:id="84" w:name="_Toc444091487"/>
      <w:bookmarkStart w:id="85" w:name="_Toc444247381"/>
      <w:bookmarkStart w:id="86" w:name="_Toc444510324"/>
      <w:bookmarkStart w:id="87" w:name="_Toc444088378"/>
      <w:bookmarkStart w:id="88" w:name="_Toc444088437"/>
      <w:bookmarkStart w:id="89" w:name="_Toc444088532"/>
      <w:bookmarkStart w:id="90" w:name="_Toc444088594"/>
      <w:bookmarkStart w:id="91" w:name="_Toc444091211"/>
      <w:bookmarkStart w:id="92" w:name="_Toc444091328"/>
      <w:bookmarkStart w:id="93" w:name="_Toc444091488"/>
      <w:bookmarkStart w:id="94" w:name="_Toc444247382"/>
      <w:bookmarkStart w:id="95" w:name="_Toc444510325"/>
      <w:bookmarkStart w:id="96" w:name="_Toc444088379"/>
      <w:bookmarkStart w:id="97" w:name="_Toc444088438"/>
      <w:bookmarkStart w:id="98" w:name="_Toc444088533"/>
      <w:bookmarkStart w:id="99" w:name="_Toc444088595"/>
      <w:bookmarkStart w:id="100" w:name="_Toc444091212"/>
      <w:bookmarkStart w:id="101" w:name="_Toc444091329"/>
      <w:bookmarkStart w:id="102" w:name="_Toc444091489"/>
      <w:bookmarkStart w:id="103" w:name="_Toc444247383"/>
      <w:bookmarkStart w:id="104" w:name="_Toc444510326"/>
      <w:bookmarkStart w:id="105" w:name="_Toc420502887"/>
      <w:bookmarkStart w:id="106" w:name="_Toc420502926"/>
      <w:bookmarkStart w:id="107" w:name="_Toc420926927"/>
      <w:bookmarkStart w:id="108" w:name="_Toc422389610"/>
      <w:bookmarkStart w:id="109" w:name="_Toc444088380"/>
      <w:bookmarkStart w:id="110" w:name="_Toc444088439"/>
      <w:bookmarkStart w:id="111" w:name="_Toc444088534"/>
      <w:bookmarkStart w:id="112" w:name="_Toc444088596"/>
      <w:bookmarkStart w:id="113" w:name="_Toc444091213"/>
      <w:bookmarkStart w:id="114" w:name="_Toc444091330"/>
      <w:bookmarkStart w:id="115" w:name="_Toc444091490"/>
      <w:bookmarkStart w:id="116" w:name="_Toc444247156"/>
      <w:bookmarkStart w:id="117" w:name="_Toc444247384"/>
      <w:bookmarkStart w:id="118" w:name="_Toc444258379"/>
      <w:bookmarkStart w:id="119" w:name="_Toc444259171"/>
      <w:bookmarkStart w:id="120" w:name="_Toc444259172"/>
      <w:bookmarkStart w:id="121" w:name="_Toc517264648"/>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r>
        <w:t>Management options</w:t>
      </w:r>
      <w:bookmarkEnd w:id="121"/>
    </w:p>
    <w:p w14:paraId="6C6500E2" w14:textId="77777777" w:rsidR="00B17604" w:rsidRDefault="00F930A4">
      <w:pPr>
        <w:spacing w:after="120"/>
        <w:rPr>
          <w:rFonts w:ascii="Century Gothic" w:hAnsi="Century Gothic"/>
        </w:rPr>
      </w:pPr>
      <w:r w:rsidRPr="00F930A4">
        <w:rPr>
          <w:rFonts w:ascii="Century Gothic" w:hAnsi="Century Gothic"/>
        </w:rPr>
        <w:t xml:space="preserve">The </w:t>
      </w:r>
      <w:r w:rsidR="00CD61FD">
        <w:rPr>
          <w:rFonts w:ascii="Century Gothic" w:hAnsi="Century Gothic"/>
        </w:rPr>
        <w:t>Commonwealth Environmental Water Holder</w:t>
      </w:r>
      <w:r w:rsidR="00CD61FD" w:rsidRPr="00F930A4">
        <w:rPr>
          <w:rFonts w:ascii="Century Gothic" w:hAnsi="Century Gothic"/>
        </w:rPr>
        <w:t xml:space="preserve"> </w:t>
      </w:r>
      <w:r w:rsidRPr="00F930A4">
        <w:rPr>
          <w:rFonts w:ascii="Century Gothic" w:hAnsi="Century Gothic"/>
        </w:rPr>
        <w:t xml:space="preserve">seeks </w:t>
      </w:r>
      <w:r w:rsidR="00CD61FD" w:rsidRPr="00F930A4">
        <w:rPr>
          <w:rFonts w:ascii="Century Gothic" w:hAnsi="Century Gothic"/>
        </w:rPr>
        <w:t xml:space="preserve">to maximise environmental outcomes at a Basin-scale and over the long-term </w:t>
      </w:r>
      <w:r w:rsidR="00CD61FD">
        <w:rPr>
          <w:rFonts w:ascii="Century Gothic" w:hAnsi="Century Gothic"/>
        </w:rPr>
        <w:t>through the</w:t>
      </w:r>
      <w:r w:rsidRPr="00F930A4">
        <w:rPr>
          <w:rFonts w:ascii="Century Gothic" w:hAnsi="Century Gothic"/>
        </w:rPr>
        <w:t xml:space="preserve"> </w:t>
      </w:r>
      <w:r w:rsidR="00E64530" w:rsidRPr="00F930A4">
        <w:rPr>
          <w:rFonts w:ascii="Century Gothic" w:hAnsi="Century Gothic"/>
        </w:rPr>
        <w:t>efficient</w:t>
      </w:r>
      <w:r w:rsidR="00CD61FD">
        <w:rPr>
          <w:rFonts w:ascii="Century Gothic" w:hAnsi="Century Gothic"/>
        </w:rPr>
        <w:t>,</w:t>
      </w:r>
      <w:r w:rsidR="00E64530" w:rsidRPr="00F930A4">
        <w:rPr>
          <w:rFonts w:ascii="Century Gothic" w:hAnsi="Century Gothic"/>
        </w:rPr>
        <w:t xml:space="preserve"> effective and transparent management of the Commonwealth environmental water portfolio.</w:t>
      </w:r>
    </w:p>
    <w:p w14:paraId="6C6500E3" w14:textId="77777777" w:rsidR="00B17604" w:rsidRDefault="00E64530">
      <w:pPr>
        <w:tabs>
          <w:tab w:val="left" w:pos="1134"/>
        </w:tabs>
        <w:spacing w:after="120"/>
        <w:rPr>
          <w:rFonts w:ascii="Century Gothic" w:hAnsi="Century Gothic" w:cs="Arial"/>
          <w:highlight w:val="yellow"/>
        </w:rPr>
      </w:pPr>
      <w:bookmarkStart w:id="122" w:name="_Toc418060466"/>
      <w:r>
        <w:rPr>
          <w:rFonts w:ascii="Century Gothic" w:hAnsi="Century Gothic"/>
        </w:rPr>
        <w:t xml:space="preserve">This </w:t>
      </w:r>
      <w:r w:rsidR="00996101" w:rsidRPr="005B6F75">
        <w:rPr>
          <w:rFonts w:ascii="Century Gothic" w:hAnsi="Century Gothic"/>
        </w:rPr>
        <w:t>requires the utilisation of all portfolio management options</w:t>
      </w:r>
      <w:r w:rsidR="00C7642F">
        <w:rPr>
          <w:rFonts w:ascii="Century Gothic" w:hAnsi="Century Gothic"/>
        </w:rPr>
        <w:t>, includin</w:t>
      </w:r>
      <w:r w:rsidR="00C7642F" w:rsidRPr="00363BD9">
        <w:rPr>
          <w:rFonts w:ascii="Century Gothic" w:hAnsi="Century Gothic"/>
        </w:rPr>
        <w:t>g</w:t>
      </w:r>
      <w:r w:rsidR="000E3C60" w:rsidRPr="000E3C60">
        <w:rPr>
          <w:rFonts w:ascii="Century Gothic" w:hAnsi="Century Gothic" w:cs="Arial"/>
        </w:rPr>
        <w:t>:</w:t>
      </w:r>
    </w:p>
    <w:p w14:paraId="6C6500E4" w14:textId="0D13E8F5" w:rsidR="00B17604" w:rsidRDefault="000F3937">
      <w:pPr>
        <w:pStyle w:val="ListBullet"/>
        <w:numPr>
          <w:ilvl w:val="0"/>
          <w:numId w:val="7"/>
        </w:numPr>
        <w:tabs>
          <w:tab w:val="clear" w:pos="284"/>
        </w:tabs>
        <w:spacing w:after="120"/>
        <w:ind w:left="369" w:hanging="369"/>
        <w:rPr>
          <w:rFonts w:ascii="Century Gothic" w:hAnsi="Century Gothic"/>
        </w:rPr>
      </w:pPr>
      <w:r w:rsidRPr="00C7642F">
        <w:rPr>
          <w:rFonts w:ascii="Century Gothic" w:hAnsi="Century Gothic"/>
        </w:rPr>
        <w:t xml:space="preserve">delivering water to a river or </w:t>
      </w:r>
      <w:r w:rsidR="00361C8E">
        <w:rPr>
          <w:rFonts w:ascii="Century Gothic" w:hAnsi="Century Gothic"/>
        </w:rPr>
        <w:t>floodplain</w:t>
      </w:r>
      <w:r w:rsidRPr="00C7642F">
        <w:rPr>
          <w:rFonts w:ascii="Century Gothic" w:hAnsi="Century Gothic"/>
        </w:rPr>
        <w:t xml:space="preserve"> to meet an identified environmental demand </w:t>
      </w:r>
    </w:p>
    <w:p w14:paraId="6C6500E5" w14:textId="77777777" w:rsidR="00B17604" w:rsidRDefault="000F3937">
      <w:pPr>
        <w:pStyle w:val="ListBullet"/>
        <w:numPr>
          <w:ilvl w:val="0"/>
          <w:numId w:val="7"/>
        </w:numPr>
        <w:tabs>
          <w:tab w:val="clear" w:pos="284"/>
        </w:tabs>
        <w:spacing w:after="120"/>
        <w:ind w:left="369" w:hanging="369"/>
        <w:rPr>
          <w:rFonts w:ascii="Century Gothic" w:hAnsi="Century Gothic"/>
        </w:rPr>
      </w:pPr>
      <w:r w:rsidRPr="00C7642F">
        <w:rPr>
          <w:rFonts w:ascii="Century Gothic" w:hAnsi="Century Gothic"/>
        </w:rPr>
        <w:t>leaving water in storage and carrying it over for use in the next water year (referred to as ‘carryover’)</w:t>
      </w:r>
    </w:p>
    <w:p w14:paraId="6C6500E6" w14:textId="490F5F22" w:rsidR="00B17604" w:rsidRDefault="000F3937">
      <w:pPr>
        <w:pStyle w:val="ListBullet"/>
        <w:numPr>
          <w:ilvl w:val="0"/>
          <w:numId w:val="7"/>
        </w:numPr>
        <w:tabs>
          <w:tab w:val="clear" w:pos="284"/>
        </w:tabs>
        <w:spacing w:after="120"/>
        <w:ind w:left="369" w:hanging="369"/>
        <w:rPr>
          <w:rFonts w:ascii="Century Gothic" w:hAnsi="Century Gothic"/>
        </w:rPr>
      </w:pPr>
      <w:r w:rsidRPr="00C7642F">
        <w:rPr>
          <w:rFonts w:ascii="Century Gothic" w:hAnsi="Century Gothic"/>
        </w:rPr>
        <w:t>trading water, which includes</w:t>
      </w:r>
      <w:r w:rsidR="000703B6">
        <w:rPr>
          <w:rFonts w:ascii="Century Gothic" w:hAnsi="Century Gothic"/>
        </w:rPr>
        <w:t>:</w:t>
      </w:r>
    </w:p>
    <w:p w14:paraId="6C6500E7" w14:textId="77777777" w:rsidR="00B17604" w:rsidRDefault="00C7642F">
      <w:pPr>
        <w:pStyle w:val="ListBullet"/>
        <w:numPr>
          <w:ilvl w:val="1"/>
          <w:numId w:val="7"/>
        </w:numPr>
        <w:spacing w:after="120"/>
        <w:rPr>
          <w:rFonts w:ascii="Century Gothic" w:hAnsi="Century Gothic"/>
        </w:rPr>
      </w:pPr>
      <w:r>
        <w:rPr>
          <w:rFonts w:ascii="Century Gothic" w:hAnsi="Century Gothic"/>
        </w:rPr>
        <w:t>t</w:t>
      </w:r>
      <w:r w:rsidR="000F3937" w:rsidRPr="00C7642F">
        <w:rPr>
          <w:rFonts w:ascii="Century Gothic" w:hAnsi="Century Gothic"/>
        </w:rPr>
        <w:t>ransfer</w:t>
      </w:r>
      <w:r>
        <w:rPr>
          <w:rFonts w:ascii="Century Gothic" w:hAnsi="Century Gothic"/>
        </w:rPr>
        <w:t>ring</w:t>
      </w:r>
      <w:r w:rsidR="000F3937" w:rsidRPr="00C7642F">
        <w:rPr>
          <w:rFonts w:ascii="Century Gothic" w:hAnsi="Century Gothic"/>
        </w:rPr>
        <w:t xml:space="preserve"> water between entitlements in connected catchments </w:t>
      </w:r>
    </w:p>
    <w:p w14:paraId="6C6500E8" w14:textId="77777777" w:rsidR="00B17604" w:rsidRDefault="00C7642F">
      <w:pPr>
        <w:pStyle w:val="ListBullet"/>
        <w:numPr>
          <w:ilvl w:val="1"/>
          <w:numId w:val="7"/>
        </w:numPr>
        <w:spacing w:after="120"/>
        <w:rPr>
          <w:rFonts w:ascii="Century Gothic" w:hAnsi="Century Gothic"/>
        </w:rPr>
      </w:pPr>
      <w:r w:rsidRPr="00C7642F">
        <w:rPr>
          <w:rFonts w:ascii="Century Gothic" w:hAnsi="Century Gothic"/>
        </w:rPr>
        <w:t>buying and s</w:t>
      </w:r>
      <w:r w:rsidR="000F3937" w:rsidRPr="00C7642F">
        <w:rPr>
          <w:rFonts w:ascii="Century Gothic" w:hAnsi="Century Gothic"/>
        </w:rPr>
        <w:t xml:space="preserve">elling water </w:t>
      </w:r>
      <w:r w:rsidRPr="00C7642F">
        <w:rPr>
          <w:rFonts w:ascii="Century Gothic" w:hAnsi="Century Gothic"/>
        </w:rPr>
        <w:t>allocations</w:t>
      </w:r>
      <w:r>
        <w:rPr>
          <w:rFonts w:ascii="Century Gothic" w:hAnsi="Century Gothic"/>
        </w:rPr>
        <w:t xml:space="preserve"> </w:t>
      </w:r>
    </w:p>
    <w:p w14:paraId="6C6500E9" w14:textId="77777777" w:rsidR="00B17604" w:rsidRPr="000C1F89" w:rsidRDefault="000E3C60">
      <w:pPr>
        <w:pStyle w:val="ListBullet"/>
        <w:numPr>
          <w:ilvl w:val="0"/>
          <w:numId w:val="7"/>
        </w:numPr>
        <w:tabs>
          <w:tab w:val="clear" w:pos="284"/>
        </w:tabs>
        <w:spacing w:after="120"/>
        <w:ind w:left="369" w:hanging="369"/>
        <w:rPr>
          <w:rFonts w:ascii="Century Gothic" w:hAnsi="Century Gothic"/>
        </w:rPr>
      </w:pPr>
      <w:r w:rsidRPr="000C1F89">
        <w:rPr>
          <w:rFonts w:ascii="Century Gothic" w:hAnsi="Century Gothic"/>
        </w:rPr>
        <w:t>investing in activities that improve the outcomes from Commonwealth environmental water.</w:t>
      </w:r>
    </w:p>
    <w:p w14:paraId="6C6500EA" w14:textId="77777777" w:rsidR="00B17604" w:rsidRDefault="004543FB">
      <w:pPr>
        <w:pStyle w:val="Heading11"/>
        <w:spacing w:before="0" w:after="120"/>
        <w:ind w:left="851" w:hanging="851"/>
      </w:pPr>
      <w:bookmarkStart w:id="123" w:name="_Toc517264649"/>
      <w:r w:rsidRPr="004543FB">
        <w:t>Why do we undertake portfolio management planning</w:t>
      </w:r>
      <w:bookmarkEnd w:id="123"/>
    </w:p>
    <w:p w14:paraId="6C6500EB" w14:textId="54C0F700" w:rsidR="00B17604" w:rsidRDefault="0070351B">
      <w:pPr>
        <w:spacing w:after="120"/>
        <w:rPr>
          <w:rFonts w:ascii="Century Gothic" w:hAnsi="Century Gothic"/>
        </w:rPr>
      </w:pPr>
      <w:r>
        <w:rPr>
          <w:rFonts w:ascii="Century Gothic" w:hAnsi="Century Gothic"/>
        </w:rPr>
        <w:t>Planning supports decisions on how to optimise water use across water years and across catchments. For example</w:t>
      </w:r>
      <w:r w:rsidR="00996101">
        <w:rPr>
          <w:rFonts w:ascii="Century Gothic" w:hAnsi="Century Gothic"/>
        </w:rPr>
        <w:t>, c</w:t>
      </w:r>
      <w:r w:rsidR="00996101" w:rsidRPr="005B6F75">
        <w:rPr>
          <w:rFonts w:ascii="Century Gothic" w:hAnsi="Century Gothic"/>
        </w:rPr>
        <w:t>arryover provides the opportunity to optimise water use across water years</w:t>
      </w:r>
      <w:r w:rsidR="00996101">
        <w:rPr>
          <w:rFonts w:ascii="Century Gothic" w:hAnsi="Century Gothic"/>
        </w:rPr>
        <w:t xml:space="preserve"> and to improve water availability early in a water year</w:t>
      </w:r>
      <w:r w:rsidR="00046F6F">
        <w:rPr>
          <w:rFonts w:ascii="Century Gothic" w:hAnsi="Century Gothic"/>
        </w:rPr>
        <w:t xml:space="preserve">. </w:t>
      </w:r>
      <w:r w:rsidR="000F3937">
        <w:rPr>
          <w:rFonts w:ascii="Century Gothic" w:hAnsi="Century Gothic"/>
        </w:rPr>
        <w:t xml:space="preserve">Transferring water between entitlements supports the optimisation of water across catchments. </w:t>
      </w:r>
      <w:r w:rsidR="00046F6F">
        <w:rPr>
          <w:rFonts w:ascii="Century Gothic" w:hAnsi="Century Gothic"/>
        </w:rPr>
        <w:t>Allocation</w:t>
      </w:r>
      <w:r w:rsidR="00996101" w:rsidRPr="005B6F75">
        <w:rPr>
          <w:rFonts w:ascii="Century Gothic" w:hAnsi="Century Gothic"/>
        </w:rPr>
        <w:t xml:space="preserve"> trade</w:t>
      </w:r>
      <w:r w:rsidR="00046F6F">
        <w:rPr>
          <w:rFonts w:ascii="Century Gothic" w:hAnsi="Century Gothic"/>
        </w:rPr>
        <w:t xml:space="preserve"> (buying or selling)</w:t>
      </w:r>
      <w:r w:rsidR="00996101" w:rsidRPr="005B6F75">
        <w:rPr>
          <w:rFonts w:ascii="Century Gothic" w:hAnsi="Century Gothic"/>
        </w:rPr>
        <w:t xml:space="preserve"> provides </w:t>
      </w:r>
      <w:r w:rsidR="00996101">
        <w:rPr>
          <w:rFonts w:ascii="Century Gothic" w:hAnsi="Century Gothic"/>
        </w:rPr>
        <w:t xml:space="preserve">further </w:t>
      </w:r>
      <w:r w:rsidR="00996101" w:rsidRPr="005B6F75">
        <w:rPr>
          <w:rFonts w:ascii="Century Gothic" w:hAnsi="Century Gothic"/>
        </w:rPr>
        <w:t>capacity to optimise use over the long-term as well as across catchments.</w:t>
      </w:r>
      <w:bookmarkEnd w:id="122"/>
    </w:p>
    <w:p w14:paraId="6C6500EC" w14:textId="2C387BFE" w:rsidR="00B17604" w:rsidRDefault="0070351B">
      <w:pPr>
        <w:spacing w:after="120"/>
        <w:rPr>
          <w:rFonts w:ascii="Century Gothic" w:hAnsi="Century Gothic"/>
        </w:rPr>
      </w:pPr>
      <w:bookmarkStart w:id="124" w:name="_Toc418060467"/>
      <w:r>
        <w:rPr>
          <w:rFonts w:ascii="Century Gothic" w:hAnsi="Century Gothic"/>
        </w:rPr>
        <w:t>P</w:t>
      </w:r>
      <w:r w:rsidR="00996101" w:rsidRPr="00546DE7">
        <w:rPr>
          <w:rFonts w:ascii="Century Gothic" w:hAnsi="Century Gothic"/>
        </w:rPr>
        <w:t>ortfolio management planning also support</w:t>
      </w:r>
      <w:r w:rsidR="00C16AF3">
        <w:rPr>
          <w:rFonts w:ascii="Century Gothic" w:hAnsi="Century Gothic"/>
        </w:rPr>
        <w:t>s</w:t>
      </w:r>
      <w:r w:rsidR="00996101" w:rsidRPr="00546DE7">
        <w:rPr>
          <w:rFonts w:ascii="Century Gothic" w:hAnsi="Century Gothic"/>
        </w:rPr>
        <w:t xml:space="preserve"> the </w:t>
      </w:r>
      <w:r w:rsidR="00857534">
        <w:rPr>
          <w:rFonts w:ascii="Century Gothic" w:hAnsi="Century Gothic"/>
        </w:rPr>
        <w:t xml:space="preserve">Commonwealth Environmental Water Holder </w:t>
      </w:r>
      <w:r w:rsidR="00996101" w:rsidRPr="00546DE7">
        <w:rPr>
          <w:rFonts w:ascii="Century Gothic" w:hAnsi="Century Gothic"/>
        </w:rPr>
        <w:t>in:</w:t>
      </w:r>
      <w:bookmarkEnd w:id="124"/>
    </w:p>
    <w:p w14:paraId="6C6500ED" w14:textId="77777777" w:rsidR="00B17604" w:rsidRDefault="00996101">
      <w:pPr>
        <w:numPr>
          <w:ilvl w:val="0"/>
          <w:numId w:val="9"/>
        </w:numPr>
        <w:spacing w:after="120"/>
        <w:rPr>
          <w:rFonts w:ascii="Century Gothic" w:hAnsi="Century Gothic"/>
        </w:rPr>
      </w:pPr>
      <w:r w:rsidRPr="00546DE7">
        <w:rPr>
          <w:rFonts w:ascii="Century Gothic" w:hAnsi="Century Gothic"/>
        </w:rPr>
        <w:t>meeting Basin Plan</w:t>
      </w:r>
      <w:r>
        <w:rPr>
          <w:rFonts w:ascii="Century Gothic" w:hAnsi="Century Gothic"/>
        </w:rPr>
        <w:t xml:space="preserve"> obligations and contributing to the long-</w:t>
      </w:r>
      <w:r w:rsidRPr="004B627A">
        <w:rPr>
          <w:rFonts w:ascii="Century Gothic" w:hAnsi="Century Gothic"/>
        </w:rPr>
        <w:t>term objectives of the environmental watering plan</w:t>
      </w:r>
      <w:r>
        <w:rPr>
          <w:rFonts w:ascii="Century Gothic" w:hAnsi="Century Gothic"/>
        </w:rPr>
        <w:t>,</w:t>
      </w:r>
      <w:r w:rsidRPr="004B627A">
        <w:rPr>
          <w:rFonts w:ascii="Century Gothic" w:hAnsi="Century Gothic"/>
        </w:rPr>
        <w:t xml:space="preserve"> the</w:t>
      </w:r>
      <w:r>
        <w:rPr>
          <w:rFonts w:ascii="Century Gothic" w:hAnsi="Century Gothic"/>
        </w:rPr>
        <w:t xml:space="preserve"> expected outcomes in the</w:t>
      </w:r>
      <w:r w:rsidRPr="004B627A">
        <w:rPr>
          <w:rFonts w:ascii="Century Gothic" w:hAnsi="Century Gothic"/>
        </w:rPr>
        <w:t xml:space="preserve"> Basin-wide environmental watering strategy</w:t>
      </w:r>
      <w:r>
        <w:rPr>
          <w:rFonts w:ascii="Century Gothic" w:hAnsi="Century Gothic"/>
        </w:rPr>
        <w:t xml:space="preserve"> and Basin annual environmental watering priorities</w:t>
      </w:r>
    </w:p>
    <w:p w14:paraId="6C6500EE" w14:textId="77777777" w:rsidR="00B17604" w:rsidRDefault="00996101">
      <w:pPr>
        <w:numPr>
          <w:ilvl w:val="0"/>
          <w:numId w:val="9"/>
        </w:numPr>
        <w:spacing w:after="120"/>
        <w:rPr>
          <w:rFonts w:ascii="Century Gothic" w:hAnsi="Century Gothic"/>
        </w:rPr>
      </w:pPr>
      <w:r w:rsidRPr="0068402E">
        <w:rPr>
          <w:rFonts w:ascii="Century Gothic" w:hAnsi="Century Gothic"/>
        </w:rPr>
        <w:t xml:space="preserve">managing the Commonwealth environmental water portfolio in response to the demands identified by Basin States </w:t>
      </w:r>
      <w:r>
        <w:rPr>
          <w:rFonts w:ascii="Century Gothic" w:hAnsi="Century Gothic"/>
        </w:rPr>
        <w:t xml:space="preserve">in </w:t>
      </w:r>
      <w:r w:rsidRPr="0068402E">
        <w:rPr>
          <w:rFonts w:ascii="Century Gothic" w:hAnsi="Century Gothic"/>
        </w:rPr>
        <w:t>long-term environmental watering plans</w:t>
      </w:r>
      <w:r>
        <w:rPr>
          <w:rFonts w:ascii="Century Gothic" w:hAnsi="Century Gothic"/>
        </w:rPr>
        <w:t xml:space="preserve"> </w:t>
      </w:r>
      <w:r w:rsidR="00CD61FD">
        <w:rPr>
          <w:rFonts w:ascii="Century Gothic" w:hAnsi="Century Gothic"/>
        </w:rPr>
        <w:t>(</w:t>
      </w:r>
      <w:r w:rsidR="0070351B">
        <w:rPr>
          <w:rFonts w:ascii="Century Gothic" w:hAnsi="Century Gothic"/>
        </w:rPr>
        <w:t xml:space="preserve">where </w:t>
      </w:r>
      <w:r>
        <w:rPr>
          <w:rFonts w:ascii="Century Gothic" w:hAnsi="Century Gothic"/>
        </w:rPr>
        <w:t>available</w:t>
      </w:r>
      <w:r w:rsidR="00CD61FD">
        <w:rPr>
          <w:rFonts w:ascii="Century Gothic" w:hAnsi="Century Gothic"/>
        </w:rPr>
        <w:t>)</w:t>
      </w:r>
    </w:p>
    <w:p w14:paraId="6C6500EF" w14:textId="77777777" w:rsidR="00B17604" w:rsidRDefault="00996101">
      <w:pPr>
        <w:numPr>
          <w:ilvl w:val="0"/>
          <w:numId w:val="9"/>
        </w:numPr>
        <w:spacing w:after="120"/>
        <w:rPr>
          <w:rFonts w:ascii="Century Gothic" w:hAnsi="Century Gothic"/>
        </w:rPr>
      </w:pPr>
      <w:r>
        <w:rPr>
          <w:rFonts w:ascii="Century Gothic" w:hAnsi="Century Gothic"/>
        </w:rPr>
        <w:t>applying adaptive management (including the setting of objectives, evaluating outcomes and informing future decision making)</w:t>
      </w:r>
    </w:p>
    <w:p w14:paraId="6C6500F0" w14:textId="3BC13403" w:rsidR="00B17604" w:rsidRDefault="00996101">
      <w:pPr>
        <w:numPr>
          <w:ilvl w:val="0"/>
          <w:numId w:val="9"/>
        </w:numPr>
        <w:spacing w:after="120"/>
        <w:rPr>
          <w:rFonts w:ascii="Century Gothic" w:hAnsi="Century Gothic"/>
        </w:rPr>
      </w:pPr>
      <w:r w:rsidRPr="00546DE7">
        <w:rPr>
          <w:rFonts w:ascii="Century Gothic" w:hAnsi="Century Gothic"/>
        </w:rPr>
        <w:t xml:space="preserve">providing </w:t>
      </w:r>
      <w:r>
        <w:rPr>
          <w:rFonts w:ascii="Century Gothic" w:hAnsi="Century Gothic"/>
        </w:rPr>
        <w:t>increased</w:t>
      </w:r>
      <w:r w:rsidRPr="00546DE7">
        <w:rPr>
          <w:rFonts w:ascii="Century Gothic" w:hAnsi="Century Gothic"/>
        </w:rPr>
        <w:t xml:space="preserve"> </w:t>
      </w:r>
      <w:r>
        <w:rPr>
          <w:rFonts w:ascii="Century Gothic" w:hAnsi="Century Gothic"/>
        </w:rPr>
        <w:t xml:space="preserve">transparency in relation to the </w:t>
      </w:r>
      <w:r w:rsidR="00857534">
        <w:rPr>
          <w:rFonts w:ascii="Century Gothic" w:hAnsi="Century Gothic"/>
        </w:rPr>
        <w:t>Commonwealth Environmental Water Holder</w:t>
      </w:r>
      <w:r>
        <w:rPr>
          <w:rFonts w:ascii="Century Gothic" w:hAnsi="Century Gothic"/>
        </w:rPr>
        <w:t>’s portfolio management</w:t>
      </w:r>
      <w:r w:rsidRPr="00546DE7">
        <w:rPr>
          <w:rFonts w:ascii="Century Gothic" w:hAnsi="Century Gothic"/>
        </w:rPr>
        <w:t xml:space="preserve"> </w:t>
      </w:r>
      <w:r>
        <w:rPr>
          <w:rFonts w:ascii="Century Gothic" w:hAnsi="Century Gothic"/>
        </w:rPr>
        <w:t>(</w:t>
      </w:r>
      <w:r w:rsidRPr="00546DE7">
        <w:rPr>
          <w:rFonts w:ascii="Century Gothic" w:hAnsi="Century Gothic"/>
        </w:rPr>
        <w:t>use, trade and carryover</w:t>
      </w:r>
      <w:r>
        <w:rPr>
          <w:rFonts w:ascii="Century Gothic" w:hAnsi="Century Gothic"/>
        </w:rPr>
        <w:t>) behaviour</w:t>
      </w:r>
    </w:p>
    <w:p w14:paraId="6C6500F1" w14:textId="77777777" w:rsidR="00B17604" w:rsidRDefault="00996101">
      <w:pPr>
        <w:numPr>
          <w:ilvl w:val="0"/>
          <w:numId w:val="9"/>
        </w:numPr>
        <w:spacing w:after="120"/>
        <w:rPr>
          <w:rFonts w:ascii="Century Gothic" w:hAnsi="Century Gothic"/>
        </w:rPr>
      </w:pPr>
      <w:r>
        <w:rPr>
          <w:rFonts w:ascii="Century Gothic" w:hAnsi="Century Gothic"/>
        </w:rPr>
        <w:t xml:space="preserve">coordinating water use with delivery partners, including </w:t>
      </w:r>
      <w:r w:rsidRPr="00546DE7">
        <w:rPr>
          <w:rFonts w:ascii="Century Gothic" w:hAnsi="Century Gothic"/>
        </w:rPr>
        <w:t xml:space="preserve">developing </w:t>
      </w:r>
      <w:r>
        <w:rPr>
          <w:rFonts w:ascii="Century Gothic" w:hAnsi="Century Gothic"/>
        </w:rPr>
        <w:t>long-term delivery arrangements</w:t>
      </w:r>
      <w:r w:rsidR="00995707">
        <w:rPr>
          <w:rFonts w:ascii="Century Gothic" w:hAnsi="Century Gothic"/>
        </w:rPr>
        <w:t>.</w:t>
      </w:r>
      <w:r w:rsidRPr="00546DE7">
        <w:rPr>
          <w:rFonts w:ascii="Century Gothic" w:hAnsi="Century Gothic"/>
        </w:rPr>
        <w:t xml:space="preserve"> </w:t>
      </w:r>
      <w:bookmarkStart w:id="125" w:name="_Toc418060468"/>
      <w:bookmarkStart w:id="126" w:name="_Toc396916454"/>
      <w:bookmarkStart w:id="127" w:name="_Toc414367226"/>
    </w:p>
    <w:p w14:paraId="6C6500F2" w14:textId="35FAA857" w:rsidR="00B17604" w:rsidRDefault="0016046B">
      <w:pPr>
        <w:pStyle w:val="ListParagraph"/>
        <w:numPr>
          <w:ilvl w:val="0"/>
          <w:numId w:val="0"/>
        </w:numPr>
        <w:spacing w:after="120"/>
        <w:rPr>
          <w:rFonts w:ascii="Century Gothic" w:hAnsi="Century Gothic"/>
        </w:rPr>
      </w:pPr>
      <w:r w:rsidRPr="0016046B">
        <w:rPr>
          <w:rFonts w:ascii="Century Gothic" w:hAnsi="Century Gothic"/>
        </w:rPr>
        <w:t xml:space="preserve">Consistent with the </w:t>
      </w:r>
      <w:r w:rsidR="00857534">
        <w:rPr>
          <w:rFonts w:ascii="Century Gothic" w:hAnsi="Century Gothic"/>
        </w:rPr>
        <w:t>Commonwealth Environmental Water Holder</w:t>
      </w:r>
      <w:r w:rsidR="00F36E16">
        <w:rPr>
          <w:rFonts w:ascii="Century Gothic" w:hAnsi="Century Gothic"/>
        </w:rPr>
        <w:t>’s commitment to</w:t>
      </w:r>
      <w:r w:rsidRPr="0016046B">
        <w:rPr>
          <w:rFonts w:ascii="Century Gothic" w:hAnsi="Century Gothic"/>
        </w:rPr>
        <w:t xml:space="preserve"> adaptive</w:t>
      </w:r>
      <w:r w:rsidR="00F36E16">
        <w:rPr>
          <w:rFonts w:ascii="Century Gothic" w:hAnsi="Century Gothic"/>
        </w:rPr>
        <w:t>ly</w:t>
      </w:r>
      <w:r w:rsidRPr="0016046B">
        <w:rPr>
          <w:rFonts w:ascii="Century Gothic" w:hAnsi="Century Gothic"/>
        </w:rPr>
        <w:t xml:space="preserve"> manage Commonwealth environmental water, </w:t>
      </w:r>
      <w:r w:rsidR="00C16AF3">
        <w:rPr>
          <w:rFonts w:ascii="Century Gothic" w:hAnsi="Century Gothic"/>
        </w:rPr>
        <w:t xml:space="preserve">portfolio management </w:t>
      </w:r>
      <w:r w:rsidRPr="0016046B">
        <w:rPr>
          <w:rFonts w:ascii="Century Gothic" w:hAnsi="Century Gothic"/>
        </w:rPr>
        <w:t xml:space="preserve">plans </w:t>
      </w:r>
      <w:r w:rsidR="00C16AF3">
        <w:rPr>
          <w:rFonts w:ascii="Century Gothic" w:hAnsi="Century Gothic"/>
        </w:rPr>
        <w:t>are</w:t>
      </w:r>
      <w:r w:rsidRPr="0016046B">
        <w:rPr>
          <w:rFonts w:ascii="Century Gothic" w:hAnsi="Century Gothic"/>
        </w:rPr>
        <w:t xml:space="preserve"> periodically reviewed throughout the year in light of changes in water availability, environmental demands, constraints, risks and market conditions. </w:t>
      </w:r>
      <w:r w:rsidR="00F36E16">
        <w:rPr>
          <w:rFonts w:ascii="Century Gothic" w:hAnsi="Century Gothic"/>
        </w:rPr>
        <w:t>P</w:t>
      </w:r>
      <w:r w:rsidRPr="0016046B">
        <w:rPr>
          <w:rFonts w:ascii="Century Gothic" w:hAnsi="Century Gothic"/>
        </w:rPr>
        <w:t>ortfolio management statements</w:t>
      </w:r>
      <w:r w:rsidR="00F36E16">
        <w:rPr>
          <w:rFonts w:ascii="Century Gothic" w:hAnsi="Century Gothic"/>
        </w:rPr>
        <w:t xml:space="preserve">, which provide updates on the latest intentions, are published </w:t>
      </w:r>
      <w:r w:rsidRPr="0016046B">
        <w:rPr>
          <w:rFonts w:ascii="Century Gothic" w:hAnsi="Century Gothic"/>
        </w:rPr>
        <w:t>every three months</w:t>
      </w:r>
      <w:r w:rsidR="00F36E16">
        <w:rPr>
          <w:rFonts w:ascii="Century Gothic" w:hAnsi="Century Gothic"/>
        </w:rPr>
        <w:t xml:space="preserve"> on the </w:t>
      </w:r>
      <w:r w:rsidR="000F69B7">
        <w:rPr>
          <w:rFonts w:ascii="Century Gothic" w:hAnsi="Century Gothic"/>
        </w:rPr>
        <w:t>Office’s website</w:t>
      </w:r>
      <w:r w:rsidRPr="0016046B">
        <w:rPr>
          <w:rFonts w:ascii="Century Gothic" w:hAnsi="Century Gothic"/>
        </w:rPr>
        <w:t xml:space="preserve">. </w:t>
      </w:r>
    </w:p>
    <w:p w14:paraId="6C6500F3" w14:textId="77777777" w:rsidR="007A7A94" w:rsidRDefault="007A7A94">
      <w:pPr>
        <w:pStyle w:val="ListParagraph"/>
        <w:numPr>
          <w:ilvl w:val="0"/>
          <w:numId w:val="0"/>
        </w:numPr>
        <w:spacing w:after="120"/>
        <w:jc w:val="left"/>
        <w:rPr>
          <w:rFonts w:ascii="Century Gothic" w:hAnsi="Century Gothic"/>
        </w:rPr>
      </w:pPr>
    </w:p>
    <w:p w14:paraId="6C6500F4" w14:textId="77777777" w:rsidR="007A7A94" w:rsidRDefault="007A7A94">
      <w:pPr>
        <w:spacing w:after="120"/>
        <w:ind w:right="866"/>
        <w:jc w:val="left"/>
        <w:outlineLvl w:val="0"/>
        <w:rPr>
          <w:rFonts w:ascii="Century Gothic" w:hAnsi="Century Gothic"/>
        </w:rPr>
      </w:pPr>
      <w:bookmarkStart w:id="128" w:name="_Toc444088382"/>
      <w:bookmarkStart w:id="129" w:name="_Toc444088441"/>
      <w:bookmarkStart w:id="130" w:name="_Toc444088536"/>
      <w:bookmarkStart w:id="131" w:name="_Toc444088598"/>
      <w:bookmarkStart w:id="132" w:name="_Toc444091215"/>
      <w:bookmarkStart w:id="133" w:name="_Toc444091332"/>
      <w:bookmarkStart w:id="134" w:name="_Toc444091492"/>
      <w:bookmarkStart w:id="135" w:name="_Toc444247158"/>
      <w:bookmarkStart w:id="136" w:name="_Toc444247386"/>
      <w:bookmarkStart w:id="137" w:name="_Toc444258381"/>
      <w:bookmarkStart w:id="138" w:name="_Toc444259174"/>
      <w:bookmarkEnd w:id="125"/>
      <w:bookmarkEnd w:id="128"/>
      <w:bookmarkEnd w:id="129"/>
      <w:bookmarkEnd w:id="130"/>
      <w:bookmarkEnd w:id="131"/>
      <w:bookmarkEnd w:id="132"/>
      <w:bookmarkEnd w:id="133"/>
      <w:bookmarkEnd w:id="134"/>
      <w:bookmarkEnd w:id="135"/>
      <w:bookmarkEnd w:id="136"/>
      <w:bookmarkEnd w:id="137"/>
      <w:bookmarkEnd w:id="138"/>
    </w:p>
    <w:p w14:paraId="6C6500F5" w14:textId="77777777" w:rsidR="007A7A94" w:rsidRDefault="007A7A94">
      <w:pPr>
        <w:spacing w:after="120"/>
        <w:ind w:right="866"/>
        <w:jc w:val="left"/>
        <w:outlineLvl w:val="0"/>
        <w:rPr>
          <w:rFonts w:ascii="Century Gothic" w:hAnsi="Century Gothic"/>
        </w:rPr>
      </w:pPr>
    </w:p>
    <w:p w14:paraId="6C6500F6" w14:textId="77777777" w:rsidR="00F75C5A" w:rsidRDefault="00F75C5A" w:rsidP="006026F2">
      <w:pPr>
        <w:spacing w:after="120"/>
        <w:ind w:right="866"/>
        <w:jc w:val="left"/>
        <w:outlineLvl w:val="0"/>
        <w:rPr>
          <w:rFonts w:ascii="Century Gothic" w:hAnsi="Century Gothic"/>
        </w:rPr>
        <w:sectPr w:rsidR="00F75C5A" w:rsidSect="00D8493A">
          <w:pgSz w:w="11906" w:h="16838"/>
          <w:pgMar w:top="851" w:right="1276" w:bottom="567" w:left="1418" w:header="425" w:footer="187" w:gutter="0"/>
          <w:pgNumType w:start="0"/>
          <w:cols w:space="708"/>
          <w:titlePg/>
          <w:docGrid w:linePitch="360"/>
        </w:sectPr>
      </w:pPr>
    </w:p>
    <w:p w14:paraId="6C6500F7" w14:textId="77777777" w:rsidR="007A7A94" w:rsidRDefault="00BF791F">
      <w:pPr>
        <w:pStyle w:val="Heading11"/>
        <w:spacing w:before="0" w:after="120"/>
        <w:ind w:left="851" w:hanging="851"/>
      </w:pPr>
      <w:bookmarkStart w:id="139" w:name="_Toc517264650"/>
      <w:bookmarkStart w:id="140" w:name="_Toc414367238"/>
      <w:bookmarkEnd w:id="126"/>
      <w:bookmarkEnd w:id="127"/>
      <w:r>
        <w:lastRenderedPageBreak/>
        <w:t>What are we trying to achieve?</w:t>
      </w:r>
      <w:bookmarkEnd w:id="139"/>
    </w:p>
    <w:p w14:paraId="6C6500F8" w14:textId="557300D3" w:rsidR="00B17604" w:rsidRDefault="00EC7032">
      <w:pPr>
        <w:spacing w:after="120"/>
        <w:rPr>
          <w:rFonts w:ascii="Century Gothic" w:hAnsi="Century Gothic"/>
        </w:rPr>
      </w:pPr>
      <w:r w:rsidRPr="00EC7032">
        <w:rPr>
          <w:rFonts w:ascii="Century Gothic" w:hAnsi="Century Gothic"/>
        </w:rPr>
        <w:t xml:space="preserve">The </w:t>
      </w:r>
      <w:r w:rsidRPr="00EC7032">
        <w:rPr>
          <w:rFonts w:ascii="Century Gothic" w:hAnsi="Century Gothic"/>
          <w:b/>
          <w:color w:val="0070C0"/>
        </w:rPr>
        <w:t>Basin Plan</w:t>
      </w:r>
      <w:r w:rsidRPr="00EC7032">
        <w:rPr>
          <w:rFonts w:ascii="Century Gothic" w:hAnsi="Century Gothic"/>
        </w:rPr>
        <w:t xml:space="preserve">’s environmental watering plan establishes the objectives, processes and principles that guide the management of environmental water by the MDBA, Basin States and the </w:t>
      </w:r>
      <w:r w:rsidR="00857534">
        <w:rPr>
          <w:rFonts w:ascii="Century Gothic" w:hAnsi="Century Gothic"/>
        </w:rPr>
        <w:t>Commonwealth Environmental Water Holder</w:t>
      </w:r>
      <w:r w:rsidRPr="00EC7032">
        <w:rPr>
          <w:rFonts w:ascii="Century Gothic" w:hAnsi="Century Gothic"/>
        </w:rPr>
        <w:t xml:space="preserve">. The environmental watering plan and its supplementary documents provide key inputs into the planning and use of Commonwealth environmental water. In particular, they identify the long-term and annual environmental demands across the Basin.  </w:t>
      </w:r>
    </w:p>
    <w:p w14:paraId="6C6500F9" w14:textId="77777777" w:rsidR="007A7A94" w:rsidRDefault="000E3C60">
      <w:pPr>
        <w:pStyle w:val="Heading11"/>
        <w:numPr>
          <w:ilvl w:val="2"/>
          <w:numId w:val="66"/>
        </w:numPr>
        <w:spacing w:before="0" w:after="120"/>
        <w:ind w:left="1418" w:hanging="704"/>
        <w:rPr>
          <w:rFonts w:cs="Arial"/>
        </w:rPr>
      </w:pPr>
      <w:bookmarkStart w:id="141" w:name="_Toc430087314"/>
      <w:bookmarkStart w:id="142" w:name="_Toc517264651"/>
      <w:r w:rsidRPr="000E3C60">
        <w:rPr>
          <w:rFonts w:ascii="Century Gothic" w:hAnsi="Century Gothic" w:cs="Arial"/>
          <w:sz w:val="24"/>
          <w:szCs w:val="24"/>
        </w:rPr>
        <w:t>Basin-wide long-term environmental objectives and outcomes</w:t>
      </w:r>
      <w:bookmarkEnd w:id="141"/>
      <w:bookmarkEnd w:id="142"/>
      <w:r w:rsidRPr="000E3C60">
        <w:rPr>
          <w:rFonts w:ascii="Century Gothic" w:hAnsi="Century Gothic" w:cs="Arial"/>
          <w:sz w:val="24"/>
          <w:szCs w:val="24"/>
        </w:rPr>
        <w:t xml:space="preserve"> </w:t>
      </w:r>
    </w:p>
    <w:p w14:paraId="6C6500FA" w14:textId="77777777" w:rsidR="00B17604" w:rsidRDefault="00EC7032">
      <w:pPr>
        <w:pStyle w:val="ListBullet"/>
        <w:numPr>
          <w:ilvl w:val="0"/>
          <w:numId w:val="0"/>
        </w:numPr>
        <w:spacing w:after="120"/>
        <w:rPr>
          <w:rFonts w:ascii="Century Gothic" w:hAnsi="Century Gothic"/>
        </w:rPr>
      </w:pPr>
      <w:r w:rsidRPr="00EC7032">
        <w:rPr>
          <w:rFonts w:ascii="Century Gothic" w:hAnsi="Century Gothic"/>
        </w:rPr>
        <w:t xml:space="preserve">The </w:t>
      </w:r>
      <w:r w:rsidRPr="00EC7032">
        <w:rPr>
          <w:rFonts w:ascii="Century Gothic" w:hAnsi="Century Gothic"/>
          <w:b/>
          <w:color w:val="0070C0"/>
        </w:rPr>
        <w:t>environmental watering plan</w:t>
      </w:r>
      <w:r w:rsidRPr="00EC7032">
        <w:rPr>
          <w:rFonts w:ascii="Century Gothic" w:hAnsi="Century Gothic"/>
          <w:color w:val="000000" w:themeColor="text1"/>
        </w:rPr>
        <w:t>’s</w:t>
      </w:r>
      <w:r w:rsidRPr="00EC7032">
        <w:rPr>
          <w:rFonts w:ascii="Century Gothic" w:hAnsi="Century Gothic"/>
        </w:rPr>
        <w:t xml:space="preserve"> overall objectives can be summarised as:</w:t>
      </w:r>
    </w:p>
    <w:p w14:paraId="6C6500FB" w14:textId="77777777" w:rsidR="00B17604" w:rsidRDefault="00EC7032" w:rsidP="00623ACD">
      <w:pPr>
        <w:numPr>
          <w:ilvl w:val="0"/>
          <w:numId w:val="17"/>
        </w:numPr>
        <w:spacing w:after="120"/>
        <w:ind w:left="426"/>
        <w:rPr>
          <w:rFonts w:ascii="Century Gothic" w:hAnsi="Century Gothic"/>
          <w:lang w:val="en-GB"/>
        </w:rPr>
      </w:pPr>
      <w:r w:rsidRPr="00EC7032">
        <w:rPr>
          <w:rFonts w:ascii="Century Gothic" w:hAnsi="Century Gothic"/>
          <w:lang w:val="en-GB"/>
        </w:rPr>
        <w:t>protect and restore the Basin’s water-dependent ecosystems (that is, the rivers, wetlands and floodplains of the Basin, and the native plants and animals they support)</w:t>
      </w:r>
    </w:p>
    <w:p w14:paraId="6C6500FC" w14:textId="77777777" w:rsidR="00B17604" w:rsidRDefault="00EC7032" w:rsidP="00623ACD">
      <w:pPr>
        <w:numPr>
          <w:ilvl w:val="0"/>
          <w:numId w:val="17"/>
        </w:numPr>
        <w:spacing w:after="120"/>
        <w:ind w:left="426"/>
        <w:rPr>
          <w:rFonts w:ascii="Century Gothic" w:hAnsi="Century Gothic"/>
          <w:lang w:val="en-GB"/>
        </w:rPr>
      </w:pPr>
      <w:r w:rsidRPr="00EC7032">
        <w:rPr>
          <w:rFonts w:ascii="Century Gothic" w:hAnsi="Century Gothic"/>
          <w:lang w:val="en-GB"/>
        </w:rPr>
        <w:t xml:space="preserve">protect and restore the functions that underpin these ecosystems; and </w:t>
      </w:r>
    </w:p>
    <w:p w14:paraId="6C6500FD" w14:textId="77777777" w:rsidR="00B17604" w:rsidRDefault="00EC7032" w:rsidP="00623ACD">
      <w:pPr>
        <w:numPr>
          <w:ilvl w:val="0"/>
          <w:numId w:val="17"/>
        </w:numPr>
        <w:spacing w:after="120"/>
        <w:ind w:left="426"/>
        <w:rPr>
          <w:rFonts w:ascii="Century Gothic" w:hAnsi="Century Gothic"/>
          <w:lang w:val="en-GB"/>
        </w:rPr>
      </w:pPr>
      <w:r w:rsidRPr="00EC7032">
        <w:rPr>
          <w:rFonts w:ascii="Century Gothic" w:hAnsi="Century Gothic"/>
          <w:lang w:val="en-GB"/>
        </w:rPr>
        <w:t>ensure these ecosystems are able to withstand threatening impacts.</w:t>
      </w:r>
    </w:p>
    <w:p w14:paraId="6C6500FE" w14:textId="77777777" w:rsidR="00B17604" w:rsidRDefault="00EC7032">
      <w:pPr>
        <w:pStyle w:val="ListBullet"/>
        <w:numPr>
          <w:ilvl w:val="0"/>
          <w:numId w:val="0"/>
        </w:numPr>
        <w:spacing w:after="120"/>
        <w:rPr>
          <w:rFonts w:ascii="Century Gothic" w:hAnsi="Century Gothic"/>
        </w:rPr>
      </w:pPr>
      <w:r w:rsidRPr="00EC7032">
        <w:rPr>
          <w:rFonts w:ascii="Century Gothic" w:hAnsi="Century Gothic"/>
        </w:rPr>
        <w:t>The environmental watering plan also sets broad targets to measure progress towards meeting the objectives. Up to 2019, the focus is on ‘no environmental loss or degradation’. From 2019 onwards, it is expected there will be broad environmental improvements.</w:t>
      </w:r>
    </w:p>
    <w:p w14:paraId="6C6500FF" w14:textId="77777777" w:rsidR="00B17604" w:rsidRDefault="00EC7032">
      <w:pPr>
        <w:pStyle w:val="ListBullet"/>
        <w:numPr>
          <w:ilvl w:val="0"/>
          <w:numId w:val="0"/>
        </w:numPr>
        <w:spacing w:after="120"/>
        <w:rPr>
          <w:rFonts w:ascii="Century Gothic" w:hAnsi="Century Gothic"/>
        </w:rPr>
      </w:pPr>
      <w:r w:rsidRPr="00EC7032">
        <w:rPr>
          <w:rFonts w:ascii="Century Gothic" w:hAnsi="Century Gothic"/>
        </w:rPr>
        <w:t xml:space="preserve">The </w:t>
      </w:r>
      <w:r w:rsidRPr="00EC7032">
        <w:rPr>
          <w:rFonts w:ascii="Century Gothic" w:hAnsi="Century Gothic"/>
          <w:b/>
          <w:color w:val="0070C0"/>
        </w:rPr>
        <w:t>Basin-wide environmental watering strategy</w:t>
      </w:r>
      <w:r w:rsidRPr="00EC7032">
        <w:rPr>
          <w:rFonts w:ascii="Century Gothic" w:hAnsi="Century Gothic"/>
        </w:rPr>
        <w:t xml:space="preserve"> provides the next level of detail on the environmental objectives and targets. It describes the environmental outcomes expected over the next decade as a result of implementing the Basin Plan and associated water reforms. These outcomes focus on four components: river flows and connectivity; native vegetation; waterbirds; and native fish. Examples of the expected outcomes include:</w:t>
      </w:r>
    </w:p>
    <w:p w14:paraId="6C650100" w14:textId="77777777" w:rsidR="00B17604" w:rsidRDefault="00EC7032" w:rsidP="00623ACD">
      <w:pPr>
        <w:numPr>
          <w:ilvl w:val="0"/>
          <w:numId w:val="17"/>
        </w:numPr>
        <w:spacing w:after="120"/>
        <w:ind w:left="426"/>
        <w:rPr>
          <w:rFonts w:ascii="Century Gothic" w:hAnsi="Century Gothic"/>
          <w:lang w:val="en-GB"/>
        </w:rPr>
      </w:pPr>
      <w:r w:rsidRPr="00EC7032">
        <w:rPr>
          <w:rFonts w:ascii="Century Gothic" w:hAnsi="Century Gothic"/>
          <w:lang w:val="en-GB"/>
        </w:rPr>
        <w:t xml:space="preserve">a 20–25% increase in waterbirds </w:t>
      </w:r>
    </w:p>
    <w:p w14:paraId="6C650101" w14:textId="77777777" w:rsidR="00B17604" w:rsidRDefault="00EC7032" w:rsidP="00623ACD">
      <w:pPr>
        <w:numPr>
          <w:ilvl w:val="0"/>
          <w:numId w:val="17"/>
        </w:numPr>
        <w:spacing w:after="120"/>
        <w:ind w:left="426"/>
        <w:rPr>
          <w:rFonts w:ascii="Century Gothic" w:hAnsi="Century Gothic"/>
          <w:lang w:val="en-GB"/>
        </w:rPr>
      </w:pPr>
      <w:r w:rsidRPr="00EC7032">
        <w:rPr>
          <w:rFonts w:ascii="Century Gothic" w:hAnsi="Century Gothic"/>
          <w:lang w:val="en-GB"/>
        </w:rPr>
        <w:t>a 10–15% increase in mature Murray cod and golden perch at key sites</w:t>
      </w:r>
    </w:p>
    <w:p w14:paraId="6C650102" w14:textId="77777777" w:rsidR="00B17604" w:rsidRDefault="00EC7032" w:rsidP="00623ACD">
      <w:pPr>
        <w:numPr>
          <w:ilvl w:val="0"/>
          <w:numId w:val="17"/>
        </w:numPr>
        <w:spacing w:after="120"/>
        <w:ind w:left="426"/>
        <w:rPr>
          <w:rFonts w:ascii="Century Gothic" w:hAnsi="Century Gothic"/>
          <w:lang w:val="en-GB"/>
        </w:rPr>
      </w:pPr>
      <w:r w:rsidRPr="00EC7032">
        <w:rPr>
          <w:rFonts w:ascii="Century Gothic" w:hAnsi="Century Gothic"/>
          <w:lang w:val="en-GB"/>
        </w:rPr>
        <w:t>maintenance of the current area and condition (and in some regions, improved condition) of river red gum, black box, coolabah and lignum communities</w:t>
      </w:r>
    </w:p>
    <w:p w14:paraId="6C650103" w14:textId="77777777" w:rsidR="00B17604" w:rsidRDefault="00EC7032" w:rsidP="00623ACD">
      <w:pPr>
        <w:numPr>
          <w:ilvl w:val="0"/>
          <w:numId w:val="17"/>
        </w:numPr>
        <w:spacing w:after="120"/>
        <w:ind w:left="426"/>
        <w:rPr>
          <w:rFonts w:ascii="Century Gothic" w:hAnsi="Century Gothic"/>
          <w:lang w:val="en-GB"/>
        </w:rPr>
      </w:pPr>
      <w:r w:rsidRPr="00EC7032">
        <w:rPr>
          <w:rFonts w:ascii="Century Gothic" w:hAnsi="Century Gothic"/>
          <w:lang w:val="en-GB"/>
        </w:rPr>
        <w:t>improved overall flow, such as 10% more flow in the Barwon-Darling, 30% more flow in River Murray and 30–40% more flow to the Murray mouth.</w:t>
      </w:r>
    </w:p>
    <w:p w14:paraId="6C650104" w14:textId="77777777" w:rsidR="00B17604" w:rsidRDefault="00EC7032">
      <w:pPr>
        <w:pStyle w:val="ListBullet"/>
        <w:numPr>
          <w:ilvl w:val="0"/>
          <w:numId w:val="0"/>
        </w:numPr>
        <w:spacing w:after="120"/>
        <w:rPr>
          <w:rFonts w:ascii="Century Gothic" w:hAnsi="Century Gothic"/>
          <w:b/>
        </w:rPr>
      </w:pPr>
      <w:bookmarkStart w:id="143" w:name="_Toc430087315"/>
      <w:r w:rsidRPr="00EC7032">
        <w:rPr>
          <w:rFonts w:ascii="Century Gothic" w:hAnsi="Century Gothic"/>
        </w:rPr>
        <w:t xml:space="preserve">The total 2750 GL recovered for the environment under the Basin Plan (or its ecological equivalent in </w:t>
      </w:r>
      <w:r w:rsidR="0008741A">
        <w:rPr>
          <w:rFonts w:ascii="Century Gothic" w:hAnsi="Century Gothic"/>
        </w:rPr>
        <w:t xml:space="preserve">both water and </w:t>
      </w:r>
      <w:r w:rsidRPr="00EC7032">
        <w:rPr>
          <w:rFonts w:ascii="Century Gothic" w:hAnsi="Century Gothic"/>
        </w:rPr>
        <w:t xml:space="preserve">works and measures) is required to support the achievement of these long term ecological objectives. </w:t>
      </w:r>
    </w:p>
    <w:p w14:paraId="6C650105" w14:textId="77777777" w:rsidR="007A7A94" w:rsidRDefault="000E3C60">
      <w:pPr>
        <w:pStyle w:val="Heading11"/>
        <w:numPr>
          <w:ilvl w:val="2"/>
          <w:numId w:val="66"/>
        </w:numPr>
        <w:spacing w:before="0" w:after="120"/>
        <w:ind w:left="1418" w:hanging="704"/>
        <w:rPr>
          <w:rFonts w:cs="Arial"/>
        </w:rPr>
      </w:pPr>
      <w:bookmarkStart w:id="144" w:name="_Toc517264652"/>
      <w:r w:rsidRPr="000E3C60">
        <w:rPr>
          <w:rFonts w:ascii="Century Gothic" w:hAnsi="Century Gothic" w:cs="Arial"/>
          <w:sz w:val="24"/>
          <w:szCs w:val="24"/>
        </w:rPr>
        <w:t>Catchment long-term environmental objectives and outcomes</w:t>
      </w:r>
      <w:bookmarkEnd w:id="143"/>
      <w:bookmarkEnd w:id="144"/>
    </w:p>
    <w:p w14:paraId="6C650106" w14:textId="4F677ECD" w:rsidR="00B17604" w:rsidRDefault="00EC7032">
      <w:pPr>
        <w:pStyle w:val="ListBullet"/>
        <w:numPr>
          <w:ilvl w:val="0"/>
          <w:numId w:val="0"/>
        </w:numPr>
        <w:spacing w:after="120"/>
        <w:rPr>
          <w:rFonts w:ascii="Century Gothic" w:hAnsi="Century Gothic"/>
        </w:rPr>
      </w:pPr>
      <w:r w:rsidRPr="00EC7032">
        <w:rPr>
          <w:rFonts w:ascii="Century Gothic" w:hAnsi="Century Gothic"/>
        </w:rPr>
        <w:t xml:space="preserve">At a catchment scale, </w:t>
      </w:r>
      <w:r w:rsidRPr="00EC7032">
        <w:rPr>
          <w:rFonts w:ascii="Century Gothic" w:hAnsi="Century Gothic"/>
          <w:b/>
          <w:color w:val="0070C0"/>
        </w:rPr>
        <w:t>long-term watering plans</w:t>
      </w:r>
      <w:r w:rsidRPr="00EC7032">
        <w:rPr>
          <w:rFonts w:ascii="Century Gothic" w:hAnsi="Century Gothic"/>
        </w:rPr>
        <w:t xml:space="preserve"> are being prepared by Basin state governments. The plans will identify the key rivers and </w:t>
      </w:r>
      <w:r w:rsidR="002B776E">
        <w:rPr>
          <w:rFonts w:ascii="Century Gothic" w:hAnsi="Century Gothic"/>
        </w:rPr>
        <w:t>floodplains</w:t>
      </w:r>
      <w:r w:rsidRPr="00EC7032">
        <w:rPr>
          <w:rFonts w:ascii="Century Gothic" w:hAnsi="Century Gothic"/>
        </w:rPr>
        <w:t xml:space="preserve"> in each catchment, and the objectives, targets and environmental watering requirements for each river or </w:t>
      </w:r>
      <w:r w:rsidR="002B776E">
        <w:rPr>
          <w:rFonts w:ascii="Century Gothic" w:hAnsi="Century Gothic"/>
        </w:rPr>
        <w:t>floodplain</w:t>
      </w:r>
      <w:r w:rsidRPr="00EC7032">
        <w:rPr>
          <w:rFonts w:ascii="Century Gothic" w:hAnsi="Century Gothic"/>
        </w:rPr>
        <w:t xml:space="preserve">. </w:t>
      </w:r>
    </w:p>
    <w:p w14:paraId="6C650107" w14:textId="77777777" w:rsidR="00B17604" w:rsidRDefault="00EC7032">
      <w:pPr>
        <w:pStyle w:val="ListBullet"/>
        <w:numPr>
          <w:ilvl w:val="0"/>
          <w:numId w:val="0"/>
        </w:numPr>
        <w:spacing w:after="120"/>
        <w:rPr>
          <w:rFonts w:ascii="Century Gothic" w:hAnsi="Century Gothic"/>
        </w:rPr>
      </w:pPr>
      <w:r w:rsidRPr="00F961D6">
        <w:rPr>
          <w:rFonts w:ascii="Century Gothic" w:hAnsi="Century Gothic"/>
        </w:rPr>
        <w:t xml:space="preserve">These plans are being </w:t>
      </w:r>
      <w:r w:rsidR="00F961D6">
        <w:rPr>
          <w:rFonts w:ascii="Century Gothic" w:hAnsi="Century Gothic"/>
        </w:rPr>
        <w:t xml:space="preserve">progressively </w:t>
      </w:r>
      <w:r w:rsidRPr="00F961D6">
        <w:rPr>
          <w:rFonts w:ascii="Century Gothic" w:hAnsi="Century Gothic"/>
        </w:rPr>
        <w:t>developed over the coming years (</w:t>
      </w:r>
      <w:r w:rsidR="00F961D6">
        <w:rPr>
          <w:rFonts w:ascii="Century Gothic" w:hAnsi="Century Gothic"/>
        </w:rPr>
        <w:t>plans are available for catchments in South Australia, Victoria and the western catchments in Queensland)</w:t>
      </w:r>
      <w:r w:rsidRPr="00F961D6">
        <w:rPr>
          <w:rFonts w:ascii="Century Gothic" w:hAnsi="Century Gothic"/>
        </w:rPr>
        <w:t>. In the meantime, environmental water managers will continue to draw on information from a large number of existing documents that describe environmental watering requirements for specific wetlands and catchments, as well as local knowledge and monitoring results.</w:t>
      </w:r>
      <w:bookmarkStart w:id="145" w:name="_Toc430087317"/>
    </w:p>
    <w:p w14:paraId="6C650108" w14:textId="77777777" w:rsidR="007A7A94" w:rsidRDefault="000E3C60">
      <w:pPr>
        <w:pStyle w:val="Heading11"/>
        <w:numPr>
          <w:ilvl w:val="2"/>
          <w:numId w:val="66"/>
        </w:numPr>
        <w:spacing w:before="0" w:after="120"/>
        <w:ind w:left="1418" w:hanging="704"/>
        <w:rPr>
          <w:rFonts w:cs="Arial"/>
        </w:rPr>
      </w:pPr>
      <w:bookmarkStart w:id="146" w:name="_Toc517264653"/>
      <w:r w:rsidRPr="000E3C60">
        <w:rPr>
          <w:rFonts w:ascii="Century Gothic" w:hAnsi="Century Gothic" w:cs="Arial"/>
          <w:sz w:val="24"/>
          <w:szCs w:val="24"/>
        </w:rPr>
        <w:t>Outcomes from Commonwealth environmental water</w:t>
      </w:r>
      <w:bookmarkEnd w:id="145"/>
      <w:bookmarkEnd w:id="146"/>
    </w:p>
    <w:p w14:paraId="6C650109" w14:textId="77777777" w:rsidR="00B17604" w:rsidRDefault="00EC7032">
      <w:pPr>
        <w:pStyle w:val="ListBullet"/>
        <w:numPr>
          <w:ilvl w:val="0"/>
          <w:numId w:val="0"/>
        </w:numPr>
        <w:spacing w:after="120"/>
        <w:rPr>
          <w:rFonts w:ascii="Century Gothic" w:hAnsi="Century Gothic"/>
        </w:rPr>
      </w:pPr>
      <w:r w:rsidRPr="00EC7032">
        <w:rPr>
          <w:rFonts w:ascii="Century Gothic" w:hAnsi="Century Gothic"/>
        </w:rPr>
        <w:t xml:space="preserve">The above environmental objectives, outcomes and targets are all long-term. However, individual environmental watering actions are undertaken over much shorter timeframes. Therefore, it is necessary to identify the short-term outcomes that will contribute to these longer-term objectives. The </w:t>
      </w:r>
      <w:r w:rsidRPr="00EC7032">
        <w:rPr>
          <w:rFonts w:ascii="Century Gothic" w:hAnsi="Century Gothic"/>
          <w:b/>
          <w:color w:val="0070C0"/>
        </w:rPr>
        <w:t>Commonwealth Environmental Water Outcomes Framework</w:t>
      </w:r>
      <w:r w:rsidRPr="00EC7032">
        <w:rPr>
          <w:rFonts w:ascii="Century Gothic" w:hAnsi="Century Gothic"/>
        </w:rPr>
        <w:t xml:space="preserve"> identifies outcomes that can be expected from Commonwealth environmental watering:</w:t>
      </w:r>
    </w:p>
    <w:p w14:paraId="6C65010A" w14:textId="77777777" w:rsidR="00B17604" w:rsidRDefault="00EC7032" w:rsidP="00623ACD">
      <w:pPr>
        <w:numPr>
          <w:ilvl w:val="0"/>
          <w:numId w:val="17"/>
        </w:numPr>
        <w:spacing w:after="120"/>
        <w:ind w:left="426"/>
        <w:rPr>
          <w:rFonts w:ascii="Century Gothic" w:hAnsi="Century Gothic"/>
          <w:lang w:val="en-GB"/>
        </w:rPr>
      </w:pPr>
      <w:r w:rsidRPr="00EC7032">
        <w:rPr>
          <w:rFonts w:ascii="Century Gothic" w:hAnsi="Century Gothic"/>
          <w:lang w:val="en-GB"/>
        </w:rPr>
        <w:t>in less than one year (1 year outcomes)</w:t>
      </w:r>
    </w:p>
    <w:p w14:paraId="6C65010B" w14:textId="77777777" w:rsidR="00B17604" w:rsidRDefault="00EC7032" w:rsidP="00623ACD">
      <w:pPr>
        <w:numPr>
          <w:ilvl w:val="0"/>
          <w:numId w:val="17"/>
        </w:numPr>
        <w:spacing w:after="120"/>
        <w:ind w:left="426"/>
        <w:rPr>
          <w:rFonts w:ascii="Century Gothic" w:hAnsi="Century Gothic"/>
          <w:lang w:val="en-GB"/>
        </w:rPr>
      </w:pPr>
      <w:r w:rsidRPr="00EC7032">
        <w:rPr>
          <w:rFonts w:ascii="Century Gothic" w:hAnsi="Century Gothic"/>
          <w:lang w:val="en-GB"/>
        </w:rPr>
        <w:t xml:space="preserve">between one and five years (5 year outcomes). </w:t>
      </w:r>
    </w:p>
    <w:p w14:paraId="6C65010C" w14:textId="77777777" w:rsidR="00C433B2" w:rsidRDefault="00C433B2">
      <w:pPr>
        <w:pStyle w:val="ListBullet"/>
        <w:numPr>
          <w:ilvl w:val="0"/>
          <w:numId w:val="0"/>
        </w:numPr>
        <w:spacing w:after="120"/>
        <w:rPr>
          <w:rFonts w:ascii="Century Gothic" w:hAnsi="Century Gothic"/>
        </w:rPr>
      </w:pPr>
    </w:p>
    <w:p w14:paraId="6C65010D" w14:textId="6BCC2D3F" w:rsidR="00B17604" w:rsidRDefault="00EC7032">
      <w:pPr>
        <w:pStyle w:val="ListBullet"/>
        <w:numPr>
          <w:ilvl w:val="0"/>
          <w:numId w:val="0"/>
        </w:numPr>
        <w:spacing w:after="120"/>
        <w:rPr>
          <w:rFonts w:ascii="Century Gothic" w:hAnsi="Century Gothic"/>
        </w:rPr>
      </w:pPr>
      <w:r w:rsidRPr="00EC7032">
        <w:rPr>
          <w:rFonts w:ascii="Century Gothic" w:hAnsi="Century Gothic"/>
        </w:rPr>
        <w:lastRenderedPageBreak/>
        <w:t>When these shorter-term outcomes are achieved over multiple years, the best available science indicates that they will cumulatively contribute to meeting the longer term objectives and outcomes</w:t>
      </w:r>
      <w:r w:rsidR="00384203" w:rsidRPr="0012766D">
        <w:rPr>
          <w:rFonts w:ascii="Century Gothic" w:hAnsi="Century Gothic"/>
        </w:rPr>
        <w:t xml:space="preserve"> in the</w:t>
      </w:r>
      <w:r w:rsidR="00FE6485" w:rsidRPr="0012766D">
        <w:rPr>
          <w:rFonts w:ascii="Century Gothic" w:hAnsi="Century Gothic"/>
        </w:rPr>
        <w:t xml:space="preserve"> environmental watering plan</w:t>
      </w:r>
      <w:r w:rsidR="00384203" w:rsidRPr="0012766D">
        <w:rPr>
          <w:rFonts w:ascii="Century Gothic" w:hAnsi="Century Gothic"/>
        </w:rPr>
        <w:t xml:space="preserve"> </w:t>
      </w:r>
      <w:r w:rsidR="00FE6485" w:rsidRPr="0012766D">
        <w:rPr>
          <w:rFonts w:ascii="Century Gothic" w:hAnsi="Century Gothic"/>
        </w:rPr>
        <w:t>and the Basin-wide</w:t>
      </w:r>
      <w:r w:rsidR="00384203" w:rsidRPr="0012766D">
        <w:rPr>
          <w:rFonts w:ascii="Century Gothic" w:hAnsi="Century Gothic"/>
        </w:rPr>
        <w:t xml:space="preserve"> environmental watering strategy</w:t>
      </w:r>
      <w:r w:rsidR="00BF7C7E">
        <w:rPr>
          <w:rFonts w:ascii="Century Gothic" w:hAnsi="Century Gothic"/>
        </w:rPr>
        <w:t xml:space="preserve"> (see </w:t>
      </w:r>
      <w:r w:rsidR="00CE0507">
        <w:fldChar w:fldCharType="begin"/>
      </w:r>
      <w:r w:rsidR="00CE0507">
        <w:instrText xml:space="preserve"> REF _Ref445121103 \h  \* MERGEFORMAT </w:instrText>
      </w:r>
      <w:r w:rsidR="00CE0507">
        <w:fldChar w:fldCharType="separate"/>
      </w:r>
      <w:r w:rsidR="00A6387E" w:rsidRPr="008B0572">
        <w:rPr>
          <w:rFonts w:ascii="Century Gothic" w:hAnsi="Century Gothic"/>
        </w:rPr>
        <w:t xml:space="preserve">Table </w:t>
      </w:r>
      <w:r w:rsidR="00A6387E">
        <w:rPr>
          <w:rFonts w:ascii="Century Gothic" w:hAnsi="Century Gothic"/>
        </w:rPr>
        <w:t>1</w:t>
      </w:r>
      <w:r w:rsidR="00CE0507">
        <w:fldChar w:fldCharType="end"/>
      </w:r>
      <w:r w:rsidR="00BF7C7E">
        <w:rPr>
          <w:rFonts w:ascii="Century Gothic" w:hAnsi="Century Gothic"/>
        </w:rPr>
        <w:t>)</w:t>
      </w:r>
      <w:r w:rsidR="00384203" w:rsidRPr="0012766D">
        <w:rPr>
          <w:rFonts w:ascii="Century Gothic" w:hAnsi="Century Gothic"/>
        </w:rPr>
        <w:t xml:space="preserve">. </w:t>
      </w:r>
      <w:r w:rsidR="00CD10DD" w:rsidRPr="0012766D">
        <w:rPr>
          <w:rFonts w:ascii="Century Gothic" w:hAnsi="Century Gothic"/>
        </w:rPr>
        <w:t xml:space="preserve">For </w:t>
      </w:r>
      <w:r w:rsidR="00CD10DD">
        <w:rPr>
          <w:rFonts w:ascii="Century Gothic" w:hAnsi="Century Gothic"/>
        </w:rPr>
        <w:t>further information please refer to:</w:t>
      </w:r>
      <w:r w:rsidR="008B0572">
        <w:rPr>
          <w:rFonts w:ascii="Century Gothic" w:hAnsi="Century Gothic"/>
        </w:rPr>
        <w:t xml:space="preserve"> </w:t>
      </w:r>
      <w:hyperlink r:id="rId21" w:history="1">
        <w:r w:rsidR="00281DEF" w:rsidRPr="002B6397">
          <w:rPr>
            <w:rStyle w:val="Hyperlink"/>
            <w:rFonts w:ascii="Century Gothic" w:hAnsi="Century Gothic"/>
          </w:rPr>
          <w:t>http://www.environment.gov.au/water/cewo/publications/environmental-water-outcomes-framework</w:t>
        </w:r>
      </w:hyperlink>
      <w:r w:rsidR="00326B4E" w:rsidRPr="000E3C60">
        <w:rPr>
          <w:rFonts w:ascii="Century Gothic" w:hAnsi="Century Gothic"/>
        </w:rPr>
        <w:t>.</w:t>
      </w:r>
      <w:r w:rsidR="00CD10DD">
        <w:rPr>
          <w:rFonts w:ascii="Century Gothic" w:hAnsi="Century Gothic"/>
        </w:rPr>
        <w:t xml:space="preserve"> </w:t>
      </w:r>
    </w:p>
    <w:p w14:paraId="6C65010E" w14:textId="6ACBA4C6" w:rsidR="00B17604" w:rsidRDefault="008B0572">
      <w:pPr>
        <w:pStyle w:val="Caption"/>
        <w:keepNext/>
      </w:pPr>
      <w:bookmarkStart w:id="147" w:name="_Ref445121103"/>
      <w:bookmarkEnd w:id="140"/>
      <w:r w:rsidRPr="008B0572">
        <w:rPr>
          <w:rFonts w:ascii="Century Gothic" w:hAnsi="Century Gothic"/>
        </w:rPr>
        <w:t xml:space="preserve">Table </w:t>
      </w:r>
      <w:r w:rsidR="00D848C1" w:rsidRPr="008B0572">
        <w:rPr>
          <w:rFonts w:ascii="Century Gothic" w:hAnsi="Century Gothic"/>
        </w:rPr>
        <w:fldChar w:fldCharType="begin"/>
      </w:r>
      <w:r w:rsidRPr="008B0572">
        <w:rPr>
          <w:rFonts w:ascii="Century Gothic" w:hAnsi="Century Gothic"/>
        </w:rPr>
        <w:instrText xml:space="preserve"> SEQ Table \* ARABIC </w:instrText>
      </w:r>
      <w:r w:rsidR="00D848C1" w:rsidRPr="008B0572">
        <w:rPr>
          <w:rFonts w:ascii="Century Gothic" w:hAnsi="Century Gothic"/>
        </w:rPr>
        <w:fldChar w:fldCharType="separate"/>
      </w:r>
      <w:r w:rsidR="00A6387E">
        <w:rPr>
          <w:rFonts w:ascii="Century Gothic" w:hAnsi="Century Gothic"/>
          <w:noProof/>
        </w:rPr>
        <w:t>1</w:t>
      </w:r>
      <w:r w:rsidR="00D848C1" w:rsidRPr="008B0572">
        <w:rPr>
          <w:rFonts w:ascii="Century Gothic" w:hAnsi="Century Gothic"/>
        </w:rPr>
        <w:fldChar w:fldCharType="end"/>
      </w:r>
      <w:bookmarkEnd w:id="147"/>
      <w:r w:rsidRPr="008B0572">
        <w:rPr>
          <w:rFonts w:ascii="Century Gothic" w:hAnsi="Century Gothic"/>
        </w:rPr>
        <w:t xml:space="preserve">: </w:t>
      </w:r>
      <w:r w:rsidR="00553B2D">
        <w:rPr>
          <w:rFonts w:ascii="Century Gothic" w:hAnsi="Century Gothic"/>
          <w:b w:val="0"/>
        </w:rPr>
        <w:t>Commonwealth E</w:t>
      </w:r>
      <w:r w:rsidR="001D04AC" w:rsidRPr="00E078BB">
        <w:rPr>
          <w:rFonts w:ascii="Century Gothic" w:hAnsi="Century Gothic"/>
          <w:b w:val="0"/>
        </w:rPr>
        <w:t>nvironmental</w:t>
      </w:r>
      <w:r w:rsidR="00553B2D">
        <w:rPr>
          <w:rFonts w:ascii="Century Gothic" w:hAnsi="Century Gothic"/>
          <w:b w:val="0"/>
        </w:rPr>
        <w:t xml:space="preserve"> Water</w:t>
      </w:r>
      <w:r w:rsidR="001D04AC" w:rsidRPr="00E078BB">
        <w:rPr>
          <w:rFonts w:ascii="Century Gothic" w:hAnsi="Century Gothic"/>
          <w:b w:val="0"/>
        </w:rPr>
        <w:t xml:space="preserve"> </w:t>
      </w:r>
      <w:r w:rsidR="00553B2D">
        <w:rPr>
          <w:rFonts w:ascii="Century Gothic" w:hAnsi="Century Gothic"/>
          <w:b w:val="0"/>
        </w:rPr>
        <w:t>O</w:t>
      </w:r>
      <w:r w:rsidR="001D04AC" w:rsidRPr="00E078BB">
        <w:rPr>
          <w:rFonts w:ascii="Century Gothic" w:hAnsi="Century Gothic"/>
          <w:b w:val="0"/>
        </w:rPr>
        <w:t xml:space="preserve">utcomes </w:t>
      </w:r>
      <w:r w:rsidR="00553B2D">
        <w:rPr>
          <w:rFonts w:ascii="Century Gothic" w:hAnsi="Century Gothic"/>
          <w:b w:val="0"/>
        </w:rPr>
        <w:t>F</w:t>
      </w:r>
      <w:r w:rsidR="001D04AC" w:rsidRPr="00E078BB">
        <w:rPr>
          <w:rFonts w:ascii="Century Gothic" w:hAnsi="Century Gothic"/>
          <w:b w:val="0"/>
        </w:rPr>
        <w:t>ramework</w:t>
      </w:r>
      <w:r w:rsidR="00363BD9" w:rsidRPr="00363BD9">
        <w:rPr>
          <w:rFonts w:ascii="Century Gothic" w:hAnsi="Century Gothic"/>
          <w:b w:val="0"/>
        </w:rPr>
        <w:t>: The 1 and 5 year expected outcomes from Commonwealth environmental water and how they will contribute to Basin outcomes [</w:t>
      </w:r>
      <w:r w:rsidR="000E3C60" w:rsidRPr="000E3C60">
        <w:rPr>
          <w:rFonts w:ascii="Century Gothic" w:hAnsi="Century Gothic"/>
          <w:b w:val="0"/>
          <w:i/>
        </w:rPr>
        <w:t>note that the expected outcomes of the Basin-wide environmental watering strategy will be achieved through the efforts of all governments in implementing the Basin Plan, and not solely through Commonwealth environmental water. The monitoring of the Basin-wide environmental watering strategy outcomes is the responsibility of the Murray</w:t>
      </w:r>
      <w:r w:rsidR="00F531A4">
        <w:rPr>
          <w:rFonts w:ascii="Century Gothic" w:hAnsi="Century Gothic"/>
          <w:b w:val="0"/>
          <w:i/>
        </w:rPr>
        <w:t>–</w:t>
      </w:r>
      <w:r w:rsidR="000E3C60" w:rsidRPr="000E3C60">
        <w:rPr>
          <w:rFonts w:ascii="Century Gothic" w:hAnsi="Century Gothic"/>
          <w:b w:val="0"/>
          <w:i/>
        </w:rPr>
        <w:t>Darling Basin Authority</w:t>
      </w:r>
      <w:r w:rsidR="00363BD9" w:rsidRPr="00363BD9">
        <w:rPr>
          <w:rFonts w:ascii="Century Gothic" w:hAnsi="Century Gothic"/>
          <w:b w:val="0"/>
        </w:rPr>
        <w:t>].</w:t>
      </w:r>
    </w:p>
    <w:tbl>
      <w:tblPr>
        <w:tblW w:w="10490" w:type="dxa"/>
        <w:tblInd w:w="-459" w:type="dxa"/>
        <w:tblLayout w:type="fixed"/>
        <w:tblLook w:val="04A0" w:firstRow="1" w:lastRow="0" w:firstColumn="1" w:lastColumn="0" w:noHBand="0" w:noVBand="1"/>
      </w:tblPr>
      <w:tblGrid>
        <w:gridCol w:w="1308"/>
        <w:gridCol w:w="535"/>
        <w:gridCol w:w="583"/>
        <w:gridCol w:w="1119"/>
        <w:gridCol w:w="2834"/>
        <w:gridCol w:w="1985"/>
        <w:gridCol w:w="2126"/>
      </w:tblGrid>
      <w:tr w:rsidR="00BA5E36" w:rsidRPr="00561936" w14:paraId="6C650114" w14:textId="77777777" w:rsidTr="00553B2D">
        <w:trPr>
          <w:trHeight w:val="547"/>
        </w:trPr>
        <w:tc>
          <w:tcPr>
            <w:tcW w:w="1308" w:type="dxa"/>
            <w:tcBorders>
              <w:top w:val="single" w:sz="4" w:space="0" w:color="auto"/>
              <w:left w:val="single" w:sz="4" w:space="0" w:color="auto"/>
              <w:bottom w:val="single" w:sz="4" w:space="0" w:color="auto"/>
              <w:right w:val="single" w:sz="4" w:space="0" w:color="auto"/>
            </w:tcBorders>
            <w:shd w:val="clear" w:color="auto" w:fill="0070C0"/>
            <w:vAlign w:val="center"/>
            <w:hideMark/>
          </w:tcPr>
          <w:p w14:paraId="6C65010F" w14:textId="77777777" w:rsidR="007A7A94" w:rsidRDefault="00BA5E36">
            <w:pPr>
              <w:spacing w:after="120"/>
              <w:jc w:val="left"/>
              <w:rPr>
                <w:rFonts w:asciiTheme="minorHAnsi" w:hAnsiTheme="minorHAnsi"/>
                <w:b/>
                <w:bCs/>
                <w:color w:val="FFFFFF" w:themeColor="background1"/>
                <w:sz w:val="18"/>
                <w:szCs w:val="18"/>
                <w:lang w:val="en-GB" w:eastAsia="en-US"/>
              </w:rPr>
            </w:pPr>
            <w:r w:rsidRPr="00561936">
              <w:rPr>
                <w:rFonts w:asciiTheme="minorHAnsi" w:hAnsiTheme="minorHAnsi"/>
                <w:b/>
                <w:bCs/>
                <w:color w:val="FFFFFF" w:themeColor="background1"/>
                <w:sz w:val="18"/>
                <w:szCs w:val="18"/>
              </w:rPr>
              <w:t>Basin Plan Objectives</w:t>
            </w:r>
          </w:p>
        </w:tc>
        <w:tc>
          <w:tcPr>
            <w:tcW w:w="2237" w:type="dxa"/>
            <w:gridSpan w:val="3"/>
            <w:tcBorders>
              <w:top w:val="single" w:sz="8" w:space="0" w:color="auto"/>
              <w:left w:val="single" w:sz="4" w:space="0" w:color="auto"/>
              <w:bottom w:val="single" w:sz="4" w:space="0" w:color="auto"/>
              <w:right w:val="single" w:sz="8" w:space="0" w:color="000000"/>
            </w:tcBorders>
            <w:shd w:val="clear" w:color="auto" w:fill="79B2F7"/>
            <w:vAlign w:val="center"/>
            <w:hideMark/>
          </w:tcPr>
          <w:p w14:paraId="6C650110" w14:textId="77777777" w:rsidR="007A7A94" w:rsidRDefault="00BA5E36">
            <w:pPr>
              <w:spacing w:after="120"/>
              <w:jc w:val="center"/>
              <w:rPr>
                <w:rFonts w:asciiTheme="minorHAnsi" w:hAnsiTheme="minorHAnsi"/>
                <w:b/>
                <w:bCs/>
                <w:color w:val="5F497A" w:themeColor="accent4" w:themeShade="BF"/>
                <w:sz w:val="18"/>
                <w:szCs w:val="18"/>
                <w:lang w:val="en-GB" w:eastAsia="en-US"/>
              </w:rPr>
            </w:pPr>
            <w:r w:rsidRPr="00561936">
              <w:rPr>
                <w:rFonts w:asciiTheme="minorHAnsi" w:hAnsiTheme="minorHAnsi"/>
                <w:b/>
                <w:bCs/>
                <w:sz w:val="18"/>
                <w:szCs w:val="18"/>
              </w:rPr>
              <w:t>Basin Outcomes</w:t>
            </w:r>
          </w:p>
        </w:tc>
        <w:tc>
          <w:tcPr>
            <w:tcW w:w="2834" w:type="dxa"/>
            <w:tcBorders>
              <w:top w:val="single" w:sz="8" w:space="0" w:color="auto"/>
              <w:left w:val="single" w:sz="8" w:space="0" w:color="auto"/>
              <w:bottom w:val="single" w:sz="8" w:space="0" w:color="000000"/>
              <w:right w:val="single" w:sz="4" w:space="0" w:color="auto"/>
            </w:tcBorders>
            <w:shd w:val="clear" w:color="auto" w:fill="FABF8F" w:themeFill="accent6" w:themeFillTint="99"/>
          </w:tcPr>
          <w:p w14:paraId="6C650111" w14:textId="77777777" w:rsidR="007A7A94" w:rsidRDefault="00BA5E36">
            <w:pPr>
              <w:spacing w:after="120"/>
              <w:jc w:val="center"/>
              <w:rPr>
                <w:rFonts w:asciiTheme="minorHAnsi" w:hAnsiTheme="minorHAnsi"/>
                <w:b/>
                <w:bCs/>
                <w:color w:val="5F497A" w:themeColor="accent4" w:themeShade="BF"/>
                <w:sz w:val="18"/>
                <w:szCs w:val="18"/>
                <w:lang w:val="en-GB" w:eastAsia="en-US"/>
              </w:rPr>
            </w:pPr>
            <w:r w:rsidRPr="00561936">
              <w:rPr>
                <w:rFonts w:asciiTheme="minorHAnsi" w:hAnsiTheme="minorHAnsi"/>
                <w:b/>
                <w:bCs/>
                <w:sz w:val="18"/>
                <w:szCs w:val="18"/>
              </w:rPr>
              <w:t>Basin</w:t>
            </w:r>
            <w:r w:rsidR="00363BD9">
              <w:rPr>
                <w:rFonts w:asciiTheme="minorHAnsi" w:hAnsiTheme="minorHAnsi"/>
                <w:b/>
                <w:bCs/>
                <w:sz w:val="18"/>
                <w:szCs w:val="18"/>
              </w:rPr>
              <w:t>-w</w:t>
            </w:r>
            <w:r w:rsidRPr="00561936">
              <w:rPr>
                <w:rFonts w:asciiTheme="minorHAnsi" w:hAnsiTheme="minorHAnsi"/>
                <w:b/>
                <w:bCs/>
                <w:sz w:val="18"/>
                <w:szCs w:val="18"/>
              </w:rPr>
              <w:t>ide Environmental Watering Strategy – Expected Outcomes</w:t>
            </w:r>
          </w:p>
        </w:tc>
        <w:tc>
          <w:tcPr>
            <w:tcW w:w="1985" w:type="dxa"/>
            <w:tcBorders>
              <w:top w:val="single" w:sz="4" w:space="0" w:color="auto"/>
              <w:left w:val="single" w:sz="4" w:space="0" w:color="auto"/>
              <w:bottom w:val="single" w:sz="8" w:space="0" w:color="000000"/>
              <w:right w:val="single" w:sz="4" w:space="0" w:color="auto"/>
            </w:tcBorders>
            <w:shd w:val="clear" w:color="auto" w:fill="92D050"/>
            <w:vAlign w:val="center"/>
            <w:hideMark/>
          </w:tcPr>
          <w:p w14:paraId="6C650112" w14:textId="77777777" w:rsidR="007A7A94" w:rsidRDefault="00BA5E36">
            <w:pPr>
              <w:spacing w:after="120"/>
              <w:jc w:val="center"/>
              <w:rPr>
                <w:rFonts w:asciiTheme="minorHAnsi" w:hAnsiTheme="minorHAnsi"/>
                <w:b/>
                <w:bCs/>
                <w:color w:val="5F497A" w:themeColor="accent4" w:themeShade="BF"/>
                <w:sz w:val="18"/>
                <w:szCs w:val="18"/>
                <w:lang w:val="en-GB" w:eastAsia="en-US"/>
              </w:rPr>
            </w:pPr>
            <w:r w:rsidRPr="00561936">
              <w:rPr>
                <w:rFonts w:asciiTheme="minorHAnsi" w:hAnsiTheme="minorHAnsi"/>
                <w:b/>
                <w:bCs/>
                <w:sz w:val="18"/>
                <w:szCs w:val="18"/>
              </w:rPr>
              <w:t>5 year Expected Outcomes</w:t>
            </w:r>
          </w:p>
        </w:tc>
        <w:tc>
          <w:tcPr>
            <w:tcW w:w="2126" w:type="dxa"/>
            <w:tcBorders>
              <w:top w:val="single" w:sz="8" w:space="0" w:color="auto"/>
              <w:left w:val="single" w:sz="4" w:space="0" w:color="auto"/>
              <w:bottom w:val="single" w:sz="8" w:space="0" w:color="000000"/>
              <w:right w:val="single" w:sz="4" w:space="0" w:color="auto"/>
            </w:tcBorders>
            <w:shd w:val="clear" w:color="auto" w:fill="D6E3BC" w:themeFill="accent3" w:themeFillTint="66"/>
            <w:vAlign w:val="center"/>
            <w:hideMark/>
          </w:tcPr>
          <w:p w14:paraId="6C650113" w14:textId="77777777" w:rsidR="007A7A94" w:rsidRDefault="00BA5E36">
            <w:pPr>
              <w:spacing w:after="120"/>
              <w:jc w:val="center"/>
              <w:rPr>
                <w:rFonts w:asciiTheme="minorHAnsi" w:hAnsiTheme="minorHAnsi"/>
                <w:b/>
                <w:bCs/>
                <w:color w:val="5F497A" w:themeColor="accent4" w:themeShade="BF"/>
                <w:sz w:val="18"/>
                <w:szCs w:val="18"/>
                <w:lang w:val="en-GB" w:eastAsia="en-US"/>
              </w:rPr>
            </w:pPr>
            <w:r w:rsidRPr="00561936">
              <w:rPr>
                <w:rFonts w:asciiTheme="minorHAnsi" w:hAnsiTheme="minorHAnsi"/>
                <w:b/>
                <w:bCs/>
                <w:sz w:val="18"/>
                <w:szCs w:val="18"/>
              </w:rPr>
              <w:t>1 year Expected Outcomes</w:t>
            </w:r>
          </w:p>
        </w:tc>
      </w:tr>
      <w:tr w:rsidR="00BA5E36" w:rsidRPr="00561936" w14:paraId="6C65011A" w14:textId="77777777" w:rsidTr="00553B2D">
        <w:trPr>
          <w:trHeight w:val="54"/>
        </w:trPr>
        <w:tc>
          <w:tcPr>
            <w:tcW w:w="1308" w:type="dxa"/>
            <w:vMerge w:val="restart"/>
            <w:tcBorders>
              <w:top w:val="single" w:sz="4" w:space="0" w:color="auto"/>
              <w:left w:val="single" w:sz="4" w:space="0" w:color="auto"/>
              <w:bottom w:val="single" w:sz="4" w:space="0" w:color="auto"/>
              <w:right w:val="single" w:sz="4" w:space="0" w:color="auto"/>
            </w:tcBorders>
            <w:shd w:val="clear" w:color="auto" w:fill="0070C0"/>
            <w:vAlign w:val="center"/>
            <w:hideMark/>
          </w:tcPr>
          <w:p w14:paraId="6C650115" w14:textId="77777777" w:rsidR="007A7A94" w:rsidRDefault="00BA5E36">
            <w:pPr>
              <w:spacing w:after="120"/>
              <w:jc w:val="left"/>
              <w:rPr>
                <w:rFonts w:asciiTheme="minorHAnsi" w:hAnsiTheme="minorHAnsi"/>
                <w:b/>
                <w:color w:val="FFFFFF" w:themeColor="background1"/>
                <w:sz w:val="18"/>
                <w:szCs w:val="18"/>
                <w:lang w:val="en-GB" w:eastAsia="en-US"/>
              </w:rPr>
            </w:pPr>
            <w:r>
              <w:rPr>
                <w:rFonts w:asciiTheme="minorHAnsi" w:hAnsiTheme="minorHAnsi"/>
                <w:color w:val="FFFFFF" w:themeColor="background1"/>
                <w:sz w:val="18"/>
                <w:szCs w:val="18"/>
              </w:rPr>
              <w:t>B</w:t>
            </w:r>
            <w:r w:rsidRPr="00561936">
              <w:rPr>
                <w:rFonts w:asciiTheme="minorHAnsi" w:hAnsiTheme="minorHAnsi"/>
                <w:color w:val="FFFFFF" w:themeColor="background1"/>
                <w:sz w:val="18"/>
                <w:szCs w:val="18"/>
              </w:rPr>
              <w:t>iodiversity</w:t>
            </w:r>
            <w:r w:rsidRPr="00561936">
              <w:rPr>
                <w:rFonts w:asciiTheme="minorHAnsi" w:hAnsiTheme="minorHAnsi"/>
                <w:color w:val="FFFFFF" w:themeColor="background1"/>
                <w:sz w:val="18"/>
                <w:szCs w:val="18"/>
              </w:rPr>
              <w:br/>
            </w:r>
            <w:r w:rsidRPr="00561936">
              <w:rPr>
                <w:rFonts w:asciiTheme="minorHAnsi" w:hAnsiTheme="minorHAnsi"/>
                <w:color w:val="FFFFFF" w:themeColor="background1"/>
                <w:sz w:val="18"/>
                <w:szCs w:val="18"/>
              </w:rPr>
              <w:br/>
              <w:t>(Basin Plan S. 8.05)</w:t>
            </w:r>
          </w:p>
        </w:tc>
        <w:tc>
          <w:tcPr>
            <w:tcW w:w="2237" w:type="dxa"/>
            <w:gridSpan w:val="3"/>
            <w:vMerge w:val="restart"/>
            <w:tcBorders>
              <w:top w:val="single" w:sz="4" w:space="0" w:color="auto"/>
              <w:left w:val="single" w:sz="4" w:space="0" w:color="auto"/>
              <w:right w:val="single" w:sz="4" w:space="0" w:color="auto"/>
            </w:tcBorders>
            <w:shd w:val="clear" w:color="auto" w:fill="79B2F7"/>
            <w:vAlign w:val="center"/>
            <w:hideMark/>
          </w:tcPr>
          <w:p w14:paraId="6C650116" w14:textId="77777777" w:rsidR="007A7A94" w:rsidRDefault="00BA5E36">
            <w:pPr>
              <w:spacing w:after="120"/>
              <w:jc w:val="left"/>
              <w:rPr>
                <w:rFonts w:asciiTheme="minorHAnsi" w:hAnsiTheme="minorHAnsi"/>
                <w:sz w:val="18"/>
                <w:szCs w:val="18"/>
              </w:rPr>
            </w:pPr>
            <w:r w:rsidRPr="00561936">
              <w:rPr>
                <w:rFonts w:asciiTheme="minorHAnsi" w:hAnsiTheme="minorHAnsi"/>
                <w:sz w:val="18"/>
                <w:szCs w:val="18"/>
              </w:rPr>
              <w:t>Ecosystem diversity</w:t>
            </w:r>
          </w:p>
        </w:tc>
        <w:tc>
          <w:tcPr>
            <w:tcW w:w="2834" w:type="dxa"/>
            <w:tcBorders>
              <w:top w:val="nil"/>
              <w:left w:val="nil"/>
              <w:right w:val="single" w:sz="4" w:space="0" w:color="auto"/>
            </w:tcBorders>
            <w:shd w:val="clear" w:color="auto" w:fill="FABF8F" w:themeFill="accent6" w:themeFillTint="99"/>
          </w:tcPr>
          <w:p w14:paraId="6C650117" w14:textId="77777777" w:rsidR="007A7A94" w:rsidRDefault="007A7A94" w:rsidP="00C433B2">
            <w:pPr>
              <w:spacing w:after="0"/>
              <w:jc w:val="left"/>
              <w:rPr>
                <w:rFonts w:asciiTheme="minorHAnsi" w:hAnsiTheme="minorHAnsi"/>
                <w:sz w:val="18"/>
                <w:szCs w:val="18"/>
              </w:rPr>
            </w:pPr>
          </w:p>
        </w:tc>
        <w:tc>
          <w:tcPr>
            <w:tcW w:w="1985" w:type="dxa"/>
            <w:vMerge w:val="restart"/>
            <w:tcBorders>
              <w:top w:val="nil"/>
              <w:left w:val="single" w:sz="4" w:space="0" w:color="auto"/>
              <w:right w:val="single" w:sz="4" w:space="0" w:color="auto"/>
            </w:tcBorders>
            <w:shd w:val="clear" w:color="auto" w:fill="92D050"/>
            <w:vAlign w:val="center"/>
            <w:hideMark/>
          </w:tcPr>
          <w:p w14:paraId="6C650118" w14:textId="77777777" w:rsidR="007A7A94" w:rsidRDefault="00BA5E36" w:rsidP="00C433B2">
            <w:pPr>
              <w:pStyle w:val="ListBullet"/>
              <w:spacing w:after="0"/>
              <w:ind w:left="175" w:hanging="175"/>
              <w:jc w:val="left"/>
              <w:rPr>
                <w:rFonts w:asciiTheme="minorHAnsi" w:hAnsiTheme="minorHAnsi"/>
                <w:sz w:val="18"/>
                <w:szCs w:val="18"/>
              </w:rPr>
            </w:pPr>
            <w:r w:rsidRPr="00561936">
              <w:rPr>
                <w:rFonts w:asciiTheme="minorHAnsi" w:hAnsiTheme="minorHAnsi"/>
                <w:sz w:val="18"/>
                <w:szCs w:val="18"/>
              </w:rPr>
              <w:t>Species diversity</w:t>
            </w:r>
          </w:p>
        </w:tc>
        <w:tc>
          <w:tcPr>
            <w:tcW w:w="2126" w:type="dxa"/>
            <w:vMerge w:val="restart"/>
            <w:tcBorders>
              <w:top w:val="nil"/>
              <w:left w:val="nil"/>
              <w:right w:val="single" w:sz="4" w:space="0" w:color="auto"/>
            </w:tcBorders>
            <w:shd w:val="clear" w:color="auto" w:fill="D6E3BC" w:themeFill="accent3" w:themeFillTint="66"/>
            <w:vAlign w:val="center"/>
          </w:tcPr>
          <w:p w14:paraId="6C650119" w14:textId="77777777" w:rsidR="007A7A94" w:rsidRDefault="007A7A94" w:rsidP="00C433B2">
            <w:pPr>
              <w:pStyle w:val="ListBullet"/>
              <w:numPr>
                <w:ilvl w:val="0"/>
                <w:numId w:val="0"/>
              </w:numPr>
              <w:spacing w:after="0"/>
              <w:ind w:left="175"/>
              <w:jc w:val="left"/>
              <w:rPr>
                <w:rFonts w:asciiTheme="minorHAnsi" w:hAnsiTheme="minorHAnsi"/>
                <w:sz w:val="18"/>
                <w:szCs w:val="18"/>
              </w:rPr>
            </w:pPr>
          </w:p>
        </w:tc>
      </w:tr>
      <w:tr w:rsidR="00BA5E36" w:rsidRPr="00561936" w14:paraId="6C650120" w14:textId="77777777" w:rsidTr="00C433B2">
        <w:trPr>
          <w:trHeight w:val="129"/>
        </w:trPr>
        <w:tc>
          <w:tcPr>
            <w:tcW w:w="1308" w:type="dxa"/>
            <w:vMerge/>
            <w:tcBorders>
              <w:top w:val="nil"/>
              <w:left w:val="single" w:sz="4" w:space="0" w:color="auto"/>
              <w:bottom w:val="single" w:sz="4" w:space="0" w:color="auto"/>
              <w:right w:val="single" w:sz="4" w:space="0" w:color="auto"/>
            </w:tcBorders>
            <w:shd w:val="clear" w:color="auto" w:fill="0070C0"/>
            <w:vAlign w:val="center"/>
            <w:hideMark/>
          </w:tcPr>
          <w:p w14:paraId="6C65011B" w14:textId="77777777" w:rsidR="007A7A94" w:rsidRDefault="007A7A94">
            <w:pPr>
              <w:spacing w:after="120"/>
              <w:jc w:val="left"/>
              <w:rPr>
                <w:rFonts w:asciiTheme="minorHAnsi" w:hAnsiTheme="minorHAnsi"/>
                <w:color w:val="FFFFFF" w:themeColor="background1"/>
                <w:sz w:val="18"/>
                <w:szCs w:val="18"/>
              </w:rPr>
            </w:pPr>
          </w:p>
        </w:tc>
        <w:tc>
          <w:tcPr>
            <w:tcW w:w="2237" w:type="dxa"/>
            <w:gridSpan w:val="3"/>
            <w:vMerge/>
            <w:tcBorders>
              <w:left w:val="single" w:sz="4" w:space="0" w:color="auto"/>
              <w:bottom w:val="single" w:sz="4" w:space="0" w:color="000000"/>
              <w:right w:val="single" w:sz="4" w:space="0" w:color="auto"/>
            </w:tcBorders>
            <w:shd w:val="clear" w:color="auto" w:fill="79B2F7"/>
            <w:vAlign w:val="center"/>
            <w:hideMark/>
          </w:tcPr>
          <w:p w14:paraId="6C65011C" w14:textId="77777777" w:rsidR="007A7A94" w:rsidRDefault="007A7A94">
            <w:pPr>
              <w:spacing w:after="120"/>
              <w:jc w:val="left"/>
              <w:rPr>
                <w:rFonts w:asciiTheme="minorHAnsi" w:hAnsiTheme="minorHAnsi"/>
                <w:sz w:val="18"/>
                <w:szCs w:val="18"/>
              </w:rPr>
            </w:pPr>
          </w:p>
        </w:tc>
        <w:tc>
          <w:tcPr>
            <w:tcW w:w="2834" w:type="dxa"/>
            <w:tcBorders>
              <w:left w:val="nil"/>
              <w:bottom w:val="single" w:sz="4" w:space="0" w:color="auto"/>
              <w:right w:val="single" w:sz="4" w:space="0" w:color="auto"/>
            </w:tcBorders>
            <w:shd w:val="clear" w:color="auto" w:fill="FABF8F" w:themeFill="accent6" w:themeFillTint="99"/>
          </w:tcPr>
          <w:p w14:paraId="6C65011D" w14:textId="77777777" w:rsidR="007A7A94" w:rsidRDefault="007A7A94">
            <w:pPr>
              <w:spacing w:after="120"/>
              <w:jc w:val="left"/>
              <w:rPr>
                <w:rFonts w:asciiTheme="minorHAnsi" w:hAnsiTheme="minorHAnsi"/>
                <w:sz w:val="18"/>
                <w:szCs w:val="18"/>
              </w:rPr>
            </w:pPr>
          </w:p>
        </w:tc>
        <w:tc>
          <w:tcPr>
            <w:tcW w:w="1985" w:type="dxa"/>
            <w:vMerge/>
            <w:tcBorders>
              <w:left w:val="single" w:sz="4" w:space="0" w:color="auto"/>
              <w:bottom w:val="single" w:sz="4" w:space="0" w:color="auto"/>
              <w:right w:val="single" w:sz="4" w:space="0" w:color="auto"/>
            </w:tcBorders>
            <w:shd w:val="clear" w:color="auto" w:fill="92D050"/>
            <w:vAlign w:val="center"/>
            <w:hideMark/>
          </w:tcPr>
          <w:p w14:paraId="6C65011E" w14:textId="77777777" w:rsidR="007A7A94" w:rsidRDefault="007A7A94">
            <w:pPr>
              <w:pStyle w:val="ListBullet"/>
              <w:spacing w:after="120"/>
              <w:ind w:left="175" w:hanging="175"/>
              <w:jc w:val="left"/>
              <w:rPr>
                <w:rFonts w:asciiTheme="minorHAnsi" w:hAnsiTheme="minorHAnsi"/>
                <w:sz w:val="18"/>
                <w:szCs w:val="18"/>
              </w:rPr>
            </w:pPr>
          </w:p>
        </w:tc>
        <w:tc>
          <w:tcPr>
            <w:tcW w:w="2126" w:type="dxa"/>
            <w:vMerge/>
            <w:tcBorders>
              <w:left w:val="nil"/>
              <w:bottom w:val="single" w:sz="4" w:space="0" w:color="auto"/>
              <w:right w:val="single" w:sz="4" w:space="0" w:color="auto"/>
            </w:tcBorders>
            <w:shd w:val="clear" w:color="auto" w:fill="D6E3BC" w:themeFill="accent3" w:themeFillTint="66"/>
            <w:vAlign w:val="center"/>
          </w:tcPr>
          <w:p w14:paraId="6C65011F" w14:textId="77777777" w:rsidR="007A7A94" w:rsidRDefault="007A7A94">
            <w:pPr>
              <w:pStyle w:val="ListBullet"/>
              <w:spacing w:after="120"/>
              <w:ind w:left="175" w:hanging="175"/>
              <w:jc w:val="left"/>
              <w:rPr>
                <w:rFonts w:asciiTheme="minorHAnsi" w:hAnsiTheme="minorHAnsi"/>
                <w:sz w:val="18"/>
                <w:szCs w:val="18"/>
              </w:rPr>
            </w:pPr>
          </w:p>
        </w:tc>
      </w:tr>
      <w:tr w:rsidR="00BA5E36" w:rsidRPr="00561936" w14:paraId="6C65012C" w14:textId="77777777" w:rsidTr="00553B2D">
        <w:trPr>
          <w:trHeight w:val="3384"/>
        </w:trPr>
        <w:tc>
          <w:tcPr>
            <w:tcW w:w="1308" w:type="dxa"/>
            <w:vMerge/>
            <w:tcBorders>
              <w:top w:val="nil"/>
              <w:left w:val="single" w:sz="4" w:space="0" w:color="auto"/>
              <w:bottom w:val="single" w:sz="4" w:space="0" w:color="auto"/>
              <w:right w:val="single" w:sz="4" w:space="0" w:color="auto"/>
            </w:tcBorders>
            <w:shd w:val="clear" w:color="auto" w:fill="0070C0"/>
            <w:vAlign w:val="center"/>
            <w:hideMark/>
          </w:tcPr>
          <w:p w14:paraId="6C650121" w14:textId="77777777" w:rsidR="007A7A94" w:rsidRDefault="007A7A94">
            <w:pPr>
              <w:spacing w:after="120"/>
              <w:jc w:val="left"/>
              <w:rPr>
                <w:rFonts w:asciiTheme="minorHAnsi" w:hAnsiTheme="minorHAnsi"/>
                <w:color w:val="FFFFFF" w:themeColor="background1"/>
                <w:sz w:val="18"/>
                <w:szCs w:val="18"/>
              </w:rPr>
            </w:pPr>
          </w:p>
        </w:tc>
        <w:tc>
          <w:tcPr>
            <w:tcW w:w="535" w:type="dxa"/>
            <w:vMerge w:val="restart"/>
            <w:tcBorders>
              <w:top w:val="nil"/>
              <w:left w:val="single" w:sz="4" w:space="0" w:color="auto"/>
              <w:right w:val="single" w:sz="4" w:space="0" w:color="auto"/>
            </w:tcBorders>
            <w:shd w:val="clear" w:color="auto" w:fill="79B2F7"/>
            <w:textDirection w:val="btLr"/>
            <w:hideMark/>
          </w:tcPr>
          <w:p w14:paraId="6C650122" w14:textId="77777777" w:rsidR="007A7A94" w:rsidRDefault="00BA5E36">
            <w:pPr>
              <w:spacing w:after="120"/>
              <w:ind w:left="113" w:right="113"/>
              <w:jc w:val="center"/>
              <w:rPr>
                <w:rFonts w:asciiTheme="minorHAnsi" w:hAnsiTheme="minorHAnsi"/>
                <w:sz w:val="18"/>
                <w:szCs w:val="18"/>
              </w:rPr>
            </w:pPr>
            <w:r w:rsidRPr="00561936">
              <w:rPr>
                <w:rFonts w:asciiTheme="minorHAnsi" w:hAnsiTheme="minorHAnsi"/>
                <w:sz w:val="18"/>
                <w:szCs w:val="18"/>
              </w:rPr>
              <w:t>Species diversity</w:t>
            </w:r>
          </w:p>
          <w:p w14:paraId="6C650123" w14:textId="77777777" w:rsidR="007A7A94" w:rsidRDefault="007A7A94">
            <w:pPr>
              <w:spacing w:after="120"/>
              <w:jc w:val="left"/>
              <w:rPr>
                <w:rFonts w:asciiTheme="minorHAnsi" w:hAnsiTheme="minorHAnsi"/>
                <w:sz w:val="18"/>
                <w:szCs w:val="18"/>
              </w:rPr>
            </w:pPr>
          </w:p>
        </w:tc>
        <w:tc>
          <w:tcPr>
            <w:tcW w:w="1702" w:type="dxa"/>
            <w:gridSpan w:val="2"/>
            <w:tcBorders>
              <w:top w:val="nil"/>
              <w:left w:val="single" w:sz="4" w:space="0" w:color="auto"/>
              <w:bottom w:val="single" w:sz="4" w:space="0" w:color="000000"/>
              <w:right w:val="single" w:sz="4" w:space="0" w:color="auto"/>
            </w:tcBorders>
            <w:shd w:val="clear" w:color="auto" w:fill="91C6E7"/>
            <w:vAlign w:val="center"/>
            <w:hideMark/>
          </w:tcPr>
          <w:p w14:paraId="6C650124" w14:textId="77777777" w:rsidR="007A7A94" w:rsidRDefault="00BA5E36">
            <w:pPr>
              <w:spacing w:after="120"/>
              <w:jc w:val="left"/>
              <w:rPr>
                <w:rFonts w:asciiTheme="minorHAnsi" w:hAnsiTheme="minorHAnsi"/>
                <w:sz w:val="18"/>
                <w:szCs w:val="18"/>
              </w:rPr>
            </w:pPr>
            <w:r w:rsidRPr="00561936">
              <w:rPr>
                <w:rFonts w:asciiTheme="minorHAnsi" w:hAnsiTheme="minorHAnsi"/>
                <w:sz w:val="18"/>
                <w:szCs w:val="18"/>
              </w:rPr>
              <w:t>Vegetation</w:t>
            </w:r>
          </w:p>
        </w:tc>
        <w:tc>
          <w:tcPr>
            <w:tcW w:w="2834" w:type="dxa"/>
            <w:tcBorders>
              <w:top w:val="nil"/>
              <w:left w:val="nil"/>
              <w:bottom w:val="single" w:sz="4" w:space="0" w:color="auto"/>
              <w:right w:val="single" w:sz="4" w:space="0" w:color="auto"/>
            </w:tcBorders>
            <w:shd w:val="clear" w:color="auto" w:fill="FABF8F" w:themeFill="accent6" w:themeFillTint="99"/>
          </w:tcPr>
          <w:p w14:paraId="6C650125" w14:textId="77777777" w:rsidR="007A7A94" w:rsidRDefault="00BA5E36">
            <w:pPr>
              <w:pStyle w:val="ListBullet"/>
              <w:spacing w:after="120"/>
              <w:ind w:left="175" w:hanging="175"/>
              <w:jc w:val="left"/>
              <w:rPr>
                <w:rFonts w:asciiTheme="minorHAnsi" w:hAnsiTheme="minorHAnsi"/>
                <w:sz w:val="18"/>
                <w:szCs w:val="18"/>
              </w:rPr>
            </w:pPr>
            <w:r w:rsidRPr="00913CE0">
              <w:rPr>
                <w:rFonts w:asciiTheme="minorHAnsi" w:hAnsiTheme="minorHAnsi"/>
                <w:sz w:val="18"/>
                <w:szCs w:val="18"/>
              </w:rPr>
              <w:t>Maintenance of the current extent of river red gum, black box, coolibah forest and woodlands; existing large communities of lignum; and</w:t>
            </w:r>
            <w:r>
              <w:rPr>
                <w:rFonts w:asciiTheme="minorHAnsi" w:hAnsiTheme="minorHAnsi"/>
                <w:sz w:val="18"/>
                <w:szCs w:val="18"/>
              </w:rPr>
              <w:t xml:space="preserve"> </w:t>
            </w:r>
            <w:r w:rsidRPr="00913CE0">
              <w:rPr>
                <w:rFonts w:asciiTheme="minorHAnsi" w:hAnsiTheme="minorHAnsi"/>
                <w:sz w:val="18"/>
                <w:szCs w:val="18"/>
              </w:rPr>
              <w:t>non-woody communities near or in wetlands, streams and on low-lying floodplains</w:t>
            </w:r>
          </w:p>
          <w:p w14:paraId="6C650126" w14:textId="77777777" w:rsidR="007A7A94" w:rsidRDefault="00BA5E36">
            <w:pPr>
              <w:pStyle w:val="ListBullet"/>
              <w:spacing w:after="120"/>
              <w:ind w:left="175" w:hanging="175"/>
              <w:jc w:val="left"/>
              <w:rPr>
                <w:rFonts w:asciiTheme="minorHAnsi" w:hAnsiTheme="minorHAnsi"/>
                <w:sz w:val="18"/>
                <w:szCs w:val="18"/>
              </w:rPr>
            </w:pPr>
            <w:r w:rsidRPr="00561936">
              <w:rPr>
                <w:rFonts w:asciiTheme="minorHAnsi" w:hAnsiTheme="minorHAnsi"/>
                <w:sz w:val="18"/>
                <w:szCs w:val="18"/>
              </w:rPr>
              <w:t xml:space="preserve">Maintain the current condition of lowland floodplain forests and woodlands of river red gum, black box and coolibah </w:t>
            </w:r>
          </w:p>
          <w:p w14:paraId="6C650127" w14:textId="77777777" w:rsidR="007A7A94" w:rsidRDefault="00BA5E36">
            <w:pPr>
              <w:pStyle w:val="ListBullet"/>
              <w:spacing w:after="120"/>
              <w:ind w:left="175" w:hanging="175"/>
              <w:jc w:val="left"/>
              <w:rPr>
                <w:rFonts w:asciiTheme="minorHAnsi" w:hAnsiTheme="minorHAnsi"/>
                <w:sz w:val="18"/>
                <w:szCs w:val="18"/>
              </w:rPr>
            </w:pPr>
            <w:r w:rsidRPr="00561936">
              <w:rPr>
                <w:rFonts w:asciiTheme="minorHAnsi" w:hAnsiTheme="minorHAnsi"/>
                <w:sz w:val="18"/>
                <w:szCs w:val="18"/>
              </w:rPr>
              <w:t>Improved condition of southern river red gum</w:t>
            </w:r>
          </w:p>
        </w:tc>
        <w:tc>
          <w:tcPr>
            <w:tcW w:w="1985" w:type="dxa"/>
            <w:tcBorders>
              <w:top w:val="nil"/>
              <w:left w:val="single" w:sz="4" w:space="0" w:color="auto"/>
              <w:bottom w:val="single" w:sz="4" w:space="0" w:color="auto"/>
              <w:right w:val="single" w:sz="4" w:space="0" w:color="auto"/>
            </w:tcBorders>
            <w:shd w:val="clear" w:color="auto" w:fill="92D050"/>
            <w:vAlign w:val="center"/>
            <w:hideMark/>
          </w:tcPr>
          <w:p w14:paraId="6C650128" w14:textId="77777777" w:rsidR="007A7A94" w:rsidRDefault="00BA5E36">
            <w:pPr>
              <w:pStyle w:val="ListBullet"/>
              <w:spacing w:after="120"/>
              <w:ind w:left="175" w:hanging="175"/>
              <w:jc w:val="left"/>
              <w:rPr>
                <w:rFonts w:asciiTheme="minorHAnsi" w:hAnsiTheme="minorHAnsi"/>
                <w:sz w:val="18"/>
                <w:szCs w:val="18"/>
              </w:rPr>
            </w:pPr>
            <w:r w:rsidRPr="00561936">
              <w:rPr>
                <w:rFonts w:asciiTheme="minorHAnsi" w:hAnsiTheme="minorHAnsi"/>
                <w:sz w:val="18"/>
                <w:szCs w:val="18"/>
              </w:rPr>
              <w:t xml:space="preserve"> Vegetation diversity</w:t>
            </w:r>
          </w:p>
          <w:p w14:paraId="6C650129" w14:textId="77777777" w:rsidR="007A7A94" w:rsidRDefault="00BA5E36">
            <w:pPr>
              <w:pStyle w:val="ListBullet"/>
              <w:spacing w:after="120"/>
              <w:ind w:left="175" w:hanging="175"/>
              <w:jc w:val="left"/>
              <w:rPr>
                <w:rFonts w:asciiTheme="minorHAnsi" w:hAnsiTheme="minorHAnsi"/>
                <w:sz w:val="18"/>
                <w:szCs w:val="18"/>
              </w:rPr>
            </w:pPr>
            <w:r w:rsidRPr="00561936">
              <w:rPr>
                <w:rFonts w:asciiTheme="minorHAnsi" w:hAnsiTheme="minorHAnsi"/>
                <w:sz w:val="18"/>
                <w:szCs w:val="18"/>
              </w:rPr>
              <w:t xml:space="preserve"> Growth and survival</w:t>
            </w:r>
          </w:p>
        </w:tc>
        <w:tc>
          <w:tcPr>
            <w:tcW w:w="2126" w:type="dxa"/>
            <w:tcBorders>
              <w:top w:val="nil"/>
              <w:left w:val="nil"/>
              <w:bottom w:val="single" w:sz="4" w:space="0" w:color="auto"/>
              <w:right w:val="single" w:sz="4" w:space="0" w:color="auto"/>
            </w:tcBorders>
            <w:shd w:val="clear" w:color="auto" w:fill="D6E3BC" w:themeFill="accent3" w:themeFillTint="66"/>
            <w:vAlign w:val="center"/>
          </w:tcPr>
          <w:p w14:paraId="6C65012A" w14:textId="77777777" w:rsidR="007A7A94" w:rsidRDefault="00BA5E36">
            <w:pPr>
              <w:spacing w:after="120"/>
              <w:jc w:val="left"/>
              <w:rPr>
                <w:rFonts w:asciiTheme="minorHAnsi" w:hAnsiTheme="minorHAnsi"/>
                <w:sz w:val="18"/>
                <w:szCs w:val="18"/>
              </w:rPr>
            </w:pPr>
            <w:r w:rsidRPr="00561936">
              <w:rPr>
                <w:rFonts w:asciiTheme="minorHAnsi" w:hAnsiTheme="minorHAnsi"/>
                <w:sz w:val="18"/>
                <w:szCs w:val="18"/>
              </w:rPr>
              <w:t>• Reproduction</w:t>
            </w:r>
            <w:r w:rsidRPr="00561936">
              <w:rPr>
                <w:rFonts w:asciiTheme="minorHAnsi" w:hAnsiTheme="minorHAnsi"/>
                <w:sz w:val="18"/>
                <w:szCs w:val="18"/>
              </w:rPr>
              <w:br/>
              <w:t>• Condition</w:t>
            </w:r>
          </w:p>
          <w:p w14:paraId="6C65012B" w14:textId="77777777" w:rsidR="007A7A94" w:rsidRDefault="00BA5E36">
            <w:pPr>
              <w:spacing w:after="120"/>
              <w:jc w:val="left"/>
              <w:rPr>
                <w:rFonts w:asciiTheme="minorHAnsi" w:hAnsiTheme="minorHAnsi"/>
                <w:sz w:val="18"/>
                <w:szCs w:val="18"/>
              </w:rPr>
            </w:pPr>
            <w:r w:rsidRPr="00561936">
              <w:rPr>
                <w:rFonts w:asciiTheme="minorHAnsi" w:hAnsiTheme="minorHAnsi"/>
                <w:sz w:val="18"/>
                <w:szCs w:val="18"/>
              </w:rPr>
              <w:t>• Germination</w:t>
            </w:r>
            <w:r w:rsidRPr="00561936">
              <w:rPr>
                <w:rFonts w:asciiTheme="minorHAnsi" w:hAnsiTheme="minorHAnsi"/>
                <w:sz w:val="18"/>
                <w:szCs w:val="18"/>
              </w:rPr>
              <w:br/>
              <w:t>• Dispersal</w:t>
            </w:r>
          </w:p>
        </w:tc>
      </w:tr>
      <w:tr w:rsidR="00BA5E36" w:rsidRPr="00561936" w14:paraId="6C650133" w14:textId="77777777" w:rsidTr="00553B2D">
        <w:trPr>
          <w:trHeight w:val="201"/>
        </w:trPr>
        <w:tc>
          <w:tcPr>
            <w:tcW w:w="1308" w:type="dxa"/>
            <w:vMerge/>
            <w:tcBorders>
              <w:top w:val="nil"/>
              <w:left w:val="single" w:sz="4" w:space="0" w:color="auto"/>
              <w:bottom w:val="single" w:sz="4" w:space="0" w:color="auto"/>
              <w:right w:val="single" w:sz="4" w:space="0" w:color="auto"/>
            </w:tcBorders>
            <w:shd w:val="clear" w:color="auto" w:fill="0070C0"/>
            <w:vAlign w:val="center"/>
            <w:hideMark/>
          </w:tcPr>
          <w:p w14:paraId="6C65012D" w14:textId="77777777" w:rsidR="007A7A94" w:rsidRDefault="007A7A94">
            <w:pPr>
              <w:spacing w:after="120"/>
              <w:jc w:val="left"/>
              <w:rPr>
                <w:rFonts w:asciiTheme="minorHAnsi" w:hAnsiTheme="minorHAnsi"/>
                <w:color w:val="FFFFFF" w:themeColor="background1"/>
                <w:sz w:val="18"/>
                <w:szCs w:val="18"/>
              </w:rPr>
            </w:pPr>
          </w:p>
        </w:tc>
        <w:tc>
          <w:tcPr>
            <w:tcW w:w="535" w:type="dxa"/>
            <w:vMerge/>
            <w:tcBorders>
              <w:left w:val="single" w:sz="4" w:space="0" w:color="auto"/>
              <w:right w:val="single" w:sz="4" w:space="0" w:color="auto"/>
            </w:tcBorders>
            <w:shd w:val="clear" w:color="auto" w:fill="79B2F7"/>
            <w:vAlign w:val="center"/>
            <w:hideMark/>
          </w:tcPr>
          <w:p w14:paraId="6C65012E" w14:textId="77777777" w:rsidR="007A7A94" w:rsidRDefault="007A7A94">
            <w:pPr>
              <w:spacing w:after="120"/>
              <w:jc w:val="left"/>
              <w:rPr>
                <w:rFonts w:asciiTheme="minorHAnsi" w:hAnsiTheme="minorHAnsi"/>
                <w:sz w:val="18"/>
                <w:szCs w:val="18"/>
              </w:rPr>
            </w:pPr>
          </w:p>
        </w:tc>
        <w:tc>
          <w:tcPr>
            <w:tcW w:w="1702" w:type="dxa"/>
            <w:gridSpan w:val="2"/>
            <w:tcBorders>
              <w:top w:val="nil"/>
              <w:left w:val="nil"/>
              <w:bottom w:val="single" w:sz="4" w:space="0" w:color="auto"/>
              <w:right w:val="single" w:sz="4" w:space="0" w:color="auto"/>
            </w:tcBorders>
            <w:shd w:val="clear" w:color="auto" w:fill="91C6E7"/>
            <w:vAlign w:val="center"/>
            <w:hideMark/>
          </w:tcPr>
          <w:p w14:paraId="6C65012F" w14:textId="77777777" w:rsidR="007A7A94" w:rsidRDefault="00BA5E36">
            <w:pPr>
              <w:spacing w:after="120"/>
              <w:jc w:val="left"/>
              <w:rPr>
                <w:rFonts w:asciiTheme="minorHAnsi" w:hAnsiTheme="minorHAnsi"/>
                <w:sz w:val="18"/>
                <w:szCs w:val="18"/>
              </w:rPr>
            </w:pPr>
            <w:r w:rsidRPr="00561936">
              <w:rPr>
                <w:rFonts w:asciiTheme="minorHAnsi" w:hAnsiTheme="minorHAnsi"/>
                <w:sz w:val="18"/>
                <w:szCs w:val="18"/>
              </w:rPr>
              <w:t>Macroinvertebrates</w:t>
            </w:r>
          </w:p>
        </w:tc>
        <w:tc>
          <w:tcPr>
            <w:tcW w:w="2834" w:type="dxa"/>
            <w:tcBorders>
              <w:top w:val="single" w:sz="4" w:space="0" w:color="auto"/>
              <w:left w:val="nil"/>
              <w:bottom w:val="single" w:sz="4" w:space="0" w:color="auto"/>
              <w:right w:val="single" w:sz="4" w:space="0" w:color="auto"/>
            </w:tcBorders>
            <w:shd w:val="clear" w:color="auto" w:fill="FABF8F" w:themeFill="accent6" w:themeFillTint="99"/>
          </w:tcPr>
          <w:p w14:paraId="6C650130" w14:textId="77777777" w:rsidR="007A7A94" w:rsidRDefault="007A7A94">
            <w:pPr>
              <w:spacing w:after="120"/>
              <w:jc w:val="left"/>
              <w:rPr>
                <w:rFonts w:asciiTheme="minorHAnsi" w:hAnsiTheme="minorHAnsi"/>
                <w:sz w:val="18"/>
                <w:szCs w:val="18"/>
              </w:rPr>
            </w:pPr>
          </w:p>
        </w:tc>
        <w:tc>
          <w:tcPr>
            <w:tcW w:w="1985"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6C650131" w14:textId="77777777" w:rsidR="007A7A94" w:rsidRDefault="00BA5E36">
            <w:pPr>
              <w:pStyle w:val="ListBullet"/>
              <w:spacing w:after="120"/>
              <w:ind w:left="175" w:hanging="175"/>
              <w:jc w:val="left"/>
              <w:rPr>
                <w:rFonts w:asciiTheme="minorHAnsi" w:hAnsiTheme="minorHAnsi"/>
                <w:sz w:val="18"/>
                <w:szCs w:val="18"/>
              </w:rPr>
            </w:pPr>
            <w:r w:rsidRPr="00561936">
              <w:rPr>
                <w:rFonts w:asciiTheme="minorHAnsi" w:hAnsiTheme="minorHAnsi"/>
                <w:sz w:val="18"/>
                <w:szCs w:val="18"/>
              </w:rPr>
              <w:t>Macroinvertebrate diversity</w:t>
            </w:r>
          </w:p>
        </w:tc>
        <w:tc>
          <w:tcPr>
            <w:tcW w:w="2126" w:type="dxa"/>
            <w:tcBorders>
              <w:top w:val="single" w:sz="4" w:space="0" w:color="auto"/>
              <w:left w:val="nil"/>
              <w:bottom w:val="single" w:sz="4" w:space="0" w:color="auto"/>
              <w:right w:val="single" w:sz="4" w:space="0" w:color="auto"/>
            </w:tcBorders>
            <w:shd w:val="clear" w:color="auto" w:fill="D6E3BC" w:themeFill="accent3" w:themeFillTint="66"/>
            <w:vAlign w:val="center"/>
          </w:tcPr>
          <w:p w14:paraId="6C650132" w14:textId="77777777" w:rsidR="007A7A94" w:rsidRDefault="007A7A94">
            <w:pPr>
              <w:spacing w:after="120"/>
              <w:jc w:val="left"/>
              <w:rPr>
                <w:rFonts w:asciiTheme="minorHAnsi" w:hAnsiTheme="minorHAnsi"/>
                <w:sz w:val="18"/>
                <w:szCs w:val="18"/>
              </w:rPr>
            </w:pPr>
          </w:p>
        </w:tc>
      </w:tr>
      <w:tr w:rsidR="00BA5E36" w:rsidRPr="00561936" w14:paraId="6C65013E" w14:textId="77777777" w:rsidTr="00553B2D">
        <w:trPr>
          <w:trHeight w:val="2392"/>
        </w:trPr>
        <w:tc>
          <w:tcPr>
            <w:tcW w:w="1308" w:type="dxa"/>
            <w:vMerge/>
            <w:tcBorders>
              <w:top w:val="nil"/>
              <w:left w:val="single" w:sz="4" w:space="0" w:color="auto"/>
              <w:bottom w:val="single" w:sz="4" w:space="0" w:color="auto"/>
              <w:right w:val="single" w:sz="4" w:space="0" w:color="auto"/>
            </w:tcBorders>
            <w:shd w:val="clear" w:color="auto" w:fill="0070C0"/>
            <w:vAlign w:val="center"/>
            <w:hideMark/>
          </w:tcPr>
          <w:p w14:paraId="6C650134" w14:textId="77777777" w:rsidR="007A7A94" w:rsidRDefault="007A7A94">
            <w:pPr>
              <w:spacing w:after="120"/>
              <w:jc w:val="left"/>
              <w:rPr>
                <w:rFonts w:asciiTheme="minorHAnsi" w:hAnsiTheme="minorHAnsi"/>
                <w:color w:val="FFFFFF" w:themeColor="background1"/>
                <w:sz w:val="18"/>
                <w:szCs w:val="18"/>
              </w:rPr>
            </w:pPr>
          </w:p>
        </w:tc>
        <w:tc>
          <w:tcPr>
            <w:tcW w:w="535" w:type="dxa"/>
            <w:vMerge/>
            <w:tcBorders>
              <w:left w:val="single" w:sz="4" w:space="0" w:color="auto"/>
              <w:right w:val="single" w:sz="4" w:space="0" w:color="auto"/>
            </w:tcBorders>
            <w:shd w:val="clear" w:color="auto" w:fill="79B2F7"/>
            <w:vAlign w:val="center"/>
            <w:hideMark/>
          </w:tcPr>
          <w:p w14:paraId="6C650135" w14:textId="77777777" w:rsidR="007A7A94" w:rsidRDefault="007A7A94">
            <w:pPr>
              <w:spacing w:after="120"/>
              <w:jc w:val="left"/>
              <w:rPr>
                <w:rFonts w:asciiTheme="minorHAnsi" w:hAnsiTheme="minorHAnsi"/>
                <w:sz w:val="18"/>
                <w:szCs w:val="18"/>
              </w:rPr>
            </w:pPr>
          </w:p>
        </w:tc>
        <w:tc>
          <w:tcPr>
            <w:tcW w:w="1702" w:type="dxa"/>
            <w:gridSpan w:val="2"/>
            <w:tcBorders>
              <w:top w:val="nil"/>
              <w:left w:val="single" w:sz="4" w:space="0" w:color="auto"/>
              <w:bottom w:val="single" w:sz="4" w:space="0" w:color="000000"/>
              <w:right w:val="single" w:sz="4" w:space="0" w:color="auto"/>
            </w:tcBorders>
            <w:shd w:val="clear" w:color="auto" w:fill="91C6E7"/>
            <w:vAlign w:val="center"/>
            <w:hideMark/>
          </w:tcPr>
          <w:p w14:paraId="6C650136" w14:textId="77777777" w:rsidR="007A7A94" w:rsidRDefault="00BA5E36">
            <w:pPr>
              <w:spacing w:after="120"/>
              <w:jc w:val="left"/>
              <w:rPr>
                <w:rFonts w:asciiTheme="minorHAnsi" w:hAnsiTheme="minorHAnsi"/>
                <w:sz w:val="18"/>
                <w:szCs w:val="18"/>
              </w:rPr>
            </w:pPr>
            <w:r w:rsidRPr="00561936">
              <w:rPr>
                <w:rFonts w:asciiTheme="minorHAnsi" w:hAnsiTheme="minorHAnsi"/>
                <w:sz w:val="18"/>
                <w:szCs w:val="18"/>
              </w:rPr>
              <w:t>Fish</w:t>
            </w:r>
          </w:p>
        </w:tc>
        <w:tc>
          <w:tcPr>
            <w:tcW w:w="2834" w:type="dxa"/>
            <w:tcBorders>
              <w:top w:val="single" w:sz="4" w:space="0" w:color="auto"/>
              <w:left w:val="nil"/>
              <w:bottom w:val="single" w:sz="4" w:space="0" w:color="auto"/>
              <w:right w:val="single" w:sz="4" w:space="0" w:color="auto"/>
            </w:tcBorders>
            <w:shd w:val="clear" w:color="auto" w:fill="FABF8F" w:themeFill="accent6" w:themeFillTint="99"/>
          </w:tcPr>
          <w:p w14:paraId="6C650137" w14:textId="77777777" w:rsidR="007A7A94" w:rsidRDefault="00BA5E36">
            <w:pPr>
              <w:pStyle w:val="ListBullet"/>
              <w:spacing w:after="120"/>
              <w:ind w:left="175" w:hanging="175"/>
              <w:jc w:val="left"/>
              <w:rPr>
                <w:rFonts w:asciiTheme="minorHAnsi" w:hAnsiTheme="minorHAnsi"/>
                <w:sz w:val="18"/>
                <w:szCs w:val="18"/>
              </w:rPr>
            </w:pPr>
            <w:r w:rsidRPr="00561936">
              <w:rPr>
                <w:rFonts w:asciiTheme="minorHAnsi" w:hAnsiTheme="minorHAnsi"/>
                <w:sz w:val="18"/>
                <w:szCs w:val="18"/>
              </w:rPr>
              <w:t>Improved distribution of key short and long-lived fish species across the Basin</w:t>
            </w:r>
          </w:p>
          <w:p w14:paraId="6C650138" w14:textId="77777777" w:rsidR="007A7A94" w:rsidRDefault="00BA5E36">
            <w:pPr>
              <w:pStyle w:val="ListBullet"/>
              <w:spacing w:after="120"/>
              <w:ind w:left="175" w:hanging="175"/>
              <w:jc w:val="left"/>
              <w:rPr>
                <w:rFonts w:asciiTheme="minorHAnsi" w:hAnsiTheme="minorHAnsi"/>
                <w:sz w:val="18"/>
                <w:szCs w:val="18"/>
              </w:rPr>
            </w:pPr>
            <w:r w:rsidRPr="00561936">
              <w:rPr>
                <w:rFonts w:asciiTheme="minorHAnsi" w:hAnsiTheme="minorHAnsi"/>
                <w:sz w:val="18"/>
                <w:szCs w:val="18"/>
              </w:rPr>
              <w:t xml:space="preserve">Improved breeding success for short-lived species, long-lived species and mulloway </w:t>
            </w:r>
          </w:p>
          <w:p w14:paraId="6C650139" w14:textId="77777777" w:rsidR="007A7A94" w:rsidRDefault="00BA5E36">
            <w:pPr>
              <w:pStyle w:val="ListBullet"/>
              <w:spacing w:after="120"/>
              <w:ind w:left="175" w:hanging="175"/>
              <w:jc w:val="left"/>
              <w:rPr>
                <w:rFonts w:asciiTheme="minorHAnsi" w:hAnsiTheme="minorHAnsi"/>
                <w:sz w:val="18"/>
                <w:szCs w:val="18"/>
              </w:rPr>
            </w:pPr>
            <w:r w:rsidRPr="00561936">
              <w:rPr>
                <w:rFonts w:asciiTheme="minorHAnsi" w:hAnsiTheme="minorHAnsi"/>
                <w:sz w:val="18"/>
                <w:szCs w:val="18"/>
              </w:rPr>
              <w:t xml:space="preserve">Improved populations of short-lived species, long-lived species, Murray cod and golden perch </w:t>
            </w:r>
          </w:p>
        </w:tc>
        <w:tc>
          <w:tcPr>
            <w:tcW w:w="1985"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6C65013A" w14:textId="77777777" w:rsidR="007A7A94" w:rsidRDefault="00BA5E36">
            <w:pPr>
              <w:pStyle w:val="ListBullet"/>
              <w:spacing w:after="120"/>
              <w:ind w:left="175" w:hanging="175"/>
              <w:jc w:val="left"/>
              <w:rPr>
                <w:rFonts w:asciiTheme="minorHAnsi" w:hAnsiTheme="minorHAnsi"/>
                <w:sz w:val="18"/>
                <w:szCs w:val="18"/>
              </w:rPr>
            </w:pPr>
            <w:r w:rsidRPr="00561936">
              <w:rPr>
                <w:rFonts w:asciiTheme="minorHAnsi" w:hAnsiTheme="minorHAnsi"/>
                <w:sz w:val="18"/>
                <w:szCs w:val="18"/>
              </w:rPr>
              <w:t>Fish diversity</w:t>
            </w:r>
          </w:p>
          <w:p w14:paraId="6C65013B" w14:textId="77777777" w:rsidR="007A7A94" w:rsidRDefault="00BA5E36">
            <w:pPr>
              <w:pStyle w:val="ListBullet"/>
              <w:spacing w:after="120"/>
              <w:ind w:left="175" w:hanging="175"/>
              <w:jc w:val="left"/>
              <w:rPr>
                <w:rFonts w:asciiTheme="minorHAnsi" w:hAnsiTheme="minorHAnsi"/>
                <w:sz w:val="18"/>
                <w:szCs w:val="18"/>
              </w:rPr>
            </w:pPr>
            <w:r w:rsidRPr="00553B2D">
              <w:rPr>
                <w:rFonts w:asciiTheme="minorHAnsi" w:hAnsiTheme="minorHAnsi"/>
                <w:sz w:val="18"/>
                <w:szCs w:val="18"/>
              </w:rPr>
              <w:t>Larval and juvenile recruitment</w:t>
            </w:r>
          </w:p>
        </w:tc>
        <w:tc>
          <w:tcPr>
            <w:tcW w:w="2126" w:type="dxa"/>
            <w:tcBorders>
              <w:top w:val="single" w:sz="4" w:space="0" w:color="auto"/>
              <w:left w:val="nil"/>
              <w:bottom w:val="single" w:sz="4" w:space="0" w:color="auto"/>
              <w:right w:val="single" w:sz="4" w:space="0" w:color="auto"/>
            </w:tcBorders>
            <w:shd w:val="clear" w:color="auto" w:fill="D6E3BC" w:themeFill="accent3" w:themeFillTint="66"/>
            <w:vAlign w:val="center"/>
          </w:tcPr>
          <w:p w14:paraId="6C65013C" w14:textId="77777777" w:rsidR="007A7A94" w:rsidRDefault="00BA5E36">
            <w:pPr>
              <w:spacing w:after="120"/>
              <w:jc w:val="left"/>
              <w:rPr>
                <w:rFonts w:asciiTheme="minorHAnsi" w:hAnsiTheme="minorHAnsi"/>
                <w:sz w:val="18"/>
                <w:szCs w:val="18"/>
              </w:rPr>
            </w:pPr>
            <w:r w:rsidRPr="00561936">
              <w:rPr>
                <w:rFonts w:asciiTheme="minorHAnsi" w:hAnsiTheme="minorHAnsi"/>
                <w:sz w:val="18"/>
                <w:szCs w:val="18"/>
              </w:rPr>
              <w:t>• Condition</w:t>
            </w:r>
          </w:p>
          <w:p w14:paraId="6C65013D" w14:textId="77777777" w:rsidR="007A7A94" w:rsidRDefault="00BA5E36">
            <w:pPr>
              <w:spacing w:after="120"/>
              <w:jc w:val="left"/>
              <w:rPr>
                <w:rFonts w:asciiTheme="minorHAnsi" w:hAnsiTheme="minorHAnsi"/>
                <w:sz w:val="18"/>
                <w:szCs w:val="18"/>
              </w:rPr>
            </w:pPr>
            <w:r w:rsidRPr="00561936">
              <w:rPr>
                <w:rFonts w:asciiTheme="minorHAnsi" w:hAnsiTheme="minorHAnsi"/>
                <w:sz w:val="18"/>
                <w:szCs w:val="18"/>
              </w:rPr>
              <w:t>• Larval abundance</w:t>
            </w:r>
            <w:r w:rsidRPr="00561936">
              <w:rPr>
                <w:rFonts w:asciiTheme="minorHAnsi" w:hAnsiTheme="minorHAnsi"/>
                <w:sz w:val="18"/>
                <w:szCs w:val="18"/>
              </w:rPr>
              <w:br/>
              <w:t>• Reproduction</w:t>
            </w:r>
          </w:p>
        </w:tc>
      </w:tr>
      <w:tr w:rsidR="00BA5E36" w:rsidRPr="00561936" w14:paraId="6C65014A" w14:textId="77777777" w:rsidTr="00553B2D">
        <w:trPr>
          <w:trHeight w:val="278"/>
        </w:trPr>
        <w:tc>
          <w:tcPr>
            <w:tcW w:w="1308" w:type="dxa"/>
            <w:vMerge/>
            <w:tcBorders>
              <w:top w:val="nil"/>
              <w:left w:val="single" w:sz="4" w:space="0" w:color="auto"/>
              <w:bottom w:val="single" w:sz="4" w:space="0" w:color="auto"/>
              <w:right w:val="single" w:sz="4" w:space="0" w:color="auto"/>
            </w:tcBorders>
            <w:shd w:val="clear" w:color="auto" w:fill="0070C0"/>
            <w:vAlign w:val="center"/>
            <w:hideMark/>
          </w:tcPr>
          <w:p w14:paraId="6C65013F" w14:textId="77777777" w:rsidR="007A7A94" w:rsidRDefault="007A7A94">
            <w:pPr>
              <w:spacing w:after="120"/>
              <w:jc w:val="left"/>
              <w:rPr>
                <w:rFonts w:asciiTheme="minorHAnsi" w:hAnsiTheme="minorHAnsi"/>
                <w:color w:val="FFFFFF" w:themeColor="background1"/>
                <w:sz w:val="18"/>
                <w:szCs w:val="18"/>
              </w:rPr>
            </w:pPr>
          </w:p>
        </w:tc>
        <w:tc>
          <w:tcPr>
            <w:tcW w:w="535" w:type="dxa"/>
            <w:vMerge/>
            <w:tcBorders>
              <w:left w:val="single" w:sz="4" w:space="0" w:color="auto"/>
              <w:right w:val="single" w:sz="4" w:space="0" w:color="auto"/>
            </w:tcBorders>
            <w:shd w:val="clear" w:color="auto" w:fill="79B2F7"/>
            <w:vAlign w:val="center"/>
            <w:hideMark/>
          </w:tcPr>
          <w:p w14:paraId="6C650140" w14:textId="77777777" w:rsidR="007A7A94" w:rsidRDefault="007A7A94">
            <w:pPr>
              <w:spacing w:after="120"/>
              <w:jc w:val="left"/>
              <w:rPr>
                <w:rFonts w:asciiTheme="minorHAnsi" w:hAnsiTheme="minorHAnsi"/>
                <w:sz w:val="18"/>
                <w:szCs w:val="18"/>
              </w:rPr>
            </w:pPr>
          </w:p>
        </w:tc>
        <w:tc>
          <w:tcPr>
            <w:tcW w:w="1702" w:type="dxa"/>
            <w:gridSpan w:val="2"/>
            <w:tcBorders>
              <w:top w:val="nil"/>
              <w:left w:val="single" w:sz="4" w:space="0" w:color="auto"/>
              <w:bottom w:val="single" w:sz="4" w:space="0" w:color="000000"/>
              <w:right w:val="single" w:sz="4" w:space="0" w:color="auto"/>
            </w:tcBorders>
            <w:shd w:val="clear" w:color="auto" w:fill="91C6E7"/>
            <w:vAlign w:val="center"/>
            <w:hideMark/>
          </w:tcPr>
          <w:p w14:paraId="6C650141" w14:textId="77777777" w:rsidR="007A7A94" w:rsidRDefault="00BA5E36">
            <w:pPr>
              <w:spacing w:after="120"/>
              <w:jc w:val="left"/>
              <w:rPr>
                <w:rFonts w:asciiTheme="minorHAnsi" w:hAnsiTheme="minorHAnsi"/>
                <w:sz w:val="18"/>
                <w:szCs w:val="18"/>
              </w:rPr>
            </w:pPr>
            <w:r w:rsidRPr="00561936">
              <w:rPr>
                <w:rFonts w:asciiTheme="minorHAnsi" w:hAnsiTheme="minorHAnsi"/>
                <w:sz w:val="18"/>
                <w:szCs w:val="18"/>
              </w:rPr>
              <w:t>Waterbirds</w:t>
            </w:r>
          </w:p>
        </w:tc>
        <w:tc>
          <w:tcPr>
            <w:tcW w:w="2834" w:type="dxa"/>
            <w:tcBorders>
              <w:top w:val="single" w:sz="4" w:space="0" w:color="auto"/>
              <w:left w:val="nil"/>
              <w:bottom w:val="single" w:sz="4" w:space="0" w:color="auto"/>
              <w:right w:val="single" w:sz="4" w:space="0" w:color="auto"/>
            </w:tcBorders>
            <w:shd w:val="clear" w:color="auto" w:fill="FABF8F" w:themeFill="accent6" w:themeFillTint="99"/>
          </w:tcPr>
          <w:p w14:paraId="6C650142" w14:textId="77777777" w:rsidR="007A7A94" w:rsidRDefault="00BA5E36">
            <w:pPr>
              <w:pStyle w:val="ListBullet"/>
              <w:spacing w:after="120"/>
              <w:ind w:left="175" w:hanging="175"/>
              <w:jc w:val="left"/>
              <w:rPr>
                <w:rFonts w:asciiTheme="minorHAnsi" w:hAnsiTheme="minorHAnsi"/>
                <w:sz w:val="18"/>
                <w:szCs w:val="18"/>
              </w:rPr>
            </w:pPr>
            <w:r w:rsidRPr="00561936">
              <w:rPr>
                <w:rFonts w:asciiTheme="minorHAnsi" w:hAnsiTheme="minorHAnsi"/>
                <w:sz w:val="18"/>
                <w:szCs w:val="18"/>
              </w:rPr>
              <w:t>Maintained current species diversity of all current Basin waterbirds and current migratory shorebirds at the Coorong</w:t>
            </w:r>
          </w:p>
          <w:p w14:paraId="6C650143" w14:textId="77777777" w:rsidR="007A7A94" w:rsidRDefault="00BA5E36">
            <w:pPr>
              <w:pStyle w:val="ListBullet"/>
              <w:spacing w:after="120"/>
              <w:ind w:left="175" w:hanging="175"/>
              <w:jc w:val="left"/>
              <w:rPr>
                <w:rFonts w:asciiTheme="minorHAnsi" w:hAnsiTheme="minorHAnsi"/>
                <w:sz w:val="18"/>
                <w:szCs w:val="18"/>
              </w:rPr>
            </w:pPr>
            <w:r w:rsidRPr="00561936">
              <w:rPr>
                <w:rFonts w:asciiTheme="minorHAnsi" w:hAnsiTheme="minorHAnsi"/>
                <w:sz w:val="18"/>
                <w:szCs w:val="18"/>
              </w:rPr>
              <w:t>Increased abundance with a  20–25</w:t>
            </w:r>
            <w:r w:rsidR="005539CE">
              <w:rPr>
                <w:rFonts w:asciiTheme="minorHAnsi" w:hAnsiTheme="minorHAnsi"/>
                <w:sz w:val="18"/>
                <w:szCs w:val="18"/>
              </w:rPr>
              <w:t xml:space="preserve"> per cent</w:t>
            </w:r>
            <w:r w:rsidRPr="00561936">
              <w:rPr>
                <w:rFonts w:asciiTheme="minorHAnsi" w:hAnsiTheme="minorHAnsi"/>
                <w:sz w:val="18"/>
                <w:szCs w:val="18"/>
              </w:rPr>
              <w:t xml:space="preserve"> increase in waterbirds by 2024</w:t>
            </w:r>
          </w:p>
          <w:p w14:paraId="6C650144" w14:textId="77777777" w:rsidR="007A7A94" w:rsidRDefault="00BA5E36">
            <w:pPr>
              <w:pStyle w:val="ListBullet"/>
              <w:spacing w:after="120"/>
              <w:ind w:left="175" w:hanging="175"/>
              <w:jc w:val="left"/>
              <w:rPr>
                <w:rFonts w:asciiTheme="minorHAnsi" w:hAnsiTheme="minorHAnsi"/>
                <w:sz w:val="18"/>
                <w:szCs w:val="18"/>
              </w:rPr>
            </w:pPr>
            <w:r w:rsidRPr="00561936">
              <w:rPr>
                <w:rFonts w:asciiTheme="minorHAnsi" w:hAnsiTheme="minorHAnsi"/>
                <w:sz w:val="18"/>
                <w:szCs w:val="18"/>
              </w:rPr>
              <w:t>Improved breeding events for colonial nesting waterbird species and an increase in nests and broods for other waterbirds</w:t>
            </w:r>
          </w:p>
        </w:tc>
        <w:tc>
          <w:tcPr>
            <w:tcW w:w="1985" w:type="dxa"/>
            <w:tcBorders>
              <w:top w:val="single" w:sz="4" w:space="0" w:color="auto"/>
              <w:left w:val="single" w:sz="4" w:space="0" w:color="auto"/>
              <w:right w:val="single" w:sz="4" w:space="0" w:color="auto"/>
            </w:tcBorders>
            <w:shd w:val="clear" w:color="auto" w:fill="92D050"/>
            <w:vAlign w:val="center"/>
            <w:hideMark/>
          </w:tcPr>
          <w:p w14:paraId="6C650145" w14:textId="77777777" w:rsidR="007A7A94" w:rsidRDefault="00BA5E36">
            <w:pPr>
              <w:pStyle w:val="ListBullet"/>
              <w:spacing w:after="120"/>
              <w:ind w:left="175" w:hanging="175"/>
              <w:jc w:val="left"/>
              <w:rPr>
                <w:rFonts w:asciiTheme="minorHAnsi" w:hAnsiTheme="minorHAnsi"/>
                <w:sz w:val="18"/>
                <w:szCs w:val="18"/>
              </w:rPr>
            </w:pPr>
            <w:r w:rsidRPr="00561936">
              <w:rPr>
                <w:rFonts w:asciiTheme="minorHAnsi" w:hAnsiTheme="minorHAnsi"/>
                <w:sz w:val="18"/>
                <w:szCs w:val="18"/>
              </w:rPr>
              <w:t>Waterbird diversity</w:t>
            </w:r>
          </w:p>
          <w:p w14:paraId="6C650146" w14:textId="77777777" w:rsidR="007A7A94" w:rsidRDefault="00BA5E36">
            <w:pPr>
              <w:pStyle w:val="ListBullet"/>
              <w:spacing w:after="120"/>
              <w:ind w:left="175" w:hanging="175"/>
              <w:jc w:val="left"/>
              <w:rPr>
                <w:rFonts w:asciiTheme="minorHAnsi" w:hAnsiTheme="minorHAnsi"/>
                <w:sz w:val="18"/>
                <w:szCs w:val="18"/>
              </w:rPr>
            </w:pPr>
            <w:r w:rsidRPr="00561936">
              <w:rPr>
                <w:rFonts w:asciiTheme="minorHAnsi" w:hAnsiTheme="minorHAnsi"/>
                <w:sz w:val="18"/>
                <w:szCs w:val="18"/>
              </w:rPr>
              <w:t>Waterbird population condition (Abundance and Population structure</w:t>
            </w:r>
            <w:r>
              <w:rPr>
                <w:rFonts w:asciiTheme="minorHAnsi" w:hAnsiTheme="minorHAnsi"/>
                <w:sz w:val="18"/>
                <w:szCs w:val="18"/>
              </w:rPr>
              <w:t>)</w:t>
            </w:r>
            <w:r w:rsidRPr="00561936">
              <w:rPr>
                <w:rFonts w:asciiTheme="minorHAnsi" w:hAnsiTheme="minorHAnsi"/>
                <w:sz w:val="18"/>
                <w:szCs w:val="18"/>
              </w:rPr>
              <w:t> </w:t>
            </w:r>
          </w:p>
        </w:tc>
        <w:tc>
          <w:tcPr>
            <w:tcW w:w="2126" w:type="dxa"/>
            <w:tcBorders>
              <w:top w:val="single" w:sz="4" w:space="0" w:color="auto"/>
              <w:left w:val="nil"/>
              <w:right w:val="single" w:sz="4" w:space="0" w:color="auto"/>
            </w:tcBorders>
            <w:shd w:val="clear" w:color="auto" w:fill="D6E3BC" w:themeFill="accent3" w:themeFillTint="66"/>
            <w:vAlign w:val="center"/>
          </w:tcPr>
          <w:p w14:paraId="6C650147" w14:textId="77777777" w:rsidR="007A7A94" w:rsidRDefault="00BA5E36">
            <w:pPr>
              <w:pStyle w:val="ListBullet"/>
              <w:spacing w:after="120"/>
              <w:ind w:left="175" w:hanging="175"/>
              <w:jc w:val="left"/>
              <w:rPr>
                <w:rFonts w:asciiTheme="minorHAnsi" w:hAnsiTheme="minorHAnsi"/>
                <w:sz w:val="18"/>
                <w:szCs w:val="18"/>
              </w:rPr>
            </w:pPr>
            <w:r w:rsidRPr="00561936">
              <w:rPr>
                <w:rFonts w:asciiTheme="minorHAnsi" w:hAnsiTheme="minorHAnsi"/>
                <w:sz w:val="18"/>
                <w:szCs w:val="18"/>
              </w:rPr>
              <w:t>Survival and condition</w:t>
            </w:r>
          </w:p>
          <w:p w14:paraId="6C650148" w14:textId="77777777" w:rsidR="007A7A94" w:rsidRDefault="00BA5E36">
            <w:pPr>
              <w:pStyle w:val="ListBullet"/>
              <w:spacing w:after="120"/>
              <w:ind w:left="175" w:hanging="175"/>
              <w:jc w:val="left"/>
              <w:rPr>
                <w:rFonts w:asciiTheme="minorHAnsi" w:hAnsiTheme="minorHAnsi"/>
                <w:sz w:val="18"/>
                <w:szCs w:val="18"/>
              </w:rPr>
            </w:pPr>
            <w:r w:rsidRPr="00561936">
              <w:rPr>
                <w:rFonts w:asciiTheme="minorHAnsi" w:hAnsiTheme="minorHAnsi"/>
                <w:sz w:val="18"/>
                <w:szCs w:val="18"/>
              </w:rPr>
              <w:t>Chicks</w:t>
            </w:r>
          </w:p>
          <w:p w14:paraId="6C650149" w14:textId="77777777" w:rsidR="007A7A94" w:rsidRDefault="00BA5E36">
            <w:pPr>
              <w:pStyle w:val="ListBullet"/>
              <w:spacing w:after="120"/>
              <w:ind w:left="175" w:hanging="175"/>
              <w:jc w:val="left"/>
              <w:rPr>
                <w:rFonts w:asciiTheme="minorHAnsi" w:hAnsiTheme="minorHAnsi"/>
                <w:sz w:val="18"/>
                <w:szCs w:val="18"/>
              </w:rPr>
            </w:pPr>
            <w:r w:rsidRPr="00561936">
              <w:rPr>
                <w:rFonts w:asciiTheme="minorHAnsi" w:hAnsiTheme="minorHAnsi"/>
                <w:sz w:val="18"/>
                <w:szCs w:val="18"/>
              </w:rPr>
              <w:t>Fledglings</w:t>
            </w:r>
          </w:p>
        </w:tc>
      </w:tr>
      <w:tr w:rsidR="00BA5E36" w:rsidRPr="00561936" w14:paraId="6C650151" w14:textId="77777777" w:rsidTr="00553B2D">
        <w:trPr>
          <w:trHeight w:val="565"/>
        </w:trPr>
        <w:tc>
          <w:tcPr>
            <w:tcW w:w="1308" w:type="dxa"/>
            <w:vMerge/>
            <w:tcBorders>
              <w:top w:val="nil"/>
              <w:left w:val="single" w:sz="4" w:space="0" w:color="auto"/>
              <w:bottom w:val="single" w:sz="4" w:space="0" w:color="auto"/>
              <w:right w:val="single" w:sz="4" w:space="0" w:color="auto"/>
            </w:tcBorders>
            <w:shd w:val="clear" w:color="auto" w:fill="0070C0"/>
            <w:vAlign w:val="center"/>
            <w:hideMark/>
          </w:tcPr>
          <w:p w14:paraId="6C65014B" w14:textId="77777777" w:rsidR="007A7A94" w:rsidRDefault="007A7A94">
            <w:pPr>
              <w:spacing w:after="120"/>
              <w:jc w:val="left"/>
              <w:rPr>
                <w:rFonts w:asciiTheme="minorHAnsi" w:hAnsiTheme="minorHAnsi"/>
                <w:color w:val="FFFFFF" w:themeColor="background1"/>
                <w:sz w:val="18"/>
                <w:szCs w:val="18"/>
              </w:rPr>
            </w:pPr>
          </w:p>
        </w:tc>
        <w:tc>
          <w:tcPr>
            <w:tcW w:w="535" w:type="dxa"/>
            <w:vMerge/>
            <w:tcBorders>
              <w:left w:val="single" w:sz="4" w:space="0" w:color="auto"/>
              <w:bottom w:val="single" w:sz="4" w:space="0" w:color="auto"/>
              <w:right w:val="single" w:sz="4" w:space="0" w:color="auto"/>
            </w:tcBorders>
            <w:shd w:val="clear" w:color="auto" w:fill="79B2F7"/>
            <w:vAlign w:val="center"/>
            <w:hideMark/>
          </w:tcPr>
          <w:p w14:paraId="6C65014C" w14:textId="77777777" w:rsidR="007A7A94" w:rsidRDefault="007A7A94">
            <w:pPr>
              <w:spacing w:after="120"/>
              <w:jc w:val="left"/>
              <w:rPr>
                <w:rFonts w:asciiTheme="minorHAnsi" w:hAnsiTheme="minorHAnsi"/>
                <w:sz w:val="18"/>
                <w:szCs w:val="18"/>
              </w:rPr>
            </w:pPr>
          </w:p>
        </w:tc>
        <w:tc>
          <w:tcPr>
            <w:tcW w:w="1702" w:type="dxa"/>
            <w:gridSpan w:val="2"/>
            <w:tcBorders>
              <w:top w:val="nil"/>
              <w:left w:val="single" w:sz="4" w:space="0" w:color="auto"/>
              <w:bottom w:val="single" w:sz="4" w:space="0" w:color="auto"/>
              <w:right w:val="single" w:sz="4" w:space="0" w:color="auto"/>
            </w:tcBorders>
            <w:shd w:val="clear" w:color="auto" w:fill="91C6E7"/>
            <w:vAlign w:val="center"/>
            <w:hideMark/>
          </w:tcPr>
          <w:p w14:paraId="6C65014D" w14:textId="77777777" w:rsidR="007A7A94" w:rsidRDefault="00BA5E36">
            <w:pPr>
              <w:spacing w:after="120"/>
              <w:jc w:val="left"/>
              <w:rPr>
                <w:rFonts w:asciiTheme="minorHAnsi" w:hAnsiTheme="minorHAnsi"/>
                <w:sz w:val="18"/>
                <w:szCs w:val="18"/>
              </w:rPr>
            </w:pPr>
            <w:r w:rsidRPr="00561936">
              <w:rPr>
                <w:rFonts w:asciiTheme="minorHAnsi" w:hAnsiTheme="minorHAnsi"/>
                <w:sz w:val="18"/>
                <w:szCs w:val="18"/>
              </w:rPr>
              <w:t>Other vertebrate diversity</w:t>
            </w:r>
          </w:p>
        </w:tc>
        <w:tc>
          <w:tcPr>
            <w:tcW w:w="2834" w:type="dxa"/>
            <w:tcBorders>
              <w:top w:val="single" w:sz="4" w:space="0" w:color="auto"/>
              <w:left w:val="nil"/>
              <w:bottom w:val="single" w:sz="4" w:space="0" w:color="auto"/>
              <w:right w:val="single" w:sz="4" w:space="0" w:color="auto"/>
            </w:tcBorders>
            <w:shd w:val="clear" w:color="auto" w:fill="FABF8F" w:themeFill="accent6" w:themeFillTint="99"/>
          </w:tcPr>
          <w:p w14:paraId="6C65014E" w14:textId="77777777" w:rsidR="007A7A94" w:rsidRDefault="007A7A94">
            <w:pPr>
              <w:spacing w:after="120"/>
              <w:jc w:val="left"/>
              <w:rPr>
                <w:rFonts w:asciiTheme="minorHAnsi" w:hAnsiTheme="minorHAnsi"/>
                <w:sz w:val="18"/>
                <w:szCs w:val="18"/>
              </w:rPr>
            </w:pPr>
          </w:p>
        </w:tc>
        <w:tc>
          <w:tcPr>
            <w:tcW w:w="1985"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6C65014F" w14:textId="77777777" w:rsidR="007A7A94" w:rsidRDefault="00553B2D">
            <w:pPr>
              <w:pStyle w:val="ListBullet"/>
              <w:spacing w:after="120"/>
              <w:ind w:left="175" w:hanging="175"/>
              <w:jc w:val="left"/>
              <w:rPr>
                <w:rFonts w:asciiTheme="minorHAnsi" w:hAnsiTheme="minorHAnsi"/>
                <w:sz w:val="18"/>
                <w:szCs w:val="18"/>
              </w:rPr>
            </w:pPr>
            <w:r>
              <w:rPr>
                <w:rFonts w:asciiTheme="minorHAnsi" w:hAnsiTheme="minorHAnsi"/>
                <w:sz w:val="18"/>
                <w:szCs w:val="18"/>
              </w:rPr>
              <w:t> </w:t>
            </w:r>
            <w:r w:rsidR="00BA5E36" w:rsidRPr="00561936">
              <w:rPr>
                <w:rFonts w:asciiTheme="minorHAnsi" w:hAnsiTheme="minorHAnsi"/>
                <w:sz w:val="18"/>
                <w:szCs w:val="18"/>
              </w:rPr>
              <w:t>Adult abundance</w:t>
            </w:r>
          </w:p>
        </w:tc>
        <w:tc>
          <w:tcPr>
            <w:tcW w:w="2126" w:type="dxa"/>
            <w:tcBorders>
              <w:top w:val="single" w:sz="4" w:space="0" w:color="auto"/>
              <w:left w:val="nil"/>
              <w:bottom w:val="single" w:sz="4" w:space="0" w:color="auto"/>
              <w:right w:val="single" w:sz="4" w:space="0" w:color="auto"/>
            </w:tcBorders>
            <w:shd w:val="clear" w:color="auto" w:fill="D6E3BC" w:themeFill="accent3" w:themeFillTint="66"/>
            <w:vAlign w:val="center"/>
          </w:tcPr>
          <w:p w14:paraId="6C650150" w14:textId="77777777" w:rsidR="007A7A94" w:rsidRDefault="00BA5E36">
            <w:pPr>
              <w:pStyle w:val="ListBullet"/>
              <w:spacing w:after="120"/>
              <w:ind w:left="175" w:hanging="175"/>
              <w:jc w:val="left"/>
              <w:rPr>
                <w:rFonts w:asciiTheme="minorHAnsi" w:hAnsiTheme="minorHAnsi"/>
                <w:sz w:val="18"/>
                <w:szCs w:val="18"/>
              </w:rPr>
            </w:pPr>
            <w:r w:rsidRPr="00561936">
              <w:rPr>
                <w:rFonts w:asciiTheme="minorHAnsi" w:hAnsiTheme="minorHAnsi"/>
                <w:sz w:val="18"/>
                <w:szCs w:val="18"/>
              </w:rPr>
              <w:t>Young </w:t>
            </w:r>
          </w:p>
        </w:tc>
      </w:tr>
      <w:tr w:rsidR="006F5972" w:rsidRPr="00561936" w14:paraId="6C65015C" w14:textId="77777777" w:rsidTr="006F5972">
        <w:trPr>
          <w:trHeight w:val="600"/>
        </w:trPr>
        <w:tc>
          <w:tcPr>
            <w:tcW w:w="1308" w:type="dxa"/>
            <w:vMerge w:val="restart"/>
            <w:tcBorders>
              <w:top w:val="nil"/>
              <w:left w:val="single" w:sz="4" w:space="0" w:color="auto"/>
              <w:right w:val="single" w:sz="4" w:space="0" w:color="auto"/>
            </w:tcBorders>
            <w:shd w:val="clear" w:color="auto" w:fill="0070C0"/>
            <w:vAlign w:val="center"/>
            <w:hideMark/>
          </w:tcPr>
          <w:p w14:paraId="6C650152" w14:textId="77777777" w:rsidR="007A7A94" w:rsidRDefault="006F5972">
            <w:pPr>
              <w:spacing w:after="120"/>
              <w:jc w:val="left"/>
              <w:rPr>
                <w:rFonts w:asciiTheme="minorHAnsi" w:hAnsiTheme="minorHAnsi"/>
                <w:color w:val="FFFFFF" w:themeColor="background1"/>
                <w:sz w:val="18"/>
                <w:szCs w:val="18"/>
              </w:rPr>
            </w:pPr>
            <w:r w:rsidRPr="00561936">
              <w:rPr>
                <w:rFonts w:asciiTheme="minorHAnsi" w:hAnsiTheme="minorHAnsi"/>
                <w:color w:val="FFFFFF" w:themeColor="background1"/>
                <w:sz w:val="18"/>
                <w:szCs w:val="18"/>
              </w:rPr>
              <w:lastRenderedPageBreak/>
              <w:t>Ecosystem Function</w:t>
            </w:r>
            <w:r w:rsidRPr="00561936">
              <w:rPr>
                <w:rFonts w:asciiTheme="minorHAnsi" w:hAnsiTheme="minorHAnsi"/>
                <w:color w:val="FFFFFF" w:themeColor="background1"/>
                <w:sz w:val="18"/>
                <w:szCs w:val="18"/>
              </w:rPr>
              <w:br/>
            </w:r>
            <w:r w:rsidRPr="00561936">
              <w:rPr>
                <w:rFonts w:asciiTheme="minorHAnsi" w:hAnsiTheme="minorHAnsi"/>
                <w:color w:val="FFFFFF" w:themeColor="background1"/>
                <w:sz w:val="18"/>
                <w:szCs w:val="18"/>
              </w:rPr>
              <w:br/>
              <w:t>(Basin Plan S. 8.06)</w:t>
            </w:r>
          </w:p>
        </w:tc>
        <w:tc>
          <w:tcPr>
            <w:tcW w:w="2237" w:type="dxa"/>
            <w:gridSpan w:val="3"/>
            <w:vMerge w:val="restart"/>
            <w:tcBorders>
              <w:top w:val="single" w:sz="4" w:space="0" w:color="auto"/>
              <w:left w:val="single" w:sz="4" w:space="0" w:color="auto"/>
              <w:bottom w:val="single" w:sz="4" w:space="0" w:color="auto"/>
              <w:right w:val="single" w:sz="4" w:space="0" w:color="auto"/>
            </w:tcBorders>
            <w:shd w:val="clear" w:color="auto" w:fill="79B2F7"/>
            <w:vAlign w:val="center"/>
            <w:hideMark/>
          </w:tcPr>
          <w:p w14:paraId="6C650153" w14:textId="77777777" w:rsidR="007A7A94" w:rsidRDefault="006F5972">
            <w:pPr>
              <w:spacing w:after="120"/>
              <w:jc w:val="left"/>
              <w:rPr>
                <w:rFonts w:asciiTheme="minorHAnsi" w:hAnsiTheme="minorHAnsi"/>
                <w:sz w:val="18"/>
                <w:szCs w:val="18"/>
              </w:rPr>
            </w:pPr>
            <w:r w:rsidRPr="00561936">
              <w:rPr>
                <w:rFonts w:asciiTheme="minorHAnsi" w:hAnsiTheme="minorHAnsi"/>
                <w:sz w:val="18"/>
                <w:szCs w:val="18"/>
              </w:rPr>
              <w:t>Connectivity</w:t>
            </w:r>
          </w:p>
          <w:p w14:paraId="6C650154" w14:textId="77777777" w:rsidR="007A7A94" w:rsidRDefault="006F5972">
            <w:pPr>
              <w:spacing w:after="120"/>
              <w:jc w:val="left"/>
              <w:rPr>
                <w:rFonts w:asciiTheme="minorHAnsi" w:hAnsiTheme="minorHAnsi"/>
                <w:sz w:val="18"/>
                <w:szCs w:val="18"/>
              </w:rPr>
            </w:pPr>
            <w:r w:rsidRPr="00561936">
              <w:rPr>
                <w:rFonts w:asciiTheme="minorHAnsi" w:hAnsiTheme="minorHAnsi"/>
                <w:sz w:val="18"/>
                <w:szCs w:val="18"/>
              </w:rPr>
              <w:t> </w:t>
            </w:r>
          </w:p>
        </w:tc>
        <w:tc>
          <w:tcPr>
            <w:tcW w:w="2834" w:type="dxa"/>
            <w:tcBorders>
              <w:top w:val="single" w:sz="4" w:space="0" w:color="auto"/>
              <w:left w:val="nil"/>
              <w:bottom w:val="single" w:sz="4" w:space="0" w:color="auto"/>
              <w:right w:val="single" w:sz="4" w:space="0" w:color="auto"/>
            </w:tcBorders>
            <w:shd w:val="clear" w:color="auto" w:fill="FABF8F" w:themeFill="accent6" w:themeFillTint="99"/>
          </w:tcPr>
          <w:p w14:paraId="6C650155" w14:textId="77777777" w:rsidR="007A7A94" w:rsidRDefault="006F5972">
            <w:pPr>
              <w:pStyle w:val="ListBullet"/>
              <w:spacing w:after="120"/>
              <w:ind w:left="175" w:hanging="175"/>
              <w:jc w:val="left"/>
              <w:rPr>
                <w:rFonts w:asciiTheme="minorHAnsi" w:hAnsiTheme="minorHAnsi"/>
                <w:sz w:val="18"/>
                <w:szCs w:val="18"/>
              </w:rPr>
            </w:pPr>
            <w:r w:rsidRPr="00561936">
              <w:rPr>
                <w:rFonts w:asciiTheme="minorHAnsi" w:hAnsiTheme="minorHAnsi"/>
                <w:sz w:val="18"/>
                <w:szCs w:val="18"/>
              </w:rPr>
              <w:t>Maintained base flows - at least 60</w:t>
            </w:r>
            <w:r>
              <w:rPr>
                <w:rFonts w:asciiTheme="minorHAnsi" w:hAnsiTheme="minorHAnsi"/>
                <w:sz w:val="18"/>
                <w:szCs w:val="18"/>
              </w:rPr>
              <w:t xml:space="preserve"> per cent</w:t>
            </w:r>
            <w:r w:rsidRPr="00561936">
              <w:rPr>
                <w:rFonts w:asciiTheme="minorHAnsi" w:hAnsiTheme="minorHAnsi"/>
                <w:sz w:val="18"/>
                <w:szCs w:val="18"/>
              </w:rPr>
              <w:t xml:space="preserve"> of natural levels</w:t>
            </w:r>
          </w:p>
          <w:p w14:paraId="6C650156" w14:textId="77777777" w:rsidR="007A7A94" w:rsidRDefault="006F5972">
            <w:pPr>
              <w:pStyle w:val="ListBullet"/>
              <w:spacing w:after="120"/>
              <w:ind w:left="175" w:hanging="175"/>
              <w:jc w:val="left"/>
              <w:rPr>
                <w:rFonts w:asciiTheme="minorHAnsi" w:hAnsiTheme="minorHAnsi"/>
                <w:sz w:val="18"/>
                <w:szCs w:val="18"/>
              </w:rPr>
            </w:pPr>
            <w:r w:rsidRPr="00561936">
              <w:rPr>
                <w:rFonts w:asciiTheme="minorHAnsi" w:hAnsiTheme="minorHAnsi"/>
                <w:sz w:val="18"/>
                <w:szCs w:val="18"/>
              </w:rPr>
              <w:t>Improved overall flow</w:t>
            </w:r>
          </w:p>
          <w:p w14:paraId="6C650157" w14:textId="77777777" w:rsidR="007A7A94" w:rsidRDefault="006F5972">
            <w:pPr>
              <w:pStyle w:val="ListBullet"/>
              <w:spacing w:after="120"/>
              <w:ind w:left="175" w:hanging="175"/>
              <w:jc w:val="left"/>
              <w:rPr>
                <w:rFonts w:asciiTheme="minorHAnsi" w:hAnsiTheme="minorHAnsi"/>
                <w:sz w:val="18"/>
                <w:szCs w:val="18"/>
              </w:rPr>
            </w:pPr>
            <w:r w:rsidRPr="00561936">
              <w:rPr>
                <w:rFonts w:asciiTheme="minorHAnsi" w:hAnsiTheme="minorHAnsi"/>
                <w:sz w:val="18"/>
                <w:szCs w:val="18"/>
              </w:rPr>
              <w:t>Maintained connectivity in areas where it is relatively unaffected</w:t>
            </w:r>
          </w:p>
          <w:p w14:paraId="6C650158" w14:textId="77777777" w:rsidR="007A7A94" w:rsidRDefault="006F5972">
            <w:pPr>
              <w:pStyle w:val="ListBullet"/>
              <w:spacing w:after="120"/>
              <w:ind w:left="175" w:hanging="175"/>
              <w:jc w:val="left"/>
              <w:rPr>
                <w:rFonts w:asciiTheme="minorHAnsi" w:hAnsiTheme="minorHAnsi"/>
                <w:sz w:val="18"/>
                <w:szCs w:val="18"/>
              </w:rPr>
            </w:pPr>
            <w:r w:rsidRPr="00561936">
              <w:rPr>
                <w:rFonts w:asciiTheme="minorHAnsi" w:hAnsiTheme="minorHAnsi"/>
                <w:sz w:val="18"/>
                <w:szCs w:val="18"/>
              </w:rPr>
              <w:t>Improved connectivity with bank-full and/or low floodplain flows</w:t>
            </w:r>
          </w:p>
          <w:p w14:paraId="6C650159" w14:textId="77777777" w:rsidR="007A7A94" w:rsidRDefault="006F5972">
            <w:pPr>
              <w:pStyle w:val="ListBullet"/>
              <w:spacing w:after="120"/>
              <w:ind w:left="175" w:hanging="175"/>
              <w:jc w:val="left"/>
              <w:rPr>
                <w:rFonts w:asciiTheme="minorHAnsi" w:hAnsiTheme="minorHAnsi"/>
                <w:sz w:val="18"/>
                <w:szCs w:val="18"/>
              </w:rPr>
            </w:pPr>
            <w:r w:rsidRPr="00561936">
              <w:rPr>
                <w:rFonts w:asciiTheme="minorHAnsi" w:hAnsiTheme="minorHAnsi"/>
                <w:sz w:val="18"/>
                <w:szCs w:val="18"/>
              </w:rPr>
              <w:t>Maintain the Lower Lakes above sea level</w:t>
            </w:r>
          </w:p>
        </w:tc>
        <w:tc>
          <w:tcPr>
            <w:tcW w:w="1985"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6C65015A" w14:textId="77777777" w:rsidR="007A7A94" w:rsidRDefault="007A7A94">
            <w:pPr>
              <w:pStyle w:val="ListBullet"/>
              <w:numPr>
                <w:ilvl w:val="0"/>
                <w:numId w:val="0"/>
              </w:numPr>
              <w:spacing w:after="120"/>
              <w:ind w:left="175"/>
              <w:jc w:val="left"/>
              <w:rPr>
                <w:rFonts w:asciiTheme="minorHAnsi" w:hAnsiTheme="minorHAnsi"/>
                <w:sz w:val="18"/>
                <w:szCs w:val="18"/>
              </w:rPr>
            </w:pPr>
          </w:p>
        </w:tc>
        <w:tc>
          <w:tcPr>
            <w:tcW w:w="2126" w:type="dxa"/>
            <w:tcBorders>
              <w:top w:val="single" w:sz="4" w:space="0" w:color="auto"/>
              <w:left w:val="nil"/>
              <w:bottom w:val="single" w:sz="4" w:space="0" w:color="auto"/>
              <w:right w:val="single" w:sz="4" w:space="0" w:color="auto"/>
            </w:tcBorders>
            <w:shd w:val="clear" w:color="auto" w:fill="D6E3BC" w:themeFill="accent3" w:themeFillTint="66"/>
            <w:vAlign w:val="center"/>
          </w:tcPr>
          <w:p w14:paraId="6C65015B" w14:textId="77777777" w:rsidR="007A7A94" w:rsidRDefault="006F5972">
            <w:pPr>
              <w:pStyle w:val="ListBullet"/>
              <w:spacing w:after="120"/>
              <w:ind w:left="175" w:hanging="175"/>
              <w:jc w:val="left"/>
              <w:rPr>
                <w:rFonts w:asciiTheme="minorHAnsi" w:hAnsiTheme="minorHAnsi"/>
                <w:sz w:val="18"/>
                <w:szCs w:val="18"/>
              </w:rPr>
            </w:pPr>
            <w:r w:rsidRPr="00561936">
              <w:rPr>
                <w:rFonts w:asciiTheme="minorHAnsi" w:hAnsiTheme="minorHAnsi"/>
                <w:sz w:val="18"/>
                <w:szCs w:val="18"/>
              </w:rPr>
              <w:t>Hydrological connectivity including end of system flows</w:t>
            </w:r>
          </w:p>
        </w:tc>
      </w:tr>
      <w:tr w:rsidR="006F5972" w:rsidRPr="00561936" w14:paraId="6C650162" w14:textId="77777777" w:rsidTr="006F5972">
        <w:trPr>
          <w:trHeight w:val="300"/>
        </w:trPr>
        <w:tc>
          <w:tcPr>
            <w:tcW w:w="1308" w:type="dxa"/>
            <w:vMerge/>
            <w:tcBorders>
              <w:left w:val="single" w:sz="4" w:space="0" w:color="auto"/>
              <w:right w:val="single" w:sz="4" w:space="0" w:color="auto"/>
            </w:tcBorders>
            <w:shd w:val="clear" w:color="auto" w:fill="0070C0"/>
            <w:vAlign w:val="center"/>
            <w:hideMark/>
          </w:tcPr>
          <w:p w14:paraId="6C65015D" w14:textId="77777777" w:rsidR="007A7A94" w:rsidRDefault="007A7A94">
            <w:pPr>
              <w:spacing w:after="120"/>
              <w:jc w:val="left"/>
              <w:rPr>
                <w:rFonts w:asciiTheme="minorHAnsi" w:hAnsiTheme="minorHAnsi"/>
                <w:color w:val="FFFFFF" w:themeColor="background1"/>
                <w:sz w:val="18"/>
                <w:szCs w:val="18"/>
              </w:rPr>
            </w:pPr>
          </w:p>
        </w:tc>
        <w:tc>
          <w:tcPr>
            <w:tcW w:w="2237" w:type="dxa"/>
            <w:gridSpan w:val="3"/>
            <w:vMerge/>
            <w:tcBorders>
              <w:left w:val="single" w:sz="4" w:space="0" w:color="auto"/>
              <w:bottom w:val="single" w:sz="4" w:space="0" w:color="auto"/>
              <w:right w:val="single" w:sz="4" w:space="0" w:color="auto"/>
            </w:tcBorders>
            <w:shd w:val="clear" w:color="auto" w:fill="79B2F7"/>
            <w:vAlign w:val="center"/>
            <w:hideMark/>
          </w:tcPr>
          <w:p w14:paraId="6C65015E" w14:textId="77777777" w:rsidR="007A7A94" w:rsidRDefault="007A7A94">
            <w:pPr>
              <w:spacing w:after="120"/>
              <w:jc w:val="left"/>
              <w:rPr>
                <w:rFonts w:asciiTheme="minorHAnsi" w:hAnsiTheme="minorHAnsi"/>
                <w:sz w:val="18"/>
                <w:szCs w:val="18"/>
              </w:rPr>
            </w:pPr>
          </w:p>
        </w:tc>
        <w:tc>
          <w:tcPr>
            <w:tcW w:w="2834" w:type="dxa"/>
            <w:tcBorders>
              <w:left w:val="nil"/>
              <w:bottom w:val="single" w:sz="4" w:space="0" w:color="auto"/>
              <w:right w:val="single" w:sz="4" w:space="0" w:color="auto"/>
            </w:tcBorders>
            <w:shd w:val="clear" w:color="auto" w:fill="FABF8F" w:themeFill="accent6" w:themeFillTint="99"/>
          </w:tcPr>
          <w:p w14:paraId="6C65015F" w14:textId="77777777" w:rsidR="007A7A94" w:rsidRDefault="006F5972">
            <w:pPr>
              <w:pStyle w:val="ListBullet"/>
              <w:spacing w:after="120"/>
              <w:ind w:left="175" w:hanging="175"/>
              <w:jc w:val="left"/>
              <w:rPr>
                <w:rFonts w:asciiTheme="minorHAnsi" w:hAnsiTheme="minorHAnsi"/>
                <w:sz w:val="18"/>
                <w:szCs w:val="18"/>
              </w:rPr>
            </w:pPr>
            <w:r w:rsidRPr="00561936">
              <w:rPr>
                <w:rFonts w:asciiTheme="minorHAnsi" w:hAnsiTheme="minorHAnsi"/>
                <w:sz w:val="18"/>
                <w:szCs w:val="18"/>
              </w:rPr>
              <w:t>Improved movement with more native fish using fish passages</w:t>
            </w:r>
          </w:p>
        </w:tc>
        <w:tc>
          <w:tcPr>
            <w:tcW w:w="1985" w:type="dxa"/>
            <w:tcBorders>
              <w:top w:val="nil"/>
              <w:left w:val="single" w:sz="4" w:space="0" w:color="auto"/>
              <w:bottom w:val="single" w:sz="4" w:space="0" w:color="auto"/>
              <w:right w:val="single" w:sz="4" w:space="0" w:color="auto"/>
            </w:tcBorders>
            <w:shd w:val="clear" w:color="auto" w:fill="92D050"/>
            <w:vAlign w:val="center"/>
            <w:hideMark/>
          </w:tcPr>
          <w:p w14:paraId="6C650160" w14:textId="77777777" w:rsidR="007A7A94" w:rsidRDefault="007A7A94">
            <w:pPr>
              <w:pStyle w:val="ListBullet"/>
              <w:numPr>
                <w:ilvl w:val="0"/>
                <w:numId w:val="0"/>
              </w:numPr>
              <w:spacing w:after="120"/>
              <w:jc w:val="left"/>
              <w:rPr>
                <w:rFonts w:asciiTheme="minorHAnsi" w:hAnsiTheme="minorHAnsi"/>
                <w:sz w:val="18"/>
                <w:szCs w:val="18"/>
              </w:rPr>
            </w:pPr>
          </w:p>
        </w:tc>
        <w:tc>
          <w:tcPr>
            <w:tcW w:w="2126" w:type="dxa"/>
            <w:tcBorders>
              <w:top w:val="nil"/>
              <w:left w:val="nil"/>
              <w:bottom w:val="single" w:sz="4" w:space="0" w:color="auto"/>
              <w:right w:val="single" w:sz="4" w:space="0" w:color="auto"/>
            </w:tcBorders>
            <w:shd w:val="clear" w:color="auto" w:fill="D6E3BC" w:themeFill="accent3" w:themeFillTint="66"/>
            <w:vAlign w:val="center"/>
          </w:tcPr>
          <w:p w14:paraId="6C650161" w14:textId="77777777" w:rsidR="007A7A94" w:rsidRDefault="006F5972">
            <w:pPr>
              <w:pStyle w:val="ListBullet"/>
              <w:spacing w:after="120"/>
              <w:ind w:left="175" w:hanging="175"/>
              <w:jc w:val="left"/>
              <w:rPr>
                <w:rFonts w:asciiTheme="minorHAnsi" w:hAnsiTheme="minorHAnsi"/>
                <w:sz w:val="18"/>
                <w:szCs w:val="18"/>
              </w:rPr>
            </w:pPr>
            <w:r w:rsidRPr="00561936">
              <w:rPr>
                <w:rFonts w:asciiTheme="minorHAnsi" w:hAnsiTheme="minorHAnsi"/>
                <w:sz w:val="18"/>
                <w:szCs w:val="18"/>
              </w:rPr>
              <w:t xml:space="preserve">Biotic dispersal and </w:t>
            </w:r>
            <w:r>
              <w:rPr>
                <w:rFonts w:asciiTheme="minorHAnsi" w:hAnsiTheme="minorHAnsi"/>
                <w:sz w:val="18"/>
                <w:szCs w:val="18"/>
              </w:rPr>
              <w:t>m</w:t>
            </w:r>
            <w:r w:rsidRPr="00561936">
              <w:rPr>
                <w:rFonts w:asciiTheme="minorHAnsi" w:hAnsiTheme="minorHAnsi"/>
                <w:sz w:val="18"/>
                <w:szCs w:val="18"/>
              </w:rPr>
              <w:t>ovement</w:t>
            </w:r>
          </w:p>
        </w:tc>
      </w:tr>
      <w:tr w:rsidR="006F5972" w:rsidRPr="00561936" w14:paraId="6C650168" w14:textId="77777777" w:rsidTr="006F5972">
        <w:trPr>
          <w:trHeight w:val="300"/>
        </w:trPr>
        <w:tc>
          <w:tcPr>
            <w:tcW w:w="1308" w:type="dxa"/>
            <w:vMerge/>
            <w:tcBorders>
              <w:left w:val="single" w:sz="4" w:space="0" w:color="auto"/>
              <w:right w:val="single" w:sz="4" w:space="0" w:color="auto"/>
            </w:tcBorders>
            <w:shd w:val="clear" w:color="auto" w:fill="0070C0"/>
            <w:vAlign w:val="center"/>
            <w:hideMark/>
          </w:tcPr>
          <w:p w14:paraId="6C650163" w14:textId="77777777" w:rsidR="007A7A94" w:rsidRDefault="007A7A94">
            <w:pPr>
              <w:spacing w:after="120"/>
              <w:jc w:val="left"/>
              <w:rPr>
                <w:rFonts w:asciiTheme="minorHAnsi" w:hAnsiTheme="minorHAnsi"/>
                <w:color w:val="FFFFFF" w:themeColor="background1"/>
                <w:sz w:val="18"/>
                <w:szCs w:val="18"/>
              </w:rPr>
            </w:pPr>
          </w:p>
        </w:tc>
        <w:tc>
          <w:tcPr>
            <w:tcW w:w="2237" w:type="dxa"/>
            <w:gridSpan w:val="3"/>
            <w:vMerge/>
            <w:tcBorders>
              <w:left w:val="single" w:sz="4" w:space="0" w:color="auto"/>
              <w:bottom w:val="single" w:sz="4" w:space="0" w:color="auto"/>
              <w:right w:val="single" w:sz="4" w:space="0" w:color="auto"/>
            </w:tcBorders>
            <w:shd w:val="clear" w:color="auto" w:fill="79B2F7"/>
            <w:vAlign w:val="center"/>
            <w:hideMark/>
          </w:tcPr>
          <w:p w14:paraId="6C650164" w14:textId="77777777" w:rsidR="007A7A94" w:rsidRDefault="007A7A94">
            <w:pPr>
              <w:spacing w:after="120"/>
              <w:jc w:val="left"/>
              <w:rPr>
                <w:rFonts w:asciiTheme="minorHAnsi" w:hAnsiTheme="minorHAnsi"/>
                <w:sz w:val="18"/>
                <w:szCs w:val="18"/>
              </w:rPr>
            </w:pPr>
          </w:p>
        </w:tc>
        <w:tc>
          <w:tcPr>
            <w:tcW w:w="2834" w:type="dxa"/>
            <w:tcBorders>
              <w:top w:val="single" w:sz="4" w:space="0" w:color="auto"/>
              <w:left w:val="nil"/>
              <w:bottom w:val="single" w:sz="4" w:space="0" w:color="auto"/>
              <w:right w:val="single" w:sz="4" w:space="0" w:color="auto"/>
            </w:tcBorders>
            <w:shd w:val="clear" w:color="auto" w:fill="FABF8F" w:themeFill="accent6" w:themeFillTint="99"/>
          </w:tcPr>
          <w:p w14:paraId="6C650165" w14:textId="77777777" w:rsidR="007A7A94" w:rsidRDefault="007A7A94">
            <w:pPr>
              <w:spacing w:after="120"/>
              <w:jc w:val="left"/>
              <w:rPr>
                <w:rFonts w:asciiTheme="minorHAnsi" w:hAnsiTheme="minorHAnsi"/>
                <w:sz w:val="18"/>
                <w:szCs w:val="18"/>
              </w:rPr>
            </w:pPr>
          </w:p>
        </w:tc>
        <w:tc>
          <w:tcPr>
            <w:tcW w:w="1985" w:type="dxa"/>
            <w:tcBorders>
              <w:top w:val="nil"/>
              <w:left w:val="single" w:sz="4" w:space="0" w:color="auto"/>
              <w:bottom w:val="single" w:sz="4" w:space="0" w:color="auto"/>
              <w:right w:val="single" w:sz="4" w:space="0" w:color="auto"/>
            </w:tcBorders>
            <w:shd w:val="clear" w:color="auto" w:fill="92D050"/>
            <w:vAlign w:val="center"/>
            <w:hideMark/>
          </w:tcPr>
          <w:p w14:paraId="6C650166" w14:textId="77777777" w:rsidR="007A7A94" w:rsidRDefault="007A7A94">
            <w:pPr>
              <w:pStyle w:val="ListBullet"/>
              <w:numPr>
                <w:ilvl w:val="0"/>
                <w:numId w:val="0"/>
              </w:numPr>
              <w:spacing w:after="120"/>
              <w:ind w:left="369" w:hanging="369"/>
              <w:jc w:val="left"/>
              <w:rPr>
                <w:rFonts w:asciiTheme="minorHAnsi" w:hAnsiTheme="minorHAnsi"/>
                <w:sz w:val="18"/>
                <w:szCs w:val="18"/>
              </w:rPr>
            </w:pPr>
          </w:p>
        </w:tc>
        <w:tc>
          <w:tcPr>
            <w:tcW w:w="2126" w:type="dxa"/>
            <w:tcBorders>
              <w:top w:val="nil"/>
              <w:left w:val="nil"/>
              <w:bottom w:val="single" w:sz="4" w:space="0" w:color="auto"/>
              <w:right w:val="single" w:sz="4" w:space="0" w:color="auto"/>
            </w:tcBorders>
            <w:shd w:val="clear" w:color="auto" w:fill="D6E3BC" w:themeFill="accent3" w:themeFillTint="66"/>
            <w:vAlign w:val="center"/>
          </w:tcPr>
          <w:p w14:paraId="6C650167" w14:textId="77777777" w:rsidR="007A7A94" w:rsidRDefault="006F5972">
            <w:pPr>
              <w:pStyle w:val="ListBullet"/>
              <w:spacing w:after="120"/>
              <w:ind w:left="175" w:hanging="175"/>
              <w:jc w:val="left"/>
              <w:rPr>
                <w:rFonts w:asciiTheme="minorHAnsi" w:hAnsiTheme="minorHAnsi"/>
                <w:sz w:val="18"/>
                <w:szCs w:val="18"/>
              </w:rPr>
            </w:pPr>
            <w:r w:rsidRPr="00561936">
              <w:rPr>
                <w:rFonts w:asciiTheme="minorHAnsi" w:hAnsiTheme="minorHAnsi"/>
                <w:sz w:val="18"/>
                <w:szCs w:val="18"/>
              </w:rPr>
              <w:t>Sediment transport</w:t>
            </w:r>
          </w:p>
        </w:tc>
      </w:tr>
      <w:tr w:rsidR="006F5972" w:rsidRPr="00561936" w14:paraId="6C650171" w14:textId="77777777" w:rsidTr="006F5972">
        <w:trPr>
          <w:trHeight w:val="300"/>
        </w:trPr>
        <w:tc>
          <w:tcPr>
            <w:tcW w:w="1308" w:type="dxa"/>
            <w:vMerge/>
            <w:tcBorders>
              <w:left w:val="single" w:sz="4" w:space="0" w:color="auto"/>
              <w:right w:val="single" w:sz="4" w:space="0" w:color="auto"/>
            </w:tcBorders>
            <w:shd w:val="clear" w:color="auto" w:fill="0070C0"/>
            <w:vAlign w:val="center"/>
            <w:hideMark/>
          </w:tcPr>
          <w:p w14:paraId="6C650169" w14:textId="77777777" w:rsidR="007A7A94" w:rsidRDefault="007A7A94">
            <w:pPr>
              <w:spacing w:after="120"/>
              <w:jc w:val="left"/>
              <w:rPr>
                <w:rFonts w:asciiTheme="minorHAnsi" w:hAnsiTheme="minorHAnsi"/>
                <w:color w:val="FFFFFF" w:themeColor="background1"/>
                <w:sz w:val="18"/>
                <w:szCs w:val="18"/>
              </w:rPr>
            </w:pPr>
          </w:p>
        </w:tc>
        <w:tc>
          <w:tcPr>
            <w:tcW w:w="2237" w:type="dxa"/>
            <w:gridSpan w:val="3"/>
            <w:vMerge w:val="restart"/>
            <w:tcBorders>
              <w:top w:val="single" w:sz="4" w:space="0" w:color="auto"/>
              <w:left w:val="single" w:sz="4" w:space="0" w:color="auto"/>
              <w:right w:val="single" w:sz="4" w:space="0" w:color="auto"/>
            </w:tcBorders>
            <w:shd w:val="clear" w:color="auto" w:fill="79B2F7"/>
            <w:vAlign w:val="center"/>
            <w:hideMark/>
          </w:tcPr>
          <w:p w14:paraId="6C65016A" w14:textId="77777777" w:rsidR="007A7A94" w:rsidRDefault="006F5972">
            <w:pPr>
              <w:spacing w:after="120"/>
              <w:jc w:val="left"/>
              <w:rPr>
                <w:rFonts w:asciiTheme="minorHAnsi" w:hAnsiTheme="minorHAnsi"/>
                <w:sz w:val="18"/>
                <w:szCs w:val="18"/>
              </w:rPr>
            </w:pPr>
            <w:r w:rsidRPr="00561936">
              <w:rPr>
                <w:rFonts w:asciiTheme="minorHAnsi" w:hAnsiTheme="minorHAnsi"/>
                <w:sz w:val="18"/>
                <w:szCs w:val="18"/>
              </w:rPr>
              <w:t>Process</w:t>
            </w:r>
          </w:p>
          <w:p w14:paraId="6C65016B" w14:textId="77777777" w:rsidR="007A7A94" w:rsidRDefault="006F5972">
            <w:pPr>
              <w:spacing w:after="120"/>
              <w:jc w:val="left"/>
              <w:rPr>
                <w:rFonts w:asciiTheme="minorHAnsi" w:hAnsiTheme="minorHAnsi"/>
                <w:sz w:val="18"/>
                <w:szCs w:val="18"/>
              </w:rPr>
            </w:pPr>
            <w:r w:rsidRPr="00561936">
              <w:rPr>
                <w:rFonts w:asciiTheme="minorHAnsi" w:hAnsiTheme="minorHAnsi"/>
                <w:sz w:val="18"/>
                <w:szCs w:val="18"/>
              </w:rPr>
              <w:t> </w:t>
            </w:r>
          </w:p>
        </w:tc>
        <w:tc>
          <w:tcPr>
            <w:tcW w:w="2834" w:type="dxa"/>
            <w:tcBorders>
              <w:top w:val="single" w:sz="4" w:space="0" w:color="auto"/>
              <w:left w:val="nil"/>
              <w:right w:val="single" w:sz="4" w:space="0" w:color="auto"/>
            </w:tcBorders>
            <w:shd w:val="clear" w:color="auto" w:fill="FABF8F" w:themeFill="accent6" w:themeFillTint="99"/>
          </w:tcPr>
          <w:p w14:paraId="6C65016C" w14:textId="77777777" w:rsidR="007A7A94" w:rsidRDefault="007A7A94">
            <w:pPr>
              <w:spacing w:after="120"/>
              <w:jc w:val="left"/>
              <w:rPr>
                <w:rFonts w:asciiTheme="minorHAnsi" w:hAnsiTheme="minorHAnsi"/>
                <w:sz w:val="18"/>
                <w:szCs w:val="18"/>
              </w:rPr>
            </w:pPr>
          </w:p>
        </w:tc>
        <w:tc>
          <w:tcPr>
            <w:tcW w:w="1985" w:type="dxa"/>
            <w:vMerge w:val="restart"/>
            <w:tcBorders>
              <w:top w:val="single" w:sz="4" w:space="0" w:color="auto"/>
              <w:left w:val="single" w:sz="4" w:space="0" w:color="auto"/>
              <w:right w:val="single" w:sz="4" w:space="0" w:color="auto"/>
            </w:tcBorders>
            <w:shd w:val="clear" w:color="auto" w:fill="92D050"/>
            <w:vAlign w:val="center"/>
            <w:hideMark/>
          </w:tcPr>
          <w:p w14:paraId="6C65016D" w14:textId="77777777" w:rsidR="007A7A94" w:rsidRDefault="007A7A94">
            <w:pPr>
              <w:pStyle w:val="ListBullet"/>
              <w:numPr>
                <w:ilvl w:val="0"/>
                <w:numId w:val="0"/>
              </w:numPr>
              <w:spacing w:after="120"/>
              <w:ind w:left="369" w:hanging="369"/>
              <w:jc w:val="left"/>
              <w:rPr>
                <w:rFonts w:asciiTheme="minorHAnsi" w:hAnsiTheme="minorHAnsi"/>
                <w:sz w:val="18"/>
                <w:szCs w:val="18"/>
              </w:rPr>
            </w:pPr>
          </w:p>
        </w:tc>
        <w:tc>
          <w:tcPr>
            <w:tcW w:w="2126" w:type="dxa"/>
            <w:vMerge w:val="restart"/>
            <w:tcBorders>
              <w:top w:val="single" w:sz="4" w:space="0" w:color="auto"/>
              <w:left w:val="nil"/>
              <w:right w:val="single" w:sz="4" w:space="0" w:color="auto"/>
            </w:tcBorders>
            <w:shd w:val="clear" w:color="auto" w:fill="D6E3BC" w:themeFill="accent3" w:themeFillTint="66"/>
            <w:vAlign w:val="center"/>
          </w:tcPr>
          <w:p w14:paraId="6C65016E" w14:textId="77777777" w:rsidR="007A7A94" w:rsidRDefault="006F5972">
            <w:pPr>
              <w:pStyle w:val="ListBullet"/>
              <w:spacing w:after="120"/>
              <w:ind w:left="175" w:hanging="175"/>
              <w:jc w:val="left"/>
              <w:rPr>
                <w:rFonts w:asciiTheme="minorHAnsi" w:hAnsiTheme="minorHAnsi"/>
                <w:sz w:val="18"/>
                <w:szCs w:val="18"/>
              </w:rPr>
            </w:pPr>
            <w:r w:rsidRPr="00561936">
              <w:rPr>
                <w:rFonts w:asciiTheme="minorHAnsi" w:hAnsiTheme="minorHAnsi"/>
                <w:sz w:val="18"/>
                <w:szCs w:val="18"/>
              </w:rPr>
              <w:t>Primary productivity (of aquatic ecosystems)</w:t>
            </w:r>
          </w:p>
          <w:p w14:paraId="6C65016F" w14:textId="77777777" w:rsidR="007A7A94" w:rsidRDefault="006F5972">
            <w:pPr>
              <w:pStyle w:val="ListBullet"/>
              <w:spacing w:after="120"/>
              <w:ind w:left="175" w:hanging="175"/>
              <w:jc w:val="left"/>
              <w:rPr>
                <w:rFonts w:asciiTheme="minorHAnsi" w:hAnsiTheme="minorHAnsi"/>
                <w:sz w:val="18"/>
                <w:szCs w:val="18"/>
              </w:rPr>
            </w:pPr>
            <w:r w:rsidRPr="00561936">
              <w:rPr>
                <w:rFonts w:asciiTheme="minorHAnsi" w:hAnsiTheme="minorHAnsi"/>
                <w:sz w:val="18"/>
                <w:szCs w:val="18"/>
              </w:rPr>
              <w:t>Decomposition</w:t>
            </w:r>
          </w:p>
          <w:p w14:paraId="6C650170" w14:textId="77777777" w:rsidR="007A7A94" w:rsidRDefault="006F5972">
            <w:pPr>
              <w:pStyle w:val="ListBullet"/>
              <w:spacing w:after="120"/>
              <w:ind w:left="175" w:hanging="175"/>
              <w:jc w:val="left"/>
              <w:rPr>
                <w:rFonts w:asciiTheme="minorHAnsi" w:hAnsiTheme="minorHAnsi"/>
                <w:sz w:val="18"/>
                <w:szCs w:val="18"/>
              </w:rPr>
            </w:pPr>
            <w:r w:rsidRPr="00561936">
              <w:rPr>
                <w:rFonts w:asciiTheme="minorHAnsi" w:hAnsiTheme="minorHAnsi"/>
                <w:sz w:val="18"/>
                <w:szCs w:val="18"/>
              </w:rPr>
              <w:t>Nutrient and carbon cycling</w:t>
            </w:r>
          </w:p>
        </w:tc>
      </w:tr>
      <w:tr w:rsidR="006F5972" w:rsidRPr="00561936" w14:paraId="6C650177" w14:textId="77777777" w:rsidTr="006F5972">
        <w:trPr>
          <w:trHeight w:val="300"/>
        </w:trPr>
        <w:tc>
          <w:tcPr>
            <w:tcW w:w="1308" w:type="dxa"/>
            <w:vMerge/>
            <w:tcBorders>
              <w:left w:val="single" w:sz="4" w:space="0" w:color="auto"/>
              <w:right w:val="single" w:sz="4" w:space="0" w:color="auto"/>
            </w:tcBorders>
            <w:shd w:val="clear" w:color="auto" w:fill="0070C0"/>
            <w:vAlign w:val="center"/>
            <w:hideMark/>
          </w:tcPr>
          <w:p w14:paraId="6C650172" w14:textId="77777777" w:rsidR="007A7A94" w:rsidRDefault="007A7A94">
            <w:pPr>
              <w:spacing w:after="120"/>
              <w:jc w:val="left"/>
              <w:rPr>
                <w:rFonts w:asciiTheme="minorHAnsi" w:hAnsiTheme="minorHAnsi"/>
                <w:color w:val="FFFFFF" w:themeColor="background1"/>
                <w:sz w:val="18"/>
                <w:szCs w:val="18"/>
              </w:rPr>
            </w:pPr>
          </w:p>
        </w:tc>
        <w:tc>
          <w:tcPr>
            <w:tcW w:w="2237" w:type="dxa"/>
            <w:gridSpan w:val="3"/>
            <w:vMerge/>
            <w:tcBorders>
              <w:left w:val="single" w:sz="4" w:space="0" w:color="auto"/>
              <w:right w:val="single" w:sz="4" w:space="0" w:color="auto"/>
            </w:tcBorders>
            <w:shd w:val="clear" w:color="auto" w:fill="79B2F7"/>
            <w:vAlign w:val="center"/>
            <w:hideMark/>
          </w:tcPr>
          <w:p w14:paraId="6C650173" w14:textId="77777777" w:rsidR="007A7A94" w:rsidRDefault="007A7A94">
            <w:pPr>
              <w:spacing w:after="120"/>
              <w:jc w:val="left"/>
              <w:rPr>
                <w:rFonts w:asciiTheme="minorHAnsi" w:hAnsiTheme="minorHAnsi"/>
                <w:sz w:val="18"/>
                <w:szCs w:val="18"/>
              </w:rPr>
            </w:pPr>
          </w:p>
        </w:tc>
        <w:tc>
          <w:tcPr>
            <w:tcW w:w="2834" w:type="dxa"/>
            <w:tcBorders>
              <w:left w:val="nil"/>
              <w:right w:val="single" w:sz="4" w:space="0" w:color="auto"/>
            </w:tcBorders>
            <w:shd w:val="clear" w:color="auto" w:fill="FABF8F" w:themeFill="accent6" w:themeFillTint="99"/>
          </w:tcPr>
          <w:p w14:paraId="6C650174" w14:textId="77777777" w:rsidR="007A7A94" w:rsidRDefault="007A7A94">
            <w:pPr>
              <w:spacing w:after="120"/>
              <w:jc w:val="left"/>
              <w:rPr>
                <w:rFonts w:asciiTheme="minorHAnsi" w:hAnsiTheme="minorHAnsi"/>
                <w:sz w:val="18"/>
                <w:szCs w:val="18"/>
              </w:rPr>
            </w:pPr>
          </w:p>
        </w:tc>
        <w:tc>
          <w:tcPr>
            <w:tcW w:w="1985" w:type="dxa"/>
            <w:vMerge/>
            <w:tcBorders>
              <w:left w:val="single" w:sz="4" w:space="0" w:color="auto"/>
              <w:right w:val="single" w:sz="4" w:space="0" w:color="auto"/>
            </w:tcBorders>
            <w:shd w:val="clear" w:color="auto" w:fill="92D050"/>
            <w:vAlign w:val="center"/>
            <w:hideMark/>
          </w:tcPr>
          <w:p w14:paraId="6C650175" w14:textId="77777777" w:rsidR="007A7A94" w:rsidRDefault="007A7A94">
            <w:pPr>
              <w:pStyle w:val="ListBullet"/>
              <w:spacing w:after="120"/>
              <w:ind w:left="175" w:hanging="175"/>
              <w:jc w:val="left"/>
              <w:rPr>
                <w:rFonts w:asciiTheme="minorHAnsi" w:hAnsiTheme="minorHAnsi"/>
                <w:sz w:val="18"/>
                <w:szCs w:val="18"/>
              </w:rPr>
            </w:pPr>
          </w:p>
        </w:tc>
        <w:tc>
          <w:tcPr>
            <w:tcW w:w="2126" w:type="dxa"/>
            <w:vMerge/>
            <w:tcBorders>
              <w:left w:val="nil"/>
              <w:right w:val="single" w:sz="4" w:space="0" w:color="auto"/>
            </w:tcBorders>
            <w:shd w:val="clear" w:color="auto" w:fill="D6E3BC" w:themeFill="accent3" w:themeFillTint="66"/>
            <w:vAlign w:val="center"/>
          </w:tcPr>
          <w:p w14:paraId="6C650176" w14:textId="77777777" w:rsidR="007A7A94" w:rsidRDefault="007A7A94">
            <w:pPr>
              <w:pStyle w:val="ListBullet"/>
              <w:spacing w:after="120"/>
              <w:ind w:left="175" w:hanging="175"/>
              <w:jc w:val="left"/>
              <w:rPr>
                <w:rFonts w:asciiTheme="minorHAnsi" w:hAnsiTheme="minorHAnsi"/>
                <w:sz w:val="18"/>
                <w:szCs w:val="18"/>
              </w:rPr>
            </w:pPr>
          </w:p>
        </w:tc>
      </w:tr>
      <w:tr w:rsidR="006F5972" w:rsidRPr="00561936" w14:paraId="6C65017D" w14:textId="77777777" w:rsidTr="006F5972">
        <w:trPr>
          <w:trHeight w:val="300"/>
        </w:trPr>
        <w:tc>
          <w:tcPr>
            <w:tcW w:w="1308" w:type="dxa"/>
            <w:vMerge/>
            <w:tcBorders>
              <w:left w:val="single" w:sz="4" w:space="0" w:color="auto"/>
              <w:right w:val="single" w:sz="4" w:space="0" w:color="auto"/>
            </w:tcBorders>
            <w:shd w:val="clear" w:color="auto" w:fill="0070C0"/>
            <w:vAlign w:val="center"/>
            <w:hideMark/>
          </w:tcPr>
          <w:p w14:paraId="6C650178" w14:textId="77777777" w:rsidR="007A7A94" w:rsidRDefault="007A7A94">
            <w:pPr>
              <w:spacing w:after="120"/>
              <w:jc w:val="left"/>
              <w:rPr>
                <w:rFonts w:asciiTheme="minorHAnsi" w:hAnsiTheme="minorHAnsi"/>
                <w:color w:val="FFFFFF" w:themeColor="background1"/>
                <w:sz w:val="18"/>
                <w:szCs w:val="18"/>
              </w:rPr>
            </w:pPr>
          </w:p>
        </w:tc>
        <w:tc>
          <w:tcPr>
            <w:tcW w:w="2237" w:type="dxa"/>
            <w:gridSpan w:val="3"/>
            <w:vMerge/>
            <w:tcBorders>
              <w:left w:val="single" w:sz="4" w:space="0" w:color="auto"/>
              <w:bottom w:val="single" w:sz="4" w:space="0" w:color="auto"/>
              <w:right w:val="single" w:sz="4" w:space="0" w:color="auto"/>
            </w:tcBorders>
            <w:shd w:val="clear" w:color="auto" w:fill="79B2F7"/>
            <w:vAlign w:val="center"/>
            <w:hideMark/>
          </w:tcPr>
          <w:p w14:paraId="6C650179" w14:textId="77777777" w:rsidR="007A7A94" w:rsidRDefault="007A7A94">
            <w:pPr>
              <w:spacing w:after="120"/>
              <w:jc w:val="left"/>
              <w:rPr>
                <w:rFonts w:asciiTheme="minorHAnsi" w:hAnsiTheme="minorHAnsi"/>
                <w:sz w:val="18"/>
                <w:szCs w:val="18"/>
              </w:rPr>
            </w:pPr>
          </w:p>
        </w:tc>
        <w:tc>
          <w:tcPr>
            <w:tcW w:w="2834" w:type="dxa"/>
            <w:tcBorders>
              <w:left w:val="nil"/>
              <w:bottom w:val="single" w:sz="4" w:space="0" w:color="auto"/>
              <w:right w:val="single" w:sz="4" w:space="0" w:color="auto"/>
            </w:tcBorders>
            <w:shd w:val="clear" w:color="auto" w:fill="FABF8F" w:themeFill="accent6" w:themeFillTint="99"/>
          </w:tcPr>
          <w:p w14:paraId="6C65017A" w14:textId="77777777" w:rsidR="007A7A94" w:rsidRDefault="007A7A94">
            <w:pPr>
              <w:spacing w:after="120"/>
              <w:jc w:val="left"/>
              <w:rPr>
                <w:rFonts w:asciiTheme="minorHAnsi" w:hAnsiTheme="minorHAnsi"/>
                <w:sz w:val="18"/>
                <w:szCs w:val="18"/>
              </w:rPr>
            </w:pPr>
          </w:p>
        </w:tc>
        <w:tc>
          <w:tcPr>
            <w:tcW w:w="1985" w:type="dxa"/>
            <w:vMerge/>
            <w:tcBorders>
              <w:left w:val="single" w:sz="4" w:space="0" w:color="auto"/>
              <w:bottom w:val="single" w:sz="4" w:space="0" w:color="auto"/>
              <w:right w:val="single" w:sz="4" w:space="0" w:color="auto"/>
            </w:tcBorders>
            <w:shd w:val="clear" w:color="auto" w:fill="92D050"/>
            <w:vAlign w:val="center"/>
            <w:hideMark/>
          </w:tcPr>
          <w:p w14:paraId="6C65017B" w14:textId="77777777" w:rsidR="007A7A94" w:rsidRDefault="007A7A94">
            <w:pPr>
              <w:pStyle w:val="ListBullet"/>
              <w:spacing w:after="120"/>
              <w:ind w:left="175" w:hanging="175"/>
              <w:jc w:val="left"/>
              <w:rPr>
                <w:rFonts w:asciiTheme="minorHAnsi" w:hAnsiTheme="minorHAnsi"/>
                <w:sz w:val="18"/>
                <w:szCs w:val="18"/>
              </w:rPr>
            </w:pPr>
          </w:p>
        </w:tc>
        <w:tc>
          <w:tcPr>
            <w:tcW w:w="2126" w:type="dxa"/>
            <w:vMerge/>
            <w:tcBorders>
              <w:left w:val="nil"/>
              <w:bottom w:val="single" w:sz="4" w:space="0" w:color="auto"/>
              <w:right w:val="single" w:sz="4" w:space="0" w:color="auto"/>
            </w:tcBorders>
            <w:shd w:val="clear" w:color="auto" w:fill="D6E3BC" w:themeFill="accent3" w:themeFillTint="66"/>
            <w:vAlign w:val="center"/>
          </w:tcPr>
          <w:p w14:paraId="6C65017C" w14:textId="77777777" w:rsidR="007A7A94" w:rsidRDefault="007A7A94">
            <w:pPr>
              <w:pStyle w:val="ListBullet"/>
              <w:spacing w:after="120"/>
              <w:ind w:left="175" w:hanging="175"/>
              <w:jc w:val="left"/>
              <w:rPr>
                <w:rFonts w:asciiTheme="minorHAnsi" w:hAnsiTheme="minorHAnsi"/>
                <w:sz w:val="18"/>
                <w:szCs w:val="18"/>
              </w:rPr>
            </w:pPr>
          </w:p>
        </w:tc>
      </w:tr>
      <w:tr w:rsidR="006F5972" w:rsidRPr="00561936" w14:paraId="6C650187" w14:textId="77777777" w:rsidTr="006F5972">
        <w:trPr>
          <w:trHeight w:val="360"/>
        </w:trPr>
        <w:tc>
          <w:tcPr>
            <w:tcW w:w="1308" w:type="dxa"/>
            <w:vMerge/>
            <w:tcBorders>
              <w:left w:val="single" w:sz="4" w:space="0" w:color="auto"/>
              <w:right w:val="single" w:sz="4" w:space="0" w:color="auto"/>
            </w:tcBorders>
            <w:shd w:val="clear" w:color="auto" w:fill="0070C0"/>
            <w:vAlign w:val="center"/>
            <w:hideMark/>
          </w:tcPr>
          <w:p w14:paraId="6C65017E" w14:textId="77777777" w:rsidR="007A7A94" w:rsidRDefault="007A7A94">
            <w:pPr>
              <w:spacing w:after="120"/>
              <w:jc w:val="left"/>
              <w:rPr>
                <w:rFonts w:asciiTheme="minorHAnsi" w:hAnsiTheme="minorHAnsi"/>
                <w:color w:val="FFFFFF" w:themeColor="background1"/>
                <w:sz w:val="18"/>
                <w:szCs w:val="18"/>
              </w:rPr>
            </w:pPr>
          </w:p>
        </w:tc>
        <w:tc>
          <w:tcPr>
            <w:tcW w:w="1118" w:type="dxa"/>
            <w:gridSpan w:val="2"/>
            <w:vMerge w:val="restart"/>
            <w:tcBorders>
              <w:top w:val="single" w:sz="4" w:space="0" w:color="auto"/>
              <w:left w:val="single" w:sz="4" w:space="0" w:color="auto"/>
              <w:right w:val="single" w:sz="4" w:space="0" w:color="auto"/>
            </w:tcBorders>
            <w:shd w:val="clear" w:color="auto" w:fill="79B2F7"/>
            <w:vAlign w:val="center"/>
            <w:hideMark/>
          </w:tcPr>
          <w:p w14:paraId="6C65017F" w14:textId="77777777" w:rsidR="007A7A94" w:rsidRDefault="006F5972">
            <w:pPr>
              <w:spacing w:after="120"/>
              <w:jc w:val="left"/>
              <w:rPr>
                <w:rFonts w:asciiTheme="minorHAnsi" w:hAnsiTheme="minorHAnsi"/>
                <w:sz w:val="18"/>
                <w:szCs w:val="18"/>
              </w:rPr>
            </w:pPr>
            <w:r>
              <w:rPr>
                <w:rFonts w:asciiTheme="minorHAnsi" w:hAnsiTheme="minorHAnsi"/>
                <w:sz w:val="18"/>
                <w:szCs w:val="18"/>
              </w:rPr>
              <w:t>Water quality</w:t>
            </w:r>
          </w:p>
        </w:tc>
        <w:tc>
          <w:tcPr>
            <w:tcW w:w="1119" w:type="dxa"/>
            <w:tcBorders>
              <w:top w:val="single" w:sz="4" w:space="0" w:color="auto"/>
              <w:left w:val="single" w:sz="4" w:space="0" w:color="auto"/>
              <w:bottom w:val="single" w:sz="4" w:space="0" w:color="auto"/>
              <w:right w:val="single" w:sz="4" w:space="0" w:color="auto"/>
            </w:tcBorders>
            <w:shd w:val="clear" w:color="auto" w:fill="79B2F7"/>
            <w:vAlign w:val="center"/>
          </w:tcPr>
          <w:p w14:paraId="6C650180" w14:textId="77777777" w:rsidR="007A7A94" w:rsidRDefault="006F5972">
            <w:pPr>
              <w:spacing w:after="120"/>
              <w:jc w:val="left"/>
              <w:rPr>
                <w:rFonts w:asciiTheme="minorHAnsi" w:hAnsiTheme="minorHAnsi"/>
                <w:sz w:val="18"/>
                <w:szCs w:val="18"/>
              </w:rPr>
            </w:pPr>
            <w:r>
              <w:rPr>
                <w:rFonts w:asciiTheme="minorHAnsi" w:hAnsiTheme="minorHAnsi"/>
                <w:sz w:val="18"/>
                <w:szCs w:val="18"/>
              </w:rPr>
              <w:t>Chemical</w:t>
            </w:r>
          </w:p>
        </w:tc>
        <w:tc>
          <w:tcPr>
            <w:tcW w:w="2834" w:type="dxa"/>
            <w:tcBorders>
              <w:top w:val="single" w:sz="4" w:space="0" w:color="auto"/>
              <w:left w:val="nil"/>
              <w:bottom w:val="single" w:sz="4" w:space="0" w:color="auto"/>
              <w:right w:val="single" w:sz="4" w:space="0" w:color="auto"/>
            </w:tcBorders>
            <w:shd w:val="clear" w:color="auto" w:fill="FABF8F" w:themeFill="accent6" w:themeFillTint="99"/>
          </w:tcPr>
          <w:p w14:paraId="6C650181" w14:textId="77777777" w:rsidR="007A7A94" w:rsidRDefault="007A7A94">
            <w:pPr>
              <w:spacing w:after="120"/>
              <w:jc w:val="left"/>
              <w:rPr>
                <w:rFonts w:asciiTheme="minorHAnsi" w:hAnsiTheme="minorHAnsi"/>
                <w:sz w:val="18"/>
                <w:szCs w:val="18"/>
              </w:rPr>
            </w:pPr>
          </w:p>
        </w:tc>
        <w:tc>
          <w:tcPr>
            <w:tcW w:w="1985"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6C650182" w14:textId="77777777" w:rsidR="007A7A94" w:rsidRDefault="007A7A94">
            <w:pPr>
              <w:pStyle w:val="ListBullet"/>
              <w:numPr>
                <w:ilvl w:val="0"/>
                <w:numId w:val="0"/>
              </w:numPr>
              <w:spacing w:after="120"/>
              <w:ind w:left="175"/>
              <w:jc w:val="left"/>
              <w:rPr>
                <w:rFonts w:asciiTheme="minorHAnsi" w:hAnsiTheme="minorHAnsi"/>
                <w:sz w:val="18"/>
                <w:szCs w:val="18"/>
              </w:rPr>
            </w:pPr>
          </w:p>
        </w:tc>
        <w:tc>
          <w:tcPr>
            <w:tcW w:w="2126" w:type="dxa"/>
            <w:tcBorders>
              <w:top w:val="single" w:sz="4" w:space="0" w:color="auto"/>
              <w:left w:val="nil"/>
              <w:bottom w:val="single" w:sz="4" w:space="0" w:color="auto"/>
              <w:right w:val="single" w:sz="4" w:space="0" w:color="auto"/>
            </w:tcBorders>
            <w:shd w:val="clear" w:color="auto" w:fill="D6E3BC" w:themeFill="accent3" w:themeFillTint="66"/>
            <w:vAlign w:val="center"/>
          </w:tcPr>
          <w:p w14:paraId="6C650183" w14:textId="77777777" w:rsidR="007A7A94" w:rsidRDefault="006F5972">
            <w:pPr>
              <w:pStyle w:val="ListBullet"/>
              <w:spacing w:after="120"/>
              <w:ind w:left="175" w:hanging="175"/>
              <w:jc w:val="left"/>
              <w:rPr>
                <w:rFonts w:asciiTheme="minorHAnsi" w:hAnsiTheme="minorHAnsi"/>
                <w:sz w:val="18"/>
                <w:szCs w:val="18"/>
              </w:rPr>
            </w:pPr>
            <w:r w:rsidRPr="00561936">
              <w:rPr>
                <w:rFonts w:asciiTheme="minorHAnsi" w:hAnsiTheme="minorHAnsi"/>
                <w:sz w:val="18"/>
                <w:szCs w:val="18"/>
              </w:rPr>
              <w:t>Salinity</w:t>
            </w:r>
          </w:p>
          <w:p w14:paraId="6C650184" w14:textId="77777777" w:rsidR="007A7A94" w:rsidRDefault="006F5972">
            <w:pPr>
              <w:pStyle w:val="ListBullet"/>
              <w:spacing w:after="120"/>
              <w:ind w:left="175" w:hanging="175"/>
              <w:jc w:val="left"/>
              <w:rPr>
                <w:rFonts w:asciiTheme="minorHAnsi" w:hAnsiTheme="minorHAnsi"/>
                <w:sz w:val="18"/>
                <w:szCs w:val="18"/>
              </w:rPr>
            </w:pPr>
            <w:r w:rsidRPr="00561936">
              <w:rPr>
                <w:rFonts w:asciiTheme="minorHAnsi" w:hAnsiTheme="minorHAnsi"/>
                <w:sz w:val="18"/>
                <w:szCs w:val="18"/>
              </w:rPr>
              <w:t>Dissolved oxygen</w:t>
            </w:r>
          </w:p>
          <w:p w14:paraId="6C650185" w14:textId="77777777" w:rsidR="007A7A94" w:rsidRDefault="006F5972">
            <w:pPr>
              <w:pStyle w:val="ListBullet"/>
              <w:spacing w:after="120"/>
              <w:ind w:left="175" w:hanging="175"/>
              <w:jc w:val="left"/>
              <w:rPr>
                <w:rFonts w:asciiTheme="minorHAnsi" w:hAnsiTheme="minorHAnsi"/>
                <w:sz w:val="18"/>
                <w:szCs w:val="18"/>
              </w:rPr>
            </w:pPr>
            <w:r w:rsidRPr="00561936">
              <w:rPr>
                <w:rFonts w:asciiTheme="minorHAnsi" w:hAnsiTheme="minorHAnsi"/>
                <w:sz w:val="18"/>
                <w:szCs w:val="18"/>
              </w:rPr>
              <w:t>pH</w:t>
            </w:r>
          </w:p>
          <w:p w14:paraId="6C650186" w14:textId="77777777" w:rsidR="007A7A94" w:rsidRDefault="006F5972">
            <w:pPr>
              <w:pStyle w:val="ListBullet"/>
              <w:spacing w:after="120"/>
              <w:ind w:left="175" w:hanging="175"/>
              <w:jc w:val="left"/>
              <w:rPr>
                <w:rFonts w:asciiTheme="minorHAnsi" w:hAnsiTheme="minorHAnsi"/>
                <w:sz w:val="18"/>
                <w:szCs w:val="18"/>
              </w:rPr>
            </w:pPr>
            <w:r w:rsidRPr="00561936">
              <w:rPr>
                <w:rFonts w:asciiTheme="minorHAnsi" w:hAnsiTheme="minorHAnsi"/>
                <w:sz w:val="18"/>
                <w:szCs w:val="18"/>
              </w:rPr>
              <w:t>Dissolved organic carbon</w:t>
            </w:r>
          </w:p>
        </w:tc>
      </w:tr>
      <w:tr w:rsidR="006F5972" w:rsidRPr="00561936" w14:paraId="6C65018E" w14:textId="77777777" w:rsidTr="006F5972">
        <w:trPr>
          <w:trHeight w:val="360"/>
        </w:trPr>
        <w:tc>
          <w:tcPr>
            <w:tcW w:w="1308" w:type="dxa"/>
            <w:vMerge/>
            <w:tcBorders>
              <w:left w:val="single" w:sz="4" w:space="0" w:color="auto"/>
              <w:bottom w:val="single" w:sz="4" w:space="0" w:color="auto"/>
              <w:right w:val="single" w:sz="4" w:space="0" w:color="auto"/>
            </w:tcBorders>
            <w:shd w:val="clear" w:color="auto" w:fill="0070C0"/>
            <w:vAlign w:val="center"/>
            <w:hideMark/>
          </w:tcPr>
          <w:p w14:paraId="6C650188" w14:textId="77777777" w:rsidR="007A7A94" w:rsidRDefault="007A7A94">
            <w:pPr>
              <w:spacing w:after="120"/>
              <w:jc w:val="left"/>
              <w:rPr>
                <w:rFonts w:asciiTheme="minorHAnsi" w:hAnsiTheme="minorHAnsi"/>
                <w:color w:val="FFFFFF" w:themeColor="background1"/>
                <w:sz w:val="18"/>
                <w:szCs w:val="18"/>
              </w:rPr>
            </w:pPr>
          </w:p>
        </w:tc>
        <w:tc>
          <w:tcPr>
            <w:tcW w:w="1118" w:type="dxa"/>
            <w:gridSpan w:val="2"/>
            <w:vMerge/>
            <w:tcBorders>
              <w:left w:val="single" w:sz="4" w:space="0" w:color="auto"/>
              <w:bottom w:val="single" w:sz="4" w:space="0" w:color="auto"/>
              <w:right w:val="single" w:sz="4" w:space="0" w:color="auto"/>
            </w:tcBorders>
            <w:shd w:val="clear" w:color="auto" w:fill="79B2F7"/>
            <w:vAlign w:val="center"/>
            <w:hideMark/>
          </w:tcPr>
          <w:p w14:paraId="6C650189" w14:textId="77777777" w:rsidR="007A7A94" w:rsidRDefault="007A7A94">
            <w:pPr>
              <w:spacing w:after="120"/>
              <w:jc w:val="left"/>
              <w:rPr>
                <w:rFonts w:asciiTheme="minorHAnsi" w:hAnsiTheme="minorHAnsi"/>
                <w:sz w:val="18"/>
                <w:szCs w:val="18"/>
              </w:rPr>
            </w:pPr>
          </w:p>
        </w:tc>
        <w:tc>
          <w:tcPr>
            <w:tcW w:w="1119" w:type="dxa"/>
            <w:tcBorders>
              <w:top w:val="single" w:sz="4" w:space="0" w:color="auto"/>
              <w:left w:val="single" w:sz="4" w:space="0" w:color="auto"/>
              <w:bottom w:val="single" w:sz="4" w:space="0" w:color="auto"/>
              <w:right w:val="single" w:sz="4" w:space="0" w:color="auto"/>
            </w:tcBorders>
            <w:shd w:val="clear" w:color="auto" w:fill="79B2F7"/>
            <w:vAlign w:val="center"/>
          </w:tcPr>
          <w:p w14:paraId="6C65018A" w14:textId="77777777" w:rsidR="007A7A94" w:rsidRDefault="006F5972">
            <w:pPr>
              <w:spacing w:after="120"/>
              <w:jc w:val="left"/>
              <w:rPr>
                <w:rFonts w:asciiTheme="minorHAnsi" w:hAnsiTheme="minorHAnsi"/>
                <w:sz w:val="18"/>
                <w:szCs w:val="18"/>
              </w:rPr>
            </w:pPr>
            <w:r>
              <w:rPr>
                <w:rFonts w:asciiTheme="minorHAnsi" w:hAnsiTheme="minorHAnsi"/>
                <w:sz w:val="18"/>
                <w:szCs w:val="18"/>
              </w:rPr>
              <w:t>Biological</w:t>
            </w:r>
          </w:p>
        </w:tc>
        <w:tc>
          <w:tcPr>
            <w:tcW w:w="2834" w:type="dxa"/>
            <w:tcBorders>
              <w:top w:val="single" w:sz="4" w:space="0" w:color="auto"/>
              <w:left w:val="nil"/>
              <w:bottom w:val="single" w:sz="4" w:space="0" w:color="auto"/>
              <w:right w:val="single" w:sz="4" w:space="0" w:color="auto"/>
            </w:tcBorders>
            <w:shd w:val="clear" w:color="auto" w:fill="FABF8F" w:themeFill="accent6" w:themeFillTint="99"/>
          </w:tcPr>
          <w:p w14:paraId="6C65018B" w14:textId="77777777" w:rsidR="007A7A94" w:rsidRDefault="007A7A94">
            <w:pPr>
              <w:spacing w:after="120"/>
              <w:jc w:val="left"/>
              <w:rPr>
                <w:rFonts w:asciiTheme="minorHAnsi" w:hAnsiTheme="minorHAnsi"/>
                <w:sz w:val="18"/>
                <w:szCs w:val="18"/>
              </w:rPr>
            </w:pPr>
          </w:p>
        </w:tc>
        <w:tc>
          <w:tcPr>
            <w:tcW w:w="1985"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6C65018C" w14:textId="77777777" w:rsidR="007A7A94" w:rsidRDefault="007A7A94">
            <w:pPr>
              <w:pStyle w:val="ListBullet"/>
              <w:numPr>
                <w:ilvl w:val="0"/>
                <w:numId w:val="0"/>
              </w:numPr>
              <w:spacing w:after="120"/>
              <w:ind w:left="175"/>
              <w:jc w:val="left"/>
              <w:rPr>
                <w:rFonts w:asciiTheme="minorHAnsi" w:hAnsiTheme="minorHAnsi"/>
                <w:sz w:val="18"/>
                <w:szCs w:val="18"/>
              </w:rPr>
            </w:pPr>
          </w:p>
        </w:tc>
        <w:tc>
          <w:tcPr>
            <w:tcW w:w="2126" w:type="dxa"/>
            <w:tcBorders>
              <w:top w:val="single" w:sz="4" w:space="0" w:color="auto"/>
              <w:left w:val="nil"/>
              <w:bottom w:val="single" w:sz="4" w:space="0" w:color="auto"/>
              <w:right w:val="single" w:sz="4" w:space="0" w:color="auto"/>
            </w:tcBorders>
            <w:shd w:val="clear" w:color="auto" w:fill="D6E3BC" w:themeFill="accent3" w:themeFillTint="66"/>
            <w:vAlign w:val="center"/>
          </w:tcPr>
          <w:p w14:paraId="6C65018D" w14:textId="77777777" w:rsidR="007A7A94" w:rsidRDefault="006F5972">
            <w:pPr>
              <w:pStyle w:val="ListBullet"/>
              <w:spacing w:after="120"/>
              <w:ind w:left="175" w:hanging="175"/>
              <w:jc w:val="left"/>
              <w:rPr>
                <w:rFonts w:asciiTheme="minorHAnsi" w:hAnsiTheme="minorHAnsi"/>
                <w:sz w:val="18"/>
                <w:szCs w:val="18"/>
              </w:rPr>
            </w:pPr>
            <w:r w:rsidRPr="00561936">
              <w:rPr>
                <w:rFonts w:asciiTheme="minorHAnsi" w:hAnsiTheme="minorHAnsi"/>
                <w:sz w:val="18"/>
                <w:szCs w:val="18"/>
              </w:rPr>
              <w:t>Algal blooms</w:t>
            </w:r>
          </w:p>
        </w:tc>
      </w:tr>
      <w:tr w:rsidR="00BA5E36" w:rsidRPr="00561936" w14:paraId="6C650199" w14:textId="77777777" w:rsidTr="006F5972">
        <w:trPr>
          <w:trHeight w:val="360"/>
        </w:trPr>
        <w:tc>
          <w:tcPr>
            <w:tcW w:w="1308" w:type="dxa"/>
            <w:vMerge w:val="restart"/>
            <w:tcBorders>
              <w:top w:val="single" w:sz="4" w:space="0" w:color="auto"/>
              <w:left w:val="single" w:sz="4" w:space="0" w:color="auto"/>
              <w:bottom w:val="single" w:sz="4" w:space="0" w:color="auto"/>
              <w:right w:val="single" w:sz="4" w:space="0" w:color="auto"/>
            </w:tcBorders>
            <w:shd w:val="clear" w:color="auto" w:fill="0070C0"/>
            <w:vAlign w:val="center"/>
            <w:hideMark/>
          </w:tcPr>
          <w:p w14:paraId="6C65018F" w14:textId="77777777" w:rsidR="007A7A94" w:rsidRDefault="00BA5E36">
            <w:pPr>
              <w:spacing w:after="120"/>
              <w:jc w:val="left"/>
              <w:rPr>
                <w:rFonts w:asciiTheme="minorHAnsi" w:hAnsiTheme="minorHAnsi"/>
                <w:color w:val="FFFFFF" w:themeColor="background1"/>
                <w:sz w:val="18"/>
                <w:szCs w:val="18"/>
              </w:rPr>
            </w:pPr>
            <w:r w:rsidRPr="00561936">
              <w:rPr>
                <w:rFonts w:asciiTheme="minorHAnsi" w:hAnsiTheme="minorHAnsi"/>
                <w:color w:val="FFFFFF" w:themeColor="background1"/>
                <w:sz w:val="18"/>
                <w:szCs w:val="18"/>
              </w:rPr>
              <w:t>Resilience</w:t>
            </w:r>
            <w:r w:rsidRPr="00561936">
              <w:rPr>
                <w:rFonts w:asciiTheme="minorHAnsi" w:hAnsiTheme="minorHAnsi"/>
                <w:color w:val="FFFFFF" w:themeColor="background1"/>
                <w:sz w:val="18"/>
                <w:szCs w:val="18"/>
              </w:rPr>
              <w:br/>
            </w:r>
            <w:r w:rsidRPr="00561936">
              <w:rPr>
                <w:rFonts w:asciiTheme="minorHAnsi" w:hAnsiTheme="minorHAnsi"/>
                <w:color w:val="FFFFFF" w:themeColor="background1"/>
                <w:sz w:val="18"/>
                <w:szCs w:val="18"/>
              </w:rPr>
              <w:br/>
              <w:t>(Basin Plan S. 8.07)</w:t>
            </w:r>
          </w:p>
        </w:tc>
        <w:tc>
          <w:tcPr>
            <w:tcW w:w="2237" w:type="dxa"/>
            <w:gridSpan w:val="3"/>
            <w:vMerge w:val="restart"/>
            <w:tcBorders>
              <w:top w:val="single" w:sz="4" w:space="0" w:color="auto"/>
              <w:left w:val="single" w:sz="4" w:space="0" w:color="auto"/>
              <w:right w:val="single" w:sz="4" w:space="0" w:color="auto"/>
            </w:tcBorders>
            <w:shd w:val="clear" w:color="auto" w:fill="79B2F7"/>
            <w:vAlign w:val="center"/>
            <w:hideMark/>
          </w:tcPr>
          <w:p w14:paraId="6C650190" w14:textId="77777777" w:rsidR="007A7A94" w:rsidRDefault="00BA5E36">
            <w:pPr>
              <w:spacing w:after="120"/>
              <w:jc w:val="left"/>
              <w:rPr>
                <w:rFonts w:asciiTheme="minorHAnsi" w:hAnsiTheme="minorHAnsi"/>
                <w:sz w:val="18"/>
                <w:szCs w:val="18"/>
              </w:rPr>
            </w:pPr>
            <w:r w:rsidRPr="00561936">
              <w:rPr>
                <w:rFonts w:asciiTheme="minorHAnsi" w:hAnsiTheme="minorHAnsi"/>
                <w:sz w:val="18"/>
                <w:szCs w:val="18"/>
              </w:rPr>
              <w:t>Ecosystem resilience</w:t>
            </w:r>
          </w:p>
          <w:p w14:paraId="6C650191" w14:textId="77777777" w:rsidR="007A7A94" w:rsidRDefault="00BA5E36">
            <w:pPr>
              <w:spacing w:after="120"/>
              <w:jc w:val="left"/>
              <w:rPr>
                <w:rFonts w:asciiTheme="minorHAnsi" w:hAnsiTheme="minorHAnsi"/>
                <w:sz w:val="18"/>
                <w:szCs w:val="18"/>
              </w:rPr>
            </w:pPr>
            <w:r w:rsidRPr="00561936">
              <w:rPr>
                <w:rFonts w:asciiTheme="minorHAnsi" w:hAnsiTheme="minorHAnsi"/>
                <w:sz w:val="18"/>
                <w:szCs w:val="18"/>
              </w:rPr>
              <w:t> </w:t>
            </w:r>
          </w:p>
        </w:tc>
        <w:tc>
          <w:tcPr>
            <w:tcW w:w="2834" w:type="dxa"/>
            <w:tcBorders>
              <w:top w:val="single" w:sz="4" w:space="0" w:color="auto"/>
              <w:left w:val="nil"/>
              <w:right w:val="single" w:sz="4" w:space="0" w:color="auto"/>
            </w:tcBorders>
            <w:shd w:val="clear" w:color="auto" w:fill="FABF8F" w:themeFill="accent6" w:themeFillTint="99"/>
          </w:tcPr>
          <w:p w14:paraId="6C650192" w14:textId="77777777" w:rsidR="007A7A94" w:rsidRDefault="007A7A94">
            <w:pPr>
              <w:spacing w:after="120"/>
              <w:jc w:val="left"/>
              <w:rPr>
                <w:rFonts w:asciiTheme="minorHAnsi" w:hAnsiTheme="minorHAnsi"/>
                <w:sz w:val="18"/>
                <w:szCs w:val="18"/>
              </w:rPr>
            </w:pPr>
          </w:p>
        </w:tc>
        <w:tc>
          <w:tcPr>
            <w:tcW w:w="1985" w:type="dxa"/>
            <w:vMerge w:val="restart"/>
            <w:tcBorders>
              <w:top w:val="single" w:sz="4" w:space="0" w:color="auto"/>
              <w:left w:val="single" w:sz="4" w:space="0" w:color="auto"/>
              <w:right w:val="single" w:sz="4" w:space="0" w:color="auto"/>
            </w:tcBorders>
            <w:shd w:val="clear" w:color="auto" w:fill="92D050"/>
            <w:vAlign w:val="center"/>
            <w:hideMark/>
          </w:tcPr>
          <w:p w14:paraId="6C650193" w14:textId="77777777" w:rsidR="007A7A94" w:rsidRDefault="00BA5E36">
            <w:pPr>
              <w:pStyle w:val="ListBullet"/>
              <w:spacing w:after="120"/>
              <w:ind w:left="175" w:hanging="175"/>
              <w:jc w:val="left"/>
              <w:rPr>
                <w:rFonts w:asciiTheme="minorHAnsi" w:hAnsiTheme="minorHAnsi"/>
                <w:sz w:val="18"/>
                <w:szCs w:val="18"/>
              </w:rPr>
            </w:pPr>
            <w:r w:rsidRPr="00561936">
              <w:rPr>
                <w:rFonts w:asciiTheme="minorHAnsi" w:hAnsiTheme="minorHAnsi"/>
                <w:sz w:val="18"/>
                <w:szCs w:val="18"/>
              </w:rPr>
              <w:t>Population condition</w:t>
            </w:r>
          </w:p>
          <w:p w14:paraId="6C650194" w14:textId="77777777" w:rsidR="007A7A94" w:rsidRDefault="00BA5E36">
            <w:pPr>
              <w:pStyle w:val="ListBullet2"/>
              <w:spacing w:after="120"/>
              <w:ind w:left="175" w:hanging="175"/>
              <w:jc w:val="left"/>
              <w:rPr>
                <w:rFonts w:asciiTheme="minorHAnsi" w:hAnsiTheme="minorHAnsi"/>
                <w:sz w:val="18"/>
                <w:szCs w:val="18"/>
              </w:rPr>
            </w:pPr>
            <w:r w:rsidRPr="0018287E">
              <w:rPr>
                <w:rFonts w:asciiTheme="minorHAnsi" w:hAnsiTheme="minorHAnsi"/>
                <w:sz w:val="18"/>
                <w:szCs w:val="18"/>
              </w:rPr>
              <w:t>individual refuges</w:t>
            </w:r>
          </w:p>
          <w:p w14:paraId="6C650195" w14:textId="77777777" w:rsidR="007A7A94" w:rsidRDefault="00BA5E36">
            <w:pPr>
              <w:pStyle w:val="ListBullet2"/>
              <w:spacing w:after="120"/>
              <w:ind w:left="175" w:hanging="175"/>
              <w:jc w:val="left"/>
              <w:rPr>
                <w:rFonts w:asciiTheme="minorHAnsi" w:hAnsiTheme="minorHAnsi"/>
                <w:sz w:val="18"/>
                <w:szCs w:val="18"/>
              </w:rPr>
            </w:pPr>
            <w:r w:rsidRPr="0018287E">
              <w:rPr>
                <w:rFonts w:asciiTheme="minorHAnsi" w:hAnsiTheme="minorHAnsi"/>
                <w:sz w:val="18"/>
                <w:szCs w:val="18"/>
              </w:rPr>
              <w:t>landscape refuges</w:t>
            </w:r>
          </w:p>
          <w:p w14:paraId="6C650196" w14:textId="77777777" w:rsidR="007A7A94" w:rsidRDefault="00BA5E36">
            <w:pPr>
              <w:pStyle w:val="ListBullet2"/>
              <w:spacing w:after="120"/>
              <w:ind w:left="175" w:hanging="175"/>
              <w:jc w:val="left"/>
              <w:rPr>
                <w:rFonts w:asciiTheme="minorHAnsi" w:hAnsiTheme="minorHAnsi"/>
                <w:sz w:val="18"/>
                <w:szCs w:val="18"/>
              </w:rPr>
            </w:pPr>
            <w:r>
              <w:rPr>
                <w:rFonts w:asciiTheme="minorHAnsi" w:hAnsiTheme="minorHAnsi"/>
                <w:sz w:val="18"/>
                <w:szCs w:val="18"/>
              </w:rPr>
              <w:t>e</w:t>
            </w:r>
            <w:r w:rsidRPr="00561936">
              <w:rPr>
                <w:rFonts w:asciiTheme="minorHAnsi" w:hAnsiTheme="minorHAnsi"/>
                <w:sz w:val="18"/>
                <w:szCs w:val="18"/>
              </w:rPr>
              <w:t>cosystem recovery</w:t>
            </w:r>
          </w:p>
        </w:tc>
        <w:tc>
          <w:tcPr>
            <w:tcW w:w="2126" w:type="dxa"/>
            <w:vMerge w:val="restart"/>
            <w:tcBorders>
              <w:top w:val="single" w:sz="4" w:space="0" w:color="auto"/>
              <w:left w:val="nil"/>
              <w:right w:val="single" w:sz="4" w:space="0" w:color="auto"/>
            </w:tcBorders>
            <w:shd w:val="clear" w:color="auto" w:fill="D6E3BC" w:themeFill="accent3" w:themeFillTint="66"/>
            <w:vAlign w:val="center"/>
          </w:tcPr>
          <w:p w14:paraId="6C650197" w14:textId="77777777" w:rsidR="007A7A94" w:rsidRDefault="00BA5E36">
            <w:pPr>
              <w:pStyle w:val="ListBullet"/>
              <w:spacing w:after="120"/>
              <w:ind w:left="175" w:hanging="175"/>
              <w:jc w:val="left"/>
              <w:rPr>
                <w:rFonts w:asciiTheme="minorHAnsi" w:hAnsiTheme="minorHAnsi"/>
                <w:sz w:val="18"/>
                <w:szCs w:val="18"/>
              </w:rPr>
            </w:pPr>
            <w:r w:rsidRPr="00561936">
              <w:rPr>
                <w:rFonts w:asciiTheme="minorHAnsi" w:hAnsiTheme="minorHAnsi"/>
                <w:sz w:val="18"/>
                <w:szCs w:val="18"/>
              </w:rPr>
              <w:t xml:space="preserve">Individual survival </w:t>
            </w:r>
            <w:r w:rsidR="00553B2D">
              <w:rPr>
                <w:rFonts w:asciiTheme="minorHAnsi" w:hAnsiTheme="minorHAnsi"/>
                <w:sz w:val="18"/>
                <w:szCs w:val="18"/>
              </w:rPr>
              <w:t>a</w:t>
            </w:r>
            <w:r w:rsidRPr="00561936">
              <w:rPr>
                <w:rFonts w:asciiTheme="minorHAnsi" w:hAnsiTheme="minorHAnsi"/>
                <w:sz w:val="18"/>
                <w:szCs w:val="18"/>
              </w:rPr>
              <w:t>nd condition (Individual refuges) </w:t>
            </w:r>
          </w:p>
          <w:p w14:paraId="6C650198" w14:textId="77777777" w:rsidR="007A7A94" w:rsidRDefault="00BA5E36">
            <w:pPr>
              <w:pStyle w:val="ListBullet"/>
              <w:spacing w:after="120"/>
              <w:ind w:left="175" w:hanging="175"/>
              <w:jc w:val="left"/>
              <w:rPr>
                <w:rFonts w:asciiTheme="minorHAnsi" w:hAnsiTheme="minorHAnsi"/>
                <w:sz w:val="18"/>
                <w:szCs w:val="18"/>
              </w:rPr>
            </w:pPr>
            <w:r w:rsidRPr="00561936">
              <w:rPr>
                <w:rFonts w:asciiTheme="minorHAnsi" w:hAnsiTheme="minorHAnsi"/>
                <w:sz w:val="18"/>
                <w:szCs w:val="18"/>
              </w:rPr>
              <w:t>Individual condition (Ecosystem resistance) </w:t>
            </w:r>
          </w:p>
        </w:tc>
      </w:tr>
      <w:tr w:rsidR="00BA5E36" w:rsidRPr="00561936" w14:paraId="6C65019F" w14:textId="77777777" w:rsidTr="006F5972">
        <w:trPr>
          <w:trHeight w:val="300"/>
        </w:trPr>
        <w:tc>
          <w:tcPr>
            <w:tcW w:w="1308" w:type="dxa"/>
            <w:vMerge/>
            <w:tcBorders>
              <w:top w:val="single" w:sz="4" w:space="0" w:color="auto"/>
              <w:left w:val="single" w:sz="4" w:space="0" w:color="auto"/>
              <w:bottom w:val="single" w:sz="4" w:space="0" w:color="auto"/>
              <w:right w:val="single" w:sz="4" w:space="0" w:color="auto"/>
            </w:tcBorders>
            <w:shd w:val="clear" w:color="auto" w:fill="0070C0"/>
            <w:vAlign w:val="center"/>
            <w:hideMark/>
          </w:tcPr>
          <w:p w14:paraId="6C65019A" w14:textId="77777777" w:rsidR="007A7A94" w:rsidRDefault="007A7A94">
            <w:pPr>
              <w:spacing w:after="120"/>
              <w:jc w:val="left"/>
              <w:rPr>
                <w:rFonts w:asciiTheme="minorHAnsi" w:hAnsiTheme="minorHAnsi"/>
                <w:color w:val="FFFFFF" w:themeColor="background1"/>
                <w:sz w:val="18"/>
                <w:szCs w:val="18"/>
              </w:rPr>
            </w:pPr>
          </w:p>
        </w:tc>
        <w:tc>
          <w:tcPr>
            <w:tcW w:w="2237" w:type="dxa"/>
            <w:gridSpan w:val="3"/>
            <w:vMerge/>
            <w:tcBorders>
              <w:left w:val="single" w:sz="4" w:space="0" w:color="auto"/>
              <w:right w:val="single" w:sz="4" w:space="0" w:color="auto"/>
            </w:tcBorders>
            <w:shd w:val="clear" w:color="auto" w:fill="79B2F7"/>
            <w:vAlign w:val="center"/>
            <w:hideMark/>
          </w:tcPr>
          <w:p w14:paraId="6C65019B" w14:textId="77777777" w:rsidR="007A7A94" w:rsidRDefault="007A7A94">
            <w:pPr>
              <w:spacing w:after="120"/>
              <w:jc w:val="left"/>
              <w:rPr>
                <w:rFonts w:asciiTheme="minorHAnsi" w:hAnsiTheme="minorHAnsi"/>
                <w:sz w:val="18"/>
                <w:szCs w:val="18"/>
              </w:rPr>
            </w:pPr>
          </w:p>
        </w:tc>
        <w:tc>
          <w:tcPr>
            <w:tcW w:w="2834" w:type="dxa"/>
            <w:tcBorders>
              <w:left w:val="nil"/>
              <w:right w:val="single" w:sz="4" w:space="0" w:color="auto"/>
            </w:tcBorders>
            <w:shd w:val="clear" w:color="auto" w:fill="FABF8F" w:themeFill="accent6" w:themeFillTint="99"/>
          </w:tcPr>
          <w:p w14:paraId="6C65019C" w14:textId="77777777" w:rsidR="007A7A94" w:rsidRDefault="007A7A94">
            <w:pPr>
              <w:spacing w:after="120"/>
              <w:jc w:val="left"/>
              <w:rPr>
                <w:rFonts w:asciiTheme="minorHAnsi" w:hAnsiTheme="minorHAnsi"/>
                <w:sz w:val="18"/>
                <w:szCs w:val="18"/>
              </w:rPr>
            </w:pPr>
          </w:p>
        </w:tc>
        <w:tc>
          <w:tcPr>
            <w:tcW w:w="1985" w:type="dxa"/>
            <w:vMerge/>
            <w:tcBorders>
              <w:left w:val="single" w:sz="4" w:space="0" w:color="auto"/>
              <w:right w:val="single" w:sz="4" w:space="0" w:color="auto"/>
            </w:tcBorders>
            <w:shd w:val="clear" w:color="auto" w:fill="92D050"/>
            <w:vAlign w:val="center"/>
            <w:hideMark/>
          </w:tcPr>
          <w:p w14:paraId="6C65019D" w14:textId="77777777" w:rsidR="007A7A94" w:rsidRDefault="007A7A94">
            <w:pPr>
              <w:pStyle w:val="ListBullet"/>
              <w:spacing w:after="120"/>
              <w:ind w:left="175" w:hanging="175"/>
              <w:jc w:val="left"/>
              <w:rPr>
                <w:rFonts w:asciiTheme="minorHAnsi" w:hAnsiTheme="minorHAnsi"/>
                <w:sz w:val="18"/>
                <w:szCs w:val="18"/>
              </w:rPr>
            </w:pPr>
          </w:p>
        </w:tc>
        <w:tc>
          <w:tcPr>
            <w:tcW w:w="2126" w:type="dxa"/>
            <w:vMerge/>
            <w:tcBorders>
              <w:left w:val="nil"/>
              <w:right w:val="single" w:sz="4" w:space="0" w:color="auto"/>
            </w:tcBorders>
            <w:shd w:val="clear" w:color="auto" w:fill="D6E3BC" w:themeFill="accent3" w:themeFillTint="66"/>
            <w:vAlign w:val="center"/>
          </w:tcPr>
          <w:p w14:paraId="6C65019E" w14:textId="77777777" w:rsidR="007A7A94" w:rsidRDefault="007A7A94">
            <w:pPr>
              <w:pStyle w:val="ListBullet"/>
              <w:spacing w:after="120"/>
              <w:ind w:left="175" w:hanging="175"/>
              <w:jc w:val="left"/>
              <w:rPr>
                <w:rFonts w:asciiTheme="minorHAnsi" w:hAnsiTheme="minorHAnsi"/>
                <w:sz w:val="18"/>
                <w:szCs w:val="18"/>
              </w:rPr>
            </w:pPr>
          </w:p>
        </w:tc>
      </w:tr>
      <w:tr w:rsidR="00BA5E36" w:rsidRPr="00561936" w14:paraId="6C6501A5" w14:textId="77777777" w:rsidTr="006F5972">
        <w:trPr>
          <w:trHeight w:val="300"/>
        </w:trPr>
        <w:tc>
          <w:tcPr>
            <w:tcW w:w="1308" w:type="dxa"/>
            <w:vMerge/>
            <w:tcBorders>
              <w:top w:val="single" w:sz="4" w:space="0" w:color="auto"/>
              <w:left w:val="single" w:sz="4" w:space="0" w:color="auto"/>
              <w:bottom w:val="single" w:sz="4" w:space="0" w:color="auto"/>
              <w:right w:val="single" w:sz="4" w:space="0" w:color="auto"/>
            </w:tcBorders>
            <w:shd w:val="clear" w:color="auto" w:fill="0070C0"/>
            <w:vAlign w:val="center"/>
            <w:hideMark/>
          </w:tcPr>
          <w:p w14:paraId="6C6501A0" w14:textId="77777777" w:rsidR="007A7A94" w:rsidRDefault="007A7A94">
            <w:pPr>
              <w:spacing w:after="120"/>
              <w:jc w:val="left"/>
              <w:rPr>
                <w:rFonts w:asciiTheme="minorHAnsi" w:hAnsiTheme="minorHAnsi"/>
                <w:color w:val="FFFFFF" w:themeColor="background1"/>
                <w:sz w:val="18"/>
                <w:szCs w:val="18"/>
              </w:rPr>
            </w:pPr>
          </w:p>
        </w:tc>
        <w:tc>
          <w:tcPr>
            <w:tcW w:w="2237" w:type="dxa"/>
            <w:gridSpan w:val="3"/>
            <w:vMerge/>
            <w:tcBorders>
              <w:left w:val="single" w:sz="4" w:space="0" w:color="auto"/>
              <w:right w:val="single" w:sz="4" w:space="0" w:color="auto"/>
            </w:tcBorders>
            <w:shd w:val="clear" w:color="auto" w:fill="79B2F7"/>
            <w:vAlign w:val="center"/>
            <w:hideMark/>
          </w:tcPr>
          <w:p w14:paraId="6C6501A1" w14:textId="77777777" w:rsidR="007A7A94" w:rsidRDefault="007A7A94">
            <w:pPr>
              <w:spacing w:after="120"/>
              <w:jc w:val="left"/>
              <w:rPr>
                <w:rFonts w:asciiTheme="minorHAnsi" w:hAnsiTheme="minorHAnsi"/>
                <w:sz w:val="18"/>
                <w:szCs w:val="18"/>
              </w:rPr>
            </w:pPr>
          </w:p>
        </w:tc>
        <w:tc>
          <w:tcPr>
            <w:tcW w:w="2834" w:type="dxa"/>
            <w:tcBorders>
              <w:left w:val="nil"/>
              <w:right w:val="single" w:sz="4" w:space="0" w:color="auto"/>
            </w:tcBorders>
            <w:shd w:val="clear" w:color="auto" w:fill="FABF8F" w:themeFill="accent6" w:themeFillTint="99"/>
          </w:tcPr>
          <w:p w14:paraId="6C6501A2" w14:textId="77777777" w:rsidR="007A7A94" w:rsidRDefault="007A7A94">
            <w:pPr>
              <w:spacing w:after="120"/>
              <w:jc w:val="left"/>
              <w:rPr>
                <w:rFonts w:asciiTheme="minorHAnsi" w:hAnsiTheme="minorHAnsi"/>
                <w:sz w:val="18"/>
                <w:szCs w:val="18"/>
              </w:rPr>
            </w:pPr>
          </w:p>
        </w:tc>
        <w:tc>
          <w:tcPr>
            <w:tcW w:w="1985" w:type="dxa"/>
            <w:vMerge/>
            <w:tcBorders>
              <w:left w:val="single" w:sz="4" w:space="0" w:color="auto"/>
              <w:right w:val="single" w:sz="4" w:space="0" w:color="auto"/>
            </w:tcBorders>
            <w:shd w:val="clear" w:color="auto" w:fill="92D050"/>
            <w:vAlign w:val="center"/>
            <w:hideMark/>
          </w:tcPr>
          <w:p w14:paraId="6C6501A3" w14:textId="77777777" w:rsidR="007A7A94" w:rsidRDefault="007A7A94">
            <w:pPr>
              <w:pStyle w:val="ListBullet"/>
              <w:spacing w:after="120"/>
              <w:ind w:left="175" w:hanging="175"/>
              <w:jc w:val="left"/>
              <w:rPr>
                <w:rFonts w:asciiTheme="minorHAnsi" w:hAnsiTheme="minorHAnsi"/>
                <w:sz w:val="18"/>
                <w:szCs w:val="18"/>
              </w:rPr>
            </w:pPr>
          </w:p>
        </w:tc>
        <w:tc>
          <w:tcPr>
            <w:tcW w:w="2126" w:type="dxa"/>
            <w:vMerge/>
            <w:tcBorders>
              <w:left w:val="nil"/>
              <w:right w:val="single" w:sz="4" w:space="0" w:color="auto"/>
            </w:tcBorders>
            <w:shd w:val="clear" w:color="auto" w:fill="D6E3BC" w:themeFill="accent3" w:themeFillTint="66"/>
            <w:vAlign w:val="center"/>
          </w:tcPr>
          <w:p w14:paraId="6C6501A4" w14:textId="77777777" w:rsidR="007A7A94" w:rsidRDefault="007A7A94">
            <w:pPr>
              <w:pStyle w:val="ListBullet"/>
              <w:spacing w:after="120"/>
              <w:ind w:left="175" w:hanging="175"/>
              <w:jc w:val="left"/>
              <w:rPr>
                <w:rFonts w:asciiTheme="minorHAnsi" w:hAnsiTheme="minorHAnsi"/>
                <w:sz w:val="18"/>
                <w:szCs w:val="18"/>
              </w:rPr>
            </w:pPr>
          </w:p>
        </w:tc>
      </w:tr>
      <w:tr w:rsidR="00BA5E36" w:rsidRPr="00561936" w14:paraId="6C6501AB" w14:textId="77777777" w:rsidTr="006F5972">
        <w:trPr>
          <w:trHeight w:val="300"/>
        </w:trPr>
        <w:tc>
          <w:tcPr>
            <w:tcW w:w="1308" w:type="dxa"/>
            <w:vMerge/>
            <w:tcBorders>
              <w:top w:val="single" w:sz="4" w:space="0" w:color="auto"/>
              <w:left w:val="single" w:sz="4" w:space="0" w:color="auto"/>
              <w:bottom w:val="single" w:sz="4" w:space="0" w:color="auto"/>
              <w:right w:val="single" w:sz="4" w:space="0" w:color="auto"/>
            </w:tcBorders>
            <w:shd w:val="clear" w:color="auto" w:fill="0070C0"/>
            <w:vAlign w:val="center"/>
            <w:hideMark/>
          </w:tcPr>
          <w:p w14:paraId="6C6501A6" w14:textId="77777777" w:rsidR="007A7A94" w:rsidRDefault="007A7A94">
            <w:pPr>
              <w:spacing w:after="120"/>
              <w:jc w:val="left"/>
              <w:rPr>
                <w:rFonts w:asciiTheme="minorHAnsi" w:hAnsiTheme="minorHAnsi"/>
                <w:color w:val="FFFFFF" w:themeColor="background1"/>
                <w:sz w:val="18"/>
                <w:szCs w:val="18"/>
              </w:rPr>
            </w:pPr>
          </w:p>
        </w:tc>
        <w:tc>
          <w:tcPr>
            <w:tcW w:w="2237" w:type="dxa"/>
            <w:gridSpan w:val="3"/>
            <w:vMerge/>
            <w:tcBorders>
              <w:left w:val="single" w:sz="4" w:space="0" w:color="auto"/>
              <w:bottom w:val="single" w:sz="4" w:space="0" w:color="auto"/>
              <w:right w:val="single" w:sz="4" w:space="0" w:color="auto"/>
            </w:tcBorders>
            <w:shd w:val="clear" w:color="auto" w:fill="79B2F7"/>
            <w:vAlign w:val="center"/>
            <w:hideMark/>
          </w:tcPr>
          <w:p w14:paraId="6C6501A7" w14:textId="77777777" w:rsidR="007A7A94" w:rsidRDefault="007A7A94">
            <w:pPr>
              <w:spacing w:after="120"/>
              <w:jc w:val="left"/>
              <w:rPr>
                <w:rFonts w:asciiTheme="minorHAnsi" w:hAnsiTheme="minorHAnsi"/>
                <w:sz w:val="18"/>
                <w:szCs w:val="18"/>
              </w:rPr>
            </w:pPr>
          </w:p>
        </w:tc>
        <w:tc>
          <w:tcPr>
            <w:tcW w:w="2834" w:type="dxa"/>
            <w:tcBorders>
              <w:left w:val="nil"/>
              <w:bottom w:val="single" w:sz="4" w:space="0" w:color="auto"/>
              <w:right w:val="single" w:sz="4" w:space="0" w:color="auto"/>
            </w:tcBorders>
            <w:shd w:val="clear" w:color="auto" w:fill="FABF8F" w:themeFill="accent6" w:themeFillTint="99"/>
          </w:tcPr>
          <w:p w14:paraId="6C6501A8" w14:textId="77777777" w:rsidR="007A7A94" w:rsidRDefault="007A7A94">
            <w:pPr>
              <w:spacing w:after="120"/>
              <w:jc w:val="left"/>
              <w:rPr>
                <w:rFonts w:asciiTheme="minorHAnsi" w:hAnsiTheme="minorHAnsi"/>
                <w:sz w:val="18"/>
                <w:szCs w:val="18"/>
              </w:rPr>
            </w:pPr>
          </w:p>
        </w:tc>
        <w:tc>
          <w:tcPr>
            <w:tcW w:w="1985" w:type="dxa"/>
            <w:vMerge/>
            <w:tcBorders>
              <w:left w:val="single" w:sz="4" w:space="0" w:color="auto"/>
              <w:bottom w:val="single" w:sz="4" w:space="0" w:color="auto"/>
              <w:right w:val="single" w:sz="4" w:space="0" w:color="auto"/>
            </w:tcBorders>
            <w:shd w:val="clear" w:color="auto" w:fill="92D050"/>
            <w:vAlign w:val="center"/>
            <w:hideMark/>
          </w:tcPr>
          <w:p w14:paraId="6C6501A9" w14:textId="77777777" w:rsidR="007A7A94" w:rsidRDefault="007A7A94">
            <w:pPr>
              <w:pStyle w:val="ListBullet"/>
              <w:spacing w:after="120"/>
              <w:ind w:left="175" w:hanging="175"/>
              <w:jc w:val="left"/>
              <w:rPr>
                <w:rFonts w:asciiTheme="minorHAnsi" w:hAnsiTheme="minorHAnsi"/>
                <w:sz w:val="18"/>
                <w:szCs w:val="18"/>
              </w:rPr>
            </w:pPr>
          </w:p>
        </w:tc>
        <w:tc>
          <w:tcPr>
            <w:tcW w:w="2126" w:type="dxa"/>
            <w:vMerge/>
            <w:tcBorders>
              <w:left w:val="nil"/>
              <w:bottom w:val="single" w:sz="4" w:space="0" w:color="auto"/>
              <w:right w:val="single" w:sz="4" w:space="0" w:color="auto"/>
            </w:tcBorders>
            <w:shd w:val="clear" w:color="auto" w:fill="D6E3BC" w:themeFill="accent3" w:themeFillTint="66"/>
            <w:vAlign w:val="center"/>
          </w:tcPr>
          <w:p w14:paraId="6C6501AA" w14:textId="77777777" w:rsidR="007A7A94" w:rsidRDefault="007A7A94">
            <w:pPr>
              <w:pStyle w:val="ListBullet"/>
              <w:spacing w:after="120"/>
              <w:ind w:left="175" w:hanging="175"/>
              <w:jc w:val="left"/>
              <w:rPr>
                <w:rFonts w:asciiTheme="minorHAnsi" w:hAnsiTheme="minorHAnsi"/>
                <w:sz w:val="18"/>
                <w:szCs w:val="18"/>
              </w:rPr>
            </w:pPr>
          </w:p>
        </w:tc>
      </w:tr>
    </w:tbl>
    <w:p w14:paraId="6C6501AC" w14:textId="77777777" w:rsidR="007A7A94" w:rsidRDefault="007A7A94">
      <w:pPr>
        <w:pStyle w:val="NormalWeb"/>
        <w:spacing w:after="120"/>
        <w:rPr>
          <w:rFonts w:ascii="Century Gothic" w:hAnsi="Century Gothic"/>
          <w:sz w:val="20"/>
          <w:szCs w:val="20"/>
        </w:rPr>
      </w:pPr>
    </w:p>
    <w:p w14:paraId="6C6501AD" w14:textId="77777777" w:rsidR="007A7A94" w:rsidRDefault="000E3C60">
      <w:pPr>
        <w:pStyle w:val="Heading11"/>
        <w:numPr>
          <w:ilvl w:val="2"/>
          <w:numId w:val="66"/>
        </w:numPr>
        <w:spacing w:before="0" w:after="120"/>
        <w:ind w:left="1418" w:hanging="704"/>
        <w:rPr>
          <w:rFonts w:cs="Arial"/>
        </w:rPr>
      </w:pPr>
      <w:bookmarkStart w:id="148" w:name="_Toc517264654"/>
      <w:bookmarkStart w:id="149" w:name="_Toc414367239"/>
      <w:r w:rsidRPr="000E3C60">
        <w:rPr>
          <w:rFonts w:ascii="Century Gothic" w:hAnsi="Century Gothic" w:cs="Arial"/>
          <w:sz w:val="24"/>
          <w:szCs w:val="24"/>
        </w:rPr>
        <w:t>Annual environmental water demands</w:t>
      </w:r>
      <w:bookmarkEnd w:id="148"/>
    </w:p>
    <w:p w14:paraId="6C6501AF" w14:textId="6FAF30BF" w:rsidR="00B17604" w:rsidRDefault="00697322">
      <w:pPr>
        <w:pStyle w:val="Para0"/>
        <w:spacing w:after="120" w:line="240" w:lineRule="auto"/>
        <w:rPr>
          <w:rFonts w:ascii="Century Gothic" w:hAnsi="Century Gothic"/>
          <w:color w:val="auto"/>
        </w:rPr>
      </w:pPr>
      <w:r>
        <w:rPr>
          <w:rFonts w:ascii="Century Gothic" w:hAnsi="Century Gothic"/>
          <w:color w:val="auto"/>
        </w:rPr>
        <w:t>Prior to the start of each new water year,</w:t>
      </w:r>
      <w:r w:rsidR="00273B89" w:rsidRPr="00BE31EB">
        <w:rPr>
          <w:rFonts w:ascii="Century Gothic" w:hAnsi="Century Gothic"/>
          <w:color w:val="auto"/>
        </w:rPr>
        <w:t xml:space="preserve"> the</w:t>
      </w:r>
      <w:r w:rsidR="00B9125A" w:rsidRPr="00B9125A">
        <w:rPr>
          <w:rFonts w:ascii="Century Gothic" w:hAnsi="Century Gothic"/>
          <w:color w:val="auto"/>
        </w:rPr>
        <w:t xml:space="preserve"> </w:t>
      </w:r>
      <w:r w:rsidR="00BE4223">
        <w:rPr>
          <w:rFonts w:ascii="Century Gothic" w:hAnsi="Century Gothic"/>
          <w:color w:val="auto"/>
        </w:rPr>
        <w:t>Murray-Darling</w:t>
      </w:r>
      <w:r w:rsidR="00B9125A" w:rsidRPr="00BE31EB">
        <w:rPr>
          <w:rFonts w:ascii="Century Gothic" w:hAnsi="Century Gothic"/>
          <w:color w:val="auto"/>
        </w:rPr>
        <w:t xml:space="preserve"> Basin </w:t>
      </w:r>
      <w:r w:rsidR="00273B89" w:rsidRPr="00BE31EB">
        <w:rPr>
          <w:rFonts w:ascii="Century Gothic" w:hAnsi="Century Gothic"/>
          <w:color w:val="auto"/>
        </w:rPr>
        <w:t>A</w:t>
      </w:r>
      <w:r w:rsidR="00B9125A">
        <w:rPr>
          <w:rFonts w:ascii="Century Gothic" w:hAnsi="Century Gothic"/>
          <w:color w:val="auto"/>
        </w:rPr>
        <w:t>uthority</w:t>
      </w:r>
      <w:r w:rsidR="00273B89" w:rsidRPr="00BE31EB">
        <w:rPr>
          <w:rFonts w:ascii="Century Gothic" w:hAnsi="Century Gothic"/>
          <w:color w:val="auto"/>
        </w:rPr>
        <w:t xml:space="preserve"> must </w:t>
      </w:r>
      <w:r w:rsidR="005A6FF7">
        <w:rPr>
          <w:rFonts w:ascii="Century Gothic" w:hAnsi="Century Gothic"/>
          <w:color w:val="auto"/>
        </w:rPr>
        <w:t>publish</w:t>
      </w:r>
      <w:r w:rsidR="005A6FF7" w:rsidRPr="00BE31EB">
        <w:rPr>
          <w:rFonts w:ascii="Century Gothic" w:hAnsi="Century Gothic"/>
          <w:color w:val="auto"/>
        </w:rPr>
        <w:t xml:space="preserve"> </w:t>
      </w:r>
      <w:r w:rsidR="00273B89" w:rsidRPr="00BE31EB">
        <w:rPr>
          <w:rFonts w:ascii="Century Gothic" w:hAnsi="Century Gothic"/>
          <w:color w:val="auto"/>
        </w:rPr>
        <w:t xml:space="preserve">Basin </w:t>
      </w:r>
      <w:r w:rsidR="00273B89">
        <w:rPr>
          <w:rFonts w:ascii="Century Gothic" w:hAnsi="Century Gothic"/>
          <w:color w:val="auto"/>
        </w:rPr>
        <w:t>a</w:t>
      </w:r>
      <w:r w:rsidR="00273B89" w:rsidRPr="00BE31EB">
        <w:rPr>
          <w:rFonts w:ascii="Century Gothic" w:hAnsi="Century Gothic"/>
          <w:color w:val="auto"/>
        </w:rPr>
        <w:t xml:space="preserve">nnual </w:t>
      </w:r>
      <w:r w:rsidR="00273B89">
        <w:rPr>
          <w:rFonts w:ascii="Century Gothic" w:hAnsi="Century Gothic"/>
          <w:color w:val="auto"/>
        </w:rPr>
        <w:t>e</w:t>
      </w:r>
      <w:r w:rsidR="00273B89" w:rsidRPr="00BE31EB">
        <w:rPr>
          <w:rFonts w:ascii="Century Gothic" w:hAnsi="Century Gothic"/>
          <w:color w:val="auto"/>
        </w:rPr>
        <w:t xml:space="preserve">nvironmental </w:t>
      </w:r>
      <w:r w:rsidR="00273B89">
        <w:rPr>
          <w:rFonts w:ascii="Century Gothic" w:hAnsi="Century Gothic"/>
          <w:color w:val="auto"/>
        </w:rPr>
        <w:t>w</w:t>
      </w:r>
      <w:r w:rsidR="00273B89" w:rsidRPr="00BE31EB">
        <w:rPr>
          <w:rFonts w:ascii="Century Gothic" w:hAnsi="Century Gothic"/>
          <w:color w:val="auto"/>
        </w:rPr>
        <w:t xml:space="preserve">atering </w:t>
      </w:r>
      <w:r w:rsidR="00273B89">
        <w:rPr>
          <w:rFonts w:ascii="Century Gothic" w:hAnsi="Century Gothic"/>
          <w:color w:val="auto"/>
        </w:rPr>
        <w:t>p</w:t>
      </w:r>
      <w:r w:rsidR="00273B89" w:rsidRPr="00BE31EB">
        <w:rPr>
          <w:rFonts w:ascii="Century Gothic" w:hAnsi="Century Gothic"/>
          <w:color w:val="auto"/>
        </w:rPr>
        <w:t xml:space="preserve">riorities. </w:t>
      </w:r>
      <w:r w:rsidR="005A6FF7">
        <w:rPr>
          <w:rFonts w:ascii="Century Gothic" w:hAnsi="Century Gothic"/>
          <w:color w:val="auto"/>
        </w:rPr>
        <w:t>All environmental watering must be undertaken having regard to the</w:t>
      </w:r>
      <w:r w:rsidR="00EA094C">
        <w:rPr>
          <w:rFonts w:ascii="Century Gothic" w:hAnsi="Century Gothic"/>
          <w:color w:val="auto"/>
        </w:rPr>
        <w:t>se</w:t>
      </w:r>
      <w:r w:rsidR="005A6FF7">
        <w:rPr>
          <w:rFonts w:ascii="Century Gothic" w:hAnsi="Century Gothic"/>
          <w:color w:val="auto"/>
        </w:rPr>
        <w:t xml:space="preserve"> priorities.</w:t>
      </w:r>
      <w:r w:rsidR="00EA094C">
        <w:rPr>
          <w:rFonts w:ascii="Century Gothic" w:hAnsi="Century Gothic"/>
          <w:color w:val="auto"/>
        </w:rPr>
        <w:t xml:space="preserve"> </w:t>
      </w:r>
      <w:r w:rsidR="00273B89">
        <w:rPr>
          <w:rFonts w:ascii="Century Gothic" w:hAnsi="Century Gothic"/>
          <w:color w:val="auto"/>
        </w:rPr>
        <w:t>The</w:t>
      </w:r>
      <w:r w:rsidR="00EA094C">
        <w:rPr>
          <w:rFonts w:ascii="Century Gothic" w:hAnsi="Century Gothic"/>
          <w:color w:val="auto"/>
        </w:rPr>
        <w:t>y</w:t>
      </w:r>
      <w:r w:rsidR="00273B89">
        <w:rPr>
          <w:rFonts w:ascii="Century Gothic" w:hAnsi="Century Gothic"/>
          <w:color w:val="auto"/>
        </w:rPr>
        <w:t xml:space="preserve"> are developed having regard to the annual environmental watering priorities developed by Basin States for each catchment.</w:t>
      </w:r>
    </w:p>
    <w:p w14:paraId="6C6501B1" w14:textId="07ACAA76" w:rsidR="00B17604" w:rsidRDefault="00273B89" w:rsidP="00EA094C">
      <w:pPr>
        <w:pStyle w:val="Para0"/>
        <w:spacing w:after="120" w:line="240" w:lineRule="auto"/>
        <w:jc w:val="left"/>
        <w:rPr>
          <w:rFonts w:ascii="Century Gothic" w:hAnsi="Century Gothic"/>
          <w:color w:val="auto"/>
        </w:rPr>
      </w:pPr>
      <w:r w:rsidRPr="00721ECC">
        <w:rPr>
          <w:rFonts w:ascii="Century Gothic" w:hAnsi="Century Gothic"/>
          <w:color w:val="auto"/>
        </w:rPr>
        <w:t xml:space="preserve">The Basin annual environmental watering priorities are </w:t>
      </w:r>
      <w:r w:rsidR="005D7AAE">
        <w:rPr>
          <w:rFonts w:ascii="Century Gothic" w:hAnsi="Century Gothic"/>
          <w:color w:val="auto"/>
        </w:rPr>
        <w:t xml:space="preserve">available from: </w:t>
      </w:r>
      <w:hyperlink r:id="rId22" w:history="1">
        <w:r w:rsidR="005D7AAE" w:rsidRPr="00AE2FE6">
          <w:rPr>
            <w:rStyle w:val="Hyperlink"/>
            <w:rFonts w:ascii="Century Gothic" w:hAnsi="Century Gothic"/>
          </w:rPr>
          <w:t>http://www.mdba.gov.au/managing-water/environmental-water/basin-annual-environmental-watering-priorities</w:t>
        </w:r>
      </w:hyperlink>
      <w:r w:rsidR="00326B4E" w:rsidRPr="000E3C60">
        <w:rPr>
          <w:rFonts w:ascii="Century Gothic" w:hAnsi="Century Gothic"/>
          <w:color w:val="auto"/>
        </w:rPr>
        <w:t>.</w:t>
      </w:r>
      <w:r w:rsidR="005D7AAE">
        <w:rPr>
          <w:rFonts w:ascii="Century Gothic" w:hAnsi="Century Gothic"/>
          <w:color w:val="auto"/>
        </w:rPr>
        <w:t xml:space="preserve"> </w:t>
      </w:r>
    </w:p>
    <w:p w14:paraId="6C6501B2" w14:textId="77777777" w:rsidR="00B17604" w:rsidRDefault="00273B89">
      <w:pPr>
        <w:pStyle w:val="Para0"/>
        <w:spacing w:after="120" w:line="240" w:lineRule="auto"/>
        <w:rPr>
          <w:rFonts w:ascii="Century Gothic" w:hAnsi="Century Gothic"/>
          <w:color w:val="auto"/>
        </w:rPr>
      </w:pPr>
      <w:r w:rsidRPr="00721ECC">
        <w:rPr>
          <w:rFonts w:ascii="Century Gothic" w:hAnsi="Century Gothic"/>
          <w:color w:val="auto"/>
        </w:rPr>
        <w:t>Commonwealth environmental water</w:t>
      </w:r>
      <w:r w:rsidR="009D0B87" w:rsidRPr="00721ECC">
        <w:rPr>
          <w:rFonts w:ascii="Century Gothic" w:hAnsi="Century Gothic"/>
          <w:color w:val="auto"/>
        </w:rPr>
        <w:t>ing actions</w:t>
      </w:r>
      <w:r w:rsidRPr="00721ECC">
        <w:rPr>
          <w:rFonts w:ascii="Century Gothic" w:hAnsi="Century Gothic"/>
          <w:color w:val="auto"/>
        </w:rPr>
        <w:t xml:space="preserve"> will seek to contribute to the Basin annual environmental watering priorities, subject to conditions as they unfold throughout the year.</w:t>
      </w:r>
      <w:r w:rsidRPr="00BE31EB">
        <w:rPr>
          <w:rFonts w:ascii="Century Gothic" w:hAnsi="Century Gothic"/>
          <w:color w:val="auto"/>
        </w:rPr>
        <w:t xml:space="preserve"> </w:t>
      </w:r>
    </w:p>
    <w:p w14:paraId="6C6501B3" w14:textId="77777777" w:rsidR="007A7A94" w:rsidRDefault="00BF791F">
      <w:pPr>
        <w:spacing w:after="120"/>
        <w:jc w:val="left"/>
        <w:rPr>
          <w:b/>
          <w:color w:val="5F497A" w:themeColor="accent4" w:themeShade="BF"/>
          <w:sz w:val="40"/>
          <w:szCs w:val="40"/>
          <w:lang w:val="en-GB" w:eastAsia="en-US"/>
        </w:rPr>
      </w:pPr>
      <w:bookmarkStart w:id="150" w:name="_Toc396916458"/>
      <w:bookmarkStart w:id="151" w:name="_Toc414367241"/>
      <w:bookmarkStart w:id="152" w:name="_Toc418060472"/>
      <w:bookmarkEnd w:id="149"/>
      <w:r>
        <w:br w:type="page"/>
      </w:r>
    </w:p>
    <w:p w14:paraId="6C6501B4" w14:textId="77777777" w:rsidR="007A7A94" w:rsidRDefault="00E05589">
      <w:pPr>
        <w:pStyle w:val="Heading11"/>
        <w:spacing w:before="0" w:after="120"/>
      </w:pPr>
      <w:bookmarkStart w:id="153" w:name="_Toc517264655"/>
      <w:r>
        <w:lastRenderedPageBreak/>
        <w:t>How much water is available to manage?</w:t>
      </w:r>
      <w:bookmarkEnd w:id="153"/>
    </w:p>
    <w:p w14:paraId="6C6501B5" w14:textId="77777777" w:rsidR="007A7A94" w:rsidRDefault="000E3C60">
      <w:pPr>
        <w:pStyle w:val="Heading11"/>
        <w:numPr>
          <w:ilvl w:val="2"/>
          <w:numId w:val="66"/>
        </w:numPr>
        <w:spacing w:before="0" w:after="120"/>
        <w:ind w:left="1418" w:hanging="704"/>
        <w:rPr>
          <w:rFonts w:cs="Arial"/>
        </w:rPr>
      </w:pPr>
      <w:bookmarkStart w:id="154" w:name="_Toc517264656"/>
      <w:r w:rsidRPr="000E3C60">
        <w:rPr>
          <w:rFonts w:ascii="Century Gothic" w:hAnsi="Century Gothic" w:cs="Arial"/>
          <w:sz w:val="24"/>
          <w:szCs w:val="24"/>
        </w:rPr>
        <w:t>Commonwealth environmental water holdings</w:t>
      </w:r>
      <w:bookmarkEnd w:id="154"/>
    </w:p>
    <w:p w14:paraId="6C6501B6" w14:textId="7D9422EE" w:rsidR="00301EE6" w:rsidRDefault="00366E0B" w:rsidP="00301EE6">
      <w:pPr>
        <w:pStyle w:val="PlainText"/>
        <w:spacing w:after="120" w:line="276" w:lineRule="auto"/>
        <w:jc w:val="both"/>
        <w:rPr>
          <w:rFonts w:ascii="Century Gothic" w:hAnsi="Century Gothic" w:cs="Arial"/>
          <w:sz w:val="20"/>
          <w:szCs w:val="22"/>
        </w:rPr>
      </w:pPr>
      <w:r>
        <w:rPr>
          <w:rFonts w:ascii="Century Gothic" w:hAnsi="Century Gothic" w:cs="Arial"/>
          <w:sz w:val="20"/>
          <w:szCs w:val="22"/>
        </w:rPr>
        <w:t xml:space="preserve">For the latest information on the </w:t>
      </w:r>
      <w:r w:rsidR="00301EE6" w:rsidRPr="00366E0B">
        <w:rPr>
          <w:rFonts w:ascii="Century Gothic" w:hAnsi="Century Gothic" w:cs="Arial"/>
          <w:sz w:val="20"/>
          <w:szCs w:val="22"/>
        </w:rPr>
        <w:t>total volume of Commonwealth environmental water holdings</w:t>
      </w:r>
      <w:r>
        <w:rPr>
          <w:rFonts w:ascii="Century Gothic" w:hAnsi="Century Gothic" w:cs="Arial"/>
          <w:sz w:val="20"/>
          <w:szCs w:val="22"/>
        </w:rPr>
        <w:t xml:space="preserve">, see </w:t>
      </w:r>
      <w:hyperlink r:id="rId23" w:history="1">
        <w:r w:rsidRPr="004C3F34">
          <w:rPr>
            <w:rStyle w:val="Hyperlink"/>
            <w:rFonts w:ascii="Century Gothic" w:hAnsi="Century Gothic" w:cs="Arial"/>
            <w:sz w:val="20"/>
            <w:szCs w:val="22"/>
          </w:rPr>
          <w:t>www.environment.gov.au/water/cewo/about/water-holdings</w:t>
        </w:r>
      </w:hyperlink>
      <w:r w:rsidR="00326B4E" w:rsidRPr="000E3C60">
        <w:rPr>
          <w:rFonts w:ascii="Century Gothic" w:hAnsi="Century Gothic"/>
        </w:rPr>
        <w:t>.</w:t>
      </w:r>
    </w:p>
    <w:p w14:paraId="6C6501B7" w14:textId="77777777" w:rsidR="00B17604" w:rsidRDefault="00301EE6">
      <w:pPr>
        <w:pStyle w:val="NormalWeb"/>
        <w:spacing w:after="120"/>
        <w:jc w:val="both"/>
        <w:rPr>
          <w:rFonts w:ascii="Century Gothic" w:hAnsi="Century Gothic"/>
          <w:sz w:val="20"/>
          <w:szCs w:val="20"/>
        </w:rPr>
      </w:pPr>
      <w:r>
        <w:rPr>
          <w:rFonts w:ascii="Century Gothic" w:hAnsi="Century Gothic"/>
          <w:sz w:val="20"/>
          <w:szCs w:val="20"/>
        </w:rPr>
        <w:t>T</w:t>
      </w:r>
      <w:r w:rsidR="005A6FF7" w:rsidRPr="008450E5">
        <w:rPr>
          <w:rFonts w:ascii="Century Gothic" w:hAnsi="Century Gothic"/>
          <w:sz w:val="20"/>
          <w:szCs w:val="20"/>
        </w:rPr>
        <w:t>he holdings</w:t>
      </w:r>
      <w:r w:rsidR="005A6FF7" w:rsidRPr="005A6FF7">
        <w:rPr>
          <w:rFonts w:ascii="Century Gothic" w:hAnsi="Century Gothic"/>
          <w:sz w:val="20"/>
          <w:szCs w:val="20"/>
        </w:rPr>
        <w:t xml:space="preserve"> will continue </w:t>
      </w:r>
      <w:r w:rsidR="00070356">
        <w:rPr>
          <w:rFonts w:ascii="Century Gothic" w:hAnsi="Century Gothic"/>
          <w:sz w:val="20"/>
          <w:szCs w:val="20"/>
        </w:rPr>
        <w:t xml:space="preserve">to </w:t>
      </w:r>
      <w:r w:rsidR="005A6FF7" w:rsidRPr="005A6FF7">
        <w:rPr>
          <w:rFonts w:ascii="Century Gothic" w:hAnsi="Century Gothic"/>
          <w:sz w:val="20"/>
          <w:szCs w:val="20"/>
        </w:rPr>
        <w:t>grow</w:t>
      </w:r>
      <w:r w:rsidR="00D170BC">
        <w:rPr>
          <w:rFonts w:ascii="Century Gothic" w:hAnsi="Century Gothic"/>
          <w:sz w:val="20"/>
          <w:szCs w:val="20"/>
        </w:rPr>
        <w:t>, with</w:t>
      </w:r>
      <w:r w:rsidR="005A6FF7" w:rsidRPr="005A6FF7">
        <w:rPr>
          <w:rFonts w:ascii="Century Gothic" w:hAnsi="Century Gothic"/>
          <w:sz w:val="20"/>
          <w:szCs w:val="20"/>
        </w:rPr>
        <w:t xml:space="preserve"> </w:t>
      </w:r>
      <w:r w:rsidR="00D170BC">
        <w:rPr>
          <w:rFonts w:ascii="Century Gothic" w:hAnsi="Century Gothic"/>
          <w:sz w:val="20"/>
          <w:szCs w:val="20"/>
        </w:rPr>
        <w:t>t</w:t>
      </w:r>
      <w:r w:rsidR="005A6FF7" w:rsidRPr="005A6FF7">
        <w:rPr>
          <w:rFonts w:ascii="Century Gothic" w:hAnsi="Century Gothic"/>
          <w:sz w:val="20"/>
          <w:szCs w:val="20"/>
        </w:rPr>
        <w:t xml:space="preserve">he final volume of the holdings </w:t>
      </w:r>
      <w:r w:rsidR="00D170BC">
        <w:rPr>
          <w:rFonts w:ascii="Century Gothic" w:hAnsi="Century Gothic"/>
          <w:sz w:val="20"/>
          <w:szCs w:val="20"/>
        </w:rPr>
        <w:t>dependent on the implementation of the Basin Plan’s sustainable diversion limit adjustment mechanism</w:t>
      </w:r>
      <w:r w:rsidR="006A4130">
        <w:rPr>
          <w:rFonts w:ascii="Century Gothic" w:hAnsi="Century Gothic"/>
          <w:sz w:val="20"/>
          <w:szCs w:val="20"/>
        </w:rPr>
        <w:t xml:space="preserve"> and the outcomes of the Northern Basin Review</w:t>
      </w:r>
      <w:r w:rsidR="00D170BC">
        <w:rPr>
          <w:rFonts w:ascii="Century Gothic" w:hAnsi="Century Gothic"/>
          <w:sz w:val="20"/>
          <w:szCs w:val="20"/>
        </w:rPr>
        <w:t>.</w:t>
      </w:r>
      <w:r w:rsidR="005A6FF7" w:rsidRPr="005A6FF7">
        <w:rPr>
          <w:rFonts w:ascii="Century Gothic" w:hAnsi="Century Gothic"/>
          <w:sz w:val="20"/>
          <w:szCs w:val="20"/>
        </w:rPr>
        <w:t xml:space="preserve"> </w:t>
      </w:r>
    </w:p>
    <w:p w14:paraId="6C6501B8" w14:textId="556A000A" w:rsidR="00B17604" w:rsidRDefault="00AF045C">
      <w:pPr>
        <w:pStyle w:val="NormalWeb"/>
        <w:spacing w:after="120"/>
        <w:jc w:val="both"/>
        <w:rPr>
          <w:rFonts w:ascii="Century Gothic" w:hAnsi="Century Gothic"/>
          <w:sz w:val="20"/>
          <w:szCs w:val="20"/>
        </w:rPr>
      </w:pPr>
      <w:r>
        <w:rPr>
          <w:rFonts w:ascii="Century Gothic" w:hAnsi="Century Gothic"/>
          <w:sz w:val="20"/>
          <w:szCs w:val="20"/>
        </w:rPr>
        <w:t xml:space="preserve">The volume of Commonwealth environmental water available will include both carryover from the </w:t>
      </w:r>
      <w:r w:rsidR="00ED373C">
        <w:rPr>
          <w:rFonts w:ascii="Century Gothic" w:hAnsi="Century Gothic"/>
          <w:sz w:val="20"/>
          <w:szCs w:val="20"/>
        </w:rPr>
        <w:t>previous</w:t>
      </w:r>
      <w:r>
        <w:rPr>
          <w:rFonts w:ascii="Century Gothic" w:hAnsi="Century Gothic"/>
          <w:sz w:val="20"/>
          <w:szCs w:val="20"/>
        </w:rPr>
        <w:t xml:space="preserve"> water year and new allocations. Allocations against Commonwealth water entitlements are determined by state government and will vary depending on inflows. For the latest information on the volumes of Commonwealth environmental water carryover and allocations, see</w:t>
      </w:r>
      <w:r w:rsidR="00BA4334">
        <w:rPr>
          <w:rFonts w:ascii="Century Gothic" w:hAnsi="Century Gothic"/>
          <w:sz w:val="20"/>
          <w:szCs w:val="20"/>
        </w:rPr>
        <w:t xml:space="preserve"> </w:t>
      </w:r>
      <w:hyperlink r:id="rId24" w:history="1">
        <w:r w:rsidR="00BA4334" w:rsidRPr="00AA3515">
          <w:rPr>
            <w:rStyle w:val="Hyperlink"/>
            <w:rFonts w:ascii="Century Gothic" w:hAnsi="Century Gothic"/>
            <w:sz w:val="20"/>
            <w:szCs w:val="20"/>
          </w:rPr>
          <w:t>www.environment.gov.au/water/cewo</w:t>
        </w:r>
      </w:hyperlink>
      <w:r>
        <w:rPr>
          <w:rFonts w:ascii="Century Gothic" w:hAnsi="Century Gothic"/>
          <w:sz w:val="20"/>
          <w:szCs w:val="20"/>
        </w:rPr>
        <w:t xml:space="preserve">. </w:t>
      </w:r>
    </w:p>
    <w:p w14:paraId="6C6501B9" w14:textId="77777777" w:rsidR="007A7A94" w:rsidRDefault="000E3C60">
      <w:pPr>
        <w:pStyle w:val="Heading11"/>
        <w:numPr>
          <w:ilvl w:val="2"/>
          <w:numId w:val="66"/>
        </w:numPr>
        <w:spacing w:before="0" w:after="120"/>
        <w:ind w:left="1418" w:hanging="704"/>
        <w:rPr>
          <w:rFonts w:cs="Arial"/>
        </w:rPr>
      </w:pPr>
      <w:bookmarkStart w:id="155" w:name="_Toc451182626"/>
      <w:bookmarkStart w:id="156" w:name="_Toc517264657"/>
      <w:bookmarkEnd w:id="155"/>
      <w:r w:rsidRPr="000E3C60">
        <w:rPr>
          <w:rFonts w:ascii="Century Gothic" w:hAnsi="Century Gothic" w:cs="Arial"/>
          <w:sz w:val="24"/>
          <w:szCs w:val="24"/>
        </w:rPr>
        <w:t>Complementary water resources</w:t>
      </w:r>
      <w:bookmarkEnd w:id="156"/>
    </w:p>
    <w:p w14:paraId="6C6501BA" w14:textId="77777777" w:rsidR="00B17604" w:rsidRDefault="00D170BC">
      <w:pPr>
        <w:pStyle w:val="NormalWeb"/>
        <w:spacing w:after="120"/>
        <w:jc w:val="both"/>
        <w:rPr>
          <w:rFonts w:ascii="Century Gothic" w:hAnsi="Century Gothic"/>
          <w:sz w:val="20"/>
          <w:szCs w:val="20"/>
        </w:rPr>
      </w:pPr>
      <w:r w:rsidRPr="00D170BC">
        <w:rPr>
          <w:rFonts w:ascii="Century Gothic" w:hAnsi="Century Gothic"/>
          <w:sz w:val="20"/>
          <w:szCs w:val="20"/>
        </w:rPr>
        <w:t>Commonwealth environmental water is not managed in isolation. When considering the available resource</w:t>
      </w:r>
      <w:r>
        <w:rPr>
          <w:rFonts w:ascii="Century Gothic" w:hAnsi="Century Gothic"/>
          <w:sz w:val="20"/>
          <w:szCs w:val="20"/>
        </w:rPr>
        <w:t xml:space="preserve"> to meet environmental demands</w:t>
      </w:r>
      <w:r w:rsidRPr="00D170BC">
        <w:rPr>
          <w:rFonts w:ascii="Century Gothic" w:hAnsi="Century Gothic"/>
          <w:sz w:val="20"/>
          <w:szCs w:val="20"/>
        </w:rPr>
        <w:t xml:space="preserve">, it is necessary to also factor in the resources managed by other entities that is available </w:t>
      </w:r>
      <w:r>
        <w:rPr>
          <w:rFonts w:ascii="Century Gothic" w:hAnsi="Century Gothic"/>
          <w:sz w:val="20"/>
          <w:szCs w:val="20"/>
        </w:rPr>
        <w:t>to contribute to environmental outcomes</w:t>
      </w:r>
      <w:r w:rsidRPr="00D170BC">
        <w:rPr>
          <w:rFonts w:ascii="Century Gothic" w:hAnsi="Century Gothic"/>
          <w:sz w:val="20"/>
          <w:szCs w:val="20"/>
        </w:rPr>
        <w:t>.</w:t>
      </w:r>
      <w:r>
        <w:rPr>
          <w:rFonts w:ascii="Century Gothic" w:hAnsi="Century Gothic"/>
          <w:sz w:val="20"/>
          <w:szCs w:val="20"/>
        </w:rPr>
        <w:t xml:space="preserve"> </w:t>
      </w:r>
      <w:r w:rsidRPr="00D170BC">
        <w:rPr>
          <w:rFonts w:ascii="Century Gothic" w:hAnsi="Century Gothic"/>
          <w:sz w:val="20"/>
          <w:szCs w:val="20"/>
        </w:rPr>
        <w:t>Relevant resources include held environmental water, planned environmental water, conveyance water and consumptive water.</w:t>
      </w:r>
      <w:r w:rsidR="00033AD2">
        <w:rPr>
          <w:rFonts w:ascii="Century Gothic" w:hAnsi="Century Gothic"/>
          <w:sz w:val="20"/>
          <w:szCs w:val="20"/>
        </w:rPr>
        <w:t xml:space="preserve"> </w:t>
      </w:r>
      <w:r w:rsidR="002A65CE">
        <w:rPr>
          <w:rFonts w:ascii="Century Gothic" w:hAnsi="Century Gothic"/>
          <w:sz w:val="20"/>
          <w:szCs w:val="20"/>
        </w:rPr>
        <w:t>For this reason, portfolio management planning is undertaken in conjunction with other environmental water holders and river operators.</w:t>
      </w:r>
    </w:p>
    <w:p w14:paraId="6C6501BB" w14:textId="77777777" w:rsidR="007A7A94" w:rsidRDefault="00E05589">
      <w:pPr>
        <w:pStyle w:val="Heading11"/>
        <w:spacing w:before="0" w:after="120"/>
        <w:ind w:left="851" w:hanging="851"/>
      </w:pPr>
      <w:bookmarkStart w:id="157" w:name="_Toc517264658"/>
      <w:r>
        <w:t>How do we plan?</w:t>
      </w:r>
      <w:bookmarkEnd w:id="157"/>
    </w:p>
    <w:p w14:paraId="6C6501BC" w14:textId="77777777" w:rsidR="00B17604" w:rsidRDefault="000E3C60">
      <w:pPr>
        <w:pStyle w:val="NormalWeb"/>
        <w:spacing w:after="120"/>
        <w:jc w:val="both"/>
        <w:rPr>
          <w:rFonts w:ascii="Century Gothic" w:hAnsi="Century Gothic"/>
          <w:sz w:val="20"/>
          <w:szCs w:val="20"/>
        </w:rPr>
      </w:pPr>
      <w:r w:rsidRPr="000E3C60">
        <w:rPr>
          <w:rFonts w:ascii="Century Gothic" w:hAnsi="Century Gothic"/>
          <w:sz w:val="20"/>
          <w:szCs w:val="20"/>
        </w:rPr>
        <w:t xml:space="preserve">Commonwealth environmental water planning is primarily driven by supply—how much water is available—and demand—what are the environment’s needs. </w:t>
      </w:r>
      <w:r w:rsidR="00AE2FA6">
        <w:rPr>
          <w:rFonts w:ascii="Century Gothic" w:hAnsi="Century Gothic"/>
          <w:sz w:val="20"/>
          <w:szCs w:val="20"/>
        </w:rPr>
        <w:t xml:space="preserve">Supply and demand </w:t>
      </w:r>
      <w:r w:rsidR="00AE2FA6" w:rsidRPr="004E14E2">
        <w:rPr>
          <w:rFonts w:ascii="Century Gothic" w:hAnsi="Century Gothic"/>
          <w:sz w:val="20"/>
          <w:szCs w:val="20"/>
        </w:rPr>
        <w:t>can vary significantly across years and across catchments.</w:t>
      </w:r>
      <w:r w:rsidR="00AE2FA6">
        <w:rPr>
          <w:rFonts w:ascii="Century Gothic" w:hAnsi="Century Gothic"/>
          <w:sz w:val="20"/>
          <w:szCs w:val="20"/>
        </w:rPr>
        <w:t xml:space="preserve"> </w:t>
      </w:r>
    </w:p>
    <w:p w14:paraId="6C6501BD" w14:textId="77777777" w:rsidR="00B17604" w:rsidRDefault="000E3C60">
      <w:pPr>
        <w:pStyle w:val="NormalWeb"/>
        <w:spacing w:after="120"/>
        <w:jc w:val="both"/>
        <w:rPr>
          <w:rFonts w:ascii="Century Gothic" w:hAnsi="Century Gothic"/>
          <w:sz w:val="20"/>
          <w:szCs w:val="20"/>
        </w:rPr>
      </w:pPr>
      <w:r w:rsidRPr="000E3C60">
        <w:rPr>
          <w:rFonts w:ascii="Century Gothic" w:hAnsi="Century Gothic"/>
          <w:sz w:val="20"/>
          <w:szCs w:val="20"/>
        </w:rPr>
        <w:t xml:space="preserve">Environmental water demands </w:t>
      </w:r>
      <w:r w:rsidR="00AE2FA6">
        <w:rPr>
          <w:rFonts w:ascii="Century Gothic" w:hAnsi="Century Gothic"/>
          <w:sz w:val="20"/>
          <w:szCs w:val="20"/>
        </w:rPr>
        <w:t xml:space="preserve">are influenced by previous rainfall and flows, and by the condition of the </w:t>
      </w:r>
      <w:r w:rsidR="00CD7762">
        <w:rPr>
          <w:rFonts w:ascii="Century Gothic" w:hAnsi="Century Gothic"/>
          <w:sz w:val="20"/>
          <w:szCs w:val="20"/>
        </w:rPr>
        <w:t>targeted environmental assets</w:t>
      </w:r>
      <w:r w:rsidR="00AE2FA6">
        <w:rPr>
          <w:rFonts w:ascii="Century Gothic" w:hAnsi="Century Gothic"/>
          <w:sz w:val="20"/>
          <w:szCs w:val="20"/>
        </w:rPr>
        <w:t xml:space="preserve">. </w:t>
      </w:r>
      <w:r w:rsidR="00CD7762">
        <w:rPr>
          <w:rFonts w:ascii="Century Gothic" w:hAnsi="Century Gothic"/>
          <w:sz w:val="20"/>
          <w:szCs w:val="20"/>
        </w:rPr>
        <w:t>For example, under dry</w:t>
      </w:r>
      <w:r w:rsidRPr="000E3C60">
        <w:rPr>
          <w:rFonts w:ascii="Century Gothic" w:hAnsi="Century Gothic"/>
          <w:sz w:val="20"/>
          <w:szCs w:val="20"/>
        </w:rPr>
        <w:t xml:space="preserve"> conditions, </w:t>
      </w:r>
      <w:r w:rsidR="00CD7762">
        <w:rPr>
          <w:rFonts w:ascii="Century Gothic" w:hAnsi="Century Gothic"/>
          <w:sz w:val="20"/>
          <w:szCs w:val="20"/>
        </w:rPr>
        <w:t>f</w:t>
      </w:r>
      <w:r w:rsidRPr="000E3C60">
        <w:rPr>
          <w:rFonts w:ascii="Century Gothic" w:hAnsi="Century Gothic"/>
          <w:sz w:val="20"/>
          <w:szCs w:val="20"/>
        </w:rPr>
        <w:t xml:space="preserve">loodplain areas that have received water over the past couple of years and are in good condition may require a drying period—in this case, their demands are low. </w:t>
      </w:r>
      <w:r w:rsidR="00CD7762">
        <w:rPr>
          <w:rFonts w:ascii="Century Gothic" w:hAnsi="Century Gothic"/>
          <w:sz w:val="20"/>
          <w:szCs w:val="20"/>
        </w:rPr>
        <w:t>In contrast, some</w:t>
      </w:r>
      <w:r w:rsidRPr="000E3C60">
        <w:rPr>
          <w:rFonts w:ascii="Century Gothic" w:hAnsi="Century Gothic"/>
          <w:sz w:val="20"/>
          <w:szCs w:val="20"/>
        </w:rPr>
        <w:t xml:space="preserve"> </w:t>
      </w:r>
      <w:r w:rsidR="00CD7762">
        <w:rPr>
          <w:rFonts w:ascii="Century Gothic" w:hAnsi="Century Gothic"/>
          <w:sz w:val="20"/>
          <w:szCs w:val="20"/>
        </w:rPr>
        <w:t>low-lying</w:t>
      </w:r>
      <w:r w:rsidRPr="000E3C60">
        <w:rPr>
          <w:rFonts w:ascii="Century Gothic" w:hAnsi="Century Gothic"/>
          <w:sz w:val="20"/>
          <w:szCs w:val="20"/>
        </w:rPr>
        <w:t xml:space="preserve"> wetlands and rivers would have naturally received water in all but the very driest of years</w:t>
      </w:r>
      <w:r w:rsidR="00CD7762">
        <w:rPr>
          <w:rFonts w:ascii="Century Gothic" w:hAnsi="Century Gothic"/>
          <w:sz w:val="20"/>
          <w:szCs w:val="20"/>
        </w:rPr>
        <w:t xml:space="preserve"> and</w:t>
      </w:r>
      <w:r w:rsidRPr="000E3C60">
        <w:rPr>
          <w:rFonts w:ascii="Century Gothic" w:hAnsi="Century Gothic"/>
          <w:sz w:val="20"/>
          <w:szCs w:val="20"/>
        </w:rPr>
        <w:t xml:space="preserve"> will continue to have high water demands. </w:t>
      </w:r>
      <w:r w:rsidR="00CD7762">
        <w:rPr>
          <w:rFonts w:ascii="Century Gothic" w:hAnsi="Century Gothic"/>
          <w:sz w:val="20"/>
          <w:szCs w:val="20"/>
        </w:rPr>
        <w:t xml:space="preserve">There </w:t>
      </w:r>
      <w:r w:rsidR="00CD7762" w:rsidRPr="00CD7762">
        <w:rPr>
          <w:rFonts w:ascii="Century Gothic" w:hAnsi="Century Gothic"/>
          <w:sz w:val="20"/>
          <w:szCs w:val="20"/>
        </w:rPr>
        <w:t xml:space="preserve">may </w:t>
      </w:r>
      <w:r w:rsidR="00CD7762">
        <w:rPr>
          <w:rFonts w:ascii="Century Gothic" w:hAnsi="Century Gothic"/>
          <w:sz w:val="20"/>
          <w:szCs w:val="20"/>
        </w:rPr>
        <w:t xml:space="preserve">also be </w:t>
      </w:r>
      <w:r w:rsidR="00CD7762" w:rsidRPr="00CD7762">
        <w:rPr>
          <w:rFonts w:ascii="Century Gothic" w:hAnsi="Century Gothic"/>
          <w:sz w:val="20"/>
          <w:szCs w:val="20"/>
        </w:rPr>
        <w:t>wetlands in poor ecological health and the ‘normal’ wetting-drying cycle may have to be manipulated to assist in restoration and recovery (that is, provide flows to assets at a higher frequency to restore health, than what would be required to simply maintain health).</w:t>
      </w:r>
    </w:p>
    <w:p w14:paraId="6C6501BE" w14:textId="77777777" w:rsidR="00B17604" w:rsidRDefault="000E3C60">
      <w:pPr>
        <w:pStyle w:val="NormalWeb"/>
        <w:spacing w:after="120"/>
        <w:jc w:val="both"/>
        <w:rPr>
          <w:rFonts w:ascii="Century Gothic" w:hAnsi="Century Gothic"/>
          <w:sz w:val="20"/>
          <w:szCs w:val="20"/>
        </w:rPr>
      </w:pPr>
      <w:r w:rsidRPr="000E3C60">
        <w:rPr>
          <w:rFonts w:ascii="Century Gothic" w:hAnsi="Century Gothic"/>
          <w:sz w:val="20"/>
          <w:szCs w:val="20"/>
        </w:rPr>
        <w:t xml:space="preserve">Similarly, the water available to meet environmental demands changes in response to rainfall and inflows. </w:t>
      </w:r>
      <w:r w:rsidR="009F1837">
        <w:rPr>
          <w:rFonts w:ascii="Century Gothic" w:hAnsi="Century Gothic"/>
          <w:sz w:val="20"/>
          <w:szCs w:val="20"/>
        </w:rPr>
        <w:t>It</w:t>
      </w:r>
      <w:r w:rsidR="00916E7D">
        <w:rPr>
          <w:rFonts w:ascii="Century Gothic" w:hAnsi="Century Gothic"/>
          <w:sz w:val="20"/>
          <w:szCs w:val="20"/>
        </w:rPr>
        <w:t xml:space="preserve"> can also be influenced </w:t>
      </w:r>
      <w:r w:rsidR="00CA2AF4">
        <w:rPr>
          <w:rFonts w:ascii="Century Gothic" w:hAnsi="Century Gothic"/>
          <w:sz w:val="20"/>
          <w:szCs w:val="20"/>
        </w:rPr>
        <w:t>operational factors that may limit the ability to deliver water.</w:t>
      </w:r>
    </w:p>
    <w:p w14:paraId="6C6501BF" w14:textId="77777777" w:rsidR="00B17604" w:rsidRDefault="000E3C60" w:rsidP="00B54E77">
      <w:pPr>
        <w:pStyle w:val="NormalWeb"/>
        <w:spacing w:after="120"/>
        <w:jc w:val="both"/>
        <w:rPr>
          <w:rFonts w:ascii="Century Gothic" w:hAnsi="Century Gothic"/>
        </w:rPr>
      </w:pPr>
      <w:r w:rsidRPr="000E3C60">
        <w:rPr>
          <w:rFonts w:ascii="Century Gothic" w:hAnsi="Century Gothic"/>
          <w:sz w:val="20"/>
          <w:szCs w:val="20"/>
        </w:rPr>
        <w:t>The Commonwealth Environmental Water Portfolio Management Framework has been developed to support decisions on the best mix of water delivery, carryover and trade under different levels of supply and demand. By considering both supply and demand, the framework i</w:t>
      </w:r>
      <w:r w:rsidR="00CA2AF4">
        <w:rPr>
          <w:rFonts w:ascii="Century Gothic" w:hAnsi="Century Gothic"/>
          <w:sz w:val="20"/>
          <w:szCs w:val="20"/>
        </w:rPr>
        <w:t>dentifies</w:t>
      </w:r>
      <w:r w:rsidR="009F1837">
        <w:rPr>
          <w:rFonts w:ascii="Century Gothic" w:hAnsi="Century Gothic"/>
          <w:sz w:val="20"/>
          <w:szCs w:val="20"/>
        </w:rPr>
        <w:t xml:space="preserve"> four different</w:t>
      </w:r>
      <w:r w:rsidRPr="000E3C60">
        <w:rPr>
          <w:rFonts w:ascii="Century Gothic" w:hAnsi="Century Gothic"/>
          <w:sz w:val="20"/>
          <w:szCs w:val="20"/>
        </w:rPr>
        <w:t xml:space="preserve"> purpose</w:t>
      </w:r>
      <w:r w:rsidR="009F1837">
        <w:rPr>
          <w:rFonts w:ascii="Century Gothic" w:hAnsi="Century Gothic"/>
          <w:sz w:val="20"/>
          <w:szCs w:val="20"/>
        </w:rPr>
        <w:t>s</w:t>
      </w:r>
      <w:r w:rsidRPr="000E3C60">
        <w:rPr>
          <w:rFonts w:ascii="Century Gothic" w:hAnsi="Century Gothic"/>
          <w:sz w:val="20"/>
          <w:szCs w:val="20"/>
        </w:rPr>
        <w:t xml:space="preserve"> for managing the portfolio</w:t>
      </w:r>
      <w:r w:rsidR="008E7D2F">
        <w:rPr>
          <w:rFonts w:ascii="Century Gothic" w:hAnsi="Century Gothic"/>
          <w:sz w:val="20"/>
          <w:szCs w:val="20"/>
        </w:rPr>
        <w:t xml:space="preserve"> (Figure 1)</w:t>
      </w:r>
      <w:r w:rsidR="009F1837">
        <w:rPr>
          <w:rFonts w:ascii="Century Gothic" w:hAnsi="Century Gothic"/>
          <w:sz w:val="20"/>
          <w:szCs w:val="20"/>
        </w:rPr>
        <w:t xml:space="preserve"> </w:t>
      </w:r>
      <w:r w:rsidRPr="000E3C60">
        <w:rPr>
          <w:rFonts w:ascii="Century Gothic" w:hAnsi="Century Gothic"/>
          <w:sz w:val="20"/>
          <w:szCs w:val="20"/>
        </w:rPr>
        <w:t>and the outcomes that are in scope</w:t>
      </w:r>
      <w:r w:rsidR="009F1837">
        <w:rPr>
          <w:rFonts w:ascii="Century Gothic" w:hAnsi="Century Gothic"/>
          <w:sz w:val="20"/>
          <w:szCs w:val="20"/>
        </w:rPr>
        <w:t xml:space="preserve"> under each purpose (see </w:t>
      </w:r>
      <w:r w:rsidR="00B54E77">
        <w:rPr>
          <w:rFonts w:ascii="Century Gothic" w:hAnsi="Century Gothic"/>
          <w:sz w:val="20"/>
          <w:szCs w:val="20"/>
        </w:rPr>
        <w:t>Table 2).</w:t>
      </w:r>
    </w:p>
    <w:p w14:paraId="6C6501C0" w14:textId="77777777" w:rsidR="00B17604" w:rsidRDefault="009F1837">
      <w:pPr>
        <w:pStyle w:val="NormalWeb"/>
        <w:spacing w:after="120"/>
        <w:jc w:val="both"/>
        <w:rPr>
          <w:rFonts w:ascii="Century Gothic" w:hAnsi="Century Gothic"/>
        </w:rPr>
      </w:pPr>
      <w:r>
        <w:rPr>
          <w:rFonts w:ascii="Century Gothic" w:hAnsi="Century Gothic"/>
          <w:sz w:val="20"/>
          <w:szCs w:val="20"/>
        </w:rPr>
        <w:t xml:space="preserve">The framework then also identifies the broad mix portfolio management strategies under the different </w:t>
      </w:r>
      <w:r w:rsidRPr="00CA2AF4">
        <w:rPr>
          <w:rFonts w:ascii="Century Gothic" w:hAnsi="Century Gothic"/>
          <w:sz w:val="20"/>
          <w:szCs w:val="20"/>
        </w:rPr>
        <w:t>levels of supply and demand</w:t>
      </w:r>
      <w:r>
        <w:rPr>
          <w:rFonts w:ascii="Century Gothic" w:hAnsi="Century Gothic"/>
          <w:sz w:val="20"/>
          <w:szCs w:val="20"/>
        </w:rPr>
        <w:t xml:space="preserve"> (se</w:t>
      </w:r>
      <w:r w:rsidR="00B54E77">
        <w:rPr>
          <w:rFonts w:ascii="Century Gothic" w:hAnsi="Century Gothic"/>
          <w:sz w:val="20"/>
          <w:szCs w:val="20"/>
        </w:rPr>
        <w:t>e Figure 2).</w:t>
      </w:r>
    </w:p>
    <w:p w14:paraId="6C6501C1" w14:textId="408F393E" w:rsidR="007A7A94" w:rsidRDefault="007A7A94">
      <w:pPr>
        <w:spacing w:after="120"/>
        <w:rPr>
          <w:rFonts w:ascii="Century Gothic" w:hAnsi="Century Gothic"/>
        </w:rPr>
      </w:pPr>
    </w:p>
    <w:p w14:paraId="6C6501C2" w14:textId="77777777" w:rsidR="00E2042D" w:rsidRDefault="00E2042D" w:rsidP="006026F2">
      <w:pPr>
        <w:spacing w:after="120"/>
        <w:ind w:right="866"/>
        <w:jc w:val="left"/>
        <w:outlineLvl w:val="0"/>
        <w:rPr>
          <w:rFonts w:ascii="Century Gothic" w:hAnsi="Century Gothic"/>
        </w:rPr>
      </w:pPr>
    </w:p>
    <w:p w14:paraId="6C6501C3" w14:textId="77777777" w:rsidR="00E2042D" w:rsidRDefault="00E2042D" w:rsidP="006026F2">
      <w:pPr>
        <w:spacing w:after="120"/>
        <w:ind w:right="866"/>
        <w:jc w:val="left"/>
        <w:outlineLvl w:val="0"/>
        <w:rPr>
          <w:rFonts w:ascii="Century Gothic" w:hAnsi="Century Gothic"/>
        </w:rPr>
      </w:pPr>
    </w:p>
    <w:p w14:paraId="6C6501C4" w14:textId="77777777" w:rsidR="00E2042D" w:rsidRDefault="00E2042D" w:rsidP="006026F2">
      <w:pPr>
        <w:spacing w:after="120"/>
        <w:ind w:right="866"/>
        <w:jc w:val="left"/>
        <w:outlineLvl w:val="0"/>
        <w:rPr>
          <w:rFonts w:ascii="Century Gothic" w:hAnsi="Century Gothic"/>
        </w:rPr>
      </w:pPr>
    </w:p>
    <w:p w14:paraId="6C6501C5" w14:textId="77777777" w:rsidR="008B6031" w:rsidRDefault="008C5573" w:rsidP="008B6031">
      <w:pPr>
        <w:pStyle w:val="Caption"/>
        <w:jc w:val="left"/>
        <w:rPr>
          <w:rFonts w:ascii="Century Gothic" w:hAnsi="Century Gothic"/>
          <w:b w:val="0"/>
        </w:rPr>
      </w:pPr>
      <w:bookmarkStart w:id="158" w:name="_Ref445120998"/>
      <w:r>
        <w:rPr>
          <w:rFonts w:ascii="Century Gothic" w:hAnsi="Century Gothic"/>
          <w:b w:val="0"/>
          <w:bCs w:val="0"/>
          <w:noProof/>
        </w:rPr>
        <w:lastRenderedPageBreak/>
        <w:drawing>
          <wp:inline distT="0" distB="0" distL="0" distR="0" wp14:anchorId="6C65032E" wp14:editId="6C65032F">
            <wp:extent cx="5659720" cy="3867912"/>
            <wp:effectExtent l="19050" t="0" r="0" b="0"/>
            <wp:docPr id="2" name="Picture 6" descr="A photo matrix showing how the Commonwealth Environmental Water Office undertakes planning based on two key factors. The first is demand according to environmental conditions, while the second is water availability to meet environmental demands. This water may have a range of sources as Commonwealth environmental water is delivered in conjunction with natural flows, consumptive water and other sources of environmental water. By considering these factors together, the Office can determine an overall purpose, ranging from ‘avoiding damage’ (where environmental demands are high and resource availability is low), through protect and maintain the environment, to ‘improving’ ecological condition (where water availability is high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rix_table_V3.jpg"/>
                    <pic:cNvPicPr/>
                  </pic:nvPicPr>
                  <pic:blipFill>
                    <a:blip r:embed="rId25" cstate="print"/>
                    <a:stretch>
                      <a:fillRect/>
                    </a:stretch>
                  </pic:blipFill>
                  <pic:spPr>
                    <a:xfrm>
                      <a:off x="0" y="0"/>
                      <a:ext cx="5659720" cy="3867912"/>
                    </a:xfrm>
                    <a:prstGeom prst="rect">
                      <a:avLst/>
                    </a:prstGeom>
                  </pic:spPr>
                </pic:pic>
              </a:graphicData>
            </a:graphic>
          </wp:inline>
        </w:drawing>
      </w:r>
      <w:bookmarkStart w:id="159" w:name="_Ref445121286"/>
      <w:bookmarkEnd w:id="158"/>
      <w:r w:rsidR="008B6031" w:rsidRPr="008B0572">
        <w:rPr>
          <w:rFonts w:ascii="Century Gothic" w:hAnsi="Century Gothic"/>
        </w:rPr>
        <w:t xml:space="preserve">Figure </w:t>
      </w:r>
      <w:r w:rsidR="00D848C1" w:rsidRPr="008B0572">
        <w:rPr>
          <w:rFonts w:ascii="Century Gothic" w:hAnsi="Century Gothic"/>
        </w:rPr>
        <w:fldChar w:fldCharType="begin"/>
      </w:r>
      <w:r w:rsidR="008B6031" w:rsidRPr="008B0572">
        <w:rPr>
          <w:rFonts w:ascii="Century Gothic" w:hAnsi="Century Gothic"/>
        </w:rPr>
        <w:instrText xml:space="preserve"> SEQ Figure \* ARABIC </w:instrText>
      </w:r>
      <w:r w:rsidR="00D848C1" w:rsidRPr="008B0572">
        <w:rPr>
          <w:rFonts w:ascii="Century Gothic" w:hAnsi="Century Gothic"/>
        </w:rPr>
        <w:fldChar w:fldCharType="separate"/>
      </w:r>
      <w:r w:rsidR="00A6387E">
        <w:rPr>
          <w:rFonts w:ascii="Century Gothic" w:hAnsi="Century Gothic"/>
          <w:noProof/>
        </w:rPr>
        <w:t>1</w:t>
      </w:r>
      <w:r w:rsidR="00D848C1" w:rsidRPr="008B0572">
        <w:rPr>
          <w:rFonts w:ascii="Century Gothic" w:hAnsi="Century Gothic"/>
        </w:rPr>
        <w:fldChar w:fldCharType="end"/>
      </w:r>
      <w:r w:rsidR="008B6031" w:rsidRPr="008B0572">
        <w:rPr>
          <w:rFonts w:ascii="Century Gothic" w:hAnsi="Century Gothic"/>
          <w:b w:val="0"/>
          <w:bCs w:val="0"/>
        </w:rPr>
        <w:t>:</w:t>
      </w:r>
      <w:r w:rsidR="008B6031" w:rsidRPr="008B0572">
        <w:rPr>
          <w:rFonts w:ascii="Century Gothic" w:hAnsi="Century Gothic"/>
          <w:bCs w:val="0"/>
        </w:rPr>
        <w:t xml:space="preserve"> </w:t>
      </w:r>
      <w:r w:rsidR="008B6031" w:rsidRPr="008B0572">
        <w:rPr>
          <w:rFonts w:ascii="Century Gothic" w:hAnsi="Century Gothic"/>
          <w:b w:val="0"/>
        </w:rPr>
        <w:t>Environmental demand and water available influence the purpose of Commonwealth environmental water management</w:t>
      </w:r>
    </w:p>
    <w:p w14:paraId="6C6501C6" w14:textId="77777777" w:rsidR="00B17604" w:rsidRDefault="00B17604"/>
    <w:p w14:paraId="6C6501C7" w14:textId="77777777" w:rsidR="00B17604" w:rsidRDefault="00BF7C7E">
      <w:pPr>
        <w:pStyle w:val="Caption"/>
        <w:spacing w:before="360"/>
        <w:jc w:val="left"/>
        <w:rPr>
          <w:rFonts w:ascii="Century Gothic" w:hAnsi="Century Gothic"/>
        </w:rPr>
      </w:pPr>
      <w:r w:rsidRPr="00BF7C7E">
        <w:rPr>
          <w:rFonts w:ascii="Century Gothic" w:hAnsi="Century Gothic"/>
        </w:rPr>
        <w:t xml:space="preserve">Table </w:t>
      </w:r>
      <w:r w:rsidR="00D848C1" w:rsidRPr="00BF7C7E">
        <w:rPr>
          <w:rFonts w:ascii="Century Gothic" w:hAnsi="Century Gothic"/>
        </w:rPr>
        <w:fldChar w:fldCharType="begin"/>
      </w:r>
      <w:r w:rsidRPr="00BF7C7E">
        <w:rPr>
          <w:rFonts w:ascii="Century Gothic" w:hAnsi="Century Gothic"/>
        </w:rPr>
        <w:instrText xml:space="preserve"> SEQ Table \* ARABIC </w:instrText>
      </w:r>
      <w:r w:rsidR="00D848C1" w:rsidRPr="00BF7C7E">
        <w:rPr>
          <w:rFonts w:ascii="Century Gothic" w:hAnsi="Century Gothic"/>
        </w:rPr>
        <w:fldChar w:fldCharType="separate"/>
      </w:r>
      <w:r w:rsidR="00A6387E">
        <w:rPr>
          <w:rFonts w:ascii="Century Gothic" w:hAnsi="Century Gothic"/>
          <w:noProof/>
        </w:rPr>
        <w:t>2</w:t>
      </w:r>
      <w:r w:rsidR="00D848C1" w:rsidRPr="00BF7C7E">
        <w:rPr>
          <w:rFonts w:ascii="Century Gothic" w:hAnsi="Century Gothic"/>
        </w:rPr>
        <w:fldChar w:fldCharType="end"/>
      </w:r>
      <w:bookmarkEnd w:id="159"/>
      <w:r w:rsidR="008B0572" w:rsidRPr="00BF7C7E">
        <w:rPr>
          <w:rFonts w:ascii="Century Gothic" w:hAnsi="Century Gothic"/>
        </w:rPr>
        <w:t>:</w:t>
      </w:r>
      <w:r w:rsidR="008B0572" w:rsidRPr="00E078BB">
        <w:rPr>
          <w:rFonts w:ascii="Century Gothic" w:hAnsi="Century Gothic"/>
        </w:rPr>
        <w:t xml:space="preserve"> </w:t>
      </w:r>
      <w:r w:rsidR="004722FD">
        <w:rPr>
          <w:rFonts w:ascii="Century Gothic" w:hAnsi="Century Gothic"/>
          <w:b w:val="0"/>
        </w:rPr>
        <w:t xml:space="preserve">Environmental </w:t>
      </w:r>
      <w:r w:rsidR="008B0572" w:rsidRPr="00BF7C7E">
        <w:rPr>
          <w:rFonts w:ascii="Century Gothic" w:hAnsi="Century Gothic"/>
          <w:b w:val="0"/>
        </w:rPr>
        <w:t>outcomes</w:t>
      </w:r>
      <w:r w:rsidR="004722FD">
        <w:rPr>
          <w:rFonts w:ascii="Century Gothic" w:hAnsi="Century Gothic"/>
          <w:b w:val="0"/>
        </w:rPr>
        <w:t xml:space="preserve"> in scope under different ‘purposes’</w:t>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60"/>
        <w:gridCol w:w="2126"/>
        <w:gridCol w:w="2126"/>
        <w:gridCol w:w="2127"/>
        <w:gridCol w:w="2126"/>
      </w:tblGrid>
      <w:tr w:rsidR="00F75C5A" w:rsidRPr="004722FD" w14:paraId="6C6501D0" w14:textId="77777777" w:rsidTr="00BF7C7E">
        <w:tc>
          <w:tcPr>
            <w:tcW w:w="1560" w:type="dxa"/>
          </w:tcPr>
          <w:p w14:paraId="6C6501C8" w14:textId="77777777" w:rsidR="007A7A94" w:rsidRDefault="007A7A94">
            <w:pPr>
              <w:spacing w:after="120"/>
              <w:ind w:right="-108"/>
              <w:jc w:val="center"/>
              <w:rPr>
                <w:rFonts w:ascii="Century Gothic" w:hAnsi="Century Gothic"/>
                <w:b/>
                <w:color w:val="5F497A" w:themeColor="accent4" w:themeShade="BF"/>
                <w:sz w:val="16"/>
                <w:szCs w:val="16"/>
                <w:lang w:val="en-GB" w:eastAsia="en-US"/>
              </w:rPr>
            </w:pPr>
          </w:p>
        </w:tc>
        <w:tc>
          <w:tcPr>
            <w:tcW w:w="2126" w:type="dxa"/>
          </w:tcPr>
          <w:p w14:paraId="6C6501C9" w14:textId="77777777" w:rsidR="007A7A94" w:rsidRDefault="00F75C5A">
            <w:pPr>
              <w:pStyle w:val="ListNumber"/>
              <w:numPr>
                <w:ilvl w:val="0"/>
                <w:numId w:val="0"/>
              </w:numPr>
              <w:spacing w:after="120"/>
              <w:jc w:val="left"/>
              <w:rPr>
                <w:rFonts w:ascii="Century Gothic" w:hAnsi="Century Gothic" w:cs="Arial"/>
                <w:i/>
                <w:sz w:val="16"/>
                <w:szCs w:val="16"/>
              </w:rPr>
            </w:pPr>
            <w:r w:rsidRPr="004722FD">
              <w:rPr>
                <w:rFonts w:ascii="Century Gothic" w:hAnsi="Century Gothic"/>
                <w:b/>
                <w:color w:val="943634"/>
                <w:sz w:val="16"/>
                <w:szCs w:val="16"/>
              </w:rPr>
              <w:t>Avoid damage:</w:t>
            </w:r>
            <w:r w:rsidRPr="004722FD">
              <w:rPr>
                <w:rFonts w:ascii="Century Gothic" w:hAnsi="Century Gothic"/>
                <w:sz w:val="16"/>
                <w:szCs w:val="16"/>
              </w:rPr>
              <w:t xml:space="preserve"> Avoid damage to environmental assets</w:t>
            </w:r>
          </w:p>
          <w:p w14:paraId="6C6501CA" w14:textId="77777777" w:rsidR="007A7A94" w:rsidRDefault="007A7A94">
            <w:pPr>
              <w:spacing w:after="120"/>
              <w:jc w:val="left"/>
              <w:rPr>
                <w:rFonts w:ascii="Century Gothic" w:hAnsi="Century Gothic"/>
                <w:b/>
                <w:sz w:val="16"/>
                <w:szCs w:val="16"/>
              </w:rPr>
            </w:pPr>
          </w:p>
        </w:tc>
        <w:tc>
          <w:tcPr>
            <w:tcW w:w="2126" w:type="dxa"/>
          </w:tcPr>
          <w:p w14:paraId="6C6501CB" w14:textId="77777777" w:rsidR="007A7A94" w:rsidRDefault="00F75C5A">
            <w:pPr>
              <w:pStyle w:val="ListNumber"/>
              <w:numPr>
                <w:ilvl w:val="0"/>
                <w:numId w:val="0"/>
              </w:numPr>
              <w:spacing w:after="120"/>
              <w:jc w:val="left"/>
              <w:rPr>
                <w:rFonts w:ascii="Century Gothic" w:hAnsi="Century Gothic"/>
                <w:sz w:val="16"/>
                <w:szCs w:val="16"/>
              </w:rPr>
            </w:pPr>
            <w:r w:rsidRPr="004722FD">
              <w:rPr>
                <w:rFonts w:ascii="Century Gothic" w:hAnsi="Century Gothic"/>
                <w:b/>
                <w:color w:val="E36C0A"/>
                <w:sz w:val="16"/>
                <w:szCs w:val="16"/>
              </w:rPr>
              <w:t>Protect:</w:t>
            </w:r>
            <w:r w:rsidRPr="004722FD">
              <w:rPr>
                <w:rFonts w:ascii="Century Gothic" w:hAnsi="Century Gothic"/>
                <w:sz w:val="16"/>
                <w:szCs w:val="16"/>
              </w:rPr>
              <w:t xml:space="preserve"> Ensure ecological capacity for recovery</w:t>
            </w:r>
          </w:p>
          <w:p w14:paraId="6C6501CC" w14:textId="77777777" w:rsidR="007A7A94" w:rsidRDefault="007A7A94">
            <w:pPr>
              <w:spacing w:after="120"/>
              <w:jc w:val="left"/>
              <w:rPr>
                <w:rFonts w:ascii="Century Gothic" w:hAnsi="Century Gothic"/>
                <w:b/>
                <w:sz w:val="16"/>
                <w:szCs w:val="16"/>
              </w:rPr>
            </w:pPr>
          </w:p>
        </w:tc>
        <w:tc>
          <w:tcPr>
            <w:tcW w:w="2127" w:type="dxa"/>
          </w:tcPr>
          <w:p w14:paraId="6C6501CD" w14:textId="77777777" w:rsidR="007A7A94" w:rsidRDefault="00F75C5A">
            <w:pPr>
              <w:pStyle w:val="ListNumber"/>
              <w:numPr>
                <w:ilvl w:val="0"/>
                <w:numId w:val="0"/>
              </w:numPr>
              <w:spacing w:after="120"/>
              <w:jc w:val="left"/>
              <w:rPr>
                <w:rFonts w:ascii="Century Gothic" w:hAnsi="Century Gothic"/>
                <w:sz w:val="16"/>
                <w:szCs w:val="16"/>
              </w:rPr>
            </w:pPr>
            <w:r w:rsidRPr="004722FD">
              <w:rPr>
                <w:rFonts w:ascii="Century Gothic" w:hAnsi="Century Gothic"/>
                <w:b/>
                <w:color w:val="76923C"/>
                <w:sz w:val="16"/>
                <w:szCs w:val="16"/>
              </w:rPr>
              <w:t>Maintain:</w:t>
            </w:r>
            <w:r w:rsidRPr="004722FD">
              <w:rPr>
                <w:rFonts w:ascii="Century Gothic" w:hAnsi="Century Gothic"/>
                <w:sz w:val="16"/>
                <w:szCs w:val="16"/>
              </w:rPr>
              <w:t xml:space="preserve"> Maintain ecological health and resilience</w:t>
            </w:r>
          </w:p>
          <w:p w14:paraId="6C6501CE" w14:textId="77777777" w:rsidR="007A7A94" w:rsidRDefault="007A7A94">
            <w:pPr>
              <w:spacing w:after="120"/>
              <w:jc w:val="left"/>
              <w:rPr>
                <w:rFonts w:ascii="Century Gothic" w:hAnsi="Century Gothic"/>
                <w:b/>
                <w:sz w:val="16"/>
                <w:szCs w:val="16"/>
              </w:rPr>
            </w:pPr>
          </w:p>
        </w:tc>
        <w:tc>
          <w:tcPr>
            <w:tcW w:w="2126" w:type="dxa"/>
          </w:tcPr>
          <w:p w14:paraId="6C6501CF" w14:textId="77777777" w:rsidR="007A7A94" w:rsidRDefault="00F75C5A">
            <w:pPr>
              <w:pStyle w:val="ListNumber"/>
              <w:numPr>
                <w:ilvl w:val="0"/>
                <w:numId w:val="0"/>
              </w:numPr>
              <w:spacing w:after="120"/>
              <w:jc w:val="left"/>
              <w:rPr>
                <w:rFonts w:ascii="Century Gothic" w:hAnsi="Century Gothic"/>
                <w:sz w:val="16"/>
                <w:szCs w:val="16"/>
              </w:rPr>
            </w:pPr>
            <w:r w:rsidRPr="004722FD">
              <w:rPr>
                <w:rFonts w:ascii="Century Gothic" w:hAnsi="Century Gothic"/>
                <w:b/>
                <w:color w:val="365F91"/>
                <w:sz w:val="16"/>
                <w:szCs w:val="16"/>
              </w:rPr>
              <w:t>Improve:</w:t>
            </w:r>
            <w:r w:rsidRPr="004722FD">
              <w:rPr>
                <w:rFonts w:ascii="Century Gothic" w:hAnsi="Century Gothic"/>
                <w:sz w:val="16"/>
                <w:szCs w:val="16"/>
              </w:rPr>
              <w:t xml:space="preserve"> Improve the health and resilience of aquatic ecosystems / build future capacity to support ecological health and resilience</w:t>
            </w:r>
          </w:p>
        </w:tc>
      </w:tr>
      <w:tr w:rsidR="00F75C5A" w:rsidRPr="004722FD" w14:paraId="6C6501DF" w14:textId="77777777" w:rsidTr="00BF7C7E">
        <w:tc>
          <w:tcPr>
            <w:tcW w:w="1560" w:type="dxa"/>
          </w:tcPr>
          <w:p w14:paraId="6C6501D1" w14:textId="77777777" w:rsidR="007A7A94" w:rsidRDefault="00F75C5A">
            <w:pPr>
              <w:spacing w:after="120"/>
              <w:ind w:right="-108"/>
              <w:jc w:val="left"/>
              <w:rPr>
                <w:rFonts w:ascii="Century Gothic" w:hAnsi="Century Gothic"/>
                <w:b/>
                <w:sz w:val="16"/>
                <w:szCs w:val="16"/>
              </w:rPr>
            </w:pPr>
            <w:r w:rsidRPr="004722FD">
              <w:rPr>
                <w:rFonts w:ascii="Century Gothic" w:hAnsi="Century Gothic"/>
                <w:b/>
                <w:sz w:val="16"/>
                <w:szCs w:val="16"/>
              </w:rPr>
              <w:t>Broad environmental  outcomes in scope</w:t>
            </w:r>
          </w:p>
        </w:tc>
        <w:tc>
          <w:tcPr>
            <w:tcW w:w="2126" w:type="dxa"/>
            <w:tcBorders>
              <w:bottom w:val="single" w:sz="4" w:space="0" w:color="auto"/>
            </w:tcBorders>
          </w:tcPr>
          <w:p w14:paraId="6C6501D2" w14:textId="77777777" w:rsidR="007A7A94" w:rsidRDefault="00F75C5A">
            <w:pPr>
              <w:numPr>
                <w:ilvl w:val="0"/>
                <w:numId w:val="69"/>
              </w:numPr>
              <w:tabs>
                <w:tab w:val="clear" w:pos="720"/>
                <w:tab w:val="num" w:pos="180"/>
              </w:tabs>
              <w:spacing w:after="120"/>
              <w:ind w:left="180" w:hanging="180"/>
              <w:jc w:val="left"/>
              <w:rPr>
                <w:rFonts w:ascii="Century Gothic" w:hAnsi="Century Gothic"/>
                <w:sz w:val="16"/>
                <w:szCs w:val="16"/>
              </w:rPr>
            </w:pPr>
            <w:r w:rsidRPr="004722FD">
              <w:rPr>
                <w:rFonts w:ascii="Century Gothic" w:hAnsi="Century Gothic"/>
                <w:sz w:val="16"/>
                <w:szCs w:val="16"/>
              </w:rPr>
              <w:t>Avoid critical loss of  species, communities and ecosystems</w:t>
            </w:r>
          </w:p>
          <w:p w14:paraId="6C6501D3" w14:textId="77777777" w:rsidR="007A7A94" w:rsidRDefault="00F75C5A">
            <w:pPr>
              <w:numPr>
                <w:ilvl w:val="0"/>
                <w:numId w:val="69"/>
              </w:numPr>
              <w:tabs>
                <w:tab w:val="clear" w:pos="720"/>
                <w:tab w:val="num" w:pos="180"/>
              </w:tabs>
              <w:spacing w:after="120"/>
              <w:ind w:left="180" w:hanging="180"/>
              <w:jc w:val="left"/>
              <w:rPr>
                <w:rFonts w:ascii="Century Gothic" w:hAnsi="Century Gothic"/>
                <w:sz w:val="16"/>
                <w:szCs w:val="16"/>
              </w:rPr>
            </w:pPr>
            <w:r w:rsidRPr="004722FD">
              <w:rPr>
                <w:rFonts w:ascii="Century Gothic" w:hAnsi="Century Gothic"/>
                <w:sz w:val="16"/>
                <w:szCs w:val="16"/>
              </w:rPr>
              <w:t>Maintain key refuges</w:t>
            </w:r>
          </w:p>
          <w:p w14:paraId="6C6501D4" w14:textId="77777777" w:rsidR="007A7A94" w:rsidRDefault="00F75C5A">
            <w:pPr>
              <w:numPr>
                <w:ilvl w:val="0"/>
                <w:numId w:val="69"/>
              </w:numPr>
              <w:tabs>
                <w:tab w:val="clear" w:pos="720"/>
                <w:tab w:val="num" w:pos="180"/>
              </w:tabs>
              <w:spacing w:after="120"/>
              <w:ind w:left="180" w:hanging="180"/>
              <w:jc w:val="left"/>
              <w:rPr>
                <w:rFonts w:ascii="Century Gothic" w:hAnsi="Century Gothic"/>
                <w:sz w:val="16"/>
                <w:szCs w:val="16"/>
              </w:rPr>
            </w:pPr>
            <w:r w:rsidRPr="004722FD">
              <w:rPr>
                <w:rFonts w:ascii="Century Gothic" w:hAnsi="Century Gothic"/>
                <w:sz w:val="16"/>
                <w:szCs w:val="16"/>
              </w:rPr>
              <w:t>Avoid irretrievable damage or catastrophic events</w:t>
            </w:r>
          </w:p>
          <w:p w14:paraId="6C6501D5" w14:textId="77777777" w:rsidR="007A7A94" w:rsidRDefault="007A7A94">
            <w:pPr>
              <w:spacing w:after="120"/>
              <w:rPr>
                <w:rFonts w:ascii="Century Gothic" w:hAnsi="Century Gothic"/>
                <w:sz w:val="16"/>
                <w:szCs w:val="16"/>
              </w:rPr>
            </w:pPr>
          </w:p>
        </w:tc>
        <w:tc>
          <w:tcPr>
            <w:tcW w:w="2126" w:type="dxa"/>
            <w:tcBorders>
              <w:bottom w:val="single" w:sz="4" w:space="0" w:color="auto"/>
            </w:tcBorders>
          </w:tcPr>
          <w:p w14:paraId="6C6501D6" w14:textId="77777777" w:rsidR="007A7A94" w:rsidRDefault="00F75C5A">
            <w:pPr>
              <w:numPr>
                <w:ilvl w:val="0"/>
                <w:numId w:val="69"/>
              </w:numPr>
              <w:tabs>
                <w:tab w:val="clear" w:pos="720"/>
                <w:tab w:val="num" w:pos="180"/>
              </w:tabs>
              <w:spacing w:after="120"/>
              <w:ind w:left="180" w:hanging="180"/>
              <w:jc w:val="left"/>
              <w:rPr>
                <w:rFonts w:ascii="Century Gothic" w:hAnsi="Century Gothic"/>
                <w:sz w:val="16"/>
                <w:szCs w:val="16"/>
              </w:rPr>
            </w:pPr>
            <w:r w:rsidRPr="004722FD">
              <w:rPr>
                <w:rFonts w:ascii="Century Gothic" w:hAnsi="Century Gothic"/>
                <w:sz w:val="16"/>
                <w:szCs w:val="16"/>
              </w:rPr>
              <w:t xml:space="preserve">Support the survival and viability of threatened species and communities </w:t>
            </w:r>
          </w:p>
          <w:p w14:paraId="6C6501D7" w14:textId="77777777" w:rsidR="007A7A94" w:rsidRDefault="00F75C5A">
            <w:pPr>
              <w:numPr>
                <w:ilvl w:val="0"/>
                <w:numId w:val="69"/>
              </w:numPr>
              <w:tabs>
                <w:tab w:val="clear" w:pos="720"/>
                <w:tab w:val="num" w:pos="180"/>
              </w:tabs>
              <w:spacing w:after="120"/>
              <w:ind w:left="180" w:hanging="180"/>
              <w:jc w:val="left"/>
              <w:rPr>
                <w:rFonts w:ascii="Century Gothic" w:hAnsi="Century Gothic"/>
                <w:sz w:val="16"/>
                <w:szCs w:val="16"/>
              </w:rPr>
            </w:pPr>
            <w:r w:rsidRPr="004722FD">
              <w:rPr>
                <w:rFonts w:ascii="Century Gothic" w:hAnsi="Century Gothic"/>
                <w:sz w:val="16"/>
                <w:szCs w:val="16"/>
              </w:rPr>
              <w:t>Maintain refuges</w:t>
            </w:r>
          </w:p>
          <w:p w14:paraId="6C6501D8" w14:textId="77777777" w:rsidR="007A7A94" w:rsidRDefault="00F75C5A">
            <w:pPr>
              <w:numPr>
                <w:ilvl w:val="0"/>
                <w:numId w:val="69"/>
              </w:numPr>
              <w:tabs>
                <w:tab w:val="clear" w:pos="720"/>
                <w:tab w:val="num" w:pos="180"/>
              </w:tabs>
              <w:spacing w:after="120"/>
              <w:ind w:left="180" w:hanging="180"/>
              <w:jc w:val="left"/>
              <w:rPr>
                <w:rFonts w:ascii="Century Gothic" w:hAnsi="Century Gothic"/>
                <w:sz w:val="16"/>
                <w:szCs w:val="16"/>
              </w:rPr>
            </w:pPr>
            <w:r w:rsidRPr="004722FD">
              <w:rPr>
                <w:rFonts w:ascii="Century Gothic" w:hAnsi="Century Gothic"/>
                <w:sz w:val="16"/>
                <w:szCs w:val="16"/>
              </w:rPr>
              <w:t>Support key ecosystem functions.</w:t>
            </w:r>
          </w:p>
        </w:tc>
        <w:tc>
          <w:tcPr>
            <w:tcW w:w="2127" w:type="dxa"/>
            <w:tcBorders>
              <w:bottom w:val="single" w:sz="4" w:space="0" w:color="auto"/>
            </w:tcBorders>
          </w:tcPr>
          <w:p w14:paraId="6C6501D9" w14:textId="77777777" w:rsidR="007A7A94" w:rsidRDefault="00F75C5A">
            <w:pPr>
              <w:numPr>
                <w:ilvl w:val="0"/>
                <w:numId w:val="69"/>
              </w:numPr>
              <w:tabs>
                <w:tab w:val="clear" w:pos="720"/>
                <w:tab w:val="num" w:pos="180"/>
              </w:tabs>
              <w:spacing w:after="120"/>
              <w:ind w:left="180" w:hanging="180"/>
              <w:jc w:val="left"/>
              <w:rPr>
                <w:rFonts w:ascii="Century Gothic" w:hAnsi="Century Gothic"/>
                <w:sz w:val="16"/>
                <w:szCs w:val="16"/>
              </w:rPr>
            </w:pPr>
            <w:r w:rsidRPr="004722FD">
              <w:rPr>
                <w:rFonts w:ascii="Century Gothic" w:hAnsi="Century Gothic"/>
                <w:sz w:val="16"/>
                <w:szCs w:val="16"/>
              </w:rPr>
              <w:t>Enable growth, reproduction and small-scale recruitment for a diverse range of flora and fauna</w:t>
            </w:r>
          </w:p>
          <w:p w14:paraId="6C6501DA" w14:textId="77777777" w:rsidR="007A7A94" w:rsidRDefault="00F75C5A">
            <w:pPr>
              <w:numPr>
                <w:ilvl w:val="0"/>
                <w:numId w:val="69"/>
              </w:numPr>
              <w:tabs>
                <w:tab w:val="clear" w:pos="720"/>
                <w:tab w:val="num" w:pos="180"/>
              </w:tabs>
              <w:spacing w:after="120"/>
              <w:ind w:left="180" w:hanging="180"/>
              <w:jc w:val="left"/>
              <w:rPr>
                <w:rFonts w:ascii="Century Gothic" w:hAnsi="Century Gothic"/>
                <w:sz w:val="16"/>
                <w:szCs w:val="16"/>
              </w:rPr>
            </w:pPr>
            <w:r w:rsidRPr="004722FD">
              <w:rPr>
                <w:rFonts w:ascii="Century Gothic" w:hAnsi="Century Gothic"/>
                <w:sz w:val="16"/>
                <w:szCs w:val="16"/>
              </w:rPr>
              <w:t>Promote low-lying floodplain-river connectivity</w:t>
            </w:r>
          </w:p>
          <w:p w14:paraId="6C6501DB" w14:textId="77777777" w:rsidR="007A7A94" w:rsidRDefault="00F75C5A">
            <w:pPr>
              <w:numPr>
                <w:ilvl w:val="0"/>
                <w:numId w:val="69"/>
              </w:numPr>
              <w:tabs>
                <w:tab w:val="clear" w:pos="720"/>
                <w:tab w:val="num" w:pos="180"/>
              </w:tabs>
              <w:spacing w:after="120"/>
              <w:ind w:left="180" w:hanging="180"/>
              <w:jc w:val="left"/>
              <w:rPr>
                <w:rFonts w:ascii="Century Gothic" w:hAnsi="Century Gothic"/>
                <w:sz w:val="16"/>
                <w:szCs w:val="16"/>
              </w:rPr>
            </w:pPr>
            <w:r w:rsidRPr="004722FD">
              <w:rPr>
                <w:rFonts w:ascii="Century Gothic" w:hAnsi="Century Gothic"/>
                <w:sz w:val="16"/>
                <w:szCs w:val="16"/>
              </w:rPr>
              <w:t>Support medium flow river and floodplain functional processes</w:t>
            </w:r>
          </w:p>
        </w:tc>
        <w:tc>
          <w:tcPr>
            <w:tcW w:w="2126" w:type="dxa"/>
          </w:tcPr>
          <w:p w14:paraId="6C6501DC" w14:textId="77777777" w:rsidR="007A7A94" w:rsidRDefault="00F75C5A">
            <w:pPr>
              <w:numPr>
                <w:ilvl w:val="0"/>
                <w:numId w:val="69"/>
              </w:numPr>
              <w:tabs>
                <w:tab w:val="clear" w:pos="720"/>
                <w:tab w:val="num" w:pos="180"/>
              </w:tabs>
              <w:spacing w:after="120"/>
              <w:ind w:left="180" w:hanging="180"/>
              <w:jc w:val="left"/>
              <w:rPr>
                <w:rFonts w:ascii="Century Gothic" w:hAnsi="Century Gothic"/>
                <w:sz w:val="16"/>
                <w:szCs w:val="16"/>
              </w:rPr>
            </w:pPr>
            <w:r w:rsidRPr="004722FD">
              <w:rPr>
                <w:rFonts w:ascii="Century Gothic" w:hAnsi="Century Gothic"/>
                <w:sz w:val="16"/>
                <w:szCs w:val="16"/>
              </w:rPr>
              <w:t>Enable growth, reproduction and large-scale recruitment for a diverse range of flora and fauna</w:t>
            </w:r>
          </w:p>
          <w:p w14:paraId="6C6501DD" w14:textId="77777777" w:rsidR="007A7A94" w:rsidRDefault="00F75C5A">
            <w:pPr>
              <w:numPr>
                <w:ilvl w:val="0"/>
                <w:numId w:val="69"/>
              </w:numPr>
              <w:tabs>
                <w:tab w:val="clear" w:pos="720"/>
                <w:tab w:val="num" w:pos="180"/>
              </w:tabs>
              <w:spacing w:after="120"/>
              <w:ind w:left="180" w:hanging="180"/>
              <w:jc w:val="left"/>
              <w:rPr>
                <w:rFonts w:ascii="Century Gothic" w:hAnsi="Century Gothic"/>
                <w:sz w:val="16"/>
                <w:szCs w:val="16"/>
              </w:rPr>
            </w:pPr>
            <w:r w:rsidRPr="004722FD">
              <w:rPr>
                <w:rFonts w:ascii="Century Gothic" w:hAnsi="Century Gothic"/>
                <w:sz w:val="16"/>
                <w:szCs w:val="16"/>
              </w:rPr>
              <w:t>Promote and sustain higher floodplain-river connectivity</w:t>
            </w:r>
          </w:p>
          <w:p w14:paraId="6C6501DE" w14:textId="77777777" w:rsidR="007A7A94" w:rsidRDefault="00F75C5A">
            <w:pPr>
              <w:numPr>
                <w:ilvl w:val="0"/>
                <w:numId w:val="69"/>
              </w:numPr>
              <w:tabs>
                <w:tab w:val="clear" w:pos="720"/>
                <w:tab w:val="num" w:pos="180"/>
              </w:tabs>
              <w:spacing w:after="120"/>
              <w:ind w:left="180" w:hanging="180"/>
              <w:jc w:val="left"/>
              <w:rPr>
                <w:rFonts w:ascii="Century Gothic" w:hAnsi="Century Gothic"/>
                <w:sz w:val="16"/>
                <w:szCs w:val="16"/>
              </w:rPr>
            </w:pPr>
            <w:r w:rsidRPr="004722FD">
              <w:rPr>
                <w:rFonts w:ascii="Century Gothic" w:hAnsi="Century Gothic"/>
                <w:sz w:val="16"/>
                <w:szCs w:val="16"/>
              </w:rPr>
              <w:t>Support high flow river and floodplain functional processes</w:t>
            </w:r>
          </w:p>
        </w:tc>
      </w:tr>
      <w:tr w:rsidR="00F75C5A" w:rsidRPr="004722FD" w14:paraId="6C6501E5" w14:textId="77777777" w:rsidTr="004722FD">
        <w:trPr>
          <w:trHeight w:val="197"/>
        </w:trPr>
        <w:tc>
          <w:tcPr>
            <w:tcW w:w="1560" w:type="dxa"/>
            <w:vMerge w:val="restart"/>
          </w:tcPr>
          <w:p w14:paraId="6C6501E0" w14:textId="77777777" w:rsidR="007A7A94" w:rsidRDefault="00F75C5A">
            <w:pPr>
              <w:spacing w:after="120"/>
              <w:jc w:val="left"/>
              <w:rPr>
                <w:rFonts w:ascii="Century Gothic" w:hAnsi="Century Gothic"/>
                <w:b/>
                <w:sz w:val="16"/>
                <w:szCs w:val="16"/>
              </w:rPr>
            </w:pPr>
            <w:r w:rsidRPr="004722FD">
              <w:rPr>
                <w:rFonts w:ascii="Century Gothic" w:hAnsi="Century Gothic"/>
                <w:b/>
                <w:sz w:val="16"/>
                <w:szCs w:val="16"/>
              </w:rPr>
              <w:t xml:space="preserve">&lt;1 year expected outcomes in scope </w:t>
            </w:r>
          </w:p>
          <w:p w14:paraId="6C6501E1" w14:textId="77777777" w:rsidR="007A7A94" w:rsidRDefault="007A7A94">
            <w:pPr>
              <w:spacing w:after="120"/>
              <w:jc w:val="center"/>
              <w:rPr>
                <w:rFonts w:ascii="Century Gothic" w:hAnsi="Century Gothic"/>
                <w:b/>
                <w:sz w:val="16"/>
                <w:szCs w:val="16"/>
              </w:rPr>
            </w:pPr>
          </w:p>
          <w:p w14:paraId="6C6501E2" w14:textId="77777777" w:rsidR="007A7A94" w:rsidRDefault="007A7A94">
            <w:pPr>
              <w:spacing w:after="120"/>
              <w:jc w:val="center"/>
              <w:rPr>
                <w:rFonts w:ascii="Century Gothic" w:hAnsi="Century Gothic"/>
                <w:sz w:val="16"/>
                <w:szCs w:val="16"/>
              </w:rPr>
            </w:pPr>
          </w:p>
        </w:tc>
        <w:tc>
          <w:tcPr>
            <w:tcW w:w="6379" w:type="dxa"/>
            <w:gridSpan w:val="3"/>
            <w:shd w:val="clear" w:color="auto" w:fill="F2F2F2"/>
          </w:tcPr>
          <w:p w14:paraId="6C6501E3" w14:textId="77777777" w:rsidR="007A7A94" w:rsidRDefault="00F75C5A">
            <w:pPr>
              <w:spacing w:after="0"/>
              <w:jc w:val="center"/>
              <w:rPr>
                <w:rFonts w:ascii="Century Gothic" w:hAnsi="Century Gothic"/>
                <w:sz w:val="16"/>
                <w:szCs w:val="16"/>
              </w:rPr>
            </w:pPr>
            <w:r w:rsidRPr="004722FD">
              <w:rPr>
                <w:rFonts w:ascii="Century Gothic" w:hAnsi="Century Gothic"/>
                <w:sz w:val="16"/>
                <w:szCs w:val="16"/>
              </w:rPr>
              <w:t>Vegetation condition</w:t>
            </w:r>
          </w:p>
        </w:tc>
        <w:tc>
          <w:tcPr>
            <w:tcW w:w="2126" w:type="dxa"/>
          </w:tcPr>
          <w:p w14:paraId="6C6501E4" w14:textId="77777777" w:rsidR="007A7A94" w:rsidRDefault="007A7A94">
            <w:pPr>
              <w:spacing w:after="0"/>
              <w:jc w:val="center"/>
              <w:rPr>
                <w:rFonts w:ascii="Century Gothic" w:hAnsi="Century Gothic"/>
                <w:sz w:val="16"/>
                <w:szCs w:val="16"/>
              </w:rPr>
            </w:pPr>
          </w:p>
        </w:tc>
      </w:tr>
      <w:tr w:rsidR="00F75C5A" w:rsidRPr="004722FD" w14:paraId="6C6501E9" w14:textId="77777777" w:rsidTr="00BF7C7E">
        <w:tc>
          <w:tcPr>
            <w:tcW w:w="1560" w:type="dxa"/>
            <w:vMerge/>
          </w:tcPr>
          <w:p w14:paraId="6C6501E6" w14:textId="77777777" w:rsidR="007A7A94" w:rsidRDefault="007A7A94">
            <w:pPr>
              <w:spacing w:after="120"/>
              <w:jc w:val="center"/>
              <w:rPr>
                <w:rFonts w:ascii="Century Gothic" w:hAnsi="Century Gothic"/>
                <w:b/>
                <w:sz w:val="16"/>
                <w:szCs w:val="16"/>
              </w:rPr>
            </w:pPr>
          </w:p>
        </w:tc>
        <w:tc>
          <w:tcPr>
            <w:tcW w:w="2126" w:type="dxa"/>
          </w:tcPr>
          <w:p w14:paraId="6C6501E7" w14:textId="77777777" w:rsidR="007A7A94" w:rsidRDefault="007A7A94">
            <w:pPr>
              <w:spacing w:after="0"/>
              <w:rPr>
                <w:rFonts w:ascii="Century Gothic" w:hAnsi="Century Gothic"/>
                <w:sz w:val="16"/>
                <w:szCs w:val="16"/>
              </w:rPr>
            </w:pPr>
          </w:p>
        </w:tc>
        <w:tc>
          <w:tcPr>
            <w:tcW w:w="6379" w:type="dxa"/>
            <w:gridSpan w:val="3"/>
            <w:shd w:val="clear" w:color="auto" w:fill="F2F2F2"/>
          </w:tcPr>
          <w:p w14:paraId="6C6501E8" w14:textId="77777777" w:rsidR="007A7A94" w:rsidRDefault="00F75C5A">
            <w:pPr>
              <w:spacing w:after="0"/>
              <w:jc w:val="center"/>
              <w:rPr>
                <w:rFonts w:ascii="Century Gothic" w:hAnsi="Century Gothic"/>
                <w:sz w:val="16"/>
                <w:szCs w:val="16"/>
              </w:rPr>
            </w:pPr>
            <w:r w:rsidRPr="004722FD">
              <w:rPr>
                <w:rFonts w:ascii="Century Gothic" w:hAnsi="Century Gothic"/>
                <w:sz w:val="16"/>
                <w:szCs w:val="16"/>
              </w:rPr>
              <w:t>Vegetation reproduction, germination and dispersal</w:t>
            </w:r>
          </w:p>
        </w:tc>
      </w:tr>
      <w:tr w:rsidR="00F75C5A" w:rsidRPr="004722FD" w14:paraId="6C6501EC" w14:textId="77777777" w:rsidTr="00BF7C7E">
        <w:tc>
          <w:tcPr>
            <w:tcW w:w="1560" w:type="dxa"/>
            <w:vMerge/>
          </w:tcPr>
          <w:p w14:paraId="6C6501EA" w14:textId="77777777" w:rsidR="007A7A94" w:rsidRDefault="007A7A94">
            <w:pPr>
              <w:spacing w:after="120"/>
              <w:jc w:val="center"/>
              <w:rPr>
                <w:rFonts w:ascii="Century Gothic" w:hAnsi="Century Gothic"/>
                <w:b/>
                <w:sz w:val="16"/>
                <w:szCs w:val="16"/>
              </w:rPr>
            </w:pPr>
          </w:p>
        </w:tc>
        <w:tc>
          <w:tcPr>
            <w:tcW w:w="8505" w:type="dxa"/>
            <w:gridSpan w:val="4"/>
            <w:shd w:val="clear" w:color="auto" w:fill="F2F2F2"/>
          </w:tcPr>
          <w:p w14:paraId="6C6501EB" w14:textId="77777777" w:rsidR="007A7A94" w:rsidRDefault="00F75C5A">
            <w:pPr>
              <w:spacing w:after="0"/>
              <w:jc w:val="center"/>
              <w:rPr>
                <w:rFonts w:ascii="Century Gothic" w:hAnsi="Century Gothic"/>
                <w:sz w:val="16"/>
                <w:szCs w:val="16"/>
              </w:rPr>
            </w:pPr>
            <w:r w:rsidRPr="004722FD">
              <w:rPr>
                <w:rFonts w:ascii="Century Gothic" w:hAnsi="Century Gothic"/>
                <w:sz w:val="16"/>
                <w:szCs w:val="16"/>
              </w:rPr>
              <w:t>Fish condition</w:t>
            </w:r>
          </w:p>
        </w:tc>
      </w:tr>
      <w:tr w:rsidR="00F75C5A" w:rsidRPr="004722FD" w14:paraId="6C6501F0" w14:textId="77777777" w:rsidTr="00BF7C7E">
        <w:tc>
          <w:tcPr>
            <w:tcW w:w="1560" w:type="dxa"/>
            <w:vMerge/>
          </w:tcPr>
          <w:p w14:paraId="6C6501ED" w14:textId="77777777" w:rsidR="007A7A94" w:rsidRDefault="007A7A94">
            <w:pPr>
              <w:spacing w:after="120"/>
              <w:jc w:val="center"/>
              <w:rPr>
                <w:rFonts w:ascii="Century Gothic" w:hAnsi="Century Gothic"/>
                <w:b/>
                <w:sz w:val="16"/>
                <w:szCs w:val="16"/>
              </w:rPr>
            </w:pPr>
          </w:p>
        </w:tc>
        <w:tc>
          <w:tcPr>
            <w:tcW w:w="2126" w:type="dxa"/>
          </w:tcPr>
          <w:p w14:paraId="6C6501EE" w14:textId="77777777" w:rsidR="007A7A94" w:rsidRDefault="007A7A94">
            <w:pPr>
              <w:spacing w:after="0"/>
              <w:jc w:val="center"/>
              <w:rPr>
                <w:rFonts w:ascii="Century Gothic" w:hAnsi="Century Gothic"/>
                <w:sz w:val="16"/>
                <w:szCs w:val="16"/>
              </w:rPr>
            </w:pPr>
          </w:p>
        </w:tc>
        <w:tc>
          <w:tcPr>
            <w:tcW w:w="6379" w:type="dxa"/>
            <w:gridSpan w:val="3"/>
            <w:shd w:val="clear" w:color="auto" w:fill="F2F2F2"/>
          </w:tcPr>
          <w:p w14:paraId="6C6501EF" w14:textId="77777777" w:rsidR="007A7A94" w:rsidRDefault="00F75C5A">
            <w:pPr>
              <w:spacing w:after="0"/>
              <w:jc w:val="center"/>
              <w:rPr>
                <w:rFonts w:ascii="Century Gothic" w:hAnsi="Century Gothic"/>
                <w:sz w:val="16"/>
                <w:szCs w:val="16"/>
              </w:rPr>
            </w:pPr>
            <w:r w:rsidRPr="004722FD">
              <w:rPr>
                <w:rFonts w:ascii="Century Gothic" w:hAnsi="Century Gothic"/>
                <w:sz w:val="16"/>
                <w:szCs w:val="16"/>
              </w:rPr>
              <w:t>Fish larval abundance and reproduction</w:t>
            </w:r>
          </w:p>
        </w:tc>
      </w:tr>
      <w:tr w:rsidR="00F75C5A" w:rsidRPr="004722FD" w14:paraId="6C6501F4" w14:textId="77777777" w:rsidTr="00BF7C7E">
        <w:tc>
          <w:tcPr>
            <w:tcW w:w="1560" w:type="dxa"/>
            <w:vMerge/>
          </w:tcPr>
          <w:p w14:paraId="6C6501F1" w14:textId="77777777" w:rsidR="007A7A94" w:rsidRDefault="007A7A94">
            <w:pPr>
              <w:spacing w:after="120"/>
              <w:jc w:val="center"/>
              <w:rPr>
                <w:rFonts w:ascii="Century Gothic" w:hAnsi="Century Gothic"/>
                <w:b/>
                <w:sz w:val="16"/>
                <w:szCs w:val="16"/>
              </w:rPr>
            </w:pPr>
          </w:p>
        </w:tc>
        <w:tc>
          <w:tcPr>
            <w:tcW w:w="6379" w:type="dxa"/>
            <w:gridSpan w:val="3"/>
            <w:shd w:val="clear" w:color="auto" w:fill="F2F2F2"/>
          </w:tcPr>
          <w:p w14:paraId="6C6501F2" w14:textId="77777777" w:rsidR="007A7A94" w:rsidRDefault="00F75C5A">
            <w:pPr>
              <w:spacing w:after="0"/>
              <w:jc w:val="center"/>
              <w:rPr>
                <w:rFonts w:ascii="Century Gothic" w:hAnsi="Century Gothic"/>
                <w:sz w:val="16"/>
                <w:szCs w:val="16"/>
              </w:rPr>
            </w:pPr>
            <w:r w:rsidRPr="004722FD">
              <w:rPr>
                <w:rFonts w:ascii="Century Gothic" w:hAnsi="Century Gothic"/>
                <w:sz w:val="16"/>
                <w:szCs w:val="16"/>
              </w:rPr>
              <w:t>Waterbird survival and condition</w:t>
            </w:r>
          </w:p>
        </w:tc>
        <w:tc>
          <w:tcPr>
            <w:tcW w:w="2126" w:type="dxa"/>
          </w:tcPr>
          <w:p w14:paraId="6C6501F3" w14:textId="77777777" w:rsidR="007A7A94" w:rsidRDefault="007A7A94">
            <w:pPr>
              <w:spacing w:after="0"/>
              <w:jc w:val="center"/>
              <w:rPr>
                <w:rFonts w:ascii="Century Gothic" w:hAnsi="Century Gothic"/>
                <w:sz w:val="16"/>
                <w:szCs w:val="16"/>
              </w:rPr>
            </w:pPr>
          </w:p>
        </w:tc>
      </w:tr>
      <w:tr w:rsidR="00F75C5A" w:rsidRPr="004722FD" w14:paraId="6C6501F8" w14:textId="77777777" w:rsidTr="00BF7C7E">
        <w:tc>
          <w:tcPr>
            <w:tcW w:w="1560" w:type="dxa"/>
            <w:vMerge/>
          </w:tcPr>
          <w:p w14:paraId="6C6501F5" w14:textId="77777777" w:rsidR="007A7A94" w:rsidRDefault="007A7A94">
            <w:pPr>
              <w:spacing w:after="120"/>
              <w:jc w:val="center"/>
              <w:rPr>
                <w:rFonts w:ascii="Century Gothic" w:hAnsi="Century Gothic"/>
                <w:b/>
                <w:sz w:val="16"/>
                <w:szCs w:val="16"/>
              </w:rPr>
            </w:pPr>
          </w:p>
        </w:tc>
        <w:tc>
          <w:tcPr>
            <w:tcW w:w="4252" w:type="dxa"/>
            <w:gridSpan w:val="2"/>
          </w:tcPr>
          <w:p w14:paraId="6C6501F6" w14:textId="77777777" w:rsidR="007A7A94" w:rsidRDefault="007A7A94">
            <w:pPr>
              <w:spacing w:after="0"/>
              <w:jc w:val="center"/>
              <w:rPr>
                <w:rFonts w:ascii="Century Gothic" w:hAnsi="Century Gothic"/>
                <w:sz w:val="16"/>
                <w:szCs w:val="16"/>
              </w:rPr>
            </w:pPr>
          </w:p>
        </w:tc>
        <w:tc>
          <w:tcPr>
            <w:tcW w:w="4253" w:type="dxa"/>
            <w:gridSpan w:val="2"/>
            <w:shd w:val="clear" w:color="auto" w:fill="F2F2F2"/>
          </w:tcPr>
          <w:p w14:paraId="6C6501F7" w14:textId="77777777" w:rsidR="007A7A94" w:rsidRDefault="00F75C5A">
            <w:pPr>
              <w:spacing w:after="0"/>
              <w:jc w:val="center"/>
              <w:rPr>
                <w:rFonts w:ascii="Century Gothic" w:hAnsi="Century Gothic"/>
                <w:sz w:val="16"/>
                <w:szCs w:val="16"/>
              </w:rPr>
            </w:pPr>
            <w:r w:rsidRPr="004722FD">
              <w:rPr>
                <w:rFonts w:ascii="Century Gothic" w:hAnsi="Century Gothic"/>
                <w:sz w:val="16"/>
                <w:szCs w:val="16"/>
              </w:rPr>
              <w:t>Waterbird chicks and fledglings</w:t>
            </w:r>
          </w:p>
        </w:tc>
      </w:tr>
      <w:tr w:rsidR="00F75C5A" w:rsidRPr="004722FD" w14:paraId="6C6501FC" w14:textId="77777777" w:rsidTr="00BF7C7E">
        <w:tc>
          <w:tcPr>
            <w:tcW w:w="1560" w:type="dxa"/>
            <w:vMerge/>
          </w:tcPr>
          <w:p w14:paraId="6C6501F9" w14:textId="77777777" w:rsidR="007A7A94" w:rsidRDefault="007A7A94">
            <w:pPr>
              <w:spacing w:after="120"/>
              <w:jc w:val="center"/>
              <w:rPr>
                <w:rFonts w:ascii="Century Gothic" w:hAnsi="Century Gothic"/>
                <w:b/>
                <w:sz w:val="16"/>
                <w:szCs w:val="16"/>
              </w:rPr>
            </w:pPr>
          </w:p>
        </w:tc>
        <w:tc>
          <w:tcPr>
            <w:tcW w:w="2126" w:type="dxa"/>
          </w:tcPr>
          <w:p w14:paraId="6C6501FA" w14:textId="77777777" w:rsidR="007A7A94" w:rsidRDefault="007A7A94">
            <w:pPr>
              <w:spacing w:after="0"/>
              <w:jc w:val="center"/>
              <w:rPr>
                <w:rFonts w:ascii="Century Gothic" w:hAnsi="Century Gothic"/>
                <w:sz w:val="16"/>
                <w:szCs w:val="16"/>
              </w:rPr>
            </w:pPr>
          </w:p>
        </w:tc>
        <w:tc>
          <w:tcPr>
            <w:tcW w:w="6379" w:type="dxa"/>
            <w:gridSpan w:val="3"/>
            <w:shd w:val="clear" w:color="auto" w:fill="F2F2F2"/>
          </w:tcPr>
          <w:p w14:paraId="6C6501FB" w14:textId="77777777" w:rsidR="007A7A94" w:rsidRDefault="00F75C5A">
            <w:pPr>
              <w:spacing w:after="0"/>
              <w:jc w:val="center"/>
              <w:rPr>
                <w:rFonts w:ascii="Century Gothic" w:hAnsi="Century Gothic"/>
                <w:sz w:val="16"/>
                <w:szCs w:val="16"/>
              </w:rPr>
            </w:pPr>
            <w:r w:rsidRPr="004722FD">
              <w:rPr>
                <w:rFonts w:ascii="Century Gothic" w:hAnsi="Century Gothic"/>
                <w:sz w:val="16"/>
                <w:szCs w:val="16"/>
              </w:rPr>
              <w:t>Other vertebrate young</w:t>
            </w:r>
          </w:p>
        </w:tc>
      </w:tr>
      <w:tr w:rsidR="00F75C5A" w:rsidRPr="004722FD" w:rsidDel="00E44951" w14:paraId="6C650201" w14:textId="77777777" w:rsidTr="00BF7C7E">
        <w:tc>
          <w:tcPr>
            <w:tcW w:w="1560" w:type="dxa"/>
            <w:vMerge/>
          </w:tcPr>
          <w:p w14:paraId="6C6501FD" w14:textId="77777777" w:rsidR="007A7A94" w:rsidRDefault="007A7A94">
            <w:pPr>
              <w:spacing w:after="120"/>
              <w:jc w:val="center"/>
              <w:rPr>
                <w:rFonts w:ascii="Century Gothic" w:hAnsi="Century Gothic"/>
                <w:b/>
                <w:sz w:val="16"/>
                <w:szCs w:val="16"/>
              </w:rPr>
            </w:pPr>
          </w:p>
        </w:tc>
        <w:tc>
          <w:tcPr>
            <w:tcW w:w="2126" w:type="dxa"/>
          </w:tcPr>
          <w:p w14:paraId="6C6501FE" w14:textId="77777777" w:rsidR="007A7A94" w:rsidRDefault="007A7A94">
            <w:pPr>
              <w:spacing w:after="0"/>
              <w:jc w:val="center"/>
              <w:rPr>
                <w:rFonts w:ascii="Century Gothic" w:hAnsi="Century Gothic"/>
                <w:sz w:val="16"/>
                <w:szCs w:val="16"/>
              </w:rPr>
            </w:pPr>
          </w:p>
        </w:tc>
        <w:tc>
          <w:tcPr>
            <w:tcW w:w="6379" w:type="dxa"/>
            <w:gridSpan w:val="3"/>
            <w:shd w:val="clear" w:color="auto" w:fill="F2F2F2"/>
          </w:tcPr>
          <w:p w14:paraId="6C6501FF" w14:textId="77777777" w:rsidR="007A7A94" w:rsidRDefault="00F75C5A">
            <w:pPr>
              <w:spacing w:after="0"/>
              <w:jc w:val="center"/>
              <w:rPr>
                <w:rFonts w:ascii="Century Gothic" w:hAnsi="Century Gothic"/>
                <w:sz w:val="16"/>
                <w:szCs w:val="16"/>
              </w:rPr>
            </w:pPr>
            <w:r w:rsidRPr="004722FD">
              <w:rPr>
                <w:rFonts w:ascii="Century Gothic" w:hAnsi="Century Gothic"/>
                <w:sz w:val="16"/>
                <w:szCs w:val="16"/>
              </w:rPr>
              <w:t>Hydrological connectivity including end of system flows</w:t>
            </w:r>
          </w:p>
          <w:p w14:paraId="6C650200" w14:textId="77777777" w:rsidR="007A7A94" w:rsidRDefault="00F75C5A">
            <w:pPr>
              <w:spacing w:after="0"/>
              <w:jc w:val="center"/>
              <w:rPr>
                <w:rFonts w:ascii="Century Gothic" w:hAnsi="Century Gothic"/>
                <w:sz w:val="16"/>
                <w:szCs w:val="16"/>
              </w:rPr>
            </w:pPr>
            <w:r w:rsidRPr="004722FD">
              <w:rPr>
                <w:rFonts w:ascii="Century Gothic" w:hAnsi="Century Gothic"/>
                <w:sz w:val="16"/>
                <w:szCs w:val="16"/>
              </w:rPr>
              <w:t xml:space="preserve">(Longitudinal)                                                                        (Lateral)                                                                                                                                                            </w:t>
            </w:r>
          </w:p>
        </w:tc>
      </w:tr>
      <w:tr w:rsidR="00F75C5A" w:rsidRPr="004722FD" w14:paraId="6C650205" w14:textId="77777777" w:rsidTr="00BF7C7E">
        <w:tc>
          <w:tcPr>
            <w:tcW w:w="1560" w:type="dxa"/>
            <w:vMerge/>
          </w:tcPr>
          <w:p w14:paraId="6C650202" w14:textId="77777777" w:rsidR="007A7A94" w:rsidRDefault="007A7A94">
            <w:pPr>
              <w:spacing w:after="120"/>
              <w:jc w:val="center"/>
              <w:rPr>
                <w:rFonts w:ascii="Century Gothic" w:hAnsi="Century Gothic"/>
                <w:b/>
                <w:sz w:val="16"/>
                <w:szCs w:val="16"/>
              </w:rPr>
            </w:pPr>
          </w:p>
        </w:tc>
        <w:tc>
          <w:tcPr>
            <w:tcW w:w="2126" w:type="dxa"/>
          </w:tcPr>
          <w:p w14:paraId="6C650203" w14:textId="77777777" w:rsidR="007A7A94" w:rsidRDefault="007A7A94">
            <w:pPr>
              <w:spacing w:after="0"/>
              <w:jc w:val="center"/>
              <w:rPr>
                <w:rFonts w:ascii="Century Gothic" w:hAnsi="Century Gothic"/>
                <w:sz w:val="16"/>
                <w:szCs w:val="16"/>
              </w:rPr>
            </w:pPr>
          </w:p>
        </w:tc>
        <w:tc>
          <w:tcPr>
            <w:tcW w:w="6379" w:type="dxa"/>
            <w:gridSpan w:val="3"/>
            <w:shd w:val="clear" w:color="auto" w:fill="F2F2F2"/>
          </w:tcPr>
          <w:p w14:paraId="6C650204" w14:textId="77777777" w:rsidR="007A7A94" w:rsidRDefault="00F75C5A">
            <w:pPr>
              <w:spacing w:after="0"/>
              <w:jc w:val="center"/>
              <w:rPr>
                <w:rFonts w:ascii="Century Gothic" w:hAnsi="Century Gothic"/>
                <w:sz w:val="16"/>
                <w:szCs w:val="16"/>
              </w:rPr>
            </w:pPr>
            <w:r w:rsidRPr="004722FD">
              <w:rPr>
                <w:rFonts w:ascii="Century Gothic" w:hAnsi="Century Gothic"/>
                <w:sz w:val="16"/>
                <w:szCs w:val="16"/>
              </w:rPr>
              <w:t>Biotic dispersal and movement</w:t>
            </w:r>
          </w:p>
        </w:tc>
      </w:tr>
      <w:tr w:rsidR="00F75C5A" w:rsidRPr="004722FD" w14:paraId="6C650208" w14:textId="77777777" w:rsidTr="00BF7C7E">
        <w:tc>
          <w:tcPr>
            <w:tcW w:w="1560" w:type="dxa"/>
            <w:vMerge/>
          </w:tcPr>
          <w:p w14:paraId="6C650206" w14:textId="77777777" w:rsidR="007A7A94" w:rsidRDefault="007A7A94">
            <w:pPr>
              <w:spacing w:after="120"/>
              <w:jc w:val="center"/>
              <w:rPr>
                <w:rFonts w:ascii="Century Gothic" w:hAnsi="Century Gothic"/>
                <w:b/>
                <w:sz w:val="16"/>
                <w:szCs w:val="16"/>
              </w:rPr>
            </w:pPr>
          </w:p>
        </w:tc>
        <w:tc>
          <w:tcPr>
            <w:tcW w:w="8505" w:type="dxa"/>
            <w:gridSpan w:val="4"/>
            <w:shd w:val="clear" w:color="auto" w:fill="F2F2F2"/>
          </w:tcPr>
          <w:p w14:paraId="6C650207" w14:textId="77777777" w:rsidR="007A7A94" w:rsidRDefault="00F75C5A">
            <w:pPr>
              <w:spacing w:after="0"/>
              <w:jc w:val="center"/>
              <w:rPr>
                <w:rFonts w:ascii="Century Gothic" w:hAnsi="Century Gothic"/>
                <w:sz w:val="16"/>
                <w:szCs w:val="16"/>
              </w:rPr>
            </w:pPr>
            <w:r w:rsidRPr="004722FD">
              <w:rPr>
                <w:rFonts w:ascii="Century Gothic" w:hAnsi="Century Gothic"/>
                <w:sz w:val="16"/>
                <w:szCs w:val="16"/>
              </w:rPr>
              <w:t>Sediment transport</w:t>
            </w:r>
          </w:p>
        </w:tc>
      </w:tr>
      <w:tr w:rsidR="00F75C5A" w:rsidRPr="004722FD" w14:paraId="6C65020B" w14:textId="77777777" w:rsidTr="00BF7C7E">
        <w:tc>
          <w:tcPr>
            <w:tcW w:w="1560" w:type="dxa"/>
            <w:vMerge/>
          </w:tcPr>
          <w:p w14:paraId="6C650209" w14:textId="77777777" w:rsidR="007A7A94" w:rsidRDefault="007A7A94">
            <w:pPr>
              <w:spacing w:after="120"/>
              <w:jc w:val="center"/>
              <w:rPr>
                <w:rFonts w:ascii="Century Gothic" w:hAnsi="Century Gothic"/>
                <w:b/>
                <w:sz w:val="16"/>
                <w:szCs w:val="16"/>
              </w:rPr>
            </w:pPr>
          </w:p>
        </w:tc>
        <w:tc>
          <w:tcPr>
            <w:tcW w:w="8505" w:type="dxa"/>
            <w:gridSpan w:val="4"/>
            <w:shd w:val="clear" w:color="auto" w:fill="F2F2F2"/>
          </w:tcPr>
          <w:p w14:paraId="6C65020A" w14:textId="77777777" w:rsidR="007A7A94" w:rsidRDefault="00F75C5A">
            <w:pPr>
              <w:spacing w:after="0"/>
              <w:jc w:val="center"/>
              <w:rPr>
                <w:rFonts w:ascii="Century Gothic" w:hAnsi="Century Gothic"/>
                <w:sz w:val="16"/>
                <w:szCs w:val="16"/>
              </w:rPr>
            </w:pPr>
            <w:r w:rsidRPr="004722FD">
              <w:rPr>
                <w:rFonts w:ascii="Century Gothic" w:hAnsi="Century Gothic"/>
                <w:sz w:val="16"/>
                <w:szCs w:val="16"/>
              </w:rPr>
              <w:t xml:space="preserve">Primary productivity; decomposition; nutrient and </w:t>
            </w:r>
            <w:r w:rsidR="004722FD">
              <w:rPr>
                <w:rFonts w:ascii="Century Gothic" w:hAnsi="Century Gothic"/>
                <w:sz w:val="16"/>
                <w:szCs w:val="16"/>
              </w:rPr>
              <w:t>c</w:t>
            </w:r>
            <w:r w:rsidRPr="004722FD">
              <w:rPr>
                <w:rFonts w:ascii="Century Gothic" w:hAnsi="Century Gothic"/>
                <w:sz w:val="16"/>
                <w:szCs w:val="16"/>
              </w:rPr>
              <w:t>arbon cycling</w:t>
            </w:r>
          </w:p>
        </w:tc>
      </w:tr>
      <w:tr w:rsidR="00F75C5A" w:rsidRPr="004722FD" w14:paraId="6C65020F" w14:textId="77777777" w:rsidTr="00BF7C7E">
        <w:tc>
          <w:tcPr>
            <w:tcW w:w="1560" w:type="dxa"/>
            <w:vMerge/>
          </w:tcPr>
          <w:p w14:paraId="6C65020C" w14:textId="77777777" w:rsidR="007A7A94" w:rsidRDefault="007A7A94">
            <w:pPr>
              <w:spacing w:after="120"/>
              <w:jc w:val="center"/>
              <w:rPr>
                <w:rFonts w:ascii="Century Gothic" w:hAnsi="Century Gothic"/>
                <w:b/>
                <w:sz w:val="16"/>
                <w:szCs w:val="16"/>
              </w:rPr>
            </w:pPr>
          </w:p>
        </w:tc>
        <w:tc>
          <w:tcPr>
            <w:tcW w:w="4252" w:type="dxa"/>
            <w:gridSpan w:val="2"/>
            <w:tcBorders>
              <w:bottom w:val="single" w:sz="4" w:space="0" w:color="auto"/>
            </w:tcBorders>
            <w:shd w:val="clear" w:color="auto" w:fill="F2F2F2"/>
          </w:tcPr>
          <w:p w14:paraId="6C65020D" w14:textId="77777777" w:rsidR="007A7A94" w:rsidRDefault="00F75C5A">
            <w:pPr>
              <w:spacing w:after="0"/>
              <w:jc w:val="center"/>
              <w:rPr>
                <w:rFonts w:ascii="Century Gothic" w:hAnsi="Century Gothic"/>
                <w:sz w:val="16"/>
                <w:szCs w:val="16"/>
              </w:rPr>
            </w:pPr>
            <w:r w:rsidRPr="004722FD">
              <w:rPr>
                <w:rFonts w:ascii="Century Gothic" w:hAnsi="Century Gothic"/>
                <w:sz w:val="16"/>
                <w:szCs w:val="16"/>
              </w:rPr>
              <w:t>Individual survival and condition (inc refuges)</w:t>
            </w:r>
          </w:p>
        </w:tc>
        <w:tc>
          <w:tcPr>
            <w:tcW w:w="4253" w:type="dxa"/>
            <w:gridSpan w:val="2"/>
            <w:tcBorders>
              <w:bottom w:val="single" w:sz="4" w:space="0" w:color="auto"/>
            </w:tcBorders>
          </w:tcPr>
          <w:p w14:paraId="6C65020E" w14:textId="77777777" w:rsidR="007A7A94" w:rsidRDefault="007A7A94">
            <w:pPr>
              <w:spacing w:after="0"/>
              <w:jc w:val="center"/>
              <w:rPr>
                <w:rFonts w:ascii="Century Gothic" w:hAnsi="Century Gothic"/>
                <w:sz w:val="16"/>
                <w:szCs w:val="16"/>
              </w:rPr>
            </w:pPr>
          </w:p>
        </w:tc>
      </w:tr>
      <w:tr w:rsidR="00F75C5A" w:rsidRPr="004722FD" w14:paraId="6C650213" w14:textId="77777777" w:rsidTr="00BF7C7E">
        <w:tc>
          <w:tcPr>
            <w:tcW w:w="1560" w:type="dxa"/>
            <w:vMerge/>
          </w:tcPr>
          <w:p w14:paraId="6C650210" w14:textId="77777777" w:rsidR="007A7A94" w:rsidRDefault="007A7A94">
            <w:pPr>
              <w:spacing w:after="120"/>
              <w:jc w:val="center"/>
              <w:rPr>
                <w:rFonts w:ascii="Century Gothic" w:hAnsi="Century Gothic"/>
                <w:b/>
                <w:sz w:val="16"/>
                <w:szCs w:val="16"/>
              </w:rPr>
            </w:pPr>
          </w:p>
        </w:tc>
        <w:tc>
          <w:tcPr>
            <w:tcW w:w="6379" w:type="dxa"/>
            <w:gridSpan w:val="3"/>
            <w:tcBorders>
              <w:bottom w:val="single" w:sz="4" w:space="0" w:color="auto"/>
            </w:tcBorders>
            <w:shd w:val="clear" w:color="auto" w:fill="F2F2F2"/>
          </w:tcPr>
          <w:p w14:paraId="6C650211" w14:textId="77777777" w:rsidR="007A7A94" w:rsidRDefault="00F75C5A">
            <w:pPr>
              <w:spacing w:after="0"/>
              <w:jc w:val="center"/>
              <w:rPr>
                <w:rFonts w:ascii="Century Gothic" w:hAnsi="Century Gothic"/>
                <w:sz w:val="16"/>
                <w:szCs w:val="16"/>
              </w:rPr>
            </w:pPr>
            <w:r w:rsidRPr="004722FD">
              <w:rPr>
                <w:rFonts w:ascii="Century Gothic" w:hAnsi="Century Gothic"/>
                <w:sz w:val="16"/>
                <w:szCs w:val="16"/>
              </w:rPr>
              <w:t>Individual condition (ecosystem resistance)</w:t>
            </w:r>
          </w:p>
        </w:tc>
        <w:tc>
          <w:tcPr>
            <w:tcW w:w="2126" w:type="dxa"/>
            <w:tcBorders>
              <w:bottom w:val="single" w:sz="4" w:space="0" w:color="auto"/>
            </w:tcBorders>
          </w:tcPr>
          <w:p w14:paraId="6C650212" w14:textId="77777777" w:rsidR="007A7A94" w:rsidRDefault="007A7A94">
            <w:pPr>
              <w:spacing w:after="0"/>
              <w:jc w:val="center"/>
              <w:rPr>
                <w:rFonts w:ascii="Century Gothic" w:hAnsi="Century Gothic"/>
                <w:sz w:val="16"/>
                <w:szCs w:val="16"/>
              </w:rPr>
            </w:pPr>
          </w:p>
        </w:tc>
      </w:tr>
      <w:tr w:rsidR="00F75C5A" w:rsidRPr="004722FD" w14:paraId="6C650216" w14:textId="77777777" w:rsidTr="00BF7C7E">
        <w:tc>
          <w:tcPr>
            <w:tcW w:w="1560" w:type="dxa"/>
            <w:vMerge/>
          </w:tcPr>
          <w:p w14:paraId="6C650214" w14:textId="77777777" w:rsidR="007A7A94" w:rsidRDefault="007A7A94">
            <w:pPr>
              <w:spacing w:after="120"/>
              <w:jc w:val="center"/>
              <w:rPr>
                <w:rFonts w:ascii="Century Gothic" w:hAnsi="Century Gothic"/>
                <w:b/>
                <w:sz w:val="16"/>
                <w:szCs w:val="16"/>
              </w:rPr>
            </w:pPr>
          </w:p>
        </w:tc>
        <w:tc>
          <w:tcPr>
            <w:tcW w:w="8505" w:type="dxa"/>
            <w:gridSpan w:val="4"/>
            <w:shd w:val="clear" w:color="auto" w:fill="F2F2F2"/>
          </w:tcPr>
          <w:p w14:paraId="6C650215" w14:textId="77777777" w:rsidR="007A7A94" w:rsidRDefault="00F75C5A">
            <w:pPr>
              <w:spacing w:after="0"/>
              <w:jc w:val="center"/>
              <w:rPr>
                <w:rFonts w:ascii="Century Gothic" w:hAnsi="Century Gothic"/>
                <w:sz w:val="16"/>
                <w:szCs w:val="16"/>
              </w:rPr>
            </w:pPr>
            <w:r w:rsidRPr="004722FD">
              <w:rPr>
                <w:rFonts w:ascii="Century Gothic" w:hAnsi="Century Gothic"/>
                <w:sz w:val="16"/>
                <w:szCs w:val="16"/>
              </w:rPr>
              <w:t>Salinity; dissolved oxygen; pH; dissolved organic carbon; algal blooms</w:t>
            </w:r>
          </w:p>
        </w:tc>
      </w:tr>
    </w:tbl>
    <w:p w14:paraId="6C650217" w14:textId="77777777" w:rsidR="00F75C5A" w:rsidRDefault="00F75C5A" w:rsidP="006026F2">
      <w:pPr>
        <w:pStyle w:val="Heading11"/>
        <w:numPr>
          <w:ilvl w:val="0"/>
          <w:numId w:val="0"/>
        </w:numPr>
        <w:spacing w:before="0" w:after="120"/>
        <w:sectPr w:rsidR="00F75C5A" w:rsidSect="006026F2">
          <w:footerReference w:type="first" r:id="rId26"/>
          <w:pgSz w:w="11906" w:h="16838"/>
          <w:pgMar w:top="851" w:right="1276" w:bottom="567" w:left="1418" w:header="425" w:footer="425" w:gutter="0"/>
          <w:cols w:space="708"/>
          <w:titlePg/>
          <w:docGrid w:linePitch="360"/>
        </w:sectPr>
      </w:pPr>
    </w:p>
    <w:tbl>
      <w:tblPr>
        <w:tblStyle w:val="TableGrid"/>
        <w:tblpPr w:leftFromText="181" w:rightFromText="181" w:vertAnchor="text" w:horzAnchor="margin" w:tblpY="1"/>
        <w:tblOverlap w:val="never"/>
        <w:tblW w:w="157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30"/>
        <w:gridCol w:w="2863"/>
        <w:gridCol w:w="2863"/>
        <w:gridCol w:w="2865"/>
        <w:gridCol w:w="2866"/>
        <w:gridCol w:w="2863"/>
      </w:tblGrid>
      <w:tr w:rsidR="009F1837" w:rsidRPr="009F7A28" w14:paraId="6C650219" w14:textId="77777777" w:rsidTr="009F1837">
        <w:trPr>
          <w:cnfStyle w:val="100000000000" w:firstRow="1" w:lastRow="0" w:firstColumn="0" w:lastColumn="0" w:oddVBand="0" w:evenVBand="0" w:oddHBand="0" w:evenHBand="0" w:firstRowFirstColumn="0" w:firstRowLastColumn="0" w:lastRowFirstColumn="0" w:lastRowLastColumn="0"/>
          <w:trHeight w:val="427"/>
        </w:trPr>
        <w:tc>
          <w:tcPr>
            <w:tcW w:w="15750" w:type="dxa"/>
            <w:gridSpan w:val="6"/>
            <w:tcBorders>
              <w:top w:val="single" w:sz="4" w:space="0" w:color="auto"/>
              <w:left w:val="single" w:sz="4" w:space="0" w:color="auto"/>
              <w:bottom w:val="single" w:sz="4" w:space="0" w:color="auto"/>
              <w:right w:val="single" w:sz="4" w:space="0" w:color="auto"/>
            </w:tcBorders>
            <w:shd w:val="clear" w:color="auto" w:fill="93BBA9"/>
          </w:tcPr>
          <w:p w14:paraId="6C650218" w14:textId="35F06879" w:rsidR="007A7A94" w:rsidRDefault="004956A0">
            <w:pPr>
              <w:spacing w:after="120"/>
              <w:jc w:val="center"/>
              <w:rPr>
                <w:color w:val="FFFFFF" w:themeColor="background1"/>
                <w:sz w:val="16"/>
                <w:szCs w:val="16"/>
              </w:rPr>
            </w:pPr>
            <w:r>
              <w:rPr>
                <w:b/>
                <w:color w:val="FFFFFF" w:themeColor="background1"/>
                <w:sz w:val="16"/>
                <w:szCs w:val="16"/>
              </w:rPr>
              <w:lastRenderedPageBreak/>
              <w:t>D</w:t>
            </w:r>
            <w:r w:rsidR="009F1837" w:rsidRPr="009F7A28">
              <w:rPr>
                <w:b/>
                <w:color w:val="FFFFFF" w:themeColor="background1"/>
                <w:sz w:val="16"/>
                <w:szCs w:val="16"/>
              </w:rPr>
              <w:t>emand for environmental water</w:t>
            </w:r>
          </w:p>
        </w:tc>
      </w:tr>
      <w:tr w:rsidR="009F1837" w:rsidRPr="009F7A28" w14:paraId="6C650220" w14:textId="77777777" w:rsidTr="009F1837">
        <w:trPr>
          <w:cnfStyle w:val="000000100000" w:firstRow="0" w:lastRow="0" w:firstColumn="0" w:lastColumn="0" w:oddVBand="0" w:evenVBand="0" w:oddHBand="1" w:evenHBand="0" w:firstRowFirstColumn="0" w:firstRowLastColumn="0" w:lastRowFirstColumn="0" w:lastRowLastColumn="0"/>
          <w:trHeight w:val="1073"/>
        </w:trPr>
        <w:tc>
          <w:tcPr>
            <w:tcW w:w="1430" w:type="dxa"/>
            <w:tcBorders>
              <w:top w:val="single" w:sz="4" w:space="0" w:color="auto"/>
              <w:left w:val="single" w:sz="4" w:space="0" w:color="auto"/>
              <w:bottom w:val="single" w:sz="4" w:space="0" w:color="auto"/>
              <w:right w:val="single" w:sz="4" w:space="0" w:color="auto"/>
            </w:tcBorders>
            <w:vAlign w:val="bottom"/>
          </w:tcPr>
          <w:p w14:paraId="6C65021A" w14:textId="77777777" w:rsidR="007A7A94" w:rsidRDefault="009F1837">
            <w:pPr>
              <w:spacing w:after="120"/>
              <w:jc w:val="center"/>
              <w:rPr>
                <w:sz w:val="16"/>
                <w:szCs w:val="16"/>
              </w:rPr>
            </w:pPr>
            <w:r w:rsidRPr="009F7A28">
              <w:rPr>
                <w:b/>
                <w:sz w:val="16"/>
                <w:szCs w:val="16"/>
              </w:rPr>
              <w:t>Overall environmental water resource availability</w:t>
            </w:r>
          </w:p>
        </w:tc>
        <w:tc>
          <w:tcPr>
            <w:tcW w:w="2863" w:type="dxa"/>
            <w:tcBorders>
              <w:top w:val="single" w:sz="4" w:space="0" w:color="auto"/>
              <w:left w:val="single" w:sz="4" w:space="0" w:color="auto"/>
              <w:bottom w:val="single" w:sz="4" w:space="0" w:color="auto"/>
            </w:tcBorders>
            <w:vAlign w:val="center"/>
          </w:tcPr>
          <w:p w14:paraId="6C65021B" w14:textId="77777777" w:rsidR="007A7A94" w:rsidRDefault="009F1837">
            <w:pPr>
              <w:pStyle w:val="ListBullet"/>
              <w:numPr>
                <w:ilvl w:val="0"/>
                <w:numId w:val="0"/>
              </w:numPr>
              <w:spacing w:after="120"/>
              <w:jc w:val="center"/>
              <w:rPr>
                <w:b/>
                <w:sz w:val="16"/>
                <w:szCs w:val="16"/>
              </w:rPr>
            </w:pPr>
            <w:r w:rsidRPr="009F7A28">
              <w:rPr>
                <w:b/>
                <w:color w:val="000000" w:themeColor="text1"/>
                <w:sz w:val="16"/>
                <w:szCs w:val="16"/>
              </w:rPr>
              <w:t xml:space="preserve">Very High – water predominantly needed urgently  </w:t>
            </w:r>
          </w:p>
        </w:tc>
        <w:tc>
          <w:tcPr>
            <w:tcW w:w="2863" w:type="dxa"/>
            <w:tcBorders>
              <w:top w:val="single" w:sz="4" w:space="0" w:color="auto"/>
              <w:bottom w:val="single" w:sz="4" w:space="0" w:color="auto"/>
            </w:tcBorders>
            <w:vAlign w:val="center"/>
          </w:tcPr>
          <w:p w14:paraId="6C65021C" w14:textId="77777777" w:rsidR="007A7A94" w:rsidRDefault="009F1837">
            <w:pPr>
              <w:pStyle w:val="ListBullet"/>
              <w:numPr>
                <w:ilvl w:val="0"/>
                <w:numId w:val="0"/>
              </w:numPr>
              <w:spacing w:after="120"/>
              <w:ind w:left="-107"/>
              <w:jc w:val="center"/>
              <w:rPr>
                <w:b/>
                <w:sz w:val="16"/>
                <w:szCs w:val="16"/>
              </w:rPr>
            </w:pPr>
            <w:r w:rsidRPr="009F7A28">
              <w:rPr>
                <w:b/>
                <w:color w:val="000000" w:themeColor="text1"/>
                <w:sz w:val="16"/>
                <w:szCs w:val="16"/>
              </w:rPr>
              <w:t>High – water predominantly needed this year</w:t>
            </w:r>
          </w:p>
        </w:tc>
        <w:tc>
          <w:tcPr>
            <w:tcW w:w="2865" w:type="dxa"/>
            <w:tcBorders>
              <w:top w:val="single" w:sz="4" w:space="0" w:color="auto"/>
              <w:bottom w:val="single" w:sz="4" w:space="0" w:color="auto"/>
            </w:tcBorders>
            <w:vAlign w:val="center"/>
          </w:tcPr>
          <w:p w14:paraId="6C65021D" w14:textId="77777777" w:rsidR="007A7A94" w:rsidRDefault="009F1837">
            <w:pPr>
              <w:pStyle w:val="ListBullet"/>
              <w:numPr>
                <w:ilvl w:val="0"/>
                <w:numId w:val="0"/>
              </w:numPr>
              <w:spacing w:after="120"/>
              <w:jc w:val="center"/>
              <w:rPr>
                <w:b/>
                <w:sz w:val="16"/>
                <w:szCs w:val="16"/>
              </w:rPr>
            </w:pPr>
            <w:r w:rsidRPr="009F7A28">
              <w:rPr>
                <w:b/>
                <w:color w:val="000000" w:themeColor="text1"/>
                <w:sz w:val="16"/>
                <w:szCs w:val="16"/>
              </w:rPr>
              <w:t>Moderate – water predominantly needed this year and/or next</w:t>
            </w:r>
          </w:p>
        </w:tc>
        <w:tc>
          <w:tcPr>
            <w:tcW w:w="2865" w:type="dxa"/>
            <w:tcBorders>
              <w:top w:val="single" w:sz="4" w:space="0" w:color="auto"/>
              <w:bottom w:val="single" w:sz="4" w:space="0" w:color="auto"/>
            </w:tcBorders>
            <w:vAlign w:val="center"/>
          </w:tcPr>
          <w:p w14:paraId="6C65021E" w14:textId="77777777" w:rsidR="007A7A94" w:rsidRDefault="009F1837">
            <w:pPr>
              <w:pStyle w:val="ListBullet"/>
              <w:numPr>
                <w:ilvl w:val="0"/>
                <w:numId w:val="0"/>
              </w:numPr>
              <w:spacing w:after="120"/>
              <w:ind w:left="-64"/>
              <w:jc w:val="center"/>
              <w:rPr>
                <w:b/>
                <w:sz w:val="16"/>
                <w:szCs w:val="16"/>
              </w:rPr>
            </w:pPr>
            <w:r w:rsidRPr="009F7A28">
              <w:rPr>
                <w:b/>
                <w:color w:val="000000" w:themeColor="text1"/>
                <w:sz w:val="16"/>
                <w:szCs w:val="16"/>
              </w:rPr>
              <w:t>Low – water predominantly not needed this year</w:t>
            </w:r>
          </w:p>
        </w:tc>
        <w:tc>
          <w:tcPr>
            <w:tcW w:w="2863" w:type="dxa"/>
            <w:tcBorders>
              <w:top w:val="single" w:sz="4" w:space="0" w:color="auto"/>
              <w:bottom w:val="single" w:sz="4" w:space="0" w:color="auto"/>
              <w:right w:val="single" w:sz="4" w:space="0" w:color="auto"/>
            </w:tcBorders>
            <w:vAlign w:val="center"/>
          </w:tcPr>
          <w:p w14:paraId="6C65021F" w14:textId="77777777" w:rsidR="007A7A94" w:rsidRDefault="009F1837">
            <w:pPr>
              <w:pStyle w:val="ListBullet"/>
              <w:numPr>
                <w:ilvl w:val="0"/>
                <w:numId w:val="0"/>
              </w:numPr>
              <w:spacing w:after="120"/>
              <w:ind w:left="-60" w:firstLine="43"/>
              <w:jc w:val="center"/>
              <w:rPr>
                <w:b/>
                <w:sz w:val="16"/>
                <w:szCs w:val="16"/>
              </w:rPr>
            </w:pPr>
            <w:r w:rsidRPr="009F7A28">
              <w:rPr>
                <w:b/>
                <w:color w:val="000000" w:themeColor="text1"/>
                <w:sz w:val="16"/>
                <w:szCs w:val="16"/>
              </w:rPr>
              <w:t>Very low  - water predominantly not needed this year and next</w:t>
            </w:r>
          </w:p>
        </w:tc>
      </w:tr>
      <w:tr w:rsidR="009F1837" w:rsidRPr="009F7A28" w14:paraId="6C65022E" w14:textId="77777777" w:rsidTr="009F1837">
        <w:trPr>
          <w:cnfStyle w:val="000000010000" w:firstRow="0" w:lastRow="0" w:firstColumn="0" w:lastColumn="0" w:oddVBand="0" w:evenVBand="0" w:oddHBand="0" w:evenHBand="1" w:firstRowFirstColumn="0" w:firstRowLastColumn="0" w:lastRowFirstColumn="0" w:lastRowLastColumn="0"/>
          <w:trHeight w:val="1520"/>
        </w:trPr>
        <w:tc>
          <w:tcPr>
            <w:tcW w:w="1430" w:type="dxa"/>
            <w:tcBorders>
              <w:top w:val="single" w:sz="4" w:space="0" w:color="auto"/>
              <w:left w:val="single" w:sz="4" w:space="0" w:color="auto"/>
              <w:right w:val="single" w:sz="4" w:space="0" w:color="auto"/>
            </w:tcBorders>
            <w:vAlign w:val="center"/>
          </w:tcPr>
          <w:p w14:paraId="6C650221" w14:textId="77777777" w:rsidR="007A7A94" w:rsidRDefault="007A7A94">
            <w:pPr>
              <w:pStyle w:val="ListBullet"/>
              <w:numPr>
                <w:ilvl w:val="0"/>
                <w:numId w:val="0"/>
              </w:numPr>
              <w:spacing w:after="120"/>
              <w:ind w:left="-250"/>
              <w:jc w:val="center"/>
              <w:rPr>
                <w:b/>
                <w:sz w:val="16"/>
                <w:szCs w:val="16"/>
              </w:rPr>
            </w:pPr>
          </w:p>
          <w:p w14:paraId="6C650222" w14:textId="77777777" w:rsidR="007A7A94" w:rsidRDefault="009F1837">
            <w:pPr>
              <w:pStyle w:val="ListBullet"/>
              <w:numPr>
                <w:ilvl w:val="0"/>
                <w:numId w:val="0"/>
              </w:numPr>
              <w:spacing w:after="120"/>
              <w:ind w:left="-108"/>
              <w:jc w:val="center"/>
              <w:rPr>
                <w:b/>
                <w:sz w:val="16"/>
                <w:szCs w:val="16"/>
              </w:rPr>
            </w:pPr>
            <w:r w:rsidRPr="009F7A28">
              <w:rPr>
                <w:b/>
                <w:sz w:val="16"/>
                <w:szCs w:val="16"/>
              </w:rPr>
              <w:t>Very low</w:t>
            </w:r>
          </w:p>
          <w:p w14:paraId="6C650223" w14:textId="77777777" w:rsidR="007A7A94" w:rsidRDefault="007A7A94">
            <w:pPr>
              <w:pStyle w:val="ListBullet"/>
              <w:numPr>
                <w:ilvl w:val="0"/>
                <w:numId w:val="0"/>
              </w:numPr>
              <w:spacing w:after="120"/>
              <w:ind w:left="-108"/>
              <w:jc w:val="center"/>
              <w:rPr>
                <w:b/>
                <w:sz w:val="16"/>
                <w:szCs w:val="16"/>
              </w:rPr>
            </w:pPr>
          </w:p>
        </w:tc>
        <w:tc>
          <w:tcPr>
            <w:tcW w:w="2863" w:type="dxa"/>
            <w:vMerge w:val="restart"/>
            <w:tcBorders>
              <w:top w:val="single" w:sz="4" w:space="0" w:color="auto"/>
              <w:left w:val="single" w:sz="4" w:space="0" w:color="auto"/>
            </w:tcBorders>
            <w:shd w:val="clear" w:color="auto" w:fill="E9C8C1"/>
          </w:tcPr>
          <w:p w14:paraId="6C650224" w14:textId="46792C3A" w:rsidR="007A7A94" w:rsidRDefault="004835D0">
            <w:pPr>
              <w:pStyle w:val="ListBullet"/>
              <w:numPr>
                <w:ilvl w:val="0"/>
                <w:numId w:val="0"/>
              </w:numPr>
              <w:spacing w:after="120"/>
              <w:ind w:right="-86"/>
              <w:rPr>
                <w:sz w:val="16"/>
                <w:szCs w:val="16"/>
              </w:rPr>
            </w:pPr>
            <w:r>
              <w:rPr>
                <w:noProof/>
                <w:sz w:val="16"/>
                <w:szCs w:val="16"/>
              </w:rPr>
              <mc:AlternateContent>
                <mc:Choice Requires="wps">
                  <w:drawing>
                    <wp:anchor distT="0" distB="0" distL="114300" distR="114300" simplePos="0" relativeHeight="251684352" behindDoc="0" locked="0" layoutInCell="1" allowOverlap="1" wp14:anchorId="6C650331" wp14:editId="1C1E0381">
                      <wp:simplePos x="0" y="0"/>
                      <wp:positionH relativeFrom="column">
                        <wp:posOffset>163830</wp:posOffset>
                      </wp:positionH>
                      <wp:positionV relativeFrom="paragraph">
                        <wp:posOffset>118110</wp:posOffset>
                      </wp:positionV>
                      <wp:extent cx="2905760" cy="295275"/>
                      <wp:effectExtent l="4445" t="6985" r="4445" b="2540"/>
                      <wp:wrapNone/>
                      <wp:docPr id="16"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760" cy="2952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650359" w14:textId="77777777" w:rsidR="00D11956" w:rsidRPr="005C0CB0" w:rsidRDefault="00D11956" w:rsidP="009F1837">
                                  <w:pPr>
                                    <w:pStyle w:val="ListBullet2"/>
                                    <w:numPr>
                                      <w:ilvl w:val="0"/>
                                      <w:numId w:val="0"/>
                                    </w:numPr>
                                    <w:spacing w:before="20" w:after="20" w:line="276" w:lineRule="auto"/>
                                    <w:rPr>
                                      <w:b/>
                                      <w:i/>
                                      <w:color w:val="632423" w:themeColor="accent2" w:themeShade="80"/>
                                    </w:rPr>
                                  </w:pPr>
                                  <w:r w:rsidRPr="005C0CB0">
                                    <w:rPr>
                                      <w:b/>
                                      <w:i/>
                                      <w:color w:val="632423" w:themeColor="accent2" w:themeShade="80"/>
                                    </w:rPr>
                                    <w:t xml:space="preserve">Purpose: avoid damage to the environment </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6C650331" id="_x0000_t202" coordsize="21600,21600" o:spt="202" path="m,l,21600r21600,l21600,xe">
                      <v:stroke joinstyle="miter"/>
                      <v:path gradientshapeok="t" o:connecttype="rect"/>
                    </v:shapetype>
                    <v:shape id="Text Box 104" o:spid="_x0000_s1026" type="#_x0000_t202" style="position:absolute;left:0;text-align:left;margin-left:12.9pt;margin-top:9.3pt;width:228.8pt;height:23.25pt;z-index:2516843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" stroked="f">
                      <v:fill opacity="0"/>
                      <v:textbox style="mso-fit-shape-to-text:t">
                        <w:txbxContent>
                          <w:p w14:paraId="6C650359" w14:textId="77777777" w:rsidR="00D11956" w:rsidRPr="005C0CB0" w:rsidRDefault="00D11956" w:rsidP="009F1837">
                            <w:pPr>
                              <w:pStyle w:val="ListBullet2"/>
                              <w:numPr>
                                <w:ilvl w:val="0"/>
                                <w:numId w:val="0"/>
                              </w:numPr>
                              <w:spacing w:before="20" w:after="20" w:line="276" w:lineRule="auto"/>
                              <w:rPr>
                                <w:b/>
                                <w:i/>
                                <w:color w:val="632423" w:themeColor="accent2" w:themeShade="80"/>
                              </w:rPr>
                            </w:pPr>
                            <w:r w:rsidRPr="005C0CB0">
                              <w:rPr>
                                <w:b/>
                                <w:i/>
                                <w:color w:val="632423" w:themeColor="accent2" w:themeShade="80"/>
                              </w:rPr>
                              <w:t xml:space="preserve">Purpose: avoid damage to the environment </w:t>
                            </w:r>
                          </w:p>
                        </w:txbxContent>
                      </v:textbox>
                    </v:shape>
                  </w:pict>
                </mc:Fallback>
              </mc:AlternateContent>
            </w:r>
          </w:p>
          <w:p w14:paraId="6C650225" w14:textId="3E6C485A" w:rsidR="007A7A94" w:rsidRDefault="004835D0">
            <w:pPr>
              <w:pStyle w:val="ListBullet"/>
              <w:spacing w:after="120"/>
              <w:ind w:left="0" w:right="-86"/>
              <w:jc w:val="left"/>
              <w:rPr>
                <w:sz w:val="16"/>
                <w:szCs w:val="16"/>
              </w:rPr>
            </w:pPr>
            <w:r>
              <w:rPr>
                <w:noProof/>
                <w:sz w:val="16"/>
                <w:szCs w:val="16"/>
              </w:rPr>
              <mc:AlternateContent>
                <mc:Choice Requires="wps">
                  <w:drawing>
                    <wp:anchor distT="0" distB="0" distL="114300" distR="114300" simplePos="0" relativeHeight="251685376" behindDoc="0" locked="0" layoutInCell="1" allowOverlap="1" wp14:anchorId="6C650332" wp14:editId="59DAEABD">
                      <wp:simplePos x="0" y="0"/>
                      <wp:positionH relativeFrom="column">
                        <wp:posOffset>640080</wp:posOffset>
                      </wp:positionH>
                      <wp:positionV relativeFrom="paragraph">
                        <wp:posOffset>343535</wp:posOffset>
                      </wp:positionV>
                      <wp:extent cx="2908935" cy="1330325"/>
                      <wp:effectExtent l="4445" t="635" r="1270" b="2540"/>
                      <wp:wrapNone/>
                      <wp:docPr id="14"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8935" cy="133032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65035A" w14:textId="77777777" w:rsidR="00D11956" w:rsidRPr="00BF26F8" w:rsidRDefault="00D11956" w:rsidP="009F1837">
                                  <w:pPr>
                                    <w:spacing w:before="20" w:after="20" w:line="276" w:lineRule="auto"/>
                                    <w:jc w:val="center"/>
                                    <w:rPr>
                                      <w:b/>
                                      <w:sz w:val="16"/>
                                      <w:szCs w:val="16"/>
                                    </w:rPr>
                                  </w:pPr>
                                  <w:r w:rsidRPr="00CE75BA">
                                    <w:rPr>
                                      <w:b/>
                                      <w:sz w:val="16"/>
                                      <w:szCs w:val="16"/>
                                    </w:rPr>
                                    <w:t>Extended dry conditions</w:t>
                                  </w:r>
                                </w:p>
                                <w:p w14:paraId="6C65035B" w14:textId="77777777" w:rsidR="00D11956" w:rsidRDefault="00D11956" w:rsidP="009F1837">
                                  <w:pPr>
                                    <w:pStyle w:val="ListBullet2"/>
                                    <w:numPr>
                                      <w:ilvl w:val="1"/>
                                      <w:numId w:val="10"/>
                                    </w:numPr>
                                    <w:spacing w:before="20" w:after="20" w:line="276" w:lineRule="auto"/>
                                    <w:ind w:left="284" w:hanging="284"/>
                                    <w:jc w:val="center"/>
                                    <w:rPr>
                                      <w:sz w:val="16"/>
                                      <w:szCs w:val="16"/>
                                    </w:rPr>
                                  </w:pPr>
                                  <w:r>
                                    <w:rPr>
                                      <w:sz w:val="16"/>
                                      <w:szCs w:val="16"/>
                                    </w:rPr>
                                    <w:t xml:space="preserve">Water availability may be insufficient to meet all environmental demands </w:t>
                                  </w:r>
                                </w:p>
                                <w:p w14:paraId="6C65035C" w14:textId="77777777" w:rsidR="00D11956" w:rsidRPr="00A13F31" w:rsidRDefault="00D11956" w:rsidP="009F1837">
                                  <w:pPr>
                                    <w:pStyle w:val="ListBullet2"/>
                                    <w:numPr>
                                      <w:ilvl w:val="1"/>
                                      <w:numId w:val="10"/>
                                    </w:numPr>
                                    <w:spacing w:before="20" w:after="20" w:line="276" w:lineRule="auto"/>
                                    <w:ind w:left="284" w:hanging="284"/>
                                    <w:jc w:val="center"/>
                                    <w:rPr>
                                      <w:sz w:val="16"/>
                                      <w:szCs w:val="16"/>
                                    </w:rPr>
                                  </w:pPr>
                                  <w:r w:rsidRPr="00A13F31">
                                    <w:rPr>
                                      <w:sz w:val="16"/>
                                      <w:szCs w:val="16"/>
                                    </w:rPr>
                                    <w:t>Use</w:t>
                                  </w:r>
                                  <w:r>
                                    <w:rPr>
                                      <w:sz w:val="16"/>
                                      <w:szCs w:val="16"/>
                                    </w:rPr>
                                    <w:t xml:space="preserve"> a high proportion of limited allocations in targeted manner (e.g. individual wetlands, base flows)</w:t>
                                  </w:r>
                                </w:p>
                                <w:p w14:paraId="6C65035D" w14:textId="77777777" w:rsidR="00D11956" w:rsidRPr="00A13F31" w:rsidRDefault="00D11956" w:rsidP="009F1837">
                                  <w:pPr>
                                    <w:pStyle w:val="ListBullet2"/>
                                    <w:numPr>
                                      <w:ilvl w:val="1"/>
                                      <w:numId w:val="10"/>
                                    </w:numPr>
                                    <w:spacing w:before="20" w:after="20" w:line="276" w:lineRule="auto"/>
                                    <w:ind w:left="284" w:hanging="284"/>
                                    <w:jc w:val="center"/>
                                    <w:rPr>
                                      <w:sz w:val="16"/>
                                      <w:szCs w:val="16"/>
                                    </w:rPr>
                                  </w:pPr>
                                  <w:r>
                                    <w:rPr>
                                      <w:sz w:val="16"/>
                                      <w:szCs w:val="16"/>
                                    </w:rPr>
                                    <w:t>C</w:t>
                                  </w:r>
                                  <w:r w:rsidRPr="00A13F31">
                                    <w:rPr>
                                      <w:sz w:val="16"/>
                                      <w:szCs w:val="16"/>
                                    </w:rPr>
                                    <w:t>arryover</w:t>
                                  </w:r>
                                  <w:r>
                                    <w:rPr>
                                      <w:sz w:val="16"/>
                                      <w:szCs w:val="16"/>
                                    </w:rPr>
                                    <w:t xml:space="preserve"> a small proportion or no allocations</w:t>
                                  </w:r>
                                </w:p>
                                <w:p w14:paraId="6C65035E" w14:textId="77777777" w:rsidR="00D11956" w:rsidRPr="00A13F31" w:rsidRDefault="00D11956" w:rsidP="009F1837">
                                  <w:pPr>
                                    <w:pStyle w:val="ListBullet2"/>
                                    <w:numPr>
                                      <w:ilvl w:val="1"/>
                                      <w:numId w:val="10"/>
                                    </w:numPr>
                                    <w:spacing w:before="20" w:after="20" w:line="276" w:lineRule="auto"/>
                                    <w:ind w:left="284" w:hanging="284"/>
                                    <w:jc w:val="center"/>
                                    <w:rPr>
                                      <w:sz w:val="16"/>
                                      <w:szCs w:val="16"/>
                                    </w:rPr>
                                  </w:pPr>
                                  <w:r>
                                    <w:rPr>
                                      <w:sz w:val="16"/>
                                      <w:szCs w:val="16"/>
                                    </w:rPr>
                                    <w:t>Investigate opportunity to p</w:t>
                                  </w:r>
                                  <w:r w:rsidRPr="00A13F31">
                                    <w:rPr>
                                      <w:sz w:val="16"/>
                                      <w:szCs w:val="16"/>
                                    </w:rPr>
                                    <w:t xml:space="preserve">urchase </w:t>
                                  </w:r>
                                  <w:r>
                                    <w:rPr>
                                      <w:sz w:val="16"/>
                                      <w:szCs w:val="16"/>
                                    </w:rPr>
                                    <w:t xml:space="preserve">allocations by exception, </w:t>
                                  </w:r>
                                  <w:r w:rsidRPr="00A13F31">
                                    <w:rPr>
                                      <w:sz w:val="16"/>
                                      <w:szCs w:val="16"/>
                                    </w:rPr>
                                    <w:t xml:space="preserve">to assist in meeting urgent </w:t>
                                  </w:r>
                                  <w:r>
                                    <w:rPr>
                                      <w:sz w:val="16"/>
                                      <w:szCs w:val="16"/>
                                    </w:rPr>
                                    <w:t xml:space="preserve">and critical </w:t>
                                  </w:r>
                                  <w:r w:rsidRPr="00A13F31">
                                    <w:rPr>
                                      <w:sz w:val="16"/>
                                      <w:szCs w:val="16"/>
                                    </w:rPr>
                                    <w:t>demands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C650332" id="Text Box 105" o:spid="_x0000_s1027" type="#_x0000_t202" style="position:absolute;left:0;text-align:left;margin-left:50.4pt;margin-top:27.05pt;width:229.05pt;height:104.75pt;z-index:2516853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" stroked="f">
                      <v:fill opacity="0"/>
                      <v:textbox style="mso-fit-shape-to-text:t">
                        <w:txbxContent>
                          <w:p w14:paraId="6C65035A" w14:textId="77777777" w:rsidR="00D11956" w:rsidRPr="00BF26F8" w:rsidRDefault="00D11956" w:rsidP="009F1837">
                            <w:pPr>
                              <w:spacing w:before="20" w:after="20" w:line="276" w:lineRule="auto"/>
                              <w:jc w:val="center"/>
                              <w:rPr>
                                <w:b/>
                                <w:sz w:val="16"/>
                                <w:szCs w:val="16"/>
                              </w:rPr>
                            </w:pPr>
                            <w:r w:rsidRPr="00CE75BA">
                              <w:rPr>
                                <w:b/>
                                <w:sz w:val="16"/>
                                <w:szCs w:val="16"/>
                              </w:rPr>
                              <w:t>Extended dry conditions</w:t>
                            </w:r>
                          </w:p>
                          <w:p w14:paraId="6C65035B" w14:textId="77777777" w:rsidR="00D11956" w:rsidRDefault="00D11956" w:rsidP="009F1837">
                            <w:pPr>
                              <w:pStyle w:val="ListBullet2"/>
                              <w:numPr>
                                <w:ilvl w:val="1"/>
                                <w:numId w:val="10"/>
                              </w:numPr>
                              <w:spacing w:before="20" w:after="20" w:line="276" w:lineRule="auto"/>
                              <w:ind w:left="284" w:hanging="284"/>
                              <w:jc w:val="center"/>
                              <w:rPr>
                                <w:sz w:val="16"/>
                                <w:szCs w:val="16"/>
                              </w:rPr>
                            </w:pPr>
                            <w:r>
                              <w:rPr>
                                <w:sz w:val="16"/>
                                <w:szCs w:val="16"/>
                              </w:rPr>
                              <w:t xml:space="preserve">Water availability may be insufficient to meet all environmental demands </w:t>
                            </w:r>
                          </w:p>
                          <w:p w14:paraId="6C65035C" w14:textId="77777777" w:rsidR="00D11956" w:rsidRPr="00A13F31" w:rsidRDefault="00D11956" w:rsidP="009F1837">
                            <w:pPr>
                              <w:pStyle w:val="ListBullet2"/>
                              <w:numPr>
                                <w:ilvl w:val="1"/>
                                <w:numId w:val="10"/>
                              </w:numPr>
                              <w:spacing w:before="20" w:after="20" w:line="276" w:lineRule="auto"/>
                              <w:ind w:left="284" w:hanging="284"/>
                              <w:jc w:val="center"/>
                              <w:rPr>
                                <w:sz w:val="16"/>
                                <w:szCs w:val="16"/>
                              </w:rPr>
                            </w:pPr>
                            <w:r w:rsidRPr="00A13F31">
                              <w:rPr>
                                <w:sz w:val="16"/>
                                <w:szCs w:val="16"/>
                              </w:rPr>
                              <w:t>Use</w:t>
                            </w:r>
                            <w:r>
                              <w:rPr>
                                <w:sz w:val="16"/>
                                <w:szCs w:val="16"/>
                              </w:rPr>
                              <w:t xml:space="preserve"> a high proportion of limited allocations in targeted manner (e.g. individual wetlands, base flows)</w:t>
                            </w:r>
                          </w:p>
                          <w:p w14:paraId="6C65035D" w14:textId="77777777" w:rsidR="00D11956" w:rsidRPr="00A13F31" w:rsidRDefault="00D11956" w:rsidP="009F1837">
                            <w:pPr>
                              <w:pStyle w:val="ListBullet2"/>
                              <w:numPr>
                                <w:ilvl w:val="1"/>
                                <w:numId w:val="10"/>
                              </w:numPr>
                              <w:spacing w:before="20" w:after="20" w:line="276" w:lineRule="auto"/>
                              <w:ind w:left="284" w:hanging="284"/>
                              <w:jc w:val="center"/>
                              <w:rPr>
                                <w:sz w:val="16"/>
                                <w:szCs w:val="16"/>
                              </w:rPr>
                            </w:pPr>
                            <w:r>
                              <w:rPr>
                                <w:sz w:val="16"/>
                                <w:szCs w:val="16"/>
                              </w:rPr>
                              <w:t>C</w:t>
                            </w:r>
                            <w:r w:rsidRPr="00A13F31">
                              <w:rPr>
                                <w:sz w:val="16"/>
                                <w:szCs w:val="16"/>
                              </w:rPr>
                              <w:t>arryover</w:t>
                            </w:r>
                            <w:r>
                              <w:rPr>
                                <w:sz w:val="16"/>
                                <w:szCs w:val="16"/>
                              </w:rPr>
                              <w:t xml:space="preserve"> a small proportion or no allocations</w:t>
                            </w:r>
                          </w:p>
                          <w:p w14:paraId="6C65035E" w14:textId="77777777" w:rsidR="00D11956" w:rsidRPr="00A13F31" w:rsidRDefault="00D11956" w:rsidP="009F1837">
                            <w:pPr>
                              <w:pStyle w:val="ListBullet2"/>
                              <w:numPr>
                                <w:ilvl w:val="1"/>
                                <w:numId w:val="10"/>
                              </w:numPr>
                              <w:spacing w:before="20" w:after="20" w:line="276" w:lineRule="auto"/>
                              <w:ind w:left="284" w:hanging="284"/>
                              <w:jc w:val="center"/>
                              <w:rPr>
                                <w:sz w:val="16"/>
                                <w:szCs w:val="16"/>
                              </w:rPr>
                            </w:pPr>
                            <w:r>
                              <w:rPr>
                                <w:sz w:val="16"/>
                                <w:szCs w:val="16"/>
                              </w:rPr>
                              <w:t>Investigate opportunity to p</w:t>
                            </w:r>
                            <w:r w:rsidRPr="00A13F31">
                              <w:rPr>
                                <w:sz w:val="16"/>
                                <w:szCs w:val="16"/>
                              </w:rPr>
                              <w:t xml:space="preserve">urchase </w:t>
                            </w:r>
                            <w:r>
                              <w:rPr>
                                <w:sz w:val="16"/>
                                <w:szCs w:val="16"/>
                              </w:rPr>
                              <w:t xml:space="preserve">allocations by exception, </w:t>
                            </w:r>
                            <w:r w:rsidRPr="00A13F31">
                              <w:rPr>
                                <w:sz w:val="16"/>
                                <w:szCs w:val="16"/>
                              </w:rPr>
                              <w:t xml:space="preserve">to assist in meeting urgent </w:t>
                            </w:r>
                            <w:r>
                              <w:rPr>
                                <w:sz w:val="16"/>
                                <w:szCs w:val="16"/>
                              </w:rPr>
                              <w:t xml:space="preserve">and critical </w:t>
                            </w:r>
                            <w:r w:rsidRPr="00A13F31">
                              <w:rPr>
                                <w:sz w:val="16"/>
                                <w:szCs w:val="16"/>
                              </w:rPr>
                              <w:t>demands</w:t>
                            </w:r>
                          </w:p>
                        </w:txbxContent>
                      </v:textbox>
                    </v:shape>
                  </w:pict>
                </mc:Fallback>
              </mc:AlternateContent>
            </w:r>
          </w:p>
        </w:tc>
        <w:tc>
          <w:tcPr>
            <w:tcW w:w="2863" w:type="dxa"/>
            <w:tcBorders>
              <w:top w:val="single" w:sz="4" w:space="0" w:color="auto"/>
            </w:tcBorders>
            <w:shd w:val="clear" w:color="auto" w:fill="E9C8C1"/>
          </w:tcPr>
          <w:p w14:paraId="6C650226" w14:textId="77777777" w:rsidR="007A7A94" w:rsidRDefault="007A7A94">
            <w:pPr>
              <w:pStyle w:val="ListBullet"/>
              <w:numPr>
                <w:ilvl w:val="0"/>
                <w:numId w:val="0"/>
              </w:numPr>
              <w:spacing w:after="120"/>
              <w:rPr>
                <w:sz w:val="16"/>
                <w:szCs w:val="16"/>
              </w:rPr>
            </w:pPr>
          </w:p>
        </w:tc>
        <w:tc>
          <w:tcPr>
            <w:tcW w:w="2865" w:type="dxa"/>
            <w:tcBorders>
              <w:top w:val="single" w:sz="4" w:space="0" w:color="auto"/>
            </w:tcBorders>
            <w:shd w:val="clear" w:color="auto" w:fill="FDE9D9" w:themeFill="accent6" w:themeFillTint="33"/>
          </w:tcPr>
          <w:p w14:paraId="6C650227" w14:textId="1A4D76F6" w:rsidR="007A7A94" w:rsidRDefault="004835D0">
            <w:pPr>
              <w:pStyle w:val="ListBullet"/>
              <w:numPr>
                <w:ilvl w:val="0"/>
                <w:numId w:val="0"/>
              </w:numPr>
              <w:spacing w:after="120"/>
              <w:rPr>
                <w:sz w:val="16"/>
                <w:szCs w:val="16"/>
              </w:rPr>
            </w:pPr>
            <w:r>
              <w:rPr>
                <w:noProof/>
                <w:sz w:val="16"/>
                <w:szCs w:val="16"/>
              </w:rPr>
              <mc:AlternateContent>
                <mc:Choice Requires="wps">
                  <w:drawing>
                    <wp:anchor distT="0" distB="0" distL="114300" distR="114300" simplePos="0" relativeHeight="251686400" behindDoc="0" locked="0" layoutInCell="1" allowOverlap="1" wp14:anchorId="6C650333" wp14:editId="34757D1C">
                      <wp:simplePos x="0" y="0"/>
                      <wp:positionH relativeFrom="column">
                        <wp:posOffset>171450</wp:posOffset>
                      </wp:positionH>
                      <wp:positionV relativeFrom="paragraph">
                        <wp:posOffset>310515</wp:posOffset>
                      </wp:positionV>
                      <wp:extent cx="2091055" cy="486410"/>
                      <wp:effectExtent l="7620" t="1270" r="6350" b="7620"/>
                      <wp:wrapNone/>
                      <wp:docPr id="13"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1055" cy="48641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65035F" w14:textId="77777777" w:rsidR="00D11956" w:rsidRDefault="00D11956" w:rsidP="009F1837">
                                  <w:pPr>
                                    <w:pStyle w:val="ListBullet2"/>
                                    <w:numPr>
                                      <w:ilvl w:val="0"/>
                                      <w:numId w:val="0"/>
                                    </w:numPr>
                                    <w:spacing w:before="20" w:after="20" w:line="276" w:lineRule="auto"/>
                                    <w:rPr>
                                      <w:b/>
                                      <w:i/>
                                      <w:color w:val="984806" w:themeColor="accent6" w:themeShade="80"/>
                                    </w:rPr>
                                  </w:pPr>
                                  <w:r w:rsidRPr="005C0CB0">
                                    <w:rPr>
                                      <w:b/>
                                      <w:i/>
                                      <w:color w:val="984806" w:themeColor="accent6" w:themeShade="80"/>
                                    </w:rPr>
                                    <w:t xml:space="preserve">Purpose: Protect and ensure </w:t>
                                  </w:r>
                                </w:p>
                                <w:p w14:paraId="6C650360" w14:textId="77777777" w:rsidR="00D11956" w:rsidRPr="005C0CB0" w:rsidRDefault="00D11956" w:rsidP="009F1837">
                                  <w:pPr>
                                    <w:pStyle w:val="ListBullet2"/>
                                    <w:numPr>
                                      <w:ilvl w:val="0"/>
                                      <w:numId w:val="0"/>
                                    </w:numPr>
                                    <w:spacing w:before="20" w:after="20" w:line="276" w:lineRule="auto"/>
                                    <w:rPr>
                                      <w:b/>
                                      <w:i/>
                                      <w:color w:val="984806" w:themeColor="accent6" w:themeShade="80"/>
                                    </w:rPr>
                                  </w:pPr>
                                  <w:r w:rsidRPr="005C0CB0">
                                    <w:rPr>
                                      <w:b/>
                                      <w:i/>
                                      <w:color w:val="984806" w:themeColor="accent6" w:themeShade="80"/>
                                    </w:rPr>
                                    <w:t xml:space="preserve">capacity for recovery </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C650333" id="Text Box 106" o:spid="_x0000_s1028" type="#_x0000_t202" style="position:absolute;left:0;text-align:left;margin-left:13.5pt;margin-top:24.45pt;width:164.65pt;height:38.3pt;z-index:2516864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" stroked="f">
                      <v:fill opacity="0"/>
                      <v:textbox style="mso-fit-shape-to-text:t">
                        <w:txbxContent>
                          <w:p w14:paraId="6C65035F" w14:textId="77777777" w:rsidR="00D11956" w:rsidRDefault="00D11956" w:rsidP="009F1837">
                            <w:pPr>
                              <w:pStyle w:val="ListBullet2"/>
                              <w:numPr>
                                <w:ilvl w:val="0"/>
                                <w:numId w:val="0"/>
                              </w:numPr>
                              <w:spacing w:before="20" w:after="20" w:line="276" w:lineRule="auto"/>
                              <w:rPr>
                                <w:b/>
                                <w:i/>
                                <w:color w:val="984806" w:themeColor="accent6" w:themeShade="80"/>
                              </w:rPr>
                            </w:pPr>
                            <w:r w:rsidRPr="005C0CB0">
                              <w:rPr>
                                <w:b/>
                                <w:i/>
                                <w:color w:val="984806" w:themeColor="accent6" w:themeShade="80"/>
                              </w:rPr>
                              <w:t xml:space="preserve">Purpose: Protect and ensure </w:t>
                            </w:r>
                          </w:p>
                          <w:p w14:paraId="6C650360" w14:textId="77777777" w:rsidR="00D11956" w:rsidRPr="005C0CB0" w:rsidRDefault="00D11956" w:rsidP="009F1837">
                            <w:pPr>
                              <w:pStyle w:val="ListBullet2"/>
                              <w:numPr>
                                <w:ilvl w:val="0"/>
                                <w:numId w:val="0"/>
                              </w:numPr>
                              <w:spacing w:before="20" w:after="20" w:line="276" w:lineRule="auto"/>
                              <w:rPr>
                                <w:b/>
                                <w:i/>
                                <w:color w:val="984806" w:themeColor="accent6" w:themeShade="80"/>
                              </w:rPr>
                            </w:pPr>
                            <w:r w:rsidRPr="005C0CB0">
                              <w:rPr>
                                <w:b/>
                                <w:i/>
                                <w:color w:val="984806" w:themeColor="accent6" w:themeShade="80"/>
                              </w:rPr>
                              <w:t xml:space="preserve">capacity for recovery </w:t>
                            </w:r>
                          </w:p>
                        </w:txbxContent>
                      </v:textbox>
                    </v:shape>
                  </w:pict>
                </mc:Fallback>
              </mc:AlternateContent>
            </w:r>
          </w:p>
        </w:tc>
        <w:tc>
          <w:tcPr>
            <w:tcW w:w="2865" w:type="dxa"/>
            <w:tcBorders>
              <w:top w:val="single" w:sz="4" w:space="0" w:color="auto"/>
            </w:tcBorders>
            <w:shd w:val="clear" w:color="auto" w:fill="FDE9D9" w:themeFill="accent6" w:themeFillTint="33"/>
          </w:tcPr>
          <w:p w14:paraId="6C650228" w14:textId="695EB368" w:rsidR="007A7A94" w:rsidRDefault="004835D0">
            <w:pPr>
              <w:pStyle w:val="ListBullet"/>
              <w:numPr>
                <w:ilvl w:val="0"/>
                <w:numId w:val="0"/>
              </w:numPr>
              <w:spacing w:after="120"/>
              <w:rPr>
                <w:sz w:val="16"/>
                <w:szCs w:val="16"/>
              </w:rPr>
            </w:pPr>
            <w:r>
              <w:rPr>
                <w:noProof/>
                <w:sz w:val="16"/>
                <w:szCs w:val="16"/>
              </w:rPr>
              <mc:AlternateContent>
                <mc:Choice Requires="wps">
                  <w:drawing>
                    <wp:anchor distT="0" distB="0" distL="114300" distR="114300" simplePos="0" relativeHeight="251687424" behindDoc="0" locked="0" layoutInCell="1" allowOverlap="1" wp14:anchorId="6C650334" wp14:editId="04591A9D">
                      <wp:simplePos x="0" y="0"/>
                      <wp:positionH relativeFrom="column">
                        <wp:posOffset>59055</wp:posOffset>
                      </wp:positionH>
                      <wp:positionV relativeFrom="paragraph">
                        <wp:posOffset>541020</wp:posOffset>
                      </wp:positionV>
                      <wp:extent cx="3249930" cy="1618615"/>
                      <wp:effectExtent l="1905" t="5080" r="5715" b="5080"/>
                      <wp:wrapNone/>
                      <wp:docPr id="12"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9930" cy="161861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650361" w14:textId="77777777" w:rsidR="00D11956" w:rsidRPr="00BF26F8" w:rsidRDefault="00D11956" w:rsidP="009F1837">
                                  <w:pPr>
                                    <w:spacing w:before="20" w:after="20" w:line="276" w:lineRule="auto"/>
                                    <w:jc w:val="center"/>
                                    <w:rPr>
                                      <w:b/>
                                      <w:sz w:val="16"/>
                                      <w:szCs w:val="16"/>
                                    </w:rPr>
                                  </w:pPr>
                                  <w:r>
                                    <w:rPr>
                                      <w:b/>
                                      <w:sz w:val="16"/>
                                      <w:szCs w:val="16"/>
                                    </w:rPr>
                                    <w:t>Transitioning from wet period to dry</w:t>
                                  </w:r>
                                </w:p>
                                <w:p w14:paraId="6C650362" w14:textId="77777777" w:rsidR="00D11956" w:rsidRDefault="00D11956" w:rsidP="009F1837">
                                  <w:pPr>
                                    <w:pStyle w:val="ListBullet2"/>
                                    <w:numPr>
                                      <w:ilvl w:val="1"/>
                                      <w:numId w:val="10"/>
                                    </w:numPr>
                                    <w:spacing w:before="20" w:after="20" w:line="276" w:lineRule="auto"/>
                                    <w:ind w:left="284" w:hanging="284"/>
                                    <w:jc w:val="center"/>
                                    <w:rPr>
                                      <w:sz w:val="16"/>
                                      <w:szCs w:val="16"/>
                                    </w:rPr>
                                  </w:pPr>
                                  <w:r>
                                    <w:rPr>
                                      <w:sz w:val="16"/>
                                      <w:szCs w:val="16"/>
                                    </w:rPr>
                                    <w:t>Water availability typically sufficient to meet demands</w:t>
                                  </w:r>
                                </w:p>
                                <w:p w14:paraId="6C650363" w14:textId="77777777" w:rsidR="00D11956" w:rsidRDefault="00D11956" w:rsidP="009F1837">
                                  <w:pPr>
                                    <w:pStyle w:val="ListBullet2"/>
                                    <w:numPr>
                                      <w:ilvl w:val="1"/>
                                      <w:numId w:val="10"/>
                                    </w:numPr>
                                    <w:spacing w:before="20" w:after="20" w:line="276" w:lineRule="auto"/>
                                    <w:ind w:left="284" w:hanging="284"/>
                                    <w:jc w:val="center"/>
                                    <w:rPr>
                                      <w:sz w:val="16"/>
                                      <w:szCs w:val="16"/>
                                    </w:rPr>
                                  </w:pPr>
                                  <w:r>
                                    <w:rPr>
                                      <w:sz w:val="16"/>
                                      <w:szCs w:val="16"/>
                                    </w:rPr>
                                    <w:t>Allow drying to occur and u</w:t>
                                  </w:r>
                                  <w:r w:rsidRPr="002902E4">
                                    <w:rPr>
                                      <w:sz w:val="16"/>
                                      <w:szCs w:val="16"/>
                                    </w:rPr>
                                    <w:t xml:space="preserve">se a </w:t>
                                  </w:r>
                                  <w:r>
                                    <w:rPr>
                                      <w:sz w:val="16"/>
                                      <w:szCs w:val="16"/>
                                    </w:rPr>
                                    <w:t xml:space="preserve">low-moderate </w:t>
                                  </w:r>
                                  <w:r w:rsidRPr="002902E4">
                                    <w:rPr>
                                      <w:sz w:val="16"/>
                                      <w:szCs w:val="16"/>
                                    </w:rPr>
                                    <w:t xml:space="preserve">proportion </w:t>
                                  </w:r>
                                  <w:r>
                                    <w:rPr>
                                      <w:sz w:val="16"/>
                                      <w:szCs w:val="16"/>
                                    </w:rPr>
                                    <w:t>of available allocations as needed(e.g. for base flows)</w:t>
                                  </w:r>
                                </w:p>
                                <w:p w14:paraId="6C650364" w14:textId="77777777" w:rsidR="00D11956" w:rsidRDefault="00D11956" w:rsidP="009F1837">
                                  <w:pPr>
                                    <w:pStyle w:val="ListBullet2"/>
                                    <w:numPr>
                                      <w:ilvl w:val="1"/>
                                      <w:numId w:val="10"/>
                                    </w:numPr>
                                    <w:spacing w:before="20" w:after="20" w:line="276" w:lineRule="auto"/>
                                    <w:ind w:left="284" w:hanging="284"/>
                                    <w:jc w:val="center"/>
                                    <w:rPr>
                                      <w:sz w:val="16"/>
                                      <w:szCs w:val="16"/>
                                    </w:rPr>
                                  </w:pPr>
                                  <w:r w:rsidRPr="002902E4">
                                    <w:rPr>
                                      <w:sz w:val="16"/>
                                      <w:szCs w:val="16"/>
                                    </w:rPr>
                                    <w:t>Carryover a moderate proportion of allocations</w:t>
                                  </w:r>
                                  <w:r>
                                    <w:rPr>
                                      <w:sz w:val="16"/>
                                      <w:szCs w:val="16"/>
                                    </w:rPr>
                                    <w:t xml:space="preserve"> to meet minimum requirements in coming years</w:t>
                                  </w:r>
                                </w:p>
                                <w:p w14:paraId="6C650365" w14:textId="77777777" w:rsidR="00D11956" w:rsidRDefault="00D11956" w:rsidP="009F1837">
                                  <w:pPr>
                                    <w:pStyle w:val="ListBullet2"/>
                                    <w:numPr>
                                      <w:ilvl w:val="1"/>
                                      <w:numId w:val="10"/>
                                    </w:numPr>
                                    <w:spacing w:before="20" w:after="20" w:line="276" w:lineRule="auto"/>
                                    <w:ind w:left="284" w:hanging="284"/>
                                    <w:jc w:val="center"/>
                                    <w:rPr>
                                      <w:sz w:val="16"/>
                                      <w:szCs w:val="16"/>
                                    </w:rPr>
                                  </w:pPr>
                                  <w:r>
                                    <w:rPr>
                                      <w:sz w:val="16"/>
                                      <w:szCs w:val="16"/>
                                    </w:rPr>
                                    <w:t>An o</w:t>
                                  </w:r>
                                  <w:r w:rsidRPr="002902E4">
                                    <w:rPr>
                                      <w:sz w:val="16"/>
                                      <w:szCs w:val="16"/>
                                    </w:rPr>
                                    <w:t xml:space="preserve">pportunity for </w:t>
                                  </w:r>
                                  <w:r>
                                    <w:rPr>
                                      <w:sz w:val="16"/>
                                      <w:szCs w:val="16"/>
                                    </w:rPr>
                                    <w:t xml:space="preserve">sale of </w:t>
                                  </w:r>
                                  <w:r w:rsidRPr="002902E4">
                                    <w:rPr>
                                      <w:sz w:val="16"/>
                                      <w:szCs w:val="16"/>
                                    </w:rPr>
                                    <w:t>allocations</w:t>
                                  </w:r>
                                  <w:r>
                                    <w:rPr>
                                      <w:sz w:val="16"/>
                                      <w:szCs w:val="16"/>
                                    </w:rPr>
                                    <w:t>, subject to:</w:t>
                                  </w:r>
                                </w:p>
                                <w:p w14:paraId="6C650366" w14:textId="77777777" w:rsidR="00D11956" w:rsidRPr="003601CE" w:rsidRDefault="00D11956" w:rsidP="009F1837">
                                  <w:pPr>
                                    <w:pStyle w:val="ListNumber"/>
                                    <w:numPr>
                                      <w:ilvl w:val="0"/>
                                      <w:numId w:val="11"/>
                                    </w:numPr>
                                    <w:spacing w:after="0"/>
                                    <w:ind w:left="851" w:firstLine="142"/>
                                    <w:jc w:val="left"/>
                                    <w:rPr>
                                      <w:sz w:val="16"/>
                                      <w:szCs w:val="16"/>
                                    </w:rPr>
                                  </w:pPr>
                                  <w:r w:rsidRPr="003601CE">
                                    <w:rPr>
                                      <w:sz w:val="16"/>
                                      <w:szCs w:val="16"/>
                                    </w:rPr>
                                    <w:t>Environmental demands being met;</w:t>
                                  </w:r>
                                </w:p>
                                <w:p w14:paraId="6C650367" w14:textId="77777777" w:rsidR="00D11956" w:rsidRPr="003601CE" w:rsidRDefault="00D11956" w:rsidP="009F1837">
                                  <w:pPr>
                                    <w:pStyle w:val="ListNumber"/>
                                    <w:numPr>
                                      <w:ilvl w:val="0"/>
                                      <w:numId w:val="11"/>
                                    </w:numPr>
                                    <w:spacing w:after="0"/>
                                    <w:ind w:left="851" w:firstLine="142"/>
                                    <w:jc w:val="left"/>
                                    <w:rPr>
                                      <w:sz w:val="16"/>
                                      <w:szCs w:val="16"/>
                                    </w:rPr>
                                  </w:pPr>
                                  <w:r w:rsidRPr="003601CE">
                                    <w:rPr>
                                      <w:sz w:val="16"/>
                                      <w:szCs w:val="16"/>
                                    </w:rPr>
                                    <w:t>Sufficient carryover to meet future demands; and</w:t>
                                  </w:r>
                                </w:p>
                                <w:p w14:paraId="6C650368" w14:textId="77777777" w:rsidR="00D11956" w:rsidRPr="003601CE" w:rsidRDefault="00D11956" w:rsidP="009F1837">
                                  <w:pPr>
                                    <w:pStyle w:val="ListNumber"/>
                                    <w:numPr>
                                      <w:ilvl w:val="0"/>
                                      <w:numId w:val="11"/>
                                    </w:numPr>
                                    <w:spacing w:after="0"/>
                                    <w:ind w:left="851" w:firstLine="142"/>
                                    <w:jc w:val="left"/>
                                    <w:rPr>
                                      <w:sz w:val="16"/>
                                      <w:szCs w:val="16"/>
                                    </w:rPr>
                                  </w:pPr>
                                  <w:r w:rsidRPr="003601CE">
                                    <w:rPr>
                                      <w:sz w:val="16"/>
                                      <w:szCs w:val="16"/>
                                    </w:rPr>
                                    <w:t>Market conditions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C650334" id="Text Box 107" o:spid="_x0000_s1029" type="#_x0000_t202" style="position:absolute;left:0;text-align:left;margin-left:4.65pt;margin-top:42.6pt;width:255.9pt;height:127.45pt;z-index:2516874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" stroked="f">
                      <v:fill opacity="0"/>
                      <v:textbox style="mso-fit-shape-to-text:t">
                        <w:txbxContent>
                          <w:p w14:paraId="6C650361" w14:textId="77777777" w:rsidR="00D11956" w:rsidRPr="00BF26F8" w:rsidRDefault="00D11956" w:rsidP="009F1837">
                            <w:pPr>
                              <w:spacing w:before="20" w:after="20" w:line="276" w:lineRule="auto"/>
                              <w:jc w:val="center"/>
                              <w:rPr>
                                <w:b/>
                                <w:sz w:val="16"/>
                                <w:szCs w:val="16"/>
                              </w:rPr>
                            </w:pPr>
                            <w:r>
                              <w:rPr>
                                <w:b/>
                                <w:sz w:val="16"/>
                                <w:szCs w:val="16"/>
                              </w:rPr>
                              <w:t>Transitioning from wet period to dry</w:t>
                            </w:r>
                          </w:p>
                          <w:p w14:paraId="6C650362" w14:textId="77777777" w:rsidR="00D11956" w:rsidRDefault="00D11956" w:rsidP="009F1837">
                            <w:pPr>
                              <w:pStyle w:val="ListBullet2"/>
                              <w:numPr>
                                <w:ilvl w:val="1"/>
                                <w:numId w:val="10"/>
                              </w:numPr>
                              <w:spacing w:before="20" w:after="20" w:line="276" w:lineRule="auto"/>
                              <w:ind w:left="284" w:hanging="284"/>
                              <w:jc w:val="center"/>
                              <w:rPr>
                                <w:sz w:val="16"/>
                                <w:szCs w:val="16"/>
                              </w:rPr>
                            </w:pPr>
                            <w:r>
                              <w:rPr>
                                <w:sz w:val="16"/>
                                <w:szCs w:val="16"/>
                              </w:rPr>
                              <w:t>Water availability typically sufficient to meet demands</w:t>
                            </w:r>
                          </w:p>
                          <w:p w14:paraId="6C650363" w14:textId="77777777" w:rsidR="00D11956" w:rsidRDefault="00D11956" w:rsidP="009F1837">
                            <w:pPr>
                              <w:pStyle w:val="ListBullet2"/>
                              <w:numPr>
                                <w:ilvl w:val="1"/>
                                <w:numId w:val="10"/>
                              </w:numPr>
                              <w:spacing w:before="20" w:after="20" w:line="276" w:lineRule="auto"/>
                              <w:ind w:left="284" w:hanging="284"/>
                              <w:jc w:val="center"/>
                              <w:rPr>
                                <w:sz w:val="16"/>
                                <w:szCs w:val="16"/>
                              </w:rPr>
                            </w:pPr>
                            <w:r>
                              <w:rPr>
                                <w:sz w:val="16"/>
                                <w:szCs w:val="16"/>
                              </w:rPr>
                              <w:t>Allow drying to occur and u</w:t>
                            </w:r>
                            <w:r w:rsidRPr="002902E4">
                              <w:rPr>
                                <w:sz w:val="16"/>
                                <w:szCs w:val="16"/>
                              </w:rPr>
                              <w:t xml:space="preserve">se a </w:t>
                            </w:r>
                            <w:r>
                              <w:rPr>
                                <w:sz w:val="16"/>
                                <w:szCs w:val="16"/>
                              </w:rPr>
                              <w:t xml:space="preserve">low-moderate </w:t>
                            </w:r>
                            <w:r w:rsidRPr="002902E4">
                              <w:rPr>
                                <w:sz w:val="16"/>
                                <w:szCs w:val="16"/>
                              </w:rPr>
                              <w:t xml:space="preserve">proportion </w:t>
                            </w:r>
                            <w:r>
                              <w:rPr>
                                <w:sz w:val="16"/>
                                <w:szCs w:val="16"/>
                              </w:rPr>
                              <w:t>of available allocations as needed(e.g. for base flows)</w:t>
                            </w:r>
                          </w:p>
                          <w:p w14:paraId="6C650364" w14:textId="77777777" w:rsidR="00D11956" w:rsidRDefault="00D11956" w:rsidP="009F1837">
                            <w:pPr>
                              <w:pStyle w:val="ListBullet2"/>
                              <w:numPr>
                                <w:ilvl w:val="1"/>
                                <w:numId w:val="10"/>
                              </w:numPr>
                              <w:spacing w:before="20" w:after="20" w:line="276" w:lineRule="auto"/>
                              <w:ind w:left="284" w:hanging="284"/>
                              <w:jc w:val="center"/>
                              <w:rPr>
                                <w:sz w:val="16"/>
                                <w:szCs w:val="16"/>
                              </w:rPr>
                            </w:pPr>
                            <w:r w:rsidRPr="002902E4">
                              <w:rPr>
                                <w:sz w:val="16"/>
                                <w:szCs w:val="16"/>
                              </w:rPr>
                              <w:t>Carryover a moderate proportion of allocations</w:t>
                            </w:r>
                            <w:r>
                              <w:rPr>
                                <w:sz w:val="16"/>
                                <w:szCs w:val="16"/>
                              </w:rPr>
                              <w:t xml:space="preserve"> to meet minimum requirements in coming years</w:t>
                            </w:r>
                          </w:p>
                          <w:p w14:paraId="6C650365" w14:textId="77777777" w:rsidR="00D11956" w:rsidRDefault="00D11956" w:rsidP="009F1837">
                            <w:pPr>
                              <w:pStyle w:val="ListBullet2"/>
                              <w:numPr>
                                <w:ilvl w:val="1"/>
                                <w:numId w:val="10"/>
                              </w:numPr>
                              <w:spacing w:before="20" w:after="20" w:line="276" w:lineRule="auto"/>
                              <w:ind w:left="284" w:hanging="284"/>
                              <w:jc w:val="center"/>
                              <w:rPr>
                                <w:sz w:val="16"/>
                                <w:szCs w:val="16"/>
                              </w:rPr>
                            </w:pPr>
                            <w:r>
                              <w:rPr>
                                <w:sz w:val="16"/>
                                <w:szCs w:val="16"/>
                              </w:rPr>
                              <w:t>An o</w:t>
                            </w:r>
                            <w:r w:rsidRPr="002902E4">
                              <w:rPr>
                                <w:sz w:val="16"/>
                                <w:szCs w:val="16"/>
                              </w:rPr>
                              <w:t xml:space="preserve">pportunity for </w:t>
                            </w:r>
                            <w:r>
                              <w:rPr>
                                <w:sz w:val="16"/>
                                <w:szCs w:val="16"/>
                              </w:rPr>
                              <w:t xml:space="preserve">sale of </w:t>
                            </w:r>
                            <w:r w:rsidRPr="002902E4">
                              <w:rPr>
                                <w:sz w:val="16"/>
                                <w:szCs w:val="16"/>
                              </w:rPr>
                              <w:t>allocations</w:t>
                            </w:r>
                            <w:r>
                              <w:rPr>
                                <w:sz w:val="16"/>
                                <w:szCs w:val="16"/>
                              </w:rPr>
                              <w:t>, subject to:</w:t>
                            </w:r>
                          </w:p>
                          <w:p w14:paraId="6C650366" w14:textId="77777777" w:rsidR="00D11956" w:rsidRPr="003601CE" w:rsidRDefault="00D11956" w:rsidP="009F1837">
                            <w:pPr>
                              <w:pStyle w:val="ListNumber"/>
                              <w:numPr>
                                <w:ilvl w:val="0"/>
                                <w:numId w:val="11"/>
                              </w:numPr>
                              <w:spacing w:after="0"/>
                              <w:ind w:left="851" w:firstLine="142"/>
                              <w:jc w:val="left"/>
                              <w:rPr>
                                <w:sz w:val="16"/>
                                <w:szCs w:val="16"/>
                              </w:rPr>
                            </w:pPr>
                            <w:r w:rsidRPr="003601CE">
                              <w:rPr>
                                <w:sz w:val="16"/>
                                <w:szCs w:val="16"/>
                              </w:rPr>
                              <w:t>Environmental demands being met;</w:t>
                            </w:r>
                          </w:p>
                          <w:p w14:paraId="6C650367" w14:textId="77777777" w:rsidR="00D11956" w:rsidRPr="003601CE" w:rsidRDefault="00D11956" w:rsidP="009F1837">
                            <w:pPr>
                              <w:pStyle w:val="ListNumber"/>
                              <w:numPr>
                                <w:ilvl w:val="0"/>
                                <w:numId w:val="11"/>
                              </w:numPr>
                              <w:spacing w:after="0"/>
                              <w:ind w:left="851" w:firstLine="142"/>
                              <w:jc w:val="left"/>
                              <w:rPr>
                                <w:sz w:val="16"/>
                                <w:szCs w:val="16"/>
                              </w:rPr>
                            </w:pPr>
                            <w:r w:rsidRPr="003601CE">
                              <w:rPr>
                                <w:sz w:val="16"/>
                                <w:szCs w:val="16"/>
                              </w:rPr>
                              <w:t>Sufficient carryover to meet future demands; and</w:t>
                            </w:r>
                          </w:p>
                          <w:p w14:paraId="6C650368" w14:textId="77777777" w:rsidR="00D11956" w:rsidRPr="003601CE" w:rsidRDefault="00D11956" w:rsidP="009F1837">
                            <w:pPr>
                              <w:pStyle w:val="ListNumber"/>
                              <w:numPr>
                                <w:ilvl w:val="0"/>
                                <w:numId w:val="11"/>
                              </w:numPr>
                              <w:spacing w:after="0"/>
                              <w:ind w:left="851" w:firstLine="142"/>
                              <w:jc w:val="left"/>
                              <w:rPr>
                                <w:sz w:val="16"/>
                                <w:szCs w:val="16"/>
                              </w:rPr>
                            </w:pPr>
                            <w:r w:rsidRPr="003601CE">
                              <w:rPr>
                                <w:sz w:val="16"/>
                                <w:szCs w:val="16"/>
                              </w:rPr>
                              <w:t>Market conditions</w:t>
                            </w:r>
                          </w:p>
                        </w:txbxContent>
                      </v:textbox>
                    </v:shape>
                  </w:pict>
                </mc:Fallback>
              </mc:AlternateContent>
            </w:r>
          </w:p>
        </w:tc>
        <w:tc>
          <w:tcPr>
            <w:tcW w:w="2863" w:type="dxa"/>
            <w:vMerge w:val="restart"/>
            <w:tcBorders>
              <w:top w:val="single" w:sz="4" w:space="0" w:color="auto"/>
              <w:bottom w:val="single" w:sz="4" w:space="0" w:color="auto"/>
              <w:right w:val="single" w:sz="4" w:space="0" w:color="auto"/>
            </w:tcBorders>
            <w:shd w:val="clear" w:color="auto" w:fill="CEE0D8"/>
          </w:tcPr>
          <w:p w14:paraId="6C650229" w14:textId="77777777" w:rsidR="007A7A94" w:rsidRDefault="007A7A94">
            <w:pPr>
              <w:pStyle w:val="ListBullet"/>
              <w:spacing w:after="120"/>
              <w:ind w:left="0"/>
              <w:jc w:val="left"/>
              <w:rPr>
                <w:sz w:val="16"/>
                <w:szCs w:val="16"/>
              </w:rPr>
            </w:pPr>
          </w:p>
          <w:p w14:paraId="6C65022A" w14:textId="77777777" w:rsidR="007A7A94" w:rsidRDefault="007A7A94">
            <w:pPr>
              <w:pStyle w:val="ListBullet"/>
              <w:spacing w:after="120"/>
              <w:ind w:left="0"/>
              <w:jc w:val="left"/>
              <w:rPr>
                <w:sz w:val="16"/>
                <w:szCs w:val="16"/>
              </w:rPr>
            </w:pPr>
          </w:p>
          <w:p w14:paraId="6C65022B" w14:textId="77777777" w:rsidR="007A7A94" w:rsidRDefault="007A7A94">
            <w:pPr>
              <w:pStyle w:val="ListBullet"/>
              <w:spacing w:after="120"/>
              <w:ind w:left="0"/>
              <w:jc w:val="left"/>
              <w:rPr>
                <w:sz w:val="16"/>
                <w:szCs w:val="16"/>
              </w:rPr>
            </w:pPr>
          </w:p>
          <w:p w14:paraId="6C65022C" w14:textId="77777777" w:rsidR="007A7A94" w:rsidRDefault="007A7A94">
            <w:pPr>
              <w:pStyle w:val="ListBullet"/>
              <w:spacing w:after="120"/>
              <w:ind w:left="0"/>
              <w:jc w:val="left"/>
              <w:rPr>
                <w:sz w:val="16"/>
                <w:szCs w:val="16"/>
              </w:rPr>
            </w:pPr>
          </w:p>
          <w:p w14:paraId="6C65022D" w14:textId="77777777" w:rsidR="007A7A94" w:rsidRDefault="007A7A94">
            <w:pPr>
              <w:pStyle w:val="ListBullet"/>
              <w:spacing w:after="120"/>
              <w:ind w:left="0"/>
              <w:jc w:val="left"/>
              <w:rPr>
                <w:sz w:val="16"/>
                <w:szCs w:val="16"/>
              </w:rPr>
            </w:pPr>
          </w:p>
        </w:tc>
      </w:tr>
      <w:tr w:rsidR="009F1837" w:rsidRPr="009F7A28" w14:paraId="6C65023B" w14:textId="77777777" w:rsidTr="009F1837">
        <w:trPr>
          <w:cnfStyle w:val="000000100000" w:firstRow="0" w:lastRow="0" w:firstColumn="0" w:lastColumn="0" w:oddVBand="0" w:evenVBand="0" w:oddHBand="1" w:evenHBand="0" w:firstRowFirstColumn="0" w:firstRowLastColumn="0" w:lastRowFirstColumn="0" w:lastRowLastColumn="0"/>
          <w:trHeight w:val="1501"/>
        </w:trPr>
        <w:tc>
          <w:tcPr>
            <w:tcW w:w="1430" w:type="dxa"/>
            <w:tcBorders>
              <w:left w:val="single" w:sz="4" w:space="0" w:color="auto"/>
              <w:right w:val="single" w:sz="4" w:space="0" w:color="auto"/>
            </w:tcBorders>
            <w:vAlign w:val="center"/>
          </w:tcPr>
          <w:p w14:paraId="6C65022F" w14:textId="77777777" w:rsidR="007A7A94" w:rsidRDefault="009F1837">
            <w:pPr>
              <w:pStyle w:val="ListBullet"/>
              <w:numPr>
                <w:ilvl w:val="0"/>
                <w:numId w:val="0"/>
              </w:numPr>
              <w:spacing w:after="120"/>
              <w:ind w:left="-108"/>
              <w:jc w:val="center"/>
              <w:rPr>
                <w:b/>
                <w:sz w:val="16"/>
                <w:szCs w:val="16"/>
              </w:rPr>
            </w:pPr>
            <w:r w:rsidRPr="009F7A28">
              <w:rPr>
                <w:b/>
                <w:sz w:val="16"/>
                <w:szCs w:val="16"/>
              </w:rPr>
              <w:t>Low</w:t>
            </w:r>
          </w:p>
          <w:p w14:paraId="6C650230" w14:textId="77777777" w:rsidR="007A7A94" w:rsidRDefault="007A7A94">
            <w:pPr>
              <w:pStyle w:val="ListBullet"/>
              <w:numPr>
                <w:ilvl w:val="0"/>
                <w:numId w:val="0"/>
              </w:numPr>
              <w:spacing w:after="120"/>
              <w:ind w:left="-108"/>
              <w:jc w:val="center"/>
              <w:rPr>
                <w:b/>
                <w:sz w:val="16"/>
                <w:szCs w:val="16"/>
              </w:rPr>
            </w:pPr>
          </w:p>
        </w:tc>
        <w:tc>
          <w:tcPr>
            <w:tcW w:w="2863" w:type="dxa"/>
            <w:vMerge/>
            <w:tcBorders>
              <w:left w:val="single" w:sz="4" w:space="0" w:color="auto"/>
            </w:tcBorders>
            <w:shd w:val="clear" w:color="auto" w:fill="F2DBDB" w:themeFill="accent2" w:themeFillTint="33"/>
          </w:tcPr>
          <w:p w14:paraId="6C650231" w14:textId="77777777" w:rsidR="007A7A94" w:rsidRDefault="007A7A94">
            <w:pPr>
              <w:pStyle w:val="ListBullet"/>
              <w:numPr>
                <w:ilvl w:val="0"/>
                <w:numId w:val="0"/>
              </w:numPr>
              <w:spacing w:after="120"/>
              <w:ind w:right="-86"/>
              <w:rPr>
                <w:sz w:val="16"/>
                <w:szCs w:val="16"/>
              </w:rPr>
            </w:pPr>
          </w:p>
        </w:tc>
        <w:tc>
          <w:tcPr>
            <w:tcW w:w="2863" w:type="dxa"/>
            <w:shd w:val="clear" w:color="auto" w:fill="FDE9D9" w:themeFill="accent6" w:themeFillTint="33"/>
          </w:tcPr>
          <w:p w14:paraId="6C650232" w14:textId="77777777" w:rsidR="007A7A94" w:rsidRDefault="009F1837">
            <w:pPr>
              <w:pStyle w:val="ListBullet"/>
              <w:numPr>
                <w:ilvl w:val="0"/>
                <w:numId w:val="0"/>
              </w:numPr>
              <w:spacing w:after="120"/>
              <w:rPr>
                <w:sz w:val="16"/>
                <w:szCs w:val="16"/>
              </w:rPr>
            </w:pPr>
            <w:r w:rsidRPr="009F7A28">
              <w:rPr>
                <w:sz w:val="16"/>
                <w:szCs w:val="16"/>
              </w:rPr>
              <w:t xml:space="preserve">             </w:t>
            </w:r>
          </w:p>
          <w:p w14:paraId="6C650233" w14:textId="5D370C05" w:rsidR="007A7A94" w:rsidRDefault="004835D0">
            <w:pPr>
              <w:pStyle w:val="ListBullet"/>
              <w:numPr>
                <w:ilvl w:val="0"/>
                <w:numId w:val="0"/>
              </w:numPr>
              <w:spacing w:after="120"/>
              <w:rPr>
                <w:sz w:val="16"/>
                <w:szCs w:val="16"/>
              </w:rPr>
            </w:pPr>
            <w:r>
              <w:rPr>
                <w:noProof/>
                <w:sz w:val="16"/>
                <w:szCs w:val="16"/>
              </w:rPr>
              <mc:AlternateContent>
                <mc:Choice Requires="wps">
                  <w:drawing>
                    <wp:anchor distT="0" distB="0" distL="114300" distR="114300" simplePos="0" relativeHeight="251688448" behindDoc="0" locked="0" layoutInCell="1" allowOverlap="1" wp14:anchorId="6C650335" wp14:editId="47D54EA6">
                      <wp:simplePos x="0" y="0"/>
                      <wp:positionH relativeFrom="column">
                        <wp:posOffset>1204595</wp:posOffset>
                      </wp:positionH>
                      <wp:positionV relativeFrom="paragraph">
                        <wp:posOffset>716915</wp:posOffset>
                      </wp:positionV>
                      <wp:extent cx="2904490" cy="1330325"/>
                      <wp:effectExtent l="8255" t="4445" r="1905" b="8255"/>
                      <wp:wrapNone/>
                      <wp:docPr id="11"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4490" cy="133032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650369" w14:textId="77777777" w:rsidR="00D11956" w:rsidRPr="00BF26F8" w:rsidRDefault="00D11956" w:rsidP="009F1837">
                                  <w:pPr>
                                    <w:spacing w:before="20" w:after="20" w:line="276" w:lineRule="auto"/>
                                    <w:jc w:val="center"/>
                                    <w:rPr>
                                      <w:b/>
                                      <w:sz w:val="16"/>
                                      <w:szCs w:val="16"/>
                                    </w:rPr>
                                  </w:pPr>
                                  <w:r w:rsidRPr="00CE75BA">
                                    <w:rPr>
                                      <w:b/>
                                      <w:sz w:val="16"/>
                                      <w:szCs w:val="16"/>
                                    </w:rPr>
                                    <w:t>Moderate or average conditions</w:t>
                                  </w:r>
                                </w:p>
                                <w:p w14:paraId="6C65036A" w14:textId="77777777" w:rsidR="00D11956" w:rsidRDefault="00D11956" w:rsidP="009F1837">
                                  <w:pPr>
                                    <w:pStyle w:val="ListBullet2"/>
                                    <w:numPr>
                                      <w:ilvl w:val="1"/>
                                      <w:numId w:val="10"/>
                                    </w:numPr>
                                    <w:spacing w:before="20" w:after="20" w:line="276" w:lineRule="auto"/>
                                    <w:ind w:left="284" w:hanging="284"/>
                                    <w:jc w:val="center"/>
                                    <w:rPr>
                                      <w:sz w:val="16"/>
                                      <w:szCs w:val="16"/>
                                    </w:rPr>
                                  </w:pPr>
                                  <w:r>
                                    <w:rPr>
                                      <w:sz w:val="16"/>
                                      <w:szCs w:val="16"/>
                                    </w:rPr>
                                    <w:t>Environmental demands and water availability broadly match</w:t>
                                  </w:r>
                                </w:p>
                                <w:p w14:paraId="6C65036B" w14:textId="77777777" w:rsidR="00D11956" w:rsidRDefault="00D11956" w:rsidP="009F1837">
                                  <w:pPr>
                                    <w:pStyle w:val="ListBullet2"/>
                                    <w:numPr>
                                      <w:ilvl w:val="1"/>
                                      <w:numId w:val="10"/>
                                    </w:numPr>
                                    <w:spacing w:before="20" w:after="20" w:line="276" w:lineRule="auto"/>
                                    <w:ind w:left="284" w:hanging="284"/>
                                    <w:jc w:val="center"/>
                                    <w:rPr>
                                      <w:sz w:val="16"/>
                                      <w:szCs w:val="16"/>
                                    </w:rPr>
                                  </w:pPr>
                                  <w:r>
                                    <w:rPr>
                                      <w:sz w:val="16"/>
                                      <w:szCs w:val="16"/>
                                    </w:rPr>
                                    <w:t>Use a moderate to high proportion of available allocations (e.g. for base flows through to limited overbank flows)</w:t>
                                  </w:r>
                                </w:p>
                                <w:p w14:paraId="6C65036C" w14:textId="77777777" w:rsidR="00D11956" w:rsidRPr="00C36DCC" w:rsidRDefault="00D11956" w:rsidP="009F1837">
                                  <w:pPr>
                                    <w:pStyle w:val="ListBullet2"/>
                                    <w:numPr>
                                      <w:ilvl w:val="1"/>
                                      <w:numId w:val="10"/>
                                    </w:numPr>
                                    <w:spacing w:before="20" w:after="20" w:line="276" w:lineRule="auto"/>
                                    <w:ind w:left="284" w:hanging="284"/>
                                    <w:jc w:val="center"/>
                                    <w:rPr>
                                      <w:sz w:val="16"/>
                                      <w:szCs w:val="16"/>
                                    </w:rPr>
                                  </w:pPr>
                                  <w:r>
                                    <w:rPr>
                                      <w:sz w:val="16"/>
                                      <w:szCs w:val="16"/>
                                    </w:rPr>
                                    <w:t>Carryover a low to moderate proportion of available allocations</w:t>
                                  </w:r>
                                </w:p>
                                <w:p w14:paraId="6C65036D" w14:textId="77777777" w:rsidR="00D11956" w:rsidRPr="00C36DCC" w:rsidRDefault="00D11956" w:rsidP="009F1837">
                                  <w:pPr>
                                    <w:pStyle w:val="ListBullet2"/>
                                    <w:numPr>
                                      <w:ilvl w:val="1"/>
                                      <w:numId w:val="10"/>
                                    </w:numPr>
                                    <w:spacing w:before="20" w:after="20" w:line="276" w:lineRule="auto"/>
                                    <w:ind w:left="284" w:hanging="284"/>
                                    <w:jc w:val="center"/>
                                    <w:rPr>
                                      <w:sz w:val="16"/>
                                      <w:szCs w:val="16"/>
                                    </w:rPr>
                                  </w:pPr>
                                  <w:r>
                                    <w:rPr>
                                      <w:sz w:val="16"/>
                                      <w:szCs w:val="16"/>
                                    </w:rPr>
                                    <w:t>Investigate opportunity for allocation sale or purchase, depending on needs and market conditions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C650335" id="Text Box 108" o:spid="_x0000_s1030" type="#_x0000_t202" style="position:absolute;left:0;text-align:left;margin-left:94.85pt;margin-top:56.45pt;width:228.7pt;height:104.75pt;z-index:2516884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" stroked="f">
                      <v:fill opacity="0"/>
                      <v:textbox style="mso-fit-shape-to-text:t">
                        <w:txbxContent>
                          <w:p w14:paraId="6C650369" w14:textId="77777777" w:rsidR="00D11956" w:rsidRPr="00BF26F8" w:rsidRDefault="00D11956" w:rsidP="009F1837">
                            <w:pPr>
                              <w:spacing w:before="20" w:after="20" w:line="276" w:lineRule="auto"/>
                              <w:jc w:val="center"/>
                              <w:rPr>
                                <w:b/>
                                <w:sz w:val="16"/>
                                <w:szCs w:val="16"/>
                              </w:rPr>
                            </w:pPr>
                            <w:r w:rsidRPr="00CE75BA">
                              <w:rPr>
                                <w:b/>
                                <w:sz w:val="16"/>
                                <w:szCs w:val="16"/>
                              </w:rPr>
                              <w:t>Moderate or average conditions</w:t>
                            </w:r>
                          </w:p>
                          <w:p w14:paraId="6C65036A" w14:textId="77777777" w:rsidR="00D11956" w:rsidRDefault="00D11956" w:rsidP="009F1837">
                            <w:pPr>
                              <w:pStyle w:val="ListBullet2"/>
                              <w:numPr>
                                <w:ilvl w:val="1"/>
                                <w:numId w:val="10"/>
                              </w:numPr>
                              <w:spacing w:before="20" w:after="20" w:line="276" w:lineRule="auto"/>
                              <w:ind w:left="284" w:hanging="284"/>
                              <w:jc w:val="center"/>
                              <w:rPr>
                                <w:sz w:val="16"/>
                                <w:szCs w:val="16"/>
                              </w:rPr>
                            </w:pPr>
                            <w:r>
                              <w:rPr>
                                <w:sz w:val="16"/>
                                <w:szCs w:val="16"/>
                              </w:rPr>
                              <w:t>Environmental demands and water availability broadly match</w:t>
                            </w:r>
                          </w:p>
                          <w:p w14:paraId="6C65036B" w14:textId="77777777" w:rsidR="00D11956" w:rsidRDefault="00D11956" w:rsidP="009F1837">
                            <w:pPr>
                              <w:pStyle w:val="ListBullet2"/>
                              <w:numPr>
                                <w:ilvl w:val="1"/>
                                <w:numId w:val="10"/>
                              </w:numPr>
                              <w:spacing w:before="20" w:after="20" w:line="276" w:lineRule="auto"/>
                              <w:ind w:left="284" w:hanging="284"/>
                              <w:jc w:val="center"/>
                              <w:rPr>
                                <w:sz w:val="16"/>
                                <w:szCs w:val="16"/>
                              </w:rPr>
                            </w:pPr>
                            <w:r>
                              <w:rPr>
                                <w:sz w:val="16"/>
                                <w:szCs w:val="16"/>
                              </w:rPr>
                              <w:t>Use a moderate to high proportion of available allocations (e.g. for base flows through to limited overbank flows)</w:t>
                            </w:r>
                          </w:p>
                          <w:p w14:paraId="6C65036C" w14:textId="77777777" w:rsidR="00D11956" w:rsidRPr="00C36DCC" w:rsidRDefault="00D11956" w:rsidP="009F1837">
                            <w:pPr>
                              <w:pStyle w:val="ListBullet2"/>
                              <w:numPr>
                                <w:ilvl w:val="1"/>
                                <w:numId w:val="10"/>
                              </w:numPr>
                              <w:spacing w:before="20" w:after="20" w:line="276" w:lineRule="auto"/>
                              <w:ind w:left="284" w:hanging="284"/>
                              <w:jc w:val="center"/>
                              <w:rPr>
                                <w:sz w:val="16"/>
                                <w:szCs w:val="16"/>
                              </w:rPr>
                            </w:pPr>
                            <w:r>
                              <w:rPr>
                                <w:sz w:val="16"/>
                                <w:szCs w:val="16"/>
                              </w:rPr>
                              <w:t>Carryover a low to moderate proportion of available allocations</w:t>
                            </w:r>
                          </w:p>
                          <w:p w14:paraId="6C65036D" w14:textId="77777777" w:rsidR="00D11956" w:rsidRPr="00C36DCC" w:rsidRDefault="00D11956" w:rsidP="009F1837">
                            <w:pPr>
                              <w:pStyle w:val="ListBullet2"/>
                              <w:numPr>
                                <w:ilvl w:val="1"/>
                                <w:numId w:val="10"/>
                              </w:numPr>
                              <w:spacing w:before="20" w:after="20" w:line="276" w:lineRule="auto"/>
                              <w:ind w:left="284" w:hanging="284"/>
                              <w:jc w:val="center"/>
                              <w:rPr>
                                <w:sz w:val="16"/>
                                <w:szCs w:val="16"/>
                              </w:rPr>
                            </w:pPr>
                            <w:r>
                              <w:rPr>
                                <w:sz w:val="16"/>
                                <w:szCs w:val="16"/>
                              </w:rPr>
                              <w:t>Investigate opportunity for allocation sale or purchase, depending on needs and market conditions</w:t>
                            </w:r>
                          </w:p>
                        </w:txbxContent>
                      </v:textbox>
                    </v:shape>
                  </w:pict>
                </mc:Fallback>
              </mc:AlternateContent>
            </w:r>
            <w:r w:rsidR="009F1837" w:rsidRPr="009F7A28">
              <w:rPr>
                <w:sz w:val="16"/>
                <w:szCs w:val="16"/>
              </w:rPr>
              <w:t xml:space="preserve">               </w:t>
            </w:r>
          </w:p>
        </w:tc>
        <w:tc>
          <w:tcPr>
            <w:tcW w:w="2865" w:type="dxa"/>
            <w:shd w:val="clear" w:color="auto" w:fill="FDE9D9" w:themeFill="accent6" w:themeFillTint="33"/>
          </w:tcPr>
          <w:p w14:paraId="6C650234" w14:textId="77777777" w:rsidR="007A7A94" w:rsidRDefault="007A7A94">
            <w:pPr>
              <w:pStyle w:val="ListBullet"/>
              <w:numPr>
                <w:ilvl w:val="0"/>
                <w:numId w:val="0"/>
              </w:numPr>
              <w:spacing w:after="120"/>
              <w:rPr>
                <w:sz w:val="16"/>
                <w:szCs w:val="16"/>
              </w:rPr>
            </w:pPr>
          </w:p>
        </w:tc>
        <w:tc>
          <w:tcPr>
            <w:tcW w:w="2865" w:type="dxa"/>
            <w:vMerge w:val="restart"/>
            <w:shd w:val="clear" w:color="auto" w:fill="CEE0D8"/>
          </w:tcPr>
          <w:p w14:paraId="6C650235" w14:textId="77777777" w:rsidR="007A7A94" w:rsidRDefault="007A7A94">
            <w:pPr>
              <w:pStyle w:val="ListBullet"/>
              <w:numPr>
                <w:ilvl w:val="0"/>
                <w:numId w:val="0"/>
              </w:numPr>
              <w:spacing w:after="120"/>
              <w:rPr>
                <w:sz w:val="16"/>
                <w:szCs w:val="16"/>
              </w:rPr>
            </w:pPr>
          </w:p>
          <w:p w14:paraId="6C650236" w14:textId="77777777" w:rsidR="007A7A94" w:rsidRDefault="009F1837">
            <w:pPr>
              <w:pStyle w:val="ListBullet"/>
              <w:numPr>
                <w:ilvl w:val="0"/>
                <w:numId w:val="0"/>
              </w:numPr>
              <w:spacing w:after="120"/>
              <w:rPr>
                <w:sz w:val="16"/>
                <w:szCs w:val="16"/>
              </w:rPr>
            </w:pPr>
            <w:r w:rsidRPr="009F7A28">
              <w:rPr>
                <w:sz w:val="16"/>
                <w:szCs w:val="16"/>
              </w:rPr>
              <w:t xml:space="preserve"> </w:t>
            </w:r>
          </w:p>
          <w:p w14:paraId="6C650237" w14:textId="77777777" w:rsidR="007A7A94" w:rsidRDefault="007A7A94">
            <w:pPr>
              <w:pStyle w:val="ListBullet"/>
              <w:numPr>
                <w:ilvl w:val="0"/>
                <w:numId w:val="0"/>
              </w:numPr>
              <w:spacing w:after="120"/>
              <w:rPr>
                <w:sz w:val="16"/>
                <w:szCs w:val="16"/>
              </w:rPr>
            </w:pPr>
          </w:p>
          <w:p w14:paraId="6C650238" w14:textId="77777777" w:rsidR="007A7A94" w:rsidRDefault="009F1837">
            <w:pPr>
              <w:pStyle w:val="ListBullet"/>
              <w:numPr>
                <w:ilvl w:val="0"/>
                <w:numId w:val="0"/>
              </w:numPr>
              <w:spacing w:after="120"/>
              <w:rPr>
                <w:sz w:val="16"/>
                <w:szCs w:val="16"/>
              </w:rPr>
            </w:pPr>
            <w:r w:rsidRPr="009F7A28">
              <w:rPr>
                <w:sz w:val="16"/>
                <w:szCs w:val="16"/>
              </w:rPr>
              <w:t xml:space="preserve">                   </w:t>
            </w:r>
          </w:p>
          <w:p w14:paraId="6C650239" w14:textId="6CC7B820" w:rsidR="007A7A94" w:rsidRDefault="004835D0">
            <w:pPr>
              <w:pStyle w:val="ListBullet"/>
              <w:spacing w:after="120"/>
              <w:ind w:left="0"/>
              <w:jc w:val="left"/>
              <w:rPr>
                <w:sz w:val="16"/>
                <w:szCs w:val="16"/>
              </w:rPr>
            </w:pPr>
            <w:r>
              <w:rPr>
                <w:noProof/>
                <w:sz w:val="16"/>
                <w:szCs w:val="16"/>
              </w:rPr>
              <mc:AlternateContent>
                <mc:Choice Requires="wps">
                  <w:drawing>
                    <wp:anchor distT="0" distB="0" distL="114300" distR="114300" simplePos="0" relativeHeight="251689472" behindDoc="0" locked="0" layoutInCell="1" allowOverlap="1" wp14:anchorId="6C650336" wp14:editId="1DEB73D7">
                      <wp:simplePos x="0" y="0"/>
                      <wp:positionH relativeFrom="column">
                        <wp:posOffset>906145</wp:posOffset>
                      </wp:positionH>
                      <wp:positionV relativeFrom="paragraph">
                        <wp:posOffset>763905</wp:posOffset>
                      </wp:positionV>
                      <wp:extent cx="2220595" cy="486410"/>
                      <wp:effectExtent l="635" t="3810" r="7620" b="5080"/>
                      <wp:wrapNone/>
                      <wp:docPr id="9"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0595" cy="48641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65036E" w14:textId="77777777" w:rsidR="00D11956" w:rsidRPr="00AB4FAF" w:rsidRDefault="00D11956" w:rsidP="009F1837">
                                  <w:pPr>
                                    <w:pStyle w:val="ListBullet2"/>
                                    <w:numPr>
                                      <w:ilvl w:val="0"/>
                                      <w:numId w:val="0"/>
                                    </w:numPr>
                                    <w:spacing w:before="20" w:after="20" w:line="276" w:lineRule="auto"/>
                                    <w:rPr>
                                      <w:b/>
                                      <w:i/>
                                      <w:color w:val="3A5C4C"/>
                                    </w:rPr>
                                  </w:pPr>
                                  <w:r w:rsidRPr="00AB4FAF">
                                    <w:rPr>
                                      <w:b/>
                                      <w:i/>
                                      <w:color w:val="3A5C4C"/>
                                    </w:rPr>
                                    <w:t xml:space="preserve">Purpose: Maintain ecological </w:t>
                                  </w:r>
                                </w:p>
                                <w:p w14:paraId="6C65036F" w14:textId="77777777" w:rsidR="00D11956" w:rsidRPr="00AB4FAF" w:rsidRDefault="00D11956" w:rsidP="009F1837">
                                  <w:pPr>
                                    <w:pStyle w:val="ListBullet2"/>
                                    <w:numPr>
                                      <w:ilvl w:val="0"/>
                                      <w:numId w:val="0"/>
                                    </w:numPr>
                                    <w:spacing w:before="20" w:after="20" w:line="276" w:lineRule="auto"/>
                                    <w:rPr>
                                      <w:b/>
                                      <w:i/>
                                      <w:color w:val="3A5C4C"/>
                                    </w:rPr>
                                  </w:pPr>
                                  <w:r w:rsidRPr="00AB4FAF">
                                    <w:rPr>
                                      <w:b/>
                                      <w:i/>
                                      <w:color w:val="3A5C4C"/>
                                    </w:rPr>
                                    <w:t>health and resilience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C650336" id="Text Box 109" o:spid="_x0000_s1031" type="#_x0000_t202" style="position:absolute;left:0;text-align:left;margin-left:71.35pt;margin-top:60.15pt;width:174.85pt;height:38.3pt;z-index:2516894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" stroked="f">
                      <v:fill opacity="0"/>
                      <v:textbox style="mso-fit-shape-to-text:t">
                        <w:txbxContent>
                          <w:p w14:paraId="6C65036E" w14:textId="77777777" w:rsidR="00D11956" w:rsidRPr="00AB4FAF" w:rsidRDefault="00D11956" w:rsidP="009F1837">
                            <w:pPr>
                              <w:pStyle w:val="ListBullet2"/>
                              <w:numPr>
                                <w:ilvl w:val="0"/>
                                <w:numId w:val="0"/>
                              </w:numPr>
                              <w:spacing w:before="20" w:after="20" w:line="276" w:lineRule="auto"/>
                              <w:rPr>
                                <w:b/>
                                <w:i/>
                                <w:color w:val="3A5C4C"/>
                              </w:rPr>
                            </w:pPr>
                            <w:r w:rsidRPr="00AB4FAF">
                              <w:rPr>
                                <w:b/>
                                <w:i/>
                                <w:color w:val="3A5C4C"/>
                              </w:rPr>
                              <w:t xml:space="preserve">Purpose: Maintain ecological </w:t>
                            </w:r>
                          </w:p>
                          <w:p w14:paraId="6C65036F" w14:textId="77777777" w:rsidR="00D11956" w:rsidRPr="00AB4FAF" w:rsidRDefault="00D11956" w:rsidP="009F1837">
                            <w:pPr>
                              <w:pStyle w:val="ListBullet2"/>
                              <w:numPr>
                                <w:ilvl w:val="0"/>
                                <w:numId w:val="0"/>
                              </w:numPr>
                              <w:spacing w:before="20" w:after="20" w:line="276" w:lineRule="auto"/>
                              <w:rPr>
                                <w:b/>
                                <w:i/>
                                <w:color w:val="3A5C4C"/>
                              </w:rPr>
                            </w:pPr>
                            <w:r w:rsidRPr="00AB4FAF">
                              <w:rPr>
                                <w:b/>
                                <w:i/>
                                <w:color w:val="3A5C4C"/>
                              </w:rPr>
                              <w:t>health and resilience</w:t>
                            </w:r>
                          </w:p>
                        </w:txbxContent>
                      </v:textbox>
                    </v:shape>
                  </w:pict>
                </mc:Fallback>
              </mc:AlternateContent>
            </w:r>
            <w:r>
              <w:rPr>
                <w:noProof/>
                <w:sz w:val="16"/>
                <w:szCs w:val="16"/>
              </w:rPr>
              <mc:AlternateContent>
                <mc:Choice Requires="wps">
                  <w:drawing>
                    <wp:anchor distT="0" distB="0" distL="114300" distR="114300" simplePos="0" relativeHeight="251690496" behindDoc="0" locked="0" layoutInCell="1" allowOverlap="1" wp14:anchorId="6C650337" wp14:editId="164A2281">
                      <wp:simplePos x="0" y="0"/>
                      <wp:positionH relativeFrom="column">
                        <wp:posOffset>187960</wp:posOffset>
                      </wp:positionH>
                      <wp:positionV relativeFrom="paragraph">
                        <wp:posOffset>1452245</wp:posOffset>
                      </wp:positionV>
                      <wp:extent cx="2938780" cy="1343025"/>
                      <wp:effectExtent l="2540" t="8890" r="1905" b="635"/>
                      <wp:wrapNone/>
                      <wp:docPr id="8"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8780" cy="134302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650370" w14:textId="77777777" w:rsidR="00D11956" w:rsidRPr="00BF26F8" w:rsidRDefault="00D11956" w:rsidP="009F1837">
                                  <w:pPr>
                                    <w:spacing w:before="20" w:after="20" w:line="276" w:lineRule="auto"/>
                                    <w:jc w:val="center"/>
                                    <w:rPr>
                                      <w:b/>
                                      <w:sz w:val="16"/>
                                      <w:szCs w:val="16"/>
                                    </w:rPr>
                                  </w:pPr>
                                  <w:r w:rsidRPr="00CE75BA">
                                    <w:rPr>
                                      <w:b/>
                                      <w:sz w:val="16"/>
                                      <w:szCs w:val="16"/>
                                    </w:rPr>
                                    <w:t>Extended wet conditions</w:t>
                                  </w:r>
                                </w:p>
                                <w:p w14:paraId="6C650371" w14:textId="77777777" w:rsidR="00D11956" w:rsidRDefault="00D11956" w:rsidP="009F1837">
                                  <w:pPr>
                                    <w:pStyle w:val="ListBullet2"/>
                                    <w:numPr>
                                      <w:ilvl w:val="1"/>
                                      <w:numId w:val="10"/>
                                    </w:numPr>
                                    <w:spacing w:before="20" w:after="20" w:line="276" w:lineRule="auto"/>
                                    <w:ind w:left="284" w:hanging="284"/>
                                    <w:jc w:val="center"/>
                                    <w:rPr>
                                      <w:sz w:val="16"/>
                                      <w:szCs w:val="16"/>
                                    </w:rPr>
                                  </w:pPr>
                                  <w:r>
                                    <w:rPr>
                                      <w:sz w:val="16"/>
                                      <w:szCs w:val="16"/>
                                    </w:rPr>
                                    <w:t>Water availability typically in excess of that required to meet demands</w:t>
                                  </w:r>
                                </w:p>
                                <w:p w14:paraId="6C650372" w14:textId="77777777" w:rsidR="00D11956" w:rsidRDefault="00D11956" w:rsidP="009F1837">
                                  <w:pPr>
                                    <w:pStyle w:val="ListBullet2"/>
                                    <w:numPr>
                                      <w:ilvl w:val="1"/>
                                      <w:numId w:val="10"/>
                                    </w:numPr>
                                    <w:spacing w:before="20" w:after="20" w:line="276" w:lineRule="auto"/>
                                    <w:ind w:left="284" w:hanging="284"/>
                                    <w:jc w:val="center"/>
                                    <w:rPr>
                                      <w:sz w:val="16"/>
                                      <w:szCs w:val="16"/>
                                    </w:rPr>
                                  </w:pPr>
                                  <w:r w:rsidRPr="002902E4">
                                    <w:rPr>
                                      <w:sz w:val="16"/>
                                      <w:szCs w:val="16"/>
                                    </w:rPr>
                                    <w:t xml:space="preserve">Use a limited proportion </w:t>
                                  </w:r>
                                  <w:r>
                                    <w:rPr>
                                      <w:sz w:val="16"/>
                                      <w:szCs w:val="16"/>
                                    </w:rPr>
                                    <w:t>of high allocations (e.g. base flows)</w:t>
                                  </w:r>
                                </w:p>
                                <w:p w14:paraId="6C650373" w14:textId="77777777" w:rsidR="00D11956" w:rsidRDefault="00D11956" w:rsidP="009F1837">
                                  <w:pPr>
                                    <w:pStyle w:val="ListBullet2"/>
                                    <w:numPr>
                                      <w:ilvl w:val="1"/>
                                      <w:numId w:val="10"/>
                                    </w:numPr>
                                    <w:spacing w:before="20" w:after="20" w:line="276" w:lineRule="auto"/>
                                    <w:ind w:left="284" w:hanging="284"/>
                                    <w:jc w:val="center"/>
                                    <w:rPr>
                                      <w:sz w:val="16"/>
                                      <w:szCs w:val="16"/>
                                    </w:rPr>
                                  </w:pPr>
                                  <w:r w:rsidRPr="002902E4">
                                    <w:rPr>
                                      <w:sz w:val="16"/>
                                      <w:szCs w:val="16"/>
                                    </w:rPr>
                                    <w:t>Carryover a high proportion of</w:t>
                                  </w:r>
                                  <w:r>
                                    <w:rPr>
                                      <w:sz w:val="16"/>
                                      <w:szCs w:val="16"/>
                                    </w:rPr>
                                    <w:t xml:space="preserve"> available</w:t>
                                  </w:r>
                                  <w:r w:rsidRPr="002902E4">
                                    <w:rPr>
                                      <w:sz w:val="16"/>
                                      <w:szCs w:val="16"/>
                                    </w:rPr>
                                    <w:t xml:space="preserve"> allocations</w:t>
                                  </w:r>
                                </w:p>
                                <w:p w14:paraId="6C650374" w14:textId="77777777" w:rsidR="00D11956" w:rsidRPr="00C36DCC" w:rsidRDefault="00D11956" w:rsidP="009F1837">
                                  <w:pPr>
                                    <w:pStyle w:val="ListBullet2"/>
                                    <w:numPr>
                                      <w:ilvl w:val="1"/>
                                      <w:numId w:val="10"/>
                                    </w:numPr>
                                    <w:spacing w:before="20" w:after="20" w:line="276" w:lineRule="auto"/>
                                    <w:ind w:left="284" w:hanging="284"/>
                                    <w:jc w:val="center"/>
                                    <w:rPr>
                                      <w:sz w:val="16"/>
                                      <w:szCs w:val="16"/>
                                    </w:rPr>
                                  </w:pPr>
                                  <w:r>
                                    <w:rPr>
                                      <w:sz w:val="16"/>
                                      <w:szCs w:val="16"/>
                                    </w:rPr>
                                    <w:t>Investigate opportunity for allocation sale, market likely to be limited</w:t>
                                  </w:r>
                                </w:p>
                                <w:p w14:paraId="6C650375" w14:textId="77777777" w:rsidR="00D11956" w:rsidRPr="002902E4" w:rsidRDefault="00D11956" w:rsidP="009F1837">
                                  <w:pPr>
                                    <w:pStyle w:val="ListBullet2"/>
                                    <w:numPr>
                                      <w:ilvl w:val="0"/>
                                      <w:numId w:val="0"/>
                                    </w:numPr>
                                    <w:spacing w:before="20" w:after="20" w:line="276" w:lineRule="auto"/>
                                    <w:jc w:val="center"/>
                                    <w:rPr>
                                      <w:sz w:val="16"/>
                                      <w:szCs w:val="16"/>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C650337" id="Text Box 110" o:spid="_x0000_s1032" type="#_x0000_t202" style="position:absolute;left:0;text-align:left;margin-left:14.8pt;margin-top:114.35pt;width:231.4pt;height:105.75pt;z-index:2516904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" stroked="f">
                      <v:fill opacity="0"/>
                      <v:textbox style="mso-fit-shape-to-text:t">
                        <w:txbxContent>
                          <w:p w14:paraId="6C650370" w14:textId="77777777" w:rsidR="00D11956" w:rsidRPr="00BF26F8" w:rsidRDefault="00D11956" w:rsidP="009F1837">
                            <w:pPr>
                              <w:spacing w:before="20" w:after="20" w:line="276" w:lineRule="auto"/>
                              <w:jc w:val="center"/>
                              <w:rPr>
                                <w:b/>
                                <w:sz w:val="16"/>
                                <w:szCs w:val="16"/>
                              </w:rPr>
                            </w:pPr>
                            <w:r w:rsidRPr="00CE75BA">
                              <w:rPr>
                                <w:b/>
                                <w:sz w:val="16"/>
                                <w:szCs w:val="16"/>
                              </w:rPr>
                              <w:t>Extended wet conditions</w:t>
                            </w:r>
                          </w:p>
                          <w:p w14:paraId="6C650371" w14:textId="77777777" w:rsidR="00D11956" w:rsidRDefault="00D11956" w:rsidP="009F1837">
                            <w:pPr>
                              <w:pStyle w:val="ListBullet2"/>
                              <w:numPr>
                                <w:ilvl w:val="1"/>
                                <w:numId w:val="10"/>
                              </w:numPr>
                              <w:spacing w:before="20" w:after="20" w:line="276" w:lineRule="auto"/>
                              <w:ind w:left="284" w:hanging="284"/>
                              <w:jc w:val="center"/>
                              <w:rPr>
                                <w:sz w:val="16"/>
                                <w:szCs w:val="16"/>
                              </w:rPr>
                            </w:pPr>
                            <w:r>
                              <w:rPr>
                                <w:sz w:val="16"/>
                                <w:szCs w:val="16"/>
                              </w:rPr>
                              <w:t>Water availability typically in excess of that required to meet demands</w:t>
                            </w:r>
                          </w:p>
                          <w:p w14:paraId="6C650372" w14:textId="77777777" w:rsidR="00D11956" w:rsidRDefault="00D11956" w:rsidP="009F1837">
                            <w:pPr>
                              <w:pStyle w:val="ListBullet2"/>
                              <w:numPr>
                                <w:ilvl w:val="1"/>
                                <w:numId w:val="10"/>
                              </w:numPr>
                              <w:spacing w:before="20" w:after="20" w:line="276" w:lineRule="auto"/>
                              <w:ind w:left="284" w:hanging="284"/>
                              <w:jc w:val="center"/>
                              <w:rPr>
                                <w:sz w:val="16"/>
                                <w:szCs w:val="16"/>
                              </w:rPr>
                            </w:pPr>
                            <w:r w:rsidRPr="002902E4">
                              <w:rPr>
                                <w:sz w:val="16"/>
                                <w:szCs w:val="16"/>
                              </w:rPr>
                              <w:t xml:space="preserve">Use a limited proportion </w:t>
                            </w:r>
                            <w:r>
                              <w:rPr>
                                <w:sz w:val="16"/>
                                <w:szCs w:val="16"/>
                              </w:rPr>
                              <w:t>of high allocations (e.g. base flows)</w:t>
                            </w:r>
                          </w:p>
                          <w:p w14:paraId="6C650373" w14:textId="77777777" w:rsidR="00D11956" w:rsidRDefault="00D11956" w:rsidP="009F1837">
                            <w:pPr>
                              <w:pStyle w:val="ListBullet2"/>
                              <w:numPr>
                                <w:ilvl w:val="1"/>
                                <w:numId w:val="10"/>
                              </w:numPr>
                              <w:spacing w:before="20" w:after="20" w:line="276" w:lineRule="auto"/>
                              <w:ind w:left="284" w:hanging="284"/>
                              <w:jc w:val="center"/>
                              <w:rPr>
                                <w:sz w:val="16"/>
                                <w:szCs w:val="16"/>
                              </w:rPr>
                            </w:pPr>
                            <w:r w:rsidRPr="002902E4">
                              <w:rPr>
                                <w:sz w:val="16"/>
                                <w:szCs w:val="16"/>
                              </w:rPr>
                              <w:t>Carryover a high proportion of</w:t>
                            </w:r>
                            <w:r>
                              <w:rPr>
                                <w:sz w:val="16"/>
                                <w:szCs w:val="16"/>
                              </w:rPr>
                              <w:t xml:space="preserve"> available</w:t>
                            </w:r>
                            <w:r w:rsidRPr="002902E4">
                              <w:rPr>
                                <w:sz w:val="16"/>
                                <w:szCs w:val="16"/>
                              </w:rPr>
                              <w:t xml:space="preserve"> allocations</w:t>
                            </w:r>
                          </w:p>
                          <w:p w14:paraId="6C650374" w14:textId="77777777" w:rsidR="00D11956" w:rsidRPr="00C36DCC" w:rsidRDefault="00D11956" w:rsidP="009F1837">
                            <w:pPr>
                              <w:pStyle w:val="ListBullet2"/>
                              <w:numPr>
                                <w:ilvl w:val="1"/>
                                <w:numId w:val="10"/>
                              </w:numPr>
                              <w:spacing w:before="20" w:after="20" w:line="276" w:lineRule="auto"/>
                              <w:ind w:left="284" w:hanging="284"/>
                              <w:jc w:val="center"/>
                              <w:rPr>
                                <w:sz w:val="16"/>
                                <w:szCs w:val="16"/>
                              </w:rPr>
                            </w:pPr>
                            <w:r>
                              <w:rPr>
                                <w:sz w:val="16"/>
                                <w:szCs w:val="16"/>
                              </w:rPr>
                              <w:t>Investigate opportunity for allocation sale, market likely to be limited</w:t>
                            </w:r>
                          </w:p>
                          <w:p w14:paraId="6C650375" w14:textId="77777777" w:rsidR="00D11956" w:rsidRPr="002902E4" w:rsidRDefault="00D11956" w:rsidP="009F1837">
                            <w:pPr>
                              <w:pStyle w:val="ListBullet2"/>
                              <w:numPr>
                                <w:ilvl w:val="0"/>
                                <w:numId w:val="0"/>
                              </w:numPr>
                              <w:spacing w:before="20" w:after="20" w:line="276" w:lineRule="auto"/>
                              <w:jc w:val="center"/>
                              <w:rPr>
                                <w:sz w:val="16"/>
                                <w:szCs w:val="16"/>
                              </w:rPr>
                            </w:pPr>
                          </w:p>
                        </w:txbxContent>
                      </v:textbox>
                    </v:shape>
                  </w:pict>
                </mc:Fallback>
              </mc:AlternateContent>
            </w:r>
          </w:p>
        </w:tc>
        <w:tc>
          <w:tcPr>
            <w:tcW w:w="2863" w:type="dxa"/>
            <w:vMerge/>
            <w:tcBorders>
              <w:bottom w:val="single" w:sz="4" w:space="0" w:color="auto"/>
              <w:right w:val="single" w:sz="4" w:space="0" w:color="auto"/>
            </w:tcBorders>
            <w:shd w:val="clear" w:color="auto" w:fill="CEE0D8"/>
          </w:tcPr>
          <w:p w14:paraId="6C65023A" w14:textId="77777777" w:rsidR="007A7A94" w:rsidRDefault="007A7A94">
            <w:pPr>
              <w:pStyle w:val="ListBullet"/>
              <w:spacing w:after="120"/>
              <w:ind w:left="0"/>
              <w:jc w:val="left"/>
              <w:rPr>
                <w:sz w:val="16"/>
                <w:szCs w:val="16"/>
              </w:rPr>
            </w:pPr>
          </w:p>
        </w:tc>
      </w:tr>
      <w:tr w:rsidR="009F1837" w:rsidRPr="009F7A28" w14:paraId="6C650243" w14:textId="77777777" w:rsidTr="009F1837">
        <w:trPr>
          <w:cnfStyle w:val="000000010000" w:firstRow="0" w:lastRow="0" w:firstColumn="0" w:lastColumn="0" w:oddVBand="0" w:evenVBand="0" w:oddHBand="0" w:evenHBand="1" w:firstRowFirstColumn="0" w:firstRowLastColumn="0" w:lastRowFirstColumn="0" w:lastRowLastColumn="0"/>
          <w:trHeight w:val="1868"/>
        </w:trPr>
        <w:tc>
          <w:tcPr>
            <w:tcW w:w="1430" w:type="dxa"/>
            <w:tcBorders>
              <w:left w:val="single" w:sz="4" w:space="0" w:color="auto"/>
              <w:right w:val="single" w:sz="4" w:space="0" w:color="auto"/>
            </w:tcBorders>
            <w:vAlign w:val="center"/>
          </w:tcPr>
          <w:p w14:paraId="6C65023C" w14:textId="77777777" w:rsidR="007A7A94" w:rsidRDefault="009F1837">
            <w:pPr>
              <w:pStyle w:val="ListBullet"/>
              <w:numPr>
                <w:ilvl w:val="0"/>
                <w:numId w:val="0"/>
              </w:numPr>
              <w:spacing w:after="120"/>
              <w:ind w:left="-108"/>
              <w:jc w:val="center"/>
              <w:rPr>
                <w:b/>
                <w:sz w:val="16"/>
                <w:szCs w:val="16"/>
              </w:rPr>
            </w:pPr>
            <w:r w:rsidRPr="009F7A28">
              <w:rPr>
                <w:b/>
                <w:sz w:val="16"/>
                <w:szCs w:val="16"/>
              </w:rPr>
              <w:t>Moderate</w:t>
            </w:r>
          </w:p>
          <w:p w14:paraId="6C65023D" w14:textId="77777777" w:rsidR="007A7A94" w:rsidRDefault="007A7A94">
            <w:pPr>
              <w:pStyle w:val="ListBullet"/>
              <w:numPr>
                <w:ilvl w:val="0"/>
                <w:numId w:val="0"/>
              </w:numPr>
              <w:spacing w:after="120"/>
              <w:ind w:left="-108"/>
              <w:jc w:val="center"/>
              <w:rPr>
                <w:b/>
                <w:sz w:val="16"/>
                <w:szCs w:val="16"/>
              </w:rPr>
            </w:pPr>
          </w:p>
        </w:tc>
        <w:tc>
          <w:tcPr>
            <w:tcW w:w="2863" w:type="dxa"/>
            <w:tcBorders>
              <w:left w:val="single" w:sz="4" w:space="0" w:color="auto"/>
            </w:tcBorders>
            <w:shd w:val="clear" w:color="auto" w:fill="FDE9D9" w:themeFill="accent6" w:themeFillTint="33"/>
          </w:tcPr>
          <w:p w14:paraId="6C65023E" w14:textId="77777777" w:rsidR="007A7A94" w:rsidRDefault="007A7A94">
            <w:pPr>
              <w:pStyle w:val="ListBullet"/>
              <w:numPr>
                <w:ilvl w:val="0"/>
                <w:numId w:val="0"/>
              </w:numPr>
              <w:spacing w:after="120"/>
              <w:ind w:right="-86"/>
              <w:rPr>
                <w:sz w:val="16"/>
                <w:szCs w:val="16"/>
              </w:rPr>
            </w:pPr>
          </w:p>
        </w:tc>
        <w:tc>
          <w:tcPr>
            <w:tcW w:w="2863" w:type="dxa"/>
            <w:shd w:val="clear" w:color="auto" w:fill="FDE9D9" w:themeFill="accent6" w:themeFillTint="33"/>
          </w:tcPr>
          <w:p w14:paraId="6C65023F" w14:textId="77777777" w:rsidR="007A7A94" w:rsidRDefault="007A7A94">
            <w:pPr>
              <w:pStyle w:val="ListBullet"/>
              <w:numPr>
                <w:ilvl w:val="0"/>
                <w:numId w:val="0"/>
              </w:numPr>
              <w:spacing w:after="120"/>
              <w:ind w:right="-86"/>
              <w:rPr>
                <w:sz w:val="16"/>
                <w:szCs w:val="16"/>
              </w:rPr>
            </w:pPr>
          </w:p>
        </w:tc>
        <w:tc>
          <w:tcPr>
            <w:tcW w:w="2865" w:type="dxa"/>
            <w:shd w:val="clear" w:color="auto" w:fill="CEE0D8"/>
          </w:tcPr>
          <w:p w14:paraId="6C650240" w14:textId="77777777" w:rsidR="007A7A94" w:rsidRDefault="007A7A94">
            <w:pPr>
              <w:pStyle w:val="ListBullet"/>
              <w:numPr>
                <w:ilvl w:val="0"/>
                <w:numId w:val="0"/>
              </w:numPr>
              <w:spacing w:after="120"/>
              <w:rPr>
                <w:sz w:val="16"/>
                <w:szCs w:val="16"/>
              </w:rPr>
            </w:pPr>
          </w:p>
        </w:tc>
        <w:tc>
          <w:tcPr>
            <w:tcW w:w="2865" w:type="dxa"/>
            <w:vMerge/>
            <w:shd w:val="clear" w:color="auto" w:fill="CEE0D8"/>
          </w:tcPr>
          <w:p w14:paraId="6C650241" w14:textId="77777777" w:rsidR="007A7A94" w:rsidRDefault="007A7A94">
            <w:pPr>
              <w:pStyle w:val="ListBullet"/>
              <w:spacing w:after="120"/>
              <w:ind w:left="0"/>
              <w:jc w:val="left"/>
              <w:rPr>
                <w:sz w:val="16"/>
                <w:szCs w:val="16"/>
              </w:rPr>
            </w:pPr>
          </w:p>
        </w:tc>
        <w:tc>
          <w:tcPr>
            <w:tcW w:w="2863" w:type="dxa"/>
            <w:vMerge/>
            <w:tcBorders>
              <w:bottom w:val="single" w:sz="4" w:space="0" w:color="auto"/>
              <w:right w:val="single" w:sz="4" w:space="0" w:color="auto"/>
            </w:tcBorders>
            <w:shd w:val="clear" w:color="auto" w:fill="CEE0D8"/>
          </w:tcPr>
          <w:p w14:paraId="6C650242" w14:textId="77777777" w:rsidR="007A7A94" w:rsidRDefault="007A7A94">
            <w:pPr>
              <w:pStyle w:val="ListBullet"/>
              <w:spacing w:after="120"/>
              <w:ind w:left="0"/>
              <w:jc w:val="left"/>
              <w:rPr>
                <w:sz w:val="16"/>
                <w:szCs w:val="16"/>
              </w:rPr>
            </w:pPr>
          </w:p>
        </w:tc>
      </w:tr>
      <w:tr w:rsidR="009F1837" w:rsidRPr="009F7A28" w14:paraId="6C65024A" w14:textId="77777777" w:rsidTr="009F1837">
        <w:trPr>
          <w:cnfStyle w:val="000000100000" w:firstRow="0" w:lastRow="0" w:firstColumn="0" w:lastColumn="0" w:oddVBand="0" w:evenVBand="0" w:oddHBand="1" w:evenHBand="0" w:firstRowFirstColumn="0" w:firstRowLastColumn="0" w:lastRowFirstColumn="0" w:lastRowLastColumn="0"/>
          <w:trHeight w:val="1689"/>
        </w:trPr>
        <w:tc>
          <w:tcPr>
            <w:tcW w:w="1430" w:type="dxa"/>
            <w:tcBorders>
              <w:left w:val="single" w:sz="4" w:space="0" w:color="auto"/>
              <w:right w:val="single" w:sz="4" w:space="0" w:color="auto"/>
            </w:tcBorders>
            <w:vAlign w:val="center"/>
          </w:tcPr>
          <w:p w14:paraId="6C650244" w14:textId="77777777" w:rsidR="007A7A94" w:rsidRDefault="009F1837">
            <w:pPr>
              <w:pStyle w:val="ListBullet"/>
              <w:numPr>
                <w:ilvl w:val="0"/>
                <w:numId w:val="0"/>
              </w:numPr>
              <w:spacing w:after="120"/>
              <w:ind w:left="-108"/>
              <w:jc w:val="center"/>
              <w:rPr>
                <w:b/>
                <w:sz w:val="16"/>
                <w:szCs w:val="16"/>
              </w:rPr>
            </w:pPr>
            <w:r w:rsidRPr="009F7A28">
              <w:rPr>
                <w:b/>
                <w:sz w:val="16"/>
                <w:szCs w:val="16"/>
              </w:rPr>
              <w:t>High</w:t>
            </w:r>
          </w:p>
          <w:p w14:paraId="6C650245" w14:textId="77777777" w:rsidR="007A7A94" w:rsidRDefault="007A7A94">
            <w:pPr>
              <w:pStyle w:val="ListBullet"/>
              <w:numPr>
                <w:ilvl w:val="0"/>
                <w:numId w:val="0"/>
              </w:numPr>
              <w:spacing w:after="120"/>
              <w:ind w:left="-108"/>
              <w:jc w:val="center"/>
              <w:rPr>
                <w:b/>
                <w:sz w:val="16"/>
                <w:szCs w:val="16"/>
              </w:rPr>
            </w:pPr>
          </w:p>
        </w:tc>
        <w:tc>
          <w:tcPr>
            <w:tcW w:w="8591" w:type="dxa"/>
            <w:gridSpan w:val="3"/>
            <w:tcBorders>
              <w:left w:val="single" w:sz="4" w:space="0" w:color="auto"/>
            </w:tcBorders>
            <w:shd w:val="clear" w:color="auto" w:fill="CFD6E7"/>
          </w:tcPr>
          <w:p w14:paraId="6C650246" w14:textId="38AD13BB" w:rsidR="007A7A94" w:rsidRDefault="004835D0">
            <w:pPr>
              <w:pStyle w:val="ListBullet"/>
              <w:numPr>
                <w:ilvl w:val="0"/>
                <w:numId w:val="0"/>
              </w:numPr>
              <w:spacing w:after="120"/>
              <w:ind w:right="-86"/>
              <w:rPr>
                <w:sz w:val="16"/>
                <w:szCs w:val="16"/>
              </w:rPr>
            </w:pPr>
            <w:r>
              <w:rPr>
                <w:noProof/>
                <w:sz w:val="16"/>
                <w:szCs w:val="16"/>
              </w:rPr>
              <mc:AlternateContent>
                <mc:Choice Requires="wps">
                  <w:drawing>
                    <wp:anchor distT="0" distB="0" distL="114300" distR="114300" simplePos="0" relativeHeight="251691520" behindDoc="0" locked="0" layoutInCell="1" allowOverlap="1" wp14:anchorId="6C650338" wp14:editId="2DC6A4CD">
                      <wp:simplePos x="0" y="0"/>
                      <wp:positionH relativeFrom="column">
                        <wp:posOffset>525780</wp:posOffset>
                      </wp:positionH>
                      <wp:positionV relativeFrom="paragraph">
                        <wp:posOffset>132715</wp:posOffset>
                      </wp:positionV>
                      <wp:extent cx="3184525" cy="1187450"/>
                      <wp:effectExtent l="4445" t="6985" r="1905" b="5715"/>
                      <wp:wrapNone/>
                      <wp:docPr id="7"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4525" cy="11874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650376" w14:textId="77777777" w:rsidR="00D11956" w:rsidRPr="00BF26F8" w:rsidRDefault="00D11956" w:rsidP="009F1837">
                                  <w:pPr>
                                    <w:spacing w:before="20" w:after="20" w:line="276" w:lineRule="auto"/>
                                    <w:jc w:val="center"/>
                                    <w:rPr>
                                      <w:b/>
                                      <w:sz w:val="16"/>
                                      <w:szCs w:val="16"/>
                                    </w:rPr>
                                  </w:pPr>
                                  <w:r>
                                    <w:rPr>
                                      <w:b/>
                                      <w:sz w:val="16"/>
                                      <w:szCs w:val="16"/>
                                    </w:rPr>
                                    <w:t>Wet period following dry period</w:t>
                                  </w:r>
                                </w:p>
                                <w:p w14:paraId="6C650377" w14:textId="77777777" w:rsidR="00D11956" w:rsidRDefault="00D11956" w:rsidP="009F1837">
                                  <w:pPr>
                                    <w:pStyle w:val="ListBullet2"/>
                                    <w:numPr>
                                      <w:ilvl w:val="1"/>
                                      <w:numId w:val="10"/>
                                    </w:numPr>
                                    <w:spacing w:before="20" w:after="20" w:line="276" w:lineRule="auto"/>
                                    <w:ind w:left="284" w:hanging="284"/>
                                    <w:jc w:val="center"/>
                                    <w:rPr>
                                      <w:sz w:val="16"/>
                                      <w:szCs w:val="16"/>
                                    </w:rPr>
                                  </w:pPr>
                                  <w:r>
                                    <w:rPr>
                                      <w:sz w:val="16"/>
                                      <w:szCs w:val="16"/>
                                    </w:rPr>
                                    <w:t>Water availability typically sufficient to meet demands</w:t>
                                  </w:r>
                                </w:p>
                                <w:p w14:paraId="6C650378" w14:textId="77777777" w:rsidR="00D11956" w:rsidRDefault="00D11956" w:rsidP="009F1837">
                                  <w:pPr>
                                    <w:pStyle w:val="ListBullet2"/>
                                    <w:numPr>
                                      <w:ilvl w:val="1"/>
                                      <w:numId w:val="10"/>
                                    </w:numPr>
                                    <w:spacing w:before="20" w:after="20" w:line="276" w:lineRule="auto"/>
                                    <w:ind w:left="284" w:hanging="284"/>
                                    <w:jc w:val="center"/>
                                    <w:rPr>
                                      <w:sz w:val="16"/>
                                      <w:szCs w:val="16"/>
                                    </w:rPr>
                                  </w:pPr>
                                  <w:r>
                                    <w:rPr>
                                      <w:sz w:val="16"/>
                                      <w:szCs w:val="16"/>
                                    </w:rPr>
                                    <w:t>U</w:t>
                                  </w:r>
                                  <w:r w:rsidRPr="00C36DCC">
                                    <w:rPr>
                                      <w:sz w:val="16"/>
                                      <w:szCs w:val="16"/>
                                    </w:rPr>
                                    <w:t>se a</w:t>
                                  </w:r>
                                  <w:r>
                                    <w:rPr>
                                      <w:sz w:val="16"/>
                                      <w:szCs w:val="16"/>
                                    </w:rPr>
                                    <w:t xml:space="preserve"> moderate proportion of available allocations for a range of flow types, focused on connected and multiple-site watering events</w:t>
                                  </w:r>
                                </w:p>
                                <w:p w14:paraId="6C650379" w14:textId="77777777" w:rsidR="00D11956" w:rsidRPr="00C36DCC" w:rsidRDefault="00D11956" w:rsidP="009F1837">
                                  <w:pPr>
                                    <w:pStyle w:val="ListBullet2"/>
                                    <w:numPr>
                                      <w:ilvl w:val="1"/>
                                      <w:numId w:val="10"/>
                                    </w:numPr>
                                    <w:spacing w:before="20" w:after="20" w:line="276" w:lineRule="auto"/>
                                    <w:ind w:left="284" w:hanging="284"/>
                                    <w:jc w:val="center"/>
                                    <w:rPr>
                                      <w:sz w:val="16"/>
                                      <w:szCs w:val="16"/>
                                    </w:rPr>
                                  </w:pPr>
                                  <w:r>
                                    <w:rPr>
                                      <w:sz w:val="16"/>
                                      <w:szCs w:val="16"/>
                                    </w:rPr>
                                    <w:t>Carryover a moderate proportion of allocations</w:t>
                                  </w:r>
                                </w:p>
                                <w:p w14:paraId="6C65037A" w14:textId="77777777" w:rsidR="00D11956" w:rsidRPr="00C36DCC" w:rsidRDefault="00D11956" w:rsidP="009F1837">
                                  <w:pPr>
                                    <w:pStyle w:val="ListBullet2"/>
                                    <w:numPr>
                                      <w:ilvl w:val="1"/>
                                      <w:numId w:val="10"/>
                                    </w:numPr>
                                    <w:spacing w:before="20" w:after="20" w:line="276" w:lineRule="auto"/>
                                    <w:ind w:left="284" w:hanging="284"/>
                                    <w:jc w:val="center"/>
                                    <w:rPr>
                                      <w:sz w:val="16"/>
                                      <w:szCs w:val="16"/>
                                    </w:rPr>
                                  </w:pPr>
                                  <w:r>
                                    <w:rPr>
                                      <w:sz w:val="16"/>
                                      <w:szCs w:val="16"/>
                                    </w:rPr>
                                    <w:t>An</w:t>
                                  </w:r>
                                  <w:r w:rsidRPr="00C36DCC">
                                    <w:rPr>
                                      <w:sz w:val="16"/>
                                      <w:szCs w:val="16"/>
                                    </w:rPr>
                                    <w:t xml:space="preserve"> opportunity for purchasing allocations </w:t>
                                  </w:r>
                                  <w:r>
                                    <w:rPr>
                                      <w:sz w:val="16"/>
                                      <w:szCs w:val="16"/>
                                    </w:rPr>
                                    <w:t>to use or carryover, subject to market conditions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C650338" id="Text Box 111" o:spid="_x0000_s1033" type="#_x0000_t202" style="position:absolute;left:0;text-align:left;margin-left:41.4pt;margin-top:10.45pt;width:250.75pt;height:93.5pt;z-index:2516915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" stroked="f">
                      <v:fill opacity="0"/>
                      <v:textbox style="mso-fit-shape-to-text:t">
                        <w:txbxContent>
                          <w:p w14:paraId="6C650376" w14:textId="77777777" w:rsidR="00D11956" w:rsidRPr="00BF26F8" w:rsidRDefault="00D11956" w:rsidP="009F1837">
                            <w:pPr>
                              <w:spacing w:before="20" w:after="20" w:line="276" w:lineRule="auto"/>
                              <w:jc w:val="center"/>
                              <w:rPr>
                                <w:b/>
                                <w:sz w:val="16"/>
                                <w:szCs w:val="16"/>
                              </w:rPr>
                            </w:pPr>
                            <w:r>
                              <w:rPr>
                                <w:b/>
                                <w:sz w:val="16"/>
                                <w:szCs w:val="16"/>
                              </w:rPr>
                              <w:t>Wet period following dry period</w:t>
                            </w:r>
                          </w:p>
                          <w:p w14:paraId="6C650377" w14:textId="77777777" w:rsidR="00D11956" w:rsidRDefault="00D11956" w:rsidP="009F1837">
                            <w:pPr>
                              <w:pStyle w:val="ListBullet2"/>
                              <w:numPr>
                                <w:ilvl w:val="1"/>
                                <w:numId w:val="10"/>
                              </w:numPr>
                              <w:spacing w:before="20" w:after="20" w:line="276" w:lineRule="auto"/>
                              <w:ind w:left="284" w:hanging="284"/>
                              <w:jc w:val="center"/>
                              <w:rPr>
                                <w:sz w:val="16"/>
                                <w:szCs w:val="16"/>
                              </w:rPr>
                            </w:pPr>
                            <w:r>
                              <w:rPr>
                                <w:sz w:val="16"/>
                                <w:szCs w:val="16"/>
                              </w:rPr>
                              <w:t>Water availability typically sufficient to meet demands</w:t>
                            </w:r>
                          </w:p>
                          <w:p w14:paraId="6C650378" w14:textId="77777777" w:rsidR="00D11956" w:rsidRDefault="00D11956" w:rsidP="009F1837">
                            <w:pPr>
                              <w:pStyle w:val="ListBullet2"/>
                              <w:numPr>
                                <w:ilvl w:val="1"/>
                                <w:numId w:val="10"/>
                              </w:numPr>
                              <w:spacing w:before="20" w:after="20" w:line="276" w:lineRule="auto"/>
                              <w:ind w:left="284" w:hanging="284"/>
                              <w:jc w:val="center"/>
                              <w:rPr>
                                <w:sz w:val="16"/>
                                <w:szCs w:val="16"/>
                              </w:rPr>
                            </w:pPr>
                            <w:r>
                              <w:rPr>
                                <w:sz w:val="16"/>
                                <w:szCs w:val="16"/>
                              </w:rPr>
                              <w:t>U</w:t>
                            </w:r>
                            <w:r w:rsidRPr="00C36DCC">
                              <w:rPr>
                                <w:sz w:val="16"/>
                                <w:szCs w:val="16"/>
                              </w:rPr>
                              <w:t>se a</w:t>
                            </w:r>
                            <w:r>
                              <w:rPr>
                                <w:sz w:val="16"/>
                                <w:szCs w:val="16"/>
                              </w:rPr>
                              <w:t xml:space="preserve"> moderate proportion of available allocations for a range of flow types, focused on connected and multiple-site watering events</w:t>
                            </w:r>
                          </w:p>
                          <w:p w14:paraId="6C650379" w14:textId="77777777" w:rsidR="00D11956" w:rsidRPr="00C36DCC" w:rsidRDefault="00D11956" w:rsidP="009F1837">
                            <w:pPr>
                              <w:pStyle w:val="ListBullet2"/>
                              <w:numPr>
                                <w:ilvl w:val="1"/>
                                <w:numId w:val="10"/>
                              </w:numPr>
                              <w:spacing w:before="20" w:after="20" w:line="276" w:lineRule="auto"/>
                              <w:ind w:left="284" w:hanging="284"/>
                              <w:jc w:val="center"/>
                              <w:rPr>
                                <w:sz w:val="16"/>
                                <w:szCs w:val="16"/>
                              </w:rPr>
                            </w:pPr>
                            <w:r>
                              <w:rPr>
                                <w:sz w:val="16"/>
                                <w:szCs w:val="16"/>
                              </w:rPr>
                              <w:t>Carryover a moderate proportion of allocations</w:t>
                            </w:r>
                          </w:p>
                          <w:p w14:paraId="6C65037A" w14:textId="77777777" w:rsidR="00D11956" w:rsidRPr="00C36DCC" w:rsidRDefault="00D11956" w:rsidP="009F1837">
                            <w:pPr>
                              <w:pStyle w:val="ListBullet2"/>
                              <w:numPr>
                                <w:ilvl w:val="1"/>
                                <w:numId w:val="10"/>
                              </w:numPr>
                              <w:spacing w:before="20" w:after="20" w:line="276" w:lineRule="auto"/>
                              <w:ind w:left="284" w:hanging="284"/>
                              <w:jc w:val="center"/>
                              <w:rPr>
                                <w:sz w:val="16"/>
                                <w:szCs w:val="16"/>
                              </w:rPr>
                            </w:pPr>
                            <w:r>
                              <w:rPr>
                                <w:sz w:val="16"/>
                                <w:szCs w:val="16"/>
                              </w:rPr>
                              <w:t>An</w:t>
                            </w:r>
                            <w:r w:rsidRPr="00C36DCC">
                              <w:rPr>
                                <w:sz w:val="16"/>
                                <w:szCs w:val="16"/>
                              </w:rPr>
                              <w:t xml:space="preserve"> opportunity for purchasing allocations </w:t>
                            </w:r>
                            <w:r>
                              <w:rPr>
                                <w:sz w:val="16"/>
                                <w:szCs w:val="16"/>
                              </w:rPr>
                              <w:t>to use or carryover, subject to market conditions</w:t>
                            </w:r>
                          </w:p>
                        </w:txbxContent>
                      </v:textbox>
                    </v:shape>
                  </w:pict>
                </mc:Fallback>
              </mc:AlternateContent>
            </w:r>
            <w:r w:rsidR="009F1837" w:rsidRPr="009F7A28">
              <w:rPr>
                <w:sz w:val="16"/>
                <w:szCs w:val="16"/>
              </w:rPr>
              <w:t xml:space="preserve">                                                     </w:t>
            </w:r>
          </w:p>
          <w:p w14:paraId="6C650247" w14:textId="77777777" w:rsidR="007A7A94" w:rsidRDefault="009F1837">
            <w:pPr>
              <w:pStyle w:val="ListBullet"/>
              <w:numPr>
                <w:ilvl w:val="0"/>
                <w:numId w:val="0"/>
              </w:numPr>
              <w:spacing w:after="120"/>
              <w:ind w:right="-86"/>
              <w:rPr>
                <w:sz w:val="16"/>
                <w:szCs w:val="16"/>
              </w:rPr>
            </w:pPr>
            <w:r w:rsidRPr="009F7A28">
              <w:rPr>
                <w:sz w:val="16"/>
                <w:szCs w:val="16"/>
              </w:rPr>
              <w:t xml:space="preserve">                                                    </w:t>
            </w:r>
          </w:p>
        </w:tc>
        <w:tc>
          <w:tcPr>
            <w:tcW w:w="2865" w:type="dxa"/>
            <w:vMerge/>
            <w:shd w:val="clear" w:color="auto" w:fill="CEE0D8"/>
          </w:tcPr>
          <w:p w14:paraId="6C650248" w14:textId="77777777" w:rsidR="007A7A94" w:rsidRDefault="007A7A94">
            <w:pPr>
              <w:pStyle w:val="ListBullet"/>
              <w:numPr>
                <w:ilvl w:val="0"/>
                <w:numId w:val="0"/>
              </w:numPr>
              <w:spacing w:after="120"/>
              <w:rPr>
                <w:sz w:val="16"/>
                <w:szCs w:val="16"/>
              </w:rPr>
            </w:pPr>
          </w:p>
        </w:tc>
        <w:tc>
          <w:tcPr>
            <w:tcW w:w="2863" w:type="dxa"/>
            <w:vMerge/>
            <w:tcBorders>
              <w:bottom w:val="single" w:sz="4" w:space="0" w:color="auto"/>
              <w:right w:val="single" w:sz="4" w:space="0" w:color="auto"/>
            </w:tcBorders>
            <w:shd w:val="clear" w:color="auto" w:fill="CEE0D8"/>
          </w:tcPr>
          <w:p w14:paraId="6C650249" w14:textId="77777777" w:rsidR="007A7A94" w:rsidRDefault="007A7A94">
            <w:pPr>
              <w:pStyle w:val="ListBullet"/>
              <w:spacing w:after="120"/>
              <w:ind w:left="0"/>
              <w:jc w:val="left"/>
              <w:rPr>
                <w:sz w:val="16"/>
                <w:szCs w:val="16"/>
              </w:rPr>
            </w:pPr>
          </w:p>
        </w:tc>
      </w:tr>
      <w:tr w:rsidR="009F1837" w:rsidRPr="009F7A28" w14:paraId="6C65024F" w14:textId="77777777" w:rsidTr="009F1837">
        <w:trPr>
          <w:cnfStyle w:val="000000010000" w:firstRow="0" w:lastRow="0" w:firstColumn="0" w:lastColumn="0" w:oddVBand="0" w:evenVBand="0" w:oddHBand="0" w:evenHBand="1" w:firstRowFirstColumn="0" w:firstRowLastColumn="0" w:lastRowFirstColumn="0" w:lastRowLastColumn="0"/>
          <w:trHeight w:val="822"/>
        </w:trPr>
        <w:tc>
          <w:tcPr>
            <w:tcW w:w="1430" w:type="dxa"/>
            <w:tcBorders>
              <w:left w:val="single" w:sz="4" w:space="0" w:color="auto"/>
              <w:bottom w:val="single" w:sz="4" w:space="0" w:color="auto"/>
              <w:right w:val="single" w:sz="4" w:space="0" w:color="auto"/>
            </w:tcBorders>
            <w:vAlign w:val="center"/>
          </w:tcPr>
          <w:p w14:paraId="6C65024B" w14:textId="77777777" w:rsidR="007A7A94" w:rsidRDefault="009F1837">
            <w:pPr>
              <w:pStyle w:val="ListBullet"/>
              <w:numPr>
                <w:ilvl w:val="0"/>
                <w:numId w:val="0"/>
              </w:numPr>
              <w:spacing w:after="120"/>
              <w:ind w:left="-108"/>
              <w:jc w:val="center"/>
              <w:rPr>
                <w:b/>
                <w:sz w:val="16"/>
                <w:szCs w:val="16"/>
              </w:rPr>
            </w:pPr>
            <w:r w:rsidRPr="009F7A28">
              <w:rPr>
                <w:b/>
                <w:sz w:val="16"/>
                <w:szCs w:val="16"/>
              </w:rPr>
              <w:t>Very high</w:t>
            </w:r>
          </w:p>
          <w:p w14:paraId="6C65024C" w14:textId="77777777" w:rsidR="007A7A94" w:rsidRDefault="007A7A94">
            <w:pPr>
              <w:pStyle w:val="ListBullet"/>
              <w:numPr>
                <w:ilvl w:val="0"/>
                <w:numId w:val="0"/>
              </w:numPr>
              <w:spacing w:after="120"/>
              <w:ind w:left="-108"/>
              <w:jc w:val="center"/>
              <w:rPr>
                <w:b/>
                <w:sz w:val="16"/>
                <w:szCs w:val="16"/>
              </w:rPr>
            </w:pPr>
          </w:p>
        </w:tc>
        <w:tc>
          <w:tcPr>
            <w:tcW w:w="11457" w:type="dxa"/>
            <w:gridSpan w:val="4"/>
            <w:tcBorders>
              <w:left w:val="single" w:sz="4" w:space="0" w:color="auto"/>
              <w:bottom w:val="single" w:sz="4" w:space="0" w:color="auto"/>
            </w:tcBorders>
            <w:shd w:val="clear" w:color="auto" w:fill="CFD6E7"/>
          </w:tcPr>
          <w:p w14:paraId="6C65024D" w14:textId="6D414E16" w:rsidR="007A7A94" w:rsidRDefault="004835D0">
            <w:pPr>
              <w:pStyle w:val="ListBullet"/>
              <w:numPr>
                <w:ilvl w:val="0"/>
                <w:numId w:val="0"/>
              </w:numPr>
              <w:spacing w:after="120"/>
              <w:ind w:right="-86"/>
              <w:rPr>
                <w:sz w:val="16"/>
                <w:szCs w:val="16"/>
              </w:rPr>
            </w:pPr>
            <w:r>
              <w:rPr>
                <w:noProof/>
                <w:sz w:val="16"/>
                <w:szCs w:val="16"/>
              </w:rPr>
              <mc:AlternateContent>
                <mc:Choice Requires="wps">
                  <w:drawing>
                    <wp:anchor distT="0" distB="0" distL="114300" distR="114300" simplePos="0" relativeHeight="251692544" behindDoc="0" locked="0" layoutInCell="1" allowOverlap="1" wp14:anchorId="6C650339" wp14:editId="5F44CB8A">
                      <wp:simplePos x="0" y="0"/>
                      <wp:positionH relativeFrom="column">
                        <wp:posOffset>3456305</wp:posOffset>
                      </wp:positionH>
                      <wp:positionV relativeFrom="paragraph">
                        <wp:posOffset>222250</wp:posOffset>
                      </wp:positionV>
                      <wp:extent cx="3430270" cy="295275"/>
                      <wp:effectExtent l="7620" t="7620" r="635" b="1905"/>
                      <wp:wrapNone/>
                      <wp:docPr id="6"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0270" cy="2952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65037B" w14:textId="77777777" w:rsidR="00D11956" w:rsidRPr="00E76A9F" w:rsidRDefault="00D11956" w:rsidP="009F1837">
                                  <w:pPr>
                                    <w:pStyle w:val="ListBullet2"/>
                                    <w:numPr>
                                      <w:ilvl w:val="0"/>
                                      <w:numId w:val="0"/>
                                    </w:numPr>
                                    <w:spacing w:before="20" w:after="20" w:line="276" w:lineRule="auto"/>
                                    <w:rPr>
                                      <w:b/>
                                      <w:i/>
                                      <w:color w:val="2F3D5F"/>
                                    </w:rPr>
                                  </w:pPr>
                                  <w:r w:rsidRPr="00E76A9F">
                                    <w:rPr>
                                      <w:b/>
                                      <w:i/>
                                      <w:color w:val="2F3D5F"/>
                                    </w:rPr>
                                    <w:t>Purpose: Improve ecological health and resilience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C650339" id="Text Box 112" o:spid="_x0000_s1034" type="#_x0000_t202" style="position:absolute;left:0;text-align:left;margin-left:272.15pt;margin-top:17.5pt;width:270.1pt;height:23.25pt;z-index:2516925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" stroked="f">
                      <v:fill opacity="0"/>
                      <v:textbox style="mso-fit-shape-to-text:t">
                        <w:txbxContent>
                          <w:p w14:paraId="6C65037B" w14:textId="77777777" w:rsidR="00D11956" w:rsidRPr="00E76A9F" w:rsidRDefault="00D11956" w:rsidP="009F1837">
                            <w:pPr>
                              <w:pStyle w:val="ListBullet2"/>
                              <w:numPr>
                                <w:ilvl w:val="0"/>
                                <w:numId w:val="0"/>
                              </w:numPr>
                              <w:spacing w:before="20" w:after="20" w:line="276" w:lineRule="auto"/>
                              <w:rPr>
                                <w:b/>
                                <w:i/>
                                <w:color w:val="2F3D5F"/>
                              </w:rPr>
                            </w:pPr>
                            <w:r w:rsidRPr="00E76A9F">
                              <w:rPr>
                                <w:b/>
                                <w:i/>
                                <w:color w:val="2F3D5F"/>
                              </w:rPr>
                              <w:t>Purpose: Improve ecological health and resilience</w:t>
                            </w:r>
                          </w:p>
                        </w:txbxContent>
                      </v:textbox>
                    </v:shape>
                  </w:pict>
                </mc:Fallback>
              </mc:AlternateContent>
            </w:r>
          </w:p>
        </w:tc>
        <w:tc>
          <w:tcPr>
            <w:tcW w:w="2863" w:type="dxa"/>
            <w:vMerge/>
            <w:tcBorders>
              <w:bottom w:val="single" w:sz="4" w:space="0" w:color="auto"/>
              <w:right w:val="single" w:sz="4" w:space="0" w:color="auto"/>
            </w:tcBorders>
            <w:shd w:val="clear" w:color="auto" w:fill="CEE0D8"/>
          </w:tcPr>
          <w:p w14:paraId="6C65024E" w14:textId="77777777" w:rsidR="007A7A94" w:rsidRDefault="007A7A94">
            <w:pPr>
              <w:pStyle w:val="ListBullet"/>
              <w:numPr>
                <w:ilvl w:val="0"/>
                <w:numId w:val="0"/>
              </w:numPr>
              <w:spacing w:after="120"/>
              <w:rPr>
                <w:sz w:val="16"/>
                <w:szCs w:val="16"/>
              </w:rPr>
            </w:pPr>
          </w:p>
        </w:tc>
      </w:tr>
    </w:tbl>
    <w:p w14:paraId="6C650250" w14:textId="77777777" w:rsidR="008B6031" w:rsidRDefault="00F75C5A" w:rsidP="008B6031">
      <w:pPr>
        <w:pStyle w:val="Caption"/>
        <w:rPr>
          <w:rFonts w:ascii="Century Gothic" w:hAnsi="Century Gothic"/>
        </w:rPr>
      </w:pPr>
      <w:r w:rsidRPr="00E078BB">
        <w:rPr>
          <w:rFonts w:ascii="Century Gothic" w:hAnsi="Century Gothic"/>
          <w:b w:val="0"/>
          <w:bCs w:val="0"/>
          <w:sz w:val="16"/>
          <w:szCs w:val="16"/>
        </w:rPr>
        <w:t>Note: the portfolio management actions in each scenario represent generic examples and the specific approach taken in individual catchments and conditions will var</w:t>
      </w:r>
      <w:r>
        <w:rPr>
          <w:rFonts w:ascii="Century Gothic" w:hAnsi="Century Gothic"/>
          <w:b w:val="0"/>
          <w:bCs w:val="0"/>
          <w:sz w:val="16"/>
          <w:szCs w:val="16"/>
        </w:rPr>
        <w:t>y</w:t>
      </w:r>
      <w:r w:rsidR="008B6031" w:rsidRPr="008B6031">
        <w:rPr>
          <w:rFonts w:ascii="Century Gothic" w:hAnsi="Century Gothic"/>
        </w:rPr>
        <w:t xml:space="preserve"> </w:t>
      </w:r>
    </w:p>
    <w:p w14:paraId="6C650251" w14:textId="77777777" w:rsidR="00B17604" w:rsidRDefault="008B6031">
      <w:pPr>
        <w:pStyle w:val="Caption"/>
        <w:jc w:val="left"/>
      </w:pPr>
      <w:r w:rsidRPr="00737E24">
        <w:rPr>
          <w:rFonts w:ascii="Century Gothic" w:hAnsi="Century Gothic"/>
        </w:rPr>
        <w:t xml:space="preserve">Figure </w:t>
      </w:r>
      <w:r w:rsidR="00D848C1" w:rsidRPr="00737E24">
        <w:rPr>
          <w:rFonts w:ascii="Century Gothic" w:hAnsi="Century Gothic"/>
        </w:rPr>
        <w:fldChar w:fldCharType="begin"/>
      </w:r>
      <w:r w:rsidRPr="00737E24">
        <w:rPr>
          <w:rFonts w:ascii="Century Gothic" w:hAnsi="Century Gothic"/>
        </w:rPr>
        <w:instrText xml:space="preserve"> SEQ Figure \* ARABIC </w:instrText>
      </w:r>
      <w:r w:rsidR="00D848C1" w:rsidRPr="00737E24">
        <w:rPr>
          <w:rFonts w:ascii="Century Gothic" w:hAnsi="Century Gothic"/>
        </w:rPr>
        <w:fldChar w:fldCharType="separate"/>
      </w:r>
      <w:r w:rsidR="00A6387E">
        <w:rPr>
          <w:rFonts w:ascii="Century Gothic" w:hAnsi="Century Gothic"/>
          <w:noProof/>
        </w:rPr>
        <w:t>2</w:t>
      </w:r>
      <w:r w:rsidR="00D848C1" w:rsidRPr="00737E24">
        <w:rPr>
          <w:rFonts w:ascii="Century Gothic" w:hAnsi="Century Gothic"/>
        </w:rPr>
        <w:fldChar w:fldCharType="end"/>
      </w:r>
      <w:r w:rsidRPr="00737E24">
        <w:rPr>
          <w:rFonts w:ascii="Century Gothic" w:hAnsi="Century Gothic"/>
          <w:b w:val="0"/>
        </w:rPr>
        <w:t>: Examples of how environmental demand and water availability shape planning for the mix of portfolio management options for maximising environmental outcomes in different conditions</w:t>
      </w:r>
      <w:r w:rsidRPr="00E078BB">
        <w:t xml:space="preserve"> </w:t>
      </w:r>
    </w:p>
    <w:p w14:paraId="6C650252" w14:textId="77777777" w:rsidR="00F75C5A" w:rsidRDefault="00F75C5A" w:rsidP="006026F2">
      <w:pPr>
        <w:pStyle w:val="Caption"/>
        <w:spacing w:after="120"/>
        <w:jc w:val="left"/>
        <w:sectPr w:rsidR="00F75C5A" w:rsidSect="00F75C5A">
          <w:pgSz w:w="16838" w:h="11906" w:orient="landscape"/>
          <w:pgMar w:top="568" w:right="1077" w:bottom="1077" w:left="851" w:header="425" w:footer="425" w:gutter="0"/>
          <w:cols w:space="708"/>
          <w:titlePg/>
          <w:docGrid w:linePitch="360"/>
        </w:sectPr>
      </w:pPr>
    </w:p>
    <w:p w14:paraId="6C650253" w14:textId="77777777" w:rsidR="00B17604" w:rsidRDefault="004543FB">
      <w:pPr>
        <w:pStyle w:val="Heading11"/>
        <w:numPr>
          <w:ilvl w:val="2"/>
          <w:numId w:val="66"/>
        </w:numPr>
        <w:spacing w:before="0" w:after="120"/>
        <w:ind w:left="1418" w:hanging="704"/>
        <w:rPr>
          <w:rFonts w:ascii="Century Gothic" w:hAnsi="Century Gothic" w:cs="Arial"/>
          <w:sz w:val="24"/>
          <w:szCs w:val="24"/>
        </w:rPr>
      </w:pPr>
      <w:bookmarkStart w:id="160" w:name="_Toc517264659"/>
      <w:r w:rsidRPr="004543FB">
        <w:rPr>
          <w:rFonts w:ascii="Century Gothic" w:hAnsi="Century Gothic" w:cs="Arial"/>
          <w:sz w:val="24"/>
          <w:szCs w:val="24"/>
        </w:rPr>
        <w:lastRenderedPageBreak/>
        <w:t>Catchment planning</w:t>
      </w:r>
      <w:bookmarkEnd w:id="160"/>
    </w:p>
    <w:p w14:paraId="6C650254" w14:textId="0FCAD1E5" w:rsidR="007A7A94" w:rsidRDefault="008C7DC9">
      <w:pPr>
        <w:spacing w:after="120"/>
        <w:rPr>
          <w:rFonts w:ascii="Century Gothic" w:hAnsi="Century Gothic"/>
        </w:rPr>
      </w:pPr>
      <w:r>
        <w:rPr>
          <w:rFonts w:ascii="Century Gothic" w:hAnsi="Century Gothic"/>
        </w:rPr>
        <w:t xml:space="preserve">Portfolio management planning is initiated at the catchment scale. It </w:t>
      </w:r>
      <w:r w:rsidRPr="008C7DC9">
        <w:rPr>
          <w:rFonts w:ascii="Century Gothic" w:hAnsi="Century Gothic"/>
        </w:rPr>
        <w:t xml:space="preserve">involves conversations between the </w:t>
      </w:r>
      <w:r w:rsidR="00857534">
        <w:rPr>
          <w:rFonts w:ascii="Century Gothic" w:hAnsi="Century Gothic"/>
        </w:rPr>
        <w:t>Commonwealth Environmental Water Office</w:t>
      </w:r>
      <w:r w:rsidRPr="008C7DC9">
        <w:rPr>
          <w:rFonts w:ascii="Century Gothic" w:hAnsi="Century Gothic"/>
        </w:rPr>
        <w:t xml:space="preserve"> and state environmental water managers, site managers, river operators, state regulating agencies as well as the o</w:t>
      </w:r>
      <w:r w:rsidR="007503FA">
        <w:rPr>
          <w:rFonts w:ascii="Century Gothic" w:hAnsi="Century Gothic"/>
        </w:rPr>
        <w:t>rganisations responsible for</w:t>
      </w:r>
      <w:r w:rsidRPr="008C7DC9">
        <w:rPr>
          <w:rFonts w:ascii="Century Gothic" w:hAnsi="Century Gothic"/>
        </w:rPr>
        <w:t xml:space="preserve"> monitoring the outcomes from environmental water. These conversations identify environmental demands, relevant lessons learnt and outcomes from previous watering, barriers to delivery (e.g. infrastructure maintenance), potential risks, other complementary sources of water and any relevant operational plans.</w:t>
      </w:r>
      <w:r w:rsidR="000E3C60" w:rsidRPr="000E3C60">
        <w:rPr>
          <w:rFonts w:ascii="Century Gothic" w:hAnsi="Century Gothic"/>
        </w:rPr>
        <w:t xml:space="preserve"> </w:t>
      </w:r>
    </w:p>
    <w:p w14:paraId="6C650255" w14:textId="77777777" w:rsidR="007A7A94" w:rsidRDefault="00031652">
      <w:pPr>
        <w:spacing w:after="120"/>
        <w:rPr>
          <w:rFonts w:ascii="Century Gothic" w:hAnsi="Century Gothic"/>
        </w:rPr>
      </w:pPr>
      <w:r>
        <w:rPr>
          <w:rFonts w:ascii="Century Gothic" w:hAnsi="Century Gothic"/>
        </w:rPr>
        <w:t>Catchment plans include</w:t>
      </w:r>
      <w:r w:rsidR="005307CF">
        <w:rPr>
          <w:rFonts w:ascii="Century Gothic" w:hAnsi="Century Gothic"/>
        </w:rPr>
        <w:t xml:space="preserve"> a summary of the objectives and </w:t>
      </w:r>
      <w:r w:rsidRPr="00031652">
        <w:rPr>
          <w:rFonts w:ascii="Century Gothic" w:hAnsi="Century Gothic"/>
        </w:rPr>
        <w:t>long-term flow regime required to meet environmental demands</w:t>
      </w:r>
      <w:r w:rsidR="005307CF">
        <w:rPr>
          <w:rFonts w:ascii="Century Gothic" w:hAnsi="Century Gothic"/>
        </w:rPr>
        <w:t xml:space="preserve">. </w:t>
      </w:r>
      <w:r w:rsidR="002E18DF">
        <w:rPr>
          <w:rFonts w:ascii="Century Gothic" w:hAnsi="Century Gothic"/>
        </w:rPr>
        <w:t>A multi-year approach is then taken to identifying portfolio management intentions, considering the:</w:t>
      </w:r>
      <w:r w:rsidR="005307CF">
        <w:rPr>
          <w:rFonts w:ascii="Century Gothic" w:hAnsi="Century Gothic"/>
        </w:rPr>
        <w:t xml:space="preserve"> </w:t>
      </w:r>
      <w:r w:rsidRPr="00031652">
        <w:rPr>
          <w:rFonts w:ascii="Century Gothic" w:hAnsi="Century Gothic"/>
        </w:rPr>
        <w:t xml:space="preserve"> </w:t>
      </w:r>
    </w:p>
    <w:p w14:paraId="6C650256" w14:textId="77777777" w:rsidR="007A7A94" w:rsidRDefault="002E18DF" w:rsidP="00BC0CD5">
      <w:pPr>
        <w:pStyle w:val="ListBullet"/>
        <w:spacing w:after="120"/>
        <w:jc w:val="left"/>
        <w:rPr>
          <w:rFonts w:ascii="Century Gothic" w:hAnsi="Century Gothic"/>
        </w:rPr>
      </w:pPr>
      <w:r>
        <w:rPr>
          <w:rFonts w:ascii="Century Gothic" w:hAnsi="Century Gothic"/>
        </w:rPr>
        <w:t>past</w:t>
      </w:r>
      <w:r w:rsidR="00031652" w:rsidRPr="00031652">
        <w:rPr>
          <w:rFonts w:ascii="Century Gothic" w:hAnsi="Century Gothic"/>
        </w:rPr>
        <w:t xml:space="preserve"> watering history and its impact on environmental demands and asset condition </w:t>
      </w:r>
    </w:p>
    <w:p w14:paraId="6C650257" w14:textId="77777777" w:rsidR="007A7A94" w:rsidRDefault="002E18DF" w:rsidP="00BC0CD5">
      <w:pPr>
        <w:pStyle w:val="ListBullet"/>
        <w:spacing w:after="120"/>
        <w:jc w:val="left"/>
        <w:rPr>
          <w:rFonts w:ascii="Century Gothic" w:hAnsi="Century Gothic"/>
        </w:rPr>
      </w:pPr>
      <w:r>
        <w:rPr>
          <w:rFonts w:ascii="Century Gothic" w:hAnsi="Century Gothic"/>
        </w:rPr>
        <w:t>likely affects of planned actions on environmental demands in future years</w:t>
      </w:r>
      <w:r w:rsidR="00031652" w:rsidRPr="00031652">
        <w:rPr>
          <w:rFonts w:ascii="Century Gothic" w:hAnsi="Century Gothic"/>
        </w:rPr>
        <w:t>.</w:t>
      </w:r>
    </w:p>
    <w:p w14:paraId="6C650258" w14:textId="77777777" w:rsidR="00B17604" w:rsidRDefault="004543FB">
      <w:pPr>
        <w:pStyle w:val="Heading11"/>
        <w:numPr>
          <w:ilvl w:val="2"/>
          <w:numId w:val="66"/>
        </w:numPr>
        <w:spacing w:before="0" w:after="120"/>
        <w:ind w:left="1418" w:hanging="704"/>
        <w:rPr>
          <w:rFonts w:ascii="Century Gothic" w:hAnsi="Century Gothic" w:cs="Arial"/>
          <w:sz w:val="24"/>
          <w:szCs w:val="24"/>
        </w:rPr>
      </w:pPr>
      <w:bookmarkStart w:id="161" w:name="_Toc517264660"/>
      <w:r w:rsidRPr="004543FB">
        <w:rPr>
          <w:rFonts w:ascii="Century Gothic" w:hAnsi="Century Gothic" w:cs="Arial"/>
          <w:sz w:val="24"/>
          <w:szCs w:val="24"/>
        </w:rPr>
        <w:t>Basin-</w:t>
      </w:r>
      <w:r w:rsidR="00D86FAA">
        <w:rPr>
          <w:rFonts w:ascii="Century Gothic" w:hAnsi="Century Gothic" w:cs="Arial"/>
          <w:sz w:val="24"/>
          <w:szCs w:val="24"/>
        </w:rPr>
        <w:t>wide</w:t>
      </w:r>
      <w:r w:rsidR="00D86FAA" w:rsidRPr="004543FB">
        <w:rPr>
          <w:rFonts w:ascii="Century Gothic" w:hAnsi="Century Gothic" w:cs="Arial"/>
          <w:sz w:val="24"/>
          <w:szCs w:val="24"/>
        </w:rPr>
        <w:t xml:space="preserve"> </w:t>
      </w:r>
      <w:r w:rsidRPr="004543FB">
        <w:rPr>
          <w:rFonts w:ascii="Century Gothic" w:hAnsi="Century Gothic" w:cs="Arial"/>
          <w:sz w:val="24"/>
          <w:szCs w:val="24"/>
        </w:rPr>
        <w:t>planning</w:t>
      </w:r>
      <w:bookmarkEnd w:id="161"/>
    </w:p>
    <w:p w14:paraId="6C650259" w14:textId="77777777" w:rsidR="007A7A94" w:rsidRDefault="00007CD7">
      <w:pPr>
        <w:spacing w:after="120"/>
        <w:rPr>
          <w:rFonts w:ascii="Century Gothic" w:hAnsi="Century Gothic"/>
        </w:rPr>
      </w:pPr>
      <w:r w:rsidRPr="00F81919">
        <w:rPr>
          <w:rFonts w:ascii="Century Gothic" w:hAnsi="Century Gothic"/>
        </w:rPr>
        <w:t>Once initial catchment planning has been undertaken, this is then fed into a Basin-</w:t>
      </w:r>
      <w:r w:rsidR="00D86FAA">
        <w:rPr>
          <w:rFonts w:ascii="Century Gothic" w:hAnsi="Century Gothic"/>
        </w:rPr>
        <w:t>wide</w:t>
      </w:r>
      <w:r w:rsidR="00D86FAA" w:rsidRPr="00F81919">
        <w:rPr>
          <w:rFonts w:ascii="Century Gothic" w:hAnsi="Century Gothic"/>
        </w:rPr>
        <w:t xml:space="preserve"> </w:t>
      </w:r>
      <w:r w:rsidRPr="00F81919">
        <w:rPr>
          <w:rFonts w:ascii="Century Gothic" w:hAnsi="Century Gothic"/>
        </w:rPr>
        <w:t>planning process. This process considers:</w:t>
      </w:r>
    </w:p>
    <w:p w14:paraId="6C65025A" w14:textId="77777777" w:rsidR="007A7A94" w:rsidRDefault="008D5590" w:rsidP="00BC0CD5">
      <w:pPr>
        <w:pStyle w:val="ListBullet"/>
        <w:spacing w:after="120"/>
        <w:jc w:val="left"/>
        <w:rPr>
          <w:rFonts w:ascii="Century Gothic" w:hAnsi="Century Gothic"/>
        </w:rPr>
      </w:pPr>
      <w:r>
        <w:rPr>
          <w:rFonts w:ascii="Century Gothic" w:hAnsi="Century Gothic"/>
        </w:rPr>
        <w:t>key demands across the Basin</w:t>
      </w:r>
    </w:p>
    <w:p w14:paraId="6C65025B" w14:textId="77777777" w:rsidR="007A7A94" w:rsidRDefault="002F5C66" w:rsidP="00BC0CD5">
      <w:pPr>
        <w:pStyle w:val="ListBullet"/>
        <w:spacing w:after="120"/>
        <w:jc w:val="left"/>
        <w:rPr>
          <w:rFonts w:ascii="Century Gothic" w:hAnsi="Century Gothic"/>
        </w:rPr>
      </w:pPr>
      <w:r w:rsidRPr="00007CD7" w:rsidDel="00CD61FD">
        <w:rPr>
          <w:rFonts w:ascii="Century Gothic" w:hAnsi="Century Gothic"/>
        </w:rPr>
        <w:t>opportunities to use allocation trade (purchase, sale or transfer) to rebalance the portfolio to better match differing demands across catchments</w:t>
      </w:r>
    </w:p>
    <w:p w14:paraId="6C65025C" w14:textId="77777777" w:rsidR="007A7A94" w:rsidRDefault="008D5590" w:rsidP="00BC0CD5">
      <w:pPr>
        <w:pStyle w:val="ListBullet"/>
        <w:spacing w:after="120"/>
        <w:jc w:val="left"/>
        <w:rPr>
          <w:rFonts w:ascii="Century Gothic" w:hAnsi="Century Gothic"/>
        </w:rPr>
      </w:pPr>
      <w:r>
        <w:rPr>
          <w:rFonts w:ascii="Century Gothic" w:hAnsi="Century Gothic"/>
        </w:rPr>
        <w:t xml:space="preserve">opportunites to </w:t>
      </w:r>
      <w:r w:rsidR="00007CD7">
        <w:rPr>
          <w:rFonts w:ascii="Century Gothic" w:hAnsi="Century Gothic"/>
        </w:rPr>
        <w:t>align environmental outcomes</w:t>
      </w:r>
      <w:r>
        <w:rPr>
          <w:rFonts w:ascii="Century Gothic" w:hAnsi="Century Gothic"/>
        </w:rPr>
        <w:t xml:space="preserve"> from watering</w:t>
      </w:r>
      <w:r w:rsidR="00007CD7">
        <w:rPr>
          <w:rFonts w:ascii="Century Gothic" w:hAnsi="Century Gothic"/>
        </w:rPr>
        <w:t>, such as multi-site watering events in hydrologicall</w:t>
      </w:r>
      <w:r>
        <w:rPr>
          <w:rFonts w:ascii="Century Gothic" w:hAnsi="Century Gothic"/>
        </w:rPr>
        <w:t>y</w:t>
      </w:r>
      <w:r w:rsidR="00007CD7">
        <w:rPr>
          <w:rFonts w:ascii="Century Gothic" w:hAnsi="Century Gothic"/>
        </w:rPr>
        <w:t xml:space="preserve"> connected catchments</w:t>
      </w:r>
    </w:p>
    <w:p w14:paraId="6C65025D" w14:textId="77777777" w:rsidR="007A7A94" w:rsidRDefault="002F5C66">
      <w:pPr>
        <w:pStyle w:val="ListBullet"/>
        <w:numPr>
          <w:ilvl w:val="0"/>
          <w:numId w:val="0"/>
        </w:numPr>
        <w:spacing w:after="120"/>
        <w:rPr>
          <w:rFonts w:ascii="Century Gothic" w:hAnsi="Century Gothic"/>
        </w:rPr>
      </w:pPr>
      <w:r w:rsidRPr="00007CD7" w:rsidDel="00CD61FD">
        <w:rPr>
          <w:rFonts w:ascii="Century Gothic" w:hAnsi="Century Gothic"/>
        </w:rPr>
        <w:t xml:space="preserve">The plans for individual </w:t>
      </w:r>
      <w:r w:rsidR="008D5590">
        <w:rPr>
          <w:rFonts w:ascii="Century Gothic" w:hAnsi="Century Gothic"/>
        </w:rPr>
        <w:t>catchments</w:t>
      </w:r>
      <w:r w:rsidRPr="00007CD7" w:rsidDel="00CD61FD">
        <w:rPr>
          <w:rFonts w:ascii="Century Gothic" w:hAnsi="Century Gothic"/>
        </w:rPr>
        <w:t xml:space="preserve"> are then updated as required to reflect th</w:t>
      </w:r>
      <w:r w:rsidR="008D5590">
        <w:rPr>
          <w:rFonts w:ascii="Century Gothic" w:hAnsi="Century Gothic"/>
        </w:rPr>
        <w:t>e outcomes of th</w:t>
      </w:r>
      <w:r w:rsidRPr="00007CD7" w:rsidDel="00CD61FD">
        <w:rPr>
          <w:rFonts w:ascii="Century Gothic" w:hAnsi="Century Gothic"/>
        </w:rPr>
        <w:t>is Basin-</w:t>
      </w:r>
      <w:r w:rsidR="00D86FAA">
        <w:rPr>
          <w:rFonts w:ascii="Century Gothic" w:hAnsi="Century Gothic"/>
        </w:rPr>
        <w:t>wide</w:t>
      </w:r>
      <w:r w:rsidR="00D86FAA" w:rsidRPr="00007CD7" w:rsidDel="00CD61FD">
        <w:rPr>
          <w:rFonts w:ascii="Century Gothic" w:hAnsi="Century Gothic"/>
        </w:rPr>
        <w:t xml:space="preserve"> </w:t>
      </w:r>
      <w:r w:rsidR="008D5590">
        <w:rPr>
          <w:rFonts w:ascii="Century Gothic" w:hAnsi="Century Gothic"/>
        </w:rPr>
        <w:t>planning</w:t>
      </w:r>
      <w:r w:rsidRPr="00007CD7" w:rsidDel="00CD61FD">
        <w:rPr>
          <w:rFonts w:ascii="Century Gothic" w:hAnsi="Century Gothic"/>
        </w:rPr>
        <w:t>.</w:t>
      </w:r>
    </w:p>
    <w:p w14:paraId="6C65025E" w14:textId="358C5C26" w:rsidR="007A7A94" w:rsidRDefault="00AE0E57">
      <w:pPr>
        <w:pStyle w:val="Heading11"/>
        <w:spacing w:before="0" w:after="120"/>
        <w:ind w:left="851" w:hanging="851"/>
      </w:pPr>
      <w:bookmarkStart w:id="162" w:name="_Toc517264661"/>
      <w:r w:rsidRPr="003D0A27">
        <w:t>Constraints to</w:t>
      </w:r>
      <w:r w:rsidR="00FE29EB" w:rsidRPr="003D0A27">
        <w:t xml:space="preserve"> Commonwealth environmental watering</w:t>
      </w:r>
      <w:bookmarkEnd w:id="150"/>
      <w:bookmarkEnd w:id="151"/>
      <w:bookmarkEnd w:id="152"/>
      <w:bookmarkEnd w:id="162"/>
    </w:p>
    <w:p w14:paraId="6C65025F" w14:textId="77777777" w:rsidR="007A7A94" w:rsidRDefault="000E3C60">
      <w:pPr>
        <w:spacing w:after="120"/>
        <w:rPr>
          <w:rFonts w:ascii="Century Gothic" w:hAnsi="Century Gothic"/>
        </w:rPr>
      </w:pPr>
      <w:r w:rsidRPr="000E3C60">
        <w:rPr>
          <w:rFonts w:ascii="Century Gothic" w:hAnsi="Century Gothic"/>
        </w:rPr>
        <w:t>Constraints are river management practices and structures that govern the volume and timing of regulated water delivery through the river system. They can be:</w:t>
      </w:r>
    </w:p>
    <w:p w14:paraId="6C650260" w14:textId="77777777" w:rsidR="007A7A94" w:rsidRDefault="000E3C60" w:rsidP="00BC0CD5">
      <w:pPr>
        <w:pStyle w:val="ListBullet"/>
        <w:spacing w:after="120"/>
        <w:jc w:val="left"/>
        <w:rPr>
          <w:rFonts w:ascii="Century Gothic" w:hAnsi="Century Gothic"/>
        </w:rPr>
      </w:pPr>
      <w:r w:rsidRPr="000E3C60">
        <w:rPr>
          <w:rFonts w:ascii="Century Gothic" w:hAnsi="Century Gothic"/>
        </w:rPr>
        <w:t xml:space="preserve">physical restrictions, like low-lying bridges or roads  </w:t>
      </w:r>
    </w:p>
    <w:p w14:paraId="6C650261" w14:textId="77777777" w:rsidR="007A7A94" w:rsidRDefault="000E3C60" w:rsidP="00BC0CD5">
      <w:pPr>
        <w:pStyle w:val="ListBullet"/>
        <w:spacing w:after="120"/>
        <w:jc w:val="left"/>
        <w:rPr>
          <w:rFonts w:ascii="Century Gothic" w:hAnsi="Century Gothic"/>
        </w:rPr>
      </w:pPr>
      <w:r w:rsidRPr="000E3C60">
        <w:rPr>
          <w:rFonts w:ascii="Century Gothic" w:hAnsi="Century Gothic"/>
        </w:rPr>
        <w:t>areas of private land that might be adversely impacted by high regulated flows</w:t>
      </w:r>
    </w:p>
    <w:p w14:paraId="6C650262" w14:textId="77777777" w:rsidR="007A7A94" w:rsidRDefault="000E3C60" w:rsidP="00BC0CD5">
      <w:pPr>
        <w:pStyle w:val="ListBullet"/>
        <w:spacing w:after="120"/>
        <w:jc w:val="left"/>
        <w:rPr>
          <w:rFonts w:ascii="Century Gothic" w:hAnsi="Century Gothic"/>
        </w:rPr>
      </w:pPr>
      <w:r w:rsidRPr="000E3C60">
        <w:rPr>
          <w:rFonts w:ascii="Century Gothic" w:hAnsi="Century Gothic"/>
        </w:rPr>
        <w:t xml:space="preserve">river rules or practices that limit how environmental water can be delivered. </w:t>
      </w:r>
    </w:p>
    <w:p w14:paraId="6C650263" w14:textId="77777777" w:rsidR="007A7A94" w:rsidRDefault="000E3C60">
      <w:pPr>
        <w:spacing w:after="120"/>
        <w:rPr>
          <w:rFonts w:ascii="Century Gothic" w:hAnsi="Century Gothic"/>
        </w:rPr>
      </w:pPr>
      <w:r w:rsidRPr="000E3C60">
        <w:rPr>
          <w:rFonts w:ascii="Century Gothic" w:hAnsi="Century Gothic"/>
        </w:rPr>
        <w:t xml:space="preserve">Not all environmental demands can and will be met through the use of held environmental water. Some demands are met by regulated water deliveries for consumptive purposes, while others are met by large unregulated/natural flows events or are beyond what can be delivered within operational constraints. Infrastructure can often be used to deliver water to individual wetlands that would otherwise not be possible due to constraints. </w:t>
      </w:r>
    </w:p>
    <w:p w14:paraId="6C650264" w14:textId="77777777" w:rsidR="007A7A94" w:rsidRDefault="000E3C60">
      <w:pPr>
        <w:spacing w:after="120"/>
        <w:rPr>
          <w:rFonts w:ascii="Century Gothic" w:hAnsi="Century Gothic"/>
        </w:rPr>
      </w:pPr>
      <w:r w:rsidRPr="000E3C60">
        <w:rPr>
          <w:rFonts w:ascii="Century Gothic" w:hAnsi="Century Gothic"/>
        </w:rPr>
        <w:t xml:space="preserve">River operators have an important role to play in the delivery of environmental water. Operators are required to deliver water to their customers within the established river management practices. River operators manage environmental water with the same diligence and caution that they deliver irrigation and town water. This includes continually appraising any risks, forecasting rainfall events and tributary inflows against peak regulated operating levels and being careful to avoid any possible impacts while delivering water. </w:t>
      </w:r>
    </w:p>
    <w:p w14:paraId="6C650265" w14:textId="320BB8DE" w:rsidR="007A7A94" w:rsidRDefault="000E3C60">
      <w:pPr>
        <w:spacing w:after="120"/>
        <w:rPr>
          <w:rFonts w:ascii="Century Gothic" w:hAnsi="Century Gothic"/>
        </w:rPr>
      </w:pPr>
      <w:r w:rsidRPr="000E3C60">
        <w:rPr>
          <w:rFonts w:ascii="Century Gothic" w:hAnsi="Century Gothic"/>
        </w:rPr>
        <w:t xml:space="preserve">Environmental water holders work with operators in real time to vary delivery to avoid third party impacts while still getting the best environmental outcomes. The </w:t>
      </w:r>
      <w:r w:rsidR="00857534">
        <w:rPr>
          <w:rFonts w:ascii="Century Gothic" w:hAnsi="Century Gothic"/>
        </w:rPr>
        <w:t xml:space="preserve">Commonwealth Environmental Water Holder </w:t>
      </w:r>
      <w:r w:rsidRPr="000E3C60">
        <w:rPr>
          <w:rFonts w:ascii="Century Gothic" w:hAnsi="Century Gothic"/>
        </w:rPr>
        <w:t xml:space="preserve"> takes a cautious approach to environmental flow management in order to eliminate, to the fullest extent practical, the risk of unintended impacts on landholders, irrigators and other third parties, while still delivering positive environmental outcomes.</w:t>
      </w:r>
    </w:p>
    <w:p w14:paraId="6C650266" w14:textId="77777777" w:rsidR="00B1522D" w:rsidRDefault="00B1522D">
      <w:pPr>
        <w:spacing w:after="120"/>
        <w:rPr>
          <w:rFonts w:ascii="Century Gothic" w:hAnsi="Century Gothic"/>
        </w:rPr>
      </w:pPr>
    </w:p>
    <w:p w14:paraId="6C650267" w14:textId="36191ADF" w:rsidR="007A7A94" w:rsidRDefault="000E3C60">
      <w:pPr>
        <w:pStyle w:val="Heading11"/>
        <w:numPr>
          <w:ilvl w:val="2"/>
          <w:numId w:val="66"/>
        </w:numPr>
        <w:spacing w:before="0" w:after="120"/>
        <w:ind w:left="1418" w:hanging="704"/>
        <w:rPr>
          <w:rFonts w:ascii="Century Gothic" w:hAnsi="Century Gothic"/>
          <w:sz w:val="24"/>
          <w:szCs w:val="24"/>
        </w:rPr>
      </w:pPr>
      <w:bookmarkStart w:id="163" w:name="_Toc517264662"/>
      <w:r w:rsidRPr="000E3C60">
        <w:rPr>
          <w:rFonts w:ascii="Century Gothic" w:hAnsi="Century Gothic" w:cs="Arial"/>
          <w:sz w:val="24"/>
          <w:szCs w:val="24"/>
        </w:rPr>
        <w:lastRenderedPageBreak/>
        <w:t>Constraints relaxation</w:t>
      </w:r>
      <w:bookmarkEnd w:id="163"/>
      <w:r w:rsidRPr="000E3C60">
        <w:rPr>
          <w:rFonts w:ascii="Century Gothic" w:hAnsi="Century Gothic" w:cs="Arial"/>
          <w:sz w:val="24"/>
          <w:szCs w:val="24"/>
        </w:rPr>
        <w:t xml:space="preserve"> </w:t>
      </w:r>
    </w:p>
    <w:p w14:paraId="6C650268" w14:textId="155A7750" w:rsidR="007A7A94" w:rsidRDefault="000E3C60" w:rsidP="00120AC6">
      <w:pPr>
        <w:spacing w:after="120"/>
        <w:rPr>
          <w:rFonts w:ascii="Century Gothic" w:hAnsi="Century Gothic"/>
        </w:rPr>
      </w:pPr>
      <w:r w:rsidRPr="000E3C60">
        <w:rPr>
          <w:rFonts w:ascii="Century Gothic" w:hAnsi="Century Gothic"/>
        </w:rPr>
        <w:t xml:space="preserve">Basin State governments are working with the </w:t>
      </w:r>
      <w:r w:rsidR="00BE4223">
        <w:rPr>
          <w:rFonts w:ascii="Century Gothic" w:hAnsi="Century Gothic"/>
        </w:rPr>
        <w:t>Murray-Darling</w:t>
      </w:r>
      <w:r w:rsidRPr="000E3C60">
        <w:rPr>
          <w:rFonts w:ascii="Century Gothic" w:hAnsi="Century Gothic"/>
        </w:rPr>
        <w:t xml:space="preserve"> Basin Authority to look at ways to reduce the limitations that constraints place on the use of environmental water and so improve environmental outcomes for the Basin. This work aims to improve the efficiency and/or effectiveness of environmental watering and get better environmental results for wetlands and rivers while avoiding, managing or mitigating impacts to local communities and industries. Governments will be working with communities to understand how to best avoid or mitigate any potential adverse impacts as well as the costs of addressing these to the satisfaction of affected communities. Any decision to remove or modify constraints will ultimately be a decision of Basin governments.</w:t>
      </w:r>
    </w:p>
    <w:p w14:paraId="6C650269" w14:textId="77777777" w:rsidR="007A7A94" w:rsidRDefault="000E3C60">
      <w:pPr>
        <w:spacing w:after="120"/>
        <w:rPr>
          <w:rFonts w:ascii="Century Gothic" w:hAnsi="Century Gothic"/>
        </w:rPr>
      </w:pPr>
      <w:r w:rsidRPr="000E3C60">
        <w:rPr>
          <w:rFonts w:ascii="Century Gothic" w:hAnsi="Century Gothic"/>
        </w:rPr>
        <w:t>Until such a decision is made to change constraints, Commonwealth environmental water will continue to be delivered within the existing constraints</w:t>
      </w:r>
      <w:r w:rsidR="001A5D3B">
        <w:rPr>
          <w:rFonts w:ascii="Century Gothic" w:hAnsi="Century Gothic"/>
        </w:rPr>
        <w:t>. Commonwealth environmental water is</w:t>
      </w:r>
      <w:r w:rsidRPr="000E3C60">
        <w:rPr>
          <w:rFonts w:ascii="Century Gothic" w:hAnsi="Century Gothic"/>
        </w:rPr>
        <w:t xml:space="preserve"> not deliver</w:t>
      </w:r>
      <w:r w:rsidR="001A5D3B">
        <w:rPr>
          <w:rFonts w:ascii="Century Gothic" w:hAnsi="Century Gothic"/>
        </w:rPr>
        <w:t>ed</w:t>
      </w:r>
      <w:r w:rsidRPr="000E3C60">
        <w:rPr>
          <w:rFonts w:ascii="Century Gothic" w:hAnsi="Century Gothic"/>
        </w:rPr>
        <w:t xml:space="preserve"> to </w:t>
      </w:r>
      <w:r w:rsidR="004D63BA">
        <w:rPr>
          <w:rFonts w:ascii="Century Gothic" w:hAnsi="Century Gothic"/>
        </w:rPr>
        <w:t xml:space="preserve">the </w:t>
      </w:r>
      <w:r w:rsidRPr="000E3C60">
        <w:rPr>
          <w:rFonts w:ascii="Century Gothic" w:hAnsi="Century Gothic"/>
        </w:rPr>
        <w:t xml:space="preserve">maximum </w:t>
      </w:r>
      <w:r w:rsidR="001A5D3B">
        <w:rPr>
          <w:rFonts w:ascii="Century Gothic" w:hAnsi="Century Gothic"/>
        </w:rPr>
        <w:t>allowable flows</w:t>
      </w:r>
      <w:r w:rsidRPr="000E3C60">
        <w:rPr>
          <w:rFonts w:ascii="Century Gothic" w:hAnsi="Century Gothic"/>
        </w:rPr>
        <w:t xml:space="preserve"> all the time and most often</w:t>
      </w:r>
      <w:r w:rsidR="001A5D3B">
        <w:rPr>
          <w:rFonts w:ascii="Century Gothic" w:hAnsi="Century Gothic"/>
        </w:rPr>
        <w:t>, water is</w:t>
      </w:r>
      <w:r w:rsidRPr="000E3C60">
        <w:rPr>
          <w:rFonts w:ascii="Century Gothic" w:hAnsi="Century Gothic"/>
        </w:rPr>
        <w:t xml:space="preserve"> deliver</w:t>
      </w:r>
      <w:r w:rsidR="001A5D3B">
        <w:rPr>
          <w:rFonts w:ascii="Century Gothic" w:hAnsi="Century Gothic"/>
        </w:rPr>
        <w:t>ed</w:t>
      </w:r>
      <w:r w:rsidRPr="000E3C60">
        <w:rPr>
          <w:rFonts w:ascii="Century Gothic" w:hAnsi="Century Gothic"/>
        </w:rPr>
        <w:t xml:space="preserve"> in line with natural cues</w:t>
      </w:r>
      <w:r w:rsidR="004D63BA">
        <w:rPr>
          <w:rFonts w:ascii="Century Gothic" w:hAnsi="Century Gothic"/>
        </w:rPr>
        <w:t xml:space="preserve"> at levels well below existing constraints</w:t>
      </w:r>
      <w:r w:rsidRPr="000E3C60">
        <w:rPr>
          <w:rFonts w:ascii="Century Gothic" w:hAnsi="Century Gothic"/>
        </w:rPr>
        <w:t xml:space="preserve">. </w:t>
      </w:r>
    </w:p>
    <w:p w14:paraId="6C65026A" w14:textId="77777777" w:rsidR="007A7A94" w:rsidRDefault="00EC5E9F">
      <w:pPr>
        <w:spacing w:after="120"/>
        <w:rPr>
          <w:b/>
          <w:color w:val="5F497A" w:themeColor="accent4" w:themeShade="BF"/>
          <w:sz w:val="48"/>
          <w:szCs w:val="48"/>
          <w:lang w:val="en-GB" w:eastAsia="en-US"/>
        </w:rPr>
      </w:pPr>
      <w:r>
        <w:rPr>
          <w:caps/>
          <w:color w:val="5F497A" w:themeColor="accent4" w:themeShade="BF"/>
          <w:sz w:val="48"/>
          <w:szCs w:val="48"/>
          <w:lang w:val="en-GB" w:eastAsia="en-US"/>
        </w:rPr>
        <w:br w:type="page"/>
      </w:r>
    </w:p>
    <w:p w14:paraId="6C65026B" w14:textId="42EF3386" w:rsidR="007A7A94" w:rsidRDefault="00F028C6">
      <w:pPr>
        <w:pStyle w:val="Heading1"/>
        <w:spacing w:after="120"/>
      </w:pPr>
      <w:bookmarkStart w:id="164" w:name="_Toc517264663"/>
      <w:r w:rsidRPr="0022362D">
        <w:lastRenderedPageBreak/>
        <w:t>From planning to decision-making</w:t>
      </w:r>
      <w:bookmarkEnd w:id="164"/>
    </w:p>
    <w:p w14:paraId="6C65026C" w14:textId="77777777" w:rsidR="00B17604" w:rsidRDefault="00E47462">
      <w:pPr>
        <w:widowControl w:val="0"/>
        <w:spacing w:after="120"/>
        <w:rPr>
          <w:rFonts w:ascii="Century Gothic" w:hAnsi="Century Gothic"/>
          <w:lang w:val="en-GB"/>
        </w:rPr>
      </w:pPr>
      <w:r w:rsidRPr="00F00F71">
        <w:rPr>
          <w:rFonts w:ascii="Century Gothic" w:hAnsi="Century Gothic"/>
          <w:lang w:val="en-GB"/>
        </w:rPr>
        <w:t>Following the planning process outlined above, a number of factors specific to local conditions within catchments influences decision</w:t>
      </w:r>
      <w:r w:rsidR="00E83A6E" w:rsidRPr="00F00F71">
        <w:rPr>
          <w:rFonts w:ascii="Century Gothic" w:hAnsi="Century Gothic"/>
          <w:lang w:val="en-GB"/>
        </w:rPr>
        <w:t>–</w:t>
      </w:r>
      <w:r w:rsidRPr="00F00F71">
        <w:rPr>
          <w:rFonts w:ascii="Century Gothic" w:hAnsi="Century Gothic"/>
          <w:lang w:val="en-GB"/>
        </w:rPr>
        <w:t>making around water delivery</w:t>
      </w:r>
      <w:r w:rsidR="00E83A6E" w:rsidRPr="00F00F71">
        <w:rPr>
          <w:rFonts w:ascii="Century Gothic" w:hAnsi="Century Gothic"/>
          <w:lang w:val="en-GB"/>
        </w:rPr>
        <w:t>, carry over and trade (</w:t>
      </w:r>
      <w:r w:rsidR="00F94269" w:rsidRPr="00F94269">
        <w:rPr>
          <w:rFonts w:ascii="Century Gothic" w:hAnsi="Century Gothic"/>
        </w:rPr>
        <w:t>Figure 3</w:t>
      </w:r>
      <w:r w:rsidRPr="00F00F71">
        <w:rPr>
          <w:rFonts w:ascii="Century Gothic" w:hAnsi="Century Gothic"/>
          <w:lang w:val="en-GB"/>
        </w:rPr>
        <w:t xml:space="preserve">). </w:t>
      </w:r>
      <w:r w:rsidR="00737E24" w:rsidRPr="00930165">
        <w:rPr>
          <w:rFonts w:ascii="Century Gothic" w:hAnsi="Century Gothic"/>
          <w:lang w:val="en-GB"/>
        </w:rPr>
        <w:t xml:space="preserve">Local </w:t>
      </w:r>
      <w:r w:rsidR="00737E24">
        <w:rPr>
          <w:rFonts w:ascii="Century Gothic" w:hAnsi="Century Gothic"/>
          <w:lang w:val="en-GB"/>
        </w:rPr>
        <w:t>knowledge</w:t>
      </w:r>
      <w:r w:rsidR="00737E24" w:rsidRPr="00930165">
        <w:rPr>
          <w:rFonts w:ascii="Century Gothic" w:hAnsi="Century Gothic"/>
          <w:lang w:val="en-GB"/>
        </w:rPr>
        <w:t xml:space="preserve"> and experience is critical to effectively manage and deliver Commonwealth environmental water. </w:t>
      </w:r>
      <w:r w:rsidR="00737E24">
        <w:rPr>
          <w:rFonts w:ascii="Century Gothic" w:hAnsi="Century Gothic"/>
          <w:lang w:val="en-GB"/>
        </w:rPr>
        <w:t>S</w:t>
      </w:r>
      <w:r w:rsidR="00737E24" w:rsidRPr="00930165">
        <w:rPr>
          <w:rFonts w:ascii="Century Gothic" w:hAnsi="Century Gothic"/>
          <w:lang w:val="en-GB"/>
        </w:rPr>
        <w:t>takeholders</w:t>
      </w:r>
      <w:r w:rsidR="00737E24">
        <w:rPr>
          <w:rFonts w:ascii="Century Gothic" w:hAnsi="Century Gothic"/>
          <w:lang w:val="en-GB"/>
        </w:rPr>
        <w:t xml:space="preserve"> have an important role and provide critical information that informs each stage of</w:t>
      </w:r>
      <w:r w:rsidR="00737E24" w:rsidRPr="00930165">
        <w:rPr>
          <w:rFonts w:ascii="Century Gothic" w:hAnsi="Century Gothic"/>
          <w:lang w:val="en-GB"/>
        </w:rPr>
        <w:t xml:space="preserve"> the </w:t>
      </w:r>
      <w:r w:rsidR="00737E24">
        <w:rPr>
          <w:rFonts w:ascii="Century Gothic" w:hAnsi="Century Gothic"/>
          <w:lang w:val="en-GB"/>
        </w:rPr>
        <w:t>process for</w:t>
      </w:r>
      <w:r w:rsidR="00737E24" w:rsidRPr="00930165">
        <w:rPr>
          <w:rFonts w:ascii="Century Gothic" w:hAnsi="Century Gothic"/>
          <w:lang w:val="en-GB"/>
        </w:rPr>
        <w:t xml:space="preserve"> manag</w:t>
      </w:r>
      <w:r w:rsidR="00737E24">
        <w:rPr>
          <w:rFonts w:ascii="Century Gothic" w:hAnsi="Century Gothic"/>
          <w:lang w:val="en-GB"/>
        </w:rPr>
        <w:t>ing</w:t>
      </w:r>
      <w:r w:rsidR="00737E24" w:rsidRPr="00930165">
        <w:rPr>
          <w:rFonts w:ascii="Century Gothic" w:hAnsi="Century Gothic"/>
          <w:lang w:val="en-GB"/>
        </w:rPr>
        <w:t xml:space="preserve"> Commonwealth environmental water. </w:t>
      </w:r>
    </w:p>
    <w:p w14:paraId="6C65026D" w14:textId="77777777" w:rsidR="001A5D3B" w:rsidRPr="00F00F71" w:rsidRDefault="001A5D3B" w:rsidP="006026F2">
      <w:pPr>
        <w:widowControl w:val="0"/>
        <w:spacing w:after="120"/>
        <w:jc w:val="left"/>
        <w:rPr>
          <w:rFonts w:ascii="Century Gothic" w:hAnsi="Century Gothic"/>
          <w:lang w:val="en-GB"/>
        </w:rPr>
      </w:pPr>
    </w:p>
    <w:p w14:paraId="6C65026E" w14:textId="77777777" w:rsidR="007A7A94" w:rsidRDefault="00122785">
      <w:pPr>
        <w:pStyle w:val="ListBullet"/>
        <w:numPr>
          <w:ilvl w:val="0"/>
          <w:numId w:val="0"/>
        </w:numPr>
        <w:spacing w:after="120"/>
        <w:contextualSpacing/>
        <w:rPr>
          <w:rFonts w:ascii="Arial" w:hAnsi="Arial" w:cs="Arial"/>
        </w:rPr>
      </w:pPr>
      <w:r w:rsidRPr="00122785">
        <w:rPr>
          <w:noProof/>
        </w:rPr>
        <w:drawing>
          <wp:inline distT="0" distB="0" distL="0" distR="0" wp14:anchorId="6C65033A" wp14:editId="6C65033B">
            <wp:extent cx="5849620" cy="2626079"/>
            <wp:effectExtent l="19050" t="0" r="0" b="0"/>
            <wp:docPr id="4" name="Picture 1" descr="A figure showing the range of prevailing factors specific to local conditions within catchments that influence decision-making around water delivery, carryover and trade. These factors include environmental demands and opportunities at specific sites; anticipated environmental demands in coming years; forecast climatic conditions and current dam storage levels; physical and operational constraints to water delivery; environmental and operational risks; cost versus benefit assessment of each option; water account rules and carryover limits; long-term yield of entitlements and wise levels of carryover, given uncertainty about future environmental needs; and water market conditions. "/>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stretch>
                      <a:fillRect/>
                    </a:stretch>
                  </pic:blipFill>
                  <pic:spPr>
                    <a:xfrm>
                      <a:off x="0" y="0"/>
                      <a:ext cx="5849620" cy="2626079"/>
                    </a:xfrm>
                    <a:prstGeom prst="rect">
                      <a:avLst/>
                    </a:prstGeom>
                  </pic:spPr>
                </pic:pic>
              </a:graphicData>
            </a:graphic>
          </wp:inline>
        </w:drawing>
      </w:r>
    </w:p>
    <w:p w14:paraId="6C65026F" w14:textId="23C68BE3" w:rsidR="008B6031" w:rsidRDefault="008B6031" w:rsidP="008B6031">
      <w:pPr>
        <w:pStyle w:val="Caption"/>
      </w:pPr>
      <w:r w:rsidRPr="00737E24">
        <w:rPr>
          <w:rFonts w:ascii="Century Gothic" w:hAnsi="Century Gothic"/>
        </w:rPr>
        <w:t xml:space="preserve">Figure </w:t>
      </w:r>
      <w:r w:rsidR="00D848C1" w:rsidRPr="00737E24">
        <w:rPr>
          <w:rFonts w:ascii="Century Gothic" w:hAnsi="Century Gothic"/>
        </w:rPr>
        <w:fldChar w:fldCharType="begin"/>
      </w:r>
      <w:r w:rsidRPr="00737E24">
        <w:rPr>
          <w:rFonts w:ascii="Century Gothic" w:hAnsi="Century Gothic"/>
        </w:rPr>
        <w:instrText xml:space="preserve"> SEQ Figure \* ARABIC </w:instrText>
      </w:r>
      <w:r w:rsidR="00D848C1" w:rsidRPr="00737E24">
        <w:rPr>
          <w:rFonts w:ascii="Century Gothic" w:hAnsi="Century Gothic"/>
        </w:rPr>
        <w:fldChar w:fldCharType="separate"/>
      </w:r>
      <w:r w:rsidR="00A6387E">
        <w:rPr>
          <w:rFonts w:ascii="Century Gothic" w:hAnsi="Century Gothic"/>
          <w:noProof/>
        </w:rPr>
        <w:t>3</w:t>
      </w:r>
      <w:r w:rsidR="00D848C1" w:rsidRPr="00737E24">
        <w:rPr>
          <w:rFonts w:ascii="Century Gothic" w:hAnsi="Century Gothic"/>
        </w:rPr>
        <w:fldChar w:fldCharType="end"/>
      </w:r>
      <w:r w:rsidRPr="00737E24">
        <w:rPr>
          <w:rFonts w:ascii="Century Gothic" w:hAnsi="Century Gothic"/>
          <w:bCs w:val="0"/>
        </w:rPr>
        <w:t>:</w:t>
      </w:r>
      <w:r w:rsidRPr="00737E24">
        <w:rPr>
          <w:rFonts w:ascii="Century Gothic" w:hAnsi="Century Gothic"/>
        </w:rPr>
        <w:t xml:space="preserve"> </w:t>
      </w:r>
      <w:r w:rsidRPr="00737E24">
        <w:rPr>
          <w:rFonts w:ascii="Century Gothic" w:hAnsi="Century Gothic"/>
          <w:b w:val="0"/>
        </w:rPr>
        <w:t>Factors informing planning and decision-making for Commonwealth environmental water</w:t>
      </w:r>
      <w:r w:rsidR="00326B4E">
        <w:rPr>
          <w:rFonts w:ascii="Century Gothic" w:hAnsi="Century Gothic"/>
          <w:b w:val="0"/>
        </w:rPr>
        <w:t>.</w:t>
      </w:r>
    </w:p>
    <w:p w14:paraId="6C650270" w14:textId="77777777" w:rsidR="007A7A94" w:rsidRDefault="007A7A94">
      <w:pPr>
        <w:pStyle w:val="Heading3"/>
        <w:numPr>
          <w:ilvl w:val="0"/>
          <w:numId w:val="0"/>
        </w:numPr>
        <w:spacing w:after="120"/>
        <w:rPr>
          <w:rFonts w:ascii="Arial" w:hAnsi="Arial"/>
          <w:b w:val="0"/>
          <w:i w:val="0"/>
        </w:rPr>
      </w:pPr>
    </w:p>
    <w:p w14:paraId="6C650271" w14:textId="5CAF5A53" w:rsidR="007A7A94" w:rsidRDefault="00ED2168">
      <w:pPr>
        <w:pStyle w:val="Heading11"/>
        <w:spacing w:before="0" w:after="120"/>
        <w:ind w:left="851" w:hanging="851"/>
      </w:pPr>
      <w:bookmarkStart w:id="165" w:name="_Toc420502901"/>
      <w:bookmarkStart w:id="166" w:name="_Toc420502940"/>
      <w:bookmarkStart w:id="167" w:name="_Toc420926941"/>
      <w:bookmarkStart w:id="168" w:name="_Toc422389624"/>
      <w:bookmarkStart w:id="169" w:name="_Toc444088401"/>
      <w:bookmarkStart w:id="170" w:name="_Toc444088460"/>
      <w:bookmarkStart w:id="171" w:name="_Toc444088555"/>
      <w:bookmarkStart w:id="172" w:name="_Toc444088617"/>
      <w:bookmarkStart w:id="173" w:name="_Toc444091234"/>
      <w:bookmarkStart w:id="174" w:name="_Toc444091351"/>
      <w:bookmarkStart w:id="175" w:name="_Toc444091511"/>
      <w:bookmarkStart w:id="176" w:name="_Toc444247166"/>
      <w:bookmarkStart w:id="177" w:name="_Toc444247393"/>
      <w:bookmarkStart w:id="178" w:name="_Toc444258388"/>
      <w:bookmarkStart w:id="179" w:name="_Toc444259181"/>
      <w:bookmarkStart w:id="180" w:name="_Toc420502902"/>
      <w:bookmarkStart w:id="181" w:name="_Toc420502941"/>
      <w:bookmarkStart w:id="182" w:name="_Toc420926942"/>
      <w:bookmarkStart w:id="183" w:name="_Toc422389625"/>
      <w:bookmarkStart w:id="184" w:name="_Toc444088402"/>
      <w:bookmarkStart w:id="185" w:name="_Toc444088461"/>
      <w:bookmarkStart w:id="186" w:name="_Toc444088556"/>
      <w:bookmarkStart w:id="187" w:name="_Toc444088618"/>
      <w:bookmarkStart w:id="188" w:name="_Toc444091235"/>
      <w:bookmarkStart w:id="189" w:name="_Toc444091352"/>
      <w:bookmarkStart w:id="190" w:name="_Toc444091512"/>
      <w:bookmarkStart w:id="191" w:name="_Toc444247167"/>
      <w:bookmarkStart w:id="192" w:name="_Toc444247394"/>
      <w:bookmarkStart w:id="193" w:name="_Toc444258389"/>
      <w:bookmarkStart w:id="194" w:name="_Toc444259182"/>
      <w:bookmarkStart w:id="195" w:name="_Toc420502903"/>
      <w:bookmarkStart w:id="196" w:name="_Toc420502942"/>
      <w:bookmarkStart w:id="197" w:name="_Toc420926943"/>
      <w:bookmarkStart w:id="198" w:name="_Toc422389626"/>
      <w:bookmarkStart w:id="199" w:name="_Toc444088403"/>
      <w:bookmarkStart w:id="200" w:name="_Toc444088462"/>
      <w:bookmarkStart w:id="201" w:name="_Toc444088557"/>
      <w:bookmarkStart w:id="202" w:name="_Toc444088619"/>
      <w:bookmarkStart w:id="203" w:name="_Toc444091236"/>
      <w:bookmarkStart w:id="204" w:name="_Toc444091353"/>
      <w:bookmarkStart w:id="205" w:name="_Toc444091513"/>
      <w:bookmarkStart w:id="206" w:name="_Toc444247168"/>
      <w:bookmarkStart w:id="207" w:name="_Toc444247395"/>
      <w:bookmarkStart w:id="208" w:name="_Toc444258390"/>
      <w:bookmarkStart w:id="209" w:name="_Toc444259183"/>
      <w:bookmarkStart w:id="210" w:name="_Toc420502904"/>
      <w:bookmarkStart w:id="211" w:name="_Toc420502943"/>
      <w:bookmarkStart w:id="212" w:name="_Toc420926944"/>
      <w:bookmarkStart w:id="213" w:name="_Toc422389627"/>
      <w:bookmarkStart w:id="214" w:name="_Toc444088404"/>
      <w:bookmarkStart w:id="215" w:name="_Toc444088463"/>
      <w:bookmarkStart w:id="216" w:name="_Toc444088558"/>
      <w:bookmarkStart w:id="217" w:name="_Toc444088620"/>
      <w:bookmarkStart w:id="218" w:name="_Toc444091237"/>
      <w:bookmarkStart w:id="219" w:name="_Toc444091354"/>
      <w:bookmarkStart w:id="220" w:name="_Toc444091514"/>
      <w:bookmarkStart w:id="221" w:name="_Toc444247169"/>
      <w:bookmarkStart w:id="222" w:name="_Toc444247396"/>
      <w:bookmarkStart w:id="223" w:name="_Toc444258391"/>
      <w:bookmarkStart w:id="224" w:name="_Toc444259184"/>
      <w:bookmarkStart w:id="225" w:name="_Toc444259185"/>
      <w:bookmarkStart w:id="226" w:name="_Toc5172646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r w:rsidRPr="0022362D">
        <w:t>Commonwealth environmental watering decisions</w:t>
      </w:r>
      <w:bookmarkEnd w:id="226"/>
    </w:p>
    <w:p w14:paraId="6C650272" w14:textId="278DB293" w:rsidR="00B17604" w:rsidRDefault="0079257F">
      <w:pPr>
        <w:widowControl w:val="0"/>
        <w:spacing w:after="120"/>
        <w:rPr>
          <w:rFonts w:ascii="Century Gothic" w:hAnsi="Century Gothic"/>
          <w:lang w:val="en-GB"/>
        </w:rPr>
      </w:pPr>
      <w:r w:rsidRPr="00930165">
        <w:rPr>
          <w:rFonts w:ascii="Century Gothic" w:hAnsi="Century Gothic"/>
          <w:lang w:val="en-GB"/>
        </w:rPr>
        <w:t xml:space="preserve">The planning phase is the first stage in the cycle of environmental water management. </w:t>
      </w:r>
      <w:r>
        <w:rPr>
          <w:rFonts w:ascii="Century Gothic" w:hAnsi="Century Gothic"/>
          <w:lang w:val="en-GB"/>
        </w:rPr>
        <w:t xml:space="preserve">The </w:t>
      </w:r>
      <w:r w:rsidRPr="00930165">
        <w:rPr>
          <w:rFonts w:ascii="Century Gothic" w:hAnsi="Century Gothic"/>
          <w:lang w:val="en-GB"/>
        </w:rPr>
        <w:t>planning process occurs on an annual basis between January and the end of June</w:t>
      </w:r>
      <w:r>
        <w:rPr>
          <w:rFonts w:ascii="Century Gothic" w:hAnsi="Century Gothic"/>
          <w:lang w:val="en-GB"/>
        </w:rPr>
        <w:t>,</w:t>
      </w:r>
      <w:r w:rsidRPr="00930165">
        <w:rPr>
          <w:rFonts w:ascii="Century Gothic" w:hAnsi="Century Gothic"/>
          <w:lang w:val="en-GB"/>
        </w:rPr>
        <w:t xml:space="preserve"> </w:t>
      </w:r>
      <w:r>
        <w:rPr>
          <w:rFonts w:ascii="Century Gothic" w:hAnsi="Century Gothic"/>
          <w:lang w:val="en-GB"/>
        </w:rPr>
        <w:t>and each planning</w:t>
      </w:r>
      <w:r w:rsidRPr="00930165">
        <w:rPr>
          <w:rFonts w:ascii="Century Gothic" w:hAnsi="Century Gothic"/>
          <w:lang w:val="en-GB"/>
        </w:rPr>
        <w:t xml:space="preserve"> document represents the culmination of months of work and consultation</w:t>
      </w:r>
      <w:r>
        <w:rPr>
          <w:rFonts w:ascii="Century Gothic" w:hAnsi="Century Gothic"/>
          <w:lang w:val="en-GB"/>
        </w:rPr>
        <w:t>.</w:t>
      </w:r>
      <w:r w:rsidRPr="00930165">
        <w:rPr>
          <w:rFonts w:ascii="Century Gothic" w:hAnsi="Century Gothic"/>
          <w:lang w:val="en-GB"/>
        </w:rPr>
        <w:t xml:space="preserve"> Throughout the planning process</w:t>
      </w:r>
      <w:r w:rsidR="00E83A6E">
        <w:rPr>
          <w:rFonts w:ascii="Century Gothic" w:hAnsi="Century Gothic"/>
          <w:lang w:val="en-GB"/>
        </w:rPr>
        <w:t>,</w:t>
      </w:r>
      <w:r w:rsidRPr="00930165">
        <w:rPr>
          <w:rFonts w:ascii="Century Gothic" w:hAnsi="Century Gothic"/>
          <w:lang w:val="en-GB"/>
        </w:rPr>
        <w:t xml:space="preserve"> the </w:t>
      </w:r>
      <w:r w:rsidR="00857534">
        <w:rPr>
          <w:rFonts w:ascii="Century Gothic" w:hAnsi="Century Gothic"/>
          <w:lang w:val="en-GB"/>
        </w:rPr>
        <w:t>Commonwealth Environmental Water Office</w:t>
      </w:r>
      <w:r w:rsidRPr="00930165">
        <w:rPr>
          <w:rFonts w:ascii="Century Gothic" w:hAnsi="Century Gothic"/>
          <w:lang w:val="en-GB"/>
        </w:rPr>
        <w:t xml:space="preserve"> consults closely with </w:t>
      </w:r>
      <w:r>
        <w:rPr>
          <w:rFonts w:ascii="Century Gothic" w:hAnsi="Century Gothic"/>
          <w:lang w:val="en-GB"/>
        </w:rPr>
        <w:t>s</w:t>
      </w:r>
      <w:r w:rsidRPr="00930165">
        <w:rPr>
          <w:rFonts w:ascii="Century Gothic" w:hAnsi="Century Gothic"/>
          <w:lang w:val="en-GB"/>
        </w:rPr>
        <w:t xml:space="preserve">tate environmental water managers, river operators and local environmental water advisory groups. The information gathered as part of the planning process feeds into the development of </w:t>
      </w:r>
      <w:r w:rsidR="00E83A6E">
        <w:rPr>
          <w:rFonts w:ascii="Century Gothic" w:hAnsi="Century Gothic"/>
          <w:lang w:val="en-GB"/>
        </w:rPr>
        <w:t>watering intentions</w:t>
      </w:r>
      <w:r w:rsidRPr="00930165">
        <w:rPr>
          <w:rFonts w:ascii="Century Gothic" w:hAnsi="Century Gothic"/>
          <w:lang w:val="en-GB"/>
        </w:rPr>
        <w:t xml:space="preserve"> for the following water year.  </w:t>
      </w:r>
    </w:p>
    <w:p w14:paraId="6C650273" w14:textId="77777777" w:rsidR="00B17604" w:rsidRDefault="0079257F">
      <w:pPr>
        <w:widowControl w:val="0"/>
        <w:spacing w:after="120"/>
        <w:rPr>
          <w:rFonts w:ascii="Century Gothic" w:hAnsi="Century Gothic"/>
          <w:lang w:val="en-GB"/>
        </w:rPr>
      </w:pPr>
      <w:r w:rsidRPr="00930165">
        <w:rPr>
          <w:rFonts w:ascii="Century Gothic" w:hAnsi="Century Gothic"/>
          <w:lang w:val="en-GB"/>
        </w:rPr>
        <w:t>Towards the beginning of the new water year</w:t>
      </w:r>
      <w:r w:rsidR="00E83A6E">
        <w:rPr>
          <w:rFonts w:ascii="Century Gothic" w:hAnsi="Century Gothic"/>
          <w:lang w:val="en-GB"/>
        </w:rPr>
        <w:t>,</w:t>
      </w:r>
      <w:r w:rsidRPr="00930165">
        <w:rPr>
          <w:rFonts w:ascii="Century Gothic" w:hAnsi="Century Gothic"/>
          <w:lang w:val="en-GB"/>
        </w:rPr>
        <w:t xml:space="preserve"> the focus shifts from planning to implementation. Greater </w:t>
      </w:r>
      <w:r>
        <w:rPr>
          <w:rFonts w:ascii="Century Gothic" w:hAnsi="Century Gothic"/>
          <w:lang w:val="en-GB"/>
        </w:rPr>
        <w:t>consideration</w:t>
      </w:r>
      <w:r w:rsidRPr="00930165">
        <w:rPr>
          <w:rFonts w:ascii="Century Gothic" w:hAnsi="Century Gothic"/>
          <w:lang w:val="en-GB"/>
        </w:rPr>
        <w:t xml:space="preserve"> is given to current and forecast catchment conditions and water availability to determine </w:t>
      </w:r>
      <w:r w:rsidR="00E83A6E">
        <w:rPr>
          <w:rFonts w:ascii="Century Gothic" w:hAnsi="Century Gothic"/>
          <w:lang w:val="en-GB"/>
        </w:rPr>
        <w:t>whether the watering intentions</w:t>
      </w:r>
      <w:r w:rsidRPr="00930165">
        <w:rPr>
          <w:rFonts w:ascii="Century Gothic" w:hAnsi="Century Gothic"/>
          <w:lang w:val="en-GB"/>
        </w:rPr>
        <w:t xml:space="preserve"> </w:t>
      </w:r>
      <w:r>
        <w:rPr>
          <w:rFonts w:ascii="Century Gothic" w:hAnsi="Century Gothic"/>
          <w:lang w:val="en-GB"/>
        </w:rPr>
        <w:t>identified during</w:t>
      </w:r>
      <w:r w:rsidRPr="00930165">
        <w:rPr>
          <w:rFonts w:ascii="Century Gothic" w:hAnsi="Century Gothic"/>
          <w:lang w:val="en-GB"/>
        </w:rPr>
        <w:t xml:space="preserve"> the planning process can </w:t>
      </w:r>
      <w:r>
        <w:rPr>
          <w:rFonts w:ascii="Century Gothic" w:hAnsi="Century Gothic"/>
          <w:lang w:val="en-GB"/>
        </w:rPr>
        <w:t xml:space="preserve">feasibly be implemented. </w:t>
      </w:r>
      <w:r w:rsidRPr="00930165">
        <w:rPr>
          <w:rFonts w:ascii="Century Gothic" w:hAnsi="Century Gothic"/>
          <w:lang w:val="en-GB"/>
        </w:rPr>
        <w:t>Local on-ground knowledge is important for detail</w:t>
      </w:r>
      <w:r>
        <w:rPr>
          <w:rFonts w:ascii="Century Gothic" w:hAnsi="Century Gothic"/>
          <w:lang w:val="en-GB"/>
        </w:rPr>
        <w:t>ing</w:t>
      </w:r>
      <w:r w:rsidRPr="00930165">
        <w:rPr>
          <w:rFonts w:ascii="Century Gothic" w:hAnsi="Century Gothic"/>
          <w:lang w:val="en-GB"/>
        </w:rPr>
        <w:t xml:space="preserve"> a specific watering action</w:t>
      </w:r>
      <w:r>
        <w:rPr>
          <w:rFonts w:ascii="Century Gothic" w:hAnsi="Century Gothic"/>
          <w:lang w:val="en-GB"/>
        </w:rPr>
        <w:t xml:space="preserve"> including the flow</w:t>
      </w:r>
      <w:r w:rsidRPr="00930165">
        <w:rPr>
          <w:rFonts w:ascii="Century Gothic" w:hAnsi="Century Gothic"/>
          <w:lang w:val="en-GB"/>
        </w:rPr>
        <w:t xml:space="preserve"> magnitude, timing, triggers for commencement, rates of rise and fall and </w:t>
      </w:r>
      <w:r>
        <w:rPr>
          <w:rFonts w:ascii="Century Gothic" w:hAnsi="Century Gothic"/>
          <w:lang w:val="en-GB"/>
        </w:rPr>
        <w:t xml:space="preserve">the </w:t>
      </w:r>
      <w:r w:rsidRPr="00930165">
        <w:rPr>
          <w:rFonts w:ascii="Century Gothic" w:hAnsi="Century Gothic"/>
          <w:lang w:val="en-GB"/>
        </w:rPr>
        <w:t xml:space="preserve">area to be inundated. </w:t>
      </w:r>
    </w:p>
    <w:p w14:paraId="6C650274" w14:textId="77777777" w:rsidR="00B17604" w:rsidRDefault="0079257F">
      <w:pPr>
        <w:widowControl w:val="0"/>
        <w:spacing w:after="120"/>
        <w:rPr>
          <w:rFonts w:ascii="Century Gothic" w:hAnsi="Century Gothic"/>
          <w:lang w:val="en-GB"/>
        </w:rPr>
      </w:pPr>
      <w:r w:rsidRPr="00930165">
        <w:rPr>
          <w:rFonts w:ascii="Century Gothic" w:hAnsi="Century Gothic"/>
          <w:lang w:val="en-GB"/>
        </w:rPr>
        <w:t xml:space="preserve">Once </w:t>
      </w:r>
      <w:r>
        <w:rPr>
          <w:rFonts w:ascii="Century Gothic" w:hAnsi="Century Gothic"/>
          <w:lang w:val="en-GB"/>
        </w:rPr>
        <w:t>an action has been scoped in more detail</w:t>
      </w:r>
      <w:r w:rsidR="00E83A6E">
        <w:rPr>
          <w:rFonts w:ascii="Century Gothic" w:hAnsi="Century Gothic"/>
          <w:lang w:val="en-GB"/>
        </w:rPr>
        <w:t>,</w:t>
      </w:r>
      <w:r>
        <w:rPr>
          <w:rFonts w:ascii="Century Gothic" w:hAnsi="Century Gothic"/>
          <w:lang w:val="en-GB"/>
        </w:rPr>
        <w:t xml:space="preserve"> an assessment</w:t>
      </w:r>
      <w:r w:rsidRPr="00930165">
        <w:rPr>
          <w:rFonts w:ascii="Century Gothic" w:hAnsi="Century Gothic"/>
          <w:lang w:val="en-GB"/>
        </w:rPr>
        <w:t xml:space="preserve"> </w:t>
      </w:r>
      <w:r>
        <w:rPr>
          <w:rFonts w:ascii="Century Gothic" w:hAnsi="Century Gothic"/>
          <w:lang w:val="en-GB"/>
        </w:rPr>
        <w:t xml:space="preserve">is undertaken </w:t>
      </w:r>
      <w:r w:rsidRPr="00930165">
        <w:rPr>
          <w:rFonts w:ascii="Century Gothic" w:hAnsi="Century Gothic"/>
          <w:lang w:val="en-GB"/>
        </w:rPr>
        <w:t xml:space="preserve">against the following criteria: </w:t>
      </w:r>
    </w:p>
    <w:p w14:paraId="6C650275" w14:textId="77777777" w:rsidR="007A7A94" w:rsidRDefault="0079257F" w:rsidP="00BC0CD5">
      <w:pPr>
        <w:pStyle w:val="ListBullet"/>
        <w:numPr>
          <w:ilvl w:val="0"/>
          <w:numId w:val="17"/>
        </w:numPr>
        <w:spacing w:after="120"/>
        <w:ind w:left="425" w:hanging="425"/>
        <w:jc w:val="left"/>
        <w:rPr>
          <w:rFonts w:ascii="Century Gothic" w:hAnsi="Century Gothic"/>
        </w:rPr>
      </w:pPr>
      <w:r w:rsidRPr="00971C54">
        <w:rPr>
          <w:rFonts w:ascii="Century Gothic" w:hAnsi="Century Gothic"/>
        </w:rPr>
        <w:t>ecological value of the river, floodplain or wetland</w:t>
      </w:r>
    </w:p>
    <w:p w14:paraId="6C650276" w14:textId="77777777" w:rsidR="007A7A94" w:rsidRDefault="0079257F" w:rsidP="00BC0CD5">
      <w:pPr>
        <w:pStyle w:val="ListBullet"/>
        <w:numPr>
          <w:ilvl w:val="0"/>
          <w:numId w:val="17"/>
        </w:numPr>
        <w:spacing w:after="120"/>
        <w:ind w:left="425" w:hanging="425"/>
        <w:jc w:val="left"/>
        <w:rPr>
          <w:rFonts w:ascii="Century Gothic" w:hAnsi="Century Gothic"/>
        </w:rPr>
      </w:pPr>
      <w:r w:rsidRPr="00971C54">
        <w:rPr>
          <w:rFonts w:ascii="Century Gothic" w:hAnsi="Century Gothic"/>
        </w:rPr>
        <w:t>expected outcomes from watering</w:t>
      </w:r>
    </w:p>
    <w:p w14:paraId="6C650277" w14:textId="77777777" w:rsidR="007A7A94" w:rsidRDefault="0079257F" w:rsidP="00BC0CD5">
      <w:pPr>
        <w:pStyle w:val="ListBullet"/>
        <w:numPr>
          <w:ilvl w:val="0"/>
          <w:numId w:val="17"/>
        </w:numPr>
        <w:spacing w:after="120"/>
        <w:ind w:left="425" w:hanging="425"/>
        <w:jc w:val="left"/>
        <w:rPr>
          <w:rFonts w:ascii="Century Gothic" w:hAnsi="Century Gothic"/>
        </w:rPr>
      </w:pPr>
      <w:r w:rsidRPr="00971C54">
        <w:rPr>
          <w:rFonts w:ascii="Century Gothic" w:hAnsi="Century Gothic"/>
        </w:rPr>
        <w:t>potential risks of watering</w:t>
      </w:r>
    </w:p>
    <w:p w14:paraId="6C650278" w14:textId="77777777" w:rsidR="007A7A94" w:rsidRDefault="0079257F" w:rsidP="00BC0CD5">
      <w:pPr>
        <w:pStyle w:val="ListBullet"/>
        <w:numPr>
          <w:ilvl w:val="0"/>
          <w:numId w:val="17"/>
        </w:numPr>
        <w:spacing w:after="120"/>
        <w:ind w:left="425" w:hanging="425"/>
        <w:jc w:val="left"/>
        <w:rPr>
          <w:rFonts w:ascii="Century Gothic" w:hAnsi="Century Gothic"/>
        </w:rPr>
      </w:pPr>
      <w:r w:rsidRPr="00971C54">
        <w:rPr>
          <w:rFonts w:ascii="Century Gothic" w:hAnsi="Century Gothic"/>
        </w:rPr>
        <w:t>long-term sustainability and management of the site</w:t>
      </w:r>
    </w:p>
    <w:p w14:paraId="6C650279" w14:textId="77777777" w:rsidR="007A7A94" w:rsidRDefault="0079257F" w:rsidP="00BC0CD5">
      <w:pPr>
        <w:pStyle w:val="ListBullet"/>
        <w:numPr>
          <w:ilvl w:val="0"/>
          <w:numId w:val="17"/>
        </w:numPr>
        <w:spacing w:after="120"/>
        <w:ind w:left="425" w:hanging="425"/>
        <w:jc w:val="left"/>
        <w:rPr>
          <w:rFonts w:ascii="Century Gothic" w:hAnsi="Century Gothic"/>
        </w:rPr>
      </w:pPr>
      <w:r w:rsidRPr="00971C54">
        <w:rPr>
          <w:rFonts w:ascii="Century Gothic" w:hAnsi="Century Gothic"/>
        </w:rPr>
        <w:t xml:space="preserve">cost effectiveness and feasibility of watering. </w:t>
      </w:r>
    </w:p>
    <w:p w14:paraId="6C65027A" w14:textId="0F6A50A1" w:rsidR="00B17604" w:rsidRDefault="0079257F">
      <w:pPr>
        <w:pStyle w:val="Para0"/>
        <w:spacing w:after="120" w:line="240" w:lineRule="auto"/>
        <w:rPr>
          <w:rFonts w:ascii="Century Gothic" w:hAnsi="Century Gothic"/>
        </w:rPr>
      </w:pPr>
      <w:r w:rsidRPr="00971C54">
        <w:rPr>
          <w:rFonts w:ascii="Century Gothic" w:hAnsi="Century Gothic"/>
          <w:color w:val="auto"/>
        </w:rPr>
        <w:lastRenderedPageBreak/>
        <w:t xml:space="preserve">Following the </w:t>
      </w:r>
      <w:r>
        <w:rPr>
          <w:rFonts w:ascii="Century Gothic" w:hAnsi="Century Gothic"/>
          <w:color w:val="auto"/>
        </w:rPr>
        <w:t>scoping</w:t>
      </w:r>
      <w:r w:rsidRPr="00971C54">
        <w:rPr>
          <w:rFonts w:ascii="Century Gothic" w:hAnsi="Century Gothic"/>
          <w:color w:val="auto"/>
        </w:rPr>
        <w:t xml:space="preserve"> and assessment of</w:t>
      </w:r>
      <w:r>
        <w:rPr>
          <w:rFonts w:ascii="Century Gothic" w:hAnsi="Century Gothic"/>
          <w:color w:val="auto"/>
        </w:rPr>
        <w:t xml:space="preserve"> potential</w:t>
      </w:r>
      <w:r w:rsidRPr="00971C54">
        <w:rPr>
          <w:rFonts w:ascii="Century Gothic" w:hAnsi="Century Gothic"/>
          <w:color w:val="auto"/>
        </w:rPr>
        <w:t xml:space="preserve"> watering </w:t>
      </w:r>
      <w:r>
        <w:rPr>
          <w:rFonts w:ascii="Century Gothic" w:hAnsi="Century Gothic"/>
          <w:color w:val="auto"/>
        </w:rPr>
        <w:t>actions</w:t>
      </w:r>
      <w:r w:rsidRPr="00971C54">
        <w:rPr>
          <w:rFonts w:ascii="Century Gothic" w:hAnsi="Century Gothic"/>
          <w:color w:val="auto"/>
        </w:rPr>
        <w:t xml:space="preserve">, </w:t>
      </w:r>
      <w:r>
        <w:rPr>
          <w:rFonts w:ascii="Century Gothic" w:hAnsi="Century Gothic"/>
          <w:color w:val="auto"/>
        </w:rPr>
        <w:t xml:space="preserve">the </w:t>
      </w:r>
      <w:r w:rsidR="00857534">
        <w:rPr>
          <w:rFonts w:ascii="Century Gothic" w:hAnsi="Century Gothic"/>
          <w:color w:val="auto"/>
        </w:rPr>
        <w:t>Commonwealth Environmental Water Holder</w:t>
      </w:r>
      <w:r>
        <w:rPr>
          <w:rFonts w:ascii="Century Gothic" w:hAnsi="Century Gothic"/>
          <w:color w:val="auto"/>
        </w:rPr>
        <w:t xml:space="preserve"> is required to make a decision on whether or not to commit the water and funds required to support the watering action. In doing so</w:t>
      </w:r>
      <w:r w:rsidR="00E83A6E">
        <w:rPr>
          <w:rFonts w:ascii="Century Gothic" w:hAnsi="Century Gothic"/>
          <w:color w:val="auto"/>
        </w:rPr>
        <w:t>,</w:t>
      </w:r>
      <w:r>
        <w:rPr>
          <w:rFonts w:ascii="Century Gothic" w:hAnsi="Century Gothic"/>
          <w:color w:val="auto"/>
        </w:rPr>
        <w:t xml:space="preserve"> the </w:t>
      </w:r>
      <w:r w:rsidR="00857534">
        <w:rPr>
          <w:rFonts w:ascii="Century Gothic" w:hAnsi="Century Gothic"/>
        </w:rPr>
        <w:t xml:space="preserve">Commonwealth Environmental Water Holder </w:t>
      </w:r>
      <w:r w:rsidRPr="00971C54">
        <w:rPr>
          <w:rFonts w:ascii="Century Gothic" w:hAnsi="Century Gothic"/>
        </w:rPr>
        <w:t xml:space="preserve"> also has regard to the Basin </w:t>
      </w:r>
      <w:r w:rsidR="004B5F50">
        <w:rPr>
          <w:rFonts w:ascii="Century Gothic" w:hAnsi="Century Gothic"/>
        </w:rPr>
        <w:t>a</w:t>
      </w:r>
      <w:r w:rsidRPr="00971C54">
        <w:rPr>
          <w:rFonts w:ascii="Century Gothic" w:hAnsi="Century Gothic"/>
        </w:rPr>
        <w:t>nnual</w:t>
      </w:r>
      <w:r w:rsidR="004B5F50">
        <w:rPr>
          <w:rFonts w:ascii="Century Gothic" w:hAnsi="Century Gothic"/>
        </w:rPr>
        <w:t xml:space="preserve"> environmental watering</w:t>
      </w:r>
      <w:r w:rsidRPr="00971C54">
        <w:rPr>
          <w:rFonts w:ascii="Century Gothic" w:hAnsi="Century Gothic"/>
        </w:rPr>
        <w:t xml:space="preserve"> </w:t>
      </w:r>
      <w:r w:rsidR="004B5F50">
        <w:rPr>
          <w:rFonts w:ascii="Century Gothic" w:hAnsi="Century Gothic"/>
        </w:rPr>
        <w:t>p</w:t>
      </w:r>
      <w:r w:rsidRPr="00971C54">
        <w:rPr>
          <w:rFonts w:ascii="Century Gothic" w:hAnsi="Century Gothic"/>
        </w:rPr>
        <w:t>riorities</w:t>
      </w:r>
      <w:r w:rsidR="00E83A6E">
        <w:rPr>
          <w:rFonts w:ascii="Century Gothic" w:hAnsi="Century Gothic"/>
        </w:rPr>
        <w:t>,</w:t>
      </w:r>
      <w:r>
        <w:rPr>
          <w:rFonts w:ascii="Century Gothic" w:hAnsi="Century Gothic"/>
        </w:rPr>
        <w:t xml:space="preserve"> as required by the Basin Plan. </w:t>
      </w:r>
    </w:p>
    <w:p w14:paraId="6C65027B" w14:textId="1B985817" w:rsidR="00B17604" w:rsidRDefault="0079257F">
      <w:pPr>
        <w:pStyle w:val="Para0"/>
        <w:spacing w:after="120" w:line="240" w:lineRule="auto"/>
        <w:rPr>
          <w:rFonts w:ascii="Century Gothic" w:hAnsi="Century Gothic"/>
          <w:color w:val="auto"/>
        </w:rPr>
      </w:pPr>
      <w:r>
        <w:rPr>
          <w:rFonts w:ascii="Century Gothic" w:hAnsi="Century Gothic"/>
        </w:rPr>
        <w:t xml:space="preserve">When a decision is made by the </w:t>
      </w:r>
      <w:r w:rsidR="00857534">
        <w:rPr>
          <w:rFonts w:ascii="Century Gothic" w:hAnsi="Century Gothic"/>
        </w:rPr>
        <w:t>Commonwealth Environmental Water Holder</w:t>
      </w:r>
      <w:r w:rsidR="002B3E00">
        <w:rPr>
          <w:rFonts w:ascii="Century Gothic" w:hAnsi="Century Gothic"/>
        </w:rPr>
        <w:t xml:space="preserve"> </w:t>
      </w:r>
      <w:r>
        <w:rPr>
          <w:rFonts w:ascii="Century Gothic" w:hAnsi="Century Gothic"/>
        </w:rPr>
        <w:t>to proceed with a watering action</w:t>
      </w:r>
      <w:r w:rsidR="004B5F50">
        <w:rPr>
          <w:rFonts w:ascii="Century Gothic" w:hAnsi="Century Gothic"/>
        </w:rPr>
        <w:t>,</w:t>
      </w:r>
      <w:r>
        <w:rPr>
          <w:rFonts w:ascii="Century Gothic" w:hAnsi="Century Gothic"/>
        </w:rPr>
        <w:t xml:space="preserve"> a</w:t>
      </w:r>
      <w:r w:rsidRPr="00971C54">
        <w:rPr>
          <w:rFonts w:ascii="Century Gothic" w:hAnsi="Century Gothic"/>
          <w:color w:val="auto"/>
        </w:rPr>
        <w:t xml:space="preserve">rrangements </w:t>
      </w:r>
      <w:r>
        <w:rPr>
          <w:rFonts w:ascii="Century Gothic" w:hAnsi="Century Gothic"/>
          <w:color w:val="auto"/>
        </w:rPr>
        <w:t xml:space="preserve">for </w:t>
      </w:r>
      <w:r>
        <w:rPr>
          <w:rFonts w:ascii="Century Gothic" w:hAnsi="Century Gothic"/>
        </w:rPr>
        <w:t xml:space="preserve">implementation </w:t>
      </w:r>
      <w:r w:rsidRPr="00971C54">
        <w:rPr>
          <w:rFonts w:ascii="Century Gothic" w:hAnsi="Century Gothic"/>
          <w:color w:val="auto"/>
        </w:rPr>
        <w:t>are</w:t>
      </w:r>
      <w:r>
        <w:rPr>
          <w:rFonts w:ascii="Century Gothic" w:hAnsi="Century Gothic"/>
          <w:color w:val="auto"/>
        </w:rPr>
        <w:t xml:space="preserve"> </w:t>
      </w:r>
      <w:r w:rsidRPr="00971C54">
        <w:rPr>
          <w:rFonts w:ascii="Century Gothic" w:hAnsi="Century Gothic"/>
          <w:color w:val="auto"/>
        </w:rPr>
        <w:t>made with delivery partners</w:t>
      </w:r>
      <w:r>
        <w:rPr>
          <w:rFonts w:ascii="Century Gothic" w:hAnsi="Century Gothic"/>
          <w:color w:val="auto"/>
        </w:rPr>
        <w:t xml:space="preserve">. This </w:t>
      </w:r>
      <w:r w:rsidRPr="00971C54">
        <w:rPr>
          <w:rFonts w:ascii="Century Gothic" w:hAnsi="Century Gothic"/>
          <w:color w:val="auto"/>
        </w:rPr>
        <w:t>includ</w:t>
      </w:r>
      <w:r>
        <w:rPr>
          <w:rFonts w:ascii="Century Gothic" w:hAnsi="Century Gothic"/>
          <w:color w:val="auto"/>
        </w:rPr>
        <w:t>es</w:t>
      </w:r>
      <w:r w:rsidRPr="00971C54">
        <w:rPr>
          <w:rFonts w:ascii="Century Gothic" w:hAnsi="Century Gothic"/>
          <w:color w:val="auto"/>
        </w:rPr>
        <w:t xml:space="preserve"> river operators, who manage the delivery of the w</w:t>
      </w:r>
      <w:r>
        <w:rPr>
          <w:rFonts w:ascii="Century Gothic" w:hAnsi="Century Gothic"/>
          <w:color w:val="auto"/>
        </w:rPr>
        <w:t>ater and operational monitoring. Local community involvement is crucial at this stage of implementation and during water delivery as conditions can change rapidly and may result in the need to adjust, suspend or even cancel the watering action.</w:t>
      </w:r>
    </w:p>
    <w:p w14:paraId="6C65027C" w14:textId="77777777" w:rsidR="00B17604" w:rsidRDefault="0079257F">
      <w:pPr>
        <w:pStyle w:val="Para0"/>
        <w:spacing w:after="120" w:line="240" w:lineRule="auto"/>
        <w:rPr>
          <w:rFonts w:ascii="Century Gothic" w:hAnsi="Century Gothic"/>
          <w:color w:val="auto"/>
        </w:rPr>
      </w:pPr>
      <w:r w:rsidRPr="00971C54">
        <w:rPr>
          <w:rFonts w:ascii="Century Gothic" w:hAnsi="Century Gothic"/>
          <w:color w:val="auto"/>
        </w:rPr>
        <w:t xml:space="preserve">Upon completion of the watering </w:t>
      </w:r>
      <w:r>
        <w:rPr>
          <w:rFonts w:ascii="Century Gothic" w:hAnsi="Century Gothic"/>
          <w:color w:val="auto"/>
        </w:rPr>
        <w:t>action</w:t>
      </w:r>
      <w:r w:rsidRPr="00971C54">
        <w:rPr>
          <w:rFonts w:ascii="Century Gothic" w:hAnsi="Century Gothic"/>
          <w:color w:val="auto"/>
        </w:rPr>
        <w:t>, a review process</w:t>
      </w:r>
      <w:r>
        <w:rPr>
          <w:rFonts w:ascii="Century Gothic" w:hAnsi="Century Gothic"/>
          <w:color w:val="auto"/>
        </w:rPr>
        <w:t>, which generally takes place from March through to October,</w:t>
      </w:r>
      <w:r w:rsidRPr="00971C54">
        <w:rPr>
          <w:rFonts w:ascii="Century Gothic" w:hAnsi="Century Gothic"/>
          <w:color w:val="auto"/>
        </w:rPr>
        <w:t xml:space="preserve"> informs future watering </w:t>
      </w:r>
      <w:r>
        <w:rPr>
          <w:rFonts w:ascii="Century Gothic" w:hAnsi="Century Gothic"/>
          <w:color w:val="auto"/>
        </w:rPr>
        <w:t>actions</w:t>
      </w:r>
      <w:r w:rsidRPr="00971C54">
        <w:rPr>
          <w:rFonts w:ascii="Century Gothic" w:hAnsi="Century Gothic"/>
          <w:color w:val="auto"/>
        </w:rPr>
        <w:t xml:space="preserve"> and long term management. </w:t>
      </w:r>
      <w:r>
        <w:rPr>
          <w:rFonts w:ascii="Century Gothic" w:hAnsi="Century Gothic"/>
          <w:color w:val="auto"/>
        </w:rPr>
        <w:t>This review is informed by the weekly operational monitoring, results of ecological monitoring, and feedback provided by site managers and the local community.</w:t>
      </w:r>
    </w:p>
    <w:p w14:paraId="6C65027D" w14:textId="375EDBDD" w:rsidR="00607A70" w:rsidRPr="00607A70" w:rsidRDefault="000B72BF" w:rsidP="00607A70">
      <w:pPr>
        <w:ind w:left="-426"/>
        <w:jc w:val="center"/>
      </w:pPr>
      <w:r>
        <w:rPr>
          <w:noProof/>
        </w:rPr>
        <w:drawing>
          <wp:inline distT="0" distB="0" distL="0" distR="0" wp14:anchorId="1013D24B" wp14:editId="48B803DF">
            <wp:extent cx="6034405" cy="5277485"/>
            <wp:effectExtent l="0" t="0" r="4445" b="0"/>
            <wp:docPr id="132" name="Picture 132" descr="Planning (Jan-Jun) to implementation (Jun-Jun) to review (Mar-Oct)" title="The annual management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34405" cy="5277485"/>
                    </a:xfrm>
                    <a:prstGeom prst="rect">
                      <a:avLst/>
                    </a:prstGeom>
                    <a:noFill/>
                  </pic:spPr>
                </pic:pic>
              </a:graphicData>
            </a:graphic>
          </wp:inline>
        </w:drawing>
      </w:r>
    </w:p>
    <w:p w14:paraId="6C65027E" w14:textId="10340D7B" w:rsidR="008B6031" w:rsidRDefault="00607A70" w:rsidP="008B6031">
      <w:pPr>
        <w:pStyle w:val="Caption"/>
        <w:jc w:val="left"/>
        <w:rPr>
          <w:rFonts w:ascii="Century Gothic" w:hAnsi="Century Gothic"/>
          <w:b w:val="0"/>
          <w:bCs w:val="0"/>
        </w:rPr>
      </w:pPr>
      <w:r w:rsidRPr="00607A70">
        <w:rPr>
          <w:noProof/>
        </w:rPr>
        <w:t xml:space="preserve"> </w:t>
      </w:r>
      <w:r w:rsidR="008B6031" w:rsidRPr="00C14C40">
        <w:rPr>
          <w:rFonts w:ascii="Century Gothic" w:hAnsi="Century Gothic"/>
        </w:rPr>
        <w:t xml:space="preserve">Figure </w:t>
      </w:r>
      <w:r w:rsidR="00D848C1" w:rsidRPr="00C14C40">
        <w:rPr>
          <w:rFonts w:ascii="Century Gothic" w:hAnsi="Century Gothic"/>
        </w:rPr>
        <w:fldChar w:fldCharType="begin"/>
      </w:r>
      <w:r w:rsidR="008B6031" w:rsidRPr="00C14C40">
        <w:rPr>
          <w:rFonts w:ascii="Century Gothic" w:hAnsi="Century Gothic"/>
        </w:rPr>
        <w:instrText xml:space="preserve"> SEQ Figure \* ARABIC </w:instrText>
      </w:r>
      <w:r w:rsidR="00D848C1" w:rsidRPr="00C14C40">
        <w:rPr>
          <w:rFonts w:ascii="Century Gothic" w:hAnsi="Century Gothic"/>
        </w:rPr>
        <w:fldChar w:fldCharType="separate"/>
      </w:r>
      <w:r w:rsidR="00A6387E">
        <w:rPr>
          <w:rFonts w:ascii="Century Gothic" w:hAnsi="Century Gothic"/>
          <w:noProof/>
        </w:rPr>
        <w:t>4</w:t>
      </w:r>
      <w:r w:rsidR="00D848C1" w:rsidRPr="00C14C40">
        <w:rPr>
          <w:rFonts w:ascii="Century Gothic" w:hAnsi="Century Gothic"/>
        </w:rPr>
        <w:fldChar w:fldCharType="end"/>
      </w:r>
      <w:r w:rsidR="008B6031" w:rsidRPr="00E078BB">
        <w:rPr>
          <w:rFonts w:ascii="Century Gothic" w:hAnsi="Century Gothic"/>
          <w:bCs w:val="0"/>
        </w:rPr>
        <w:t xml:space="preserve">: </w:t>
      </w:r>
      <w:r w:rsidR="008B6031" w:rsidRPr="00E078BB">
        <w:rPr>
          <w:rFonts w:ascii="Century Gothic" w:hAnsi="Century Gothic"/>
          <w:b w:val="0"/>
          <w:bCs w:val="0"/>
        </w:rPr>
        <w:t>The annual management process for C</w:t>
      </w:r>
      <w:r w:rsidR="008B6031">
        <w:rPr>
          <w:rFonts w:ascii="Century Gothic" w:hAnsi="Century Gothic"/>
          <w:b w:val="0"/>
          <w:bCs w:val="0"/>
        </w:rPr>
        <w:t>ommonwealth environmental water</w:t>
      </w:r>
      <w:r w:rsidR="005F6C5F">
        <w:rPr>
          <w:rFonts w:ascii="Century Gothic" w:hAnsi="Century Gothic"/>
          <w:b w:val="0"/>
          <w:bCs w:val="0"/>
        </w:rPr>
        <w:t xml:space="preserve"> from the beginning of the water year (June) to the final review phase post the end of the water yea</w:t>
      </w:r>
      <w:r w:rsidR="00F059F0">
        <w:rPr>
          <w:rFonts w:ascii="Century Gothic" w:hAnsi="Century Gothic"/>
          <w:b w:val="0"/>
          <w:bCs w:val="0"/>
        </w:rPr>
        <w:t>r</w:t>
      </w:r>
      <w:r w:rsidR="005F6C5F">
        <w:rPr>
          <w:rFonts w:ascii="Century Gothic" w:hAnsi="Century Gothic"/>
          <w:b w:val="0"/>
          <w:bCs w:val="0"/>
        </w:rPr>
        <w:t xml:space="preserve"> (October).</w:t>
      </w:r>
    </w:p>
    <w:p w14:paraId="6C650280" w14:textId="77777777" w:rsidR="007A7A94" w:rsidRDefault="0079257F" w:rsidP="00607A70">
      <w:pPr>
        <w:pStyle w:val="Para0"/>
        <w:spacing w:after="120" w:line="240" w:lineRule="auto"/>
        <w:jc w:val="left"/>
        <w:rPr>
          <w:rFonts w:ascii="Century Gothic" w:hAnsi="Century Gothic" w:cs="Arial"/>
          <w:b/>
        </w:rPr>
      </w:pPr>
      <w:r w:rsidRPr="00971C54">
        <w:rPr>
          <w:rFonts w:ascii="Century Gothic" w:hAnsi="Century Gothic"/>
          <w:color w:val="auto"/>
        </w:rPr>
        <w:t xml:space="preserve">For further information see the </w:t>
      </w:r>
      <w:r w:rsidRPr="00971C54">
        <w:rPr>
          <w:rFonts w:ascii="Century Gothic" w:hAnsi="Century Gothic"/>
          <w:i/>
          <w:color w:val="auto"/>
        </w:rPr>
        <w:t xml:space="preserve">Framework for Determining Commonwealth environmental water use </w:t>
      </w:r>
      <w:r w:rsidRPr="00971C54">
        <w:rPr>
          <w:rFonts w:ascii="Century Gothic" w:hAnsi="Century Gothic"/>
          <w:color w:val="auto"/>
        </w:rPr>
        <w:t>(</w:t>
      </w:r>
      <w:r w:rsidRPr="00971C54">
        <w:rPr>
          <w:rFonts w:ascii="Century Gothic" w:hAnsi="Century Gothic" w:cs="Arial"/>
          <w:color w:val="auto"/>
        </w:rPr>
        <w:t xml:space="preserve">available at: </w:t>
      </w:r>
      <w:hyperlink r:id="rId29" w:history="1">
        <w:r w:rsidR="008450E5" w:rsidRPr="002B6397">
          <w:rPr>
            <w:rStyle w:val="Hyperlink"/>
            <w:rFonts w:ascii="Century Gothic" w:hAnsi="Century Gothic" w:cs="Arial"/>
          </w:rPr>
          <w:t>www.environment.gov.au/water/cewo/publications/framework-determining-cew-use</w:t>
        </w:r>
      </w:hyperlink>
      <w:r w:rsidR="008450E5">
        <w:rPr>
          <w:rFonts w:ascii="Century Gothic" w:hAnsi="Century Gothic" w:cs="Arial"/>
          <w:color w:val="auto"/>
        </w:rPr>
        <w:t>).</w:t>
      </w:r>
      <w:r w:rsidR="008F7615">
        <w:rPr>
          <w:rFonts w:ascii="Century Gothic" w:hAnsi="Century Gothic"/>
        </w:rPr>
        <w:br w:type="page"/>
      </w:r>
    </w:p>
    <w:p w14:paraId="6C650281" w14:textId="77777777" w:rsidR="007A7A94" w:rsidRDefault="00EC5E9F">
      <w:pPr>
        <w:pStyle w:val="Heading11"/>
        <w:spacing w:before="0" w:after="120"/>
      </w:pPr>
      <w:bookmarkStart w:id="227" w:name="_Toc517264665"/>
      <w:bookmarkStart w:id="228" w:name="_Toc418060473"/>
      <w:r w:rsidRPr="006C2670">
        <w:lastRenderedPageBreak/>
        <w:t xml:space="preserve">Carryover </w:t>
      </w:r>
      <w:r w:rsidRPr="003D0A27">
        <w:t>decision</w:t>
      </w:r>
      <w:r>
        <w:t>-</w:t>
      </w:r>
      <w:r w:rsidRPr="006C2670">
        <w:t>making</w:t>
      </w:r>
      <w:bookmarkEnd w:id="227"/>
    </w:p>
    <w:p w14:paraId="6C650282" w14:textId="77777777" w:rsidR="00B17604" w:rsidRDefault="00EC5E9F">
      <w:pPr>
        <w:pStyle w:val="ListBullet"/>
        <w:numPr>
          <w:ilvl w:val="0"/>
          <w:numId w:val="0"/>
        </w:numPr>
        <w:spacing w:after="120"/>
        <w:rPr>
          <w:rFonts w:ascii="Century Gothic" w:hAnsi="Century Gothic"/>
        </w:rPr>
      </w:pPr>
      <w:r w:rsidRPr="00943A6E">
        <w:rPr>
          <w:rFonts w:ascii="Century Gothic" w:hAnsi="Century Gothic"/>
        </w:rPr>
        <w:t>Carryover rules are set by States and vary markedly for different entitlements and in different water plan areas across the Basin. The carryover limits, account limits and use limits apply to all entitlement holders including the Commonwealth.</w:t>
      </w:r>
      <w:r>
        <w:rPr>
          <w:rFonts w:ascii="Century Gothic" w:hAnsi="Century Gothic"/>
        </w:rPr>
        <w:t xml:space="preserve"> When making carryover decisions, c</w:t>
      </w:r>
      <w:r w:rsidRPr="00F028C6">
        <w:rPr>
          <w:rFonts w:ascii="Century Gothic" w:hAnsi="Century Gothic"/>
        </w:rPr>
        <w:t>onsiderations include:</w:t>
      </w:r>
    </w:p>
    <w:p w14:paraId="477F6D3A" w14:textId="77777777" w:rsidR="00BE2C71" w:rsidRDefault="00BE2C71" w:rsidP="00BE2C71">
      <w:pPr>
        <w:pStyle w:val="ListBullet"/>
        <w:numPr>
          <w:ilvl w:val="0"/>
          <w:numId w:val="17"/>
        </w:numPr>
        <w:spacing w:after="120"/>
        <w:ind w:left="425" w:hanging="425"/>
        <w:jc w:val="left"/>
        <w:rPr>
          <w:rFonts w:ascii="Century Gothic" w:hAnsi="Century Gothic"/>
        </w:rPr>
      </w:pPr>
      <w:r>
        <w:rPr>
          <w:rFonts w:ascii="Century Gothic" w:hAnsi="Century Gothic"/>
        </w:rPr>
        <w:t>having</w:t>
      </w:r>
      <w:r w:rsidRPr="00F028C6">
        <w:rPr>
          <w:rFonts w:ascii="Century Gothic" w:hAnsi="Century Gothic"/>
        </w:rPr>
        <w:t xml:space="preserve"> sufficient water in accounts for environmental watering actions that occur early in a water year</w:t>
      </w:r>
    </w:p>
    <w:p w14:paraId="318B7FB6" w14:textId="77777777" w:rsidR="00BE2C71" w:rsidRDefault="00BE2C71" w:rsidP="00BE2C71">
      <w:pPr>
        <w:pStyle w:val="ListBullet"/>
        <w:numPr>
          <w:ilvl w:val="0"/>
          <w:numId w:val="17"/>
        </w:numPr>
        <w:spacing w:after="120"/>
        <w:ind w:left="425" w:hanging="425"/>
        <w:jc w:val="left"/>
        <w:rPr>
          <w:rFonts w:ascii="Century Gothic" w:hAnsi="Century Gothic"/>
        </w:rPr>
      </w:pPr>
      <w:r w:rsidRPr="00994672">
        <w:rPr>
          <w:rFonts w:ascii="Century Gothic" w:hAnsi="Century Gothic"/>
        </w:rPr>
        <w:t>considering the risk of carryover of water in accounts that may be subject to trade restrictions through the following water year.</w:t>
      </w:r>
    </w:p>
    <w:p w14:paraId="486936CD" w14:textId="77777777" w:rsidR="00BE2C71" w:rsidRDefault="00BE2C71" w:rsidP="00BE2C71">
      <w:pPr>
        <w:pStyle w:val="ListBullet"/>
        <w:numPr>
          <w:ilvl w:val="0"/>
          <w:numId w:val="17"/>
        </w:numPr>
        <w:spacing w:after="120"/>
        <w:ind w:left="425" w:hanging="425"/>
        <w:jc w:val="left"/>
        <w:rPr>
          <w:rFonts w:ascii="Century Gothic" w:hAnsi="Century Gothic"/>
        </w:rPr>
      </w:pPr>
      <w:r w:rsidRPr="00F028C6">
        <w:rPr>
          <w:rFonts w:ascii="Century Gothic" w:hAnsi="Century Gothic"/>
        </w:rPr>
        <w:t>consider</w:t>
      </w:r>
      <w:r>
        <w:rPr>
          <w:rFonts w:ascii="Century Gothic" w:hAnsi="Century Gothic"/>
        </w:rPr>
        <w:t>ing</w:t>
      </w:r>
      <w:r w:rsidRPr="00F028C6">
        <w:rPr>
          <w:rFonts w:ascii="Century Gothic" w:hAnsi="Century Gothic"/>
        </w:rPr>
        <w:t xml:space="preserve"> the cost-effectiveness with regard to the cost of water delivery and transfer fees against the potential market cost of water being reallocated under State rules</w:t>
      </w:r>
    </w:p>
    <w:p w14:paraId="6C650283" w14:textId="77777777" w:rsidR="00B17604" w:rsidRDefault="00EC5E9F" w:rsidP="00BC0CD5">
      <w:pPr>
        <w:pStyle w:val="ListBullet"/>
        <w:numPr>
          <w:ilvl w:val="0"/>
          <w:numId w:val="17"/>
        </w:numPr>
        <w:spacing w:after="120"/>
        <w:ind w:left="425" w:hanging="425"/>
        <w:jc w:val="left"/>
        <w:rPr>
          <w:rFonts w:ascii="Century Gothic" w:hAnsi="Century Gothic"/>
        </w:rPr>
      </w:pPr>
      <w:r w:rsidRPr="00F028C6">
        <w:rPr>
          <w:rFonts w:ascii="Century Gothic" w:hAnsi="Century Gothic"/>
        </w:rPr>
        <w:t>minimis</w:t>
      </w:r>
      <w:r>
        <w:rPr>
          <w:rFonts w:ascii="Century Gothic" w:hAnsi="Century Gothic"/>
        </w:rPr>
        <w:t>ing</w:t>
      </w:r>
      <w:r w:rsidRPr="00F028C6">
        <w:rPr>
          <w:rFonts w:ascii="Century Gothic" w:hAnsi="Century Gothic"/>
        </w:rPr>
        <w:t xml:space="preserve"> the risk of water being reallocated under State rules by carrying over water in accounts with better carryover provisions</w:t>
      </w:r>
    </w:p>
    <w:p w14:paraId="6C650287" w14:textId="304692D7" w:rsidR="007A7A94" w:rsidRDefault="00E47462">
      <w:pPr>
        <w:pStyle w:val="Heading11"/>
        <w:spacing w:before="0" w:after="120"/>
      </w:pPr>
      <w:bookmarkStart w:id="229" w:name="_Toc517264666"/>
      <w:r w:rsidRPr="006C2670">
        <w:t xml:space="preserve">Trade of </w:t>
      </w:r>
      <w:r w:rsidRPr="003D0A27">
        <w:t>environmental</w:t>
      </w:r>
      <w:r w:rsidRPr="006C2670">
        <w:t xml:space="preserve"> water allocations</w:t>
      </w:r>
      <w:bookmarkEnd w:id="228"/>
      <w:bookmarkEnd w:id="229"/>
    </w:p>
    <w:p w14:paraId="6C650288" w14:textId="1AD9B641" w:rsidR="00B17604" w:rsidRDefault="004A0A0D">
      <w:pPr>
        <w:tabs>
          <w:tab w:val="left" w:pos="1134"/>
        </w:tabs>
        <w:spacing w:after="120"/>
        <w:rPr>
          <w:rFonts w:ascii="Century Gothic" w:hAnsi="Century Gothic"/>
        </w:rPr>
      </w:pPr>
      <w:r>
        <w:rPr>
          <w:rFonts w:ascii="Century Gothic" w:hAnsi="Century Gothic"/>
        </w:rPr>
        <w:t>Decisions</w:t>
      </w:r>
      <w:r w:rsidR="00653339">
        <w:rPr>
          <w:rFonts w:ascii="Century Gothic" w:hAnsi="Century Gothic"/>
        </w:rPr>
        <w:t xml:space="preserve"> to </w:t>
      </w:r>
      <w:r w:rsidR="00BB14C6">
        <w:rPr>
          <w:rFonts w:ascii="Century Gothic" w:hAnsi="Century Gothic"/>
        </w:rPr>
        <w:t>sell</w:t>
      </w:r>
      <w:r w:rsidR="00653339">
        <w:rPr>
          <w:rFonts w:ascii="Century Gothic" w:hAnsi="Century Gothic"/>
        </w:rPr>
        <w:t xml:space="preserve"> water allocation</w:t>
      </w:r>
      <w:r>
        <w:rPr>
          <w:rFonts w:ascii="Century Gothic" w:hAnsi="Century Gothic"/>
        </w:rPr>
        <w:t>s</w:t>
      </w:r>
      <w:r w:rsidR="00653339">
        <w:rPr>
          <w:rFonts w:ascii="Century Gothic" w:hAnsi="Century Gothic"/>
        </w:rPr>
        <w:t xml:space="preserve"> </w:t>
      </w:r>
      <w:r>
        <w:rPr>
          <w:rFonts w:ascii="Century Gothic" w:hAnsi="Century Gothic"/>
        </w:rPr>
        <w:t>are</w:t>
      </w:r>
      <w:r w:rsidR="00653339">
        <w:rPr>
          <w:rFonts w:ascii="Century Gothic" w:hAnsi="Century Gothic"/>
        </w:rPr>
        <w:t xml:space="preserve"> made</w:t>
      </w:r>
      <w:r>
        <w:rPr>
          <w:rFonts w:ascii="Century Gothic" w:hAnsi="Century Gothic"/>
        </w:rPr>
        <w:t xml:space="preserve"> by the </w:t>
      </w:r>
      <w:r w:rsidR="00857534">
        <w:rPr>
          <w:rFonts w:ascii="Century Gothic" w:hAnsi="Century Gothic"/>
        </w:rPr>
        <w:t>Commonwealth Environmental Water Holder</w:t>
      </w:r>
      <w:r w:rsidR="002B3E00">
        <w:rPr>
          <w:rFonts w:ascii="Century Gothic" w:hAnsi="Century Gothic"/>
        </w:rPr>
        <w:t xml:space="preserve"> </w:t>
      </w:r>
      <w:r w:rsidR="00BB14C6">
        <w:rPr>
          <w:rFonts w:ascii="Century Gothic" w:hAnsi="Century Gothic"/>
        </w:rPr>
        <w:t xml:space="preserve">consistent with the obligations under </w:t>
      </w:r>
      <w:r w:rsidR="007D76E4">
        <w:rPr>
          <w:rFonts w:ascii="Century Gothic" w:hAnsi="Century Gothic"/>
        </w:rPr>
        <w:t xml:space="preserve">s.106 of the </w:t>
      </w:r>
      <w:r>
        <w:rPr>
          <w:rFonts w:ascii="Century Gothic" w:hAnsi="Century Gothic"/>
        </w:rPr>
        <w:t>Water Act.</w:t>
      </w:r>
      <w:r w:rsidR="00BB14C6">
        <w:rPr>
          <w:rFonts w:ascii="Century Gothic" w:hAnsi="Century Gothic"/>
        </w:rPr>
        <w:t xml:space="preserve"> Broadly, Commonwealth environmental water </w:t>
      </w:r>
      <w:r w:rsidR="007503FA">
        <w:rPr>
          <w:rFonts w:ascii="Century Gothic" w:hAnsi="Century Gothic"/>
        </w:rPr>
        <w:t>can be sold i</w:t>
      </w:r>
      <w:r w:rsidR="00A85FC6">
        <w:rPr>
          <w:rFonts w:ascii="Century Gothic" w:hAnsi="Century Gothic"/>
        </w:rPr>
        <w:t>f one of two conditions are met:</w:t>
      </w:r>
    </w:p>
    <w:p w14:paraId="6C650289" w14:textId="77777777" w:rsidR="00B17604" w:rsidRPr="000C1F89" w:rsidRDefault="008C4671">
      <w:pPr>
        <w:pStyle w:val="ListParagraph"/>
        <w:numPr>
          <w:ilvl w:val="0"/>
          <w:numId w:val="108"/>
        </w:numPr>
        <w:tabs>
          <w:tab w:val="left" w:pos="1134"/>
        </w:tabs>
        <w:spacing w:after="120"/>
        <w:rPr>
          <w:rFonts w:ascii="Century Gothic" w:hAnsi="Century Gothic"/>
        </w:rPr>
      </w:pPr>
      <w:r w:rsidRPr="000C1F89">
        <w:rPr>
          <w:rFonts w:ascii="Century Gothic" w:hAnsi="Century Gothic"/>
        </w:rPr>
        <w:t>Allocations can be sold if they are not required during the water year and either:</w:t>
      </w:r>
    </w:p>
    <w:p w14:paraId="6C65028A" w14:textId="77777777" w:rsidR="00B17604" w:rsidRPr="000C1F89" w:rsidRDefault="008C4671">
      <w:pPr>
        <w:pStyle w:val="ListParagraph"/>
        <w:numPr>
          <w:ilvl w:val="1"/>
          <w:numId w:val="108"/>
        </w:numPr>
        <w:tabs>
          <w:tab w:val="left" w:pos="1134"/>
        </w:tabs>
        <w:spacing w:after="120"/>
        <w:rPr>
          <w:rFonts w:ascii="Century Gothic" w:hAnsi="Century Gothic"/>
        </w:rPr>
      </w:pPr>
      <w:r w:rsidRPr="000C1F89">
        <w:rPr>
          <w:rFonts w:ascii="Century Gothic" w:hAnsi="Century Gothic"/>
        </w:rPr>
        <w:t>cannot be carried over; or</w:t>
      </w:r>
    </w:p>
    <w:p w14:paraId="6C65028B" w14:textId="77777777" w:rsidR="00B17604" w:rsidRPr="000C1F89" w:rsidRDefault="008C4671">
      <w:pPr>
        <w:pStyle w:val="ListParagraph"/>
        <w:numPr>
          <w:ilvl w:val="1"/>
          <w:numId w:val="108"/>
        </w:numPr>
        <w:tabs>
          <w:tab w:val="left" w:pos="1134"/>
        </w:tabs>
        <w:spacing w:after="120"/>
        <w:rPr>
          <w:rFonts w:ascii="Century Gothic" w:hAnsi="Century Gothic"/>
        </w:rPr>
      </w:pPr>
      <w:r w:rsidRPr="000C1F89">
        <w:rPr>
          <w:rFonts w:ascii="Century Gothic" w:hAnsi="Century Gothic"/>
        </w:rPr>
        <w:t>retaining the water is likely to result in forgoing future allocations due to account limits (section 106(2))</w:t>
      </w:r>
    </w:p>
    <w:p w14:paraId="6C65028C" w14:textId="77777777" w:rsidR="00B17604" w:rsidRPr="000C1F89" w:rsidRDefault="008C4671">
      <w:pPr>
        <w:pStyle w:val="ListParagraph"/>
        <w:numPr>
          <w:ilvl w:val="0"/>
          <w:numId w:val="0"/>
        </w:numPr>
        <w:tabs>
          <w:tab w:val="left" w:pos="1134"/>
        </w:tabs>
        <w:spacing w:after="120"/>
        <w:ind w:left="720"/>
        <w:rPr>
          <w:rFonts w:ascii="Century Gothic" w:hAnsi="Century Gothic"/>
        </w:rPr>
      </w:pPr>
      <w:r w:rsidRPr="000C1F89">
        <w:rPr>
          <w:rFonts w:ascii="Century Gothic" w:hAnsi="Century Gothic"/>
        </w:rPr>
        <w:t xml:space="preserve">Proceeds can be used in the same way as other Special Account funds. </w:t>
      </w:r>
    </w:p>
    <w:p w14:paraId="6C65028D" w14:textId="523894AF" w:rsidR="00B17604" w:rsidRPr="000C1F89" w:rsidRDefault="008C4671">
      <w:pPr>
        <w:pStyle w:val="ListParagraph"/>
        <w:numPr>
          <w:ilvl w:val="0"/>
          <w:numId w:val="108"/>
        </w:numPr>
        <w:tabs>
          <w:tab w:val="left" w:pos="1134"/>
        </w:tabs>
        <w:spacing w:after="120"/>
        <w:rPr>
          <w:rFonts w:ascii="Century Gothic" w:hAnsi="Century Gothic"/>
        </w:rPr>
      </w:pPr>
      <w:r w:rsidRPr="000C1F89">
        <w:rPr>
          <w:rFonts w:ascii="Century Gothic" w:hAnsi="Century Gothic"/>
        </w:rPr>
        <w:t xml:space="preserve">Allocations can be sold if the proceeds will be used to purchase water and/or invest in environmental activities, where the </w:t>
      </w:r>
      <w:r w:rsidR="00857534">
        <w:rPr>
          <w:rFonts w:ascii="Century Gothic" w:hAnsi="Century Gothic"/>
        </w:rPr>
        <w:t>Commonwealth Environmental Water Holder</w:t>
      </w:r>
      <w:r w:rsidR="002B3E00">
        <w:rPr>
          <w:rFonts w:ascii="Century Gothic" w:hAnsi="Century Gothic"/>
        </w:rPr>
        <w:t xml:space="preserve"> </w:t>
      </w:r>
      <w:r w:rsidRPr="000C1F89">
        <w:rPr>
          <w:rFonts w:ascii="Century Gothic" w:hAnsi="Century Gothic"/>
        </w:rPr>
        <w:t>reasonably believes this will provide greater capacity to achieve environmental objectives (section 106(3)).</w:t>
      </w:r>
      <w:r w:rsidR="00A85FC6" w:rsidRPr="000C1F89">
        <w:rPr>
          <w:rFonts w:ascii="Century Gothic" w:hAnsi="Century Gothic"/>
        </w:rPr>
        <w:t xml:space="preserve"> </w:t>
      </w:r>
    </w:p>
    <w:p w14:paraId="6C65028E" w14:textId="0FA49864" w:rsidR="00B17604" w:rsidRDefault="00773D47">
      <w:pPr>
        <w:tabs>
          <w:tab w:val="left" w:pos="1134"/>
        </w:tabs>
        <w:spacing w:after="120"/>
        <w:rPr>
          <w:rFonts w:ascii="Century Gothic" w:hAnsi="Century Gothic"/>
        </w:rPr>
      </w:pPr>
      <w:r w:rsidRPr="00A85FC6">
        <w:rPr>
          <w:rFonts w:ascii="Century Gothic" w:hAnsi="Century Gothic"/>
        </w:rPr>
        <w:t xml:space="preserve">The decision to </w:t>
      </w:r>
      <w:r w:rsidR="00BD521F" w:rsidRPr="00A85FC6">
        <w:rPr>
          <w:rFonts w:ascii="Century Gothic" w:hAnsi="Century Gothic"/>
        </w:rPr>
        <w:t>trade</w:t>
      </w:r>
      <w:r w:rsidRPr="00A85FC6">
        <w:rPr>
          <w:rFonts w:ascii="Century Gothic" w:hAnsi="Century Gothic"/>
        </w:rPr>
        <w:t xml:space="preserve"> water </w:t>
      </w:r>
      <w:r w:rsidR="00CC014F">
        <w:rPr>
          <w:rFonts w:ascii="Century Gothic" w:hAnsi="Century Gothic"/>
        </w:rPr>
        <w:t>is</w:t>
      </w:r>
      <w:r w:rsidR="007503FA">
        <w:rPr>
          <w:rFonts w:ascii="Century Gothic" w:hAnsi="Century Gothic"/>
        </w:rPr>
        <w:t xml:space="preserve"> </w:t>
      </w:r>
      <w:r w:rsidRPr="00A85FC6">
        <w:rPr>
          <w:rFonts w:ascii="Century Gothic" w:hAnsi="Century Gothic"/>
        </w:rPr>
        <w:t>made after considering: the current and forecast volume of water available in Commonwealth accounts; the balance of available environmental water (supply) to meet identified environmental demands; and (where appropriate) the prudent level of carryover.</w:t>
      </w:r>
      <w:r w:rsidR="00A1513F" w:rsidRPr="00A85FC6">
        <w:rPr>
          <w:rFonts w:ascii="Century Gothic" w:hAnsi="Century Gothic"/>
        </w:rPr>
        <w:t xml:space="preserve"> </w:t>
      </w:r>
      <w:r w:rsidR="0080132D" w:rsidRPr="00A85FC6">
        <w:rPr>
          <w:rFonts w:ascii="Century Gothic" w:hAnsi="Century Gothic"/>
        </w:rPr>
        <w:t xml:space="preserve">Decisions to trade also </w:t>
      </w:r>
      <w:r w:rsidR="00A5429A" w:rsidRPr="00A85FC6">
        <w:rPr>
          <w:rFonts w:ascii="Century Gothic" w:hAnsi="Century Gothic"/>
        </w:rPr>
        <w:t>include undertaking a market assessment</w:t>
      </w:r>
      <w:r w:rsidR="00EC5E9F" w:rsidRPr="00A85FC6">
        <w:rPr>
          <w:rFonts w:ascii="Century Gothic" w:hAnsi="Century Gothic"/>
        </w:rPr>
        <w:t>,</w:t>
      </w:r>
      <w:r w:rsidR="00A5429A" w:rsidRPr="00A85FC6">
        <w:rPr>
          <w:rFonts w:ascii="Century Gothic" w:hAnsi="Century Gothic"/>
        </w:rPr>
        <w:t xml:space="preserve"> which informs the mechanisms available to trade water</w:t>
      </w:r>
      <w:r w:rsidR="004A0A0D" w:rsidRPr="00A85FC6">
        <w:rPr>
          <w:rFonts w:ascii="Century Gothic" w:hAnsi="Century Gothic"/>
        </w:rPr>
        <w:t xml:space="preserve">, the volume of water to be </w:t>
      </w:r>
      <w:r w:rsidR="007D76E4" w:rsidRPr="00A85FC6">
        <w:rPr>
          <w:rFonts w:ascii="Century Gothic" w:hAnsi="Century Gothic"/>
        </w:rPr>
        <w:t xml:space="preserve">pursued or </w:t>
      </w:r>
      <w:r w:rsidR="004A0A0D" w:rsidRPr="00A85FC6">
        <w:rPr>
          <w:rFonts w:ascii="Century Gothic" w:hAnsi="Century Gothic"/>
        </w:rPr>
        <w:t>made available</w:t>
      </w:r>
      <w:r w:rsidR="007D76E4" w:rsidRPr="00A85FC6">
        <w:rPr>
          <w:rFonts w:ascii="Century Gothic" w:hAnsi="Century Gothic"/>
        </w:rPr>
        <w:t xml:space="preserve"> from the holdings,</w:t>
      </w:r>
      <w:r w:rsidR="00A5429A" w:rsidRPr="00A85FC6">
        <w:rPr>
          <w:rFonts w:ascii="Century Gothic" w:hAnsi="Century Gothic"/>
        </w:rPr>
        <w:t xml:space="preserve"> </w:t>
      </w:r>
      <w:r w:rsidR="004A0A0D" w:rsidRPr="00A85FC6">
        <w:rPr>
          <w:rFonts w:ascii="Century Gothic" w:hAnsi="Century Gothic"/>
        </w:rPr>
        <w:t xml:space="preserve">the </w:t>
      </w:r>
      <w:r w:rsidR="00A5429A" w:rsidRPr="00A85FC6">
        <w:rPr>
          <w:rFonts w:ascii="Century Gothic" w:hAnsi="Century Gothic"/>
        </w:rPr>
        <w:t xml:space="preserve">price </w:t>
      </w:r>
      <w:r w:rsidR="004A0A0D" w:rsidRPr="00A85FC6">
        <w:rPr>
          <w:rFonts w:ascii="Century Gothic" w:hAnsi="Century Gothic"/>
        </w:rPr>
        <w:t xml:space="preserve">at which the </w:t>
      </w:r>
      <w:r w:rsidR="00857534">
        <w:rPr>
          <w:rFonts w:ascii="Century Gothic" w:hAnsi="Century Gothic"/>
        </w:rPr>
        <w:t>Commonwealth Environmental Water Holder</w:t>
      </w:r>
      <w:r w:rsidR="002B3E00">
        <w:rPr>
          <w:rFonts w:ascii="Century Gothic" w:hAnsi="Century Gothic"/>
        </w:rPr>
        <w:t xml:space="preserve"> </w:t>
      </w:r>
      <w:r w:rsidR="004A0A0D" w:rsidRPr="00A85FC6">
        <w:rPr>
          <w:rFonts w:ascii="Century Gothic" w:hAnsi="Century Gothic"/>
        </w:rPr>
        <w:t>is willing to enter the market</w:t>
      </w:r>
      <w:r w:rsidR="0080132D" w:rsidRPr="00A85FC6">
        <w:rPr>
          <w:rFonts w:ascii="Century Gothic" w:hAnsi="Century Gothic"/>
        </w:rPr>
        <w:t xml:space="preserve"> and (in the case of purchases) the available budget</w:t>
      </w:r>
      <w:r w:rsidR="00A5429A" w:rsidRPr="00A85FC6">
        <w:rPr>
          <w:rFonts w:ascii="Century Gothic" w:hAnsi="Century Gothic"/>
        </w:rPr>
        <w:t>.</w:t>
      </w:r>
      <w:r w:rsidR="005837F4" w:rsidRPr="00A85FC6">
        <w:rPr>
          <w:rFonts w:ascii="Century Gothic" w:hAnsi="Century Gothic"/>
        </w:rPr>
        <w:t xml:space="preserve"> </w:t>
      </w:r>
    </w:p>
    <w:p w14:paraId="6C65028F" w14:textId="77777777" w:rsidR="00B17604" w:rsidRDefault="00953B4A">
      <w:pPr>
        <w:tabs>
          <w:tab w:val="left" w:pos="1134"/>
        </w:tabs>
        <w:spacing w:after="120"/>
        <w:rPr>
          <w:rFonts w:ascii="Century Gothic" w:hAnsi="Century Gothic"/>
        </w:rPr>
      </w:pPr>
      <w:r>
        <w:rPr>
          <w:rFonts w:ascii="Century Gothic" w:hAnsi="Century Gothic"/>
        </w:rPr>
        <w:t xml:space="preserve">The process for conducting a trading action is shown in </w:t>
      </w:r>
      <w:r w:rsidR="002E3CDD" w:rsidRPr="002E3CDD">
        <w:rPr>
          <w:rFonts w:ascii="Century Gothic" w:hAnsi="Century Gothic"/>
        </w:rPr>
        <w:t>Figure 5</w:t>
      </w:r>
      <w:r>
        <w:rPr>
          <w:rFonts w:ascii="Century Gothic" w:hAnsi="Century Gothic"/>
        </w:rPr>
        <w:t xml:space="preserve">. </w:t>
      </w:r>
    </w:p>
    <w:p w14:paraId="6C650290" w14:textId="1EDB24F9" w:rsidR="00B17604" w:rsidRDefault="00EC5E9F">
      <w:pPr>
        <w:tabs>
          <w:tab w:val="left" w:pos="1134"/>
        </w:tabs>
        <w:spacing w:after="120"/>
        <w:rPr>
          <w:rFonts w:ascii="Century Gothic" w:hAnsi="Century Gothic"/>
        </w:rPr>
      </w:pPr>
      <w:r w:rsidRPr="00B43A53">
        <w:rPr>
          <w:rFonts w:ascii="Century Gothic" w:hAnsi="Century Gothic"/>
        </w:rPr>
        <w:t xml:space="preserve">The </w:t>
      </w:r>
      <w:r>
        <w:rPr>
          <w:rFonts w:ascii="Century Gothic" w:hAnsi="Century Gothic"/>
        </w:rPr>
        <w:t xml:space="preserve">process is underpinned by </w:t>
      </w:r>
      <w:r w:rsidRPr="00B43A53">
        <w:rPr>
          <w:rFonts w:ascii="Century Gothic" w:hAnsi="Century Gothic"/>
        </w:rPr>
        <w:t xml:space="preserve">a trading framework that includes operating rules, </w:t>
      </w:r>
      <w:r w:rsidRPr="00B43A53">
        <w:rPr>
          <w:rFonts w:ascii="Century Gothic" w:hAnsi="Century Gothic" w:cs="Century Gothic"/>
        </w:rPr>
        <w:t>protocols</w:t>
      </w:r>
      <w:r>
        <w:rPr>
          <w:rFonts w:ascii="Century Gothic" w:hAnsi="Century Gothic" w:cs="Century Gothic"/>
        </w:rPr>
        <w:t xml:space="preserve"> and procedures</w:t>
      </w:r>
      <w:r w:rsidRPr="00B43A53">
        <w:rPr>
          <w:rFonts w:ascii="Century Gothic" w:hAnsi="Century Gothic" w:cs="Century Gothic"/>
        </w:rPr>
        <w:t xml:space="preserve">. The trading framework has been developed to ensure that the </w:t>
      </w:r>
      <w:r w:rsidR="00857534">
        <w:rPr>
          <w:rFonts w:ascii="Century Gothic" w:hAnsi="Century Gothic" w:cs="Century Gothic"/>
        </w:rPr>
        <w:t xml:space="preserve">Commonwealth Environmental Water </w:t>
      </w:r>
      <w:r w:rsidR="002B3E00">
        <w:rPr>
          <w:rFonts w:ascii="Century Gothic" w:hAnsi="Century Gothic" w:cs="Century Gothic"/>
        </w:rPr>
        <w:t>Holder’</w:t>
      </w:r>
      <w:r w:rsidRPr="00B43A53">
        <w:rPr>
          <w:rFonts w:ascii="Century Gothic" w:hAnsi="Century Gothic" w:cs="Century Gothic"/>
        </w:rPr>
        <w:t>s trading activities:</w:t>
      </w:r>
    </w:p>
    <w:p w14:paraId="6C650291" w14:textId="77777777" w:rsidR="00B17604" w:rsidRDefault="00EC5E9F" w:rsidP="00BC0CD5">
      <w:pPr>
        <w:pStyle w:val="ListBullet"/>
        <w:numPr>
          <w:ilvl w:val="0"/>
          <w:numId w:val="17"/>
        </w:numPr>
        <w:spacing w:after="120"/>
        <w:ind w:left="425" w:hanging="425"/>
        <w:jc w:val="left"/>
        <w:rPr>
          <w:rFonts w:ascii="Century Gothic" w:hAnsi="Century Gothic"/>
        </w:rPr>
      </w:pPr>
      <w:r w:rsidRPr="00B43A53">
        <w:rPr>
          <w:rFonts w:ascii="Century Gothic" w:hAnsi="Century Gothic"/>
        </w:rPr>
        <w:t>support enhanced environmental outcomes</w:t>
      </w:r>
    </w:p>
    <w:p w14:paraId="6C650292" w14:textId="77777777" w:rsidR="00B17604" w:rsidRDefault="00EC5E9F" w:rsidP="00BC0CD5">
      <w:pPr>
        <w:pStyle w:val="ListBullet"/>
        <w:numPr>
          <w:ilvl w:val="0"/>
          <w:numId w:val="17"/>
        </w:numPr>
        <w:spacing w:after="120"/>
        <w:ind w:left="425" w:hanging="425"/>
        <w:jc w:val="left"/>
        <w:rPr>
          <w:rFonts w:ascii="Century Gothic" w:hAnsi="Century Gothic"/>
        </w:rPr>
      </w:pPr>
      <w:r w:rsidRPr="00B43A53">
        <w:rPr>
          <w:rFonts w:ascii="Century Gothic" w:hAnsi="Century Gothic"/>
        </w:rPr>
        <w:t>have regard to social and economic outcomes</w:t>
      </w:r>
    </w:p>
    <w:p w14:paraId="6C650293" w14:textId="77777777" w:rsidR="00B17604" w:rsidRDefault="00EC5E9F" w:rsidP="00BC0CD5">
      <w:pPr>
        <w:pStyle w:val="ListBullet"/>
        <w:numPr>
          <w:ilvl w:val="0"/>
          <w:numId w:val="17"/>
        </w:numPr>
        <w:spacing w:after="120"/>
        <w:ind w:left="425" w:hanging="425"/>
        <w:jc w:val="left"/>
        <w:rPr>
          <w:rFonts w:ascii="Century Gothic" w:hAnsi="Century Gothic"/>
        </w:rPr>
      </w:pPr>
      <w:r w:rsidRPr="00B43A53">
        <w:rPr>
          <w:rFonts w:ascii="Century Gothic" w:hAnsi="Century Gothic"/>
        </w:rPr>
        <w:t>consider impacts on the market, including any third-party impacts</w:t>
      </w:r>
    </w:p>
    <w:p w14:paraId="6C650294" w14:textId="77777777" w:rsidR="00B17604" w:rsidRDefault="00EC5E9F" w:rsidP="00BC0CD5">
      <w:pPr>
        <w:pStyle w:val="ListBullet"/>
        <w:numPr>
          <w:ilvl w:val="0"/>
          <w:numId w:val="17"/>
        </w:numPr>
        <w:spacing w:after="120"/>
        <w:ind w:left="425" w:hanging="425"/>
        <w:jc w:val="left"/>
        <w:rPr>
          <w:rFonts w:ascii="Century Gothic" w:hAnsi="Century Gothic"/>
        </w:rPr>
      </w:pPr>
      <w:r w:rsidRPr="00B43A53">
        <w:rPr>
          <w:rFonts w:ascii="Century Gothic" w:hAnsi="Century Gothic"/>
        </w:rPr>
        <w:t>are undertaken in a manner which meets legislative requirements</w:t>
      </w:r>
    </w:p>
    <w:p w14:paraId="6C650295" w14:textId="77777777" w:rsidR="00B17604" w:rsidRDefault="00EC5E9F" w:rsidP="00BC0CD5">
      <w:pPr>
        <w:pStyle w:val="ListBullet"/>
        <w:numPr>
          <w:ilvl w:val="0"/>
          <w:numId w:val="17"/>
        </w:numPr>
        <w:spacing w:after="120"/>
        <w:ind w:left="425" w:hanging="425"/>
        <w:jc w:val="left"/>
        <w:rPr>
          <w:rFonts w:ascii="Century Gothic" w:hAnsi="Century Gothic"/>
        </w:rPr>
      </w:pPr>
      <w:r w:rsidRPr="00B43A53">
        <w:rPr>
          <w:rFonts w:ascii="Century Gothic" w:hAnsi="Century Gothic"/>
        </w:rPr>
        <w:t>are financially responsible, fair, equitable, transparent and accountable</w:t>
      </w:r>
      <w:r>
        <w:rPr>
          <w:rFonts w:ascii="Century Gothic" w:hAnsi="Century Gothic"/>
        </w:rPr>
        <w:t>.</w:t>
      </w:r>
    </w:p>
    <w:p w14:paraId="6C650296" w14:textId="2A261A1F" w:rsidR="00B17604" w:rsidRDefault="00EC5E9F">
      <w:pPr>
        <w:pStyle w:val="ListBullet"/>
        <w:numPr>
          <w:ilvl w:val="0"/>
          <w:numId w:val="0"/>
        </w:numPr>
        <w:spacing w:after="120"/>
        <w:rPr>
          <w:rFonts w:ascii="Century Gothic" w:hAnsi="Century Gothic"/>
        </w:rPr>
      </w:pPr>
      <w:r>
        <w:rPr>
          <w:rFonts w:ascii="Century Gothic" w:hAnsi="Century Gothic"/>
        </w:rPr>
        <w:t xml:space="preserve">The trading framework, operating rules, protocols and procedures also ensure that </w:t>
      </w:r>
      <w:r w:rsidRPr="00B43A53">
        <w:rPr>
          <w:rFonts w:ascii="Century Gothic" w:hAnsi="Century Gothic"/>
        </w:rPr>
        <w:t xml:space="preserve">the </w:t>
      </w:r>
      <w:r w:rsidR="00857534">
        <w:rPr>
          <w:rFonts w:ascii="Century Gothic" w:hAnsi="Century Gothic"/>
        </w:rPr>
        <w:t xml:space="preserve">Commonwealth Environmental Water Holder </w:t>
      </w:r>
      <w:r w:rsidRPr="00B43A53">
        <w:rPr>
          <w:rFonts w:ascii="Century Gothic" w:hAnsi="Century Gothic"/>
        </w:rPr>
        <w:t xml:space="preserve">and </w:t>
      </w:r>
      <w:r>
        <w:rPr>
          <w:rFonts w:ascii="Century Gothic" w:hAnsi="Century Gothic"/>
        </w:rPr>
        <w:t>the Office’s</w:t>
      </w:r>
      <w:r w:rsidRPr="00B43A53">
        <w:rPr>
          <w:rFonts w:ascii="Century Gothic" w:hAnsi="Century Gothic"/>
        </w:rPr>
        <w:t xml:space="preserve"> staff act with integrity and high ethical standards</w:t>
      </w:r>
      <w:r>
        <w:rPr>
          <w:rFonts w:ascii="Century Gothic" w:hAnsi="Century Gothic"/>
        </w:rPr>
        <w:t xml:space="preserve"> throughout the process. More information on the </w:t>
      </w:r>
      <w:r w:rsidRPr="00BE31EB">
        <w:rPr>
          <w:rFonts w:ascii="Century Gothic" w:hAnsi="Century Gothic" w:cs="Arial"/>
          <w:i/>
        </w:rPr>
        <w:t xml:space="preserve">Commonwealth Environmental Water Trading Framework </w:t>
      </w:r>
      <w:r>
        <w:rPr>
          <w:rFonts w:ascii="Century Gothic" w:hAnsi="Century Gothic" w:cs="Arial"/>
        </w:rPr>
        <w:t xml:space="preserve">can be accessed here: </w:t>
      </w:r>
      <w:hyperlink r:id="rId30" w:history="1">
        <w:r w:rsidR="008450E5" w:rsidRPr="002B6397">
          <w:rPr>
            <w:rStyle w:val="Hyperlink"/>
            <w:rFonts w:ascii="Century Gothic" w:hAnsi="Century Gothic" w:cs="Arial"/>
          </w:rPr>
          <w:t>http://www.environment.gov.au/water/cewo/trade/trading-framework</w:t>
        </w:r>
      </w:hyperlink>
      <w:r w:rsidR="00326B4E" w:rsidRPr="000E3C60">
        <w:rPr>
          <w:rFonts w:ascii="Century Gothic" w:hAnsi="Century Gothic"/>
        </w:rPr>
        <w:t>.</w:t>
      </w:r>
    </w:p>
    <w:p w14:paraId="6C650297" w14:textId="3A9FBC20" w:rsidR="00B17604" w:rsidRDefault="00EC5E9F">
      <w:pPr>
        <w:pStyle w:val="ListNumber"/>
        <w:numPr>
          <w:ilvl w:val="0"/>
          <w:numId w:val="0"/>
        </w:numPr>
        <w:spacing w:after="120"/>
        <w:rPr>
          <w:rFonts w:ascii="Century Gothic" w:hAnsi="Century Gothic"/>
        </w:rPr>
      </w:pPr>
      <w:r>
        <w:rPr>
          <w:rFonts w:ascii="Century Gothic" w:hAnsi="Century Gothic"/>
        </w:rPr>
        <w:lastRenderedPageBreak/>
        <w:t xml:space="preserve">Consistent with the operating rules, the Office publishes information on current trading actions as well </w:t>
      </w:r>
      <w:r w:rsidR="007503FA">
        <w:rPr>
          <w:rFonts w:ascii="Century Gothic" w:hAnsi="Century Gothic"/>
        </w:rPr>
        <w:t xml:space="preserve">as </w:t>
      </w:r>
      <w:r>
        <w:rPr>
          <w:rFonts w:ascii="Century Gothic" w:hAnsi="Century Gothic"/>
        </w:rPr>
        <w:t xml:space="preserve">providing quarterly updates on </w:t>
      </w:r>
      <w:r w:rsidR="00857534">
        <w:rPr>
          <w:rFonts w:ascii="Century Gothic" w:hAnsi="Century Gothic"/>
        </w:rPr>
        <w:t xml:space="preserve">Commonwealth Environmental Water Holder </w:t>
      </w:r>
      <w:r>
        <w:rPr>
          <w:rFonts w:ascii="Century Gothic" w:hAnsi="Century Gothic"/>
        </w:rPr>
        <w:t xml:space="preserve"> trading intentions. </w:t>
      </w:r>
    </w:p>
    <w:p w14:paraId="1C630784" w14:textId="77777777" w:rsidR="00A32A43" w:rsidRDefault="00A32A43">
      <w:pPr>
        <w:pStyle w:val="ListNumber"/>
        <w:numPr>
          <w:ilvl w:val="0"/>
          <w:numId w:val="0"/>
        </w:numPr>
        <w:spacing w:after="120"/>
        <w:rPr>
          <w:rFonts w:ascii="Century Gothic" w:hAnsi="Century Gothic"/>
        </w:rPr>
      </w:pPr>
    </w:p>
    <w:p w14:paraId="6C650298" w14:textId="403E0B8D" w:rsidR="007A7A94" w:rsidRDefault="00EC5E9F">
      <w:pPr>
        <w:pStyle w:val="ListNumber"/>
        <w:numPr>
          <w:ilvl w:val="0"/>
          <w:numId w:val="0"/>
        </w:numPr>
        <w:spacing w:after="120"/>
        <w:jc w:val="left"/>
        <w:rPr>
          <w:rFonts w:ascii="Century Gothic" w:hAnsi="Century Gothic"/>
        </w:rPr>
      </w:pPr>
      <w:r>
        <w:rPr>
          <w:rFonts w:ascii="Century Gothic" w:hAnsi="Century Gothic"/>
        </w:rPr>
        <w:t>Information on current trading actions</w:t>
      </w:r>
      <w:r w:rsidR="00A32A43">
        <w:rPr>
          <w:rFonts w:ascii="Century Gothic" w:hAnsi="Century Gothic"/>
        </w:rPr>
        <w:t xml:space="preserve"> and trade intentions is</w:t>
      </w:r>
      <w:r>
        <w:rPr>
          <w:rFonts w:ascii="Century Gothic" w:hAnsi="Century Gothic"/>
        </w:rPr>
        <w:t xml:space="preserve"> available at: </w:t>
      </w:r>
    </w:p>
    <w:p w14:paraId="144B65A9" w14:textId="4977F315" w:rsidR="00A32A43" w:rsidRDefault="00D11956">
      <w:pPr>
        <w:pStyle w:val="ListNumber"/>
        <w:numPr>
          <w:ilvl w:val="0"/>
          <w:numId w:val="0"/>
        </w:numPr>
        <w:spacing w:after="120"/>
        <w:jc w:val="left"/>
        <w:rPr>
          <w:rStyle w:val="Hyperlink"/>
          <w:rFonts w:ascii="Century Gothic" w:hAnsi="Century Gothic" w:cs="Arial"/>
        </w:rPr>
      </w:pPr>
      <w:hyperlink r:id="rId31" w:history="1">
        <w:r w:rsidR="00B27340" w:rsidRPr="00B27340">
          <w:rPr>
            <w:rStyle w:val="Hyperlink"/>
            <w:rFonts w:ascii="Century Gothic" w:hAnsi="Century Gothic" w:cs="Arial"/>
          </w:rPr>
          <w:t>http://www.environment.gov.au/water/cewo/trade</w:t>
        </w:r>
      </w:hyperlink>
      <w:r w:rsidR="00326B4E" w:rsidRPr="000E3C60">
        <w:rPr>
          <w:rFonts w:ascii="Century Gothic" w:hAnsi="Century Gothic"/>
        </w:rPr>
        <w:t>.</w:t>
      </w:r>
    </w:p>
    <w:p w14:paraId="319844DE" w14:textId="77777777" w:rsidR="00B27340" w:rsidRPr="00A32A43" w:rsidRDefault="00B27340">
      <w:pPr>
        <w:pStyle w:val="ListNumber"/>
        <w:numPr>
          <w:ilvl w:val="0"/>
          <w:numId w:val="0"/>
        </w:numPr>
        <w:spacing w:after="120"/>
        <w:jc w:val="left"/>
        <w:rPr>
          <w:rStyle w:val="Hyperlink"/>
          <w:rFonts w:ascii="Century Gothic" w:hAnsi="Century Gothic" w:cs="Arial"/>
        </w:rPr>
      </w:pPr>
    </w:p>
    <w:p w14:paraId="6C65029B" w14:textId="77777777" w:rsidR="007A7A94" w:rsidRDefault="00771FDF">
      <w:pPr>
        <w:pStyle w:val="ListBullet"/>
        <w:numPr>
          <w:ilvl w:val="0"/>
          <w:numId w:val="0"/>
        </w:numPr>
        <w:spacing w:after="120"/>
        <w:jc w:val="center"/>
        <w:rPr>
          <w:rFonts w:ascii="Century Gothic" w:hAnsi="Century Gothic"/>
          <w:i/>
        </w:rPr>
      </w:pPr>
      <w:r>
        <w:rPr>
          <w:rFonts w:ascii="Century Gothic" w:hAnsi="Century Gothic"/>
          <w:i/>
          <w:noProof/>
        </w:rPr>
        <w:drawing>
          <wp:inline distT="0" distB="0" distL="0" distR="0" wp14:anchorId="6C65033E" wp14:editId="6C65033F">
            <wp:extent cx="4953000" cy="6060449"/>
            <wp:effectExtent l="19050" t="0" r="0" b="0"/>
            <wp:docPr id="1" name="Picture 24" descr="This flowchart represents the process for conducting a Commonwealth environmental water trading action.&#10;In the hierarchy of the process, the Trading framework consists of Commonwealth and State legislation, which informs any Operating rules, as well as procedures and protocols. These elements flow down into the trading process.&#10;As part of the trading process, the first step is to identify a trading opportunity that will enhance capacity to support environmental objectives identified. Each Commonwealth Environmental Water Holder trading decision must be consistent with the requirements of the Water Act 2007. A public announcement of trading intentions then occurs. &#10;Once this occurs, the Commonwealth Environmental Water Office must approach the market via a market mechanism tailored to suit particular circumstances of the trading action. If any offers are received from the market, an evaluation takes place. Following this, trade approval is received with settlement and registration of the trade occurring. A public announcement of the trading outcomes must then be made within 30 days of registering the trade.&#10;While the process for conducting a trading action is underway, there is a consistent monitoring and review of the arrangements taking place. This is to ensure and support the compliance with the Water Act, Environmental Watering Plan, Water Trading Rules and operating rules. There is also ongoing review with departmental risk management and audit requiremen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cstate="print"/>
                    <a:srcRect/>
                    <a:stretch>
                      <a:fillRect/>
                    </a:stretch>
                  </pic:blipFill>
                  <pic:spPr bwMode="auto">
                    <a:xfrm>
                      <a:off x="0" y="0"/>
                      <a:ext cx="4956758" cy="6065047"/>
                    </a:xfrm>
                    <a:prstGeom prst="rect">
                      <a:avLst/>
                    </a:prstGeom>
                    <a:noFill/>
                    <a:ln w="9525">
                      <a:noFill/>
                      <a:miter lim="800000"/>
                      <a:headEnd/>
                      <a:tailEnd/>
                    </a:ln>
                  </pic:spPr>
                </pic:pic>
              </a:graphicData>
            </a:graphic>
          </wp:inline>
        </w:drawing>
      </w:r>
    </w:p>
    <w:p w14:paraId="6C65029C" w14:textId="77777777" w:rsidR="008B6031" w:rsidRDefault="008B6031" w:rsidP="008B6031">
      <w:pPr>
        <w:pStyle w:val="Caption"/>
        <w:rPr>
          <w:rFonts w:ascii="Century Gothic" w:hAnsi="Century Gothic"/>
        </w:rPr>
      </w:pPr>
      <w:r w:rsidRPr="00C14C40">
        <w:rPr>
          <w:rFonts w:ascii="Century Gothic" w:hAnsi="Century Gothic"/>
        </w:rPr>
        <w:t xml:space="preserve">Figure </w:t>
      </w:r>
      <w:r w:rsidR="00D848C1" w:rsidRPr="00C14C40">
        <w:rPr>
          <w:rFonts w:ascii="Century Gothic" w:hAnsi="Century Gothic"/>
        </w:rPr>
        <w:fldChar w:fldCharType="begin"/>
      </w:r>
      <w:r w:rsidRPr="00C14C40">
        <w:rPr>
          <w:rFonts w:ascii="Century Gothic" w:hAnsi="Century Gothic"/>
        </w:rPr>
        <w:instrText xml:space="preserve"> SEQ Figure \* ARABIC </w:instrText>
      </w:r>
      <w:r w:rsidR="00D848C1" w:rsidRPr="00C14C40">
        <w:rPr>
          <w:rFonts w:ascii="Century Gothic" w:hAnsi="Century Gothic"/>
        </w:rPr>
        <w:fldChar w:fldCharType="separate"/>
      </w:r>
      <w:r w:rsidR="00A6387E">
        <w:rPr>
          <w:rFonts w:ascii="Century Gothic" w:hAnsi="Century Gothic"/>
          <w:noProof/>
        </w:rPr>
        <w:t>5</w:t>
      </w:r>
      <w:r w:rsidR="00D848C1" w:rsidRPr="00C14C40">
        <w:rPr>
          <w:rFonts w:ascii="Century Gothic" w:hAnsi="Century Gothic"/>
        </w:rPr>
        <w:fldChar w:fldCharType="end"/>
      </w:r>
      <w:r w:rsidRPr="00C14C40">
        <w:rPr>
          <w:rFonts w:ascii="Century Gothic" w:hAnsi="Century Gothic"/>
          <w:b w:val="0"/>
        </w:rPr>
        <w:t xml:space="preserve">: The process for conducting a Commonwealth environmental water trading action. </w:t>
      </w:r>
    </w:p>
    <w:p w14:paraId="6C65029D" w14:textId="77777777" w:rsidR="007A7A94" w:rsidRDefault="007A7A94">
      <w:pPr>
        <w:tabs>
          <w:tab w:val="left" w:pos="1134"/>
        </w:tabs>
        <w:spacing w:after="120"/>
        <w:jc w:val="left"/>
        <w:rPr>
          <w:rFonts w:ascii="Century Gothic" w:hAnsi="Century Gothic"/>
        </w:rPr>
      </w:pPr>
    </w:p>
    <w:tbl>
      <w:tblPr>
        <w:tblStyle w:val="TableGrid"/>
        <w:tblW w:w="0" w:type="auto"/>
        <w:jc w:val="center"/>
        <w:tblLook w:val="04A0" w:firstRow="1" w:lastRow="0" w:firstColumn="1" w:lastColumn="0" w:noHBand="0" w:noVBand="1"/>
      </w:tblPr>
      <w:tblGrid>
        <w:gridCol w:w="9176"/>
      </w:tblGrid>
      <w:tr w:rsidR="006F0829" w:rsidRPr="006F0829" w14:paraId="6C6502A6" w14:textId="77777777" w:rsidTr="00FC231D">
        <w:trPr>
          <w:cnfStyle w:val="100000000000" w:firstRow="1" w:lastRow="0" w:firstColumn="0" w:lastColumn="0" w:oddVBand="0" w:evenVBand="0" w:oddHBand="0" w:evenHBand="0" w:firstRowFirstColumn="0" w:firstRowLastColumn="0" w:lastRowFirstColumn="0" w:lastRowLastColumn="0"/>
          <w:trHeight w:val="5556"/>
          <w:jc w:val="center"/>
        </w:trPr>
        <w:tc>
          <w:tcPr>
            <w:tcW w:w="9176" w:type="dxa"/>
          </w:tcPr>
          <w:p w14:paraId="6C65029E" w14:textId="77777777" w:rsidR="007A7A94" w:rsidRDefault="006F0829">
            <w:pPr>
              <w:pStyle w:val="CaseStudy"/>
              <w:spacing w:after="120"/>
            </w:pPr>
            <w:bookmarkStart w:id="230" w:name="_Toc430087330"/>
            <w:r w:rsidRPr="00AD16A4">
              <w:lastRenderedPageBreak/>
              <w:t>CASE STUDY: Selling water in the Goulburn catchment</w:t>
            </w:r>
          </w:p>
          <w:bookmarkEnd w:id="230"/>
          <w:p w14:paraId="6C65029F" w14:textId="2B92FB89" w:rsidR="006F0829" w:rsidRPr="00DA40F6" w:rsidRDefault="00EC7032" w:rsidP="006026F2">
            <w:pPr>
              <w:spacing w:after="120"/>
              <w:rPr>
                <w:rFonts w:ascii="Century Gothic" w:hAnsi="Century Gothic"/>
              </w:rPr>
            </w:pPr>
            <w:r w:rsidRPr="00EC7032">
              <w:rPr>
                <w:rFonts w:ascii="Century Gothic" w:hAnsi="Century Gothic"/>
              </w:rPr>
              <w:t xml:space="preserve">In November 2015, the Commonwealth Environmental Water Holder sold 22.864 gigalitres of water allocations in the Goulburn catchment of Victoria. Environmental conditions and water availability at the time guided the decision to trade. There was </w:t>
            </w:r>
            <w:r w:rsidR="001409E5" w:rsidRPr="00DA40F6">
              <w:rPr>
                <w:rFonts w:ascii="Century Gothic" w:hAnsi="Century Gothic"/>
              </w:rPr>
              <w:t>sufficient</w:t>
            </w:r>
            <w:r w:rsidRPr="00EC7032">
              <w:rPr>
                <w:rFonts w:ascii="Century Gothic" w:hAnsi="Century Gothic"/>
              </w:rPr>
              <w:t xml:space="preserve"> Commonwealth environmental water available through carryover from 2014</w:t>
            </w:r>
            <w:r w:rsidR="002F05F9">
              <w:rPr>
                <w:rFonts w:ascii="Century Gothic" w:hAnsi="Century Gothic"/>
              </w:rPr>
              <w:t>–</w:t>
            </w:r>
            <w:r w:rsidRPr="00EC7032">
              <w:rPr>
                <w:rFonts w:ascii="Century Gothic" w:hAnsi="Century Gothic"/>
              </w:rPr>
              <w:t>15 and annual allocations to continue building environmental resilience in the Goulburn to allow the sale. The level of environmental water use at this time was in line with naturally drying conditions.</w:t>
            </w:r>
          </w:p>
          <w:p w14:paraId="6C6502A0" w14:textId="77777777" w:rsidR="007A7A94" w:rsidRDefault="00EC7032">
            <w:pPr>
              <w:spacing w:after="120"/>
              <w:rPr>
                <w:rFonts w:ascii="Century Gothic" w:hAnsi="Century Gothic"/>
              </w:rPr>
            </w:pPr>
            <w:r w:rsidRPr="00EC7032">
              <w:rPr>
                <w:rFonts w:ascii="Century Gothic" w:hAnsi="Century Gothic"/>
              </w:rPr>
              <w:t>The trade provided win-win outcomes because:</w:t>
            </w:r>
          </w:p>
          <w:p w14:paraId="6C6502A1" w14:textId="77777777" w:rsidR="007A7A94" w:rsidRDefault="00EC7032">
            <w:pPr>
              <w:pStyle w:val="ListParagraph"/>
              <w:numPr>
                <w:ilvl w:val="0"/>
                <w:numId w:val="32"/>
              </w:numPr>
              <w:spacing w:after="120"/>
              <w:jc w:val="left"/>
              <w:rPr>
                <w:rFonts w:ascii="Century Gothic" w:hAnsi="Century Gothic"/>
              </w:rPr>
            </w:pPr>
            <w:r w:rsidRPr="00EC7032">
              <w:rPr>
                <w:rFonts w:ascii="Century Gothic" w:hAnsi="Century Gothic"/>
              </w:rPr>
              <w:t>the Goulburn River’s environmental needs were able to be met</w:t>
            </w:r>
          </w:p>
          <w:p w14:paraId="6C6502A2" w14:textId="77777777" w:rsidR="007A7A94" w:rsidRDefault="00EC7032">
            <w:pPr>
              <w:pStyle w:val="ListParagraph"/>
              <w:numPr>
                <w:ilvl w:val="0"/>
                <w:numId w:val="32"/>
              </w:numPr>
              <w:spacing w:after="120"/>
              <w:jc w:val="left"/>
              <w:rPr>
                <w:rFonts w:ascii="Century Gothic" w:hAnsi="Century Gothic"/>
              </w:rPr>
            </w:pPr>
            <w:r w:rsidRPr="00EC7032">
              <w:rPr>
                <w:rFonts w:ascii="Century Gothic" w:hAnsi="Century Gothic"/>
              </w:rPr>
              <w:t>Victorian irrigators were able to buy much needed water for their farms</w:t>
            </w:r>
          </w:p>
          <w:p w14:paraId="6C6502A3" w14:textId="77777777" w:rsidR="007A7A94" w:rsidRDefault="00EC7032">
            <w:pPr>
              <w:pStyle w:val="ListParagraph"/>
              <w:numPr>
                <w:ilvl w:val="0"/>
                <w:numId w:val="32"/>
              </w:numPr>
              <w:spacing w:after="120"/>
              <w:jc w:val="left"/>
              <w:rPr>
                <w:rFonts w:ascii="Century Gothic" w:hAnsi="Century Gothic"/>
              </w:rPr>
            </w:pPr>
            <w:r w:rsidRPr="00EC7032">
              <w:rPr>
                <w:rFonts w:ascii="Century Gothic" w:hAnsi="Century Gothic"/>
              </w:rPr>
              <w:t>sale proceeds will be used to benefit the environment elsewhere in the Basin in the future</w:t>
            </w:r>
          </w:p>
          <w:p w14:paraId="6C6502A4" w14:textId="77777777" w:rsidR="007A7A94" w:rsidRDefault="00EC7032">
            <w:pPr>
              <w:spacing w:after="120"/>
              <w:rPr>
                <w:rFonts w:ascii="Century Gothic" w:hAnsi="Century Gothic"/>
              </w:rPr>
            </w:pPr>
            <w:r w:rsidRPr="00EC7032">
              <w:rPr>
                <w:rFonts w:ascii="Century Gothic" w:hAnsi="Century Gothic"/>
              </w:rPr>
              <w:t xml:space="preserve">Of the 22.864 </w:t>
            </w:r>
            <w:r w:rsidR="007B262C" w:rsidRPr="00EC7032">
              <w:rPr>
                <w:rFonts w:ascii="Century Gothic" w:hAnsi="Century Gothic"/>
              </w:rPr>
              <w:t>gigalitres</w:t>
            </w:r>
            <w:r w:rsidRPr="00EC7032">
              <w:rPr>
                <w:rFonts w:ascii="Century Gothic" w:hAnsi="Century Gothic"/>
              </w:rPr>
              <w:t xml:space="preserve"> sold, more than 95% (21.864 </w:t>
            </w:r>
            <w:r w:rsidR="007B262C" w:rsidRPr="00EC7032">
              <w:rPr>
                <w:rFonts w:ascii="Century Gothic" w:hAnsi="Century Gothic"/>
              </w:rPr>
              <w:t>gigalitres</w:t>
            </w:r>
            <w:r w:rsidRPr="00EC7032">
              <w:rPr>
                <w:rFonts w:ascii="Century Gothic" w:hAnsi="Century Gothic"/>
              </w:rPr>
              <w:t xml:space="preserve">) was bought by Victorian Goulburn and Murray irrigators. The remaining 1 </w:t>
            </w:r>
            <w:r w:rsidR="007B262C" w:rsidRPr="00EC7032">
              <w:rPr>
                <w:rFonts w:ascii="Century Gothic" w:hAnsi="Century Gothic"/>
              </w:rPr>
              <w:t>gigalitre</w:t>
            </w:r>
            <w:r w:rsidRPr="00EC7032">
              <w:rPr>
                <w:rFonts w:ascii="Century Gothic" w:hAnsi="Century Gothic"/>
              </w:rPr>
              <w:t xml:space="preserve"> was sold to primary producers in South Australia.</w:t>
            </w:r>
          </w:p>
          <w:p w14:paraId="6C6502A5" w14:textId="091E7411" w:rsidR="00C14C40" w:rsidRPr="00C14C40" w:rsidRDefault="00EC7032" w:rsidP="00914CCC">
            <w:pPr>
              <w:spacing w:after="120"/>
              <w:rPr>
                <w:rFonts w:ascii="Century Gothic" w:hAnsi="Century Gothic"/>
              </w:rPr>
            </w:pPr>
            <w:r w:rsidRPr="00EC7032">
              <w:rPr>
                <w:rFonts w:ascii="Century Gothic" w:hAnsi="Century Gothic"/>
              </w:rPr>
              <w:t xml:space="preserve">At the same time that the </w:t>
            </w:r>
            <w:r w:rsidR="00857534">
              <w:rPr>
                <w:rFonts w:ascii="Century Gothic" w:hAnsi="Century Gothic"/>
              </w:rPr>
              <w:t xml:space="preserve">Commonwealth Environmental Water Holder </w:t>
            </w:r>
            <w:r w:rsidRPr="00EC7032">
              <w:rPr>
                <w:rFonts w:ascii="Century Gothic" w:hAnsi="Century Gothic"/>
              </w:rPr>
              <w:t xml:space="preserve"> conducted this trade, more than 320 additional Victorian Goulburn and Murray regulated river allocation trades were recorded, totalling 26 </w:t>
            </w:r>
            <w:r w:rsidR="007B262C" w:rsidRPr="00EC7032">
              <w:rPr>
                <w:rFonts w:ascii="Century Gothic" w:hAnsi="Century Gothic"/>
              </w:rPr>
              <w:t>gigalitres</w:t>
            </w:r>
            <w:r w:rsidRPr="00EC7032">
              <w:rPr>
                <w:rFonts w:ascii="Century Gothic" w:hAnsi="Century Gothic"/>
              </w:rPr>
              <w:t xml:space="preserve"> at a value weighted average price of $281 per </w:t>
            </w:r>
            <w:r w:rsidR="007B262C">
              <w:rPr>
                <w:rFonts w:ascii="Century Gothic" w:hAnsi="Century Gothic"/>
              </w:rPr>
              <w:t>megalitre</w:t>
            </w:r>
            <w:r w:rsidRPr="00EC7032">
              <w:rPr>
                <w:rFonts w:ascii="Century Gothic" w:hAnsi="Century Gothic"/>
              </w:rPr>
              <w:t xml:space="preserve">. This indicates that other sellers in the market were not negatively </w:t>
            </w:r>
            <w:r w:rsidR="003F5FCA">
              <w:rPr>
                <w:rFonts w:ascii="Century Gothic" w:hAnsi="Century Gothic"/>
              </w:rPr>
              <w:t xml:space="preserve">affected </w:t>
            </w:r>
            <w:r w:rsidRPr="00EC7032">
              <w:rPr>
                <w:rFonts w:ascii="Century Gothic" w:hAnsi="Century Gothic"/>
              </w:rPr>
              <w:t>by the sale of Commonwealth allocations as they received around the same market value for their water.</w:t>
            </w:r>
          </w:p>
        </w:tc>
      </w:tr>
    </w:tbl>
    <w:p w14:paraId="6C6502A7" w14:textId="77777777" w:rsidR="00C14C40" w:rsidRDefault="00C14C40" w:rsidP="00C14C40">
      <w:pPr>
        <w:pStyle w:val="Heading11"/>
        <w:numPr>
          <w:ilvl w:val="0"/>
          <w:numId w:val="0"/>
        </w:numPr>
        <w:spacing w:before="0" w:after="120"/>
        <w:ind w:left="357"/>
      </w:pPr>
      <w:bookmarkStart w:id="231" w:name="_Toc444088408"/>
      <w:bookmarkStart w:id="232" w:name="_Toc444088467"/>
      <w:bookmarkStart w:id="233" w:name="_Toc444088562"/>
      <w:bookmarkStart w:id="234" w:name="_Toc444088624"/>
      <w:bookmarkStart w:id="235" w:name="_Toc444091241"/>
      <w:bookmarkStart w:id="236" w:name="_Toc444091358"/>
      <w:bookmarkStart w:id="237" w:name="_Toc444091518"/>
      <w:bookmarkStart w:id="238" w:name="_Toc444247173"/>
      <w:bookmarkStart w:id="239" w:name="_Toc444247400"/>
      <w:bookmarkStart w:id="240" w:name="_Toc444258395"/>
      <w:bookmarkStart w:id="241" w:name="_Toc444259189"/>
      <w:bookmarkEnd w:id="231"/>
      <w:bookmarkEnd w:id="232"/>
      <w:bookmarkEnd w:id="233"/>
      <w:bookmarkEnd w:id="234"/>
      <w:bookmarkEnd w:id="235"/>
      <w:bookmarkEnd w:id="236"/>
      <w:bookmarkEnd w:id="237"/>
      <w:bookmarkEnd w:id="238"/>
      <w:bookmarkEnd w:id="239"/>
      <w:bookmarkEnd w:id="240"/>
      <w:bookmarkEnd w:id="241"/>
    </w:p>
    <w:p w14:paraId="6C6502A8" w14:textId="1BC5B274" w:rsidR="007A7A94" w:rsidRPr="00D37953" w:rsidRDefault="008C4671">
      <w:pPr>
        <w:pStyle w:val="Heading11"/>
        <w:spacing w:before="0" w:after="120"/>
      </w:pPr>
      <w:bookmarkStart w:id="242" w:name="_Toc517264667"/>
      <w:r w:rsidRPr="00D37953">
        <w:t>Investing in environmental activities</w:t>
      </w:r>
      <w:bookmarkEnd w:id="242"/>
    </w:p>
    <w:p w14:paraId="69DFCB00" w14:textId="0AC7B2ED" w:rsidR="001D2666" w:rsidRPr="001D2666" w:rsidRDefault="001D2666" w:rsidP="001D2666">
      <w:pPr>
        <w:pStyle w:val="ListBullet"/>
        <w:numPr>
          <w:ilvl w:val="0"/>
          <w:numId w:val="0"/>
        </w:numPr>
        <w:rPr>
          <w:rFonts w:ascii="Century Gothic" w:hAnsi="Century Gothic" w:cs="Calibri"/>
        </w:rPr>
      </w:pPr>
      <w:r w:rsidRPr="001D2666">
        <w:rPr>
          <w:rFonts w:ascii="Century Gothic" w:hAnsi="Century Gothic" w:cs="Calibri"/>
        </w:rPr>
        <w:t xml:space="preserve">Under the Water Act the </w:t>
      </w:r>
      <w:r w:rsidR="00857534">
        <w:rPr>
          <w:rFonts w:ascii="Century Gothic" w:hAnsi="Century Gothic" w:cs="Calibri"/>
        </w:rPr>
        <w:t>Commonwealth Environmental Water Holder</w:t>
      </w:r>
      <w:r w:rsidR="002B3E00">
        <w:rPr>
          <w:rFonts w:ascii="Century Gothic" w:hAnsi="Century Gothic" w:cs="Calibri"/>
        </w:rPr>
        <w:t xml:space="preserve"> </w:t>
      </w:r>
      <w:r w:rsidRPr="001D2666">
        <w:rPr>
          <w:rFonts w:ascii="Century Gothic" w:hAnsi="Century Gothic" w:cs="Calibri"/>
        </w:rPr>
        <w:t xml:space="preserve">has the flexibility to use the proceeds from the sale of water allocations to fund environmental activities in the Basin. ‘Environmental activities’ are not defined. However, the </w:t>
      </w:r>
      <w:r w:rsidR="00857534">
        <w:rPr>
          <w:rFonts w:ascii="Century Gothic" w:hAnsi="Century Gothic" w:cs="Calibri"/>
        </w:rPr>
        <w:t>Commonwealth Environmental Water Holder</w:t>
      </w:r>
      <w:r w:rsidR="002B3E00">
        <w:rPr>
          <w:rFonts w:ascii="Century Gothic" w:hAnsi="Century Gothic" w:cs="Calibri"/>
        </w:rPr>
        <w:t xml:space="preserve"> </w:t>
      </w:r>
      <w:r w:rsidRPr="001D2666">
        <w:rPr>
          <w:rFonts w:ascii="Century Gothic" w:hAnsi="Century Gothic" w:cs="Calibri"/>
        </w:rPr>
        <w:t>must have a reasonable belief before disposal that using proceeds for acquisitions or environmental activities would improve the capacity to meet the objectives of the Basin Plan environmental watering plan.</w:t>
      </w:r>
    </w:p>
    <w:p w14:paraId="497BAD38" w14:textId="77777777" w:rsidR="001D2666" w:rsidRPr="001D2666" w:rsidRDefault="001D2666" w:rsidP="001D2666">
      <w:pPr>
        <w:pStyle w:val="ListBullet"/>
        <w:numPr>
          <w:ilvl w:val="0"/>
          <w:numId w:val="0"/>
        </w:numPr>
        <w:rPr>
          <w:rFonts w:ascii="Century Gothic" w:hAnsi="Century Gothic" w:cs="Calibri"/>
        </w:rPr>
      </w:pPr>
      <w:r w:rsidRPr="001D2666">
        <w:rPr>
          <w:rFonts w:ascii="Century Gothic" w:hAnsi="Century Gothic" w:cs="Calibri"/>
        </w:rPr>
        <w:t>Environmental Activities must also be consistent with:</w:t>
      </w:r>
    </w:p>
    <w:p w14:paraId="28B11E9A" w14:textId="0E74129D" w:rsidR="001D2666" w:rsidRPr="001D2666" w:rsidRDefault="001D2666" w:rsidP="001D2666">
      <w:pPr>
        <w:pStyle w:val="ListBullet2"/>
        <w:numPr>
          <w:ilvl w:val="1"/>
          <w:numId w:val="119"/>
        </w:numPr>
        <w:spacing w:after="200" w:line="276" w:lineRule="auto"/>
        <w:ind w:left="567" w:hanging="567"/>
        <w:jc w:val="left"/>
        <w:rPr>
          <w:rFonts w:ascii="Century Gothic" w:hAnsi="Century Gothic" w:cs="Calibri"/>
        </w:rPr>
      </w:pPr>
      <w:r w:rsidRPr="001D2666">
        <w:rPr>
          <w:rFonts w:ascii="Century Gothic" w:hAnsi="Century Gothic" w:cs="Calibri"/>
        </w:rPr>
        <w:t xml:space="preserve">the </w:t>
      </w:r>
      <w:r w:rsidR="00857534">
        <w:rPr>
          <w:rFonts w:ascii="Century Gothic" w:hAnsi="Century Gothic" w:cs="Calibri"/>
        </w:rPr>
        <w:t xml:space="preserve">Commonwealth Environmental Water Holder </w:t>
      </w:r>
      <w:r w:rsidRPr="001D2666">
        <w:rPr>
          <w:rFonts w:ascii="Century Gothic" w:hAnsi="Century Gothic" w:cs="Calibri"/>
        </w:rPr>
        <w:t>’s obligation to exercise its functions to protect and restore environmental assets; and</w:t>
      </w:r>
    </w:p>
    <w:p w14:paraId="2DEFCAF2" w14:textId="4E17D7F1" w:rsidR="001D2666" w:rsidRPr="001D2666" w:rsidRDefault="001D2666" w:rsidP="001D2666">
      <w:pPr>
        <w:pStyle w:val="ListBullet2"/>
        <w:numPr>
          <w:ilvl w:val="1"/>
          <w:numId w:val="119"/>
        </w:numPr>
        <w:spacing w:after="200" w:line="276" w:lineRule="auto"/>
        <w:ind w:left="567" w:hanging="567"/>
        <w:jc w:val="left"/>
        <w:rPr>
          <w:rFonts w:ascii="Century Gothic" w:hAnsi="Century Gothic" w:cs="Calibri"/>
        </w:rPr>
      </w:pPr>
      <w:r w:rsidRPr="001D2666">
        <w:rPr>
          <w:rFonts w:ascii="Century Gothic" w:hAnsi="Century Gothic" w:cs="Calibri"/>
        </w:rPr>
        <w:t xml:space="preserve">the requirement to use Special Account funds (including trade proceeds) to cover costs incurred in the performance of the </w:t>
      </w:r>
      <w:r w:rsidR="00857534">
        <w:rPr>
          <w:rFonts w:ascii="Century Gothic" w:hAnsi="Century Gothic" w:cs="Calibri"/>
        </w:rPr>
        <w:t>Commonwealth Environmental Water Holder</w:t>
      </w:r>
      <w:r w:rsidR="002B3E00">
        <w:rPr>
          <w:rFonts w:ascii="Century Gothic" w:hAnsi="Century Gothic" w:cs="Calibri"/>
        </w:rPr>
        <w:t>’</w:t>
      </w:r>
      <w:r w:rsidRPr="001D2666">
        <w:rPr>
          <w:rFonts w:ascii="Century Gothic" w:hAnsi="Century Gothic" w:cs="Calibri"/>
        </w:rPr>
        <w:t>s functions.</w:t>
      </w:r>
    </w:p>
    <w:p w14:paraId="6C6502AC" w14:textId="0EFC0783" w:rsidR="007A7A94" w:rsidRDefault="001D2666" w:rsidP="001D2666">
      <w:pPr>
        <w:rPr>
          <w:rFonts w:ascii="Century Gothic" w:hAnsi="Century Gothic"/>
        </w:rPr>
      </w:pPr>
      <w:r w:rsidRPr="001D2666">
        <w:rPr>
          <w:rFonts w:ascii="Century Gothic" w:hAnsi="Century Gothic" w:cs="Calibri"/>
        </w:rPr>
        <w:t xml:space="preserve">The </w:t>
      </w:r>
      <w:r w:rsidR="00857534">
        <w:rPr>
          <w:rFonts w:ascii="Century Gothic" w:hAnsi="Century Gothic" w:cs="Calibri"/>
        </w:rPr>
        <w:t>Commonwealth Environmental Water Holder</w:t>
      </w:r>
      <w:r w:rsidR="002B3E00">
        <w:rPr>
          <w:rFonts w:ascii="Century Gothic" w:hAnsi="Century Gothic" w:cs="Calibri"/>
        </w:rPr>
        <w:t xml:space="preserve"> </w:t>
      </w:r>
      <w:r w:rsidRPr="001D2666">
        <w:rPr>
          <w:rFonts w:ascii="Century Gothic" w:hAnsi="Century Gothic" w:cs="Calibri"/>
        </w:rPr>
        <w:t>is in the process of developing an Investment Framework to guide decisions on what types of environmental activities may be considered when investing the proceeds from the sale of environmental water allocations.</w:t>
      </w:r>
      <w:r w:rsidR="00BA4334" w:rsidRPr="00BA4334">
        <w:rPr>
          <w:rFonts w:ascii="Century Gothic" w:hAnsi="Century Gothic"/>
        </w:rPr>
        <w:t xml:space="preserve"> </w:t>
      </w:r>
      <w:r w:rsidR="0010374D">
        <w:rPr>
          <w:rFonts w:ascii="Century Gothic" w:hAnsi="Century Gothic"/>
        </w:rPr>
        <w:br w:type="page"/>
      </w:r>
    </w:p>
    <w:p w14:paraId="6C6502AD" w14:textId="78BF55D3" w:rsidR="007A7A94" w:rsidRDefault="00F028C6">
      <w:pPr>
        <w:pStyle w:val="Heading1"/>
        <w:spacing w:after="120"/>
      </w:pPr>
      <w:bookmarkStart w:id="243" w:name="_Toc444088410"/>
      <w:bookmarkStart w:id="244" w:name="_Toc444088469"/>
      <w:bookmarkStart w:id="245" w:name="_Toc444088564"/>
      <w:bookmarkStart w:id="246" w:name="_Toc444088626"/>
      <w:bookmarkStart w:id="247" w:name="_Toc444091243"/>
      <w:bookmarkStart w:id="248" w:name="_Toc444091360"/>
      <w:bookmarkStart w:id="249" w:name="_Toc444091520"/>
      <w:bookmarkStart w:id="250" w:name="_Toc444247402"/>
      <w:bookmarkStart w:id="251" w:name="_Toc517264668"/>
      <w:bookmarkEnd w:id="243"/>
      <w:bookmarkEnd w:id="244"/>
      <w:bookmarkEnd w:id="245"/>
      <w:bookmarkEnd w:id="246"/>
      <w:bookmarkEnd w:id="247"/>
      <w:bookmarkEnd w:id="248"/>
      <w:bookmarkEnd w:id="249"/>
      <w:bookmarkEnd w:id="250"/>
      <w:r w:rsidRPr="0022362D">
        <w:lastRenderedPageBreak/>
        <w:t>Monitoring and Evaluation</w:t>
      </w:r>
      <w:bookmarkEnd w:id="251"/>
    </w:p>
    <w:p w14:paraId="6C6502AE" w14:textId="77777777" w:rsidR="00B17604" w:rsidRDefault="00E47462">
      <w:pPr>
        <w:pStyle w:val="Default"/>
        <w:spacing w:after="120"/>
        <w:jc w:val="both"/>
        <w:rPr>
          <w:rFonts w:ascii="Century Gothic" w:hAnsi="Century Gothic"/>
          <w:color w:val="auto"/>
          <w:sz w:val="20"/>
          <w:szCs w:val="20"/>
        </w:rPr>
      </w:pPr>
      <w:r w:rsidRPr="00BE31EB">
        <w:rPr>
          <w:rFonts w:ascii="Century Gothic" w:hAnsi="Century Gothic"/>
          <w:sz w:val="20"/>
          <w:szCs w:val="20"/>
        </w:rPr>
        <w:t xml:space="preserve">Monitoring and evaluation of Commonwealth environmental water use is undertaken in accordance with the Monitoring, Evaluation, Reporting and Improvement Framework, available on the Office’s website at: </w:t>
      </w:r>
      <w:hyperlink r:id="rId33" w:history="1">
        <w:r w:rsidR="00281DEF" w:rsidRPr="002B6397">
          <w:rPr>
            <w:rStyle w:val="Hyperlink"/>
            <w:rFonts w:ascii="Century Gothic" w:hAnsi="Century Gothic"/>
            <w:sz w:val="20"/>
            <w:szCs w:val="20"/>
          </w:rPr>
          <w:t>www.environment.gov.au/water/cewo/monitoring</w:t>
        </w:r>
      </w:hyperlink>
      <w:r w:rsidRPr="00BE31EB">
        <w:rPr>
          <w:rFonts w:ascii="Century Gothic" w:hAnsi="Century Gothic"/>
          <w:sz w:val="20"/>
          <w:szCs w:val="20"/>
        </w:rPr>
        <w:t>.  T</w:t>
      </w:r>
      <w:r w:rsidRPr="00BE31EB">
        <w:rPr>
          <w:rFonts w:ascii="Century Gothic" w:hAnsi="Century Gothic"/>
          <w:color w:val="auto"/>
          <w:sz w:val="20"/>
          <w:szCs w:val="20"/>
        </w:rPr>
        <w:t xml:space="preserve">he framework is a high level document that provides overarching guidance for the development and implementation of monitoring and evaluation activities. </w:t>
      </w:r>
    </w:p>
    <w:p w14:paraId="6C6502AF" w14:textId="77777777" w:rsidR="00B17604" w:rsidRDefault="00E47462">
      <w:pPr>
        <w:pStyle w:val="Figure1"/>
        <w:spacing w:after="120"/>
      </w:pPr>
      <w:r w:rsidRPr="00BE31EB">
        <w:t>Consistent with the role under the Water Act</w:t>
      </w:r>
      <w:r w:rsidRPr="00A55B12">
        <w:t xml:space="preserve"> and Basin Plan, monitoring and evaluation that the Office puts in place will focus on the environmental response to </w:t>
      </w:r>
      <w:r>
        <w:t xml:space="preserve">the use of </w:t>
      </w:r>
      <w:r w:rsidRPr="00A55B12">
        <w:t>Commonwealth environmental water</w:t>
      </w:r>
      <w:r>
        <w:t>, or what is known as intervention monitoring</w:t>
      </w:r>
      <w:r w:rsidRPr="00A55B12">
        <w:t>. How intervention monitoring of Commonwealth environmental water fits in with operational monitoring and broad scale monitoring under the Basin Plan is shown in</w:t>
      </w:r>
      <w:r w:rsidR="007906F4">
        <w:t xml:space="preserve"> </w:t>
      </w:r>
      <w:r w:rsidR="002E3CDD">
        <w:t>Figure 6</w:t>
      </w:r>
      <w:r w:rsidRPr="00A55B12">
        <w:t>.</w:t>
      </w:r>
      <w:r>
        <w:t xml:space="preserve"> </w:t>
      </w:r>
    </w:p>
    <w:p w14:paraId="6C6502B0" w14:textId="77777777" w:rsidR="007A7A94" w:rsidRDefault="00252EF4">
      <w:pPr>
        <w:pStyle w:val="Caption"/>
        <w:jc w:val="left"/>
        <w:rPr>
          <w:rFonts w:ascii="Century Gothic" w:hAnsi="Century Gothic"/>
        </w:rPr>
      </w:pPr>
      <w:r>
        <w:rPr>
          <w:rFonts w:ascii="Century Gothic" w:hAnsi="Century Gothic"/>
          <w:noProof/>
        </w:rPr>
        <w:drawing>
          <wp:inline distT="0" distB="0" distL="0" distR="0" wp14:anchorId="6C650340" wp14:editId="6C650341">
            <wp:extent cx="5798042" cy="4381697"/>
            <wp:effectExtent l="0" t="0" r="0" b="0"/>
            <wp:docPr id="87" name="Picture 87" descr="This figure shows how the temporal environmental water planning hierarchy in the Basin relates to different types of monitoring activities. Annual water use, carryover and trade options relate to operational and intervention monitoring activities of selected watering actions. Operational monitoring is generally undertaken by delivery partners while intervention monitoring for Commonwealth environmental water is undertaken by the Commonwealth Environmental Water Office. Development of the long-term watering plans by state governments relates to on-going intervention monitoring activities including those established by the Commonwealth Environmental Water Office, as well as long-term monitoring of environmental assets by states. The Basin Plan relates to program monitoring, which includes broad-scale ecological monitoring by the Murray-Darling Basin Authority across the Basin, over time scales greater than 5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4" cstate="print"/>
                    <a:srcRect/>
                    <a:stretch>
                      <a:fillRect/>
                    </a:stretch>
                  </pic:blipFill>
                  <pic:spPr bwMode="auto">
                    <a:xfrm>
                      <a:off x="0" y="0"/>
                      <a:ext cx="5798042" cy="4381697"/>
                    </a:xfrm>
                    <a:prstGeom prst="rect">
                      <a:avLst/>
                    </a:prstGeom>
                    <a:noFill/>
                  </pic:spPr>
                </pic:pic>
              </a:graphicData>
            </a:graphic>
          </wp:inline>
        </w:drawing>
      </w:r>
    </w:p>
    <w:p w14:paraId="6C6502B1" w14:textId="77777777" w:rsidR="007A7A94" w:rsidRDefault="004543FB">
      <w:pPr>
        <w:spacing w:after="120"/>
        <w:rPr>
          <w:lang w:val="en-GB" w:eastAsia="en-US"/>
        </w:rPr>
      </w:pPr>
      <w:r w:rsidRPr="004543FB">
        <w:rPr>
          <w:rFonts w:ascii="Century Gothic" w:hAnsi="Century Gothic"/>
          <w:b/>
        </w:rPr>
        <w:t xml:space="preserve">Figure </w:t>
      </w:r>
      <w:r w:rsidR="00D848C1" w:rsidRPr="004543FB">
        <w:rPr>
          <w:rFonts w:ascii="Century Gothic" w:hAnsi="Century Gothic"/>
          <w:b/>
        </w:rPr>
        <w:fldChar w:fldCharType="begin"/>
      </w:r>
      <w:r w:rsidRPr="004543FB">
        <w:rPr>
          <w:rFonts w:ascii="Century Gothic" w:hAnsi="Century Gothic"/>
          <w:b/>
        </w:rPr>
        <w:instrText xml:space="preserve"> SEQ Figure \* ARABIC </w:instrText>
      </w:r>
      <w:r w:rsidR="00D848C1" w:rsidRPr="004543FB">
        <w:rPr>
          <w:rFonts w:ascii="Century Gothic" w:hAnsi="Century Gothic"/>
          <w:b/>
        </w:rPr>
        <w:fldChar w:fldCharType="separate"/>
      </w:r>
      <w:r w:rsidR="00A6387E">
        <w:rPr>
          <w:rFonts w:ascii="Century Gothic" w:hAnsi="Century Gothic"/>
          <w:b/>
          <w:noProof/>
        </w:rPr>
        <w:t>6</w:t>
      </w:r>
      <w:r w:rsidR="00D848C1" w:rsidRPr="004543FB">
        <w:rPr>
          <w:rFonts w:ascii="Century Gothic" w:hAnsi="Century Gothic"/>
          <w:b/>
        </w:rPr>
        <w:fldChar w:fldCharType="end"/>
      </w:r>
      <w:r w:rsidRPr="004543FB">
        <w:rPr>
          <w:rFonts w:ascii="Century Gothic" w:hAnsi="Century Gothic"/>
          <w:b/>
        </w:rPr>
        <w:t>:</w:t>
      </w:r>
      <w:r w:rsidR="008B6031" w:rsidRPr="007906F4">
        <w:rPr>
          <w:rFonts w:ascii="Century Gothic" w:hAnsi="Century Gothic"/>
        </w:rPr>
        <w:t xml:space="preserve"> Operational and broad-scale monitoring under the Basin Plan</w:t>
      </w:r>
    </w:p>
    <w:p w14:paraId="6C6502B2" w14:textId="77777777" w:rsidR="007A7A94" w:rsidRDefault="00E47462">
      <w:pPr>
        <w:pStyle w:val="Heading6"/>
        <w:spacing w:after="120"/>
      </w:pPr>
      <w:bookmarkStart w:id="252" w:name="_Toc420502910"/>
      <w:bookmarkStart w:id="253" w:name="_Toc420502949"/>
      <w:bookmarkStart w:id="254" w:name="_Toc420926950"/>
      <w:bookmarkStart w:id="255" w:name="_Toc422389633"/>
      <w:bookmarkStart w:id="256" w:name="_Toc444088412"/>
      <w:bookmarkStart w:id="257" w:name="_Toc444088471"/>
      <w:bookmarkStart w:id="258" w:name="_Toc444088566"/>
      <w:bookmarkStart w:id="259" w:name="_Toc444088628"/>
      <w:bookmarkStart w:id="260" w:name="_Toc444091245"/>
      <w:bookmarkStart w:id="261" w:name="_Toc444091362"/>
      <w:bookmarkStart w:id="262" w:name="_Toc444091522"/>
      <w:bookmarkStart w:id="263" w:name="_Toc444247176"/>
      <w:bookmarkStart w:id="264" w:name="_Toc444247404"/>
      <w:bookmarkEnd w:id="252"/>
      <w:bookmarkEnd w:id="253"/>
      <w:bookmarkEnd w:id="254"/>
      <w:bookmarkEnd w:id="255"/>
      <w:bookmarkEnd w:id="256"/>
      <w:bookmarkEnd w:id="257"/>
      <w:bookmarkEnd w:id="258"/>
      <w:bookmarkEnd w:id="259"/>
      <w:bookmarkEnd w:id="260"/>
      <w:bookmarkEnd w:id="261"/>
      <w:bookmarkEnd w:id="262"/>
      <w:bookmarkEnd w:id="263"/>
      <w:bookmarkEnd w:id="264"/>
      <w:r w:rsidRPr="006C2670">
        <w:t>Operational monitoring</w:t>
      </w:r>
    </w:p>
    <w:p w14:paraId="6C6502B3" w14:textId="077A4105" w:rsidR="007A7A94" w:rsidRDefault="00E47462">
      <w:pPr>
        <w:spacing w:after="120"/>
        <w:rPr>
          <w:lang w:val="en-GB" w:eastAsia="en-US"/>
        </w:rPr>
      </w:pPr>
      <w:r w:rsidRPr="009814D8">
        <w:rPr>
          <w:rFonts w:ascii="Century Gothic" w:hAnsi="Century Gothic"/>
        </w:rPr>
        <w:t>Operational monitoring is monitoring that helps assess whether water has been delivered as planned (e.g. the volumes, timing (frequency and duration), location and flow rates of water delivered) and at a high level can include immediate environmental responses. Operational monitoring also helps to manage unintended consequences. Operational monitoring is</w:t>
      </w:r>
      <w:r w:rsidR="00D11401" w:rsidRPr="009814D8">
        <w:rPr>
          <w:rFonts w:ascii="Century Gothic" w:hAnsi="Century Gothic"/>
        </w:rPr>
        <w:t xml:space="preserve"> undertaken for all watering actions,</w:t>
      </w:r>
      <w:r w:rsidRPr="009814D8">
        <w:rPr>
          <w:rFonts w:ascii="Century Gothic" w:hAnsi="Century Gothic"/>
        </w:rPr>
        <w:t xml:space="preserve"> mostly by delivery partners in conjunction with the </w:t>
      </w:r>
      <w:r w:rsidR="00857534">
        <w:rPr>
          <w:rFonts w:ascii="Century Gothic" w:hAnsi="Century Gothic"/>
        </w:rPr>
        <w:t>Commonwealth Environmental Water Office</w:t>
      </w:r>
      <w:r w:rsidRPr="009814D8">
        <w:rPr>
          <w:rFonts w:ascii="Century Gothic" w:hAnsi="Century Gothic"/>
        </w:rPr>
        <w:t xml:space="preserve">. </w:t>
      </w:r>
    </w:p>
    <w:p w14:paraId="6C6502B4" w14:textId="77777777" w:rsidR="007A7A94" w:rsidRDefault="00E47462">
      <w:pPr>
        <w:pStyle w:val="Heading6"/>
        <w:spacing w:after="120"/>
      </w:pPr>
      <w:bookmarkStart w:id="265" w:name="_Toc444259192"/>
      <w:bookmarkEnd w:id="265"/>
      <w:r w:rsidRPr="006C2670">
        <w:t xml:space="preserve">Intervention </w:t>
      </w:r>
      <w:r w:rsidRPr="003D0A27">
        <w:t>monitoring</w:t>
      </w:r>
    </w:p>
    <w:p w14:paraId="6C6502B5" w14:textId="26D8A87F" w:rsidR="00B17604" w:rsidRDefault="00E47462">
      <w:pPr>
        <w:spacing w:after="120"/>
        <w:rPr>
          <w:rFonts w:ascii="Century Gothic" w:hAnsi="Century Gothic"/>
        </w:rPr>
      </w:pPr>
      <w:r>
        <w:rPr>
          <w:rFonts w:ascii="Century Gothic" w:hAnsi="Century Gothic"/>
        </w:rPr>
        <w:t xml:space="preserve">Intervention monitoring is monitoring </w:t>
      </w:r>
      <w:r w:rsidR="00D11401">
        <w:rPr>
          <w:rFonts w:ascii="Century Gothic" w:hAnsi="Century Gothic"/>
        </w:rPr>
        <w:t>that</w:t>
      </w:r>
      <w:r>
        <w:rPr>
          <w:rFonts w:ascii="Century Gothic" w:hAnsi="Century Gothic"/>
        </w:rPr>
        <w:t xml:space="preserve"> supports an assessment of the ecological response to water use. </w:t>
      </w:r>
      <w:r w:rsidRPr="00A55B12">
        <w:rPr>
          <w:rFonts w:ascii="Century Gothic" w:hAnsi="Century Gothic"/>
        </w:rPr>
        <w:t xml:space="preserve">The </w:t>
      </w:r>
      <w:r w:rsidR="00857534">
        <w:rPr>
          <w:rFonts w:ascii="Century Gothic" w:hAnsi="Century Gothic"/>
        </w:rPr>
        <w:t>Commonwealth Environmental Water Office</w:t>
      </w:r>
      <w:r w:rsidRPr="00A55B12">
        <w:rPr>
          <w:rFonts w:ascii="Century Gothic" w:hAnsi="Century Gothic"/>
        </w:rPr>
        <w:t xml:space="preserve"> commissions intervention monitoring of selected watering actions to:</w:t>
      </w:r>
    </w:p>
    <w:p w14:paraId="6C6502B6" w14:textId="77777777" w:rsidR="00B17604" w:rsidRDefault="00E47462" w:rsidP="00BC0CD5">
      <w:pPr>
        <w:pStyle w:val="ListBullet"/>
        <w:numPr>
          <w:ilvl w:val="0"/>
          <w:numId w:val="8"/>
        </w:numPr>
        <w:spacing w:after="120"/>
        <w:jc w:val="left"/>
        <w:rPr>
          <w:rFonts w:ascii="Century Gothic" w:hAnsi="Century Gothic"/>
        </w:rPr>
      </w:pPr>
      <w:r w:rsidRPr="00A55B12">
        <w:rPr>
          <w:rFonts w:ascii="Century Gothic" w:hAnsi="Century Gothic"/>
        </w:rPr>
        <w:t xml:space="preserve">demonstrate that Commonwealth environmental water is being managed well </w:t>
      </w:r>
    </w:p>
    <w:p w14:paraId="6C6502B7" w14:textId="77777777" w:rsidR="00B17604" w:rsidRDefault="00E47462" w:rsidP="00BC0CD5">
      <w:pPr>
        <w:pStyle w:val="ListBullet"/>
        <w:numPr>
          <w:ilvl w:val="0"/>
          <w:numId w:val="8"/>
        </w:numPr>
        <w:spacing w:after="120"/>
        <w:jc w:val="left"/>
        <w:rPr>
          <w:rFonts w:ascii="Century Gothic" w:hAnsi="Century Gothic"/>
        </w:rPr>
      </w:pPr>
      <w:r w:rsidRPr="00A55B12">
        <w:rPr>
          <w:rFonts w:ascii="Century Gothic" w:hAnsi="Century Gothic"/>
        </w:rPr>
        <w:t>dem</w:t>
      </w:r>
      <w:r>
        <w:rPr>
          <w:rFonts w:ascii="Century Gothic" w:hAnsi="Century Gothic"/>
        </w:rPr>
        <w:t>onstrate environmental outcomes</w:t>
      </w:r>
    </w:p>
    <w:p w14:paraId="6C6502B8" w14:textId="77777777" w:rsidR="00B17604" w:rsidRDefault="00E47462" w:rsidP="00BC0CD5">
      <w:pPr>
        <w:pStyle w:val="ListBullet"/>
        <w:numPr>
          <w:ilvl w:val="0"/>
          <w:numId w:val="8"/>
        </w:numPr>
        <w:spacing w:after="120"/>
        <w:jc w:val="left"/>
        <w:rPr>
          <w:rFonts w:ascii="Century Gothic" w:hAnsi="Century Gothic"/>
        </w:rPr>
      </w:pPr>
      <w:r w:rsidRPr="00A55B12">
        <w:rPr>
          <w:rFonts w:ascii="Century Gothic" w:hAnsi="Century Gothic"/>
        </w:rPr>
        <w:lastRenderedPageBreak/>
        <w:t xml:space="preserve">help managers of environmental water learn from experience and improve the delivery of water over time. </w:t>
      </w:r>
    </w:p>
    <w:p w14:paraId="6C6502B9" w14:textId="5289DCD3" w:rsidR="00B17604" w:rsidRDefault="00E47462">
      <w:pPr>
        <w:spacing w:after="120"/>
        <w:rPr>
          <w:rFonts w:ascii="Century Gothic" w:hAnsi="Century Gothic" w:cs="Arial"/>
        </w:rPr>
      </w:pPr>
      <w:r w:rsidRPr="00A55B12">
        <w:rPr>
          <w:rFonts w:ascii="Century Gothic" w:hAnsi="Century Gothic"/>
        </w:rPr>
        <w:t xml:space="preserve">The </w:t>
      </w:r>
      <w:r w:rsidR="00857534">
        <w:rPr>
          <w:rFonts w:ascii="Century Gothic" w:hAnsi="Century Gothic"/>
        </w:rPr>
        <w:t>Commonwealth Environmental Water Office</w:t>
      </w:r>
      <w:r w:rsidRPr="00A55B12">
        <w:rPr>
          <w:rFonts w:ascii="Century Gothic" w:hAnsi="Century Gothic"/>
        </w:rPr>
        <w:t xml:space="preserve"> </w:t>
      </w:r>
      <w:r>
        <w:rPr>
          <w:rFonts w:ascii="Century Gothic" w:hAnsi="Century Gothic"/>
        </w:rPr>
        <w:t>has established</w:t>
      </w:r>
      <w:r w:rsidRPr="00A55B12">
        <w:rPr>
          <w:rFonts w:ascii="Century Gothic" w:hAnsi="Century Gothic"/>
        </w:rPr>
        <w:t xml:space="preserve"> long-term intervention monitoring at selected areas within the Murray-Darling Basin</w:t>
      </w:r>
      <w:r>
        <w:rPr>
          <w:rFonts w:ascii="Century Gothic" w:hAnsi="Century Gothic"/>
        </w:rPr>
        <w:t xml:space="preserve"> that commenced in 2014–15</w:t>
      </w:r>
      <w:r w:rsidRPr="00A55B12">
        <w:rPr>
          <w:rFonts w:ascii="Century Gothic" w:hAnsi="Century Gothic"/>
        </w:rPr>
        <w:t xml:space="preserve">. The approach has a sound scientific basis that will allow us to translate the results of monitoring to other areas and identify the contribution to Basin Plan objectives. The </w:t>
      </w:r>
      <w:r w:rsidRPr="00E03D80">
        <w:rPr>
          <w:rFonts w:ascii="Century Gothic" w:hAnsi="Century Gothic"/>
        </w:rPr>
        <w:t xml:space="preserve">seven areas </w:t>
      </w:r>
      <w:r>
        <w:rPr>
          <w:rFonts w:ascii="Century Gothic" w:hAnsi="Century Gothic"/>
        </w:rPr>
        <w:t xml:space="preserve">where monitoring </w:t>
      </w:r>
      <w:r w:rsidR="00385716">
        <w:rPr>
          <w:rFonts w:ascii="Century Gothic" w:hAnsi="Century Gothic"/>
        </w:rPr>
        <w:t>is being</w:t>
      </w:r>
      <w:r>
        <w:rPr>
          <w:rFonts w:ascii="Century Gothic" w:hAnsi="Century Gothic"/>
        </w:rPr>
        <w:t xml:space="preserve"> undertaken </w:t>
      </w:r>
      <w:r w:rsidR="001409E5">
        <w:rPr>
          <w:rFonts w:ascii="Century Gothic" w:hAnsi="Century Gothic"/>
        </w:rPr>
        <w:t>are</w:t>
      </w:r>
      <w:r w:rsidR="00871FBD">
        <w:rPr>
          <w:rFonts w:ascii="Century Gothic" w:hAnsi="Century Gothic"/>
        </w:rPr>
        <w:t xml:space="preserve"> listed below.</w:t>
      </w:r>
    </w:p>
    <w:p w14:paraId="6C6502BA" w14:textId="77777777" w:rsidR="007A7A94" w:rsidRDefault="00E47462">
      <w:pPr>
        <w:pStyle w:val="ListBullet"/>
        <w:numPr>
          <w:ilvl w:val="0"/>
          <w:numId w:val="8"/>
        </w:numPr>
        <w:spacing w:after="120"/>
        <w:jc w:val="left"/>
        <w:rPr>
          <w:rFonts w:ascii="Century Gothic" w:hAnsi="Century Gothic"/>
        </w:rPr>
      </w:pPr>
      <w:r w:rsidRPr="00A55B12">
        <w:rPr>
          <w:rFonts w:ascii="Century Gothic" w:hAnsi="Century Gothic"/>
        </w:rPr>
        <w:t xml:space="preserve">Gwydir </w:t>
      </w:r>
      <w:r>
        <w:rPr>
          <w:rFonts w:ascii="Century Gothic" w:hAnsi="Century Gothic"/>
        </w:rPr>
        <w:t>River system</w:t>
      </w:r>
      <w:r w:rsidRPr="00A55B12">
        <w:rPr>
          <w:rFonts w:ascii="Century Gothic" w:hAnsi="Century Gothic"/>
        </w:rPr>
        <w:t xml:space="preserve"> (wetlands and floodplains) </w:t>
      </w:r>
      <w:hyperlink r:id="rId35" w:history="1">
        <w:r w:rsidR="006941ED" w:rsidRPr="006941ED">
          <w:rPr>
            <w:rStyle w:val="Hyperlink"/>
            <w:rFonts w:ascii="Century Gothic" w:hAnsi="Century Gothic"/>
          </w:rPr>
          <w:t>http://www.environment.gov.au/water/cewo/catchment/gwydir/monitoring</w:t>
        </w:r>
      </w:hyperlink>
    </w:p>
    <w:p w14:paraId="6C6502BB" w14:textId="77777777" w:rsidR="007A7A94" w:rsidRDefault="00E47462">
      <w:pPr>
        <w:pStyle w:val="ListBullet"/>
        <w:numPr>
          <w:ilvl w:val="0"/>
          <w:numId w:val="8"/>
        </w:numPr>
        <w:spacing w:after="120"/>
        <w:jc w:val="left"/>
        <w:rPr>
          <w:rFonts w:ascii="Century Gothic" w:hAnsi="Century Gothic"/>
        </w:rPr>
      </w:pPr>
      <w:r w:rsidRPr="00A55B12">
        <w:rPr>
          <w:rFonts w:ascii="Century Gothic" w:hAnsi="Century Gothic"/>
        </w:rPr>
        <w:t xml:space="preserve">Lachlan </w:t>
      </w:r>
      <w:r>
        <w:rPr>
          <w:rFonts w:ascii="Century Gothic" w:hAnsi="Century Gothic"/>
        </w:rPr>
        <w:t>R</w:t>
      </w:r>
      <w:r w:rsidRPr="00A55B12">
        <w:rPr>
          <w:rFonts w:ascii="Century Gothic" w:hAnsi="Century Gothic"/>
        </w:rPr>
        <w:t xml:space="preserve">iver system (in-stream and on fringing wetlands) </w:t>
      </w:r>
      <w:hyperlink r:id="rId36" w:history="1">
        <w:r w:rsidR="006941ED" w:rsidRPr="006941ED">
          <w:rPr>
            <w:rStyle w:val="Hyperlink"/>
            <w:rFonts w:ascii="Century Gothic" w:hAnsi="Century Gothic"/>
          </w:rPr>
          <w:t>http://www.environment.gov.au/water/cewo/catchment/lachlan/monitoring</w:t>
        </w:r>
      </w:hyperlink>
    </w:p>
    <w:p w14:paraId="6C6502BC" w14:textId="77777777" w:rsidR="007A7A94" w:rsidRDefault="00E47462">
      <w:pPr>
        <w:pStyle w:val="ListBullet"/>
        <w:numPr>
          <w:ilvl w:val="0"/>
          <w:numId w:val="8"/>
        </w:numPr>
        <w:spacing w:after="120"/>
        <w:jc w:val="left"/>
        <w:rPr>
          <w:rFonts w:ascii="Century Gothic" w:hAnsi="Century Gothic"/>
        </w:rPr>
      </w:pPr>
      <w:r w:rsidRPr="00A55B12">
        <w:rPr>
          <w:rFonts w:ascii="Century Gothic" w:hAnsi="Century Gothic"/>
        </w:rPr>
        <w:t xml:space="preserve">Murrumbidgee </w:t>
      </w:r>
      <w:r>
        <w:rPr>
          <w:rFonts w:ascii="Century Gothic" w:hAnsi="Century Gothic"/>
        </w:rPr>
        <w:t>River system</w:t>
      </w:r>
      <w:r w:rsidRPr="00A55B12">
        <w:rPr>
          <w:rFonts w:ascii="Century Gothic" w:hAnsi="Century Gothic"/>
        </w:rPr>
        <w:t xml:space="preserve"> (in-stream, on fringing wetlands and floodplains) </w:t>
      </w:r>
      <w:hyperlink r:id="rId37" w:history="1">
        <w:r w:rsidR="006941ED" w:rsidRPr="006941ED">
          <w:rPr>
            <w:rStyle w:val="Hyperlink"/>
            <w:rFonts w:ascii="Century Gothic" w:hAnsi="Century Gothic"/>
          </w:rPr>
          <w:t>http://www.environment.gov.au/water/cewo/catchment/murrumbidgee/monitoring</w:t>
        </w:r>
      </w:hyperlink>
    </w:p>
    <w:p w14:paraId="6C6502BD" w14:textId="77777777" w:rsidR="007A7A94" w:rsidRDefault="00E47462">
      <w:pPr>
        <w:pStyle w:val="ListBullet"/>
        <w:numPr>
          <w:ilvl w:val="0"/>
          <w:numId w:val="8"/>
        </w:numPr>
        <w:spacing w:after="120"/>
        <w:jc w:val="left"/>
        <w:rPr>
          <w:rFonts w:ascii="Century Gothic" w:hAnsi="Century Gothic"/>
        </w:rPr>
      </w:pPr>
      <w:r w:rsidRPr="00A55B12">
        <w:rPr>
          <w:rFonts w:ascii="Century Gothic" w:hAnsi="Century Gothic"/>
        </w:rPr>
        <w:t xml:space="preserve">Edward-Wakool </w:t>
      </w:r>
      <w:r>
        <w:rPr>
          <w:rFonts w:ascii="Century Gothic" w:hAnsi="Century Gothic"/>
        </w:rPr>
        <w:t>R</w:t>
      </w:r>
      <w:r w:rsidRPr="00A55B12">
        <w:rPr>
          <w:rFonts w:ascii="Century Gothic" w:hAnsi="Century Gothic"/>
        </w:rPr>
        <w:t xml:space="preserve">iver system (in-stream and on fringing wetlands) </w:t>
      </w:r>
      <w:hyperlink r:id="rId38" w:history="1">
        <w:r w:rsidR="006941ED" w:rsidRPr="006941ED">
          <w:rPr>
            <w:rStyle w:val="Hyperlink"/>
            <w:rFonts w:ascii="Century Gothic" w:hAnsi="Century Gothic"/>
          </w:rPr>
          <w:t>http://www.environment.gov.au/water/cewo/catchment/mid-murray/monitoring</w:t>
        </w:r>
      </w:hyperlink>
    </w:p>
    <w:p w14:paraId="6C6502BE" w14:textId="77777777" w:rsidR="007A7A94" w:rsidRDefault="00E47462">
      <w:pPr>
        <w:pStyle w:val="ListBullet"/>
        <w:numPr>
          <w:ilvl w:val="0"/>
          <w:numId w:val="8"/>
        </w:numPr>
        <w:spacing w:after="120"/>
        <w:jc w:val="left"/>
        <w:rPr>
          <w:rFonts w:ascii="Century Gothic" w:hAnsi="Century Gothic"/>
        </w:rPr>
      </w:pPr>
      <w:r>
        <w:rPr>
          <w:rFonts w:ascii="Century Gothic" w:hAnsi="Century Gothic"/>
        </w:rPr>
        <w:t>Goulburn R</w:t>
      </w:r>
      <w:r w:rsidRPr="00A55B12">
        <w:rPr>
          <w:rFonts w:ascii="Century Gothic" w:hAnsi="Century Gothic"/>
        </w:rPr>
        <w:t xml:space="preserve">iver (in-stream) </w:t>
      </w:r>
      <w:hyperlink r:id="rId39" w:history="1">
        <w:r w:rsidR="006941ED" w:rsidRPr="004B2910">
          <w:rPr>
            <w:rStyle w:val="Hyperlink"/>
            <w:rFonts w:ascii="Century Gothic" w:hAnsi="Century Gothic"/>
          </w:rPr>
          <w:t>http://www.environment.gov.au/water/cewo/catchment/northern-victorian-rivers/monitoring</w:t>
        </w:r>
      </w:hyperlink>
    </w:p>
    <w:p w14:paraId="6C6502BF" w14:textId="77777777" w:rsidR="007A7A94" w:rsidRDefault="00E47462">
      <w:pPr>
        <w:pStyle w:val="ListBullet"/>
        <w:numPr>
          <w:ilvl w:val="0"/>
          <w:numId w:val="8"/>
        </w:numPr>
        <w:spacing w:after="120"/>
        <w:jc w:val="left"/>
        <w:rPr>
          <w:rFonts w:ascii="Century Gothic" w:hAnsi="Century Gothic"/>
        </w:rPr>
      </w:pPr>
      <w:r>
        <w:rPr>
          <w:rFonts w:ascii="Century Gothic" w:hAnsi="Century Gothic"/>
        </w:rPr>
        <w:t xml:space="preserve">Lower </w:t>
      </w:r>
      <w:r w:rsidRPr="00A55B12">
        <w:rPr>
          <w:rFonts w:ascii="Century Gothic" w:hAnsi="Century Gothic"/>
        </w:rPr>
        <w:t xml:space="preserve">Murray River (in-stream) </w:t>
      </w:r>
      <w:hyperlink r:id="rId40" w:history="1">
        <w:r w:rsidR="006941ED" w:rsidRPr="006941ED">
          <w:rPr>
            <w:rStyle w:val="Hyperlink"/>
            <w:rFonts w:ascii="Century Gothic" w:hAnsi="Century Gothic"/>
          </w:rPr>
          <w:t>http://www.environment.gov.au/water/cewo/catchment/lower-murray-darling/monitoring</w:t>
        </w:r>
      </w:hyperlink>
    </w:p>
    <w:p w14:paraId="6C6502C0" w14:textId="77777777" w:rsidR="007A7A94" w:rsidRDefault="00E47462">
      <w:pPr>
        <w:pStyle w:val="ListBullet"/>
        <w:numPr>
          <w:ilvl w:val="0"/>
          <w:numId w:val="8"/>
        </w:numPr>
        <w:spacing w:after="120"/>
        <w:jc w:val="left"/>
        <w:rPr>
          <w:rFonts w:ascii="Century Gothic" w:hAnsi="Century Gothic"/>
        </w:rPr>
      </w:pPr>
      <w:r>
        <w:rPr>
          <w:rFonts w:ascii="Century Gothic" w:hAnsi="Century Gothic"/>
        </w:rPr>
        <w:t>Junction of the Warrego and Darling rivers</w:t>
      </w:r>
      <w:r w:rsidRPr="00A55B12">
        <w:rPr>
          <w:rFonts w:ascii="Century Gothic" w:hAnsi="Century Gothic"/>
        </w:rPr>
        <w:t xml:space="preserve"> (in-stream and floodplains, as well as an indicator of upstream unregulated rivers) </w:t>
      </w:r>
      <w:hyperlink r:id="rId41" w:history="1">
        <w:r w:rsidR="006941ED" w:rsidRPr="006941ED">
          <w:rPr>
            <w:rStyle w:val="Hyperlink"/>
            <w:rFonts w:ascii="Century Gothic" w:hAnsi="Century Gothic"/>
          </w:rPr>
          <w:t>http://www.environment.gov.au/water/cewo/catchment/northern-unregulated-rivers/monitoring</w:t>
        </w:r>
      </w:hyperlink>
    </w:p>
    <w:p w14:paraId="6C6502C1" w14:textId="6CE773A8" w:rsidR="007A7A94" w:rsidRDefault="00E47462">
      <w:pPr>
        <w:spacing w:after="120"/>
        <w:rPr>
          <w:rFonts w:ascii="Century Gothic" w:hAnsi="Century Gothic"/>
        </w:rPr>
      </w:pPr>
      <w:r w:rsidRPr="00D22B81">
        <w:rPr>
          <w:rFonts w:ascii="Century Gothic" w:hAnsi="Century Gothic"/>
        </w:rPr>
        <w:t>These areas have been chosen to be broadly representative of Commonwealth environmental watering, and complement existing monitoring program</w:t>
      </w:r>
      <w:r>
        <w:rPr>
          <w:rFonts w:ascii="Century Gothic" w:hAnsi="Century Gothic"/>
        </w:rPr>
        <w:t>me</w:t>
      </w:r>
      <w:r w:rsidRPr="00D22B81">
        <w:rPr>
          <w:rFonts w:ascii="Century Gothic" w:hAnsi="Century Gothic"/>
        </w:rPr>
        <w:t xml:space="preserve">s in the </w:t>
      </w:r>
      <w:r w:rsidR="00BE4223">
        <w:rPr>
          <w:rFonts w:ascii="Century Gothic" w:hAnsi="Century Gothic"/>
        </w:rPr>
        <w:t>Murray-Darling</w:t>
      </w:r>
      <w:r w:rsidRPr="00D22B81">
        <w:rPr>
          <w:rFonts w:ascii="Century Gothic" w:hAnsi="Century Gothic"/>
        </w:rPr>
        <w:t xml:space="preserve"> Basin, including The Living Murray program</w:t>
      </w:r>
      <w:r>
        <w:rPr>
          <w:rFonts w:ascii="Century Gothic" w:hAnsi="Century Gothic"/>
        </w:rPr>
        <w:t>me</w:t>
      </w:r>
      <w:r w:rsidRPr="00D22B81">
        <w:rPr>
          <w:rFonts w:ascii="Century Gothic" w:hAnsi="Century Gothic"/>
        </w:rPr>
        <w:t xml:space="preserve"> and Basin </w:t>
      </w:r>
      <w:r>
        <w:rPr>
          <w:rFonts w:ascii="Century Gothic" w:hAnsi="Century Gothic"/>
        </w:rPr>
        <w:t>s</w:t>
      </w:r>
      <w:r w:rsidRPr="00D22B81">
        <w:rPr>
          <w:rFonts w:ascii="Century Gothic" w:hAnsi="Century Gothic"/>
        </w:rPr>
        <w:t>tate monitoring initiatives.</w:t>
      </w:r>
      <w:r w:rsidR="00211F67">
        <w:rPr>
          <w:rFonts w:ascii="Century Gothic" w:hAnsi="Century Gothic"/>
        </w:rPr>
        <w:t xml:space="preserve"> </w:t>
      </w:r>
      <w:r w:rsidRPr="00A55B12">
        <w:rPr>
          <w:rFonts w:ascii="Century Gothic" w:hAnsi="Century Gothic"/>
        </w:rPr>
        <w:t xml:space="preserve">The Office will continue to publish </w:t>
      </w:r>
      <w:r>
        <w:rPr>
          <w:rFonts w:ascii="Century Gothic" w:hAnsi="Century Gothic"/>
        </w:rPr>
        <w:t>on its website</w:t>
      </w:r>
      <w:r w:rsidRPr="00A55B12">
        <w:rPr>
          <w:rFonts w:ascii="Century Gothic" w:hAnsi="Century Gothic"/>
        </w:rPr>
        <w:t xml:space="preserve"> results from all monitoring and evaluation </w:t>
      </w:r>
      <w:r>
        <w:rPr>
          <w:rFonts w:ascii="Century Gothic" w:hAnsi="Century Gothic"/>
        </w:rPr>
        <w:t>that has been commissioned</w:t>
      </w:r>
      <w:r w:rsidRPr="00A55B12">
        <w:rPr>
          <w:rFonts w:ascii="Century Gothic" w:hAnsi="Century Gothic"/>
        </w:rPr>
        <w:t xml:space="preserve">. </w:t>
      </w:r>
    </w:p>
    <w:p w14:paraId="6C6502C2" w14:textId="77777777" w:rsidR="008017AC" w:rsidRDefault="008017AC">
      <w:pPr>
        <w:spacing w:after="120"/>
        <w:rPr>
          <w:rFonts w:ascii="Century Gothic" w:hAnsi="Century Gothic"/>
        </w:rPr>
      </w:pPr>
    </w:p>
    <w:tbl>
      <w:tblPr>
        <w:tblStyle w:val="TableGrid"/>
        <w:tblW w:w="0" w:type="auto"/>
        <w:tblLook w:val="04A0" w:firstRow="1" w:lastRow="0" w:firstColumn="1" w:lastColumn="0" w:noHBand="0" w:noVBand="1"/>
      </w:tblPr>
      <w:tblGrid>
        <w:gridCol w:w="9202"/>
      </w:tblGrid>
      <w:tr w:rsidR="00A70D45" w14:paraId="6C6502C8" w14:textId="77777777" w:rsidTr="00211F67">
        <w:trPr>
          <w:cnfStyle w:val="100000000000" w:firstRow="1" w:lastRow="0" w:firstColumn="0" w:lastColumn="0" w:oddVBand="0" w:evenVBand="0" w:oddHBand="0" w:evenHBand="0" w:firstRowFirstColumn="0" w:firstRowLastColumn="0" w:lastRowFirstColumn="0" w:lastRowLastColumn="0"/>
          <w:trHeight w:val="4101"/>
        </w:trPr>
        <w:tc>
          <w:tcPr>
            <w:tcW w:w="9968" w:type="dxa"/>
          </w:tcPr>
          <w:p w14:paraId="6C6502C3" w14:textId="77777777" w:rsidR="007A7A94" w:rsidRDefault="009D2E3A">
            <w:pPr>
              <w:pStyle w:val="CaseStudy"/>
              <w:spacing w:after="120"/>
            </w:pPr>
            <w:r>
              <w:t xml:space="preserve">Case study: Long-term Intervention Monitoring </w:t>
            </w:r>
            <w:r w:rsidR="00B552F2" w:rsidRPr="00B552F2">
              <w:t xml:space="preserve">Outcomes </w:t>
            </w:r>
            <w:r>
              <w:t>– results for</w:t>
            </w:r>
            <w:r w:rsidR="00B552F2" w:rsidRPr="00B552F2">
              <w:t xml:space="preserve"> </w:t>
            </w:r>
            <w:r w:rsidR="00211F67">
              <w:t>2014</w:t>
            </w:r>
            <w:r>
              <w:t>–</w:t>
            </w:r>
            <w:r w:rsidR="00211F67">
              <w:t>15</w:t>
            </w:r>
          </w:p>
          <w:p w14:paraId="6C6502C4" w14:textId="77777777" w:rsidR="00B17604" w:rsidRDefault="00EC7032">
            <w:pPr>
              <w:pStyle w:val="ListBullet"/>
              <w:numPr>
                <w:ilvl w:val="0"/>
                <w:numId w:val="0"/>
              </w:numPr>
              <w:spacing w:after="120"/>
              <w:rPr>
                <w:rFonts w:ascii="Century Gothic" w:hAnsi="Century Gothic"/>
              </w:rPr>
            </w:pPr>
            <w:r w:rsidRPr="00EC7032">
              <w:rPr>
                <w:rFonts w:ascii="Century Gothic" w:hAnsi="Century Gothic"/>
              </w:rPr>
              <w:t xml:space="preserve">The key environmental outcomes for </w:t>
            </w:r>
            <w:r w:rsidR="00211F67">
              <w:rPr>
                <w:rFonts w:ascii="Century Gothic" w:hAnsi="Century Gothic"/>
              </w:rPr>
              <w:t>2014</w:t>
            </w:r>
            <w:r w:rsidR="00583570">
              <w:rPr>
                <w:rFonts w:ascii="Century Gothic" w:hAnsi="Century Gothic"/>
              </w:rPr>
              <w:t>–</w:t>
            </w:r>
            <w:r w:rsidR="00211F67">
              <w:rPr>
                <w:rFonts w:ascii="Century Gothic" w:hAnsi="Century Gothic"/>
              </w:rPr>
              <w:t>15</w:t>
            </w:r>
            <w:r w:rsidRPr="00EC7032">
              <w:rPr>
                <w:rFonts w:ascii="Century Gothic" w:hAnsi="Century Gothic"/>
              </w:rPr>
              <w:t xml:space="preserve"> are:</w:t>
            </w:r>
          </w:p>
          <w:p w14:paraId="6C6502C5" w14:textId="0861D48E" w:rsidR="00B17604" w:rsidRDefault="00211F67">
            <w:pPr>
              <w:pStyle w:val="ListBullet"/>
              <w:numPr>
                <w:ilvl w:val="0"/>
                <w:numId w:val="8"/>
              </w:numPr>
              <w:spacing w:after="120"/>
              <w:rPr>
                <w:rFonts w:ascii="Century Gothic" w:hAnsi="Century Gothic"/>
              </w:rPr>
            </w:pPr>
            <w:r>
              <w:rPr>
                <w:rFonts w:ascii="Century Gothic" w:hAnsi="Century Gothic"/>
              </w:rPr>
              <w:t xml:space="preserve">Native fish species including </w:t>
            </w:r>
            <w:r w:rsidR="002F05F9">
              <w:rPr>
                <w:rFonts w:ascii="Century Gothic" w:hAnsi="Century Gothic"/>
              </w:rPr>
              <w:t>g</w:t>
            </w:r>
            <w:r w:rsidR="002F05F9" w:rsidRPr="00EC7032">
              <w:rPr>
                <w:rFonts w:ascii="Century Gothic" w:hAnsi="Century Gothic"/>
              </w:rPr>
              <w:t xml:space="preserve">olden </w:t>
            </w:r>
            <w:r w:rsidR="00EC7032" w:rsidRPr="00EC7032">
              <w:rPr>
                <w:rFonts w:ascii="Century Gothic" w:hAnsi="Century Gothic"/>
              </w:rPr>
              <w:t xml:space="preserve">perch, </w:t>
            </w:r>
            <w:r w:rsidR="002F05F9">
              <w:rPr>
                <w:rFonts w:ascii="Century Gothic" w:hAnsi="Century Gothic"/>
              </w:rPr>
              <w:t>s</w:t>
            </w:r>
            <w:r w:rsidR="002F05F9" w:rsidRPr="00EC7032">
              <w:rPr>
                <w:rFonts w:ascii="Century Gothic" w:hAnsi="Century Gothic"/>
              </w:rPr>
              <w:t xml:space="preserve">ilver </w:t>
            </w:r>
            <w:r w:rsidR="00EC7032" w:rsidRPr="00EC7032">
              <w:rPr>
                <w:rFonts w:ascii="Century Gothic" w:hAnsi="Century Gothic"/>
              </w:rPr>
              <w:t>perch, Murray hardyhe</w:t>
            </w:r>
            <w:r>
              <w:rPr>
                <w:rFonts w:ascii="Century Gothic" w:hAnsi="Century Gothic"/>
              </w:rPr>
              <w:t xml:space="preserve">ad, </w:t>
            </w:r>
            <w:r w:rsidR="002F05F9">
              <w:rPr>
                <w:rFonts w:ascii="Century Gothic" w:hAnsi="Century Gothic"/>
              </w:rPr>
              <w:t xml:space="preserve">bony </w:t>
            </w:r>
            <w:r>
              <w:rPr>
                <w:rFonts w:ascii="Century Gothic" w:hAnsi="Century Gothic"/>
              </w:rPr>
              <w:t xml:space="preserve">bream, Murray cod and </w:t>
            </w:r>
            <w:r w:rsidR="002F05F9">
              <w:rPr>
                <w:rFonts w:ascii="Century Gothic" w:hAnsi="Century Gothic"/>
              </w:rPr>
              <w:t xml:space="preserve">rainbowfish </w:t>
            </w:r>
            <w:r>
              <w:rPr>
                <w:rFonts w:ascii="Century Gothic" w:hAnsi="Century Gothic"/>
              </w:rPr>
              <w:t xml:space="preserve">and </w:t>
            </w:r>
            <w:r w:rsidR="002F05F9">
              <w:rPr>
                <w:rFonts w:ascii="Century Gothic" w:hAnsi="Century Gothic"/>
              </w:rPr>
              <w:t>g</w:t>
            </w:r>
            <w:r w:rsidR="002F05F9" w:rsidRPr="00EC7032">
              <w:rPr>
                <w:rFonts w:ascii="Century Gothic" w:hAnsi="Century Gothic"/>
              </w:rPr>
              <w:t xml:space="preserve">udgeon </w:t>
            </w:r>
            <w:r w:rsidR="00EC7032" w:rsidRPr="00EC7032">
              <w:rPr>
                <w:rFonts w:ascii="Century Gothic" w:hAnsi="Century Gothic"/>
              </w:rPr>
              <w:t xml:space="preserve">species </w:t>
            </w:r>
            <w:r w:rsidR="00097480">
              <w:rPr>
                <w:rFonts w:ascii="Century Gothic" w:hAnsi="Century Gothic"/>
              </w:rPr>
              <w:t>responded</w:t>
            </w:r>
            <w:r w:rsidR="00EC7032" w:rsidRPr="00EC7032">
              <w:rPr>
                <w:rFonts w:ascii="Century Gothic" w:hAnsi="Century Gothic"/>
              </w:rPr>
              <w:t xml:space="preserve"> well to environmental watering</w:t>
            </w:r>
            <w:r w:rsidR="003E3DFB">
              <w:rPr>
                <w:rFonts w:ascii="Century Gothic" w:hAnsi="Century Gothic"/>
              </w:rPr>
              <w:t>.</w:t>
            </w:r>
          </w:p>
          <w:p w14:paraId="6C6502C6" w14:textId="77777777" w:rsidR="00B17604" w:rsidRDefault="00211F67">
            <w:pPr>
              <w:pStyle w:val="ListBullet"/>
              <w:numPr>
                <w:ilvl w:val="0"/>
                <w:numId w:val="8"/>
              </w:numPr>
              <w:spacing w:after="120"/>
              <w:rPr>
                <w:rFonts w:ascii="Century Gothic" w:hAnsi="Century Gothic"/>
              </w:rPr>
            </w:pPr>
            <w:r>
              <w:rPr>
                <w:rFonts w:ascii="Century Gothic" w:hAnsi="Century Gothic"/>
              </w:rPr>
              <w:t>The b</w:t>
            </w:r>
            <w:r w:rsidR="00EC7032" w:rsidRPr="00EC7032">
              <w:rPr>
                <w:rFonts w:ascii="Century Gothic" w:hAnsi="Century Gothic"/>
              </w:rPr>
              <w:t xml:space="preserve">reeding of native birds such as nankeen night heron, cormorants and the first breeding of the internationally protected Eastern great egrets since 2011, following the delivery of Commonwealth environmental water to the Yanga National Park in early 2015. There have also been significant increases in waterbird species diversity and total abundance at sites that received environmental water in </w:t>
            </w:r>
            <w:r>
              <w:rPr>
                <w:rFonts w:ascii="Century Gothic" w:hAnsi="Century Gothic"/>
              </w:rPr>
              <w:t xml:space="preserve">the </w:t>
            </w:r>
            <w:r w:rsidR="00EC7032" w:rsidRPr="00EC7032">
              <w:rPr>
                <w:rFonts w:ascii="Century Gothic" w:hAnsi="Century Gothic"/>
              </w:rPr>
              <w:t>Gwydir river system.</w:t>
            </w:r>
          </w:p>
          <w:p w14:paraId="6C6502C7" w14:textId="77777777" w:rsidR="00B17604" w:rsidRDefault="00EC7032">
            <w:pPr>
              <w:pStyle w:val="ListBullet"/>
              <w:numPr>
                <w:ilvl w:val="0"/>
                <w:numId w:val="8"/>
              </w:numPr>
              <w:spacing w:after="120"/>
              <w:rPr>
                <w:rFonts w:ascii="Century Gothic" w:hAnsi="Century Gothic"/>
              </w:rPr>
            </w:pPr>
            <w:r w:rsidRPr="00EC7032">
              <w:rPr>
                <w:rFonts w:ascii="Century Gothic" w:hAnsi="Century Gothic"/>
              </w:rPr>
              <w:t>Between November 2014 and May 2015, Commonwealth environmental water accounted for 100</w:t>
            </w:r>
            <w:r w:rsidR="003E3DFB">
              <w:rPr>
                <w:rFonts w:ascii="Century Gothic" w:hAnsi="Century Gothic"/>
              </w:rPr>
              <w:t xml:space="preserve"> per cent</w:t>
            </w:r>
            <w:r w:rsidRPr="00EC7032">
              <w:rPr>
                <w:rFonts w:ascii="Century Gothic" w:hAnsi="Century Gothic"/>
              </w:rPr>
              <w:t xml:space="preserve"> of flows across the barrages, increasing freshwater flows to the Coorong. </w:t>
            </w:r>
            <w:r w:rsidR="003E3DFB">
              <w:rPr>
                <w:rFonts w:ascii="Century Gothic" w:hAnsi="Century Gothic"/>
              </w:rPr>
              <w:t>R</w:t>
            </w:r>
            <w:r w:rsidRPr="00EC7032">
              <w:rPr>
                <w:rFonts w:ascii="Century Gothic" w:hAnsi="Century Gothic"/>
              </w:rPr>
              <w:t>esults s</w:t>
            </w:r>
            <w:r w:rsidR="003E3DFB">
              <w:rPr>
                <w:rFonts w:ascii="Century Gothic" w:hAnsi="Century Gothic"/>
              </w:rPr>
              <w:t>howed a r</w:t>
            </w:r>
            <w:r w:rsidRPr="00EC7032">
              <w:rPr>
                <w:rFonts w:ascii="Century Gothic" w:hAnsi="Century Gothic"/>
              </w:rPr>
              <w:t xml:space="preserve">eduction in salinity in the </w:t>
            </w:r>
            <w:r w:rsidR="003E3DFB">
              <w:rPr>
                <w:rFonts w:ascii="Century Gothic" w:hAnsi="Century Gothic"/>
              </w:rPr>
              <w:t>Murray Mouth</w:t>
            </w:r>
            <w:r w:rsidRPr="00EC7032">
              <w:rPr>
                <w:rFonts w:ascii="Century Gothic" w:hAnsi="Century Gothic"/>
              </w:rPr>
              <w:t>.</w:t>
            </w:r>
          </w:p>
        </w:tc>
      </w:tr>
    </w:tbl>
    <w:p w14:paraId="6C6502C9" w14:textId="77777777" w:rsidR="007A7A94" w:rsidRDefault="009436E3">
      <w:pPr>
        <w:spacing w:after="120"/>
        <w:jc w:val="left"/>
        <w:rPr>
          <w:b/>
          <w:color w:val="5F497A" w:themeColor="accent4" w:themeShade="BF"/>
          <w:sz w:val="40"/>
          <w:szCs w:val="40"/>
          <w:lang w:val="en-GB" w:eastAsia="en-US"/>
        </w:rPr>
      </w:pPr>
      <w:r>
        <w:rPr>
          <w:caps/>
          <w:color w:val="5F497A" w:themeColor="accent4" w:themeShade="BF"/>
          <w:sz w:val="40"/>
          <w:szCs w:val="40"/>
          <w:lang w:val="en-GB" w:eastAsia="en-US"/>
        </w:rPr>
        <w:br w:type="page"/>
      </w:r>
    </w:p>
    <w:p w14:paraId="6C6502CA" w14:textId="65FF9EB1" w:rsidR="007A7A94" w:rsidRDefault="00E47462">
      <w:pPr>
        <w:pStyle w:val="Heading1"/>
        <w:spacing w:after="120"/>
      </w:pPr>
      <w:bookmarkStart w:id="266" w:name="_Toc517264669"/>
      <w:r w:rsidRPr="0022362D">
        <w:lastRenderedPageBreak/>
        <w:t>Adaptive management</w:t>
      </w:r>
      <w:bookmarkEnd w:id="266"/>
    </w:p>
    <w:p w14:paraId="6C6502CB" w14:textId="13A6DEF1" w:rsidR="00B17604" w:rsidRDefault="003563F2">
      <w:pPr>
        <w:pStyle w:val="ListBullet"/>
        <w:numPr>
          <w:ilvl w:val="0"/>
          <w:numId w:val="0"/>
        </w:numPr>
        <w:spacing w:after="120"/>
        <w:rPr>
          <w:rFonts w:ascii="Century Gothic" w:hAnsi="Century Gothic"/>
        </w:rPr>
      </w:pPr>
      <w:r w:rsidRPr="00576FD5">
        <w:rPr>
          <w:rFonts w:ascii="Century Gothic" w:hAnsi="Century Gothic"/>
        </w:rPr>
        <w:t xml:space="preserve">Adaptive management is a </w:t>
      </w:r>
      <w:r w:rsidR="0077794E" w:rsidRPr="0077794E">
        <w:rPr>
          <w:rFonts w:ascii="Century Gothic" w:hAnsi="Century Gothic"/>
        </w:rPr>
        <w:t xml:space="preserve">systematic approach for deliberately learning from </w:t>
      </w:r>
      <w:r w:rsidR="0077794E">
        <w:rPr>
          <w:rFonts w:ascii="Century Gothic" w:hAnsi="Century Gothic"/>
        </w:rPr>
        <w:t>past</w:t>
      </w:r>
      <w:r w:rsidR="0077794E" w:rsidRPr="0077794E">
        <w:rPr>
          <w:rFonts w:ascii="Century Gothic" w:hAnsi="Century Gothic"/>
        </w:rPr>
        <w:t xml:space="preserve"> actions</w:t>
      </w:r>
      <w:r w:rsidR="00127AEC">
        <w:rPr>
          <w:rFonts w:ascii="Century Gothic" w:hAnsi="Century Gothic"/>
        </w:rPr>
        <w:t>,</w:t>
      </w:r>
      <w:r w:rsidR="0077794E" w:rsidRPr="0077794E">
        <w:rPr>
          <w:rFonts w:ascii="Century Gothic" w:hAnsi="Century Gothic"/>
        </w:rPr>
        <w:t xml:space="preserve"> with the intent to</w:t>
      </w:r>
      <w:r w:rsidR="00127AEC">
        <w:rPr>
          <w:rFonts w:ascii="Century Gothic" w:hAnsi="Century Gothic"/>
        </w:rPr>
        <w:t xml:space="preserve"> continually</w:t>
      </w:r>
      <w:r w:rsidR="0077794E" w:rsidRPr="0077794E">
        <w:rPr>
          <w:rFonts w:ascii="Century Gothic" w:hAnsi="Century Gothic"/>
        </w:rPr>
        <w:t xml:space="preserve"> improve </w:t>
      </w:r>
      <w:r w:rsidR="0077794E">
        <w:rPr>
          <w:rFonts w:ascii="Century Gothic" w:hAnsi="Century Gothic"/>
        </w:rPr>
        <w:t>future</w:t>
      </w:r>
      <w:r w:rsidR="0077794E" w:rsidRPr="0077794E">
        <w:rPr>
          <w:rFonts w:ascii="Century Gothic" w:hAnsi="Century Gothic"/>
        </w:rPr>
        <w:t xml:space="preserve"> </w:t>
      </w:r>
      <w:r w:rsidR="0077794E">
        <w:rPr>
          <w:rFonts w:ascii="Century Gothic" w:hAnsi="Century Gothic"/>
        </w:rPr>
        <w:t>planning and actions. It</w:t>
      </w:r>
      <w:r w:rsidRPr="00576FD5">
        <w:rPr>
          <w:rFonts w:ascii="Century Gothic" w:hAnsi="Century Gothic"/>
        </w:rPr>
        <w:t xml:space="preserve"> </w:t>
      </w:r>
      <w:r w:rsidR="00127AEC">
        <w:rPr>
          <w:rFonts w:ascii="Century Gothic" w:hAnsi="Century Gothic"/>
        </w:rPr>
        <w:t>relies</w:t>
      </w:r>
      <w:r w:rsidRPr="00576FD5">
        <w:rPr>
          <w:rFonts w:ascii="Century Gothic" w:hAnsi="Century Gothic"/>
        </w:rPr>
        <w:t xml:space="preserve"> on a combination of the latest information, including best available science</w:t>
      </w:r>
      <w:r w:rsidR="0077794E">
        <w:rPr>
          <w:rFonts w:ascii="Century Gothic" w:hAnsi="Century Gothic"/>
        </w:rPr>
        <w:t xml:space="preserve"> and monitoring outcomes,</w:t>
      </w:r>
      <w:r w:rsidRPr="00576FD5">
        <w:rPr>
          <w:rFonts w:ascii="Century Gothic" w:hAnsi="Century Gothic"/>
        </w:rPr>
        <w:t xml:space="preserve"> and</w:t>
      </w:r>
      <w:r w:rsidR="0077794E">
        <w:rPr>
          <w:rFonts w:ascii="Century Gothic" w:hAnsi="Century Gothic"/>
        </w:rPr>
        <w:t xml:space="preserve"> the</w:t>
      </w:r>
      <w:r w:rsidRPr="00576FD5">
        <w:rPr>
          <w:rFonts w:ascii="Century Gothic" w:hAnsi="Century Gothic"/>
        </w:rPr>
        <w:t xml:space="preserve"> knowledge, insights and experiences of those people living and working in the Basin.</w:t>
      </w:r>
      <w:r w:rsidR="00477FC3" w:rsidRPr="00576FD5">
        <w:rPr>
          <w:rFonts w:ascii="Century Gothic" w:hAnsi="Century Gothic"/>
        </w:rPr>
        <w:t xml:space="preserve"> </w:t>
      </w:r>
      <w:r w:rsidR="0087279F" w:rsidRPr="00576FD5">
        <w:rPr>
          <w:rFonts w:ascii="Century Gothic" w:hAnsi="Century Gothic"/>
        </w:rPr>
        <w:t xml:space="preserve">As outlined in the </w:t>
      </w:r>
      <w:r w:rsidR="00BE4223">
        <w:rPr>
          <w:rFonts w:ascii="Century Gothic" w:hAnsi="Century Gothic"/>
        </w:rPr>
        <w:t>Murray-Darling</w:t>
      </w:r>
      <w:r w:rsidR="0087279F" w:rsidRPr="00576FD5">
        <w:rPr>
          <w:rFonts w:ascii="Century Gothic" w:hAnsi="Century Gothic"/>
        </w:rPr>
        <w:t xml:space="preserve"> Basin Plan, a</w:t>
      </w:r>
      <w:r w:rsidR="00E002D3" w:rsidRPr="00576FD5">
        <w:rPr>
          <w:rFonts w:ascii="Century Gothic" w:hAnsi="Century Gothic"/>
        </w:rPr>
        <w:t>daptive management involves the following:</w:t>
      </w:r>
    </w:p>
    <w:p w14:paraId="6C6502CC" w14:textId="77777777" w:rsidR="00B17604" w:rsidRDefault="00E002D3" w:rsidP="00BC0CD5">
      <w:pPr>
        <w:pStyle w:val="ListBullet"/>
        <w:spacing w:after="120"/>
        <w:jc w:val="left"/>
        <w:rPr>
          <w:rFonts w:ascii="Century Gothic" w:hAnsi="Century Gothic"/>
        </w:rPr>
      </w:pPr>
      <w:r w:rsidRPr="00576FD5">
        <w:rPr>
          <w:rFonts w:ascii="Century Gothic" w:hAnsi="Century Gothic"/>
        </w:rPr>
        <w:t xml:space="preserve">setting clear objectives </w:t>
      </w:r>
    </w:p>
    <w:p w14:paraId="6C6502CD" w14:textId="77777777" w:rsidR="00B17604" w:rsidRDefault="00E002D3" w:rsidP="00BC0CD5">
      <w:pPr>
        <w:pStyle w:val="ListBullet"/>
        <w:spacing w:after="120"/>
        <w:jc w:val="left"/>
        <w:rPr>
          <w:rFonts w:ascii="Century Gothic" w:hAnsi="Century Gothic"/>
        </w:rPr>
      </w:pPr>
      <w:r w:rsidRPr="00576FD5">
        <w:rPr>
          <w:rFonts w:ascii="Century Gothic" w:hAnsi="Century Gothic"/>
        </w:rPr>
        <w:t>linking knowledge (including local knowledge) management, evaluation and feedback over time</w:t>
      </w:r>
    </w:p>
    <w:p w14:paraId="6C6502CE" w14:textId="77777777" w:rsidR="00B17604" w:rsidRDefault="00E002D3" w:rsidP="00BC0CD5">
      <w:pPr>
        <w:pStyle w:val="ListBullet"/>
        <w:spacing w:after="120"/>
        <w:jc w:val="left"/>
        <w:rPr>
          <w:rFonts w:ascii="Century Gothic" w:hAnsi="Century Gothic"/>
        </w:rPr>
      </w:pPr>
      <w:r w:rsidRPr="00576FD5">
        <w:rPr>
          <w:rFonts w:ascii="Century Gothic" w:hAnsi="Century Gothic"/>
        </w:rPr>
        <w:t>identifying and testing uncertainties</w:t>
      </w:r>
    </w:p>
    <w:p w14:paraId="6C6502CF" w14:textId="77777777" w:rsidR="00B17604" w:rsidRDefault="00E002D3" w:rsidP="00BC0CD5">
      <w:pPr>
        <w:pStyle w:val="ListBullet"/>
        <w:spacing w:after="120"/>
        <w:jc w:val="left"/>
        <w:rPr>
          <w:rFonts w:ascii="Century Gothic" w:hAnsi="Century Gothic"/>
        </w:rPr>
      </w:pPr>
      <w:r w:rsidRPr="00576FD5">
        <w:rPr>
          <w:rFonts w:ascii="Century Gothic" w:hAnsi="Century Gothic"/>
        </w:rPr>
        <w:t>using adaptive management as a tool to learn about the relevant system and change its management</w:t>
      </w:r>
    </w:p>
    <w:p w14:paraId="6C6502D0" w14:textId="77777777" w:rsidR="00B17604" w:rsidRDefault="00E002D3" w:rsidP="00BC0CD5">
      <w:pPr>
        <w:pStyle w:val="ListBullet"/>
        <w:spacing w:after="120"/>
        <w:jc w:val="left"/>
        <w:rPr>
          <w:rFonts w:ascii="Century Gothic" w:hAnsi="Century Gothic"/>
        </w:rPr>
      </w:pPr>
      <w:r w:rsidRPr="00576FD5">
        <w:rPr>
          <w:rFonts w:ascii="Century Gothic" w:hAnsi="Century Gothic"/>
        </w:rPr>
        <w:t>improving knowledge and ongoing implementation</w:t>
      </w:r>
    </w:p>
    <w:p w14:paraId="6C6502D1" w14:textId="77777777" w:rsidR="00B17604" w:rsidRDefault="00E002D3" w:rsidP="00BC0CD5">
      <w:pPr>
        <w:pStyle w:val="ListBullet"/>
        <w:spacing w:after="120"/>
        <w:jc w:val="left"/>
        <w:rPr>
          <w:rFonts w:ascii="Century Gothic" w:hAnsi="Century Gothic"/>
        </w:rPr>
      </w:pPr>
      <w:r w:rsidRPr="00576FD5">
        <w:rPr>
          <w:rFonts w:ascii="Century Gothic" w:hAnsi="Century Gothic"/>
        </w:rPr>
        <w:t>having regard to the social, economic and technical aspects of management.</w:t>
      </w:r>
    </w:p>
    <w:p w14:paraId="6C6502D2" w14:textId="77777777" w:rsidR="00B17604" w:rsidRDefault="00133D95">
      <w:pPr>
        <w:pStyle w:val="Figure1"/>
        <w:spacing w:after="120"/>
      </w:pPr>
      <w:r w:rsidRPr="00576FD5">
        <w:t xml:space="preserve">The development of </w:t>
      </w:r>
      <w:r w:rsidR="003563F2" w:rsidRPr="00576FD5">
        <w:t>portfolio management plans</w:t>
      </w:r>
      <w:r w:rsidRPr="00576FD5">
        <w:t xml:space="preserve"> are a critical element of the Office’s adaptive management process</w:t>
      </w:r>
      <w:r w:rsidR="00576FD5" w:rsidRPr="00576FD5">
        <w:t xml:space="preserve"> (see</w:t>
      </w:r>
      <w:r w:rsidR="007906F4">
        <w:t xml:space="preserve"> </w:t>
      </w:r>
      <w:r w:rsidR="002E3CDD">
        <w:t>Figure 7</w:t>
      </w:r>
      <w:r w:rsidR="00576FD5" w:rsidRPr="00576FD5">
        <w:t>)</w:t>
      </w:r>
      <w:r w:rsidR="003563F2" w:rsidRPr="00576FD5">
        <w:t xml:space="preserve">. </w:t>
      </w:r>
      <w:r w:rsidRPr="00576FD5">
        <w:t>The plans set out the objectives and outcomes that environmental water is aiming to contribute</w:t>
      </w:r>
      <w:r w:rsidR="0077794E">
        <w:t xml:space="preserve"> to</w:t>
      </w:r>
      <w:r w:rsidRPr="00576FD5">
        <w:t xml:space="preserve"> </w:t>
      </w:r>
      <w:r w:rsidR="0077794E">
        <w:t>(</w:t>
      </w:r>
      <w:r w:rsidRPr="00576FD5">
        <w:t>based on input from government agencies, communities and scientists</w:t>
      </w:r>
      <w:r w:rsidR="0077794E">
        <w:t>)</w:t>
      </w:r>
      <w:r w:rsidRPr="00576FD5">
        <w:t xml:space="preserve"> and the actions required to achieve these outcomes. These are then updated each year based on </w:t>
      </w:r>
      <w:r w:rsidR="00576FD5">
        <w:t xml:space="preserve">the evaluation of </w:t>
      </w:r>
      <w:r w:rsidR="00477FC3" w:rsidRPr="00576FD5">
        <w:t xml:space="preserve">monitoring </w:t>
      </w:r>
      <w:r w:rsidR="00576FD5">
        <w:t>results</w:t>
      </w:r>
      <w:r w:rsidR="00477FC3" w:rsidRPr="00576FD5">
        <w:t xml:space="preserve"> and </w:t>
      </w:r>
      <w:r w:rsidR="00576FD5">
        <w:t xml:space="preserve">the </w:t>
      </w:r>
      <w:r w:rsidRPr="00576FD5">
        <w:t>exp</w:t>
      </w:r>
      <w:r w:rsidR="00064B86" w:rsidRPr="00576FD5">
        <w:t>erience</w:t>
      </w:r>
      <w:r w:rsidR="00832E07" w:rsidRPr="00576FD5">
        <w:t xml:space="preserve"> of what has worked well and areas that require improvement. </w:t>
      </w:r>
    </w:p>
    <w:p w14:paraId="6C6502D3" w14:textId="77777777" w:rsidR="007A7A94" w:rsidRDefault="00576FD5">
      <w:pPr>
        <w:spacing w:after="120"/>
        <w:jc w:val="center"/>
        <w:rPr>
          <w:rFonts w:ascii="Century Gothic" w:hAnsi="Century Gothic"/>
        </w:rPr>
      </w:pPr>
      <w:r>
        <w:rPr>
          <w:rFonts w:ascii="Century Gothic" w:hAnsi="Century Gothic"/>
          <w:noProof/>
        </w:rPr>
        <w:drawing>
          <wp:inline distT="0" distB="0" distL="0" distR="0" wp14:anchorId="6C650342" wp14:editId="6C650343">
            <wp:extent cx="4731026" cy="4383958"/>
            <wp:effectExtent l="19050" t="0" r="0" b="0"/>
            <wp:docPr id="86" name="Picture 86" descr="This is a conceptual diagram of the adaptive management cycle. Each stage of the circular diagram represents the cyclical nature of the process that informs adaptive management practices. The stages include planning (to identify priority assets and desired outcomes), design (a program of environmental watering actions), monitoring (the environmental effects of watering), evaluation (of the effectiveness and efficiency), reflection (on what’s working, what’s not and why), reporting (on outcomes and communicate learning) and improvement (of adaptive approach and apply to next watering). All stages of the cycle require continuous participation and commun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2" cstate="print"/>
                    <a:srcRect/>
                    <a:stretch>
                      <a:fillRect/>
                    </a:stretch>
                  </pic:blipFill>
                  <pic:spPr bwMode="auto">
                    <a:xfrm>
                      <a:off x="0" y="0"/>
                      <a:ext cx="4733497" cy="4386248"/>
                    </a:xfrm>
                    <a:prstGeom prst="rect">
                      <a:avLst/>
                    </a:prstGeom>
                    <a:noFill/>
                  </pic:spPr>
                </pic:pic>
              </a:graphicData>
            </a:graphic>
          </wp:inline>
        </w:drawing>
      </w:r>
    </w:p>
    <w:p w14:paraId="6C6502D4" w14:textId="77777777" w:rsidR="00B17604" w:rsidRDefault="003E3DFB">
      <w:pPr>
        <w:pStyle w:val="Caption"/>
        <w:jc w:val="left"/>
        <w:rPr>
          <w:rFonts w:ascii="Century Gothic" w:hAnsi="Century Gothic"/>
        </w:rPr>
      </w:pPr>
      <w:r w:rsidRPr="007906F4">
        <w:rPr>
          <w:rFonts w:ascii="Century Gothic" w:hAnsi="Century Gothic"/>
        </w:rPr>
        <w:t xml:space="preserve">Figure </w:t>
      </w:r>
      <w:r w:rsidR="00D848C1" w:rsidRPr="007906F4">
        <w:rPr>
          <w:rFonts w:ascii="Century Gothic" w:hAnsi="Century Gothic"/>
        </w:rPr>
        <w:fldChar w:fldCharType="begin"/>
      </w:r>
      <w:r w:rsidRPr="007906F4">
        <w:rPr>
          <w:rFonts w:ascii="Century Gothic" w:hAnsi="Century Gothic"/>
        </w:rPr>
        <w:instrText xml:space="preserve"> SEQ Figure \* ARABIC </w:instrText>
      </w:r>
      <w:r w:rsidR="00D848C1" w:rsidRPr="007906F4">
        <w:rPr>
          <w:rFonts w:ascii="Century Gothic" w:hAnsi="Century Gothic"/>
        </w:rPr>
        <w:fldChar w:fldCharType="separate"/>
      </w:r>
      <w:r w:rsidR="00A6387E">
        <w:rPr>
          <w:rFonts w:ascii="Century Gothic" w:hAnsi="Century Gothic"/>
          <w:noProof/>
        </w:rPr>
        <w:t>7</w:t>
      </w:r>
      <w:r w:rsidR="00D848C1" w:rsidRPr="007906F4">
        <w:rPr>
          <w:rFonts w:ascii="Century Gothic" w:hAnsi="Century Gothic"/>
        </w:rPr>
        <w:fldChar w:fldCharType="end"/>
      </w:r>
      <w:r w:rsidRPr="007906F4">
        <w:rPr>
          <w:rFonts w:ascii="Century Gothic" w:hAnsi="Century Gothic"/>
          <w:b w:val="0"/>
        </w:rPr>
        <w:t>:</w:t>
      </w:r>
      <w:r w:rsidRPr="007906F4">
        <w:rPr>
          <w:rFonts w:ascii="Century Gothic" w:hAnsi="Century Gothic"/>
        </w:rPr>
        <w:t xml:space="preserve"> </w:t>
      </w:r>
      <w:r w:rsidRPr="007906F4">
        <w:rPr>
          <w:rFonts w:ascii="Century Gothic" w:hAnsi="Century Gothic"/>
          <w:b w:val="0"/>
        </w:rPr>
        <w:t>The adaptive management cycle</w:t>
      </w:r>
    </w:p>
    <w:p w14:paraId="6C6502D5" w14:textId="77777777" w:rsidR="005A415C" w:rsidRDefault="005A415C" w:rsidP="006026F2">
      <w:pPr>
        <w:spacing w:after="120"/>
        <w:jc w:val="left"/>
        <w:rPr>
          <w:rFonts w:ascii="Century Gothic" w:hAnsi="Century Gothic"/>
        </w:rPr>
      </w:pPr>
    </w:p>
    <w:p w14:paraId="6C6502D6" w14:textId="77777777" w:rsidR="007A7A94" w:rsidRDefault="00477FC3" w:rsidP="00BC0CD5">
      <w:pPr>
        <w:spacing w:after="120"/>
        <w:rPr>
          <w:rFonts w:ascii="Century Gothic" w:hAnsi="Century Gothic"/>
        </w:rPr>
      </w:pPr>
      <w:r w:rsidRPr="00576FD5">
        <w:rPr>
          <w:rFonts w:ascii="Century Gothic" w:hAnsi="Century Gothic"/>
        </w:rPr>
        <w:t>The practice of environmental water management will continue to evolve through the development of innovative and flexible approaches. This will help maximise environmental outcomes despite uncertainty over future conditions and changing circumstances.</w:t>
      </w:r>
    </w:p>
    <w:p w14:paraId="6C6502D7" w14:textId="77777777" w:rsidR="007A7A94" w:rsidRDefault="007A7A94">
      <w:pPr>
        <w:spacing w:after="120"/>
        <w:jc w:val="left"/>
        <w:rPr>
          <w:rFonts w:ascii="Century Gothic" w:hAnsi="Century Gothic"/>
        </w:rPr>
      </w:pPr>
    </w:p>
    <w:tbl>
      <w:tblPr>
        <w:tblStyle w:val="TableGrid"/>
        <w:tblW w:w="0" w:type="auto"/>
        <w:tblInd w:w="360" w:type="dxa"/>
        <w:tblLook w:val="04A0" w:firstRow="1" w:lastRow="0" w:firstColumn="1" w:lastColumn="0" w:noHBand="0" w:noVBand="1"/>
      </w:tblPr>
      <w:tblGrid>
        <w:gridCol w:w="8842"/>
      </w:tblGrid>
      <w:tr w:rsidR="006F0829" w:rsidRPr="006F0829" w14:paraId="6C6502E4" w14:textId="77777777" w:rsidTr="006F0829">
        <w:trPr>
          <w:cnfStyle w:val="100000000000" w:firstRow="1" w:lastRow="0" w:firstColumn="0" w:lastColumn="0" w:oddVBand="0" w:evenVBand="0" w:oddHBand="0" w:evenHBand="0" w:firstRowFirstColumn="0" w:firstRowLastColumn="0" w:lastRowFirstColumn="0" w:lastRowLastColumn="0"/>
          <w:trHeight w:val="10784"/>
        </w:trPr>
        <w:tc>
          <w:tcPr>
            <w:tcW w:w="9608" w:type="dxa"/>
          </w:tcPr>
          <w:p w14:paraId="6C6502D8" w14:textId="77777777" w:rsidR="007A7A94" w:rsidRDefault="006F0829">
            <w:pPr>
              <w:pStyle w:val="CaseStudy"/>
              <w:spacing w:after="120"/>
              <w:ind w:left="0" w:firstLine="0"/>
            </w:pPr>
            <w:r w:rsidRPr="008600C5">
              <w:t>CASE STUDY: Adaptive management and local engagement in practice—environmental watering in the Goulburn River</w:t>
            </w:r>
          </w:p>
          <w:p w14:paraId="6C6502D9" w14:textId="1026A1AD" w:rsidR="006F0829" w:rsidRPr="006F0829" w:rsidRDefault="006F0829" w:rsidP="006026F2">
            <w:pPr>
              <w:pStyle w:val="ListBullet"/>
              <w:numPr>
                <w:ilvl w:val="0"/>
                <w:numId w:val="0"/>
              </w:numPr>
              <w:spacing w:after="120"/>
              <w:rPr>
                <w:rFonts w:ascii="Century Gothic" w:hAnsi="Century Gothic"/>
                <w:iCs/>
                <w:color w:val="000000" w:themeColor="text1"/>
              </w:rPr>
            </w:pPr>
            <w:r w:rsidRPr="006F0829">
              <w:rPr>
                <w:rFonts w:ascii="Century Gothic" w:hAnsi="Century Gothic"/>
                <w:iCs/>
                <w:color w:val="000000" w:themeColor="text1"/>
              </w:rPr>
              <w:t xml:space="preserve">The </w:t>
            </w:r>
            <w:r w:rsidR="00857534">
              <w:rPr>
                <w:rFonts w:ascii="Century Gothic" w:hAnsi="Century Gothic"/>
                <w:iCs/>
                <w:color w:val="000000" w:themeColor="text1"/>
              </w:rPr>
              <w:t xml:space="preserve">Commonwealth Environmental Water Holder </w:t>
            </w:r>
            <w:r w:rsidRPr="006F0829">
              <w:rPr>
                <w:rFonts w:ascii="Century Gothic" w:hAnsi="Century Gothic"/>
                <w:iCs/>
                <w:color w:val="000000" w:themeColor="text1"/>
              </w:rPr>
              <w:t>works closely with the Victorian Environmental Water Holder and local delivery partners—the Goulburn Broken Catchment Management Authority and the river operator, Goulburn Murray Water— through an operational advisory group to design and manage environmental watering events in the Goulburn River, and to monitor and evaluate the effectiveness of Commonwealth environmental water use.</w:t>
            </w:r>
          </w:p>
          <w:p w14:paraId="6C6502DA" w14:textId="77777777" w:rsidR="007A7A94" w:rsidRDefault="006F0829">
            <w:pPr>
              <w:pStyle w:val="ListBullet"/>
              <w:numPr>
                <w:ilvl w:val="0"/>
                <w:numId w:val="0"/>
              </w:numPr>
              <w:spacing w:after="120"/>
              <w:rPr>
                <w:rFonts w:ascii="Century Gothic" w:hAnsi="Century Gothic"/>
                <w:iCs/>
                <w:color w:val="000000" w:themeColor="text1"/>
              </w:rPr>
            </w:pPr>
            <w:r w:rsidRPr="006F0829">
              <w:rPr>
                <w:rFonts w:ascii="Century Gothic" w:hAnsi="Century Gothic"/>
                <w:iCs/>
                <w:color w:val="000000" w:themeColor="text1"/>
              </w:rPr>
              <w:t>When planning for environmental water use in 2014–15, all the parties met and reviewed the lessons of the past three years of spring flows. This review noted:</w:t>
            </w:r>
          </w:p>
          <w:p w14:paraId="6C6502DB" w14:textId="77777777" w:rsidR="007A7A94" w:rsidRDefault="006F0829">
            <w:pPr>
              <w:pStyle w:val="ListBullet"/>
              <w:spacing w:after="120"/>
              <w:jc w:val="left"/>
              <w:rPr>
                <w:rFonts w:ascii="Century Gothic" w:hAnsi="Century Gothic"/>
              </w:rPr>
            </w:pPr>
            <w:r w:rsidRPr="006F0829">
              <w:rPr>
                <w:rFonts w:ascii="Century Gothic" w:hAnsi="Century Gothic"/>
              </w:rPr>
              <w:t>After some unsuccessful attempts in previous years, an environmental flow delivered in spring of 2013 supported golden perch breeding. The peak of the flow event had been increased from previous years on the advice of fisheries ecologists.</w:t>
            </w:r>
          </w:p>
          <w:p w14:paraId="6C6502DC" w14:textId="77777777" w:rsidR="007A7A94" w:rsidRDefault="006F0829">
            <w:pPr>
              <w:pStyle w:val="ListBullet"/>
              <w:spacing w:after="120"/>
              <w:jc w:val="left"/>
              <w:rPr>
                <w:rFonts w:ascii="Century Gothic" w:hAnsi="Century Gothic"/>
              </w:rPr>
            </w:pPr>
            <w:r w:rsidRPr="006F0829">
              <w:rPr>
                <w:rFonts w:ascii="Century Gothic" w:hAnsi="Century Gothic"/>
              </w:rPr>
              <w:t>The need for continuing recovery of riverbank vegetation, which remains in poor condition following prolonged drought and subsequent floods during the last decade.</w:t>
            </w:r>
          </w:p>
          <w:p w14:paraId="6C6502DD" w14:textId="77777777" w:rsidR="007A7A94" w:rsidRDefault="006F0829">
            <w:pPr>
              <w:pStyle w:val="ListBullet"/>
              <w:spacing w:after="120"/>
              <w:jc w:val="left"/>
              <w:rPr>
                <w:rFonts w:ascii="Century Gothic" w:hAnsi="Century Gothic"/>
              </w:rPr>
            </w:pPr>
            <w:r w:rsidRPr="006F0829">
              <w:rPr>
                <w:rFonts w:ascii="Century Gothic" w:hAnsi="Century Gothic"/>
              </w:rPr>
              <w:t>Concerns from community members about riverbank erosion (bank notching and slumping).</w:t>
            </w:r>
          </w:p>
          <w:p w14:paraId="6C6502DE" w14:textId="77777777" w:rsidR="007A7A94" w:rsidRDefault="006F0829">
            <w:pPr>
              <w:pStyle w:val="ListBullet"/>
              <w:spacing w:after="120"/>
              <w:jc w:val="left"/>
              <w:rPr>
                <w:rFonts w:ascii="Century Gothic" w:hAnsi="Century Gothic"/>
              </w:rPr>
            </w:pPr>
            <w:r w:rsidRPr="006F0829">
              <w:rPr>
                <w:rFonts w:ascii="Century Gothic" w:hAnsi="Century Gothic"/>
              </w:rPr>
              <w:t>Concerns from recreational fishers that environmental flows delivered during the opening of the Murray cod fishing season had disrupted local angling events.</w:t>
            </w:r>
          </w:p>
          <w:p w14:paraId="6C6502DF" w14:textId="77777777" w:rsidR="006F0829" w:rsidRPr="006F0829" w:rsidRDefault="006F0829" w:rsidP="006026F2">
            <w:pPr>
              <w:pStyle w:val="ListBullet"/>
              <w:numPr>
                <w:ilvl w:val="0"/>
                <w:numId w:val="0"/>
              </w:numPr>
              <w:spacing w:after="120"/>
              <w:rPr>
                <w:rFonts w:ascii="Century Gothic" w:hAnsi="Century Gothic"/>
                <w:iCs/>
                <w:color w:val="000000" w:themeColor="text1"/>
              </w:rPr>
            </w:pPr>
            <w:r w:rsidRPr="006F0829">
              <w:rPr>
                <w:rFonts w:ascii="Century Gothic" w:hAnsi="Century Gothic"/>
                <w:iCs/>
                <w:color w:val="000000" w:themeColor="text1"/>
              </w:rPr>
              <w:t xml:space="preserve">In response, changes were made to the way in which the water was delivered in order to improve environmental outcomes (fish breeding), reduce impacts (bank notching) and accommodate local needs (fishing competition and pump access). </w:t>
            </w:r>
          </w:p>
          <w:p w14:paraId="6C6502E0" w14:textId="77777777" w:rsidR="007A7A94" w:rsidRDefault="006F0829">
            <w:pPr>
              <w:pStyle w:val="ListBullet"/>
              <w:numPr>
                <w:ilvl w:val="0"/>
                <w:numId w:val="0"/>
              </w:numPr>
              <w:spacing w:after="120"/>
              <w:rPr>
                <w:rFonts w:ascii="Century Gothic" w:hAnsi="Century Gothic"/>
                <w:iCs/>
                <w:color w:val="000000" w:themeColor="text1"/>
              </w:rPr>
            </w:pPr>
            <w:r w:rsidRPr="006F0829">
              <w:rPr>
                <w:rFonts w:ascii="Century Gothic" w:hAnsi="Century Gothic"/>
                <w:iCs/>
                <w:color w:val="000000" w:themeColor="text1"/>
              </w:rPr>
              <w:t xml:space="preserve">The hydrographs on the following page (Figure </w:t>
            </w:r>
            <w:r w:rsidR="0010374D">
              <w:rPr>
                <w:rFonts w:ascii="Century Gothic" w:hAnsi="Century Gothic"/>
                <w:iCs/>
                <w:color w:val="000000" w:themeColor="text1"/>
              </w:rPr>
              <w:t>8</w:t>
            </w:r>
            <w:r w:rsidRPr="006F0829">
              <w:rPr>
                <w:rFonts w:ascii="Century Gothic" w:hAnsi="Century Gothic"/>
                <w:iCs/>
                <w:color w:val="000000" w:themeColor="text1"/>
              </w:rPr>
              <w:t>) show the contribution to flow of Commonwealth environmental water over the last three water years in the Goulburn River. These hydrographs show the ongoing adaptive management of environmental watering and some of the key decisions around the different timing and duration of watering events.</w:t>
            </w:r>
          </w:p>
          <w:p w14:paraId="6C6502E1" w14:textId="77777777" w:rsidR="007A7A94" w:rsidRDefault="006F0829">
            <w:pPr>
              <w:pStyle w:val="ListBullet"/>
              <w:numPr>
                <w:ilvl w:val="0"/>
                <w:numId w:val="0"/>
              </w:numPr>
              <w:spacing w:after="120"/>
              <w:rPr>
                <w:rFonts w:ascii="Century Gothic" w:hAnsi="Century Gothic"/>
                <w:iCs/>
                <w:color w:val="000000" w:themeColor="text1"/>
              </w:rPr>
            </w:pPr>
            <w:r w:rsidRPr="006F0829">
              <w:rPr>
                <w:rFonts w:ascii="Century Gothic" w:hAnsi="Century Gothic"/>
                <w:iCs/>
                <w:color w:val="000000" w:themeColor="text1"/>
              </w:rPr>
              <w:t xml:space="preserve">The first spring environmental flow in 2014 was brought forward to October, instead of November, and was delivered as a flow pulse (fresh) with a gradual recession. This watering action was intended to maximise outcomes for riverbank and in-channel vegetation (ensuring it received water before the hot summer), which in turn provides fish habitat and also reduces the risk of riverbank erosion. </w:t>
            </w:r>
          </w:p>
          <w:p w14:paraId="6C6502E2" w14:textId="77777777" w:rsidR="007A7A94" w:rsidRDefault="006F0829">
            <w:pPr>
              <w:pStyle w:val="ListBullet"/>
              <w:numPr>
                <w:ilvl w:val="0"/>
                <w:numId w:val="0"/>
              </w:numPr>
              <w:spacing w:after="120"/>
              <w:rPr>
                <w:rFonts w:ascii="Century Gothic" w:hAnsi="Century Gothic"/>
                <w:iCs/>
                <w:color w:val="000000" w:themeColor="text1"/>
              </w:rPr>
            </w:pPr>
            <w:r w:rsidRPr="006F0829">
              <w:rPr>
                <w:rFonts w:ascii="Century Gothic" w:hAnsi="Century Gothic"/>
                <w:iCs/>
                <w:color w:val="000000" w:themeColor="text1"/>
              </w:rPr>
              <w:t>A second spring flow pulse was timed for late November, to take advantage of warmer water temperatures to support golden perch spawning. The flow was specifically designed to ensure environmental watering did not coincide with the start of the Murray cod-fishing season on 1 December.</w:t>
            </w:r>
          </w:p>
          <w:p w14:paraId="6C6502E3" w14:textId="77777777" w:rsidR="007A7A94" w:rsidRDefault="006F0829">
            <w:pPr>
              <w:spacing w:after="120"/>
            </w:pPr>
            <w:r w:rsidRPr="006F0829">
              <w:rPr>
                <w:rFonts w:ascii="Century Gothic" w:hAnsi="Century Gothic"/>
                <w:iCs/>
                <w:color w:val="000000" w:themeColor="text1"/>
              </w:rPr>
              <w:t xml:space="preserve">Monitoring in 2014 identified the largest spawning of golden perch in the region since 2010, which occurred during the November environmental flow. Community members did not raise any concerns regarding riverbank erosion and reported that ‘it was the </w:t>
            </w:r>
            <w:r w:rsidRPr="006F0829">
              <w:rPr>
                <w:rFonts w:ascii="Century Gothic" w:hAnsi="Century Gothic"/>
              </w:rPr>
              <w:t>best fishing in years’.</w:t>
            </w:r>
          </w:p>
        </w:tc>
      </w:tr>
    </w:tbl>
    <w:p w14:paraId="6C6502E5" w14:textId="77777777" w:rsidR="00560A3C" w:rsidRPr="00642205" w:rsidRDefault="00560A3C" w:rsidP="006026F2">
      <w:pPr>
        <w:pStyle w:val="ListBullet"/>
        <w:numPr>
          <w:ilvl w:val="0"/>
          <w:numId w:val="0"/>
        </w:numPr>
        <w:spacing w:after="120"/>
        <w:rPr>
          <w:rFonts w:ascii="Century Gothic" w:hAnsi="Century Gothic"/>
          <w:iCs/>
          <w:color w:val="000000" w:themeColor="text1"/>
        </w:rPr>
      </w:pPr>
    </w:p>
    <w:p w14:paraId="6C6502E6" w14:textId="77777777" w:rsidR="007A7A94" w:rsidRDefault="007A7A94">
      <w:pPr>
        <w:pStyle w:val="Heading2"/>
        <w:numPr>
          <w:ilvl w:val="0"/>
          <w:numId w:val="0"/>
        </w:numPr>
        <w:pBdr>
          <w:top w:val="single" w:sz="4" w:space="1" w:color="auto"/>
          <w:left w:val="single" w:sz="4" w:space="4" w:color="auto"/>
          <w:bottom w:val="single" w:sz="4" w:space="1" w:color="auto"/>
          <w:right w:val="single" w:sz="4" w:space="4" w:color="auto"/>
        </w:pBdr>
        <w:spacing w:after="120"/>
        <w:jc w:val="center"/>
      </w:pPr>
      <w:bookmarkStart w:id="267" w:name="_Toc517264670"/>
      <w:r>
        <w:rPr>
          <w:noProof/>
        </w:rPr>
        <w:lastRenderedPageBreak/>
        <w:drawing>
          <wp:inline distT="0" distB="0" distL="0" distR="0" wp14:anchorId="6C650344" wp14:editId="6C650345">
            <wp:extent cx="4772025" cy="2815881"/>
            <wp:effectExtent l="19050" t="0" r="9525" b="0"/>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srcRect/>
                    <a:stretch>
                      <a:fillRect/>
                    </a:stretch>
                  </pic:blipFill>
                  <pic:spPr bwMode="auto">
                    <a:xfrm>
                      <a:off x="0" y="0"/>
                      <a:ext cx="4791031" cy="2827096"/>
                    </a:xfrm>
                    <a:prstGeom prst="rect">
                      <a:avLst/>
                    </a:prstGeom>
                    <a:noFill/>
                    <a:ln w="9525">
                      <a:noFill/>
                      <a:miter lim="800000"/>
                      <a:headEnd/>
                      <a:tailEnd/>
                    </a:ln>
                  </pic:spPr>
                </pic:pic>
              </a:graphicData>
            </a:graphic>
          </wp:inline>
        </w:drawing>
      </w:r>
      <w:bookmarkEnd w:id="267"/>
    </w:p>
    <w:p w14:paraId="6C6502E7" w14:textId="77777777" w:rsidR="007A7A94" w:rsidRDefault="007A7A94">
      <w:pPr>
        <w:pStyle w:val="Heading2"/>
        <w:numPr>
          <w:ilvl w:val="0"/>
          <w:numId w:val="0"/>
        </w:numPr>
        <w:pBdr>
          <w:top w:val="single" w:sz="4" w:space="1" w:color="auto"/>
          <w:left w:val="single" w:sz="4" w:space="4" w:color="auto"/>
          <w:bottom w:val="single" w:sz="4" w:space="1" w:color="auto"/>
          <w:right w:val="single" w:sz="4" w:space="4" w:color="auto"/>
        </w:pBdr>
        <w:spacing w:after="120"/>
        <w:jc w:val="center"/>
      </w:pPr>
      <w:bookmarkStart w:id="268" w:name="_Toc517264671"/>
      <w:r>
        <w:rPr>
          <w:noProof/>
        </w:rPr>
        <w:drawing>
          <wp:inline distT="0" distB="0" distL="0" distR="0" wp14:anchorId="6C650346" wp14:editId="6C650347">
            <wp:extent cx="4886325" cy="2889103"/>
            <wp:effectExtent l="19050" t="0" r="9525"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srcRect/>
                    <a:stretch>
                      <a:fillRect/>
                    </a:stretch>
                  </pic:blipFill>
                  <pic:spPr bwMode="auto">
                    <a:xfrm>
                      <a:off x="0" y="0"/>
                      <a:ext cx="4900507" cy="2897488"/>
                    </a:xfrm>
                    <a:prstGeom prst="rect">
                      <a:avLst/>
                    </a:prstGeom>
                    <a:noFill/>
                    <a:ln w="9525">
                      <a:noFill/>
                      <a:miter lim="800000"/>
                      <a:headEnd/>
                      <a:tailEnd/>
                    </a:ln>
                  </pic:spPr>
                </pic:pic>
              </a:graphicData>
            </a:graphic>
          </wp:inline>
        </w:drawing>
      </w:r>
      <w:r>
        <w:rPr>
          <w:noProof/>
        </w:rPr>
        <w:drawing>
          <wp:inline distT="0" distB="0" distL="0" distR="0" wp14:anchorId="6C650348" wp14:editId="6C650349">
            <wp:extent cx="4886325" cy="2883327"/>
            <wp:effectExtent l="19050" t="0" r="9525" b="0"/>
            <wp:docPr id="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srcRect/>
                    <a:stretch>
                      <a:fillRect/>
                    </a:stretch>
                  </pic:blipFill>
                  <pic:spPr bwMode="auto">
                    <a:xfrm>
                      <a:off x="0" y="0"/>
                      <a:ext cx="4896079" cy="2889082"/>
                    </a:xfrm>
                    <a:prstGeom prst="rect">
                      <a:avLst/>
                    </a:prstGeom>
                    <a:noFill/>
                    <a:ln w="9525">
                      <a:noFill/>
                      <a:miter lim="800000"/>
                      <a:headEnd/>
                      <a:tailEnd/>
                    </a:ln>
                  </pic:spPr>
                </pic:pic>
              </a:graphicData>
            </a:graphic>
          </wp:inline>
        </w:drawing>
      </w:r>
      <w:bookmarkEnd w:id="268"/>
    </w:p>
    <w:p w14:paraId="6C6502E8" w14:textId="2B92D6DF" w:rsidR="007A7A94" w:rsidRDefault="006F0829">
      <w:pPr>
        <w:pStyle w:val="Figure1"/>
        <w:pBdr>
          <w:top w:val="single" w:sz="4" w:space="1" w:color="auto"/>
          <w:left w:val="single" w:sz="4" w:space="4" w:color="auto"/>
          <w:bottom w:val="single" w:sz="4" w:space="1" w:color="auto"/>
          <w:right w:val="single" w:sz="4" w:space="4" w:color="auto"/>
        </w:pBdr>
        <w:spacing w:after="120"/>
        <w:jc w:val="center"/>
        <w:rPr>
          <w:rFonts w:cs="Arial"/>
          <w:b/>
        </w:rPr>
      </w:pPr>
      <w:r w:rsidRPr="008600C5">
        <w:rPr>
          <w:b/>
        </w:rPr>
        <w:t xml:space="preserve">Figure </w:t>
      </w:r>
      <w:r w:rsidR="0010374D">
        <w:rPr>
          <w:b/>
        </w:rPr>
        <w:t>8</w:t>
      </w:r>
      <w:r w:rsidR="00EC7032" w:rsidRPr="00EC7032">
        <w:t xml:space="preserve">: </w:t>
      </w:r>
      <w:r w:rsidR="008600C5" w:rsidRPr="008600C5">
        <w:t xml:space="preserve">Hydrographs of the Goulburn River over the last </w:t>
      </w:r>
      <w:r w:rsidR="008600C5" w:rsidRPr="001D2666">
        <w:t>three years</w:t>
      </w:r>
      <w:r w:rsidR="00EC7032" w:rsidRPr="00EC7032">
        <w:t xml:space="preserve"> </w:t>
      </w:r>
      <w:r w:rsidR="00C90205">
        <w:rPr>
          <w:rFonts w:cs="Arial"/>
          <w:b/>
        </w:rPr>
        <w:br w:type="page"/>
      </w:r>
    </w:p>
    <w:p w14:paraId="6C6502E9" w14:textId="77777777" w:rsidR="007A7A94" w:rsidRDefault="00E47462" w:rsidP="00F961D6">
      <w:pPr>
        <w:pStyle w:val="Attachment"/>
        <w:spacing w:after="120"/>
      </w:pPr>
      <w:bookmarkStart w:id="269" w:name="_Toc517264672"/>
      <w:r w:rsidRPr="00642205">
        <w:lastRenderedPageBreak/>
        <w:t>Attachment A</w:t>
      </w:r>
      <w:r w:rsidR="005539CE" w:rsidRPr="00642205">
        <w:t>:</w:t>
      </w:r>
      <w:r w:rsidRPr="00642205">
        <w:t xml:space="preserve"> </w:t>
      </w:r>
      <w:r w:rsidR="0097035C" w:rsidRPr="00642205">
        <w:t>Basin–wide environmental</w:t>
      </w:r>
      <w:r w:rsidR="00F961D6">
        <w:t xml:space="preserve"> </w:t>
      </w:r>
      <w:r w:rsidR="0097035C" w:rsidRPr="00642205">
        <w:t>watering strategy</w:t>
      </w:r>
      <w:bookmarkEnd w:id="269"/>
    </w:p>
    <w:p w14:paraId="0DC038B9" w14:textId="77777777" w:rsidR="00B27340" w:rsidRDefault="0097035C">
      <w:pPr>
        <w:pStyle w:val="ListBullet"/>
        <w:numPr>
          <w:ilvl w:val="0"/>
          <w:numId w:val="0"/>
        </w:numPr>
        <w:spacing w:after="120"/>
        <w:jc w:val="left"/>
        <w:rPr>
          <w:rFonts w:ascii="Century Gothic" w:hAnsi="Century Gothic"/>
        </w:rPr>
      </w:pPr>
      <w:r w:rsidRPr="0097035C">
        <w:rPr>
          <w:rFonts w:ascii="Century Gothic" w:hAnsi="Century Gothic"/>
        </w:rPr>
        <w:t xml:space="preserve">The MDBA has identified the </w:t>
      </w:r>
      <w:r w:rsidR="006574C4">
        <w:rPr>
          <w:rFonts w:ascii="Century Gothic" w:hAnsi="Century Gothic"/>
        </w:rPr>
        <w:t>following</w:t>
      </w:r>
      <w:r w:rsidR="006574C4" w:rsidRPr="0097035C">
        <w:rPr>
          <w:rFonts w:ascii="Century Gothic" w:hAnsi="Century Gothic"/>
        </w:rPr>
        <w:t xml:space="preserve"> </w:t>
      </w:r>
      <w:r w:rsidRPr="0097035C">
        <w:rPr>
          <w:rFonts w:ascii="Century Gothic" w:hAnsi="Century Gothic"/>
        </w:rPr>
        <w:t>list</w:t>
      </w:r>
      <w:r w:rsidR="00E47462" w:rsidRPr="0097035C">
        <w:rPr>
          <w:rFonts w:ascii="Century Gothic" w:hAnsi="Century Gothic"/>
        </w:rPr>
        <w:t xml:space="preserve"> of quantified </w:t>
      </w:r>
      <w:r w:rsidR="006574C4">
        <w:rPr>
          <w:rFonts w:ascii="Century Gothic" w:hAnsi="Century Gothic"/>
        </w:rPr>
        <w:t xml:space="preserve">expected </w:t>
      </w:r>
      <w:r w:rsidR="00E47462" w:rsidRPr="0097035C">
        <w:rPr>
          <w:rFonts w:ascii="Century Gothic" w:hAnsi="Century Gothic"/>
        </w:rPr>
        <w:t xml:space="preserve">environmental outcomes that can be achieved beyond 2019 </w:t>
      </w:r>
      <w:r w:rsidRPr="0097035C">
        <w:rPr>
          <w:rFonts w:ascii="Century Gothic" w:hAnsi="Century Gothic"/>
        </w:rPr>
        <w:t>through the Basin-wide environmental watering strategy</w:t>
      </w:r>
      <w:r w:rsidR="00B27340">
        <w:rPr>
          <w:rFonts w:ascii="Century Gothic" w:hAnsi="Century Gothic"/>
        </w:rPr>
        <w:t>:</w:t>
      </w:r>
    </w:p>
    <w:p w14:paraId="5CDB2F6D" w14:textId="12C4D335" w:rsidR="002B3E00" w:rsidRDefault="00D11956">
      <w:pPr>
        <w:pStyle w:val="ListBullet"/>
        <w:numPr>
          <w:ilvl w:val="0"/>
          <w:numId w:val="0"/>
        </w:numPr>
        <w:spacing w:after="120"/>
        <w:jc w:val="left"/>
        <w:rPr>
          <w:rFonts w:ascii="Century Gothic" w:hAnsi="Century Gothic"/>
        </w:rPr>
      </w:pPr>
      <w:hyperlink r:id="rId46" w:history="1">
        <w:r w:rsidR="002B3E00" w:rsidRPr="00EB17FC">
          <w:rPr>
            <w:rStyle w:val="Hyperlink"/>
            <w:rFonts w:ascii="Century Gothic" w:hAnsi="Century Gothic"/>
          </w:rPr>
          <w:t>https://www.mdba.gov.au/publications/mdba-reports/basin-wide-environmental-watering-strategy-2014</w:t>
        </w:r>
      </w:hyperlink>
      <w:r w:rsidR="00326B4E" w:rsidRPr="000E3C60">
        <w:rPr>
          <w:rFonts w:ascii="Century Gothic" w:hAnsi="Century Gothic"/>
        </w:rPr>
        <w:t>.</w:t>
      </w:r>
    </w:p>
    <w:tbl>
      <w:tblPr>
        <w:tblStyle w:val="TableGrid"/>
        <w:tblW w:w="10349" w:type="dxa"/>
        <w:tblInd w:w="-176" w:type="dxa"/>
        <w:tblCellMar>
          <w:top w:w="85" w:type="dxa"/>
          <w:bottom w:w="85" w:type="dxa"/>
        </w:tblCellMar>
        <w:tblLook w:val="04A0" w:firstRow="1" w:lastRow="0" w:firstColumn="1" w:lastColumn="0" w:noHBand="0" w:noVBand="1"/>
      </w:tblPr>
      <w:tblGrid>
        <w:gridCol w:w="2587"/>
        <w:gridCol w:w="2587"/>
        <w:gridCol w:w="2587"/>
        <w:gridCol w:w="2588"/>
      </w:tblGrid>
      <w:tr w:rsidR="00E47462" w:rsidRPr="0097035C" w14:paraId="6C6502EF" w14:textId="77777777" w:rsidTr="00033AD2">
        <w:trPr>
          <w:cnfStyle w:val="100000000000" w:firstRow="1" w:lastRow="0" w:firstColumn="0" w:lastColumn="0" w:oddVBand="0" w:evenVBand="0" w:oddHBand="0" w:evenHBand="0" w:firstRowFirstColumn="0" w:firstRowLastColumn="0" w:lastRowFirstColumn="0" w:lastRowLastColumn="0"/>
          <w:trHeight w:val="651"/>
          <w:tblHeader/>
        </w:trPr>
        <w:tc>
          <w:tcPr>
            <w:tcW w:w="2587" w:type="dxa"/>
            <w:shd w:val="clear" w:color="auto" w:fill="B2A1C7" w:themeFill="accent4" w:themeFillTint="99"/>
            <w:vAlign w:val="center"/>
          </w:tcPr>
          <w:p w14:paraId="6C6502EB" w14:textId="6ED461F5" w:rsidR="007A7A94" w:rsidRDefault="00E47462">
            <w:pPr>
              <w:spacing w:after="120"/>
              <w:jc w:val="left"/>
              <w:rPr>
                <w:rFonts w:ascii="Century Gothic" w:hAnsi="Century Gothic" w:cs="Arial"/>
                <w:b/>
                <w:color w:val="5F497A" w:themeColor="accent4" w:themeShade="BF"/>
                <w:sz w:val="18"/>
                <w:szCs w:val="18"/>
                <w:lang w:val="en-GB" w:eastAsia="en-US"/>
              </w:rPr>
            </w:pPr>
            <w:r w:rsidRPr="0097035C">
              <w:rPr>
                <w:rFonts w:ascii="Century Gothic" w:hAnsi="Century Gothic" w:cs="Arial"/>
                <w:b/>
                <w:sz w:val="18"/>
                <w:szCs w:val="18"/>
              </w:rPr>
              <w:t>River flows and connectivity</w:t>
            </w:r>
          </w:p>
        </w:tc>
        <w:tc>
          <w:tcPr>
            <w:tcW w:w="2587" w:type="dxa"/>
            <w:shd w:val="clear" w:color="auto" w:fill="B2A1C7" w:themeFill="accent4" w:themeFillTint="99"/>
            <w:vAlign w:val="center"/>
          </w:tcPr>
          <w:p w14:paraId="6C6502EC" w14:textId="77777777" w:rsidR="007A7A94" w:rsidRDefault="00E47462">
            <w:pPr>
              <w:spacing w:after="120"/>
              <w:jc w:val="left"/>
              <w:rPr>
                <w:rFonts w:ascii="Century Gothic" w:hAnsi="Century Gothic" w:cs="Arial"/>
                <w:b/>
                <w:color w:val="5F497A" w:themeColor="accent4" w:themeShade="BF"/>
                <w:sz w:val="18"/>
                <w:szCs w:val="18"/>
                <w:lang w:val="en-GB" w:eastAsia="en-US"/>
              </w:rPr>
            </w:pPr>
            <w:r w:rsidRPr="0097035C">
              <w:rPr>
                <w:rFonts w:ascii="Century Gothic" w:hAnsi="Century Gothic" w:cs="Arial"/>
                <w:b/>
                <w:sz w:val="18"/>
                <w:szCs w:val="18"/>
              </w:rPr>
              <w:t xml:space="preserve">Vegetation </w:t>
            </w:r>
          </w:p>
        </w:tc>
        <w:tc>
          <w:tcPr>
            <w:tcW w:w="2587" w:type="dxa"/>
            <w:shd w:val="clear" w:color="auto" w:fill="B2A1C7" w:themeFill="accent4" w:themeFillTint="99"/>
            <w:vAlign w:val="center"/>
          </w:tcPr>
          <w:p w14:paraId="6C6502ED" w14:textId="77777777" w:rsidR="007A7A94" w:rsidRDefault="00E47462">
            <w:pPr>
              <w:spacing w:after="120"/>
              <w:jc w:val="left"/>
              <w:rPr>
                <w:rFonts w:ascii="Century Gothic" w:hAnsi="Century Gothic" w:cs="Arial"/>
                <w:b/>
                <w:color w:val="5F497A" w:themeColor="accent4" w:themeShade="BF"/>
                <w:sz w:val="18"/>
                <w:szCs w:val="18"/>
                <w:lang w:val="en-GB" w:eastAsia="en-US"/>
              </w:rPr>
            </w:pPr>
            <w:r w:rsidRPr="0097035C">
              <w:rPr>
                <w:rFonts w:ascii="Century Gothic" w:hAnsi="Century Gothic" w:cs="Arial"/>
                <w:b/>
                <w:sz w:val="18"/>
                <w:szCs w:val="18"/>
              </w:rPr>
              <w:t xml:space="preserve">Waterbirds </w:t>
            </w:r>
          </w:p>
        </w:tc>
        <w:tc>
          <w:tcPr>
            <w:tcW w:w="2588" w:type="dxa"/>
            <w:shd w:val="clear" w:color="auto" w:fill="B2A1C7" w:themeFill="accent4" w:themeFillTint="99"/>
            <w:vAlign w:val="center"/>
          </w:tcPr>
          <w:p w14:paraId="6C6502EE" w14:textId="77777777" w:rsidR="007A7A94" w:rsidRDefault="00E47462">
            <w:pPr>
              <w:spacing w:after="120"/>
              <w:jc w:val="left"/>
              <w:rPr>
                <w:rFonts w:ascii="Century Gothic" w:hAnsi="Century Gothic" w:cs="Arial"/>
                <w:b/>
                <w:color w:val="5F497A" w:themeColor="accent4" w:themeShade="BF"/>
                <w:sz w:val="18"/>
                <w:szCs w:val="18"/>
                <w:lang w:val="en-GB" w:eastAsia="en-US"/>
              </w:rPr>
            </w:pPr>
            <w:r w:rsidRPr="0097035C">
              <w:rPr>
                <w:rFonts w:ascii="Century Gothic" w:hAnsi="Century Gothic" w:cs="Arial"/>
                <w:b/>
                <w:sz w:val="18"/>
                <w:szCs w:val="18"/>
              </w:rPr>
              <w:t xml:space="preserve">Fish </w:t>
            </w:r>
          </w:p>
        </w:tc>
      </w:tr>
      <w:tr w:rsidR="00E47462" w:rsidRPr="0097035C" w14:paraId="6C6502F4" w14:textId="77777777" w:rsidTr="00F961D6">
        <w:trPr>
          <w:cnfStyle w:val="000000100000" w:firstRow="0" w:lastRow="0" w:firstColumn="0" w:lastColumn="0" w:oddVBand="0" w:evenVBand="0" w:oddHBand="1" w:evenHBand="0" w:firstRowFirstColumn="0" w:firstRowLastColumn="0" w:lastRowFirstColumn="0" w:lastRowLastColumn="0"/>
          <w:trHeight w:val="1073"/>
        </w:trPr>
        <w:tc>
          <w:tcPr>
            <w:tcW w:w="2587" w:type="dxa"/>
            <w:shd w:val="clear" w:color="auto" w:fill="B2A1C7" w:themeFill="accent4" w:themeFillTint="99"/>
            <w:vAlign w:val="center"/>
          </w:tcPr>
          <w:p w14:paraId="6C6502F0" w14:textId="77777777" w:rsidR="007A7A94" w:rsidRDefault="00E47462">
            <w:pPr>
              <w:spacing w:after="120"/>
              <w:jc w:val="left"/>
              <w:rPr>
                <w:rFonts w:ascii="Century Gothic" w:hAnsi="Century Gothic" w:cs="Arial"/>
                <w:b/>
                <w:color w:val="5F497A" w:themeColor="accent4" w:themeShade="BF"/>
                <w:sz w:val="18"/>
                <w:szCs w:val="18"/>
                <w:lang w:val="en-GB" w:eastAsia="en-US"/>
              </w:rPr>
            </w:pPr>
            <w:r w:rsidRPr="0097035C">
              <w:rPr>
                <w:rFonts w:ascii="Century Gothic" w:hAnsi="Century Gothic" w:cs="Arial"/>
                <w:b/>
                <w:sz w:val="18"/>
                <w:szCs w:val="18"/>
              </w:rPr>
              <w:t xml:space="preserve">Improve connections along rivers and between rivers and their floodplains </w:t>
            </w:r>
          </w:p>
        </w:tc>
        <w:tc>
          <w:tcPr>
            <w:tcW w:w="2587" w:type="dxa"/>
            <w:shd w:val="clear" w:color="auto" w:fill="B2A1C7" w:themeFill="accent4" w:themeFillTint="99"/>
            <w:vAlign w:val="center"/>
          </w:tcPr>
          <w:p w14:paraId="6C6502F1" w14:textId="77777777" w:rsidR="007A7A94" w:rsidRDefault="00E47462">
            <w:pPr>
              <w:spacing w:after="120"/>
              <w:jc w:val="left"/>
              <w:rPr>
                <w:rFonts w:ascii="Century Gothic" w:hAnsi="Century Gothic" w:cs="Arial"/>
                <w:b/>
                <w:color w:val="5F497A" w:themeColor="accent4" w:themeShade="BF"/>
                <w:sz w:val="18"/>
                <w:szCs w:val="18"/>
                <w:lang w:val="en-GB" w:eastAsia="en-US"/>
              </w:rPr>
            </w:pPr>
            <w:r w:rsidRPr="0097035C">
              <w:rPr>
                <w:rFonts w:ascii="Century Gothic" w:hAnsi="Century Gothic" w:cs="Arial"/>
                <w:b/>
                <w:sz w:val="18"/>
                <w:szCs w:val="18"/>
              </w:rPr>
              <w:t xml:space="preserve">Maintain the extent and improve the condition </w:t>
            </w:r>
          </w:p>
        </w:tc>
        <w:tc>
          <w:tcPr>
            <w:tcW w:w="2587" w:type="dxa"/>
            <w:shd w:val="clear" w:color="auto" w:fill="B2A1C7" w:themeFill="accent4" w:themeFillTint="99"/>
            <w:vAlign w:val="center"/>
          </w:tcPr>
          <w:p w14:paraId="6C6502F2" w14:textId="77777777" w:rsidR="007A7A94" w:rsidRDefault="00E47462">
            <w:pPr>
              <w:spacing w:after="120"/>
              <w:jc w:val="left"/>
              <w:rPr>
                <w:rFonts w:ascii="Century Gothic" w:hAnsi="Century Gothic" w:cs="Arial"/>
                <w:b/>
                <w:color w:val="5F497A" w:themeColor="accent4" w:themeShade="BF"/>
                <w:sz w:val="18"/>
                <w:szCs w:val="18"/>
                <w:lang w:val="en-GB" w:eastAsia="en-US"/>
              </w:rPr>
            </w:pPr>
            <w:r w:rsidRPr="0097035C">
              <w:rPr>
                <w:rStyle w:val="Strong"/>
                <w:rFonts w:ascii="Century Gothic" w:hAnsi="Century Gothic"/>
                <w:sz w:val="18"/>
                <w:szCs w:val="18"/>
              </w:rPr>
              <w:t xml:space="preserve">Maintain current species diversity, improve breeding success and numbers </w:t>
            </w:r>
          </w:p>
        </w:tc>
        <w:tc>
          <w:tcPr>
            <w:tcW w:w="2588" w:type="dxa"/>
            <w:shd w:val="clear" w:color="auto" w:fill="B2A1C7" w:themeFill="accent4" w:themeFillTint="99"/>
            <w:vAlign w:val="center"/>
          </w:tcPr>
          <w:p w14:paraId="6C6502F3" w14:textId="77777777" w:rsidR="007A7A94" w:rsidRDefault="00E47462">
            <w:pPr>
              <w:spacing w:after="120"/>
              <w:jc w:val="left"/>
              <w:rPr>
                <w:rFonts w:ascii="Century Gothic" w:hAnsi="Century Gothic" w:cs="Arial"/>
                <w:b/>
                <w:color w:val="5F497A" w:themeColor="accent4" w:themeShade="BF"/>
                <w:sz w:val="18"/>
                <w:szCs w:val="18"/>
                <w:lang w:val="en-GB" w:eastAsia="en-US"/>
              </w:rPr>
            </w:pPr>
            <w:r w:rsidRPr="0097035C">
              <w:rPr>
                <w:rFonts w:ascii="Century Gothic" w:hAnsi="Century Gothic" w:cs="Arial"/>
                <w:b/>
                <w:sz w:val="18"/>
                <w:szCs w:val="18"/>
              </w:rPr>
              <w:t>Maintain current species diversity, extend distributions, improve breeding success and numbers</w:t>
            </w:r>
          </w:p>
        </w:tc>
      </w:tr>
      <w:tr w:rsidR="00E47462" w:rsidRPr="0097035C" w14:paraId="6C65032A" w14:textId="77777777" w:rsidTr="0014495A">
        <w:trPr>
          <w:cnfStyle w:val="000000010000" w:firstRow="0" w:lastRow="0" w:firstColumn="0" w:lastColumn="0" w:oddVBand="0" w:evenVBand="0" w:oddHBand="0" w:evenHBand="1" w:firstRowFirstColumn="0" w:firstRowLastColumn="0" w:lastRowFirstColumn="0" w:lastRowLastColumn="0"/>
          <w:trHeight w:val="2416"/>
        </w:trPr>
        <w:tc>
          <w:tcPr>
            <w:tcW w:w="2587" w:type="dxa"/>
          </w:tcPr>
          <w:p w14:paraId="6C6502F5" w14:textId="77777777" w:rsidR="007A7A94" w:rsidRDefault="00E47462">
            <w:pPr>
              <w:spacing w:after="120"/>
              <w:jc w:val="left"/>
              <w:rPr>
                <w:rFonts w:ascii="Century Gothic" w:hAnsi="Century Gothic"/>
                <w:b/>
                <w:color w:val="5F497A" w:themeColor="accent4" w:themeShade="BF"/>
                <w:sz w:val="18"/>
                <w:szCs w:val="18"/>
                <w:lang w:val="en-GB" w:eastAsia="en-US"/>
              </w:rPr>
            </w:pPr>
            <w:r w:rsidRPr="0097035C">
              <w:rPr>
                <w:rFonts w:ascii="Century Gothic" w:hAnsi="Century Gothic"/>
                <w:b/>
                <w:sz w:val="18"/>
                <w:szCs w:val="18"/>
                <w:lang w:val="en-GB"/>
              </w:rPr>
              <w:t>Maintained base flows:</w:t>
            </w:r>
          </w:p>
          <w:p w14:paraId="6C6502F6" w14:textId="77777777" w:rsidR="007A7A94" w:rsidRDefault="00E47462">
            <w:pPr>
              <w:pStyle w:val="Tablebullet"/>
              <w:spacing w:before="0" w:after="120"/>
              <w:rPr>
                <w:rFonts w:ascii="Century Gothic" w:hAnsi="Century Gothic"/>
                <w:b/>
                <w:color w:val="5F497A" w:themeColor="accent4" w:themeShade="BF"/>
                <w:sz w:val="18"/>
                <w:szCs w:val="18"/>
                <w:lang w:val="en-GB"/>
              </w:rPr>
            </w:pPr>
            <w:r w:rsidRPr="0097035C">
              <w:rPr>
                <w:rFonts w:ascii="Century Gothic" w:hAnsi="Century Gothic"/>
                <w:sz w:val="18"/>
                <w:szCs w:val="18"/>
              </w:rPr>
              <w:t>at least 60</w:t>
            </w:r>
            <w:r w:rsidR="005539CE" w:rsidRPr="0097035C">
              <w:rPr>
                <w:rFonts w:ascii="Century Gothic" w:hAnsi="Century Gothic"/>
                <w:sz w:val="18"/>
                <w:szCs w:val="18"/>
              </w:rPr>
              <w:t xml:space="preserve"> per cent</w:t>
            </w:r>
            <w:r w:rsidRPr="0097035C">
              <w:rPr>
                <w:rFonts w:ascii="Century Gothic" w:hAnsi="Century Gothic"/>
                <w:sz w:val="18"/>
                <w:szCs w:val="18"/>
              </w:rPr>
              <w:t xml:space="preserve"> of natural levels</w:t>
            </w:r>
          </w:p>
          <w:p w14:paraId="6C6502F7" w14:textId="77777777" w:rsidR="007A7A94" w:rsidRDefault="007A7A94">
            <w:pPr>
              <w:spacing w:after="120"/>
              <w:jc w:val="left"/>
              <w:rPr>
                <w:rFonts w:ascii="Century Gothic" w:hAnsi="Century Gothic"/>
                <w:b/>
                <w:sz w:val="18"/>
                <w:szCs w:val="18"/>
              </w:rPr>
            </w:pPr>
          </w:p>
          <w:p w14:paraId="6C6502F8" w14:textId="77777777" w:rsidR="007A7A94" w:rsidRDefault="00E47462">
            <w:pPr>
              <w:spacing w:after="120"/>
              <w:jc w:val="left"/>
              <w:rPr>
                <w:rFonts w:ascii="Century Gothic" w:hAnsi="Century Gothic"/>
                <w:b/>
                <w:sz w:val="18"/>
                <w:szCs w:val="18"/>
              </w:rPr>
            </w:pPr>
            <w:r w:rsidRPr="0097035C">
              <w:rPr>
                <w:rFonts w:ascii="Century Gothic" w:hAnsi="Century Gothic"/>
                <w:b/>
                <w:sz w:val="18"/>
                <w:szCs w:val="18"/>
              </w:rPr>
              <w:t>Improved overall flow:</w:t>
            </w:r>
          </w:p>
          <w:p w14:paraId="6C6502F9" w14:textId="77777777" w:rsidR="007A7A94" w:rsidRDefault="00E47462">
            <w:pPr>
              <w:pStyle w:val="Tablebullet"/>
              <w:spacing w:before="0" w:after="120"/>
              <w:rPr>
                <w:rFonts w:ascii="Century Gothic" w:hAnsi="Century Gothic"/>
                <w:sz w:val="18"/>
                <w:szCs w:val="18"/>
                <w:lang w:val="en-GB"/>
              </w:rPr>
            </w:pPr>
            <w:r w:rsidRPr="0097035C">
              <w:rPr>
                <w:rFonts w:ascii="Century Gothic" w:hAnsi="Century Gothic"/>
                <w:sz w:val="18"/>
                <w:szCs w:val="18"/>
                <w:lang w:val="en-GB"/>
              </w:rPr>
              <w:t>10</w:t>
            </w:r>
            <w:r w:rsidR="005539CE" w:rsidRPr="0097035C">
              <w:rPr>
                <w:rFonts w:ascii="Century Gothic" w:hAnsi="Century Gothic"/>
                <w:sz w:val="18"/>
                <w:szCs w:val="18"/>
                <w:lang w:val="en-GB"/>
              </w:rPr>
              <w:t xml:space="preserve"> per cent</w:t>
            </w:r>
            <w:r w:rsidRPr="0097035C">
              <w:rPr>
                <w:rFonts w:ascii="Century Gothic" w:hAnsi="Century Gothic"/>
                <w:sz w:val="18"/>
                <w:szCs w:val="18"/>
                <w:lang w:val="en-GB"/>
              </w:rPr>
              <w:t xml:space="preserve"> more into the Barwon–Darling</w:t>
            </w:r>
            <w:r w:rsidRPr="0097035C">
              <w:rPr>
                <w:rFonts w:ascii="Century Gothic" w:hAnsi="Century Gothic"/>
                <w:sz w:val="18"/>
                <w:szCs w:val="18"/>
                <w:vertAlign w:val="superscript"/>
              </w:rPr>
              <w:footnoteReference w:id="2"/>
            </w:r>
          </w:p>
          <w:p w14:paraId="6C6502FA" w14:textId="77777777" w:rsidR="007A7A94" w:rsidRDefault="00E47462">
            <w:pPr>
              <w:pStyle w:val="Tablebullet"/>
              <w:spacing w:before="0" w:after="120"/>
              <w:rPr>
                <w:rFonts w:ascii="Century Gothic" w:hAnsi="Century Gothic"/>
                <w:sz w:val="18"/>
                <w:szCs w:val="18"/>
                <w:lang w:val="en-GB"/>
              </w:rPr>
            </w:pPr>
            <w:r w:rsidRPr="0097035C">
              <w:rPr>
                <w:rFonts w:ascii="Century Gothic" w:hAnsi="Century Gothic"/>
                <w:sz w:val="18"/>
                <w:szCs w:val="18"/>
                <w:lang w:val="en-GB"/>
              </w:rPr>
              <w:t>30</w:t>
            </w:r>
            <w:r w:rsidR="005539CE" w:rsidRPr="0097035C">
              <w:rPr>
                <w:rFonts w:ascii="Century Gothic" w:hAnsi="Century Gothic"/>
                <w:sz w:val="18"/>
                <w:szCs w:val="18"/>
                <w:lang w:val="en-GB"/>
              </w:rPr>
              <w:t xml:space="preserve"> per cent</w:t>
            </w:r>
            <w:r w:rsidRPr="0097035C">
              <w:rPr>
                <w:rFonts w:ascii="Century Gothic" w:hAnsi="Century Gothic"/>
                <w:sz w:val="18"/>
                <w:szCs w:val="18"/>
                <w:lang w:val="en-GB"/>
              </w:rPr>
              <w:t xml:space="preserve"> more into the River Murray</w:t>
            </w:r>
            <w:r w:rsidRPr="0097035C">
              <w:rPr>
                <w:rFonts w:ascii="Century Gothic" w:hAnsi="Century Gothic"/>
                <w:sz w:val="18"/>
                <w:szCs w:val="18"/>
                <w:vertAlign w:val="superscript"/>
              </w:rPr>
              <w:footnoteReference w:id="3"/>
            </w:r>
          </w:p>
          <w:p w14:paraId="6C6502FB" w14:textId="77777777" w:rsidR="007A7A94" w:rsidRDefault="00E47462">
            <w:pPr>
              <w:pStyle w:val="Tablebullet"/>
              <w:spacing w:before="0" w:after="120"/>
              <w:rPr>
                <w:rFonts w:ascii="Century Gothic" w:hAnsi="Century Gothic"/>
                <w:sz w:val="18"/>
                <w:szCs w:val="18"/>
                <w:lang w:val="en-GB"/>
              </w:rPr>
            </w:pPr>
            <w:r w:rsidRPr="0097035C">
              <w:rPr>
                <w:rFonts w:ascii="Century Gothic" w:hAnsi="Century Gothic"/>
                <w:sz w:val="18"/>
                <w:szCs w:val="18"/>
                <w:lang w:val="en-GB"/>
              </w:rPr>
              <w:t>30–40</w:t>
            </w:r>
            <w:r w:rsidR="005539CE" w:rsidRPr="0097035C">
              <w:rPr>
                <w:rFonts w:ascii="Century Gothic" w:hAnsi="Century Gothic"/>
                <w:sz w:val="18"/>
                <w:szCs w:val="18"/>
                <w:lang w:val="en-GB"/>
              </w:rPr>
              <w:t xml:space="preserve"> per cent</w:t>
            </w:r>
            <w:r w:rsidRPr="0097035C">
              <w:rPr>
                <w:rFonts w:ascii="Century Gothic" w:hAnsi="Century Gothic"/>
                <w:sz w:val="18"/>
                <w:szCs w:val="18"/>
                <w:lang w:val="en-GB"/>
              </w:rPr>
              <w:t xml:space="preserve"> more to the Murray mouth (and it open to the sea 90</w:t>
            </w:r>
            <w:r w:rsidR="005539CE" w:rsidRPr="0097035C">
              <w:rPr>
                <w:rFonts w:ascii="Century Gothic" w:hAnsi="Century Gothic"/>
                <w:sz w:val="18"/>
                <w:szCs w:val="18"/>
                <w:lang w:val="en-GB"/>
              </w:rPr>
              <w:t xml:space="preserve"> per cent</w:t>
            </w:r>
            <w:r w:rsidRPr="0097035C">
              <w:rPr>
                <w:rFonts w:ascii="Century Gothic" w:hAnsi="Century Gothic"/>
                <w:sz w:val="18"/>
                <w:szCs w:val="18"/>
                <w:lang w:val="en-GB"/>
              </w:rPr>
              <w:t xml:space="preserve"> of the time)</w:t>
            </w:r>
          </w:p>
          <w:p w14:paraId="6C6502FC" w14:textId="77777777" w:rsidR="007A7A94" w:rsidRDefault="007A7A94">
            <w:pPr>
              <w:pStyle w:val="Tablebullet"/>
              <w:numPr>
                <w:ilvl w:val="0"/>
                <w:numId w:val="0"/>
              </w:numPr>
              <w:spacing w:before="0" w:after="120"/>
              <w:ind w:left="176"/>
              <w:rPr>
                <w:rFonts w:ascii="Century Gothic" w:hAnsi="Century Gothic"/>
                <w:sz w:val="18"/>
                <w:szCs w:val="18"/>
                <w:lang w:val="en-GB"/>
              </w:rPr>
            </w:pPr>
          </w:p>
          <w:p w14:paraId="6C6502FD" w14:textId="77777777" w:rsidR="007A7A94" w:rsidRDefault="00E47462">
            <w:pPr>
              <w:spacing w:after="120"/>
              <w:jc w:val="left"/>
              <w:rPr>
                <w:rFonts w:ascii="Century Gothic" w:hAnsi="Century Gothic"/>
                <w:b/>
                <w:sz w:val="18"/>
                <w:szCs w:val="18"/>
              </w:rPr>
            </w:pPr>
            <w:r w:rsidRPr="0097035C">
              <w:rPr>
                <w:rFonts w:ascii="Century Gothic" w:hAnsi="Century Gothic"/>
                <w:b/>
                <w:sz w:val="18"/>
                <w:szCs w:val="18"/>
              </w:rPr>
              <w:t>Maintained connectivity in areas where it is relatively unaffected:</w:t>
            </w:r>
          </w:p>
          <w:p w14:paraId="6C6502FE" w14:textId="77777777" w:rsidR="007A7A94" w:rsidRDefault="00E47462">
            <w:pPr>
              <w:pStyle w:val="Tablebullet"/>
              <w:spacing w:before="0" w:after="120"/>
              <w:rPr>
                <w:rFonts w:ascii="Century Gothic" w:hAnsi="Century Gothic"/>
                <w:sz w:val="18"/>
                <w:szCs w:val="18"/>
                <w:lang w:val="en-GB"/>
              </w:rPr>
            </w:pPr>
            <w:r w:rsidRPr="0097035C">
              <w:rPr>
                <w:rFonts w:ascii="Century Gothic" w:hAnsi="Century Gothic"/>
                <w:sz w:val="18"/>
                <w:szCs w:val="18"/>
                <w:lang w:val="en-GB"/>
              </w:rPr>
              <w:t>between rivers and floodplains in the Paroo, Moonie, Nebine, Warrego and Ovens</w:t>
            </w:r>
          </w:p>
          <w:p w14:paraId="6C6502FF" w14:textId="77777777" w:rsidR="007A7A94" w:rsidRDefault="007A7A94">
            <w:pPr>
              <w:pStyle w:val="Tablebullet"/>
              <w:numPr>
                <w:ilvl w:val="0"/>
                <w:numId w:val="0"/>
              </w:numPr>
              <w:spacing w:before="0" w:after="120"/>
              <w:ind w:left="176"/>
              <w:rPr>
                <w:rFonts w:ascii="Century Gothic" w:hAnsi="Century Gothic"/>
                <w:sz w:val="18"/>
                <w:szCs w:val="18"/>
                <w:lang w:val="en-GB"/>
              </w:rPr>
            </w:pPr>
          </w:p>
          <w:p w14:paraId="6C650300" w14:textId="77777777" w:rsidR="007A7A94" w:rsidRDefault="00E47462">
            <w:pPr>
              <w:spacing w:after="120"/>
              <w:jc w:val="left"/>
              <w:rPr>
                <w:rFonts w:ascii="Century Gothic" w:hAnsi="Century Gothic"/>
                <w:b/>
                <w:sz w:val="18"/>
                <w:szCs w:val="18"/>
              </w:rPr>
            </w:pPr>
            <w:r w:rsidRPr="0097035C">
              <w:rPr>
                <w:rFonts w:ascii="Century Gothic" w:hAnsi="Century Gothic"/>
                <w:b/>
                <w:sz w:val="18"/>
                <w:szCs w:val="18"/>
              </w:rPr>
              <w:t xml:space="preserve">Improved connectivity with bank-full and/or low floodplain flows: </w:t>
            </w:r>
          </w:p>
          <w:p w14:paraId="6C650301" w14:textId="77777777" w:rsidR="007A7A94" w:rsidRDefault="00E47462">
            <w:pPr>
              <w:pStyle w:val="Tablebullet"/>
              <w:spacing w:before="0" w:after="120"/>
              <w:rPr>
                <w:rFonts w:ascii="Century Gothic" w:hAnsi="Century Gothic"/>
                <w:sz w:val="18"/>
                <w:szCs w:val="18"/>
              </w:rPr>
            </w:pPr>
            <w:r w:rsidRPr="0097035C">
              <w:rPr>
                <w:rFonts w:ascii="Century Gothic" w:hAnsi="Century Gothic"/>
                <w:sz w:val="18"/>
                <w:szCs w:val="18"/>
                <w:lang w:val="en-GB"/>
              </w:rPr>
              <w:t>by 30–60</w:t>
            </w:r>
            <w:r w:rsidR="005539CE" w:rsidRPr="0097035C">
              <w:rPr>
                <w:rFonts w:ascii="Century Gothic" w:hAnsi="Century Gothic"/>
                <w:sz w:val="18"/>
                <w:szCs w:val="18"/>
                <w:lang w:val="en-GB"/>
              </w:rPr>
              <w:t xml:space="preserve"> per cent</w:t>
            </w:r>
            <w:r w:rsidRPr="0097035C">
              <w:rPr>
                <w:rFonts w:ascii="Century Gothic" w:hAnsi="Century Gothic"/>
                <w:sz w:val="18"/>
                <w:szCs w:val="18"/>
                <w:lang w:val="en-GB"/>
              </w:rPr>
              <w:t xml:space="preserve"> in the Murray, Murrumbidgee, Goulburn and Condamine–Balonne</w:t>
            </w:r>
          </w:p>
          <w:p w14:paraId="6C650302" w14:textId="77777777" w:rsidR="007A7A94" w:rsidRDefault="00E47462">
            <w:pPr>
              <w:pStyle w:val="Tablebullet"/>
              <w:spacing w:before="0" w:after="120"/>
              <w:rPr>
                <w:rFonts w:ascii="Century Gothic" w:hAnsi="Century Gothic"/>
                <w:sz w:val="18"/>
                <w:szCs w:val="18"/>
                <w:lang w:val="en-GB"/>
              </w:rPr>
            </w:pPr>
            <w:r w:rsidRPr="0097035C">
              <w:rPr>
                <w:rFonts w:ascii="Century Gothic" w:hAnsi="Century Gothic"/>
                <w:sz w:val="18"/>
                <w:szCs w:val="18"/>
                <w:lang w:val="en-GB"/>
              </w:rPr>
              <w:t>by 10–20</w:t>
            </w:r>
            <w:r w:rsidR="005539CE" w:rsidRPr="0097035C">
              <w:rPr>
                <w:rFonts w:ascii="Century Gothic" w:hAnsi="Century Gothic"/>
                <w:sz w:val="18"/>
                <w:szCs w:val="18"/>
                <w:lang w:val="en-GB"/>
              </w:rPr>
              <w:t xml:space="preserve"> per cent</w:t>
            </w:r>
            <w:r w:rsidRPr="0097035C">
              <w:rPr>
                <w:rFonts w:ascii="Century Gothic" w:hAnsi="Century Gothic"/>
                <w:sz w:val="18"/>
                <w:szCs w:val="18"/>
                <w:lang w:val="en-GB"/>
              </w:rPr>
              <w:t xml:space="preserve"> in remaining catchments</w:t>
            </w:r>
            <w:r w:rsidRPr="0097035C">
              <w:rPr>
                <w:rFonts w:ascii="Century Gothic" w:hAnsi="Century Gothic"/>
                <w:sz w:val="18"/>
                <w:szCs w:val="18"/>
                <w:vertAlign w:val="superscript"/>
              </w:rPr>
              <w:footnoteReference w:id="4"/>
            </w:r>
          </w:p>
          <w:p w14:paraId="6C650303" w14:textId="2A1371BE" w:rsidR="007A7A94" w:rsidRDefault="007A7A94">
            <w:pPr>
              <w:spacing w:after="120"/>
              <w:jc w:val="left"/>
              <w:rPr>
                <w:rFonts w:ascii="Century Gothic" w:hAnsi="Century Gothic"/>
                <w:b/>
                <w:sz w:val="18"/>
                <w:szCs w:val="18"/>
                <w:lang w:val="en-GB"/>
              </w:rPr>
            </w:pPr>
          </w:p>
          <w:p w14:paraId="6C650304" w14:textId="77777777" w:rsidR="007A7A94" w:rsidRDefault="00E47462">
            <w:pPr>
              <w:spacing w:after="120"/>
              <w:jc w:val="left"/>
              <w:rPr>
                <w:rFonts w:ascii="Century Gothic" w:hAnsi="Century Gothic"/>
                <w:b/>
                <w:sz w:val="18"/>
                <w:szCs w:val="18"/>
                <w:lang w:val="en-GB"/>
              </w:rPr>
            </w:pPr>
            <w:r w:rsidRPr="0097035C">
              <w:rPr>
                <w:rFonts w:ascii="Century Gothic" w:hAnsi="Century Gothic"/>
                <w:b/>
                <w:sz w:val="18"/>
                <w:szCs w:val="18"/>
                <w:lang w:val="en-GB"/>
              </w:rPr>
              <w:t xml:space="preserve">Maintain the Lower Lakes above sea level </w:t>
            </w:r>
          </w:p>
        </w:tc>
        <w:tc>
          <w:tcPr>
            <w:tcW w:w="2587" w:type="dxa"/>
          </w:tcPr>
          <w:p w14:paraId="6C650305" w14:textId="77777777" w:rsidR="007A7A94" w:rsidRDefault="00E47462">
            <w:pPr>
              <w:spacing w:after="120"/>
              <w:jc w:val="left"/>
              <w:rPr>
                <w:rFonts w:ascii="Century Gothic" w:hAnsi="Century Gothic"/>
                <w:b/>
                <w:sz w:val="18"/>
                <w:szCs w:val="18"/>
                <w:lang w:val="en-GB"/>
              </w:rPr>
            </w:pPr>
            <w:r w:rsidRPr="0097035C">
              <w:rPr>
                <w:rFonts w:ascii="Century Gothic" w:hAnsi="Century Gothic"/>
                <w:b/>
                <w:sz w:val="18"/>
                <w:szCs w:val="18"/>
                <w:lang w:val="en-GB"/>
              </w:rPr>
              <w:t>Maintenance of the current extent of:</w:t>
            </w:r>
          </w:p>
          <w:p w14:paraId="6C650306" w14:textId="77777777" w:rsidR="007A7A94" w:rsidRDefault="00E47462">
            <w:pPr>
              <w:pStyle w:val="Tablebullet"/>
              <w:spacing w:before="0" w:after="120"/>
              <w:rPr>
                <w:rFonts w:ascii="Century Gothic" w:hAnsi="Century Gothic"/>
                <w:sz w:val="18"/>
                <w:szCs w:val="18"/>
                <w:lang w:val="en-GB"/>
              </w:rPr>
            </w:pPr>
            <w:r w:rsidRPr="0097035C">
              <w:rPr>
                <w:rFonts w:ascii="Century Gothic" w:hAnsi="Century Gothic"/>
                <w:sz w:val="18"/>
                <w:szCs w:val="18"/>
                <w:lang w:val="en-GB"/>
              </w:rPr>
              <w:t>about 360,000 hectares of river red gum; 409,000 ha of black box; 310,000 ha of coolibah forest and woodlands; and existing large communities of lignum</w:t>
            </w:r>
          </w:p>
          <w:p w14:paraId="6C650307" w14:textId="77777777" w:rsidR="007A7A94" w:rsidRDefault="00E47462">
            <w:pPr>
              <w:pStyle w:val="Tablebullet"/>
              <w:spacing w:before="0" w:after="120"/>
              <w:rPr>
                <w:rFonts w:ascii="Century Gothic" w:hAnsi="Century Gothic"/>
                <w:sz w:val="18"/>
                <w:szCs w:val="18"/>
                <w:lang w:val="en-GB"/>
              </w:rPr>
            </w:pPr>
            <w:r w:rsidRPr="0097035C">
              <w:rPr>
                <w:rFonts w:ascii="Century Gothic" w:hAnsi="Century Gothic"/>
                <w:sz w:val="18"/>
                <w:szCs w:val="18"/>
                <w:lang w:val="en-GB"/>
              </w:rPr>
              <w:t>non-woody communities near or in wetlands, streams and on low-lying floodplains</w:t>
            </w:r>
          </w:p>
          <w:p w14:paraId="6C650308" w14:textId="77777777" w:rsidR="007A7A94" w:rsidRDefault="007A7A94">
            <w:pPr>
              <w:spacing w:after="120"/>
              <w:jc w:val="left"/>
              <w:rPr>
                <w:rFonts w:ascii="Century Gothic" w:hAnsi="Century Gothic"/>
                <w:b/>
                <w:sz w:val="18"/>
                <w:szCs w:val="18"/>
                <w:lang w:val="en-GB"/>
              </w:rPr>
            </w:pPr>
          </w:p>
          <w:p w14:paraId="6C650309" w14:textId="77777777" w:rsidR="007A7A94" w:rsidRDefault="00E47462">
            <w:pPr>
              <w:spacing w:after="120"/>
              <w:jc w:val="left"/>
              <w:rPr>
                <w:rFonts w:ascii="Century Gothic" w:hAnsi="Century Gothic"/>
                <w:sz w:val="18"/>
                <w:szCs w:val="18"/>
                <w:lang w:val="en-GB"/>
              </w:rPr>
            </w:pPr>
            <w:r w:rsidRPr="0097035C">
              <w:rPr>
                <w:rFonts w:ascii="Century Gothic" w:hAnsi="Century Gothic"/>
                <w:b/>
                <w:sz w:val="18"/>
                <w:szCs w:val="18"/>
                <w:lang w:val="en-GB"/>
              </w:rPr>
              <w:t>Maintain the current condition of lowland floodplain forests and woodlands of</w:t>
            </w:r>
            <w:r w:rsidRPr="0097035C">
              <w:rPr>
                <w:rFonts w:ascii="Century Gothic" w:hAnsi="Century Gothic"/>
                <w:sz w:val="18"/>
                <w:szCs w:val="18"/>
                <w:lang w:val="en-GB"/>
              </w:rPr>
              <w:t xml:space="preserve">: </w:t>
            </w:r>
          </w:p>
          <w:p w14:paraId="6C65030A" w14:textId="77777777" w:rsidR="007A7A94" w:rsidRDefault="00E47462">
            <w:pPr>
              <w:pStyle w:val="Tablebullet"/>
              <w:spacing w:before="0" w:after="120"/>
              <w:rPr>
                <w:rFonts w:ascii="Century Gothic" w:hAnsi="Century Gothic"/>
                <w:sz w:val="18"/>
                <w:szCs w:val="18"/>
                <w:lang w:val="en-GB"/>
              </w:rPr>
            </w:pPr>
            <w:r w:rsidRPr="0097035C">
              <w:rPr>
                <w:rFonts w:ascii="Century Gothic" w:hAnsi="Century Gothic"/>
                <w:sz w:val="18"/>
                <w:szCs w:val="18"/>
                <w:lang w:val="en-GB"/>
              </w:rPr>
              <w:t>river red gum</w:t>
            </w:r>
          </w:p>
          <w:p w14:paraId="6C65030B" w14:textId="77777777" w:rsidR="007A7A94" w:rsidRDefault="00E47462">
            <w:pPr>
              <w:pStyle w:val="Tablebullet"/>
              <w:spacing w:before="0" w:after="120"/>
              <w:rPr>
                <w:rFonts w:ascii="Century Gothic" w:hAnsi="Century Gothic"/>
                <w:sz w:val="18"/>
                <w:szCs w:val="18"/>
                <w:lang w:val="en-GB"/>
              </w:rPr>
            </w:pPr>
            <w:r w:rsidRPr="0097035C">
              <w:rPr>
                <w:rFonts w:ascii="Century Gothic" w:hAnsi="Century Gothic"/>
                <w:sz w:val="18"/>
                <w:szCs w:val="18"/>
                <w:lang w:val="en-GB"/>
              </w:rPr>
              <w:t xml:space="preserve">black box </w:t>
            </w:r>
          </w:p>
          <w:p w14:paraId="6C65030C" w14:textId="77777777" w:rsidR="007A7A94" w:rsidRDefault="00E47462">
            <w:pPr>
              <w:pStyle w:val="Tablebullet"/>
              <w:spacing w:before="0" w:after="120"/>
              <w:rPr>
                <w:rFonts w:ascii="Century Gothic" w:hAnsi="Century Gothic"/>
                <w:sz w:val="18"/>
                <w:szCs w:val="18"/>
                <w:lang w:val="en-GB"/>
              </w:rPr>
            </w:pPr>
            <w:r w:rsidRPr="0097035C">
              <w:rPr>
                <w:rFonts w:ascii="Century Gothic" w:hAnsi="Century Gothic"/>
                <w:sz w:val="18"/>
                <w:szCs w:val="18"/>
                <w:lang w:val="en-GB"/>
              </w:rPr>
              <w:t xml:space="preserve">coolibah </w:t>
            </w:r>
          </w:p>
          <w:p w14:paraId="6C65030D" w14:textId="77777777" w:rsidR="007A7A94" w:rsidRDefault="007A7A94">
            <w:pPr>
              <w:spacing w:after="120"/>
              <w:jc w:val="left"/>
              <w:rPr>
                <w:rFonts w:ascii="Century Gothic" w:hAnsi="Century Gothic"/>
                <w:b/>
                <w:sz w:val="18"/>
                <w:szCs w:val="18"/>
                <w:lang w:val="en-GB"/>
              </w:rPr>
            </w:pPr>
          </w:p>
          <w:p w14:paraId="6C65030E" w14:textId="77777777" w:rsidR="007A7A94" w:rsidRDefault="00E47462">
            <w:pPr>
              <w:spacing w:after="120"/>
              <w:jc w:val="left"/>
              <w:rPr>
                <w:rFonts w:ascii="Century Gothic" w:hAnsi="Century Gothic"/>
                <w:b/>
                <w:sz w:val="18"/>
                <w:szCs w:val="18"/>
                <w:lang w:val="en-GB"/>
              </w:rPr>
            </w:pPr>
            <w:r w:rsidRPr="0097035C">
              <w:rPr>
                <w:rFonts w:ascii="Century Gothic" w:hAnsi="Century Gothic"/>
                <w:b/>
                <w:sz w:val="18"/>
                <w:szCs w:val="18"/>
                <w:lang w:val="en-GB"/>
              </w:rPr>
              <w:t>Improved condition</w:t>
            </w:r>
            <w:r w:rsidRPr="0097035C">
              <w:rPr>
                <w:rFonts w:ascii="Century Gothic" w:hAnsi="Century Gothic"/>
                <w:sz w:val="18"/>
                <w:szCs w:val="18"/>
                <w:lang w:val="en-GB"/>
              </w:rPr>
              <w:t xml:space="preserve"> </w:t>
            </w:r>
            <w:r w:rsidRPr="0097035C">
              <w:rPr>
                <w:rFonts w:ascii="Century Gothic" w:hAnsi="Century Gothic"/>
                <w:b/>
                <w:sz w:val="18"/>
                <w:szCs w:val="18"/>
                <w:lang w:val="en-GB"/>
              </w:rPr>
              <w:t>of:</w:t>
            </w:r>
          </w:p>
          <w:p w14:paraId="6C65030F" w14:textId="77777777" w:rsidR="007A7A94" w:rsidRDefault="00E47462">
            <w:pPr>
              <w:pStyle w:val="Tablebullet"/>
              <w:spacing w:before="0" w:after="120"/>
              <w:rPr>
                <w:rFonts w:ascii="Century Gothic" w:hAnsi="Century Gothic"/>
                <w:sz w:val="18"/>
                <w:szCs w:val="18"/>
              </w:rPr>
            </w:pPr>
            <w:r w:rsidRPr="0097035C">
              <w:rPr>
                <w:rFonts w:ascii="Century Gothic" w:hAnsi="Century Gothic"/>
                <w:sz w:val="18"/>
                <w:szCs w:val="18"/>
                <w:lang w:val="en-GB"/>
              </w:rPr>
              <w:t>southern river red gum</w:t>
            </w:r>
          </w:p>
        </w:tc>
        <w:tc>
          <w:tcPr>
            <w:tcW w:w="2587" w:type="dxa"/>
          </w:tcPr>
          <w:p w14:paraId="6C650310" w14:textId="77777777" w:rsidR="007A7A94" w:rsidRDefault="00E47462">
            <w:pPr>
              <w:spacing w:after="120"/>
              <w:jc w:val="left"/>
              <w:rPr>
                <w:rFonts w:ascii="Century Gothic" w:hAnsi="Century Gothic"/>
                <w:b/>
                <w:sz w:val="18"/>
                <w:szCs w:val="18"/>
                <w:lang w:val="en-GB"/>
              </w:rPr>
            </w:pPr>
            <w:r w:rsidRPr="0097035C">
              <w:rPr>
                <w:rFonts w:ascii="Century Gothic" w:hAnsi="Century Gothic"/>
                <w:b/>
                <w:sz w:val="18"/>
                <w:szCs w:val="18"/>
                <w:lang w:val="en-GB"/>
              </w:rPr>
              <w:t>Maintained current species diversity of:</w:t>
            </w:r>
          </w:p>
          <w:p w14:paraId="6C650311" w14:textId="77777777" w:rsidR="007A7A94" w:rsidRDefault="00E47462">
            <w:pPr>
              <w:pStyle w:val="Tablebullet"/>
              <w:spacing w:before="0" w:after="120"/>
              <w:rPr>
                <w:rFonts w:ascii="Century Gothic" w:hAnsi="Century Gothic"/>
                <w:sz w:val="18"/>
                <w:szCs w:val="18"/>
                <w:lang w:val="en-GB"/>
              </w:rPr>
            </w:pPr>
            <w:r w:rsidRPr="0097035C">
              <w:rPr>
                <w:rFonts w:ascii="Century Gothic" w:hAnsi="Century Gothic"/>
                <w:sz w:val="18"/>
                <w:szCs w:val="18"/>
                <w:lang w:val="en-GB"/>
              </w:rPr>
              <w:t xml:space="preserve">all current Basin waterbirds </w:t>
            </w:r>
          </w:p>
          <w:p w14:paraId="6C650312" w14:textId="77777777" w:rsidR="007A7A94" w:rsidRDefault="00E47462">
            <w:pPr>
              <w:pStyle w:val="Tablebullet"/>
              <w:spacing w:before="0" w:after="120"/>
              <w:rPr>
                <w:rFonts w:ascii="Century Gothic" w:hAnsi="Century Gothic"/>
                <w:sz w:val="18"/>
                <w:szCs w:val="18"/>
                <w:lang w:val="en-GB"/>
              </w:rPr>
            </w:pPr>
            <w:r w:rsidRPr="0097035C">
              <w:rPr>
                <w:rFonts w:ascii="Century Gothic" w:hAnsi="Century Gothic"/>
                <w:sz w:val="18"/>
                <w:szCs w:val="18"/>
                <w:lang w:val="en-GB"/>
              </w:rPr>
              <w:t>current migratory shorebirds at the Coorong</w:t>
            </w:r>
          </w:p>
          <w:p w14:paraId="6C650313" w14:textId="77777777" w:rsidR="007A7A94" w:rsidRDefault="007A7A94">
            <w:pPr>
              <w:pStyle w:val="Tablebullet"/>
              <w:numPr>
                <w:ilvl w:val="0"/>
                <w:numId w:val="0"/>
              </w:numPr>
              <w:spacing w:before="0" w:after="120"/>
              <w:ind w:left="175"/>
              <w:rPr>
                <w:rFonts w:ascii="Century Gothic" w:hAnsi="Century Gothic"/>
                <w:sz w:val="18"/>
                <w:szCs w:val="18"/>
                <w:lang w:val="en-GB"/>
              </w:rPr>
            </w:pPr>
          </w:p>
          <w:p w14:paraId="6C650314" w14:textId="77777777" w:rsidR="007A7A94" w:rsidRDefault="00E47462">
            <w:pPr>
              <w:spacing w:after="120"/>
              <w:jc w:val="left"/>
              <w:rPr>
                <w:rFonts w:ascii="Century Gothic" w:hAnsi="Century Gothic"/>
                <w:b/>
                <w:sz w:val="18"/>
                <w:szCs w:val="18"/>
                <w:lang w:val="en-GB"/>
              </w:rPr>
            </w:pPr>
            <w:r w:rsidRPr="0097035C">
              <w:rPr>
                <w:rFonts w:ascii="Century Gothic" w:hAnsi="Century Gothic"/>
                <w:b/>
                <w:sz w:val="18"/>
                <w:szCs w:val="18"/>
                <w:lang w:val="en-GB"/>
              </w:rPr>
              <w:t>Increased abundance:</w:t>
            </w:r>
          </w:p>
          <w:p w14:paraId="6C650315" w14:textId="77777777" w:rsidR="007A7A94" w:rsidRDefault="00E47462">
            <w:pPr>
              <w:pStyle w:val="Tablebullet"/>
              <w:spacing w:before="0" w:after="120"/>
              <w:rPr>
                <w:rFonts w:ascii="Century Gothic" w:hAnsi="Century Gothic"/>
                <w:sz w:val="18"/>
                <w:szCs w:val="18"/>
                <w:lang w:val="en-GB"/>
              </w:rPr>
            </w:pPr>
            <w:r w:rsidRPr="0097035C">
              <w:rPr>
                <w:rFonts w:ascii="Century Gothic" w:hAnsi="Century Gothic"/>
                <w:sz w:val="18"/>
                <w:szCs w:val="18"/>
                <w:lang w:val="en-GB"/>
              </w:rPr>
              <w:t>20–25</w:t>
            </w:r>
            <w:r w:rsidR="005539CE" w:rsidRPr="0097035C">
              <w:rPr>
                <w:rFonts w:ascii="Century Gothic" w:hAnsi="Century Gothic"/>
                <w:sz w:val="18"/>
                <w:szCs w:val="18"/>
                <w:lang w:val="en-GB"/>
              </w:rPr>
              <w:t xml:space="preserve"> per cent</w:t>
            </w:r>
            <w:r w:rsidRPr="0097035C">
              <w:rPr>
                <w:rFonts w:ascii="Century Gothic" w:hAnsi="Century Gothic"/>
                <w:sz w:val="18"/>
                <w:szCs w:val="18"/>
                <w:lang w:val="en-GB"/>
              </w:rPr>
              <w:t xml:space="preserve"> increase in waterbirds by 2024</w:t>
            </w:r>
          </w:p>
          <w:p w14:paraId="6C650316" w14:textId="77777777" w:rsidR="007A7A94" w:rsidRDefault="007A7A94">
            <w:pPr>
              <w:pStyle w:val="Tablebullet"/>
              <w:numPr>
                <w:ilvl w:val="0"/>
                <w:numId w:val="0"/>
              </w:numPr>
              <w:spacing w:before="0" w:after="120"/>
              <w:ind w:left="176"/>
              <w:rPr>
                <w:rFonts w:ascii="Century Gothic" w:hAnsi="Century Gothic"/>
                <w:sz w:val="18"/>
                <w:szCs w:val="18"/>
              </w:rPr>
            </w:pPr>
          </w:p>
          <w:p w14:paraId="6C650317" w14:textId="77777777" w:rsidR="007A7A94" w:rsidRDefault="00E47462">
            <w:pPr>
              <w:spacing w:after="120"/>
              <w:jc w:val="left"/>
              <w:rPr>
                <w:rFonts w:ascii="Century Gothic" w:hAnsi="Century Gothic"/>
                <w:b/>
                <w:sz w:val="18"/>
                <w:szCs w:val="18"/>
              </w:rPr>
            </w:pPr>
            <w:r w:rsidRPr="0097035C">
              <w:rPr>
                <w:rFonts w:ascii="Century Gothic" w:hAnsi="Century Gothic"/>
                <w:b/>
                <w:sz w:val="18"/>
                <w:szCs w:val="18"/>
              </w:rPr>
              <w:t xml:space="preserve">Improved </w:t>
            </w:r>
            <w:r w:rsidRPr="0097035C">
              <w:rPr>
                <w:rFonts w:ascii="Century Gothic" w:hAnsi="Century Gothic"/>
                <w:b/>
                <w:sz w:val="18"/>
                <w:szCs w:val="18"/>
                <w:lang w:val="en-GB"/>
              </w:rPr>
              <w:t>breeding:</w:t>
            </w:r>
          </w:p>
          <w:p w14:paraId="6C650318" w14:textId="77777777" w:rsidR="007A7A94" w:rsidRDefault="00E47462">
            <w:pPr>
              <w:pStyle w:val="Tablebullet"/>
              <w:spacing w:before="0" w:after="120"/>
              <w:rPr>
                <w:rFonts w:ascii="Century Gothic" w:hAnsi="Century Gothic"/>
                <w:sz w:val="18"/>
                <w:szCs w:val="18"/>
                <w:lang w:val="en-GB"/>
              </w:rPr>
            </w:pPr>
            <w:r w:rsidRPr="0097035C">
              <w:rPr>
                <w:rFonts w:ascii="Century Gothic" w:hAnsi="Century Gothic"/>
                <w:sz w:val="18"/>
                <w:szCs w:val="18"/>
                <w:lang w:val="en-GB"/>
              </w:rPr>
              <w:t>up to 50</w:t>
            </w:r>
            <w:r w:rsidR="005539CE" w:rsidRPr="0097035C">
              <w:rPr>
                <w:rFonts w:ascii="Century Gothic" w:hAnsi="Century Gothic"/>
                <w:sz w:val="18"/>
                <w:szCs w:val="18"/>
                <w:lang w:val="en-GB"/>
              </w:rPr>
              <w:t xml:space="preserve"> per cent</w:t>
            </w:r>
            <w:r w:rsidRPr="0097035C">
              <w:rPr>
                <w:rFonts w:ascii="Century Gothic" w:hAnsi="Century Gothic"/>
                <w:sz w:val="18"/>
                <w:szCs w:val="18"/>
                <w:lang w:val="en-GB"/>
              </w:rPr>
              <w:t xml:space="preserve"> more breeding events for colonial nesting waterbird species</w:t>
            </w:r>
          </w:p>
          <w:p w14:paraId="6C650319" w14:textId="77777777" w:rsidR="007A7A94" w:rsidRDefault="00E47462">
            <w:pPr>
              <w:pStyle w:val="Tablebullet"/>
              <w:spacing w:before="0" w:after="120"/>
              <w:rPr>
                <w:rFonts w:ascii="Century Gothic" w:hAnsi="Century Gothic"/>
                <w:sz w:val="18"/>
                <w:szCs w:val="18"/>
                <w:lang w:val="en-GB"/>
              </w:rPr>
            </w:pPr>
            <w:r w:rsidRPr="0097035C">
              <w:rPr>
                <w:rFonts w:ascii="Century Gothic" w:hAnsi="Century Gothic"/>
                <w:sz w:val="18"/>
                <w:szCs w:val="18"/>
                <w:lang w:val="en-GB"/>
              </w:rPr>
              <w:t>a 30–40</w:t>
            </w:r>
            <w:r w:rsidR="005539CE" w:rsidRPr="0097035C">
              <w:rPr>
                <w:rFonts w:ascii="Century Gothic" w:hAnsi="Century Gothic"/>
                <w:sz w:val="18"/>
                <w:szCs w:val="18"/>
                <w:lang w:val="en-GB"/>
              </w:rPr>
              <w:t xml:space="preserve"> per cent</w:t>
            </w:r>
            <w:r w:rsidRPr="0097035C">
              <w:rPr>
                <w:rFonts w:ascii="Century Gothic" w:hAnsi="Century Gothic"/>
                <w:sz w:val="18"/>
                <w:szCs w:val="18"/>
                <w:lang w:val="en-GB"/>
              </w:rPr>
              <w:t xml:space="preserve"> increase in nests and broods for other waterbirds</w:t>
            </w:r>
          </w:p>
        </w:tc>
        <w:tc>
          <w:tcPr>
            <w:tcW w:w="2588" w:type="dxa"/>
          </w:tcPr>
          <w:p w14:paraId="6C65031A" w14:textId="77777777" w:rsidR="007A7A94" w:rsidRDefault="00E47462">
            <w:pPr>
              <w:spacing w:after="120"/>
              <w:jc w:val="left"/>
              <w:rPr>
                <w:rFonts w:ascii="Century Gothic" w:hAnsi="Century Gothic"/>
                <w:b/>
                <w:sz w:val="18"/>
                <w:szCs w:val="18"/>
              </w:rPr>
            </w:pPr>
            <w:r w:rsidRPr="0097035C">
              <w:rPr>
                <w:rFonts w:ascii="Century Gothic" w:hAnsi="Century Gothic"/>
                <w:b/>
                <w:sz w:val="18"/>
                <w:szCs w:val="18"/>
              </w:rPr>
              <w:t>Improved distribution:</w:t>
            </w:r>
          </w:p>
          <w:p w14:paraId="6C65031B" w14:textId="77777777" w:rsidR="007A7A94" w:rsidRDefault="00E47462">
            <w:pPr>
              <w:pStyle w:val="Tablebullet"/>
              <w:spacing w:before="0" w:after="120"/>
              <w:rPr>
                <w:rFonts w:ascii="Century Gothic" w:hAnsi="Century Gothic"/>
                <w:sz w:val="18"/>
                <w:szCs w:val="18"/>
                <w:lang w:val="en-GB"/>
              </w:rPr>
            </w:pPr>
            <w:r w:rsidRPr="0097035C">
              <w:rPr>
                <w:rFonts w:ascii="Century Gothic" w:hAnsi="Century Gothic"/>
                <w:sz w:val="18"/>
                <w:szCs w:val="18"/>
                <w:lang w:val="en-GB"/>
              </w:rPr>
              <w:t>of key short and long-lived fish species across the Basin</w:t>
            </w:r>
          </w:p>
          <w:p w14:paraId="6C65031C" w14:textId="77777777" w:rsidR="007A7A94" w:rsidRDefault="007A7A94">
            <w:pPr>
              <w:pStyle w:val="Tablebullet"/>
              <w:numPr>
                <w:ilvl w:val="0"/>
                <w:numId w:val="0"/>
              </w:numPr>
              <w:spacing w:before="0" w:after="120"/>
              <w:ind w:left="176"/>
              <w:rPr>
                <w:rFonts w:ascii="Century Gothic" w:hAnsi="Century Gothic"/>
                <w:sz w:val="18"/>
                <w:szCs w:val="18"/>
                <w:lang w:val="en-GB"/>
              </w:rPr>
            </w:pPr>
          </w:p>
          <w:p w14:paraId="6C65031D" w14:textId="77777777" w:rsidR="007A7A94" w:rsidRDefault="00E47462">
            <w:pPr>
              <w:spacing w:after="120"/>
              <w:jc w:val="left"/>
              <w:rPr>
                <w:rFonts w:ascii="Century Gothic" w:hAnsi="Century Gothic"/>
                <w:b/>
                <w:sz w:val="18"/>
                <w:szCs w:val="18"/>
              </w:rPr>
            </w:pPr>
            <w:r w:rsidRPr="0097035C">
              <w:rPr>
                <w:rFonts w:ascii="Century Gothic" w:hAnsi="Century Gothic"/>
                <w:b/>
                <w:sz w:val="18"/>
                <w:szCs w:val="18"/>
              </w:rPr>
              <w:t>Improved breeding success for:</w:t>
            </w:r>
          </w:p>
          <w:p w14:paraId="6C65031E" w14:textId="77777777" w:rsidR="007A7A94" w:rsidRDefault="00E47462">
            <w:pPr>
              <w:pStyle w:val="Tablebullet"/>
              <w:spacing w:before="0" w:after="120"/>
              <w:rPr>
                <w:rFonts w:ascii="Century Gothic" w:hAnsi="Century Gothic"/>
                <w:sz w:val="18"/>
                <w:szCs w:val="18"/>
                <w:lang w:val="en-GB"/>
              </w:rPr>
            </w:pPr>
            <w:r w:rsidRPr="0097035C">
              <w:rPr>
                <w:rFonts w:ascii="Century Gothic" w:hAnsi="Century Gothic"/>
                <w:sz w:val="18"/>
                <w:szCs w:val="18"/>
                <w:lang w:val="en-GB"/>
              </w:rPr>
              <w:t>short-lived species (every 1–2 years)</w:t>
            </w:r>
          </w:p>
          <w:p w14:paraId="6C65031F" w14:textId="77777777" w:rsidR="007A7A94" w:rsidRDefault="00E47462">
            <w:pPr>
              <w:pStyle w:val="Tablebullet"/>
              <w:spacing w:before="0" w:after="120"/>
              <w:rPr>
                <w:rFonts w:ascii="Century Gothic" w:hAnsi="Century Gothic"/>
                <w:sz w:val="18"/>
                <w:szCs w:val="18"/>
                <w:lang w:val="en-GB"/>
              </w:rPr>
            </w:pPr>
            <w:r w:rsidRPr="0097035C">
              <w:rPr>
                <w:rFonts w:ascii="Century Gothic" w:hAnsi="Century Gothic"/>
                <w:sz w:val="18"/>
                <w:szCs w:val="18"/>
                <w:lang w:val="en-GB"/>
              </w:rPr>
              <w:t>long-lived species in at least 8/10 years at 80</w:t>
            </w:r>
            <w:r w:rsidR="005539CE" w:rsidRPr="0097035C">
              <w:rPr>
                <w:rFonts w:ascii="Century Gothic" w:hAnsi="Century Gothic"/>
                <w:sz w:val="18"/>
                <w:szCs w:val="18"/>
                <w:lang w:val="en-GB"/>
              </w:rPr>
              <w:t xml:space="preserve"> per cent</w:t>
            </w:r>
            <w:r w:rsidRPr="0097035C">
              <w:rPr>
                <w:rFonts w:ascii="Century Gothic" w:hAnsi="Century Gothic"/>
                <w:sz w:val="18"/>
                <w:szCs w:val="18"/>
                <w:lang w:val="en-GB"/>
              </w:rPr>
              <w:t xml:space="preserve"> of key sites </w:t>
            </w:r>
          </w:p>
          <w:p w14:paraId="6C650320" w14:textId="77777777" w:rsidR="007A7A94" w:rsidRDefault="00E47462">
            <w:pPr>
              <w:pStyle w:val="Tablebullet"/>
              <w:spacing w:before="0" w:after="120"/>
              <w:rPr>
                <w:rFonts w:ascii="Century Gothic" w:hAnsi="Century Gothic"/>
                <w:sz w:val="18"/>
                <w:szCs w:val="18"/>
                <w:lang w:val="en-GB"/>
              </w:rPr>
            </w:pPr>
            <w:r w:rsidRPr="0097035C">
              <w:rPr>
                <w:rFonts w:ascii="Century Gothic" w:hAnsi="Century Gothic"/>
                <w:sz w:val="18"/>
                <w:szCs w:val="18"/>
                <w:lang w:val="en-GB"/>
              </w:rPr>
              <w:t>mulloway in at least 5/10 years</w:t>
            </w:r>
          </w:p>
          <w:p w14:paraId="6C650321" w14:textId="77777777" w:rsidR="007A7A94" w:rsidRDefault="007A7A94">
            <w:pPr>
              <w:pStyle w:val="Tablebullet"/>
              <w:numPr>
                <w:ilvl w:val="0"/>
                <w:numId w:val="0"/>
              </w:numPr>
              <w:spacing w:before="0" w:after="120"/>
              <w:ind w:left="176"/>
              <w:rPr>
                <w:rFonts w:ascii="Century Gothic" w:hAnsi="Century Gothic"/>
                <w:sz w:val="18"/>
                <w:szCs w:val="18"/>
                <w:lang w:val="en-GB"/>
              </w:rPr>
            </w:pPr>
          </w:p>
          <w:p w14:paraId="6C650322" w14:textId="77777777" w:rsidR="007A7A94" w:rsidRDefault="00E47462">
            <w:pPr>
              <w:spacing w:after="120"/>
              <w:jc w:val="left"/>
              <w:rPr>
                <w:rFonts w:ascii="Century Gothic" w:hAnsi="Century Gothic"/>
                <w:b/>
                <w:sz w:val="18"/>
                <w:szCs w:val="18"/>
              </w:rPr>
            </w:pPr>
            <w:r w:rsidRPr="0097035C">
              <w:rPr>
                <w:rFonts w:ascii="Century Gothic" w:hAnsi="Century Gothic"/>
                <w:b/>
                <w:sz w:val="18"/>
                <w:szCs w:val="18"/>
              </w:rPr>
              <w:t>Improved populations of:</w:t>
            </w:r>
          </w:p>
          <w:p w14:paraId="6C650323" w14:textId="77777777" w:rsidR="007A7A94" w:rsidRDefault="00E47462">
            <w:pPr>
              <w:pStyle w:val="Tablebullet"/>
              <w:spacing w:before="0" w:after="120"/>
              <w:rPr>
                <w:rFonts w:ascii="Century Gothic" w:hAnsi="Century Gothic"/>
                <w:sz w:val="18"/>
                <w:szCs w:val="18"/>
                <w:lang w:val="en-GB"/>
              </w:rPr>
            </w:pPr>
            <w:r w:rsidRPr="0097035C">
              <w:rPr>
                <w:rFonts w:ascii="Century Gothic" w:hAnsi="Century Gothic"/>
                <w:sz w:val="18"/>
                <w:szCs w:val="18"/>
                <w:lang w:val="en-GB"/>
              </w:rPr>
              <w:t>short-lived species (numbers at pre-2007 levels)</w:t>
            </w:r>
          </w:p>
          <w:p w14:paraId="6C650324" w14:textId="77777777" w:rsidR="007A7A94" w:rsidRDefault="00E47462">
            <w:pPr>
              <w:pStyle w:val="Tablebullet"/>
              <w:spacing w:before="0" w:after="120"/>
              <w:rPr>
                <w:rFonts w:ascii="Century Gothic" w:hAnsi="Century Gothic"/>
                <w:sz w:val="18"/>
                <w:szCs w:val="18"/>
                <w:lang w:val="en-GB"/>
              </w:rPr>
            </w:pPr>
            <w:r w:rsidRPr="0097035C">
              <w:rPr>
                <w:rFonts w:ascii="Century Gothic" w:hAnsi="Century Gothic"/>
                <w:sz w:val="18"/>
                <w:szCs w:val="18"/>
                <w:lang w:val="en-GB"/>
              </w:rPr>
              <w:t>long-lived species (with a spread of age classes represented)</w:t>
            </w:r>
          </w:p>
          <w:p w14:paraId="6C650325" w14:textId="77777777" w:rsidR="007A7A94" w:rsidRDefault="00E47462">
            <w:pPr>
              <w:pStyle w:val="Tablebullet"/>
              <w:spacing w:before="0" w:after="120"/>
              <w:rPr>
                <w:rFonts w:ascii="Century Gothic" w:hAnsi="Century Gothic"/>
                <w:sz w:val="18"/>
                <w:szCs w:val="18"/>
                <w:lang w:val="en-GB"/>
              </w:rPr>
            </w:pPr>
            <w:r w:rsidRPr="0097035C">
              <w:rPr>
                <w:rFonts w:ascii="Century Gothic" w:hAnsi="Century Gothic"/>
                <w:sz w:val="18"/>
                <w:szCs w:val="18"/>
                <w:lang w:val="en-GB"/>
              </w:rPr>
              <w:t>Murray cod and golden perch (10–15</w:t>
            </w:r>
            <w:r w:rsidR="005539CE" w:rsidRPr="0097035C">
              <w:rPr>
                <w:rFonts w:ascii="Century Gothic" w:hAnsi="Century Gothic"/>
                <w:sz w:val="18"/>
                <w:szCs w:val="18"/>
                <w:lang w:val="en-GB"/>
              </w:rPr>
              <w:t xml:space="preserve"> per cent</w:t>
            </w:r>
            <w:r w:rsidRPr="0097035C">
              <w:rPr>
                <w:rFonts w:ascii="Century Gothic" w:hAnsi="Century Gothic"/>
                <w:sz w:val="18"/>
                <w:szCs w:val="18"/>
                <w:lang w:val="en-GB"/>
              </w:rPr>
              <w:t xml:space="preserve"> more mature fish at key sites)</w:t>
            </w:r>
          </w:p>
          <w:p w14:paraId="6C650326" w14:textId="77777777" w:rsidR="007A7A94" w:rsidRDefault="007A7A94">
            <w:pPr>
              <w:spacing w:after="120"/>
              <w:jc w:val="left"/>
              <w:rPr>
                <w:rFonts w:ascii="Century Gothic" w:hAnsi="Century Gothic"/>
                <w:b/>
                <w:sz w:val="18"/>
                <w:szCs w:val="18"/>
                <w:lang w:val="en-GB"/>
              </w:rPr>
            </w:pPr>
          </w:p>
          <w:p w14:paraId="6C650327" w14:textId="77777777" w:rsidR="007A7A94" w:rsidRDefault="00E47462">
            <w:pPr>
              <w:spacing w:after="120"/>
              <w:jc w:val="left"/>
              <w:rPr>
                <w:rFonts w:ascii="Century Gothic" w:hAnsi="Century Gothic"/>
                <w:sz w:val="18"/>
                <w:szCs w:val="18"/>
              </w:rPr>
            </w:pPr>
            <w:r w:rsidRPr="0097035C">
              <w:rPr>
                <w:rFonts w:ascii="Century Gothic" w:hAnsi="Century Gothic"/>
                <w:b/>
                <w:sz w:val="18"/>
                <w:szCs w:val="18"/>
                <w:lang w:val="en-GB"/>
              </w:rPr>
              <w:t>Improved movement:</w:t>
            </w:r>
          </w:p>
          <w:p w14:paraId="6C650328" w14:textId="77777777" w:rsidR="007A7A94" w:rsidRDefault="00E47462">
            <w:pPr>
              <w:pStyle w:val="Tablebullet"/>
              <w:spacing w:before="0" w:after="120"/>
              <w:rPr>
                <w:rFonts w:ascii="Century Gothic" w:hAnsi="Century Gothic"/>
                <w:sz w:val="18"/>
                <w:szCs w:val="18"/>
                <w:lang w:val="en-GB"/>
              </w:rPr>
            </w:pPr>
            <w:r w:rsidRPr="0097035C">
              <w:rPr>
                <w:rFonts w:ascii="Century Gothic" w:hAnsi="Century Gothic"/>
                <w:sz w:val="18"/>
                <w:szCs w:val="18"/>
                <w:lang w:val="en-GB"/>
              </w:rPr>
              <w:t xml:space="preserve">more native fish using fish passages </w:t>
            </w:r>
          </w:p>
          <w:p w14:paraId="6C650329" w14:textId="77777777" w:rsidR="007A7A94" w:rsidRDefault="007A7A94">
            <w:pPr>
              <w:spacing w:after="120"/>
              <w:jc w:val="left"/>
              <w:rPr>
                <w:rFonts w:ascii="Century Gothic" w:hAnsi="Century Gothic"/>
                <w:sz w:val="18"/>
                <w:szCs w:val="18"/>
              </w:rPr>
            </w:pPr>
          </w:p>
        </w:tc>
      </w:tr>
    </w:tbl>
    <w:p w14:paraId="51E4B789" w14:textId="562BF894" w:rsidR="003B1AD9" w:rsidRDefault="003B1AD9" w:rsidP="00F961D6">
      <w:pPr>
        <w:spacing w:after="120"/>
      </w:pPr>
    </w:p>
    <w:p w14:paraId="6C65032B" w14:textId="6FEDDF13" w:rsidR="007A7A94" w:rsidRDefault="00D8493A" w:rsidP="00F961D6">
      <w:pPr>
        <w:spacing w:after="120"/>
      </w:pPr>
      <w:r w:rsidRPr="00864019">
        <w:rPr>
          <w:noProof/>
        </w:rPr>
        <w:drawing>
          <wp:inline distT="0" distB="0" distL="0" distR="0" wp14:anchorId="1393CDF2" wp14:editId="28508213">
            <wp:extent cx="5731510" cy="3821007"/>
            <wp:effectExtent l="0" t="0" r="2540" b="8255"/>
            <wp:docPr id="19" name="Picture 19" descr="G:\Environment\Environmental Water\CEWH\Photos\2018-19 Planning documents\Gwydir\DSF_9560_magpie_geese_NSloane_CEW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nvironment\Environmental Water\CEWH\Photos\2018-19 Planning documents\Gwydir\DSF_9560_magpie_geese_NSloane_CEWO.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31510" cy="3821007"/>
                    </a:xfrm>
                    <a:prstGeom prst="rect">
                      <a:avLst/>
                    </a:prstGeom>
                    <a:noFill/>
                    <a:ln>
                      <a:noFill/>
                    </a:ln>
                  </pic:spPr>
                </pic:pic>
              </a:graphicData>
            </a:graphic>
          </wp:inline>
        </w:drawing>
      </w:r>
    </w:p>
    <w:p w14:paraId="4BDDAB9B" w14:textId="77777777" w:rsidR="00D8493A" w:rsidRDefault="00D8493A" w:rsidP="00F961D6">
      <w:pPr>
        <w:spacing w:after="120"/>
      </w:pPr>
    </w:p>
    <w:p w14:paraId="5513F9E7" w14:textId="77777777" w:rsidR="00D8493A" w:rsidRPr="00D76454" w:rsidRDefault="00D8493A" w:rsidP="00D8493A">
      <w:pPr>
        <w:rPr>
          <w:rFonts w:ascii="Century Gothic" w:hAnsi="Century Gothic"/>
        </w:rPr>
      </w:pPr>
      <w:r w:rsidRPr="00D76454">
        <w:rPr>
          <w:rFonts w:ascii="Century Gothic" w:hAnsi="Century Gothic"/>
        </w:rPr>
        <w:t>For more information about Commonwealth environmental water, please contact us at:</w:t>
      </w:r>
    </w:p>
    <w:p w14:paraId="7A6700FC" w14:textId="77777777" w:rsidR="00D8493A" w:rsidRPr="00D76454" w:rsidRDefault="00D8493A" w:rsidP="00D8493A">
      <w:pPr>
        <w:rPr>
          <w:rFonts w:ascii="Century Gothic" w:hAnsi="Century Gothic"/>
        </w:rPr>
      </w:pPr>
      <w:r w:rsidRPr="00D76454">
        <w:rPr>
          <w:rFonts w:ascii="Century Gothic" w:hAnsi="Century Gothic"/>
        </w:rPr>
        <w:t>1800 803 772</w:t>
      </w:r>
    </w:p>
    <w:p w14:paraId="5C9DBD3B" w14:textId="77777777" w:rsidR="00D8493A" w:rsidRPr="00D76454" w:rsidRDefault="00D8493A" w:rsidP="00D8493A">
      <w:pPr>
        <w:rPr>
          <w:rFonts w:ascii="Century Gothic" w:hAnsi="Century Gothic"/>
        </w:rPr>
      </w:pPr>
      <w:hyperlink r:id="rId48" w:history="1">
        <w:r w:rsidRPr="00D76454">
          <w:rPr>
            <w:rStyle w:val="Hyperlink"/>
            <w:rFonts w:ascii="Century Gothic" w:hAnsi="Century Gothic"/>
          </w:rPr>
          <w:t>ewater@environment.gov.au</w:t>
        </w:r>
      </w:hyperlink>
    </w:p>
    <w:p w14:paraId="2A7159AD" w14:textId="77777777" w:rsidR="00D8493A" w:rsidRPr="00D76454" w:rsidRDefault="00D8493A" w:rsidP="00D8493A">
      <w:pPr>
        <w:rPr>
          <w:rFonts w:ascii="Century Gothic" w:hAnsi="Century Gothic"/>
        </w:rPr>
      </w:pPr>
      <w:hyperlink r:id="rId49" w:history="1">
        <w:r w:rsidRPr="00D76454">
          <w:rPr>
            <w:rStyle w:val="Hyperlink"/>
            <w:rFonts w:ascii="Century Gothic" w:hAnsi="Century Gothic"/>
          </w:rPr>
          <w:t>www.environment.gov.au/water/cewo</w:t>
        </w:r>
      </w:hyperlink>
    </w:p>
    <w:p w14:paraId="598A0223" w14:textId="77777777" w:rsidR="00D8493A" w:rsidRPr="00D76454" w:rsidRDefault="00D8493A" w:rsidP="00D8493A">
      <w:pPr>
        <w:rPr>
          <w:rFonts w:ascii="Century Gothic" w:hAnsi="Century Gothic"/>
        </w:rPr>
      </w:pPr>
      <w:r w:rsidRPr="00D76454">
        <w:rPr>
          <w:rFonts w:ascii="Century Gothic" w:hAnsi="Century Gothic"/>
        </w:rPr>
        <w:t>@theCEWH</w:t>
      </w:r>
    </w:p>
    <w:p w14:paraId="1CA7311D" w14:textId="4E3A2D58" w:rsidR="00D8493A" w:rsidRDefault="00D8493A" w:rsidP="00D8493A">
      <w:r w:rsidRPr="00D76454">
        <w:rPr>
          <w:rFonts w:ascii="Century Gothic" w:hAnsi="Century Gothic"/>
        </w:rPr>
        <w:t>GPO Box 787, Canberra ACT 2601</w:t>
      </w:r>
    </w:p>
    <w:sectPr w:rsidR="00D8493A" w:rsidSect="00454495">
      <w:pgSz w:w="11906" w:h="16838"/>
      <w:pgMar w:top="851" w:right="1276" w:bottom="567" w:left="1418" w:header="425" w:footer="425"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C65034C" w14:textId="77777777" w:rsidR="00D11956" w:rsidRDefault="00D11956" w:rsidP="00A60185">
      <w:pPr>
        <w:spacing w:after="0"/>
      </w:pPr>
      <w:r>
        <w:separator/>
      </w:r>
    </w:p>
  </w:endnote>
  <w:endnote w:type="continuationSeparator" w:id="0">
    <w:p w14:paraId="6C65034D" w14:textId="77777777" w:rsidR="00D11956" w:rsidRDefault="00D11956" w:rsidP="00A60185">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AkkoPro-Regular">
    <w:altName w:val="Akko Pro Regular"/>
    <w:panose1 w:val="00000000000000000000"/>
    <w:charset w:val="4D"/>
    <w:family w:val="auto"/>
    <w:notTrueType/>
    <w:pitch w:val="default"/>
    <w:sig w:usb0="00000003" w:usb1="00000000" w:usb2="00000000" w:usb3="00000000" w:csb0="00000001" w:csb1="00000000"/>
  </w:font>
  <w:font w:name="AkkoPro-Light">
    <w:altName w:val="Akko Pro Light"/>
    <w:panose1 w:val="00000000000000000000"/>
    <w:charset w:val="4D"/>
    <w:family w:val="auto"/>
    <w:notTrueType/>
    <w:pitch w:val="default"/>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Adobe Garamond Pro">
    <w:altName w:val="Times New Roman"/>
    <w:panose1 w:val="00000000000000000000"/>
    <w:charset w:val="00"/>
    <w:family w:val="roman"/>
    <w:notTrueType/>
    <w:pitch w:val="variable"/>
    <w:sig w:usb0="00000001" w:usb1="00000001" w:usb2="00000000" w:usb3="00000000" w:csb0="000000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9890B6" w14:textId="77777777" w:rsidR="004906C1" w:rsidRDefault="004906C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00920678"/>
      <w:docPartObj>
        <w:docPartGallery w:val="Page Numbers (Bottom of Page)"/>
        <w:docPartUnique/>
      </w:docPartObj>
    </w:sdtPr>
    <w:sdtContent>
      <w:p w14:paraId="6C65034F" w14:textId="77777777" w:rsidR="00D11956" w:rsidRDefault="00D11956">
        <w:pPr>
          <w:pStyle w:val="Footer"/>
          <w:jc w:val="center"/>
        </w:pPr>
        <w:r>
          <w:fldChar w:fldCharType="begin"/>
        </w:r>
        <w:r>
          <w:instrText xml:space="preserve"> PAGE   \* MERGEFORMAT </w:instrText>
        </w:r>
        <w:r>
          <w:fldChar w:fldCharType="separate"/>
        </w:r>
        <w:r w:rsidR="004906C1">
          <w:rPr>
            <w:noProof/>
          </w:rPr>
          <w:t>18</w:t>
        </w:r>
        <w:r>
          <w:rPr>
            <w:noProof/>
          </w:rPr>
          <w:fldChar w:fldCharType="end"/>
        </w:r>
      </w:p>
    </w:sdtContent>
  </w:sdt>
  <w:p w14:paraId="6C650350" w14:textId="77777777" w:rsidR="00D11956" w:rsidRDefault="00D11956">
    <w:pPr>
      <w:pStyle w:val="Footer"/>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650351" w14:textId="77777777" w:rsidR="00D11956" w:rsidRDefault="00D11956">
    <w:pPr>
      <w:pStyle w:val="Footer"/>
      <w:jc w:val="center"/>
    </w:pPr>
  </w:p>
  <w:p w14:paraId="6C650352" w14:textId="77777777" w:rsidR="00D11956" w:rsidRDefault="00D11956" w:rsidP="00B25195">
    <w:pPr>
      <w:pStyle w:val="Footer"/>
      <w:tabs>
        <w:tab w:val="clear" w:pos="4513"/>
        <w:tab w:val="clear" w:pos="9026"/>
        <w:tab w:val="left" w:pos="7245"/>
      </w:tab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7638641"/>
      <w:docPartObj>
        <w:docPartGallery w:val="Page Numbers (Bottom of Page)"/>
        <w:docPartUnique/>
      </w:docPartObj>
    </w:sdtPr>
    <w:sdtContent>
      <w:p w14:paraId="6C650353" w14:textId="77777777" w:rsidR="00D11956" w:rsidRDefault="00D11956">
        <w:pPr>
          <w:pStyle w:val="Footer"/>
          <w:jc w:val="center"/>
        </w:pPr>
        <w:r>
          <w:fldChar w:fldCharType="begin"/>
        </w:r>
        <w:r>
          <w:instrText xml:space="preserve"> PAGE   \* MERGEFORMAT </w:instrText>
        </w:r>
        <w:r>
          <w:fldChar w:fldCharType="separate"/>
        </w:r>
        <w:r w:rsidR="004906C1">
          <w:rPr>
            <w:noProof/>
          </w:rPr>
          <w:t>13</w:t>
        </w:r>
        <w:r>
          <w:rPr>
            <w:noProof/>
          </w:rPr>
          <w:fldChar w:fldCharType="end"/>
        </w:r>
      </w:p>
    </w:sdtContent>
  </w:sdt>
  <w:p w14:paraId="6C650354" w14:textId="77777777" w:rsidR="00D11956" w:rsidRDefault="00D11956" w:rsidP="00B25195">
    <w:pPr>
      <w:pStyle w:val="Footer"/>
      <w:tabs>
        <w:tab w:val="clear" w:pos="4513"/>
        <w:tab w:val="clear" w:pos="9026"/>
        <w:tab w:val="left" w:pos="7245"/>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C65034A" w14:textId="77777777" w:rsidR="00D11956" w:rsidRDefault="00D11956" w:rsidP="00A60185">
      <w:pPr>
        <w:spacing w:after="0"/>
      </w:pPr>
      <w:r>
        <w:separator/>
      </w:r>
    </w:p>
  </w:footnote>
  <w:footnote w:type="continuationSeparator" w:id="0">
    <w:p w14:paraId="6C65034B" w14:textId="77777777" w:rsidR="00D11956" w:rsidRDefault="00D11956" w:rsidP="00A60185">
      <w:pPr>
        <w:spacing w:after="0"/>
      </w:pPr>
      <w:r>
        <w:continuationSeparator/>
      </w:r>
    </w:p>
  </w:footnote>
  <w:footnote w:id="1">
    <w:p w14:paraId="6C650355" w14:textId="01A7046D" w:rsidR="00D11956" w:rsidRPr="007358BA" w:rsidRDefault="00D11956" w:rsidP="00675265">
      <w:pPr>
        <w:pStyle w:val="FootnoteText"/>
        <w:rPr>
          <w:rFonts w:ascii="Century Gothic" w:hAnsi="Century Gothic"/>
          <w:sz w:val="16"/>
        </w:rPr>
      </w:pPr>
      <w:r w:rsidRPr="0093430A">
        <w:rPr>
          <w:rStyle w:val="FootnoteReference"/>
          <w:rFonts w:ascii="Century Gothic" w:hAnsi="Century Gothic"/>
          <w:sz w:val="16"/>
        </w:rPr>
        <w:footnoteRef/>
      </w:r>
      <w:r w:rsidRPr="0093430A">
        <w:rPr>
          <w:rFonts w:ascii="Century Gothic" w:hAnsi="Century Gothic"/>
          <w:sz w:val="16"/>
        </w:rPr>
        <w:t xml:space="preserve"> </w:t>
      </w:r>
      <w:r w:rsidRPr="0093430A">
        <w:rPr>
          <w:rFonts w:ascii="Century Gothic" w:hAnsi="Century Gothic"/>
          <w:i/>
          <w:iCs/>
          <w:sz w:val="16"/>
        </w:rPr>
        <w:t>Echuca Declaration</w:t>
      </w:r>
      <w:r w:rsidRPr="0093430A">
        <w:rPr>
          <w:rFonts w:ascii="Century Gothic" w:hAnsi="Century Gothic"/>
          <w:sz w:val="16"/>
        </w:rPr>
        <w:t>, as adopted by Northern Murray</w:t>
      </w:r>
      <w:r>
        <w:rPr>
          <w:rFonts w:ascii="Century Gothic" w:hAnsi="Century Gothic"/>
          <w:sz w:val="16"/>
        </w:rPr>
        <w:t>–</w:t>
      </w:r>
      <w:r w:rsidRPr="0093430A">
        <w:rPr>
          <w:rFonts w:ascii="Century Gothic" w:hAnsi="Century Gothic"/>
          <w:sz w:val="16"/>
        </w:rPr>
        <w:t>Darling Basin Aboriginal Nations and the Murray Lower Darling Rivers Indigenous Nations on 19 May 2010.</w:t>
      </w:r>
    </w:p>
  </w:footnote>
  <w:footnote w:id="2">
    <w:p w14:paraId="6C650356" w14:textId="77777777" w:rsidR="00D11956" w:rsidRPr="009117C9" w:rsidRDefault="00D11956" w:rsidP="00F961D6">
      <w:pPr>
        <w:pStyle w:val="FootnoteText"/>
        <w:spacing w:after="0"/>
        <w:ind w:left="-284"/>
        <w:jc w:val="left"/>
        <w:rPr>
          <w:rFonts w:ascii="Century Gothic" w:hAnsi="Century Gothic"/>
          <w:sz w:val="16"/>
          <w:szCs w:val="16"/>
        </w:rPr>
      </w:pPr>
      <w:r w:rsidRPr="009117C9">
        <w:rPr>
          <w:rStyle w:val="FootnoteReference"/>
          <w:rFonts w:ascii="Century Gothic" w:hAnsi="Century Gothic"/>
          <w:sz w:val="16"/>
          <w:szCs w:val="16"/>
        </w:rPr>
        <w:footnoteRef/>
      </w:r>
      <w:r w:rsidRPr="009117C9">
        <w:rPr>
          <w:rFonts w:ascii="Century Gothic" w:hAnsi="Century Gothic"/>
          <w:sz w:val="16"/>
          <w:szCs w:val="16"/>
        </w:rPr>
        <w:t xml:space="preserve"> Comprising tributary contributions from: Condamine–Balonne, Border Rivers, Gwydir, Namoi and Macquarie–Castlereagh</w:t>
      </w:r>
    </w:p>
  </w:footnote>
  <w:footnote w:id="3">
    <w:p w14:paraId="6C650357" w14:textId="77777777" w:rsidR="00D11956" w:rsidRPr="009117C9" w:rsidRDefault="00D11956" w:rsidP="00F961D6">
      <w:pPr>
        <w:pStyle w:val="FootnoteText"/>
        <w:spacing w:after="0"/>
        <w:ind w:left="-284"/>
        <w:jc w:val="left"/>
        <w:rPr>
          <w:rFonts w:ascii="Century Gothic" w:hAnsi="Century Gothic"/>
          <w:sz w:val="16"/>
          <w:szCs w:val="16"/>
        </w:rPr>
      </w:pPr>
      <w:r w:rsidRPr="009117C9">
        <w:rPr>
          <w:rStyle w:val="FootnoteReference"/>
          <w:rFonts w:ascii="Century Gothic" w:hAnsi="Century Gothic"/>
          <w:sz w:val="16"/>
          <w:szCs w:val="16"/>
        </w:rPr>
        <w:footnoteRef/>
      </w:r>
      <w:r w:rsidRPr="009117C9">
        <w:rPr>
          <w:rFonts w:ascii="Century Gothic" w:hAnsi="Century Gothic"/>
          <w:sz w:val="16"/>
          <w:szCs w:val="16"/>
        </w:rPr>
        <w:t xml:space="preserve"> Comprising tributary contributions from: Murrumbidgee, Goulburn</w:t>
      </w:r>
      <w:r w:rsidRPr="009117C9">
        <w:rPr>
          <w:rFonts w:ascii="Century Gothic" w:hAnsi="Century Gothic" w:cs="Arial"/>
          <w:sz w:val="16"/>
          <w:szCs w:val="16"/>
        </w:rPr>
        <w:t>–</w:t>
      </w:r>
      <w:r w:rsidRPr="009117C9">
        <w:rPr>
          <w:rFonts w:ascii="Century Gothic" w:hAnsi="Century Gothic"/>
          <w:sz w:val="16"/>
          <w:szCs w:val="16"/>
        </w:rPr>
        <w:t>Broken, Campaspe, Loddon and Lower Darling</w:t>
      </w:r>
    </w:p>
  </w:footnote>
  <w:footnote w:id="4">
    <w:p w14:paraId="6C650358" w14:textId="77777777" w:rsidR="00D11956" w:rsidRDefault="00D11956" w:rsidP="00F961D6">
      <w:pPr>
        <w:pStyle w:val="FootnoteText"/>
        <w:spacing w:after="0"/>
        <w:ind w:left="-284"/>
        <w:jc w:val="left"/>
      </w:pPr>
      <w:r w:rsidRPr="009117C9">
        <w:rPr>
          <w:rStyle w:val="FootnoteReference"/>
          <w:rFonts w:ascii="Century Gothic" w:hAnsi="Century Gothic"/>
          <w:sz w:val="16"/>
          <w:szCs w:val="16"/>
        </w:rPr>
        <w:footnoteRef/>
      </w:r>
      <w:r w:rsidRPr="009117C9">
        <w:rPr>
          <w:rFonts w:ascii="Century Gothic" w:hAnsi="Century Gothic"/>
          <w:sz w:val="16"/>
          <w:szCs w:val="16"/>
        </w:rPr>
        <w:t xml:space="preserve"> Border Rivers, Gwydir, Namoi, Macquarie–Castlereagh, Barwon–Darling, Lachlan, Campaspe, Loddon and Wimmera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65034E" w14:textId="77777777" w:rsidR="00D11956" w:rsidRDefault="00D11956" w:rsidP="00E45765">
    <w:pPr>
      <w:pStyle w:val="Classification"/>
    </w:pPr>
    <w:r>
      <w:fldChar w:fldCharType="begin"/>
    </w:r>
    <w:r>
      <w:instrText xml:space="preserve"> DOCPROPERTY SecurityClassification \* MERGEFORMAT </w:instrText>
    </w:r>
    <w:r>
      <w:fldChar w:fldCharType="separate"/>
    </w:r>
    <w:r>
      <w:rPr>
        <w:b/>
        <w:bCs/>
        <w:lang w:val="en-US"/>
      </w:rPr>
      <w:t>Error! Unknown document property name.</w:t>
    </w:r>
    <w: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C030DB" w14:textId="77777777" w:rsidR="004906C1" w:rsidRDefault="004906C1">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5DA5D2" w14:textId="77777777" w:rsidR="004906C1" w:rsidRDefault="004906C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1004BAFA"/>
    <w:lvl w:ilvl="0">
      <w:start w:val="1"/>
      <w:numFmt w:val="bullet"/>
      <w:lvlText w:val=""/>
      <w:lvlJc w:val="left"/>
      <w:pPr>
        <w:tabs>
          <w:tab w:val="num" w:pos="643"/>
        </w:tabs>
        <w:ind w:left="643" w:hanging="360"/>
      </w:pPr>
      <w:rPr>
        <w:rFonts w:ascii="Symbol" w:hAnsi="Symbol" w:hint="default"/>
      </w:rPr>
    </w:lvl>
  </w:abstractNum>
  <w:abstractNum w:abstractNumId="1" w15:restartNumberingAfterBreak="0">
    <w:nsid w:val="FFFFFF88"/>
    <w:multiLevelType w:val="singleLevel"/>
    <w:tmpl w:val="B052F004"/>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57C6AEE8"/>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00032DB9"/>
    <w:multiLevelType w:val="multilevel"/>
    <w:tmpl w:val="E5E89F92"/>
    <w:styleLink w:val="BulletList"/>
    <w:lvl w:ilvl="0">
      <w:start w:val="1"/>
      <w:numFmt w:val="bullet"/>
      <w:pStyle w:val="ListBullet"/>
      <w:lvlText w:val=""/>
      <w:lvlJc w:val="left"/>
      <w:pPr>
        <w:ind w:left="369" w:hanging="369"/>
      </w:pPr>
      <w:rPr>
        <w:rFonts w:ascii="Symbol" w:hAnsi="Symbol" w:hint="default"/>
      </w:rPr>
    </w:lvl>
    <w:lvl w:ilvl="1">
      <w:start w:val="1"/>
      <w:numFmt w:val="none"/>
      <w:pStyle w:val="ListBullet2"/>
      <w:lvlText w:val="-"/>
      <w:lvlJc w:val="left"/>
      <w:pPr>
        <w:ind w:left="737" w:hanging="368"/>
      </w:pPr>
      <w:rPr>
        <w:rFonts w:hint="default"/>
      </w:rPr>
    </w:lvl>
    <w:lvl w:ilvl="2">
      <w:start w:val="1"/>
      <w:numFmt w:val="none"/>
      <w:pStyle w:val="ListBullet3"/>
      <w:lvlText w:val=":"/>
      <w:lvlJc w:val="left"/>
      <w:pPr>
        <w:ind w:left="1106" w:hanging="369"/>
      </w:pPr>
      <w:rPr>
        <w:rFonts w:hint="default"/>
      </w:rPr>
    </w:lvl>
    <w:lvl w:ilvl="3">
      <w:start w:val="1"/>
      <w:numFmt w:val="none"/>
      <w:pStyle w:val="ListBullet4"/>
      <w:lvlText w:val=""/>
      <w:lvlJc w:val="left"/>
      <w:pPr>
        <w:ind w:left="1474" w:hanging="368"/>
      </w:pPr>
      <w:rPr>
        <w:rFonts w:hint="default"/>
        <w:color w:val="auto"/>
      </w:rPr>
    </w:lvl>
    <w:lvl w:ilvl="4">
      <w:start w:val="1"/>
      <w:numFmt w:val="none"/>
      <w:pStyle w:val="ListBullet5"/>
      <w:lvlText w:val=""/>
      <w:lvlJc w:val="left"/>
      <w:pPr>
        <w:ind w:left="1800" w:hanging="360"/>
      </w:pPr>
      <w:rPr>
        <w:rFonts w:hint="default"/>
        <w:color w:val="auto"/>
      </w:rPr>
    </w:lvl>
    <w:lvl w:ilvl="5">
      <w:start w:val="1"/>
      <w:numFmt w:val="none"/>
      <w:lvlText w:val=""/>
      <w:lvlJc w:val="left"/>
      <w:pPr>
        <w:ind w:left="2160" w:hanging="360"/>
      </w:pPr>
      <w:rPr>
        <w:rFonts w:hint="default"/>
        <w:color w:val="auto"/>
      </w:rPr>
    </w:lvl>
    <w:lvl w:ilvl="6">
      <w:start w:val="1"/>
      <w:numFmt w:val="none"/>
      <w:lvlText w:val=""/>
      <w:lvlJc w:val="left"/>
      <w:pPr>
        <w:ind w:left="2520" w:hanging="360"/>
      </w:pPr>
      <w:rPr>
        <w:rFonts w:hint="default"/>
        <w:color w:val="auto"/>
      </w:rPr>
    </w:lvl>
    <w:lvl w:ilvl="7">
      <w:start w:val="1"/>
      <w:numFmt w:val="none"/>
      <w:lvlText w:val=""/>
      <w:lvlJc w:val="left"/>
      <w:pPr>
        <w:ind w:left="2880" w:hanging="360"/>
      </w:pPr>
      <w:rPr>
        <w:rFonts w:hint="default"/>
        <w:color w:val="auto"/>
      </w:rPr>
    </w:lvl>
    <w:lvl w:ilvl="8">
      <w:start w:val="1"/>
      <w:numFmt w:val="none"/>
      <w:lvlText w:val=""/>
      <w:lvlJc w:val="left"/>
      <w:pPr>
        <w:ind w:left="3240" w:hanging="360"/>
      </w:pPr>
      <w:rPr>
        <w:rFonts w:hint="default"/>
        <w:color w:val="auto"/>
      </w:rPr>
    </w:lvl>
  </w:abstractNum>
  <w:abstractNum w:abstractNumId="4" w15:restartNumberingAfterBreak="0">
    <w:nsid w:val="051A5DEA"/>
    <w:multiLevelType w:val="multilevel"/>
    <w:tmpl w:val="97B0C790"/>
    <w:styleLink w:val="Style2"/>
    <w:lvl w:ilvl="0">
      <w:start w:val="1"/>
      <w:numFmt w:val="decimal"/>
      <w:suff w:val="space"/>
      <w:lvlText w:val="Table %1: "/>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057E6529"/>
    <w:multiLevelType w:val="multilevel"/>
    <w:tmpl w:val="343E7AD0"/>
    <w:lvl w:ilvl="0">
      <w:start w:val="1"/>
      <w:numFmt w:val="bullet"/>
      <w:lvlText w:val=""/>
      <w:lvlJc w:val="left"/>
      <w:pPr>
        <w:ind w:left="369" w:hanging="369"/>
      </w:pPr>
      <w:rPr>
        <w:rFonts w:ascii="Symbol" w:hAnsi="Symbol" w:hint="default"/>
      </w:rPr>
    </w:lvl>
    <w:lvl w:ilvl="1">
      <w:start w:val="1"/>
      <w:numFmt w:val="bullet"/>
      <w:lvlText w:val="o"/>
      <w:lvlJc w:val="left"/>
      <w:pPr>
        <w:ind w:left="737" w:hanging="368"/>
      </w:pPr>
      <w:rPr>
        <w:rFonts w:ascii="Courier New" w:hAnsi="Courier New" w:cs="Courier New" w:hint="default"/>
      </w:rPr>
    </w:lvl>
    <w:lvl w:ilvl="2">
      <w:start w:val="1"/>
      <w:numFmt w:val="none"/>
      <w:lvlText w:val=":"/>
      <w:lvlJc w:val="left"/>
      <w:pPr>
        <w:ind w:left="1106" w:hanging="369"/>
      </w:pPr>
    </w:lvl>
    <w:lvl w:ilvl="3">
      <w:start w:val="1"/>
      <w:numFmt w:val="none"/>
      <w:lvlText w:val=""/>
      <w:lvlJc w:val="left"/>
      <w:pPr>
        <w:ind w:left="1474" w:hanging="368"/>
      </w:pPr>
      <w:rPr>
        <w:color w:val="auto"/>
      </w:rPr>
    </w:lvl>
    <w:lvl w:ilvl="4">
      <w:start w:val="1"/>
      <w:numFmt w:val="none"/>
      <w:lvlText w:val=""/>
      <w:lvlJc w:val="left"/>
      <w:pPr>
        <w:ind w:left="1800" w:hanging="360"/>
      </w:pPr>
      <w:rPr>
        <w:color w:val="auto"/>
      </w:rPr>
    </w:lvl>
    <w:lvl w:ilvl="5">
      <w:start w:val="1"/>
      <w:numFmt w:val="none"/>
      <w:lvlText w:val=""/>
      <w:lvlJc w:val="left"/>
      <w:pPr>
        <w:ind w:left="2160" w:hanging="360"/>
      </w:pPr>
      <w:rPr>
        <w:color w:val="auto"/>
      </w:rPr>
    </w:lvl>
    <w:lvl w:ilvl="6">
      <w:start w:val="1"/>
      <w:numFmt w:val="none"/>
      <w:lvlText w:val=""/>
      <w:lvlJc w:val="left"/>
      <w:pPr>
        <w:ind w:left="2520" w:hanging="360"/>
      </w:pPr>
      <w:rPr>
        <w:color w:val="auto"/>
      </w:rPr>
    </w:lvl>
    <w:lvl w:ilvl="7">
      <w:start w:val="1"/>
      <w:numFmt w:val="none"/>
      <w:lvlText w:val=""/>
      <w:lvlJc w:val="left"/>
      <w:pPr>
        <w:ind w:left="2880" w:hanging="360"/>
      </w:pPr>
      <w:rPr>
        <w:color w:val="auto"/>
      </w:rPr>
    </w:lvl>
    <w:lvl w:ilvl="8">
      <w:start w:val="1"/>
      <w:numFmt w:val="none"/>
      <w:lvlText w:val=""/>
      <w:lvlJc w:val="left"/>
      <w:pPr>
        <w:ind w:left="3240" w:hanging="360"/>
      </w:pPr>
      <w:rPr>
        <w:color w:val="auto"/>
      </w:rPr>
    </w:lvl>
  </w:abstractNum>
  <w:abstractNum w:abstractNumId="6" w15:restartNumberingAfterBreak="0">
    <w:nsid w:val="07A202B2"/>
    <w:multiLevelType w:val="hybridMultilevel"/>
    <w:tmpl w:val="E7320F30"/>
    <w:lvl w:ilvl="0" w:tplc="0C090017">
      <w:start w:val="1"/>
      <w:numFmt w:val="lowerLetter"/>
      <w:lvlText w:val="%1)"/>
      <w:lvlJc w:val="left"/>
      <w:pPr>
        <w:ind w:left="720" w:hanging="360"/>
      </w:pPr>
      <w:rPr>
        <w:b w:val="0"/>
        <w:i w:val="0"/>
      </w:rPr>
    </w:lvl>
    <w:lvl w:ilvl="1" w:tplc="431C0792">
      <w:start w:val="1"/>
      <w:numFmt w:val="lowerLetter"/>
      <w:lvlText w:val="%2."/>
      <w:lvlJc w:val="left"/>
      <w:pPr>
        <w:ind w:left="1440" w:hanging="360"/>
      </w:pPr>
    </w:lvl>
    <w:lvl w:ilvl="2" w:tplc="A53C62DA">
      <w:start w:val="1"/>
      <w:numFmt w:val="lowerRoman"/>
      <w:lvlText w:val="%3."/>
      <w:lvlJc w:val="right"/>
      <w:pPr>
        <w:ind w:left="2160" w:hanging="180"/>
      </w:pPr>
    </w:lvl>
    <w:lvl w:ilvl="3" w:tplc="9FBC740C">
      <w:start w:val="1"/>
      <w:numFmt w:val="decimal"/>
      <w:lvlText w:val="%4."/>
      <w:lvlJc w:val="left"/>
      <w:pPr>
        <w:tabs>
          <w:tab w:val="num" w:pos="2880"/>
        </w:tabs>
        <w:ind w:left="2880" w:hanging="360"/>
      </w:pPr>
    </w:lvl>
    <w:lvl w:ilvl="4" w:tplc="8A4C0088">
      <w:start w:val="1"/>
      <w:numFmt w:val="decimal"/>
      <w:lvlText w:val="%5."/>
      <w:lvlJc w:val="left"/>
      <w:pPr>
        <w:tabs>
          <w:tab w:val="num" w:pos="3600"/>
        </w:tabs>
        <w:ind w:left="3600" w:hanging="360"/>
      </w:pPr>
    </w:lvl>
    <w:lvl w:ilvl="5" w:tplc="D6729202">
      <w:start w:val="1"/>
      <w:numFmt w:val="decimal"/>
      <w:lvlText w:val="%6."/>
      <w:lvlJc w:val="left"/>
      <w:pPr>
        <w:tabs>
          <w:tab w:val="num" w:pos="4320"/>
        </w:tabs>
        <w:ind w:left="4320" w:hanging="360"/>
      </w:pPr>
    </w:lvl>
    <w:lvl w:ilvl="6" w:tplc="D3B8B002">
      <w:start w:val="1"/>
      <w:numFmt w:val="decimal"/>
      <w:lvlText w:val="%7."/>
      <w:lvlJc w:val="left"/>
      <w:pPr>
        <w:tabs>
          <w:tab w:val="num" w:pos="5040"/>
        </w:tabs>
        <w:ind w:left="5040" w:hanging="360"/>
      </w:pPr>
    </w:lvl>
    <w:lvl w:ilvl="7" w:tplc="D1F681D2">
      <w:start w:val="1"/>
      <w:numFmt w:val="decimal"/>
      <w:lvlText w:val="%8."/>
      <w:lvlJc w:val="left"/>
      <w:pPr>
        <w:tabs>
          <w:tab w:val="num" w:pos="5760"/>
        </w:tabs>
        <w:ind w:left="5760" w:hanging="360"/>
      </w:pPr>
    </w:lvl>
    <w:lvl w:ilvl="8" w:tplc="C58ACB8E">
      <w:start w:val="1"/>
      <w:numFmt w:val="decimal"/>
      <w:lvlText w:val="%9."/>
      <w:lvlJc w:val="left"/>
      <w:pPr>
        <w:tabs>
          <w:tab w:val="num" w:pos="6480"/>
        </w:tabs>
        <w:ind w:left="6480" w:hanging="360"/>
      </w:pPr>
    </w:lvl>
  </w:abstractNum>
  <w:abstractNum w:abstractNumId="7" w15:restartNumberingAfterBreak="0">
    <w:nsid w:val="0A020D15"/>
    <w:multiLevelType w:val="multilevel"/>
    <w:tmpl w:val="471C7B90"/>
    <w:lvl w:ilvl="0">
      <w:start w:val="1"/>
      <w:numFmt w:val="decimal"/>
      <w:lvlText w:val="%1."/>
      <w:lvlJc w:val="left"/>
      <w:pPr>
        <w:ind w:left="360" w:hanging="360"/>
      </w:pPr>
      <w:rPr>
        <w:rFonts w:cs="Times New Roman"/>
      </w:rPr>
    </w:lvl>
    <w:lvl w:ilvl="1">
      <w:start w:val="1"/>
      <w:numFmt w:val="decimal"/>
      <w:pStyle w:val="Heading2"/>
      <w:lvlText w:val="%1.%2."/>
      <w:lvlJc w:val="left"/>
      <w:pPr>
        <w:ind w:left="792" w:hanging="432"/>
      </w:pPr>
      <w:rPr>
        <w:rFonts w:cs="Times New Roman"/>
        <w:color w:val="5F497A" w:themeColor="accent4" w:themeShade="BF"/>
      </w:rPr>
    </w:lvl>
    <w:lvl w:ilvl="2">
      <w:start w:val="1"/>
      <w:numFmt w:val="decimal"/>
      <w:pStyle w:val="Heading3"/>
      <w:lvlText w:val="%1.%2.%3."/>
      <w:lvlJc w:val="left"/>
      <w:pPr>
        <w:ind w:left="1224" w:hanging="504"/>
      </w:pPr>
      <w:rPr>
        <w:rFonts w:cs="Times New Roman"/>
      </w:rPr>
    </w:lvl>
    <w:lvl w:ilvl="3">
      <w:start w:val="1"/>
      <w:numFmt w:val="decimal"/>
      <w:pStyle w:val="Heading4"/>
      <w:lvlText w:val="%1.%2.%3.%4."/>
      <w:lvlJc w:val="left"/>
      <w:pPr>
        <w:ind w:left="1728" w:hanging="648"/>
      </w:pPr>
      <w:rPr>
        <w:rFonts w:cs="Times New Roman"/>
      </w:rPr>
    </w:lvl>
    <w:lvl w:ilvl="4">
      <w:start w:val="1"/>
      <w:numFmt w:val="decimal"/>
      <w:pStyle w:val="Heading5"/>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8" w15:restartNumberingAfterBreak="0">
    <w:nsid w:val="117A1710"/>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19452F64"/>
    <w:multiLevelType w:val="hybridMultilevel"/>
    <w:tmpl w:val="A2288A24"/>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19A27EB3"/>
    <w:multiLevelType w:val="multilevel"/>
    <w:tmpl w:val="E76C9AB8"/>
    <w:lvl w:ilvl="0">
      <w:start w:val="1"/>
      <w:numFmt w:val="bullet"/>
      <w:pStyle w:val="StyleStylePara12Arial11ptAfter0pt10ptAuto"/>
      <w:lvlText w:val=""/>
      <w:lvlJc w:val="left"/>
      <w:pPr>
        <w:tabs>
          <w:tab w:val="num" w:pos="284"/>
        </w:tabs>
        <w:ind w:left="284" w:hanging="284"/>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F745BC2"/>
    <w:multiLevelType w:val="multilevel"/>
    <w:tmpl w:val="E5E89F92"/>
    <w:numStyleLink w:val="BulletList"/>
  </w:abstractNum>
  <w:abstractNum w:abstractNumId="12" w15:restartNumberingAfterBreak="0">
    <w:nsid w:val="23826FB0"/>
    <w:multiLevelType w:val="multilevel"/>
    <w:tmpl w:val="1B5CE6A6"/>
    <w:lvl w:ilvl="0">
      <w:start w:val="1"/>
      <w:numFmt w:val="decimal"/>
      <w:lvlText w:val="%1."/>
      <w:lvlJc w:val="left"/>
      <w:pPr>
        <w:ind w:left="360" w:hanging="360"/>
      </w:pPr>
      <w:rPr>
        <w:rFonts w:hint="default"/>
      </w:rPr>
    </w:lvl>
    <w:lvl w:ilvl="1">
      <w:start w:val="1"/>
      <w:numFmt w:val="none"/>
      <w:lvlText w:val="2.1"/>
      <w:lvlJc w:val="left"/>
      <w:pPr>
        <w:ind w:left="432" w:hanging="432"/>
      </w:pPr>
      <w:rPr>
        <w:rFonts w:cs="Times New Roman"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2ADC75EC"/>
    <w:multiLevelType w:val="hybridMultilevel"/>
    <w:tmpl w:val="6A0A88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098052F"/>
    <w:multiLevelType w:val="multilevel"/>
    <w:tmpl w:val="473EA67C"/>
    <w:lvl w:ilvl="0">
      <w:start w:val="1"/>
      <w:numFmt w:val="decimal"/>
      <w:pStyle w:val="ListParagraph"/>
      <w:lvlText w:val="%1."/>
      <w:lvlJc w:val="left"/>
      <w:pPr>
        <w:ind w:left="369" w:hanging="369"/>
      </w:pPr>
      <w:rPr>
        <w:rFonts w:hint="default"/>
      </w:rPr>
    </w:lvl>
    <w:lvl w:ilvl="1">
      <w:start w:val="1"/>
      <w:numFmt w:val="none"/>
      <w:lvlText w:val="-"/>
      <w:lvlJc w:val="left"/>
      <w:pPr>
        <w:ind w:left="737" w:hanging="368"/>
      </w:pPr>
      <w:rPr>
        <w:rFonts w:hint="default"/>
      </w:rPr>
    </w:lvl>
    <w:lvl w:ilvl="2">
      <w:start w:val="1"/>
      <w:numFmt w:val="none"/>
      <w:lvlText w:val=":"/>
      <w:lvlJc w:val="left"/>
      <w:pPr>
        <w:ind w:left="1106" w:hanging="369"/>
      </w:pPr>
      <w:rPr>
        <w:rFonts w:hint="default"/>
      </w:rPr>
    </w:lvl>
    <w:lvl w:ilvl="3">
      <w:start w:val="1"/>
      <w:numFmt w:val="none"/>
      <w:lvlText w:val=""/>
      <w:lvlJc w:val="left"/>
      <w:pPr>
        <w:ind w:left="1474" w:hanging="368"/>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361C7DAA"/>
    <w:multiLevelType w:val="multilevel"/>
    <w:tmpl w:val="CAA83148"/>
    <w:styleLink w:val="Attach"/>
    <w:lvl w:ilvl="0">
      <w:start w:val="1"/>
      <w:numFmt w:val="upperLetter"/>
      <w:lvlText w:val="Attachment %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3845749E"/>
    <w:multiLevelType w:val="multilevel"/>
    <w:tmpl w:val="A40A7F00"/>
    <w:lvl w:ilvl="0">
      <w:start w:val="1"/>
      <w:numFmt w:val="decimal"/>
      <w:lvlText w:val="%1."/>
      <w:lvlJc w:val="left"/>
      <w:pPr>
        <w:ind w:left="360" w:hanging="360"/>
      </w:pPr>
      <w:rPr>
        <w:rFonts w:hint="default"/>
      </w:rPr>
    </w:lvl>
    <w:lvl w:ilvl="1">
      <w:start w:val="1"/>
      <w:numFmt w:val="none"/>
      <w:lvlText w:val="1.1"/>
      <w:lvlJc w:val="left"/>
      <w:pPr>
        <w:ind w:left="432" w:hanging="432"/>
      </w:pPr>
      <w:rPr>
        <w:rFonts w:cs="Times New Roman"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43723538"/>
    <w:multiLevelType w:val="hybridMultilevel"/>
    <w:tmpl w:val="22462D5E"/>
    <w:lvl w:ilvl="0" w:tplc="CF3EFF5C">
      <w:start w:val="1"/>
      <w:numFmt w:val="bullet"/>
      <w:pStyle w:val="Tablebullet"/>
      <w:lvlText w:val=""/>
      <w:lvlJc w:val="left"/>
      <w:pPr>
        <w:ind w:left="754" w:hanging="360"/>
      </w:pPr>
      <w:rPr>
        <w:rFonts w:ascii="Symbol" w:hAnsi="Symbol" w:hint="default"/>
        <w:sz w:val="22"/>
      </w:rPr>
    </w:lvl>
    <w:lvl w:ilvl="1" w:tplc="0C090003" w:tentative="1">
      <w:start w:val="1"/>
      <w:numFmt w:val="bullet"/>
      <w:lvlText w:val="o"/>
      <w:lvlJc w:val="left"/>
      <w:pPr>
        <w:ind w:left="1474" w:hanging="360"/>
      </w:pPr>
      <w:rPr>
        <w:rFonts w:ascii="Courier New" w:hAnsi="Courier New" w:cs="Courier New" w:hint="default"/>
      </w:rPr>
    </w:lvl>
    <w:lvl w:ilvl="2" w:tplc="0C090005" w:tentative="1">
      <w:start w:val="1"/>
      <w:numFmt w:val="bullet"/>
      <w:lvlText w:val=""/>
      <w:lvlJc w:val="left"/>
      <w:pPr>
        <w:ind w:left="2194" w:hanging="360"/>
      </w:pPr>
      <w:rPr>
        <w:rFonts w:ascii="Wingdings" w:hAnsi="Wingdings" w:hint="default"/>
      </w:rPr>
    </w:lvl>
    <w:lvl w:ilvl="3" w:tplc="0C090001" w:tentative="1">
      <w:start w:val="1"/>
      <w:numFmt w:val="bullet"/>
      <w:lvlText w:val=""/>
      <w:lvlJc w:val="left"/>
      <w:pPr>
        <w:ind w:left="2914" w:hanging="360"/>
      </w:pPr>
      <w:rPr>
        <w:rFonts w:ascii="Symbol" w:hAnsi="Symbol" w:hint="default"/>
      </w:rPr>
    </w:lvl>
    <w:lvl w:ilvl="4" w:tplc="0C090003" w:tentative="1">
      <w:start w:val="1"/>
      <w:numFmt w:val="bullet"/>
      <w:lvlText w:val="o"/>
      <w:lvlJc w:val="left"/>
      <w:pPr>
        <w:ind w:left="3634" w:hanging="360"/>
      </w:pPr>
      <w:rPr>
        <w:rFonts w:ascii="Courier New" w:hAnsi="Courier New" w:cs="Courier New" w:hint="default"/>
      </w:rPr>
    </w:lvl>
    <w:lvl w:ilvl="5" w:tplc="0C090005" w:tentative="1">
      <w:start w:val="1"/>
      <w:numFmt w:val="bullet"/>
      <w:lvlText w:val=""/>
      <w:lvlJc w:val="left"/>
      <w:pPr>
        <w:ind w:left="4354" w:hanging="360"/>
      </w:pPr>
      <w:rPr>
        <w:rFonts w:ascii="Wingdings" w:hAnsi="Wingdings" w:hint="default"/>
      </w:rPr>
    </w:lvl>
    <w:lvl w:ilvl="6" w:tplc="0C090001" w:tentative="1">
      <w:start w:val="1"/>
      <w:numFmt w:val="bullet"/>
      <w:lvlText w:val=""/>
      <w:lvlJc w:val="left"/>
      <w:pPr>
        <w:ind w:left="5074" w:hanging="360"/>
      </w:pPr>
      <w:rPr>
        <w:rFonts w:ascii="Symbol" w:hAnsi="Symbol" w:hint="default"/>
      </w:rPr>
    </w:lvl>
    <w:lvl w:ilvl="7" w:tplc="0C090003" w:tentative="1">
      <w:start w:val="1"/>
      <w:numFmt w:val="bullet"/>
      <w:lvlText w:val="o"/>
      <w:lvlJc w:val="left"/>
      <w:pPr>
        <w:ind w:left="5794" w:hanging="360"/>
      </w:pPr>
      <w:rPr>
        <w:rFonts w:ascii="Courier New" w:hAnsi="Courier New" w:cs="Courier New" w:hint="default"/>
      </w:rPr>
    </w:lvl>
    <w:lvl w:ilvl="8" w:tplc="0C090005" w:tentative="1">
      <w:start w:val="1"/>
      <w:numFmt w:val="bullet"/>
      <w:lvlText w:val=""/>
      <w:lvlJc w:val="left"/>
      <w:pPr>
        <w:ind w:left="6514" w:hanging="360"/>
      </w:pPr>
      <w:rPr>
        <w:rFonts w:ascii="Wingdings" w:hAnsi="Wingdings" w:hint="default"/>
      </w:rPr>
    </w:lvl>
  </w:abstractNum>
  <w:abstractNum w:abstractNumId="18" w15:restartNumberingAfterBreak="0">
    <w:nsid w:val="44D303EA"/>
    <w:multiLevelType w:val="multilevel"/>
    <w:tmpl w:val="C36A4EB0"/>
    <w:styleLink w:val="Style3"/>
    <w:lvl w:ilvl="0">
      <w:start w:val="1"/>
      <w:numFmt w:val="decimal"/>
      <w:suff w:val="space"/>
      <w:lvlText w:val="Figure %1: "/>
      <w:lvlJc w:val="left"/>
      <w:pPr>
        <w:ind w:left="1021" w:hanging="1021"/>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4EA67FEE"/>
    <w:multiLevelType w:val="hybridMultilevel"/>
    <w:tmpl w:val="6E4A7B9C"/>
    <w:lvl w:ilvl="0" w:tplc="4482AF1A">
      <w:start w:val="1"/>
      <w:numFmt w:val="bullet"/>
      <w:pStyle w:val="Bullet1"/>
      <w:lvlText w:val=""/>
      <w:lvlJc w:val="left"/>
      <w:pPr>
        <w:ind w:left="720" w:hanging="360"/>
      </w:pPr>
      <w:rPr>
        <w:rFonts w:ascii="Symbol" w:hAnsi="Symbol" w:hint="default"/>
      </w:rPr>
    </w:lvl>
    <w:lvl w:ilvl="1" w:tplc="24867C52">
      <w:start w:val="1"/>
      <w:numFmt w:val="bullet"/>
      <w:lvlText w:val="o"/>
      <w:lvlJc w:val="left"/>
      <w:pPr>
        <w:ind w:left="1440" w:hanging="360"/>
      </w:pPr>
      <w:rPr>
        <w:rFonts w:ascii="Courier New" w:hAnsi="Courier New" w:cs="Courier New" w:hint="default"/>
      </w:rPr>
    </w:lvl>
    <w:lvl w:ilvl="2" w:tplc="F100177E" w:tentative="1">
      <w:start w:val="1"/>
      <w:numFmt w:val="bullet"/>
      <w:lvlText w:val=""/>
      <w:lvlJc w:val="left"/>
      <w:pPr>
        <w:ind w:left="2160" w:hanging="360"/>
      </w:pPr>
      <w:rPr>
        <w:rFonts w:ascii="Wingdings" w:hAnsi="Wingdings" w:hint="default"/>
      </w:rPr>
    </w:lvl>
    <w:lvl w:ilvl="3" w:tplc="86AACE5C" w:tentative="1">
      <w:start w:val="1"/>
      <w:numFmt w:val="bullet"/>
      <w:lvlText w:val=""/>
      <w:lvlJc w:val="left"/>
      <w:pPr>
        <w:ind w:left="2880" w:hanging="360"/>
      </w:pPr>
      <w:rPr>
        <w:rFonts w:ascii="Symbol" w:hAnsi="Symbol" w:hint="default"/>
      </w:rPr>
    </w:lvl>
    <w:lvl w:ilvl="4" w:tplc="2CAAF45A" w:tentative="1">
      <w:start w:val="1"/>
      <w:numFmt w:val="bullet"/>
      <w:lvlText w:val="o"/>
      <w:lvlJc w:val="left"/>
      <w:pPr>
        <w:ind w:left="3600" w:hanging="360"/>
      </w:pPr>
      <w:rPr>
        <w:rFonts w:ascii="Courier New" w:hAnsi="Courier New" w:cs="Courier New" w:hint="default"/>
      </w:rPr>
    </w:lvl>
    <w:lvl w:ilvl="5" w:tplc="A2004C5E" w:tentative="1">
      <w:start w:val="1"/>
      <w:numFmt w:val="bullet"/>
      <w:lvlText w:val=""/>
      <w:lvlJc w:val="left"/>
      <w:pPr>
        <w:ind w:left="4320" w:hanging="360"/>
      </w:pPr>
      <w:rPr>
        <w:rFonts w:ascii="Wingdings" w:hAnsi="Wingdings" w:hint="default"/>
      </w:rPr>
    </w:lvl>
    <w:lvl w:ilvl="6" w:tplc="014C2E10" w:tentative="1">
      <w:start w:val="1"/>
      <w:numFmt w:val="bullet"/>
      <w:lvlText w:val=""/>
      <w:lvlJc w:val="left"/>
      <w:pPr>
        <w:ind w:left="5040" w:hanging="360"/>
      </w:pPr>
      <w:rPr>
        <w:rFonts w:ascii="Symbol" w:hAnsi="Symbol" w:hint="default"/>
      </w:rPr>
    </w:lvl>
    <w:lvl w:ilvl="7" w:tplc="749033F6" w:tentative="1">
      <w:start w:val="1"/>
      <w:numFmt w:val="bullet"/>
      <w:lvlText w:val="o"/>
      <w:lvlJc w:val="left"/>
      <w:pPr>
        <w:ind w:left="5760" w:hanging="360"/>
      </w:pPr>
      <w:rPr>
        <w:rFonts w:ascii="Courier New" w:hAnsi="Courier New" w:cs="Courier New" w:hint="default"/>
      </w:rPr>
    </w:lvl>
    <w:lvl w:ilvl="8" w:tplc="CE8EC26A" w:tentative="1">
      <w:start w:val="1"/>
      <w:numFmt w:val="bullet"/>
      <w:lvlText w:val=""/>
      <w:lvlJc w:val="left"/>
      <w:pPr>
        <w:ind w:left="6480" w:hanging="360"/>
      </w:pPr>
      <w:rPr>
        <w:rFonts w:ascii="Wingdings" w:hAnsi="Wingdings" w:hint="default"/>
      </w:rPr>
    </w:lvl>
  </w:abstractNum>
  <w:abstractNum w:abstractNumId="20" w15:restartNumberingAfterBreak="0">
    <w:nsid w:val="51840174"/>
    <w:multiLevelType w:val="hybridMultilevel"/>
    <w:tmpl w:val="EABCEBD4"/>
    <w:lvl w:ilvl="0" w:tplc="0AEC48D2">
      <w:start w:val="1"/>
      <w:numFmt w:val="bullet"/>
      <w:lvlText w:val=""/>
      <w:lvlJc w:val="left"/>
      <w:pPr>
        <w:ind w:left="720" w:hanging="360"/>
      </w:pPr>
      <w:rPr>
        <w:rFonts w:ascii="Symbol" w:hAnsi="Symbol" w:hint="default"/>
      </w:rPr>
    </w:lvl>
    <w:lvl w:ilvl="1" w:tplc="2088863E" w:tentative="1">
      <w:start w:val="1"/>
      <w:numFmt w:val="bullet"/>
      <w:lvlText w:val="o"/>
      <w:lvlJc w:val="left"/>
      <w:pPr>
        <w:ind w:left="1440" w:hanging="360"/>
      </w:pPr>
      <w:rPr>
        <w:rFonts w:ascii="Courier New" w:hAnsi="Courier New" w:cs="Courier New" w:hint="default"/>
      </w:rPr>
    </w:lvl>
    <w:lvl w:ilvl="2" w:tplc="7CF4342C" w:tentative="1">
      <w:start w:val="1"/>
      <w:numFmt w:val="bullet"/>
      <w:lvlText w:val=""/>
      <w:lvlJc w:val="left"/>
      <w:pPr>
        <w:ind w:left="2160" w:hanging="360"/>
      </w:pPr>
      <w:rPr>
        <w:rFonts w:ascii="Wingdings" w:hAnsi="Wingdings" w:hint="default"/>
      </w:rPr>
    </w:lvl>
    <w:lvl w:ilvl="3" w:tplc="C2BC30D6" w:tentative="1">
      <w:start w:val="1"/>
      <w:numFmt w:val="bullet"/>
      <w:lvlText w:val=""/>
      <w:lvlJc w:val="left"/>
      <w:pPr>
        <w:ind w:left="2880" w:hanging="360"/>
      </w:pPr>
      <w:rPr>
        <w:rFonts w:ascii="Symbol" w:hAnsi="Symbol" w:hint="default"/>
      </w:rPr>
    </w:lvl>
    <w:lvl w:ilvl="4" w:tplc="03F8B7DC" w:tentative="1">
      <w:start w:val="1"/>
      <w:numFmt w:val="bullet"/>
      <w:lvlText w:val="o"/>
      <w:lvlJc w:val="left"/>
      <w:pPr>
        <w:ind w:left="3600" w:hanging="360"/>
      </w:pPr>
      <w:rPr>
        <w:rFonts w:ascii="Courier New" w:hAnsi="Courier New" w:cs="Courier New" w:hint="default"/>
      </w:rPr>
    </w:lvl>
    <w:lvl w:ilvl="5" w:tplc="03EA9806" w:tentative="1">
      <w:start w:val="1"/>
      <w:numFmt w:val="bullet"/>
      <w:lvlText w:val=""/>
      <w:lvlJc w:val="left"/>
      <w:pPr>
        <w:ind w:left="4320" w:hanging="360"/>
      </w:pPr>
      <w:rPr>
        <w:rFonts w:ascii="Wingdings" w:hAnsi="Wingdings" w:hint="default"/>
      </w:rPr>
    </w:lvl>
    <w:lvl w:ilvl="6" w:tplc="A47842CA" w:tentative="1">
      <w:start w:val="1"/>
      <w:numFmt w:val="bullet"/>
      <w:lvlText w:val=""/>
      <w:lvlJc w:val="left"/>
      <w:pPr>
        <w:ind w:left="5040" w:hanging="360"/>
      </w:pPr>
      <w:rPr>
        <w:rFonts w:ascii="Symbol" w:hAnsi="Symbol" w:hint="default"/>
      </w:rPr>
    </w:lvl>
    <w:lvl w:ilvl="7" w:tplc="C3F06130" w:tentative="1">
      <w:start w:val="1"/>
      <w:numFmt w:val="bullet"/>
      <w:lvlText w:val="o"/>
      <w:lvlJc w:val="left"/>
      <w:pPr>
        <w:ind w:left="5760" w:hanging="360"/>
      </w:pPr>
      <w:rPr>
        <w:rFonts w:ascii="Courier New" w:hAnsi="Courier New" w:cs="Courier New" w:hint="default"/>
      </w:rPr>
    </w:lvl>
    <w:lvl w:ilvl="8" w:tplc="DA78CA70" w:tentative="1">
      <w:start w:val="1"/>
      <w:numFmt w:val="bullet"/>
      <w:lvlText w:val=""/>
      <w:lvlJc w:val="left"/>
      <w:pPr>
        <w:ind w:left="6480" w:hanging="360"/>
      </w:pPr>
      <w:rPr>
        <w:rFonts w:ascii="Wingdings" w:hAnsi="Wingdings" w:hint="default"/>
      </w:rPr>
    </w:lvl>
  </w:abstractNum>
  <w:abstractNum w:abstractNumId="21" w15:restartNumberingAfterBreak="0">
    <w:nsid w:val="5942792B"/>
    <w:multiLevelType w:val="multilevel"/>
    <w:tmpl w:val="516A9FEE"/>
    <w:lvl w:ilvl="0">
      <w:start w:val="1"/>
      <w:numFmt w:val="bullet"/>
      <w:lvlText w:val="o"/>
      <w:lvlJc w:val="left"/>
      <w:pPr>
        <w:ind w:left="652" w:hanging="369"/>
      </w:pPr>
      <w:rPr>
        <w:rFonts w:ascii="Courier New" w:hAnsi="Courier New" w:cs="Courier New" w:hint="default"/>
        <w:sz w:val="22"/>
      </w:rPr>
    </w:lvl>
    <w:lvl w:ilvl="1">
      <w:start w:val="1"/>
      <w:numFmt w:val="lowerLetter"/>
      <w:lvlText w:val="%2."/>
      <w:lvlJc w:val="left"/>
      <w:pPr>
        <w:ind w:left="1021" w:hanging="369"/>
      </w:pPr>
      <w:rPr>
        <w:rFonts w:hint="default"/>
      </w:rPr>
    </w:lvl>
    <w:lvl w:ilvl="2">
      <w:start w:val="1"/>
      <w:numFmt w:val="lowerRoman"/>
      <w:lvlText w:val="%3."/>
      <w:lvlJc w:val="left"/>
      <w:pPr>
        <w:ind w:left="1390" w:hanging="369"/>
      </w:pPr>
      <w:rPr>
        <w:rFonts w:hint="default"/>
      </w:rPr>
    </w:lvl>
    <w:lvl w:ilvl="3">
      <w:start w:val="1"/>
      <w:numFmt w:val="none"/>
      <w:lvlText w:val="%4"/>
      <w:lvlJc w:val="left"/>
      <w:pPr>
        <w:ind w:left="1759" w:hanging="369"/>
      </w:pPr>
      <w:rPr>
        <w:rFonts w:hint="default"/>
      </w:rPr>
    </w:lvl>
    <w:lvl w:ilvl="4">
      <w:start w:val="1"/>
      <w:numFmt w:val="none"/>
      <w:lvlText w:val=""/>
      <w:lvlJc w:val="left"/>
      <w:pPr>
        <w:ind w:left="2128" w:hanging="369"/>
      </w:pPr>
      <w:rPr>
        <w:rFonts w:hint="default"/>
      </w:rPr>
    </w:lvl>
    <w:lvl w:ilvl="5">
      <w:start w:val="1"/>
      <w:numFmt w:val="none"/>
      <w:lvlText w:val=""/>
      <w:lvlJc w:val="left"/>
      <w:pPr>
        <w:ind w:left="2497" w:hanging="369"/>
      </w:pPr>
      <w:rPr>
        <w:rFonts w:hint="default"/>
      </w:rPr>
    </w:lvl>
    <w:lvl w:ilvl="6">
      <w:start w:val="1"/>
      <w:numFmt w:val="none"/>
      <w:lvlText w:val=""/>
      <w:lvlJc w:val="left"/>
      <w:pPr>
        <w:ind w:left="2866" w:hanging="369"/>
      </w:pPr>
      <w:rPr>
        <w:rFonts w:hint="default"/>
      </w:rPr>
    </w:lvl>
    <w:lvl w:ilvl="7">
      <w:start w:val="1"/>
      <w:numFmt w:val="none"/>
      <w:lvlText w:val=""/>
      <w:lvlJc w:val="left"/>
      <w:pPr>
        <w:ind w:left="3235" w:hanging="369"/>
      </w:pPr>
      <w:rPr>
        <w:rFonts w:hint="default"/>
      </w:rPr>
    </w:lvl>
    <w:lvl w:ilvl="8">
      <w:start w:val="1"/>
      <w:numFmt w:val="none"/>
      <w:lvlText w:val=""/>
      <w:lvlJc w:val="left"/>
      <w:pPr>
        <w:ind w:left="3604" w:hanging="369"/>
      </w:pPr>
      <w:rPr>
        <w:rFonts w:hint="default"/>
      </w:rPr>
    </w:lvl>
  </w:abstractNum>
  <w:abstractNum w:abstractNumId="22" w15:restartNumberingAfterBreak="0">
    <w:nsid w:val="6003150F"/>
    <w:multiLevelType w:val="hybridMultilevel"/>
    <w:tmpl w:val="E9C4B6AC"/>
    <w:lvl w:ilvl="0" w:tplc="61A46906">
      <w:start w:val="1"/>
      <w:numFmt w:val="decimal"/>
      <w:lvlText w:val="%1)"/>
      <w:lvlJc w:val="left"/>
      <w:pPr>
        <w:ind w:left="1500" w:hanging="1140"/>
      </w:pPr>
      <w:rPr>
        <w:rFonts w:hint="default"/>
      </w:rPr>
    </w:lvl>
    <w:lvl w:ilvl="1" w:tplc="57F85090">
      <w:start w:val="1"/>
      <w:numFmt w:val="lowerLetter"/>
      <w:lvlText w:val="%2)"/>
      <w:lvlJc w:val="left"/>
      <w:pPr>
        <w:ind w:left="2220" w:hanging="114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65456429"/>
    <w:multiLevelType w:val="multilevel"/>
    <w:tmpl w:val="E898CC72"/>
    <w:numStyleLink w:val="KeyPoints"/>
  </w:abstractNum>
  <w:abstractNum w:abstractNumId="24" w15:restartNumberingAfterBreak="0">
    <w:nsid w:val="6B3D5593"/>
    <w:multiLevelType w:val="multilevel"/>
    <w:tmpl w:val="3CCCC3B6"/>
    <w:lvl w:ilvl="0">
      <w:start w:val="1"/>
      <w:numFmt w:val="bullet"/>
      <w:lvlText w:val=""/>
      <w:lvlJc w:val="left"/>
      <w:pPr>
        <w:ind w:left="369" w:hanging="369"/>
      </w:pPr>
      <w:rPr>
        <w:rFonts w:ascii="Symbol" w:hAnsi="Symbol" w:hint="default"/>
      </w:rPr>
    </w:lvl>
    <w:lvl w:ilvl="1">
      <w:start w:val="1"/>
      <w:numFmt w:val="bullet"/>
      <w:lvlText w:val=""/>
      <w:lvlJc w:val="left"/>
      <w:pPr>
        <w:ind w:left="737" w:hanging="368"/>
      </w:pPr>
      <w:rPr>
        <w:rFonts w:ascii="Symbol" w:hAnsi="Symbol" w:hint="default"/>
      </w:rPr>
    </w:lvl>
    <w:lvl w:ilvl="2">
      <w:start w:val="1"/>
      <w:numFmt w:val="none"/>
      <w:lvlText w:val=":"/>
      <w:lvlJc w:val="left"/>
      <w:pPr>
        <w:ind w:left="1106" w:hanging="369"/>
      </w:pPr>
      <w:rPr>
        <w:rFonts w:hint="default"/>
      </w:rPr>
    </w:lvl>
    <w:lvl w:ilvl="3">
      <w:start w:val="1"/>
      <w:numFmt w:val="none"/>
      <w:lvlText w:val=""/>
      <w:lvlJc w:val="left"/>
      <w:pPr>
        <w:ind w:left="1474" w:hanging="368"/>
      </w:pPr>
      <w:rPr>
        <w:rFonts w:hint="default"/>
        <w:color w:val="auto"/>
      </w:rPr>
    </w:lvl>
    <w:lvl w:ilvl="4">
      <w:start w:val="1"/>
      <w:numFmt w:val="none"/>
      <w:lvlText w:val=""/>
      <w:lvlJc w:val="left"/>
      <w:pPr>
        <w:ind w:left="1800" w:hanging="360"/>
      </w:pPr>
      <w:rPr>
        <w:rFonts w:hint="default"/>
        <w:color w:val="auto"/>
      </w:rPr>
    </w:lvl>
    <w:lvl w:ilvl="5">
      <w:start w:val="1"/>
      <w:numFmt w:val="none"/>
      <w:lvlText w:val=""/>
      <w:lvlJc w:val="left"/>
      <w:pPr>
        <w:ind w:left="2160" w:hanging="360"/>
      </w:pPr>
      <w:rPr>
        <w:rFonts w:hint="default"/>
        <w:color w:val="auto"/>
      </w:rPr>
    </w:lvl>
    <w:lvl w:ilvl="6">
      <w:start w:val="1"/>
      <w:numFmt w:val="none"/>
      <w:lvlText w:val=""/>
      <w:lvlJc w:val="left"/>
      <w:pPr>
        <w:ind w:left="2520" w:hanging="360"/>
      </w:pPr>
      <w:rPr>
        <w:rFonts w:hint="default"/>
        <w:color w:val="auto"/>
      </w:rPr>
    </w:lvl>
    <w:lvl w:ilvl="7">
      <w:start w:val="1"/>
      <w:numFmt w:val="none"/>
      <w:lvlText w:val=""/>
      <w:lvlJc w:val="left"/>
      <w:pPr>
        <w:ind w:left="2880" w:hanging="360"/>
      </w:pPr>
      <w:rPr>
        <w:rFonts w:hint="default"/>
        <w:color w:val="auto"/>
      </w:rPr>
    </w:lvl>
    <w:lvl w:ilvl="8">
      <w:start w:val="1"/>
      <w:numFmt w:val="none"/>
      <w:lvlText w:val=""/>
      <w:lvlJc w:val="left"/>
      <w:pPr>
        <w:ind w:left="3240" w:hanging="360"/>
      </w:pPr>
      <w:rPr>
        <w:rFonts w:hint="default"/>
        <w:color w:val="auto"/>
      </w:rPr>
    </w:lvl>
  </w:abstractNum>
  <w:abstractNum w:abstractNumId="25" w15:restartNumberingAfterBreak="0">
    <w:nsid w:val="6D907A01"/>
    <w:multiLevelType w:val="hybridMultilevel"/>
    <w:tmpl w:val="5B4ABC1C"/>
    <w:lvl w:ilvl="0" w:tplc="98C67E64">
      <w:numFmt w:val="bullet"/>
      <w:lvlText w:val="-"/>
      <w:lvlJc w:val="left"/>
      <w:pPr>
        <w:tabs>
          <w:tab w:val="num" w:pos="720"/>
        </w:tabs>
        <w:ind w:left="720" w:hanging="360"/>
      </w:pPr>
      <w:rPr>
        <w:rFonts w:ascii="Times New Roman" w:eastAsia="Times New Roman" w:hAnsi="Times New Roman" w:cs="Times New Roman"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7391566E"/>
    <w:multiLevelType w:val="multilevel"/>
    <w:tmpl w:val="88106832"/>
    <w:lvl w:ilvl="0">
      <w:start w:val="1"/>
      <w:numFmt w:val="decimal"/>
      <w:pStyle w:val="Heading1"/>
      <w:lvlText w:val="%1."/>
      <w:lvlJc w:val="left"/>
      <w:pPr>
        <w:ind w:left="357" w:hanging="357"/>
      </w:pPr>
      <w:rPr>
        <w:rFonts w:cs="Times New Roman" w:hint="default"/>
        <w:b/>
        <w:bCs w:val="0"/>
        <w:i w:val="0"/>
        <w:iCs w:val="0"/>
        <w:caps w:val="0"/>
        <w:smallCaps w:val="0"/>
        <w:strike w:val="0"/>
        <w:dstrike w:val="0"/>
        <w:noProof w:val="0"/>
        <w:vanish w:val="0"/>
        <w:color w:val="5F497A"/>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Heading11"/>
      <w:lvlText w:val="%1.%2."/>
      <w:lvlJc w:val="left"/>
      <w:pPr>
        <w:ind w:left="357" w:hanging="357"/>
      </w:pPr>
      <w:rPr>
        <w:rFonts w:hint="default"/>
      </w:rPr>
    </w:lvl>
    <w:lvl w:ilvl="2">
      <w:start w:val="1"/>
      <w:numFmt w:val="decimal"/>
      <w:lvlText w:val="%1.%2.%3."/>
      <w:lvlJc w:val="left"/>
      <w:pPr>
        <w:ind w:left="1350" w:hanging="357"/>
      </w:pPr>
      <w:rPr>
        <w:rFonts w:hint="default"/>
        <w:sz w:val="24"/>
        <w:szCs w:val="24"/>
      </w:rPr>
    </w:lvl>
    <w:lvl w:ilvl="3">
      <w:start w:val="1"/>
      <w:numFmt w:val="decimal"/>
      <w:lvlText w:val="%1.%2.%3.%4."/>
      <w:lvlJc w:val="left"/>
      <w:pPr>
        <w:ind w:left="1428" w:hanging="357"/>
      </w:pPr>
      <w:rPr>
        <w:rFonts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27" w15:restartNumberingAfterBreak="0">
    <w:nsid w:val="74B92D98"/>
    <w:multiLevelType w:val="hybridMultilevel"/>
    <w:tmpl w:val="C9403332"/>
    <w:lvl w:ilvl="0" w:tplc="32EC1378">
      <w:start w:val="1"/>
      <w:numFmt w:val="bullet"/>
      <w:lvlText w:val=""/>
      <w:lvlJc w:val="left"/>
      <w:pPr>
        <w:tabs>
          <w:tab w:val="num" w:pos="360"/>
        </w:tabs>
        <w:ind w:left="360" w:hanging="360"/>
      </w:pPr>
      <w:rPr>
        <w:rFonts w:ascii="Symbol" w:hAnsi="Symbol" w:hint="default"/>
      </w:rPr>
    </w:lvl>
    <w:lvl w:ilvl="1" w:tplc="5582D450">
      <w:start w:val="1"/>
      <w:numFmt w:val="bullet"/>
      <w:lvlText w:val="•"/>
      <w:lvlJc w:val="left"/>
      <w:pPr>
        <w:tabs>
          <w:tab w:val="num" w:pos="1080"/>
        </w:tabs>
        <w:ind w:left="1080" w:hanging="360"/>
      </w:pPr>
      <w:rPr>
        <w:rFonts w:ascii="Arial" w:hAnsi="Arial" w:hint="default"/>
      </w:rPr>
    </w:lvl>
    <w:lvl w:ilvl="2" w:tplc="78D2B034" w:tentative="1">
      <w:start w:val="1"/>
      <w:numFmt w:val="bullet"/>
      <w:lvlText w:val="•"/>
      <w:lvlJc w:val="left"/>
      <w:pPr>
        <w:tabs>
          <w:tab w:val="num" w:pos="1800"/>
        </w:tabs>
        <w:ind w:left="1800" w:hanging="360"/>
      </w:pPr>
      <w:rPr>
        <w:rFonts w:ascii="Arial" w:hAnsi="Arial" w:hint="default"/>
      </w:rPr>
    </w:lvl>
    <w:lvl w:ilvl="3" w:tplc="6B307ECC" w:tentative="1">
      <w:start w:val="1"/>
      <w:numFmt w:val="bullet"/>
      <w:lvlText w:val="•"/>
      <w:lvlJc w:val="left"/>
      <w:pPr>
        <w:tabs>
          <w:tab w:val="num" w:pos="2520"/>
        </w:tabs>
        <w:ind w:left="2520" w:hanging="360"/>
      </w:pPr>
      <w:rPr>
        <w:rFonts w:ascii="Arial" w:hAnsi="Arial" w:hint="default"/>
      </w:rPr>
    </w:lvl>
    <w:lvl w:ilvl="4" w:tplc="FBDE304A" w:tentative="1">
      <w:start w:val="1"/>
      <w:numFmt w:val="bullet"/>
      <w:lvlText w:val="•"/>
      <w:lvlJc w:val="left"/>
      <w:pPr>
        <w:tabs>
          <w:tab w:val="num" w:pos="3240"/>
        </w:tabs>
        <w:ind w:left="3240" w:hanging="360"/>
      </w:pPr>
      <w:rPr>
        <w:rFonts w:ascii="Arial" w:hAnsi="Arial" w:hint="default"/>
      </w:rPr>
    </w:lvl>
    <w:lvl w:ilvl="5" w:tplc="EE281564" w:tentative="1">
      <w:start w:val="1"/>
      <w:numFmt w:val="bullet"/>
      <w:lvlText w:val="•"/>
      <w:lvlJc w:val="left"/>
      <w:pPr>
        <w:tabs>
          <w:tab w:val="num" w:pos="3960"/>
        </w:tabs>
        <w:ind w:left="3960" w:hanging="360"/>
      </w:pPr>
      <w:rPr>
        <w:rFonts w:ascii="Arial" w:hAnsi="Arial" w:hint="default"/>
      </w:rPr>
    </w:lvl>
    <w:lvl w:ilvl="6" w:tplc="FD5E9A64" w:tentative="1">
      <w:start w:val="1"/>
      <w:numFmt w:val="bullet"/>
      <w:lvlText w:val="•"/>
      <w:lvlJc w:val="left"/>
      <w:pPr>
        <w:tabs>
          <w:tab w:val="num" w:pos="4680"/>
        </w:tabs>
        <w:ind w:left="4680" w:hanging="360"/>
      </w:pPr>
      <w:rPr>
        <w:rFonts w:ascii="Arial" w:hAnsi="Arial" w:hint="default"/>
      </w:rPr>
    </w:lvl>
    <w:lvl w:ilvl="7" w:tplc="59BAA85A" w:tentative="1">
      <w:start w:val="1"/>
      <w:numFmt w:val="bullet"/>
      <w:lvlText w:val="•"/>
      <w:lvlJc w:val="left"/>
      <w:pPr>
        <w:tabs>
          <w:tab w:val="num" w:pos="5400"/>
        </w:tabs>
        <w:ind w:left="5400" w:hanging="360"/>
      </w:pPr>
      <w:rPr>
        <w:rFonts w:ascii="Arial" w:hAnsi="Arial" w:hint="default"/>
      </w:rPr>
    </w:lvl>
    <w:lvl w:ilvl="8" w:tplc="2CBCA6A4" w:tentative="1">
      <w:start w:val="1"/>
      <w:numFmt w:val="bullet"/>
      <w:lvlText w:val="•"/>
      <w:lvlJc w:val="left"/>
      <w:pPr>
        <w:tabs>
          <w:tab w:val="num" w:pos="6120"/>
        </w:tabs>
        <w:ind w:left="6120" w:hanging="360"/>
      </w:pPr>
      <w:rPr>
        <w:rFonts w:ascii="Arial" w:hAnsi="Arial" w:hint="default"/>
      </w:rPr>
    </w:lvl>
  </w:abstractNum>
  <w:abstractNum w:abstractNumId="28" w15:restartNumberingAfterBreak="0">
    <w:nsid w:val="74D01D58"/>
    <w:multiLevelType w:val="singleLevel"/>
    <w:tmpl w:val="5978BFA0"/>
    <w:lvl w:ilvl="0">
      <w:start w:val="1"/>
      <w:numFmt w:val="decimal"/>
      <w:pStyle w:val="Para0number"/>
      <w:lvlText w:val="%1)"/>
      <w:lvlJc w:val="left"/>
      <w:pPr>
        <w:tabs>
          <w:tab w:val="num" w:pos="397"/>
        </w:tabs>
        <w:ind w:left="397" w:hanging="397"/>
      </w:pPr>
      <w:rPr>
        <w:rFonts w:cs="Times New Roman" w:hint="default"/>
      </w:rPr>
    </w:lvl>
  </w:abstractNum>
  <w:abstractNum w:abstractNumId="29" w15:restartNumberingAfterBreak="0">
    <w:nsid w:val="762964D5"/>
    <w:multiLevelType w:val="multilevel"/>
    <w:tmpl w:val="E898CC72"/>
    <w:styleLink w:val="KeyPoints"/>
    <w:lvl w:ilvl="0">
      <w:start w:val="1"/>
      <w:numFmt w:val="decimal"/>
      <w:pStyle w:val="ListNumber"/>
      <w:lvlText w:val="%1."/>
      <w:lvlJc w:val="left"/>
      <w:pPr>
        <w:ind w:left="369" w:hanging="369"/>
      </w:pPr>
      <w:rPr>
        <w:rFonts w:ascii="Arial" w:hAnsi="Arial" w:hint="default"/>
        <w:sz w:val="22"/>
      </w:rPr>
    </w:lvl>
    <w:lvl w:ilvl="1">
      <w:start w:val="1"/>
      <w:numFmt w:val="lowerLetter"/>
      <w:pStyle w:val="ListNumber2"/>
      <w:lvlText w:val="%2."/>
      <w:lvlJc w:val="left"/>
      <w:pPr>
        <w:ind w:left="738" w:hanging="369"/>
      </w:pPr>
      <w:rPr>
        <w:rFonts w:hint="default"/>
      </w:rPr>
    </w:lvl>
    <w:lvl w:ilvl="2">
      <w:start w:val="1"/>
      <w:numFmt w:val="lowerRoman"/>
      <w:pStyle w:val="ListNumber3"/>
      <w:lvlText w:val="%3."/>
      <w:lvlJc w:val="left"/>
      <w:pPr>
        <w:ind w:left="1107" w:hanging="369"/>
      </w:pPr>
      <w:rPr>
        <w:rFonts w:hint="default"/>
      </w:rPr>
    </w:lvl>
    <w:lvl w:ilvl="3">
      <w:start w:val="1"/>
      <w:numFmt w:val="none"/>
      <w:pStyle w:val="ListNumber4"/>
      <w:lvlText w:val="%4"/>
      <w:lvlJc w:val="left"/>
      <w:pPr>
        <w:ind w:left="1476" w:hanging="369"/>
      </w:pPr>
      <w:rPr>
        <w:rFonts w:hint="default"/>
      </w:rPr>
    </w:lvl>
    <w:lvl w:ilvl="4">
      <w:start w:val="1"/>
      <w:numFmt w:val="none"/>
      <w:pStyle w:val="ListNumber5"/>
      <w:lvlText w:val=""/>
      <w:lvlJc w:val="left"/>
      <w:pPr>
        <w:ind w:left="1845" w:hanging="369"/>
      </w:pPr>
      <w:rPr>
        <w:rFonts w:hint="default"/>
      </w:rPr>
    </w:lvl>
    <w:lvl w:ilvl="5">
      <w:start w:val="1"/>
      <w:numFmt w:val="none"/>
      <w:lvlText w:val=""/>
      <w:lvlJc w:val="left"/>
      <w:pPr>
        <w:ind w:left="2214" w:hanging="369"/>
      </w:pPr>
      <w:rPr>
        <w:rFonts w:hint="default"/>
      </w:rPr>
    </w:lvl>
    <w:lvl w:ilvl="6">
      <w:start w:val="1"/>
      <w:numFmt w:val="none"/>
      <w:lvlText w:val=""/>
      <w:lvlJc w:val="left"/>
      <w:pPr>
        <w:ind w:left="2583" w:hanging="369"/>
      </w:pPr>
      <w:rPr>
        <w:rFonts w:hint="default"/>
      </w:rPr>
    </w:lvl>
    <w:lvl w:ilvl="7">
      <w:start w:val="1"/>
      <w:numFmt w:val="none"/>
      <w:lvlText w:val=""/>
      <w:lvlJc w:val="left"/>
      <w:pPr>
        <w:ind w:left="2952" w:hanging="369"/>
      </w:pPr>
      <w:rPr>
        <w:rFonts w:hint="default"/>
      </w:rPr>
    </w:lvl>
    <w:lvl w:ilvl="8">
      <w:start w:val="1"/>
      <w:numFmt w:val="none"/>
      <w:lvlText w:val=""/>
      <w:lvlJc w:val="left"/>
      <w:pPr>
        <w:ind w:left="3321" w:hanging="369"/>
      </w:pPr>
      <w:rPr>
        <w:rFonts w:hint="default"/>
      </w:rPr>
    </w:lvl>
  </w:abstractNum>
  <w:abstractNum w:abstractNumId="30" w15:restartNumberingAfterBreak="0">
    <w:nsid w:val="787C774D"/>
    <w:multiLevelType w:val="hybridMultilevel"/>
    <w:tmpl w:val="298C411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 w15:restartNumberingAfterBreak="0">
    <w:nsid w:val="7E3C153C"/>
    <w:multiLevelType w:val="hybridMultilevel"/>
    <w:tmpl w:val="91946024"/>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29"/>
  </w:num>
  <w:num w:numId="2">
    <w:abstractNumId w:val="3"/>
  </w:num>
  <w:num w:numId="3">
    <w:abstractNumId w:val="15"/>
  </w:num>
  <w:num w:numId="4">
    <w:abstractNumId w:val="14"/>
  </w:num>
  <w:num w:numId="5">
    <w:abstractNumId w:val="23"/>
  </w:num>
  <w:num w:numId="6">
    <w:abstractNumId w:val="11"/>
  </w:num>
  <w:num w:numId="7">
    <w:abstractNumId w:val="10"/>
  </w:num>
  <w:num w:numId="8">
    <w:abstractNumId w:val="9"/>
  </w:num>
  <w:num w:numId="9">
    <w:abstractNumId w:val="27"/>
  </w:num>
  <w:num w:numId="10">
    <w:abstractNumId w:val="24"/>
  </w:num>
  <w:num w:numId="11">
    <w:abstractNumId w:val="21"/>
  </w:num>
  <w:num w:numId="12">
    <w:abstractNumId w:val="19"/>
  </w:num>
  <w:num w:numId="13">
    <w:abstractNumId w:val="4"/>
  </w:num>
  <w:num w:numId="14">
    <w:abstractNumId w:val="18"/>
  </w:num>
  <w:num w:numId="15">
    <w:abstractNumId w:val="17"/>
  </w:num>
  <w:num w:numId="16">
    <w:abstractNumId w:val="28"/>
  </w:num>
  <w:num w:numId="17">
    <w:abstractNumId w:val="20"/>
  </w:num>
  <w:num w:numId="18">
    <w:abstractNumId w:val="7"/>
  </w:num>
  <w:num w:numId="19">
    <w:abstractNumId w:val="12"/>
  </w:num>
  <w:num w:numId="20">
    <w:abstractNumId w:val="26"/>
  </w:num>
  <w:num w:numId="21">
    <w:abstractNumId w:val="8"/>
  </w:num>
  <w:num w:numId="22">
    <w:abstractNumId w:val="11"/>
  </w:num>
  <w:num w:numId="23">
    <w:abstractNumId w:val="11"/>
  </w:num>
  <w:num w:numId="24">
    <w:abstractNumId w:val="11"/>
  </w:num>
  <w:num w:numId="25">
    <w:abstractNumId w:val="11"/>
  </w:num>
  <w:num w:numId="26">
    <w:abstractNumId w:val="11"/>
  </w:num>
  <w:num w:numId="27">
    <w:abstractNumId w:val="11"/>
  </w:num>
  <w:num w:numId="28">
    <w:abstractNumId w:val="11"/>
  </w:num>
  <w:num w:numId="29">
    <w:abstractNumId w:val="7"/>
  </w:num>
  <w:num w:numId="30">
    <w:abstractNumId w:val="11"/>
  </w:num>
  <w:num w:numId="31">
    <w:abstractNumId w:val="2"/>
  </w:num>
  <w:num w:numId="32">
    <w:abstractNumId w:val="13"/>
  </w:num>
  <w:num w:numId="3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1"/>
  </w:num>
  <w:num w:numId="35">
    <w:abstractNumId w:val="11"/>
  </w:num>
  <w:num w:numId="36">
    <w:abstractNumId w:val="11"/>
  </w:num>
  <w:num w:numId="37">
    <w:abstractNumId w:val="11"/>
  </w:num>
  <w:num w:numId="38">
    <w:abstractNumId w:val="11"/>
  </w:num>
  <w:num w:numId="39">
    <w:abstractNumId w:val="0"/>
  </w:num>
  <w:num w:numId="40">
    <w:abstractNumId w:val="7"/>
  </w:num>
  <w:num w:numId="41">
    <w:abstractNumId w:val="7"/>
  </w:num>
  <w:num w:numId="42">
    <w:abstractNumId w:val="7"/>
  </w:num>
  <w:num w:numId="43">
    <w:abstractNumId w:val="7"/>
  </w:num>
  <w:num w:numId="44">
    <w:abstractNumId w:val="7"/>
  </w:num>
  <w:num w:numId="45">
    <w:abstractNumId w:val="26"/>
  </w:num>
  <w:num w:numId="46">
    <w:abstractNumId w:val="26"/>
  </w:num>
  <w:num w:numId="47">
    <w:abstractNumId w:val="7"/>
  </w:num>
  <w:num w:numId="48">
    <w:abstractNumId w:val="12"/>
  </w:num>
  <w:num w:numId="49">
    <w:abstractNumId w:val="12"/>
  </w:num>
  <w:num w:numId="50">
    <w:abstractNumId w:val="12"/>
  </w:num>
  <w:num w:numId="51">
    <w:abstractNumId w:val="7"/>
  </w:num>
  <w:num w:numId="52">
    <w:abstractNumId w:val="7"/>
  </w:num>
  <w:num w:numId="53">
    <w:abstractNumId w:val="7"/>
  </w:num>
  <w:num w:numId="54">
    <w:abstractNumId w:val="12"/>
  </w:num>
  <w:num w:numId="55">
    <w:abstractNumId w:val="7"/>
  </w:num>
  <w:num w:numId="56">
    <w:abstractNumId w:val="12"/>
  </w:num>
  <w:num w:numId="57">
    <w:abstractNumId w:val="7"/>
  </w:num>
  <w:num w:numId="58">
    <w:abstractNumId w:val="7"/>
  </w:num>
  <w:num w:numId="59">
    <w:abstractNumId w:val="11"/>
  </w:num>
  <w:num w:numId="6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1"/>
  </w:num>
  <w:num w:numId="63">
    <w:abstractNumId w:val="11"/>
  </w:num>
  <w:num w:numId="64">
    <w:abstractNumId w:val="6"/>
  </w:num>
  <w:num w:numId="6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26"/>
  </w:num>
  <w:num w:numId="6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16"/>
  </w:num>
  <w:num w:numId="69">
    <w:abstractNumId w:val="25"/>
  </w:num>
  <w:num w:numId="70">
    <w:abstractNumId w:val="26"/>
  </w:num>
  <w:num w:numId="71">
    <w:abstractNumId w:val="26"/>
  </w:num>
  <w:num w:numId="72">
    <w:abstractNumId w:val="11"/>
  </w:num>
  <w:num w:numId="73">
    <w:abstractNumId w:val="26"/>
  </w:num>
  <w:num w:numId="74">
    <w:abstractNumId w:val="26"/>
  </w:num>
  <w:num w:numId="75">
    <w:abstractNumId w:val="26"/>
  </w:num>
  <w:num w:numId="76">
    <w:abstractNumId w:val="26"/>
  </w:num>
  <w:num w:numId="77">
    <w:abstractNumId w:val="26"/>
  </w:num>
  <w:num w:numId="78">
    <w:abstractNumId w:val="26"/>
  </w:num>
  <w:num w:numId="79">
    <w:abstractNumId w:val="26"/>
  </w:num>
  <w:num w:numId="80">
    <w:abstractNumId w:val="26"/>
  </w:num>
  <w:num w:numId="81">
    <w:abstractNumId w:val="26"/>
  </w:num>
  <w:num w:numId="82">
    <w:abstractNumId w:val="11"/>
  </w:num>
  <w:num w:numId="83">
    <w:abstractNumId w:val="26"/>
  </w:num>
  <w:num w:numId="84">
    <w:abstractNumId w:val="26"/>
  </w:num>
  <w:num w:numId="85">
    <w:abstractNumId w:val="1"/>
  </w:num>
  <w:num w:numId="86">
    <w:abstractNumId w:val="26"/>
  </w:num>
  <w:num w:numId="87">
    <w:abstractNumId w:val="11"/>
  </w:num>
  <w:num w:numId="88">
    <w:abstractNumId w:val="11"/>
  </w:num>
  <w:num w:numId="89">
    <w:abstractNumId w:val="11"/>
  </w:num>
  <w:num w:numId="90">
    <w:abstractNumId w:val="26"/>
  </w:num>
  <w:num w:numId="91">
    <w:abstractNumId w:val="26"/>
  </w:num>
  <w:num w:numId="92">
    <w:abstractNumId w:val="26"/>
  </w:num>
  <w:num w:numId="93">
    <w:abstractNumId w:val="26"/>
  </w:num>
  <w:num w:numId="94">
    <w:abstractNumId w:val="26"/>
  </w:num>
  <w:num w:numId="95">
    <w:abstractNumId w:val="26"/>
  </w:num>
  <w:num w:numId="96">
    <w:abstractNumId w:val="26"/>
  </w:num>
  <w:num w:numId="97">
    <w:abstractNumId w:val="26"/>
  </w:num>
  <w:num w:numId="98">
    <w:abstractNumId w:val="26"/>
  </w:num>
  <w:num w:numId="99">
    <w:abstractNumId w:val="26"/>
  </w:num>
  <w:num w:numId="100">
    <w:abstractNumId w:val="26"/>
  </w:num>
  <w:num w:numId="101">
    <w:abstractNumId w:val="26"/>
  </w:num>
  <w:num w:numId="102">
    <w:abstractNumId w:val="26"/>
  </w:num>
  <w:num w:numId="103">
    <w:abstractNumId w:val="26"/>
  </w:num>
  <w:num w:numId="104">
    <w:abstractNumId w:val="26"/>
  </w:num>
  <w:num w:numId="105">
    <w:abstractNumId w:val="11"/>
  </w:num>
  <w:num w:numId="106">
    <w:abstractNumId w:val="26"/>
  </w:num>
  <w:num w:numId="107">
    <w:abstractNumId w:val="26"/>
  </w:num>
  <w:num w:numId="108">
    <w:abstractNumId w:val="31"/>
  </w:num>
  <w:num w:numId="109">
    <w:abstractNumId w:val="22"/>
  </w:num>
  <w:num w:numId="110">
    <w:abstractNumId w:val="14"/>
  </w:num>
  <w:num w:numId="111">
    <w:abstractNumId w:val="11"/>
  </w:num>
  <w:num w:numId="112">
    <w:abstractNumId w:val="11"/>
  </w:num>
  <w:num w:numId="113">
    <w:abstractNumId w:val="11"/>
  </w:num>
  <w:num w:numId="114">
    <w:abstractNumId w:val="26"/>
  </w:num>
  <w:num w:numId="115">
    <w:abstractNumId w:val="26"/>
  </w:num>
  <w:num w:numId="116">
    <w:abstractNumId w:val="26"/>
  </w:num>
  <w:num w:numId="117">
    <w:abstractNumId w:val="26"/>
  </w:num>
  <w:num w:numId="118">
    <w:abstractNumId w:val="26"/>
  </w:num>
  <w:num w:numId="119">
    <w:abstractNumId w:val="5"/>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30"/>
  </w:num>
  <w:num w:numId="121">
    <w:abstractNumId w:val="26"/>
  </w:num>
  <w:numIdMacAtCleanup w:val="1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284"/>
  <w:drawingGridHorizontalSpacing w:val="100"/>
  <w:displayHorizontalDrawingGridEvery w:val="2"/>
  <w:displayVerticalDrawingGridEvery w:val="2"/>
  <w:characterSpacingControl w:val="doNotCompress"/>
  <w:hdrShapeDefaults>
    <o:shapedefaults v:ext="edit" spidmax="4915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SecurityClassificationInHeader" w:val="False"/>
  </w:docVars>
  <w:rsids>
    <w:rsidRoot w:val="00E84CFF"/>
    <w:rsid w:val="00001811"/>
    <w:rsid w:val="00001DE0"/>
    <w:rsid w:val="00002A57"/>
    <w:rsid w:val="00002A9A"/>
    <w:rsid w:val="0000324B"/>
    <w:rsid w:val="00004AEE"/>
    <w:rsid w:val="00005CAA"/>
    <w:rsid w:val="00007CD7"/>
    <w:rsid w:val="00010210"/>
    <w:rsid w:val="000116B3"/>
    <w:rsid w:val="00011CDE"/>
    <w:rsid w:val="00012D66"/>
    <w:rsid w:val="00013501"/>
    <w:rsid w:val="00014539"/>
    <w:rsid w:val="00015ADA"/>
    <w:rsid w:val="00016992"/>
    <w:rsid w:val="00020C99"/>
    <w:rsid w:val="000212F5"/>
    <w:rsid w:val="0002707B"/>
    <w:rsid w:val="00031652"/>
    <w:rsid w:val="0003384D"/>
    <w:rsid w:val="00033AD2"/>
    <w:rsid w:val="00034353"/>
    <w:rsid w:val="00042D65"/>
    <w:rsid w:val="00043D4B"/>
    <w:rsid w:val="000441B3"/>
    <w:rsid w:val="000448B7"/>
    <w:rsid w:val="00044BD8"/>
    <w:rsid w:val="00046F6F"/>
    <w:rsid w:val="0005088B"/>
    <w:rsid w:val="0005148E"/>
    <w:rsid w:val="00051D81"/>
    <w:rsid w:val="00051DAE"/>
    <w:rsid w:val="000553B3"/>
    <w:rsid w:val="00064B86"/>
    <w:rsid w:val="00070356"/>
    <w:rsid w:val="000703B6"/>
    <w:rsid w:val="00070D2B"/>
    <w:rsid w:val="00072C5A"/>
    <w:rsid w:val="00073B45"/>
    <w:rsid w:val="000759E5"/>
    <w:rsid w:val="00081397"/>
    <w:rsid w:val="00082BA8"/>
    <w:rsid w:val="000848CD"/>
    <w:rsid w:val="00084AC6"/>
    <w:rsid w:val="0008741A"/>
    <w:rsid w:val="0009013A"/>
    <w:rsid w:val="000909D4"/>
    <w:rsid w:val="00091608"/>
    <w:rsid w:val="00091C8B"/>
    <w:rsid w:val="00092DA6"/>
    <w:rsid w:val="0009333C"/>
    <w:rsid w:val="00093E26"/>
    <w:rsid w:val="00096462"/>
    <w:rsid w:val="0009704F"/>
    <w:rsid w:val="00097480"/>
    <w:rsid w:val="000A0F11"/>
    <w:rsid w:val="000A125A"/>
    <w:rsid w:val="000A57CD"/>
    <w:rsid w:val="000B0953"/>
    <w:rsid w:val="000B3758"/>
    <w:rsid w:val="000B3C56"/>
    <w:rsid w:val="000B4639"/>
    <w:rsid w:val="000B67A5"/>
    <w:rsid w:val="000B72BF"/>
    <w:rsid w:val="000B7681"/>
    <w:rsid w:val="000B7B42"/>
    <w:rsid w:val="000B7BCE"/>
    <w:rsid w:val="000C02B7"/>
    <w:rsid w:val="000C0F9B"/>
    <w:rsid w:val="000C1F89"/>
    <w:rsid w:val="000C4962"/>
    <w:rsid w:val="000C5100"/>
    <w:rsid w:val="000C52B0"/>
    <w:rsid w:val="000C5342"/>
    <w:rsid w:val="000C53A2"/>
    <w:rsid w:val="000C706A"/>
    <w:rsid w:val="000D16AD"/>
    <w:rsid w:val="000D1B30"/>
    <w:rsid w:val="000D1F19"/>
    <w:rsid w:val="000D2887"/>
    <w:rsid w:val="000D6A37"/>
    <w:rsid w:val="000D6D63"/>
    <w:rsid w:val="000E0081"/>
    <w:rsid w:val="000E07CF"/>
    <w:rsid w:val="000E31C1"/>
    <w:rsid w:val="000E3C60"/>
    <w:rsid w:val="000E5012"/>
    <w:rsid w:val="000E5D39"/>
    <w:rsid w:val="000E6795"/>
    <w:rsid w:val="000E745B"/>
    <w:rsid w:val="000E7922"/>
    <w:rsid w:val="000F2CF2"/>
    <w:rsid w:val="000F326D"/>
    <w:rsid w:val="000F3937"/>
    <w:rsid w:val="000F69B7"/>
    <w:rsid w:val="00100900"/>
    <w:rsid w:val="00100BEF"/>
    <w:rsid w:val="0010374D"/>
    <w:rsid w:val="00111326"/>
    <w:rsid w:val="00114173"/>
    <w:rsid w:val="0011498E"/>
    <w:rsid w:val="001167F3"/>
    <w:rsid w:val="00117844"/>
    <w:rsid w:val="00117A45"/>
    <w:rsid w:val="00120AC6"/>
    <w:rsid w:val="00121888"/>
    <w:rsid w:val="001224AE"/>
    <w:rsid w:val="00122785"/>
    <w:rsid w:val="0012467B"/>
    <w:rsid w:val="001272BF"/>
    <w:rsid w:val="0012766D"/>
    <w:rsid w:val="00127AEC"/>
    <w:rsid w:val="00127B84"/>
    <w:rsid w:val="00127F79"/>
    <w:rsid w:val="00131F36"/>
    <w:rsid w:val="001337D4"/>
    <w:rsid w:val="0013386D"/>
    <w:rsid w:val="00133D95"/>
    <w:rsid w:val="0013717F"/>
    <w:rsid w:val="0013797B"/>
    <w:rsid w:val="001409E5"/>
    <w:rsid w:val="00140C8A"/>
    <w:rsid w:val="0014495A"/>
    <w:rsid w:val="0014600F"/>
    <w:rsid w:val="00147BF3"/>
    <w:rsid w:val="00147C12"/>
    <w:rsid w:val="00150118"/>
    <w:rsid w:val="00152493"/>
    <w:rsid w:val="001527A1"/>
    <w:rsid w:val="001530DC"/>
    <w:rsid w:val="00154989"/>
    <w:rsid w:val="00154EFD"/>
    <w:rsid w:val="00155A9F"/>
    <w:rsid w:val="00160262"/>
    <w:rsid w:val="0016046B"/>
    <w:rsid w:val="00163C97"/>
    <w:rsid w:val="0016780A"/>
    <w:rsid w:val="00170334"/>
    <w:rsid w:val="001713FA"/>
    <w:rsid w:val="00173EBF"/>
    <w:rsid w:val="00175ED3"/>
    <w:rsid w:val="001765FA"/>
    <w:rsid w:val="00176705"/>
    <w:rsid w:val="00180697"/>
    <w:rsid w:val="00181191"/>
    <w:rsid w:val="00183C6C"/>
    <w:rsid w:val="001842A2"/>
    <w:rsid w:val="00184473"/>
    <w:rsid w:val="00185C54"/>
    <w:rsid w:val="00187511"/>
    <w:rsid w:val="00187FA8"/>
    <w:rsid w:val="001902DE"/>
    <w:rsid w:val="00192F5E"/>
    <w:rsid w:val="00195698"/>
    <w:rsid w:val="001956AE"/>
    <w:rsid w:val="00197772"/>
    <w:rsid w:val="001A4B14"/>
    <w:rsid w:val="001A513F"/>
    <w:rsid w:val="001A51C8"/>
    <w:rsid w:val="001A5D3B"/>
    <w:rsid w:val="001A6FA9"/>
    <w:rsid w:val="001B0489"/>
    <w:rsid w:val="001B134F"/>
    <w:rsid w:val="001B406B"/>
    <w:rsid w:val="001B4CA8"/>
    <w:rsid w:val="001B5EA1"/>
    <w:rsid w:val="001B60BF"/>
    <w:rsid w:val="001B6F0D"/>
    <w:rsid w:val="001B717B"/>
    <w:rsid w:val="001C0AE8"/>
    <w:rsid w:val="001C4F3D"/>
    <w:rsid w:val="001C7258"/>
    <w:rsid w:val="001D04AC"/>
    <w:rsid w:val="001D0CDC"/>
    <w:rsid w:val="001D1330"/>
    <w:rsid w:val="001D1D82"/>
    <w:rsid w:val="001D2666"/>
    <w:rsid w:val="001D2E17"/>
    <w:rsid w:val="001D5634"/>
    <w:rsid w:val="001D6223"/>
    <w:rsid w:val="001E0001"/>
    <w:rsid w:val="001E1182"/>
    <w:rsid w:val="001E21C0"/>
    <w:rsid w:val="001E3B33"/>
    <w:rsid w:val="001F1BE6"/>
    <w:rsid w:val="001F355B"/>
    <w:rsid w:val="001F7ACC"/>
    <w:rsid w:val="002005D7"/>
    <w:rsid w:val="002015E7"/>
    <w:rsid w:val="00201611"/>
    <w:rsid w:val="002019FB"/>
    <w:rsid w:val="00202C90"/>
    <w:rsid w:val="00205DB0"/>
    <w:rsid w:val="00206858"/>
    <w:rsid w:val="00207971"/>
    <w:rsid w:val="0021001E"/>
    <w:rsid w:val="0021084B"/>
    <w:rsid w:val="00211F67"/>
    <w:rsid w:val="00212C8B"/>
    <w:rsid w:val="00213DE8"/>
    <w:rsid w:val="00216118"/>
    <w:rsid w:val="002163F2"/>
    <w:rsid w:val="00216C9F"/>
    <w:rsid w:val="002209AB"/>
    <w:rsid w:val="0022362D"/>
    <w:rsid w:val="002251E3"/>
    <w:rsid w:val="00226177"/>
    <w:rsid w:val="00227A95"/>
    <w:rsid w:val="002316BD"/>
    <w:rsid w:val="002336D5"/>
    <w:rsid w:val="00234AD4"/>
    <w:rsid w:val="00235285"/>
    <w:rsid w:val="00236798"/>
    <w:rsid w:val="00236D7A"/>
    <w:rsid w:val="002377E0"/>
    <w:rsid w:val="00242E19"/>
    <w:rsid w:val="00244062"/>
    <w:rsid w:val="00246399"/>
    <w:rsid w:val="00246B39"/>
    <w:rsid w:val="002473FC"/>
    <w:rsid w:val="00247AFE"/>
    <w:rsid w:val="0025024D"/>
    <w:rsid w:val="00252E3C"/>
    <w:rsid w:val="00252EF4"/>
    <w:rsid w:val="002542CC"/>
    <w:rsid w:val="00255822"/>
    <w:rsid w:val="00262198"/>
    <w:rsid w:val="00273B89"/>
    <w:rsid w:val="00281DEF"/>
    <w:rsid w:val="0028478D"/>
    <w:rsid w:val="00285F1B"/>
    <w:rsid w:val="00292462"/>
    <w:rsid w:val="00292B81"/>
    <w:rsid w:val="0029504A"/>
    <w:rsid w:val="002A4DDD"/>
    <w:rsid w:val="002A65CE"/>
    <w:rsid w:val="002B0247"/>
    <w:rsid w:val="002B18AE"/>
    <w:rsid w:val="002B3E00"/>
    <w:rsid w:val="002B6A9C"/>
    <w:rsid w:val="002B776E"/>
    <w:rsid w:val="002C04FC"/>
    <w:rsid w:val="002C1C93"/>
    <w:rsid w:val="002C1CF5"/>
    <w:rsid w:val="002C274D"/>
    <w:rsid w:val="002C3038"/>
    <w:rsid w:val="002C5066"/>
    <w:rsid w:val="002C5813"/>
    <w:rsid w:val="002C7230"/>
    <w:rsid w:val="002D0E3E"/>
    <w:rsid w:val="002D2B6D"/>
    <w:rsid w:val="002D4AAC"/>
    <w:rsid w:val="002D5B31"/>
    <w:rsid w:val="002D7BD0"/>
    <w:rsid w:val="002E0B60"/>
    <w:rsid w:val="002E18DF"/>
    <w:rsid w:val="002E3CDD"/>
    <w:rsid w:val="002E745C"/>
    <w:rsid w:val="002F045A"/>
    <w:rsid w:val="002F05F9"/>
    <w:rsid w:val="002F4EA6"/>
    <w:rsid w:val="002F53F4"/>
    <w:rsid w:val="002F5C66"/>
    <w:rsid w:val="002F5DE3"/>
    <w:rsid w:val="002F78F1"/>
    <w:rsid w:val="002F7FCE"/>
    <w:rsid w:val="0030039D"/>
    <w:rsid w:val="003005AA"/>
    <w:rsid w:val="00300FC3"/>
    <w:rsid w:val="00301EE6"/>
    <w:rsid w:val="0030326F"/>
    <w:rsid w:val="00306E0D"/>
    <w:rsid w:val="00310701"/>
    <w:rsid w:val="00315980"/>
    <w:rsid w:val="00315C25"/>
    <w:rsid w:val="00316171"/>
    <w:rsid w:val="00316F7F"/>
    <w:rsid w:val="003218E8"/>
    <w:rsid w:val="00322499"/>
    <w:rsid w:val="00323005"/>
    <w:rsid w:val="00325E34"/>
    <w:rsid w:val="00326B4E"/>
    <w:rsid w:val="00326C56"/>
    <w:rsid w:val="00326CE1"/>
    <w:rsid w:val="00330DCE"/>
    <w:rsid w:val="0033130A"/>
    <w:rsid w:val="00331E11"/>
    <w:rsid w:val="00334761"/>
    <w:rsid w:val="0033533E"/>
    <w:rsid w:val="00337EBC"/>
    <w:rsid w:val="00341917"/>
    <w:rsid w:val="00341DCD"/>
    <w:rsid w:val="00343912"/>
    <w:rsid w:val="0034563E"/>
    <w:rsid w:val="0034714B"/>
    <w:rsid w:val="003518D6"/>
    <w:rsid w:val="003519E7"/>
    <w:rsid w:val="0035460C"/>
    <w:rsid w:val="003556BD"/>
    <w:rsid w:val="003563F2"/>
    <w:rsid w:val="00360FCB"/>
    <w:rsid w:val="00361C8E"/>
    <w:rsid w:val="00363BD9"/>
    <w:rsid w:val="00363F51"/>
    <w:rsid w:val="00364186"/>
    <w:rsid w:val="00364767"/>
    <w:rsid w:val="00364D54"/>
    <w:rsid w:val="00364E67"/>
    <w:rsid w:val="00365147"/>
    <w:rsid w:val="00366E0B"/>
    <w:rsid w:val="0037016E"/>
    <w:rsid w:val="00370E38"/>
    <w:rsid w:val="003710C7"/>
    <w:rsid w:val="003720A9"/>
    <w:rsid w:val="00372908"/>
    <w:rsid w:val="003737A2"/>
    <w:rsid w:val="003743BC"/>
    <w:rsid w:val="00374DB6"/>
    <w:rsid w:val="00383020"/>
    <w:rsid w:val="00384203"/>
    <w:rsid w:val="00384BE1"/>
    <w:rsid w:val="00384CA7"/>
    <w:rsid w:val="00385716"/>
    <w:rsid w:val="0038659E"/>
    <w:rsid w:val="0039170E"/>
    <w:rsid w:val="00392B56"/>
    <w:rsid w:val="00392BB7"/>
    <w:rsid w:val="00394D7E"/>
    <w:rsid w:val="003969EB"/>
    <w:rsid w:val="00397306"/>
    <w:rsid w:val="003975FD"/>
    <w:rsid w:val="003A1D92"/>
    <w:rsid w:val="003A1F4F"/>
    <w:rsid w:val="003B057D"/>
    <w:rsid w:val="003B0DE8"/>
    <w:rsid w:val="003B1AD9"/>
    <w:rsid w:val="003B261C"/>
    <w:rsid w:val="003B3643"/>
    <w:rsid w:val="003B60CC"/>
    <w:rsid w:val="003C1B25"/>
    <w:rsid w:val="003C1ED6"/>
    <w:rsid w:val="003C2443"/>
    <w:rsid w:val="003C30F8"/>
    <w:rsid w:val="003C5168"/>
    <w:rsid w:val="003C5DA3"/>
    <w:rsid w:val="003C7B4D"/>
    <w:rsid w:val="003D0A27"/>
    <w:rsid w:val="003D16BD"/>
    <w:rsid w:val="003D2B9A"/>
    <w:rsid w:val="003D4BCD"/>
    <w:rsid w:val="003D65BD"/>
    <w:rsid w:val="003D685E"/>
    <w:rsid w:val="003D6C2B"/>
    <w:rsid w:val="003E01D8"/>
    <w:rsid w:val="003E1D82"/>
    <w:rsid w:val="003E2100"/>
    <w:rsid w:val="003E3BB9"/>
    <w:rsid w:val="003E3DFB"/>
    <w:rsid w:val="003E7D03"/>
    <w:rsid w:val="003F1B9B"/>
    <w:rsid w:val="003F1C8E"/>
    <w:rsid w:val="003F2E8F"/>
    <w:rsid w:val="003F5FCA"/>
    <w:rsid w:val="003F6037"/>
    <w:rsid w:val="003F6F5B"/>
    <w:rsid w:val="003F773B"/>
    <w:rsid w:val="00402507"/>
    <w:rsid w:val="0040342D"/>
    <w:rsid w:val="004068CA"/>
    <w:rsid w:val="0040711E"/>
    <w:rsid w:val="00410479"/>
    <w:rsid w:val="0041192D"/>
    <w:rsid w:val="00413EE1"/>
    <w:rsid w:val="0041493B"/>
    <w:rsid w:val="0042128E"/>
    <w:rsid w:val="00427644"/>
    <w:rsid w:val="00430114"/>
    <w:rsid w:val="00432B60"/>
    <w:rsid w:val="00432D99"/>
    <w:rsid w:val="0043324B"/>
    <w:rsid w:val="004338C8"/>
    <w:rsid w:val="00434DA1"/>
    <w:rsid w:val="00435157"/>
    <w:rsid w:val="00440698"/>
    <w:rsid w:val="00441CB0"/>
    <w:rsid w:val="0044365D"/>
    <w:rsid w:val="00443B9D"/>
    <w:rsid w:val="00443E23"/>
    <w:rsid w:val="00445C9E"/>
    <w:rsid w:val="00450FF5"/>
    <w:rsid w:val="0045371E"/>
    <w:rsid w:val="004540E2"/>
    <w:rsid w:val="004543FB"/>
    <w:rsid w:val="00454454"/>
    <w:rsid w:val="00454495"/>
    <w:rsid w:val="00454AC8"/>
    <w:rsid w:val="00454C65"/>
    <w:rsid w:val="00460605"/>
    <w:rsid w:val="004624C6"/>
    <w:rsid w:val="00465ABE"/>
    <w:rsid w:val="004661C2"/>
    <w:rsid w:val="00467924"/>
    <w:rsid w:val="004712A5"/>
    <w:rsid w:val="004722FD"/>
    <w:rsid w:val="0047266F"/>
    <w:rsid w:val="0047599E"/>
    <w:rsid w:val="00476D6B"/>
    <w:rsid w:val="0047793A"/>
    <w:rsid w:val="00477FC3"/>
    <w:rsid w:val="004820BA"/>
    <w:rsid w:val="00482379"/>
    <w:rsid w:val="004835D0"/>
    <w:rsid w:val="00483A69"/>
    <w:rsid w:val="00483E3C"/>
    <w:rsid w:val="00487E31"/>
    <w:rsid w:val="00487F96"/>
    <w:rsid w:val="004906C1"/>
    <w:rsid w:val="00490C73"/>
    <w:rsid w:val="00492C16"/>
    <w:rsid w:val="00493004"/>
    <w:rsid w:val="004931D9"/>
    <w:rsid w:val="00495422"/>
    <w:rsid w:val="00495648"/>
    <w:rsid w:val="004956A0"/>
    <w:rsid w:val="00495D3C"/>
    <w:rsid w:val="004A0678"/>
    <w:rsid w:val="004A0A0D"/>
    <w:rsid w:val="004A123E"/>
    <w:rsid w:val="004A145F"/>
    <w:rsid w:val="004A1BF3"/>
    <w:rsid w:val="004A33B9"/>
    <w:rsid w:val="004A48A3"/>
    <w:rsid w:val="004B0D92"/>
    <w:rsid w:val="004B0EC0"/>
    <w:rsid w:val="004B2910"/>
    <w:rsid w:val="004B4370"/>
    <w:rsid w:val="004B59FE"/>
    <w:rsid w:val="004B5F50"/>
    <w:rsid w:val="004B608C"/>
    <w:rsid w:val="004B61FF"/>
    <w:rsid w:val="004B66F1"/>
    <w:rsid w:val="004C3EA0"/>
    <w:rsid w:val="004C3F5C"/>
    <w:rsid w:val="004C4314"/>
    <w:rsid w:val="004C7B8D"/>
    <w:rsid w:val="004D0ED7"/>
    <w:rsid w:val="004D48E6"/>
    <w:rsid w:val="004D63BA"/>
    <w:rsid w:val="004E14E2"/>
    <w:rsid w:val="004E1A02"/>
    <w:rsid w:val="004E591C"/>
    <w:rsid w:val="004F3C62"/>
    <w:rsid w:val="004F7169"/>
    <w:rsid w:val="00500D66"/>
    <w:rsid w:val="00500F8C"/>
    <w:rsid w:val="00501FED"/>
    <w:rsid w:val="00505D4A"/>
    <w:rsid w:val="00507E58"/>
    <w:rsid w:val="0051045D"/>
    <w:rsid w:val="005134E0"/>
    <w:rsid w:val="00513FC2"/>
    <w:rsid w:val="00514C8E"/>
    <w:rsid w:val="00515447"/>
    <w:rsid w:val="00515653"/>
    <w:rsid w:val="00515E2F"/>
    <w:rsid w:val="00525899"/>
    <w:rsid w:val="005307CF"/>
    <w:rsid w:val="00530D84"/>
    <w:rsid w:val="00531B53"/>
    <w:rsid w:val="00531DBF"/>
    <w:rsid w:val="00532182"/>
    <w:rsid w:val="0053762F"/>
    <w:rsid w:val="00537D87"/>
    <w:rsid w:val="00540914"/>
    <w:rsid w:val="00543F7D"/>
    <w:rsid w:val="00545759"/>
    <w:rsid w:val="005459C8"/>
    <w:rsid w:val="00545BE0"/>
    <w:rsid w:val="00546930"/>
    <w:rsid w:val="00550BD9"/>
    <w:rsid w:val="005539CE"/>
    <w:rsid w:val="00553B2D"/>
    <w:rsid w:val="00554C6A"/>
    <w:rsid w:val="00555378"/>
    <w:rsid w:val="00556C4F"/>
    <w:rsid w:val="005578FC"/>
    <w:rsid w:val="00560528"/>
    <w:rsid w:val="00560998"/>
    <w:rsid w:val="00560A3C"/>
    <w:rsid w:val="00561C3B"/>
    <w:rsid w:val="00562E85"/>
    <w:rsid w:val="0056332F"/>
    <w:rsid w:val="00564485"/>
    <w:rsid w:val="00566506"/>
    <w:rsid w:val="00567E98"/>
    <w:rsid w:val="005719B3"/>
    <w:rsid w:val="005721BB"/>
    <w:rsid w:val="0057257A"/>
    <w:rsid w:val="0057295E"/>
    <w:rsid w:val="00574C03"/>
    <w:rsid w:val="00574F85"/>
    <w:rsid w:val="00576FD5"/>
    <w:rsid w:val="005807A3"/>
    <w:rsid w:val="00581C39"/>
    <w:rsid w:val="00581F38"/>
    <w:rsid w:val="00583570"/>
    <w:rsid w:val="005837F4"/>
    <w:rsid w:val="00583F30"/>
    <w:rsid w:val="00585F5A"/>
    <w:rsid w:val="005903B6"/>
    <w:rsid w:val="00590D83"/>
    <w:rsid w:val="00590E52"/>
    <w:rsid w:val="005A0247"/>
    <w:rsid w:val="005A126E"/>
    <w:rsid w:val="005A1FC5"/>
    <w:rsid w:val="005A2251"/>
    <w:rsid w:val="005A415C"/>
    <w:rsid w:val="005A452F"/>
    <w:rsid w:val="005A47E1"/>
    <w:rsid w:val="005A53D7"/>
    <w:rsid w:val="005A6FF7"/>
    <w:rsid w:val="005B140D"/>
    <w:rsid w:val="005B42CB"/>
    <w:rsid w:val="005B4A47"/>
    <w:rsid w:val="005B5EE3"/>
    <w:rsid w:val="005B61FA"/>
    <w:rsid w:val="005B68C7"/>
    <w:rsid w:val="005C1FEA"/>
    <w:rsid w:val="005C2F4C"/>
    <w:rsid w:val="005C3495"/>
    <w:rsid w:val="005C7253"/>
    <w:rsid w:val="005D0F1A"/>
    <w:rsid w:val="005D329F"/>
    <w:rsid w:val="005D416E"/>
    <w:rsid w:val="005D6D88"/>
    <w:rsid w:val="005D7AAE"/>
    <w:rsid w:val="005E25BA"/>
    <w:rsid w:val="005E27D8"/>
    <w:rsid w:val="005E2948"/>
    <w:rsid w:val="005E321D"/>
    <w:rsid w:val="005E3DFC"/>
    <w:rsid w:val="005E4A17"/>
    <w:rsid w:val="005E5942"/>
    <w:rsid w:val="005E5AA0"/>
    <w:rsid w:val="005E60AF"/>
    <w:rsid w:val="005E7E73"/>
    <w:rsid w:val="005F031B"/>
    <w:rsid w:val="005F1DEA"/>
    <w:rsid w:val="005F3554"/>
    <w:rsid w:val="005F466D"/>
    <w:rsid w:val="005F6C5F"/>
    <w:rsid w:val="005F756E"/>
    <w:rsid w:val="00600AB7"/>
    <w:rsid w:val="00601DC7"/>
    <w:rsid w:val="00602667"/>
    <w:rsid w:val="006026F2"/>
    <w:rsid w:val="0060424C"/>
    <w:rsid w:val="00604482"/>
    <w:rsid w:val="00604F6D"/>
    <w:rsid w:val="00607A70"/>
    <w:rsid w:val="00607FC9"/>
    <w:rsid w:val="00611EFF"/>
    <w:rsid w:val="0062198A"/>
    <w:rsid w:val="00621E3A"/>
    <w:rsid w:val="00622FE1"/>
    <w:rsid w:val="00623152"/>
    <w:rsid w:val="00623ACD"/>
    <w:rsid w:val="00623DEC"/>
    <w:rsid w:val="0062521C"/>
    <w:rsid w:val="0062564E"/>
    <w:rsid w:val="00626349"/>
    <w:rsid w:val="0062683F"/>
    <w:rsid w:val="00627505"/>
    <w:rsid w:val="00630684"/>
    <w:rsid w:val="00630A2B"/>
    <w:rsid w:val="00630CB8"/>
    <w:rsid w:val="00632DC7"/>
    <w:rsid w:val="00634852"/>
    <w:rsid w:val="00634A38"/>
    <w:rsid w:val="00635311"/>
    <w:rsid w:val="006357FB"/>
    <w:rsid w:val="00636F43"/>
    <w:rsid w:val="00637039"/>
    <w:rsid w:val="006406FC"/>
    <w:rsid w:val="006409D5"/>
    <w:rsid w:val="00640E57"/>
    <w:rsid w:val="00641278"/>
    <w:rsid w:val="006417CF"/>
    <w:rsid w:val="00642205"/>
    <w:rsid w:val="00646122"/>
    <w:rsid w:val="00647C53"/>
    <w:rsid w:val="00647D10"/>
    <w:rsid w:val="00651422"/>
    <w:rsid w:val="00653339"/>
    <w:rsid w:val="00653E16"/>
    <w:rsid w:val="00655DED"/>
    <w:rsid w:val="00657220"/>
    <w:rsid w:val="00657362"/>
    <w:rsid w:val="006574C4"/>
    <w:rsid w:val="0066104B"/>
    <w:rsid w:val="0066209B"/>
    <w:rsid w:val="00662B21"/>
    <w:rsid w:val="006655EE"/>
    <w:rsid w:val="00667C10"/>
    <w:rsid w:val="00667EF4"/>
    <w:rsid w:val="00673B96"/>
    <w:rsid w:val="00675265"/>
    <w:rsid w:val="00676FCA"/>
    <w:rsid w:val="00677177"/>
    <w:rsid w:val="00680385"/>
    <w:rsid w:val="0068093B"/>
    <w:rsid w:val="00683CE4"/>
    <w:rsid w:val="0068612E"/>
    <w:rsid w:val="00687C92"/>
    <w:rsid w:val="00691131"/>
    <w:rsid w:val="00693AE8"/>
    <w:rsid w:val="006941ED"/>
    <w:rsid w:val="0069534E"/>
    <w:rsid w:val="0069669C"/>
    <w:rsid w:val="00697322"/>
    <w:rsid w:val="006A1200"/>
    <w:rsid w:val="006A4130"/>
    <w:rsid w:val="006A4F4E"/>
    <w:rsid w:val="006A5874"/>
    <w:rsid w:val="006A6C23"/>
    <w:rsid w:val="006B14DB"/>
    <w:rsid w:val="006B21C4"/>
    <w:rsid w:val="006B58B8"/>
    <w:rsid w:val="006B6289"/>
    <w:rsid w:val="006B79FD"/>
    <w:rsid w:val="006C0439"/>
    <w:rsid w:val="006C2670"/>
    <w:rsid w:val="006C4A1A"/>
    <w:rsid w:val="006C6F0A"/>
    <w:rsid w:val="006D0393"/>
    <w:rsid w:val="006D060D"/>
    <w:rsid w:val="006D1A83"/>
    <w:rsid w:val="006D4F1B"/>
    <w:rsid w:val="006D4FBC"/>
    <w:rsid w:val="006D6670"/>
    <w:rsid w:val="006D7E55"/>
    <w:rsid w:val="006E1B24"/>
    <w:rsid w:val="006E1CFE"/>
    <w:rsid w:val="006E43DA"/>
    <w:rsid w:val="006E7DEE"/>
    <w:rsid w:val="006F02A4"/>
    <w:rsid w:val="006F03B8"/>
    <w:rsid w:val="006F0829"/>
    <w:rsid w:val="006F10C4"/>
    <w:rsid w:val="006F1432"/>
    <w:rsid w:val="006F3197"/>
    <w:rsid w:val="006F40E9"/>
    <w:rsid w:val="006F5603"/>
    <w:rsid w:val="006F5972"/>
    <w:rsid w:val="006F7B87"/>
    <w:rsid w:val="00701400"/>
    <w:rsid w:val="007019F4"/>
    <w:rsid w:val="0070351B"/>
    <w:rsid w:val="007037CF"/>
    <w:rsid w:val="00704F5E"/>
    <w:rsid w:val="007167C0"/>
    <w:rsid w:val="00720481"/>
    <w:rsid w:val="00721105"/>
    <w:rsid w:val="00721ECC"/>
    <w:rsid w:val="00726CCB"/>
    <w:rsid w:val="00733193"/>
    <w:rsid w:val="0073461A"/>
    <w:rsid w:val="00737E24"/>
    <w:rsid w:val="007412B1"/>
    <w:rsid w:val="00742386"/>
    <w:rsid w:val="00744DDA"/>
    <w:rsid w:val="00745A15"/>
    <w:rsid w:val="00745E03"/>
    <w:rsid w:val="00746309"/>
    <w:rsid w:val="0074645A"/>
    <w:rsid w:val="007472DC"/>
    <w:rsid w:val="007503FA"/>
    <w:rsid w:val="00751473"/>
    <w:rsid w:val="007525F2"/>
    <w:rsid w:val="00755723"/>
    <w:rsid w:val="0075732A"/>
    <w:rsid w:val="00757AD9"/>
    <w:rsid w:val="00757AF0"/>
    <w:rsid w:val="007600F8"/>
    <w:rsid w:val="00760124"/>
    <w:rsid w:val="00760262"/>
    <w:rsid w:val="0076310C"/>
    <w:rsid w:val="00766220"/>
    <w:rsid w:val="0076744F"/>
    <w:rsid w:val="007678B3"/>
    <w:rsid w:val="00767BCE"/>
    <w:rsid w:val="00767EFC"/>
    <w:rsid w:val="007707DE"/>
    <w:rsid w:val="00770B5D"/>
    <w:rsid w:val="00771FDF"/>
    <w:rsid w:val="00773D47"/>
    <w:rsid w:val="00774686"/>
    <w:rsid w:val="007752F1"/>
    <w:rsid w:val="00775B3B"/>
    <w:rsid w:val="00775FBB"/>
    <w:rsid w:val="00776768"/>
    <w:rsid w:val="00776F17"/>
    <w:rsid w:val="007770D5"/>
    <w:rsid w:val="0077794E"/>
    <w:rsid w:val="0078187A"/>
    <w:rsid w:val="00781CCA"/>
    <w:rsid w:val="00784832"/>
    <w:rsid w:val="00787113"/>
    <w:rsid w:val="007906F4"/>
    <w:rsid w:val="0079257F"/>
    <w:rsid w:val="00794ED8"/>
    <w:rsid w:val="00795FF9"/>
    <w:rsid w:val="007A0C63"/>
    <w:rsid w:val="007A1E75"/>
    <w:rsid w:val="007A2573"/>
    <w:rsid w:val="007A36F9"/>
    <w:rsid w:val="007A426F"/>
    <w:rsid w:val="007A7A94"/>
    <w:rsid w:val="007B106C"/>
    <w:rsid w:val="007B1A4E"/>
    <w:rsid w:val="007B262C"/>
    <w:rsid w:val="007B3BE5"/>
    <w:rsid w:val="007B3D05"/>
    <w:rsid w:val="007B450F"/>
    <w:rsid w:val="007B5503"/>
    <w:rsid w:val="007B7017"/>
    <w:rsid w:val="007C179C"/>
    <w:rsid w:val="007C4583"/>
    <w:rsid w:val="007C6BB3"/>
    <w:rsid w:val="007D14B4"/>
    <w:rsid w:val="007D20D4"/>
    <w:rsid w:val="007D3AD7"/>
    <w:rsid w:val="007D4961"/>
    <w:rsid w:val="007D55A4"/>
    <w:rsid w:val="007D6696"/>
    <w:rsid w:val="007D76E4"/>
    <w:rsid w:val="007E0563"/>
    <w:rsid w:val="007E1547"/>
    <w:rsid w:val="007E24F6"/>
    <w:rsid w:val="007E3416"/>
    <w:rsid w:val="007E7578"/>
    <w:rsid w:val="007F045A"/>
    <w:rsid w:val="007F5F74"/>
    <w:rsid w:val="007F715D"/>
    <w:rsid w:val="008000B2"/>
    <w:rsid w:val="008005B9"/>
    <w:rsid w:val="00800E58"/>
    <w:rsid w:val="00800F64"/>
    <w:rsid w:val="00801050"/>
    <w:rsid w:val="0080132D"/>
    <w:rsid w:val="008017AC"/>
    <w:rsid w:val="00802F0B"/>
    <w:rsid w:val="0080394F"/>
    <w:rsid w:val="00805FEE"/>
    <w:rsid w:val="008069DC"/>
    <w:rsid w:val="00810345"/>
    <w:rsid w:val="00810A67"/>
    <w:rsid w:val="00812931"/>
    <w:rsid w:val="00814D71"/>
    <w:rsid w:val="00815820"/>
    <w:rsid w:val="008172B8"/>
    <w:rsid w:val="00821241"/>
    <w:rsid w:val="0083156F"/>
    <w:rsid w:val="00832E07"/>
    <w:rsid w:val="00833CF7"/>
    <w:rsid w:val="00834CDE"/>
    <w:rsid w:val="00835883"/>
    <w:rsid w:val="008366A9"/>
    <w:rsid w:val="00842464"/>
    <w:rsid w:val="0084332C"/>
    <w:rsid w:val="008450E5"/>
    <w:rsid w:val="00845601"/>
    <w:rsid w:val="008471EB"/>
    <w:rsid w:val="008519E6"/>
    <w:rsid w:val="00855C5C"/>
    <w:rsid w:val="00856D61"/>
    <w:rsid w:val="00857534"/>
    <w:rsid w:val="008600C5"/>
    <w:rsid w:val="00860886"/>
    <w:rsid w:val="008625CC"/>
    <w:rsid w:val="00866046"/>
    <w:rsid w:val="00866107"/>
    <w:rsid w:val="008703D1"/>
    <w:rsid w:val="00871FBD"/>
    <w:rsid w:val="0087279F"/>
    <w:rsid w:val="00875147"/>
    <w:rsid w:val="008757BD"/>
    <w:rsid w:val="00877902"/>
    <w:rsid w:val="00877A37"/>
    <w:rsid w:val="008810B4"/>
    <w:rsid w:val="00886D66"/>
    <w:rsid w:val="00887F59"/>
    <w:rsid w:val="00890280"/>
    <w:rsid w:val="0089088C"/>
    <w:rsid w:val="008942F7"/>
    <w:rsid w:val="00895346"/>
    <w:rsid w:val="008A3C96"/>
    <w:rsid w:val="008B0572"/>
    <w:rsid w:val="008B4019"/>
    <w:rsid w:val="008B49C9"/>
    <w:rsid w:val="008B5430"/>
    <w:rsid w:val="008B5C6D"/>
    <w:rsid w:val="008B6031"/>
    <w:rsid w:val="008B65C9"/>
    <w:rsid w:val="008B7D33"/>
    <w:rsid w:val="008B7E5D"/>
    <w:rsid w:val="008C0108"/>
    <w:rsid w:val="008C1228"/>
    <w:rsid w:val="008C248B"/>
    <w:rsid w:val="008C2923"/>
    <w:rsid w:val="008C2D4A"/>
    <w:rsid w:val="008C314C"/>
    <w:rsid w:val="008C4671"/>
    <w:rsid w:val="008C5573"/>
    <w:rsid w:val="008C7DC9"/>
    <w:rsid w:val="008D1B2C"/>
    <w:rsid w:val="008D3900"/>
    <w:rsid w:val="008D5590"/>
    <w:rsid w:val="008D64E6"/>
    <w:rsid w:val="008D6E1D"/>
    <w:rsid w:val="008D7099"/>
    <w:rsid w:val="008D750A"/>
    <w:rsid w:val="008E16E9"/>
    <w:rsid w:val="008E60E0"/>
    <w:rsid w:val="008E7D2F"/>
    <w:rsid w:val="008F39B4"/>
    <w:rsid w:val="008F4162"/>
    <w:rsid w:val="008F7562"/>
    <w:rsid w:val="008F7615"/>
    <w:rsid w:val="00900348"/>
    <w:rsid w:val="00903D3B"/>
    <w:rsid w:val="00903E02"/>
    <w:rsid w:val="00904769"/>
    <w:rsid w:val="00907713"/>
    <w:rsid w:val="009102C9"/>
    <w:rsid w:val="009117C9"/>
    <w:rsid w:val="00911FA0"/>
    <w:rsid w:val="00913135"/>
    <w:rsid w:val="00913175"/>
    <w:rsid w:val="009145CE"/>
    <w:rsid w:val="0091492F"/>
    <w:rsid w:val="00914CCC"/>
    <w:rsid w:val="00914D09"/>
    <w:rsid w:val="009150F9"/>
    <w:rsid w:val="00916E7D"/>
    <w:rsid w:val="00916EDB"/>
    <w:rsid w:val="009204A3"/>
    <w:rsid w:val="00920861"/>
    <w:rsid w:val="00920F8C"/>
    <w:rsid w:val="00921DEE"/>
    <w:rsid w:val="00922B13"/>
    <w:rsid w:val="009242EF"/>
    <w:rsid w:val="00926AA1"/>
    <w:rsid w:val="00931A4F"/>
    <w:rsid w:val="00932291"/>
    <w:rsid w:val="00932836"/>
    <w:rsid w:val="00932861"/>
    <w:rsid w:val="009328DC"/>
    <w:rsid w:val="0093408E"/>
    <w:rsid w:val="009358C6"/>
    <w:rsid w:val="00940242"/>
    <w:rsid w:val="00940958"/>
    <w:rsid w:val="009421A3"/>
    <w:rsid w:val="009436E3"/>
    <w:rsid w:val="00943A6E"/>
    <w:rsid w:val="009440F9"/>
    <w:rsid w:val="00950A81"/>
    <w:rsid w:val="00952A6C"/>
    <w:rsid w:val="00952DDF"/>
    <w:rsid w:val="00953B4A"/>
    <w:rsid w:val="00955752"/>
    <w:rsid w:val="009610A3"/>
    <w:rsid w:val="00963B6A"/>
    <w:rsid w:val="00963C8F"/>
    <w:rsid w:val="0096429A"/>
    <w:rsid w:val="00970132"/>
    <w:rsid w:val="0097035C"/>
    <w:rsid w:val="0097091C"/>
    <w:rsid w:val="00970950"/>
    <w:rsid w:val="009712D9"/>
    <w:rsid w:val="00972813"/>
    <w:rsid w:val="00976C8F"/>
    <w:rsid w:val="009812D4"/>
    <w:rsid w:val="009814D8"/>
    <w:rsid w:val="009824F2"/>
    <w:rsid w:val="00984094"/>
    <w:rsid w:val="0099087C"/>
    <w:rsid w:val="009910D3"/>
    <w:rsid w:val="00991992"/>
    <w:rsid w:val="009920D8"/>
    <w:rsid w:val="00992577"/>
    <w:rsid w:val="00993E5F"/>
    <w:rsid w:val="00994672"/>
    <w:rsid w:val="009952F5"/>
    <w:rsid w:val="0099558B"/>
    <w:rsid w:val="00995707"/>
    <w:rsid w:val="00996101"/>
    <w:rsid w:val="0099657D"/>
    <w:rsid w:val="009974AA"/>
    <w:rsid w:val="009A149D"/>
    <w:rsid w:val="009A2935"/>
    <w:rsid w:val="009A43A7"/>
    <w:rsid w:val="009A6254"/>
    <w:rsid w:val="009B38BE"/>
    <w:rsid w:val="009B4EDC"/>
    <w:rsid w:val="009B6488"/>
    <w:rsid w:val="009C1F2E"/>
    <w:rsid w:val="009C27C4"/>
    <w:rsid w:val="009C2C84"/>
    <w:rsid w:val="009C3D0F"/>
    <w:rsid w:val="009C503F"/>
    <w:rsid w:val="009C5A51"/>
    <w:rsid w:val="009C6358"/>
    <w:rsid w:val="009D0B87"/>
    <w:rsid w:val="009D2E3A"/>
    <w:rsid w:val="009D31D8"/>
    <w:rsid w:val="009E00DF"/>
    <w:rsid w:val="009E1713"/>
    <w:rsid w:val="009E1B19"/>
    <w:rsid w:val="009E4CA0"/>
    <w:rsid w:val="009E564C"/>
    <w:rsid w:val="009E622F"/>
    <w:rsid w:val="009F0485"/>
    <w:rsid w:val="009F1837"/>
    <w:rsid w:val="009F35E2"/>
    <w:rsid w:val="009F5285"/>
    <w:rsid w:val="009F65F9"/>
    <w:rsid w:val="009F68BA"/>
    <w:rsid w:val="009F7A28"/>
    <w:rsid w:val="00A00964"/>
    <w:rsid w:val="00A00F57"/>
    <w:rsid w:val="00A05D5E"/>
    <w:rsid w:val="00A06277"/>
    <w:rsid w:val="00A079DC"/>
    <w:rsid w:val="00A108B5"/>
    <w:rsid w:val="00A111C2"/>
    <w:rsid w:val="00A13294"/>
    <w:rsid w:val="00A1513F"/>
    <w:rsid w:val="00A1562A"/>
    <w:rsid w:val="00A16042"/>
    <w:rsid w:val="00A2000A"/>
    <w:rsid w:val="00A20B8E"/>
    <w:rsid w:val="00A22406"/>
    <w:rsid w:val="00A26B7A"/>
    <w:rsid w:val="00A30E66"/>
    <w:rsid w:val="00A32A43"/>
    <w:rsid w:val="00A32B66"/>
    <w:rsid w:val="00A3369C"/>
    <w:rsid w:val="00A338E7"/>
    <w:rsid w:val="00A34B75"/>
    <w:rsid w:val="00A35CAA"/>
    <w:rsid w:val="00A36E7F"/>
    <w:rsid w:val="00A40098"/>
    <w:rsid w:val="00A41E65"/>
    <w:rsid w:val="00A43E0A"/>
    <w:rsid w:val="00A4409E"/>
    <w:rsid w:val="00A501D0"/>
    <w:rsid w:val="00A50227"/>
    <w:rsid w:val="00A530C7"/>
    <w:rsid w:val="00A5429A"/>
    <w:rsid w:val="00A55E49"/>
    <w:rsid w:val="00A55F5B"/>
    <w:rsid w:val="00A60185"/>
    <w:rsid w:val="00A60AA5"/>
    <w:rsid w:val="00A61108"/>
    <w:rsid w:val="00A6387E"/>
    <w:rsid w:val="00A65682"/>
    <w:rsid w:val="00A661EA"/>
    <w:rsid w:val="00A66BF9"/>
    <w:rsid w:val="00A70D45"/>
    <w:rsid w:val="00A7310D"/>
    <w:rsid w:val="00A7409A"/>
    <w:rsid w:val="00A7437A"/>
    <w:rsid w:val="00A76661"/>
    <w:rsid w:val="00A80D59"/>
    <w:rsid w:val="00A830E5"/>
    <w:rsid w:val="00A83B75"/>
    <w:rsid w:val="00A84E26"/>
    <w:rsid w:val="00A85FC6"/>
    <w:rsid w:val="00A87135"/>
    <w:rsid w:val="00A917C9"/>
    <w:rsid w:val="00A92206"/>
    <w:rsid w:val="00A93280"/>
    <w:rsid w:val="00A93D9A"/>
    <w:rsid w:val="00A94BCD"/>
    <w:rsid w:val="00A94FE6"/>
    <w:rsid w:val="00A951EA"/>
    <w:rsid w:val="00A96066"/>
    <w:rsid w:val="00AA2548"/>
    <w:rsid w:val="00AA3BDD"/>
    <w:rsid w:val="00AA58C4"/>
    <w:rsid w:val="00AA6D13"/>
    <w:rsid w:val="00AA7003"/>
    <w:rsid w:val="00AB11C8"/>
    <w:rsid w:val="00AC08A8"/>
    <w:rsid w:val="00AC6DF4"/>
    <w:rsid w:val="00AD16A4"/>
    <w:rsid w:val="00AD2B78"/>
    <w:rsid w:val="00AD32AD"/>
    <w:rsid w:val="00AD56C8"/>
    <w:rsid w:val="00AD58F2"/>
    <w:rsid w:val="00AD5B34"/>
    <w:rsid w:val="00AD63F1"/>
    <w:rsid w:val="00AE055A"/>
    <w:rsid w:val="00AE0E57"/>
    <w:rsid w:val="00AE2FA6"/>
    <w:rsid w:val="00AE6A0D"/>
    <w:rsid w:val="00AF045C"/>
    <w:rsid w:val="00AF520B"/>
    <w:rsid w:val="00B010D0"/>
    <w:rsid w:val="00B046C9"/>
    <w:rsid w:val="00B04F5E"/>
    <w:rsid w:val="00B0512A"/>
    <w:rsid w:val="00B0529F"/>
    <w:rsid w:val="00B10A87"/>
    <w:rsid w:val="00B10EE9"/>
    <w:rsid w:val="00B116DE"/>
    <w:rsid w:val="00B11E78"/>
    <w:rsid w:val="00B1418B"/>
    <w:rsid w:val="00B150EB"/>
    <w:rsid w:val="00B1522D"/>
    <w:rsid w:val="00B174C7"/>
    <w:rsid w:val="00B17604"/>
    <w:rsid w:val="00B21195"/>
    <w:rsid w:val="00B24B22"/>
    <w:rsid w:val="00B25195"/>
    <w:rsid w:val="00B25310"/>
    <w:rsid w:val="00B27340"/>
    <w:rsid w:val="00B30E18"/>
    <w:rsid w:val="00B31DEC"/>
    <w:rsid w:val="00B32F8F"/>
    <w:rsid w:val="00B3492A"/>
    <w:rsid w:val="00B4069C"/>
    <w:rsid w:val="00B40D43"/>
    <w:rsid w:val="00B416C9"/>
    <w:rsid w:val="00B43A53"/>
    <w:rsid w:val="00B459A7"/>
    <w:rsid w:val="00B516F3"/>
    <w:rsid w:val="00B54DE9"/>
    <w:rsid w:val="00B54E77"/>
    <w:rsid w:val="00B552F2"/>
    <w:rsid w:val="00B553EC"/>
    <w:rsid w:val="00B55E3F"/>
    <w:rsid w:val="00B609CE"/>
    <w:rsid w:val="00B63C1E"/>
    <w:rsid w:val="00B64A2C"/>
    <w:rsid w:val="00B65FA7"/>
    <w:rsid w:val="00B714DD"/>
    <w:rsid w:val="00B71D7C"/>
    <w:rsid w:val="00B74068"/>
    <w:rsid w:val="00B838CE"/>
    <w:rsid w:val="00B87D9B"/>
    <w:rsid w:val="00B9125A"/>
    <w:rsid w:val="00B92EB8"/>
    <w:rsid w:val="00B93440"/>
    <w:rsid w:val="00B93DD0"/>
    <w:rsid w:val="00B97732"/>
    <w:rsid w:val="00B9787E"/>
    <w:rsid w:val="00BA0F49"/>
    <w:rsid w:val="00BA2EBF"/>
    <w:rsid w:val="00BA4334"/>
    <w:rsid w:val="00BA5E36"/>
    <w:rsid w:val="00BA65A8"/>
    <w:rsid w:val="00BA6D19"/>
    <w:rsid w:val="00BA6DCE"/>
    <w:rsid w:val="00BA7461"/>
    <w:rsid w:val="00BA7DA9"/>
    <w:rsid w:val="00BB14C6"/>
    <w:rsid w:val="00BC0CD5"/>
    <w:rsid w:val="00BC4215"/>
    <w:rsid w:val="00BC6CDE"/>
    <w:rsid w:val="00BC7659"/>
    <w:rsid w:val="00BD122C"/>
    <w:rsid w:val="00BD1A6F"/>
    <w:rsid w:val="00BD2F79"/>
    <w:rsid w:val="00BD4000"/>
    <w:rsid w:val="00BD4ECD"/>
    <w:rsid w:val="00BD521F"/>
    <w:rsid w:val="00BD5CB1"/>
    <w:rsid w:val="00BE2BCE"/>
    <w:rsid w:val="00BE2C71"/>
    <w:rsid w:val="00BE4223"/>
    <w:rsid w:val="00BE5BE2"/>
    <w:rsid w:val="00BE6D3C"/>
    <w:rsid w:val="00BE7852"/>
    <w:rsid w:val="00BF0A4B"/>
    <w:rsid w:val="00BF2A65"/>
    <w:rsid w:val="00BF791F"/>
    <w:rsid w:val="00BF7923"/>
    <w:rsid w:val="00BF7C7E"/>
    <w:rsid w:val="00BF7CEE"/>
    <w:rsid w:val="00C01737"/>
    <w:rsid w:val="00C03819"/>
    <w:rsid w:val="00C03880"/>
    <w:rsid w:val="00C03993"/>
    <w:rsid w:val="00C04741"/>
    <w:rsid w:val="00C04E8B"/>
    <w:rsid w:val="00C05774"/>
    <w:rsid w:val="00C05F1E"/>
    <w:rsid w:val="00C07CF5"/>
    <w:rsid w:val="00C135CF"/>
    <w:rsid w:val="00C14C40"/>
    <w:rsid w:val="00C16AF3"/>
    <w:rsid w:val="00C201B9"/>
    <w:rsid w:val="00C2446B"/>
    <w:rsid w:val="00C2683F"/>
    <w:rsid w:val="00C3054C"/>
    <w:rsid w:val="00C3184D"/>
    <w:rsid w:val="00C33E30"/>
    <w:rsid w:val="00C433B2"/>
    <w:rsid w:val="00C43D79"/>
    <w:rsid w:val="00C4714E"/>
    <w:rsid w:val="00C51CCA"/>
    <w:rsid w:val="00C54EF8"/>
    <w:rsid w:val="00C5504F"/>
    <w:rsid w:val="00C567DB"/>
    <w:rsid w:val="00C5747B"/>
    <w:rsid w:val="00C57B55"/>
    <w:rsid w:val="00C63376"/>
    <w:rsid w:val="00C633A8"/>
    <w:rsid w:val="00C6719A"/>
    <w:rsid w:val="00C74F97"/>
    <w:rsid w:val="00C7642F"/>
    <w:rsid w:val="00C766A1"/>
    <w:rsid w:val="00C8276E"/>
    <w:rsid w:val="00C82EA4"/>
    <w:rsid w:val="00C8413D"/>
    <w:rsid w:val="00C842AC"/>
    <w:rsid w:val="00C8464C"/>
    <w:rsid w:val="00C8535C"/>
    <w:rsid w:val="00C90205"/>
    <w:rsid w:val="00C93532"/>
    <w:rsid w:val="00C9498D"/>
    <w:rsid w:val="00C96688"/>
    <w:rsid w:val="00C96AFC"/>
    <w:rsid w:val="00CA0723"/>
    <w:rsid w:val="00CA2AF4"/>
    <w:rsid w:val="00CA4BC2"/>
    <w:rsid w:val="00CB1690"/>
    <w:rsid w:val="00CB49A3"/>
    <w:rsid w:val="00CC014F"/>
    <w:rsid w:val="00CC02F0"/>
    <w:rsid w:val="00CC0C6C"/>
    <w:rsid w:val="00CC2C10"/>
    <w:rsid w:val="00CC4365"/>
    <w:rsid w:val="00CC768E"/>
    <w:rsid w:val="00CD0060"/>
    <w:rsid w:val="00CD098F"/>
    <w:rsid w:val="00CD0EED"/>
    <w:rsid w:val="00CD0F77"/>
    <w:rsid w:val="00CD10DD"/>
    <w:rsid w:val="00CD11B0"/>
    <w:rsid w:val="00CD24AC"/>
    <w:rsid w:val="00CD3F6C"/>
    <w:rsid w:val="00CD61FD"/>
    <w:rsid w:val="00CD69EB"/>
    <w:rsid w:val="00CD7762"/>
    <w:rsid w:val="00CE0507"/>
    <w:rsid w:val="00CE14A6"/>
    <w:rsid w:val="00CE3D04"/>
    <w:rsid w:val="00CE5A67"/>
    <w:rsid w:val="00CE66B2"/>
    <w:rsid w:val="00CE71C2"/>
    <w:rsid w:val="00CF0DDD"/>
    <w:rsid w:val="00CF178F"/>
    <w:rsid w:val="00CF188B"/>
    <w:rsid w:val="00CF34E9"/>
    <w:rsid w:val="00CF3D09"/>
    <w:rsid w:val="00CF42D5"/>
    <w:rsid w:val="00CF4EDA"/>
    <w:rsid w:val="00CF5754"/>
    <w:rsid w:val="00CF749B"/>
    <w:rsid w:val="00CF7C88"/>
    <w:rsid w:val="00D00A19"/>
    <w:rsid w:val="00D02150"/>
    <w:rsid w:val="00D021CB"/>
    <w:rsid w:val="00D10F1A"/>
    <w:rsid w:val="00D11401"/>
    <w:rsid w:val="00D116F8"/>
    <w:rsid w:val="00D11956"/>
    <w:rsid w:val="00D127B7"/>
    <w:rsid w:val="00D130EF"/>
    <w:rsid w:val="00D13EAF"/>
    <w:rsid w:val="00D15282"/>
    <w:rsid w:val="00D170BC"/>
    <w:rsid w:val="00D17596"/>
    <w:rsid w:val="00D20B62"/>
    <w:rsid w:val="00D21D54"/>
    <w:rsid w:val="00D22640"/>
    <w:rsid w:val="00D25C97"/>
    <w:rsid w:val="00D25CC3"/>
    <w:rsid w:val="00D26D3A"/>
    <w:rsid w:val="00D300A2"/>
    <w:rsid w:val="00D31E40"/>
    <w:rsid w:val="00D334E0"/>
    <w:rsid w:val="00D338A4"/>
    <w:rsid w:val="00D33AEF"/>
    <w:rsid w:val="00D37953"/>
    <w:rsid w:val="00D44173"/>
    <w:rsid w:val="00D45EE3"/>
    <w:rsid w:val="00D46609"/>
    <w:rsid w:val="00D468FF"/>
    <w:rsid w:val="00D4707E"/>
    <w:rsid w:val="00D5025C"/>
    <w:rsid w:val="00D50618"/>
    <w:rsid w:val="00D509E9"/>
    <w:rsid w:val="00D5182D"/>
    <w:rsid w:val="00D535EC"/>
    <w:rsid w:val="00D53B1C"/>
    <w:rsid w:val="00D54ED5"/>
    <w:rsid w:val="00D55F05"/>
    <w:rsid w:val="00D569B5"/>
    <w:rsid w:val="00D57DF8"/>
    <w:rsid w:val="00D677C0"/>
    <w:rsid w:val="00D742F7"/>
    <w:rsid w:val="00D75717"/>
    <w:rsid w:val="00D76514"/>
    <w:rsid w:val="00D80C11"/>
    <w:rsid w:val="00D80C55"/>
    <w:rsid w:val="00D848C1"/>
    <w:rsid w:val="00D8493A"/>
    <w:rsid w:val="00D86706"/>
    <w:rsid w:val="00D86FAA"/>
    <w:rsid w:val="00D90115"/>
    <w:rsid w:val="00D90E9C"/>
    <w:rsid w:val="00D914A2"/>
    <w:rsid w:val="00D93B8E"/>
    <w:rsid w:val="00D94C19"/>
    <w:rsid w:val="00D9551D"/>
    <w:rsid w:val="00D964DB"/>
    <w:rsid w:val="00D97DE6"/>
    <w:rsid w:val="00DA09DD"/>
    <w:rsid w:val="00DA0BE1"/>
    <w:rsid w:val="00DA1B12"/>
    <w:rsid w:val="00DA23A1"/>
    <w:rsid w:val="00DA3D69"/>
    <w:rsid w:val="00DA40F6"/>
    <w:rsid w:val="00DA4BB2"/>
    <w:rsid w:val="00DA4DEF"/>
    <w:rsid w:val="00DA54C9"/>
    <w:rsid w:val="00DA6739"/>
    <w:rsid w:val="00DA6C58"/>
    <w:rsid w:val="00DA6CAE"/>
    <w:rsid w:val="00DB1A9E"/>
    <w:rsid w:val="00DB31D6"/>
    <w:rsid w:val="00DB4005"/>
    <w:rsid w:val="00DB7C2E"/>
    <w:rsid w:val="00DC0C5B"/>
    <w:rsid w:val="00DC13FD"/>
    <w:rsid w:val="00DC1ACF"/>
    <w:rsid w:val="00DC34EB"/>
    <w:rsid w:val="00DC388C"/>
    <w:rsid w:val="00DC3FA0"/>
    <w:rsid w:val="00DC4F3D"/>
    <w:rsid w:val="00DC6EB1"/>
    <w:rsid w:val="00DC7158"/>
    <w:rsid w:val="00DC795C"/>
    <w:rsid w:val="00DD1D21"/>
    <w:rsid w:val="00DD4F26"/>
    <w:rsid w:val="00DD6972"/>
    <w:rsid w:val="00DD6AC0"/>
    <w:rsid w:val="00DE0161"/>
    <w:rsid w:val="00DF0E4F"/>
    <w:rsid w:val="00DF1550"/>
    <w:rsid w:val="00DF1617"/>
    <w:rsid w:val="00DF1E5B"/>
    <w:rsid w:val="00DF2275"/>
    <w:rsid w:val="00DF2AB6"/>
    <w:rsid w:val="00DF37DE"/>
    <w:rsid w:val="00DF3F5E"/>
    <w:rsid w:val="00DF42DB"/>
    <w:rsid w:val="00DF5653"/>
    <w:rsid w:val="00DF6C3A"/>
    <w:rsid w:val="00E002D3"/>
    <w:rsid w:val="00E0129F"/>
    <w:rsid w:val="00E01CA4"/>
    <w:rsid w:val="00E049A2"/>
    <w:rsid w:val="00E05589"/>
    <w:rsid w:val="00E0596E"/>
    <w:rsid w:val="00E06F66"/>
    <w:rsid w:val="00E07698"/>
    <w:rsid w:val="00E078BB"/>
    <w:rsid w:val="00E1233F"/>
    <w:rsid w:val="00E12C2F"/>
    <w:rsid w:val="00E15F1E"/>
    <w:rsid w:val="00E2042D"/>
    <w:rsid w:val="00E206E8"/>
    <w:rsid w:val="00E218BF"/>
    <w:rsid w:val="00E228B3"/>
    <w:rsid w:val="00E2467F"/>
    <w:rsid w:val="00E2646B"/>
    <w:rsid w:val="00E26AC3"/>
    <w:rsid w:val="00E27644"/>
    <w:rsid w:val="00E356E5"/>
    <w:rsid w:val="00E36F81"/>
    <w:rsid w:val="00E37D2E"/>
    <w:rsid w:val="00E42AB1"/>
    <w:rsid w:val="00E45765"/>
    <w:rsid w:val="00E47462"/>
    <w:rsid w:val="00E5098C"/>
    <w:rsid w:val="00E50E74"/>
    <w:rsid w:val="00E5339B"/>
    <w:rsid w:val="00E57CF2"/>
    <w:rsid w:val="00E60213"/>
    <w:rsid w:val="00E61A1F"/>
    <w:rsid w:val="00E6254F"/>
    <w:rsid w:val="00E64530"/>
    <w:rsid w:val="00E65948"/>
    <w:rsid w:val="00E661B2"/>
    <w:rsid w:val="00E71682"/>
    <w:rsid w:val="00E74D29"/>
    <w:rsid w:val="00E74E13"/>
    <w:rsid w:val="00E83A6E"/>
    <w:rsid w:val="00E83C74"/>
    <w:rsid w:val="00E83CEE"/>
    <w:rsid w:val="00E83F25"/>
    <w:rsid w:val="00E84CFF"/>
    <w:rsid w:val="00E84D11"/>
    <w:rsid w:val="00E87C94"/>
    <w:rsid w:val="00E90499"/>
    <w:rsid w:val="00E91EE8"/>
    <w:rsid w:val="00E91F18"/>
    <w:rsid w:val="00E9226D"/>
    <w:rsid w:val="00E9333E"/>
    <w:rsid w:val="00EA094C"/>
    <w:rsid w:val="00EA416C"/>
    <w:rsid w:val="00EA5941"/>
    <w:rsid w:val="00EA5978"/>
    <w:rsid w:val="00EA7944"/>
    <w:rsid w:val="00EB0332"/>
    <w:rsid w:val="00EB0557"/>
    <w:rsid w:val="00EB60CE"/>
    <w:rsid w:val="00EB6345"/>
    <w:rsid w:val="00EB7D53"/>
    <w:rsid w:val="00EC0561"/>
    <w:rsid w:val="00EC207E"/>
    <w:rsid w:val="00EC5E9F"/>
    <w:rsid w:val="00EC7032"/>
    <w:rsid w:val="00ED095A"/>
    <w:rsid w:val="00ED1AFB"/>
    <w:rsid w:val="00ED2168"/>
    <w:rsid w:val="00ED373C"/>
    <w:rsid w:val="00ED6897"/>
    <w:rsid w:val="00EE0693"/>
    <w:rsid w:val="00EE3146"/>
    <w:rsid w:val="00EE4EA3"/>
    <w:rsid w:val="00EE60C2"/>
    <w:rsid w:val="00EF047E"/>
    <w:rsid w:val="00EF32DF"/>
    <w:rsid w:val="00EF368C"/>
    <w:rsid w:val="00EF50BB"/>
    <w:rsid w:val="00EF53FF"/>
    <w:rsid w:val="00F00169"/>
    <w:rsid w:val="00F00192"/>
    <w:rsid w:val="00F0053B"/>
    <w:rsid w:val="00F00F71"/>
    <w:rsid w:val="00F01876"/>
    <w:rsid w:val="00F01DF6"/>
    <w:rsid w:val="00F028C6"/>
    <w:rsid w:val="00F0340D"/>
    <w:rsid w:val="00F0356C"/>
    <w:rsid w:val="00F059A6"/>
    <w:rsid w:val="00F059F0"/>
    <w:rsid w:val="00F07BD7"/>
    <w:rsid w:val="00F07F3F"/>
    <w:rsid w:val="00F14172"/>
    <w:rsid w:val="00F145AA"/>
    <w:rsid w:val="00F14FDD"/>
    <w:rsid w:val="00F15BFB"/>
    <w:rsid w:val="00F172E3"/>
    <w:rsid w:val="00F176F6"/>
    <w:rsid w:val="00F203CC"/>
    <w:rsid w:val="00F21930"/>
    <w:rsid w:val="00F21AC1"/>
    <w:rsid w:val="00F22C71"/>
    <w:rsid w:val="00F23756"/>
    <w:rsid w:val="00F24651"/>
    <w:rsid w:val="00F2523A"/>
    <w:rsid w:val="00F25FFA"/>
    <w:rsid w:val="00F27B87"/>
    <w:rsid w:val="00F310D2"/>
    <w:rsid w:val="00F33B3B"/>
    <w:rsid w:val="00F350B3"/>
    <w:rsid w:val="00F35BE6"/>
    <w:rsid w:val="00F36E16"/>
    <w:rsid w:val="00F36F3D"/>
    <w:rsid w:val="00F3714C"/>
    <w:rsid w:val="00F41C7A"/>
    <w:rsid w:val="00F427A1"/>
    <w:rsid w:val="00F42BC7"/>
    <w:rsid w:val="00F42F07"/>
    <w:rsid w:val="00F45155"/>
    <w:rsid w:val="00F477BD"/>
    <w:rsid w:val="00F509F3"/>
    <w:rsid w:val="00F531A4"/>
    <w:rsid w:val="00F53491"/>
    <w:rsid w:val="00F5362B"/>
    <w:rsid w:val="00F57E39"/>
    <w:rsid w:val="00F61917"/>
    <w:rsid w:val="00F65086"/>
    <w:rsid w:val="00F65A1C"/>
    <w:rsid w:val="00F66F50"/>
    <w:rsid w:val="00F73B30"/>
    <w:rsid w:val="00F74463"/>
    <w:rsid w:val="00F75C5A"/>
    <w:rsid w:val="00F76A92"/>
    <w:rsid w:val="00F80C8C"/>
    <w:rsid w:val="00F81919"/>
    <w:rsid w:val="00F82E4D"/>
    <w:rsid w:val="00F82FF8"/>
    <w:rsid w:val="00F8330D"/>
    <w:rsid w:val="00F84169"/>
    <w:rsid w:val="00F84305"/>
    <w:rsid w:val="00F8485C"/>
    <w:rsid w:val="00F87149"/>
    <w:rsid w:val="00F87FFE"/>
    <w:rsid w:val="00F902E5"/>
    <w:rsid w:val="00F9043D"/>
    <w:rsid w:val="00F930A4"/>
    <w:rsid w:val="00F94269"/>
    <w:rsid w:val="00F954C9"/>
    <w:rsid w:val="00F96135"/>
    <w:rsid w:val="00F961D6"/>
    <w:rsid w:val="00F96AE9"/>
    <w:rsid w:val="00F9713A"/>
    <w:rsid w:val="00FA0B24"/>
    <w:rsid w:val="00FA3864"/>
    <w:rsid w:val="00FA3941"/>
    <w:rsid w:val="00FA4CF0"/>
    <w:rsid w:val="00FA61AA"/>
    <w:rsid w:val="00FA67C5"/>
    <w:rsid w:val="00FA69A4"/>
    <w:rsid w:val="00FB1279"/>
    <w:rsid w:val="00FB1495"/>
    <w:rsid w:val="00FC0B68"/>
    <w:rsid w:val="00FC19B5"/>
    <w:rsid w:val="00FC231D"/>
    <w:rsid w:val="00FC33AF"/>
    <w:rsid w:val="00FD1325"/>
    <w:rsid w:val="00FD1694"/>
    <w:rsid w:val="00FD4729"/>
    <w:rsid w:val="00FD7636"/>
    <w:rsid w:val="00FE2960"/>
    <w:rsid w:val="00FE29EB"/>
    <w:rsid w:val="00FE3229"/>
    <w:rsid w:val="00FE6485"/>
    <w:rsid w:val="00FE74C3"/>
    <w:rsid w:val="00FF0E84"/>
    <w:rsid w:val="00FF215C"/>
    <w:rsid w:val="00FF2A41"/>
    <w:rsid w:val="00FF2A7F"/>
    <w:rsid w:val="00FF49E8"/>
    <w:rsid w:val="00FF4F55"/>
    <w:rsid w:val="00FF672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9153"/>
    <o:shapelayout v:ext="edit">
      <o:idmap v:ext="edit" data="1"/>
    </o:shapelayout>
  </w:shapeDefaults>
  <w:decimalSymbol w:val="."/>
  <w:listSeparator w:val=","/>
  <w14:docId w14:val="6C65005B"/>
  <w15:docId w15:val="{BA3D912F-4C2A-429B-9EA5-67B7D4E64F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Calibri" w:hAnsi="Arial"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Bullet" w:semiHidden="1" w:uiPriority="0" w:unhideWhenUsed="1"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21241"/>
    <w:pPr>
      <w:spacing w:after="220"/>
      <w:jc w:val="both"/>
    </w:pPr>
    <w:rPr>
      <w:rFonts w:ascii="Calibri" w:eastAsia="Times New Roman" w:hAnsi="Calibri"/>
    </w:rPr>
  </w:style>
  <w:style w:type="paragraph" w:styleId="Heading1">
    <w:name w:val="heading 1"/>
    <w:basedOn w:val="Normal"/>
    <w:next w:val="Normal"/>
    <w:link w:val="Heading1Char"/>
    <w:qFormat/>
    <w:rsid w:val="00AF520B"/>
    <w:pPr>
      <w:keepNext/>
      <w:numPr>
        <w:numId w:val="66"/>
      </w:numPr>
      <w:spacing w:after="240"/>
      <w:jc w:val="left"/>
      <w:outlineLvl w:val="0"/>
    </w:pPr>
    <w:rPr>
      <w:b/>
      <w:color w:val="5F497A" w:themeColor="accent4" w:themeShade="BF"/>
      <w:sz w:val="48"/>
      <w:szCs w:val="48"/>
      <w:lang w:val="en-GB" w:eastAsia="en-US"/>
    </w:rPr>
  </w:style>
  <w:style w:type="paragraph" w:styleId="Heading2">
    <w:name w:val="heading 2"/>
    <w:basedOn w:val="Normal"/>
    <w:next w:val="Normal"/>
    <w:link w:val="Heading2Char"/>
    <w:qFormat/>
    <w:rsid w:val="000E31C1"/>
    <w:pPr>
      <w:keepNext/>
      <w:numPr>
        <w:ilvl w:val="1"/>
        <w:numId w:val="18"/>
      </w:numPr>
      <w:outlineLvl w:val="1"/>
    </w:pPr>
    <w:rPr>
      <w:rFonts w:cs="Arial"/>
      <w:b/>
    </w:rPr>
  </w:style>
  <w:style w:type="paragraph" w:styleId="Heading3">
    <w:name w:val="heading 3"/>
    <w:basedOn w:val="Normal"/>
    <w:next w:val="Normal"/>
    <w:link w:val="Heading3Char"/>
    <w:qFormat/>
    <w:rsid w:val="000E31C1"/>
    <w:pPr>
      <w:keepNext/>
      <w:numPr>
        <w:ilvl w:val="2"/>
        <w:numId w:val="18"/>
      </w:numPr>
      <w:outlineLvl w:val="2"/>
    </w:pPr>
    <w:rPr>
      <w:rFonts w:cs="Arial"/>
      <w:b/>
      <w:i/>
    </w:rPr>
  </w:style>
  <w:style w:type="paragraph" w:styleId="Heading4">
    <w:name w:val="heading 4"/>
    <w:basedOn w:val="Normal"/>
    <w:next w:val="Normal"/>
    <w:link w:val="Heading4Char"/>
    <w:qFormat/>
    <w:rsid w:val="000E31C1"/>
    <w:pPr>
      <w:keepNext/>
      <w:numPr>
        <w:ilvl w:val="3"/>
        <w:numId w:val="18"/>
      </w:numPr>
      <w:outlineLvl w:val="3"/>
    </w:pPr>
    <w:rPr>
      <w:rFonts w:cs="Arial"/>
      <w:i/>
    </w:rPr>
  </w:style>
  <w:style w:type="paragraph" w:styleId="Heading5">
    <w:name w:val="heading 5"/>
    <w:basedOn w:val="Heading4"/>
    <w:next w:val="Normal"/>
    <w:link w:val="Heading5Char"/>
    <w:qFormat/>
    <w:rsid w:val="00821241"/>
    <w:pPr>
      <w:numPr>
        <w:ilvl w:val="4"/>
      </w:numPr>
      <w:spacing w:before="240" w:after="120"/>
      <w:outlineLvl w:val="4"/>
    </w:pPr>
    <w:rPr>
      <w:rFonts w:cs="Calibri"/>
      <w:b/>
      <w:i w:val="0"/>
      <w:sz w:val="24"/>
      <w:lang w:val="en-GB"/>
    </w:rPr>
  </w:style>
  <w:style w:type="paragraph" w:styleId="Heading6">
    <w:name w:val="heading 6"/>
    <w:basedOn w:val="Heading2"/>
    <w:next w:val="Normal"/>
    <w:link w:val="Heading6Char"/>
    <w:qFormat/>
    <w:rsid w:val="00AD16A4"/>
    <w:pPr>
      <w:numPr>
        <w:ilvl w:val="0"/>
        <w:numId w:val="0"/>
      </w:numPr>
      <w:spacing w:after="240"/>
      <w:jc w:val="left"/>
      <w:outlineLvl w:val="5"/>
    </w:pPr>
    <w:rPr>
      <w:rFonts w:ascii="Century Gothic" w:hAnsi="Century Gothic" w:cs="Calibri"/>
      <w:noProof/>
      <w:color w:val="5F497A" w:themeColor="accent4" w:themeShade="BF"/>
      <w:sz w:val="24"/>
      <w:szCs w:val="24"/>
      <w:lang w:val="en-GB" w:eastAsia="en-US"/>
    </w:rPr>
  </w:style>
  <w:style w:type="paragraph" w:styleId="Heading7">
    <w:name w:val="heading 7"/>
    <w:basedOn w:val="Heading6"/>
    <w:next w:val="Normal"/>
    <w:link w:val="Heading7Char"/>
    <w:uiPriority w:val="9"/>
    <w:qFormat/>
    <w:rsid w:val="00821241"/>
    <w:pPr>
      <w:numPr>
        <w:ilvl w:val="6"/>
      </w:numPr>
      <w:tabs>
        <w:tab w:val="left" w:pos="1418"/>
      </w:tabs>
      <w:outlineLvl w:val="6"/>
    </w:pPr>
  </w:style>
  <w:style w:type="paragraph" w:styleId="Heading8">
    <w:name w:val="heading 8"/>
    <w:basedOn w:val="Heading7"/>
    <w:next w:val="Normal"/>
    <w:link w:val="Heading8Char"/>
    <w:qFormat/>
    <w:rsid w:val="00821241"/>
    <w:pPr>
      <w:numPr>
        <w:ilvl w:val="7"/>
      </w:numPr>
      <w:tabs>
        <w:tab w:val="clear" w:pos="1418"/>
        <w:tab w:val="left" w:pos="1560"/>
      </w:tabs>
      <w:outlineLvl w:val="7"/>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60185"/>
    <w:pPr>
      <w:tabs>
        <w:tab w:val="center" w:pos="4513"/>
        <w:tab w:val="right" w:pos="9026"/>
      </w:tabs>
      <w:spacing w:after="0"/>
    </w:pPr>
  </w:style>
  <w:style w:type="character" w:customStyle="1" w:styleId="HeaderChar">
    <w:name w:val="Header Char"/>
    <w:basedOn w:val="DefaultParagraphFont"/>
    <w:link w:val="Header"/>
    <w:uiPriority w:val="99"/>
    <w:rsid w:val="00A60185"/>
  </w:style>
  <w:style w:type="paragraph" w:styleId="Footer">
    <w:name w:val="footer"/>
    <w:basedOn w:val="Normal"/>
    <w:link w:val="FooterChar"/>
    <w:uiPriority w:val="99"/>
    <w:unhideWhenUsed/>
    <w:rsid w:val="00A60185"/>
    <w:pPr>
      <w:tabs>
        <w:tab w:val="center" w:pos="4513"/>
        <w:tab w:val="right" w:pos="9026"/>
      </w:tabs>
      <w:spacing w:after="0"/>
    </w:pPr>
  </w:style>
  <w:style w:type="character" w:customStyle="1" w:styleId="FooterChar">
    <w:name w:val="Footer Char"/>
    <w:basedOn w:val="DefaultParagraphFont"/>
    <w:link w:val="Footer"/>
    <w:uiPriority w:val="99"/>
    <w:rsid w:val="00A60185"/>
  </w:style>
  <w:style w:type="paragraph" w:styleId="BalloonText">
    <w:name w:val="Balloon Text"/>
    <w:basedOn w:val="Normal"/>
    <w:link w:val="BalloonTextChar"/>
    <w:uiPriority w:val="99"/>
    <w:semiHidden/>
    <w:unhideWhenUsed/>
    <w:rsid w:val="00A60185"/>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60185"/>
    <w:rPr>
      <w:rFonts w:ascii="Tahoma" w:hAnsi="Tahoma" w:cs="Tahoma"/>
      <w:sz w:val="16"/>
      <w:szCs w:val="16"/>
    </w:rPr>
  </w:style>
  <w:style w:type="numbering" w:customStyle="1" w:styleId="KeyPoints">
    <w:name w:val="Key Points"/>
    <w:basedOn w:val="NoList"/>
    <w:uiPriority w:val="99"/>
    <w:rsid w:val="00005CAA"/>
    <w:pPr>
      <w:numPr>
        <w:numId w:val="1"/>
      </w:numPr>
    </w:pPr>
  </w:style>
  <w:style w:type="paragraph" w:customStyle="1" w:styleId="1NumberedPointsStyle">
    <w:name w:val="1. Numbered Points Style"/>
    <w:basedOn w:val="ListParagraph"/>
    <w:rsid w:val="00BD1A6F"/>
    <w:pPr>
      <w:numPr>
        <w:numId w:val="0"/>
      </w:numPr>
    </w:pPr>
  </w:style>
  <w:style w:type="numbering" w:customStyle="1" w:styleId="BulletList">
    <w:name w:val="Bullet List"/>
    <w:uiPriority w:val="99"/>
    <w:rsid w:val="00091608"/>
    <w:pPr>
      <w:numPr>
        <w:numId w:val="2"/>
      </w:numPr>
    </w:pPr>
  </w:style>
  <w:style w:type="paragraph" w:customStyle="1" w:styleId="1BulletStyleList">
    <w:name w:val="1. Bullet Style List"/>
    <w:basedOn w:val="Normal"/>
    <w:rsid w:val="00CE71C2"/>
  </w:style>
  <w:style w:type="character" w:customStyle="1" w:styleId="Heading1Char">
    <w:name w:val="Heading 1 Char"/>
    <w:basedOn w:val="DefaultParagraphFont"/>
    <w:link w:val="Heading1"/>
    <w:rsid w:val="00AF520B"/>
    <w:rPr>
      <w:rFonts w:ascii="Calibri" w:eastAsia="Times New Roman" w:hAnsi="Calibri"/>
      <w:b/>
      <w:color w:val="5F497A" w:themeColor="accent4" w:themeShade="BF"/>
      <w:sz w:val="48"/>
      <w:szCs w:val="48"/>
      <w:lang w:val="en-GB" w:eastAsia="en-US"/>
    </w:rPr>
  </w:style>
  <w:style w:type="character" w:customStyle="1" w:styleId="Heading2Char">
    <w:name w:val="Heading 2 Char"/>
    <w:basedOn w:val="DefaultParagraphFont"/>
    <w:link w:val="Heading2"/>
    <w:rsid w:val="000E31C1"/>
    <w:rPr>
      <w:rFonts w:ascii="Calibri" w:eastAsia="Times New Roman" w:hAnsi="Calibri" w:cs="Arial"/>
      <w:b/>
    </w:rPr>
  </w:style>
  <w:style w:type="character" w:customStyle="1" w:styleId="Heading3Char">
    <w:name w:val="Heading 3 Char"/>
    <w:basedOn w:val="DefaultParagraphFont"/>
    <w:link w:val="Heading3"/>
    <w:rsid w:val="000E31C1"/>
    <w:rPr>
      <w:rFonts w:ascii="Calibri" w:eastAsia="Times New Roman" w:hAnsi="Calibri" w:cs="Arial"/>
      <w:b/>
      <w:i/>
    </w:rPr>
  </w:style>
  <w:style w:type="character" w:customStyle="1" w:styleId="Heading4Char">
    <w:name w:val="Heading 4 Char"/>
    <w:basedOn w:val="DefaultParagraphFont"/>
    <w:link w:val="Heading4"/>
    <w:rsid w:val="000E31C1"/>
    <w:rPr>
      <w:rFonts w:ascii="Calibri" w:eastAsia="Times New Roman" w:hAnsi="Calibri" w:cs="Arial"/>
      <w:i/>
    </w:rPr>
  </w:style>
  <w:style w:type="paragraph" w:styleId="ListBullet">
    <w:name w:val="List Bullet"/>
    <w:basedOn w:val="Normal"/>
    <w:unhideWhenUsed/>
    <w:qFormat/>
    <w:rsid w:val="00091608"/>
    <w:pPr>
      <w:numPr>
        <w:numId w:val="6"/>
      </w:numPr>
    </w:pPr>
  </w:style>
  <w:style w:type="paragraph" w:styleId="ListBullet2">
    <w:name w:val="List Bullet 2"/>
    <w:basedOn w:val="Normal"/>
    <w:uiPriority w:val="99"/>
    <w:unhideWhenUsed/>
    <w:rsid w:val="00091608"/>
    <w:pPr>
      <w:numPr>
        <w:ilvl w:val="1"/>
        <w:numId w:val="6"/>
      </w:numPr>
    </w:pPr>
  </w:style>
  <w:style w:type="paragraph" w:styleId="ListBullet3">
    <w:name w:val="List Bullet 3"/>
    <w:basedOn w:val="Normal"/>
    <w:uiPriority w:val="99"/>
    <w:unhideWhenUsed/>
    <w:rsid w:val="00091608"/>
    <w:pPr>
      <w:numPr>
        <w:ilvl w:val="2"/>
        <w:numId w:val="6"/>
      </w:numPr>
    </w:pPr>
  </w:style>
  <w:style w:type="paragraph" w:styleId="ListBullet4">
    <w:name w:val="List Bullet 4"/>
    <w:basedOn w:val="Normal"/>
    <w:uiPriority w:val="99"/>
    <w:unhideWhenUsed/>
    <w:rsid w:val="00091608"/>
    <w:pPr>
      <w:numPr>
        <w:ilvl w:val="3"/>
        <w:numId w:val="6"/>
      </w:numPr>
    </w:pPr>
  </w:style>
  <w:style w:type="paragraph" w:styleId="ListBullet5">
    <w:name w:val="List Bullet 5"/>
    <w:basedOn w:val="Normal"/>
    <w:uiPriority w:val="99"/>
    <w:unhideWhenUsed/>
    <w:rsid w:val="00091608"/>
    <w:pPr>
      <w:numPr>
        <w:ilvl w:val="4"/>
        <w:numId w:val="6"/>
      </w:numPr>
    </w:pPr>
  </w:style>
  <w:style w:type="numbering" w:customStyle="1" w:styleId="Attach">
    <w:name w:val="Attach"/>
    <w:basedOn w:val="NoList"/>
    <w:uiPriority w:val="99"/>
    <w:rsid w:val="00607FC9"/>
    <w:pPr>
      <w:numPr>
        <w:numId w:val="3"/>
      </w:numPr>
    </w:pPr>
  </w:style>
  <w:style w:type="paragraph" w:customStyle="1" w:styleId="Classification">
    <w:name w:val="Classification"/>
    <w:basedOn w:val="Normal"/>
    <w:uiPriority w:val="10"/>
    <w:qFormat/>
    <w:rsid w:val="00646122"/>
    <w:pPr>
      <w:tabs>
        <w:tab w:val="center" w:pos="4536"/>
        <w:tab w:val="center" w:pos="4819"/>
        <w:tab w:val="right" w:pos="9356"/>
      </w:tabs>
      <w:spacing w:after="240"/>
      <w:jc w:val="center"/>
    </w:pPr>
    <w:rPr>
      <w:rFonts w:cs="Arial"/>
      <w:color w:val="FF0000"/>
      <w:sz w:val="28"/>
      <w:szCs w:val="28"/>
    </w:rPr>
  </w:style>
  <w:style w:type="paragraph" w:styleId="ListParagraph">
    <w:name w:val="List Paragraph"/>
    <w:aliases w:val="Bullet list,1 heading,DDM Gen Text,List Paragraph1,List Paragraph11,Recommendation,List 1"/>
    <w:basedOn w:val="Normal"/>
    <w:uiPriority w:val="1"/>
    <w:qFormat/>
    <w:rsid w:val="003556BD"/>
    <w:pPr>
      <w:numPr>
        <w:numId w:val="4"/>
      </w:numPr>
    </w:pPr>
  </w:style>
  <w:style w:type="character" w:styleId="BookTitle">
    <w:name w:val="Book Title"/>
    <w:basedOn w:val="DefaultParagraphFont"/>
    <w:uiPriority w:val="33"/>
    <w:rsid w:val="00383020"/>
    <w:rPr>
      <w:bCs/>
      <w:i/>
      <w:smallCaps/>
      <w:spacing w:val="5"/>
    </w:rPr>
  </w:style>
  <w:style w:type="paragraph" w:styleId="ListNumber">
    <w:name w:val="List Number"/>
    <w:basedOn w:val="Normal"/>
    <w:uiPriority w:val="99"/>
    <w:qFormat/>
    <w:rsid w:val="00005CAA"/>
    <w:pPr>
      <w:numPr>
        <w:numId w:val="5"/>
      </w:numPr>
    </w:pPr>
  </w:style>
  <w:style w:type="paragraph" w:styleId="ListNumber2">
    <w:name w:val="List Number 2"/>
    <w:basedOn w:val="Normal"/>
    <w:uiPriority w:val="99"/>
    <w:rsid w:val="00005CAA"/>
    <w:pPr>
      <w:numPr>
        <w:ilvl w:val="1"/>
        <w:numId w:val="5"/>
      </w:numPr>
    </w:pPr>
  </w:style>
  <w:style w:type="paragraph" w:styleId="ListNumber3">
    <w:name w:val="List Number 3"/>
    <w:basedOn w:val="Normal"/>
    <w:uiPriority w:val="99"/>
    <w:rsid w:val="00005CAA"/>
    <w:pPr>
      <w:numPr>
        <w:ilvl w:val="2"/>
        <w:numId w:val="5"/>
      </w:numPr>
    </w:pPr>
  </w:style>
  <w:style w:type="paragraph" w:styleId="ListNumber4">
    <w:name w:val="List Number 4"/>
    <w:basedOn w:val="Normal"/>
    <w:uiPriority w:val="99"/>
    <w:rsid w:val="00005CAA"/>
    <w:pPr>
      <w:numPr>
        <w:ilvl w:val="3"/>
        <w:numId w:val="5"/>
      </w:numPr>
    </w:pPr>
  </w:style>
  <w:style w:type="paragraph" w:styleId="ListNumber5">
    <w:name w:val="List Number 5"/>
    <w:basedOn w:val="Normal"/>
    <w:uiPriority w:val="99"/>
    <w:rsid w:val="00005CAA"/>
    <w:pPr>
      <w:numPr>
        <w:ilvl w:val="4"/>
        <w:numId w:val="5"/>
      </w:numPr>
    </w:pPr>
  </w:style>
  <w:style w:type="paragraph" w:customStyle="1" w:styleId="Footerclassification">
    <w:name w:val="Footer classification"/>
    <w:basedOn w:val="Classification"/>
    <w:rsid w:val="00D021CB"/>
    <w:pPr>
      <w:spacing w:before="240" w:after="0"/>
    </w:pPr>
  </w:style>
  <w:style w:type="table" w:styleId="TableGrid">
    <w:name w:val="Table Grid"/>
    <w:basedOn w:val="TableNormal"/>
    <w:uiPriority w:val="59"/>
    <w:rsid w:val="00100BEF"/>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wordWrap/>
        <w:spacing w:beforeLines="0" w:beforeAutospacing="0" w:afterLines="0" w:afterAutospacing="0"/>
      </w:pPr>
      <w:rPr>
        <w:rFonts w:ascii="Arial" w:hAnsi="Arial"/>
        <w:sz w:val="20"/>
      </w:rPr>
    </w:tblStylePr>
    <w:tblStylePr w:type="lastRow">
      <w:pPr>
        <w:wordWrap/>
        <w:spacing w:beforeLines="0" w:beforeAutospacing="0" w:afterLines="0" w:afterAutospacing="0"/>
      </w:pPr>
      <w:rPr>
        <w:rFonts w:ascii="Arial" w:hAnsi="Arial"/>
        <w:sz w:val="20"/>
      </w:rPr>
    </w:tblStylePr>
    <w:tblStylePr w:type="band1Horz">
      <w:pPr>
        <w:wordWrap/>
        <w:spacing w:beforeLines="0" w:beforeAutospacing="0" w:afterLines="0" w:afterAutospacing="0" w:line="240" w:lineRule="auto"/>
        <w:contextualSpacing w:val="0"/>
        <w:mirrorIndents w:val="0"/>
      </w:pPr>
      <w:rPr>
        <w:rFonts w:ascii="Arial" w:hAnsi="Arial"/>
        <w:sz w:val="20"/>
      </w:rPr>
    </w:tblStylePr>
    <w:tblStylePr w:type="band2Horz">
      <w:pPr>
        <w:wordWrap/>
        <w:spacing w:beforeLines="0" w:beforeAutospacing="0" w:afterLines="0" w:afterAutospacing="0"/>
        <w:contextualSpacing w:val="0"/>
        <w:mirrorIndents w:val="0"/>
      </w:pPr>
      <w:rPr>
        <w:rFonts w:ascii="Arial" w:hAnsi="Arial"/>
        <w:sz w:val="20"/>
      </w:rPr>
    </w:tblStylePr>
  </w:style>
  <w:style w:type="paragraph" w:customStyle="1" w:styleId="Tabletext">
    <w:name w:val="Table text"/>
    <w:basedOn w:val="Normal"/>
    <w:uiPriority w:val="9"/>
    <w:qFormat/>
    <w:rsid w:val="005A126E"/>
    <w:pPr>
      <w:spacing w:after="0"/>
    </w:pPr>
  </w:style>
  <w:style w:type="paragraph" w:customStyle="1" w:styleId="Classificationsensitivity">
    <w:name w:val="Classification sensitivity"/>
    <w:basedOn w:val="Classification"/>
    <w:rsid w:val="002C5813"/>
    <w:rPr>
      <w:sz w:val="22"/>
    </w:rPr>
  </w:style>
  <w:style w:type="character" w:customStyle="1" w:styleId="Heading5Char">
    <w:name w:val="Heading 5 Char"/>
    <w:basedOn w:val="DefaultParagraphFont"/>
    <w:link w:val="Heading5"/>
    <w:rsid w:val="00821241"/>
    <w:rPr>
      <w:rFonts w:ascii="Calibri" w:eastAsia="Times New Roman" w:hAnsi="Calibri" w:cs="Calibri"/>
      <w:b/>
      <w:sz w:val="24"/>
      <w:lang w:val="en-GB"/>
    </w:rPr>
  </w:style>
  <w:style w:type="character" w:customStyle="1" w:styleId="Heading6Char">
    <w:name w:val="Heading 6 Char"/>
    <w:basedOn w:val="DefaultParagraphFont"/>
    <w:link w:val="Heading6"/>
    <w:rsid w:val="00AD16A4"/>
    <w:rPr>
      <w:rFonts w:ascii="Century Gothic" w:eastAsia="Times New Roman" w:hAnsi="Century Gothic" w:cs="Calibri"/>
      <w:b/>
      <w:noProof/>
      <w:color w:val="5F497A" w:themeColor="accent4" w:themeShade="BF"/>
      <w:sz w:val="24"/>
      <w:szCs w:val="24"/>
      <w:lang w:val="en-GB" w:eastAsia="en-US"/>
    </w:rPr>
  </w:style>
  <w:style w:type="character" w:customStyle="1" w:styleId="Heading7Char">
    <w:name w:val="Heading 7 Char"/>
    <w:basedOn w:val="DefaultParagraphFont"/>
    <w:link w:val="Heading7"/>
    <w:uiPriority w:val="9"/>
    <w:rsid w:val="00821241"/>
    <w:rPr>
      <w:rFonts w:ascii="Calibri" w:eastAsia="Times New Roman" w:hAnsi="Calibri" w:cs="Calibri"/>
      <w:b/>
      <w:sz w:val="24"/>
      <w:lang w:val="en-GB"/>
    </w:rPr>
  </w:style>
  <w:style w:type="character" w:customStyle="1" w:styleId="Heading8Char">
    <w:name w:val="Heading 8 Char"/>
    <w:basedOn w:val="DefaultParagraphFont"/>
    <w:link w:val="Heading8"/>
    <w:rsid w:val="00821241"/>
    <w:rPr>
      <w:rFonts w:ascii="Calibri" w:eastAsia="Times New Roman" w:hAnsi="Calibri" w:cs="Calibri"/>
      <w:b/>
      <w:sz w:val="24"/>
      <w:lang w:val="en-GB"/>
    </w:rPr>
  </w:style>
  <w:style w:type="paragraph" w:styleId="TOCHeading">
    <w:name w:val="TOC Heading"/>
    <w:basedOn w:val="Heading1"/>
    <w:next w:val="Normal"/>
    <w:uiPriority w:val="39"/>
    <w:unhideWhenUsed/>
    <w:qFormat/>
    <w:rsid w:val="009C5A51"/>
    <w:pPr>
      <w:keepLines/>
      <w:spacing w:before="480" w:after="0" w:line="276" w:lineRule="auto"/>
      <w:outlineLvl w:val="9"/>
    </w:pPr>
    <w:rPr>
      <w:rFonts w:asciiTheme="majorHAnsi" w:eastAsiaTheme="majorEastAsia" w:hAnsiTheme="majorHAnsi" w:cstheme="majorBidi"/>
      <w:bCs/>
      <w:color w:val="365F91" w:themeColor="accent1" w:themeShade="BF"/>
      <w:sz w:val="28"/>
      <w:szCs w:val="28"/>
      <w:lang w:val="en-US"/>
    </w:rPr>
  </w:style>
  <w:style w:type="paragraph" w:styleId="TOC1">
    <w:name w:val="toc 1"/>
    <w:basedOn w:val="Normal"/>
    <w:next w:val="Normal"/>
    <w:autoRedefine/>
    <w:uiPriority w:val="39"/>
    <w:unhideWhenUsed/>
    <w:qFormat/>
    <w:rsid w:val="009C5A51"/>
    <w:pPr>
      <w:spacing w:after="100"/>
    </w:pPr>
  </w:style>
  <w:style w:type="paragraph" w:styleId="TOC2">
    <w:name w:val="toc 2"/>
    <w:basedOn w:val="Normal"/>
    <w:next w:val="Normal"/>
    <w:autoRedefine/>
    <w:uiPriority w:val="39"/>
    <w:unhideWhenUsed/>
    <w:qFormat/>
    <w:rsid w:val="009C5A51"/>
    <w:pPr>
      <w:spacing w:after="100"/>
      <w:ind w:left="200"/>
    </w:pPr>
  </w:style>
  <w:style w:type="paragraph" w:styleId="TOC3">
    <w:name w:val="toc 3"/>
    <w:basedOn w:val="Normal"/>
    <w:next w:val="Normal"/>
    <w:autoRedefine/>
    <w:uiPriority w:val="39"/>
    <w:unhideWhenUsed/>
    <w:qFormat/>
    <w:rsid w:val="009C5A51"/>
    <w:pPr>
      <w:spacing w:after="100"/>
      <w:ind w:left="400"/>
    </w:pPr>
  </w:style>
  <w:style w:type="character" w:styleId="Hyperlink">
    <w:name w:val="Hyperlink"/>
    <w:basedOn w:val="DefaultParagraphFont"/>
    <w:uiPriority w:val="99"/>
    <w:unhideWhenUsed/>
    <w:rsid w:val="009C5A51"/>
    <w:rPr>
      <w:color w:val="0000FF" w:themeColor="hyperlink"/>
      <w:u w:val="single"/>
    </w:rPr>
  </w:style>
  <w:style w:type="character" w:styleId="FollowedHyperlink">
    <w:name w:val="FollowedHyperlink"/>
    <w:basedOn w:val="DefaultParagraphFont"/>
    <w:uiPriority w:val="99"/>
    <w:semiHidden/>
    <w:unhideWhenUsed/>
    <w:rsid w:val="003F1C8E"/>
    <w:rPr>
      <w:color w:val="800080" w:themeColor="followedHyperlink"/>
      <w:u w:val="single"/>
    </w:rPr>
  </w:style>
  <w:style w:type="paragraph" w:customStyle="1" w:styleId="Para0">
    <w:name w:val="Para 0"/>
    <w:basedOn w:val="Normal"/>
    <w:link w:val="Para0Char"/>
    <w:qFormat/>
    <w:rsid w:val="003F1C8E"/>
    <w:pPr>
      <w:spacing w:line="300" w:lineRule="auto"/>
    </w:pPr>
    <w:rPr>
      <w:rFonts w:ascii="Arial" w:hAnsi="Arial"/>
      <w:color w:val="000000"/>
      <w:lang w:val="en-GB" w:eastAsia="en-US"/>
    </w:rPr>
  </w:style>
  <w:style w:type="character" w:customStyle="1" w:styleId="Para0Char">
    <w:name w:val="Para 0 Char"/>
    <w:basedOn w:val="DefaultParagraphFont"/>
    <w:link w:val="Para0"/>
    <w:locked/>
    <w:rsid w:val="003F1C8E"/>
    <w:rPr>
      <w:rFonts w:eastAsia="Times New Roman"/>
      <w:color w:val="000000"/>
      <w:lang w:val="en-GB" w:eastAsia="en-US"/>
    </w:rPr>
  </w:style>
  <w:style w:type="paragraph" w:customStyle="1" w:styleId="StyleStylePara12Arial11ptAfter0pt10ptAuto">
    <w:name w:val="Style Style Para 12 + Arial 11 pt After:  0 pt + 10 pt Auto"/>
    <w:basedOn w:val="Normal"/>
    <w:uiPriority w:val="99"/>
    <w:rsid w:val="003F1C8E"/>
    <w:pPr>
      <w:numPr>
        <w:numId w:val="7"/>
      </w:numPr>
      <w:spacing w:after="0"/>
      <w:jc w:val="left"/>
    </w:pPr>
    <w:rPr>
      <w:rFonts w:ascii="Times New Roman" w:hAnsi="Times New Roman"/>
      <w:sz w:val="24"/>
      <w:lang w:eastAsia="en-US"/>
    </w:rPr>
  </w:style>
  <w:style w:type="paragraph" w:styleId="FootnoteText">
    <w:name w:val="footnote text"/>
    <w:basedOn w:val="Normal"/>
    <w:link w:val="FootnoteTextChar"/>
    <w:uiPriority w:val="99"/>
    <w:rsid w:val="00675265"/>
  </w:style>
  <w:style w:type="character" w:customStyle="1" w:styleId="FootnoteTextChar">
    <w:name w:val="Footnote Text Char"/>
    <w:basedOn w:val="DefaultParagraphFont"/>
    <w:link w:val="FootnoteText"/>
    <w:uiPriority w:val="99"/>
    <w:rsid w:val="00675265"/>
    <w:rPr>
      <w:rFonts w:ascii="Calibri" w:eastAsia="Times New Roman" w:hAnsi="Calibri"/>
    </w:rPr>
  </w:style>
  <w:style w:type="character" w:styleId="FootnoteReference">
    <w:name w:val="footnote reference"/>
    <w:basedOn w:val="DefaultParagraphFont"/>
    <w:uiPriority w:val="99"/>
    <w:rsid w:val="00675265"/>
    <w:rPr>
      <w:rFonts w:cs="Times New Roman"/>
      <w:vertAlign w:val="superscript"/>
    </w:rPr>
  </w:style>
  <w:style w:type="paragraph" w:styleId="NormalWeb">
    <w:name w:val="Normal (Web)"/>
    <w:basedOn w:val="Normal"/>
    <w:uiPriority w:val="99"/>
    <w:unhideWhenUsed/>
    <w:rsid w:val="00675265"/>
    <w:pPr>
      <w:spacing w:after="180"/>
      <w:jc w:val="left"/>
      <w:textAlignment w:val="baseline"/>
    </w:pPr>
    <w:rPr>
      <w:rFonts w:ascii="Times New Roman" w:hAnsi="Times New Roman"/>
      <w:sz w:val="24"/>
      <w:szCs w:val="24"/>
    </w:rPr>
  </w:style>
  <w:style w:type="paragraph" w:styleId="Caption">
    <w:name w:val="caption"/>
    <w:aliases w:val="Figure,CDM B/Caption,Table Caption,TABLE,Char,Item"/>
    <w:basedOn w:val="Normal"/>
    <w:next w:val="Normal"/>
    <w:link w:val="CaptionChar"/>
    <w:uiPriority w:val="35"/>
    <w:qFormat/>
    <w:rsid w:val="00856D61"/>
    <w:rPr>
      <w:b/>
      <w:bCs/>
    </w:rPr>
  </w:style>
  <w:style w:type="character" w:customStyle="1" w:styleId="CaptionChar">
    <w:name w:val="Caption Char"/>
    <w:aliases w:val="Figure Char,CDM B/Caption Char,Table Caption Char,TABLE Char,Char Char,Item Char"/>
    <w:basedOn w:val="DefaultParagraphFont"/>
    <w:link w:val="Caption"/>
    <w:uiPriority w:val="35"/>
    <w:locked/>
    <w:rsid w:val="00856D61"/>
    <w:rPr>
      <w:rFonts w:ascii="Calibri" w:eastAsia="Times New Roman" w:hAnsi="Calibri"/>
      <w:b/>
      <w:bCs/>
    </w:rPr>
  </w:style>
  <w:style w:type="paragraph" w:customStyle="1" w:styleId="Default">
    <w:name w:val="Default"/>
    <w:rsid w:val="00856D61"/>
    <w:pPr>
      <w:autoSpaceDE w:val="0"/>
      <w:autoSpaceDN w:val="0"/>
      <w:adjustRightInd w:val="0"/>
    </w:pPr>
    <w:rPr>
      <w:rFonts w:ascii="Times New Roman" w:eastAsia="Times New Roman" w:hAnsi="Times New Roman"/>
      <w:color w:val="000000"/>
      <w:sz w:val="24"/>
      <w:szCs w:val="24"/>
    </w:rPr>
  </w:style>
  <w:style w:type="paragraph" w:styleId="CommentText">
    <w:name w:val="annotation text"/>
    <w:basedOn w:val="Normal"/>
    <w:link w:val="CommentTextChar"/>
    <w:uiPriority w:val="99"/>
    <w:unhideWhenUsed/>
    <w:rsid w:val="009F0485"/>
    <w:pPr>
      <w:spacing w:after="0"/>
      <w:jc w:val="left"/>
    </w:pPr>
    <w:rPr>
      <w:lang w:eastAsia="en-US"/>
    </w:rPr>
  </w:style>
  <w:style w:type="character" w:customStyle="1" w:styleId="CommentTextChar">
    <w:name w:val="Comment Text Char"/>
    <w:basedOn w:val="DefaultParagraphFont"/>
    <w:link w:val="CommentText"/>
    <w:uiPriority w:val="99"/>
    <w:rsid w:val="009F0485"/>
    <w:rPr>
      <w:rFonts w:ascii="Calibri" w:eastAsia="Times New Roman" w:hAnsi="Calibri"/>
      <w:lang w:eastAsia="en-US"/>
    </w:rPr>
  </w:style>
  <w:style w:type="character" w:styleId="Strong">
    <w:name w:val="Strong"/>
    <w:basedOn w:val="DefaultParagraphFont"/>
    <w:uiPriority w:val="22"/>
    <w:qFormat/>
    <w:rsid w:val="009F0485"/>
    <w:rPr>
      <w:b/>
      <w:bCs/>
    </w:rPr>
  </w:style>
  <w:style w:type="character" w:styleId="CommentReference">
    <w:name w:val="annotation reference"/>
    <w:basedOn w:val="DefaultParagraphFont"/>
    <w:uiPriority w:val="99"/>
    <w:semiHidden/>
    <w:unhideWhenUsed/>
    <w:rsid w:val="00F0356C"/>
    <w:rPr>
      <w:sz w:val="16"/>
      <w:szCs w:val="16"/>
    </w:rPr>
  </w:style>
  <w:style w:type="paragraph" w:styleId="CommentSubject">
    <w:name w:val="annotation subject"/>
    <w:basedOn w:val="CommentText"/>
    <w:next w:val="CommentText"/>
    <w:link w:val="CommentSubjectChar"/>
    <w:uiPriority w:val="99"/>
    <w:semiHidden/>
    <w:unhideWhenUsed/>
    <w:rsid w:val="00F0356C"/>
    <w:pPr>
      <w:spacing w:after="220"/>
      <w:jc w:val="both"/>
    </w:pPr>
    <w:rPr>
      <w:b/>
      <w:bCs/>
      <w:lang w:eastAsia="en-AU"/>
    </w:rPr>
  </w:style>
  <w:style w:type="character" w:customStyle="1" w:styleId="CommentSubjectChar">
    <w:name w:val="Comment Subject Char"/>
    <w:basedOn w:val="CommentTextChar"/>
    <w:link w:val="CommentSubject"/>
    <w:uiPriority w:val="99"/>
    <w:semiHidden/>
    <w:rsid w:val="00F0356C"/>
    <w:rPr>
      <w:rFonts w:ascii="Calibri" w:eastAsia="Times New Roman" w:hAnsi="Calibri"/>
      <w:b/>
      <w:bCs/>
      <w:lang w:eastAsia="en-US"/>
    </w:rPr>
  </w:style>
  <w:style w:type="paragraph" w:customStyle="1" w:styleId="Bullet1">
    <w:name w:val="Bullet 1"/>
    <w:basedOn w:val="Normal"/>
    <w:link w:val="Bullet1Char"/>
    <w:qFormat/>
    <w:rsid w:val="00195698"/>
    <w:pPr>
      <w:numPr>
        <w:numId w:val="12"/>
      </w:numPr>
      <w:spacing w:after="200" w:line="276" w:lineRule="auto"/>
      <w:jc w:val="left"/>
    </w:pPr>
    <w:rPr>
      <w:rFonts w:ascii="Arial" w:eastAsiaTheme="minorHAnsi" w:hAnsi="Arial" w:cs="Arial"/>
      <w:sz w:val="24"/>
      <w:szCs w:val="22"/>
    </w:rPr>
  </w:style>
  <w:style w:type="character" w:customStyle="1" w:styleId="Bullet1Char">
    <w:name w:val="Bullet 1 Char"/>
    <w:aliases w:val="List Paragraph Char,Bullet list Char,1 heading Char,DDM Gen Text Char,List Paragraph1 Char,List Paragraph11 Char,Recommendation Char,List 1 Char"/>
    <w:basedOn w:val="DefaultParagraphFont"/>
    <w:link w:val="Bullet1"/>
    <w:uiPriority w:val="34"/>
    <w:rsid w:val="00195698"/>
    <w:rPr>
      <w:rFonts w:eastAsiaTheme="minorHAnsi" w:cs="Arial"/>
      <w:sz w:val="24"/>
      <w:szCs w:val="22"/>
    </w:rPr>
  </w:style>
  <w:style w:type="numbering" w:customStyle="1" w:styleId="Style2">
    <w:name w:val="Style2"/>
    <w:uiPriority w:val="99"/>
    <w:rsid w:val="006E43DA"/>
    <w:pPr>
      <w:numPr>
        <w:numId w:val="13"/>
      </w:numPr>
    </w:pPr>
  </w:style>
  <w:style w:type="numbering" w:customStyle="1" w:styleId="Style3">
    <w:name w:val="Style3"/>
    <w:uiPriority w:val="99"/>
    <w:rsid w:val="006E43DA"/>
    <w:pPr>
      <w:numPr>
        <w:numId w:val="14"/>
      </w:numPr>
    </w:pPr>
  </w:style>
  <w:style w:type="paragraph" w:customStyle="1" w:styleId="Tablebullet">
    <w:name w:val="Table bullet"/>
    <w:basedOn w:val="ListParagraph"/>
    <w:link w:val="TablebulletChar"/>
    <w:qFormat/>
    <w:rsid w:val="006E43DA"/>
    <w:pPr>
      <w:numPr>
        <w:numId w:val="15"/>
      </w:numPr>
      <w:tabs>
        <w:tab w:val="left" w:pos="176"/>
        <w:tab w:val="left" w:pos="567"/>
      </w:tabs>
      <w:spacing w:before="60" w:after="0"/>
      <w:ind w:left="176" w:hanging="176"/>
      <w:contextualSpacing/>
      <w:jc w:val="left"/>
    </w:pPr>
    <w:rPr>
      <w:rFonts w:ascii="Arial Narrow" w:eastAsiaTheme="minorHAnsi" w:hAnsi="Arial Narrow" w:cstheme="minorBidi"/>
      <w:sz w:val="22"/>
      <w:szCs w:val="22"/>
      <w:lang w:eastAsia="en-US"/>
    </w:rPr>
  </w:style>
  <w:style w:type="character" w:customStyle="1" w:styleId="TablebulletChar">
    <w:name w:val="Table bullet Char"/>
    <w:basedOn w:val="DefaultParagraphFont"/>
    <w:link w:val="Tablebullet"/>
    <w:rsid w:val="006E43DA"/>
    <w:rPr>
      <w:rFonts w:ascii="Arial Narrow" w:eastAsiaTheme="minorHAnsi" w:hAnsi="Arial Narrow" w:cstheme="minorBidi"/>
      <w:sz w:val="22"/>
      <w:szCs w:val="22"/>
      <w:lang w:eastAsia="en-US"/>
    </w:rPr>
  </w:style>
  <w:style w:type="paragraph" w:customStyle="1" w:styleId="Para0number">
    <w:name w:val="Para 0 number"/>
    <w:basedOn w:val="Para0"/>
    <w:uiPriority w:val="99"/>
    <w:rsid w:val="0079257F"/>
    <w:pPr>
      <w:numPr>
        <w:numId w:val="16"/>
      </w:numPr>
      <w:spacing w:after="60"/>
    </w:pPr>
  </w:style>
  <w:style w:type="character" w:styleId="Emphasis">
    <w:name w:val="Emphasis"/>
    <w:basedOn w:val="DefaultParagraphFont"/>
    <w:uiPriority w:val="20"/>
    <w:qFormat/>
    <w:rsid w:val="00273B89"/>
    <w:rPr>
      <w:i/>
      <w:iCs/>
    </w:rPr>
  </w:style>
  <w:style w:type="paragraph" w:customStyle="1" w:styleId="H1-AkkpPro36pt">
    <w:name w:val="H1 - Akkp Pro 36pt"/>
    <w:basedOn w:val="Normal"/>
    <w:uiPriority w:val="99"/>
    <w:rsid w:val="00212C8B"/>
    <w:pPr>
      <w:widowControl w:val="0"/>
      <w:suppressAutoHyphens/>
      <w:autoSpaceDE w:val="0"/>
      <w:autoSpaceDN w:val="0"/>
      <w:adjustRightInd w:val="0"/>
      <w:spacing w:after="57" w:line="640" w:lineRule="atLeast"/>
      <w:jc w:val="left"/>
      <w:textAlignment w:val="center"/>
    </w:pPr>
    <w:rPr>
      <w:rFonts w:ascii="AkkoPro-Regular" w:eastAsiaTheme="minorEastAsia" w:hAnsi="AkkoPro-Regular" w:cs="AkkoPro-Regular"/>
      <w:caps/>
      <w:color w:val="002A48"/>
      <w:sz w:val="72"/>
      <w:szCs w:val="72"/>
      <w:lang w:val="en-GB" w:eastAsia="en-US"/>
    </w:rPr>
  </w:style>
  <w:style w:type="paragraph" w:customStyle="1" w:styleId="H1-AkkoPrro">
    <w:name w:val="H1 - Akko Prro"/>
    <w:basedOn w:val="Normal"/>
    <w:uiPriority w:val="99"/>
    <w:rsid w:val="00212C8B"/>
    <w:pPr>
      <w:widowControl w:val="0"/>
      <w:suppressAutoHyphens/>
      <w:autoSpaceDE w:val="0"/>
      <w:autoSpaceDN w:val="0"/>
      <w:adjustRightInd w:val="0"/>
      <w:spacing w:after="0" w:line="360" w:lineRule="atLeast"/>
      <w:jc w:val="left"/>
      <w:textAlignment w:val="center"/>
    </w:pPr>
    <w:rPr>
      <w:rFonts w:ascii="AkkoPro-Light" w:eastAsiaTheme="minorEastAsia" w:hAnsi="AkkoPro-Light" w:cs="AkkoPro-Light"/>
      <w:color w:val="E97200"/>
      <w:sz w:val="32"/>
      <w:szCs w:val="32"/>
      <w:lang w:val="en-GB" w:eastAsia="en-US"/>
    </w:rPr>
  </w:style>
  <w:style w:type="paragraph" w:customStyle="1" w:styleId="Introtext">
    <w:name w:val="Intro text"/>
    <w:basedOn w:val="Normal"/>
    <w:uiPriority w:val="99"/>
    <w:rsid w:val="00212C8B"/>
    <w:pPr>
      <w:widowControl w:val="0"/>
      <w:suppressAutoHyphens/>
      <w:autoSpaceDE w:val="0"/>
      <w:autoSpaceDN w:val="0"/>
      <w:adjustRightInd w:val="0"/>
      <w:spacing w:after="113" w:line="350" w:lineRule="atLeast"/>
      <w:jc w:val="left"/>
      <w:textAlignment w:val="center"/>
    </w:pPr>
    <w:rPr>
      <w:rFonts w:ascii="AkkoPro-Light" w:eastAsiaTheme="minorEastAsia" w:hAnsi="AkkoPro-Light" w:cs="AkkoPro-Light"/>
      <w:color w:val="000000"/>
      <w:sz w:val="26"/>
      <w:szCs w:val="26"/>
      <w:lang w:val="en-US" w:eastAsia="en-US"/>
    </w:rPr>
  </w:style>
  <w:style w:type="paragraph" w:customStyle="1" w:styleId="Bodycopy">
    <w:name w:val="Body copy"/>
    <w:basedOn w:val="Normal"/>
    <w:uiPriority w:val="99"/>
    <w:rsid w:val="00212C8B"/>
    <w:pPr>
      <w:widowControl w:val="0"/>
      <w:suppressAutoHyphens/>
      <w:autoSpaceDE w:val="0"/>
      <w:autoSpaceDN w:val="0"/>
      <w:adjustRightInd w:val="0"/>
      <w:spacing w:after="113" w:line="270" w:lineRule="atLeast"/>
      <w:jc w:val="left"/>
      <w:textAlignment w:val="center"/>
    </w:pPr>
    <w:rPr>
      <w:rFonts w:ascii="AkkoPro-Light" w:eastAsiaTheme="minorEastAsia" w:hAnsi="AkkoPro-Light" w:cs="AkkoPro-Light"/>
      <w:color w:val="000000"/>
      <w:sz w:val="18"/>
      <w:szCs w:val="18"/>
      <w:lang w:val="en-US" w:eastAsia="en-US"/>
    </w:rPr>
  </w:style>
  <w:style w:type="character" w:customStyle="1" w:styleId="mediaitemsummary">
    <w:name w:val="mediaitemsummary"/>
    <w:basedOn w:val="DefaultParagraphFont"/>
    <w:rsid w:val="00C90205"/>
  </w:style>
  <w:style w:type="paragraph" w:styleId="Revision">
    <w:name w:val="Revision"/>
    <w:hidden/>
    <w:uiPriority w:val="99"/>
    <w:semiHidden/>
    <w:rsid w:val="00F27B87"/>
    <w:rPr>
      <w:rFonts w:ascii="Calibri" w:eastAsia="Times New Roman" w:hAnsi="Calibri"/>
    </w:rPr>
  </w:style>
  <w:style w:type="paragraph" w:customStyle="1" w:styleId="Heading11">
    <w:name w:val="Heading 1.1"/>
    <w:basedOn w:val="Heading1"/>
    <w:link w:val="Heading11Char"/>
    <w:qFormat/>
    <w:rsid w:val="00082BA8"/>
    <w:pPr>
      <w:numPr>
        <w:ilvl w:val="1"/>
      </w:numPr>
      <w:spacing w:before="240"/>
    </w:pPr>
    <w:rPr>
      <w:sz w:val="40"/>
      <w:szCs w:val="40"/>
    </w:rPr>
  </w:style>
  <w:style w:type="paragraph" w:customStyle="1" w:styleId="Attachment">
    <w:name w:val="Attachment"/>
    <w:basedOn w:val="Heading1"/>
    <w:link w:val="AttachmentChar"/>
    <w:qFormat/>
    <w:rsid w:val="00642205"/>
    <w:pPr>
      <w:numPr>
        <w:numId w:val="0"/>
      </w:numPr>
    </w:pPr>
  </w:style>
  <w:style w:type="character" w:customStyle="1" w:styleId="Heading11Char">
    <w:name w:val="Heading 1.1 Char"/>
    <w:basedOn w:val="Heading1Char"/>
    <w:link w:val="Heading11"/>
    <w:rsid w:val="00082BA8"/>
    <w:rPr>
      <w:rFonts w:ascii="Calibri" w:eastAsia="Times New Roman" w:hAnsi="Calibri"/>
      <w:b/>
      <w:color w:val="5F497A" w:themeColor="accent4" w:themeShade="BF"/>
      <w:sz w:val="40"/>
      <w:szCs w:val="40"/>
      <w:lang w:val="en-GB" w:eastAsia="en-US"/>
    </w:rPr>
  </w:style>
  <w:style w:type="paragraph" w:customStyle="1" w:styleId="CaseStudy">
    <w:name w:val="Case Study"/>
    <w:basedOn w:val="Heading1"/>
    <w:link w:val="CaseStudyChar"/>
    <w:qFormat/>
    <w:rsid w:val="00D15282"/>
    <w:pPr>
      <w:numPr>
        <w:numId w:val="0"/>
      </w:numPr>
      <w:ind w:left="360" w:hanging="360"/>
    </w:pPr>
    <w:rPr>
      <w:sz w:val="22"/>
      <w:szCs w:val="22"/>
    </w:rPr>
  </w:style>
  <w:style w:type="character" w:customStyle="1" w:styleId="AttachmentChar">
    <w:name w:val="Attachment Char"/>
    <w:basedOn w:val="Heading1Char"/>
    <w:link w:val="Attachment"/>
    <w:rsid w:val="00642205"/>
    <w:rPr>
      <w:rFonts w:ascii="Calibri" w:eastAsia="Times New Roman" w:hAnsi="Calibri"/>
      <w:b/>
      <w:color w:val="5F497A" w:themeColor="accent4" w:themeShade="BF"/>
      <w:sz w:val="48"/>
      <w:szCs w:val="48"/>
      <w:lang w:val="en-GB" w:eastAsia="en-US"/>
    </w:rPr>
  </w:style>
  <w:style w:type="paragraph" w:customStyle="1" w:styleId="Figure1">
    <w:name w:val="Figure 1"/>
    <w:basedOn w:val="Normal"/>
    <w:link w:val="Figure1Char"/>
    <w:qFormat/>
    <w:rsid w:val="008600C5"/>
    <w:rPr>
      <w:rFonts w:ascii="Century Gothic" w:hAnsi="Century Gothic" w:cs="Calibri"/>
    </w:rPr>
  </w:style>
  <w:style w:type="character" w:customStyle="1" w:styleId="CaseStudyChar">
    <w:name w:val="Case Study Char"/>
    <w:basedOn w:val="Heading1Char"/>
    <w:link w:val="CaseStudy"/>
    <w:rsid w:val="00D15282"/>
    <w:rPr>
      <w:rFonts w:ascii="Calibri" w:eastAsia="Times New Roman" w:hAnsi="Calibri"/>
      <w:b/>
      <w:color w:val="5F497A" w:themeColor="accent4" w:themeShade="BF"/>
      <w:sz w:val="22"/>
      <w:szCs w:val="22"/>
      <w:lang w:val="en-GB" w:eastAsia="en-US"/>
    </w:rPr>
  </w:style>
  <w:style w:type="character" w:customStyle="1" w:styleId="Figure1Char">
    <w:name w:val="Figure 1 Char"/>
    <w:basedOn w:val="DefaultParagraphFont"/>
    <w:link w:val="Figure1"/>
    <w:rsid w:val="008600C5"/>
    <w:rPr>
      <w:rFonts w:ascii="Century Gothic" w:eastAsia="Times New Roman" w:hAnsi="Century Gothic" w:cs="Calibri"/>
    </w:rPr>
  </w:style>
  <w:style w:type="paragraph" w:styleId="PlainText">
    <w:name w:val="Plain Text"/>
    <w:basedOn w:val="Normal"/>
    <w:link w:val="PlainTextChar"/>
    <w:uiPriority w:val="99"/>
    <w:semiHidden/>
    <w:unhideWhenUsed/>
    <w:rsid w:val="00301EE6"/>
    <w:pPr>
      <w:spacing w:after="0"/>
      <w:jc w:val="left"/>
    </w:pPr>
    <w:rPr>
      <w:rFonts w:ascii="Consolas" w:eastAsiaTheme="minorHAnsi" w:hAnsi="Consolas" w:cs="Consolas"/>
      <w:sz w:val="21"/>
      <w:szCs w:val="21"/>
    </w:rPr>
  </w:style>
  <w:style w:type="character" w:customStyle="1" w:styleId="PlainTextChar">
    <w:name w:val="Plain Text Char"/>
    <w:basedOn w:val="DefaultParagraphFont"/>
    <w:link w:val="PlainText"/>
    <w:uiPriority w:val="99"/>
    <w:semiHidden/>
    <w:rsid w:val="00301EE6"/>
    <w:rPr>
      <w:rFonts w:ascii="Consolas" w:eastAsiaTheme="minorHAnsi" w:hAnsi="Consolas" w:cs="Consolas"/>
      <w:sz w:val="21"/>
      <w:szCs w:val="21"/>
    </w:rPr>
  </w:style>
  <w:style w:type="paragraph" w:customStyle="1" w:styleId="Pa4">
    <w:name w:val="Pa4"/>
    <w:basedOn w:val="Normal"/>
    <w:next w:val="Normal"/>
    <w:uiPriority w:val="99"/>
    <w:rsid w:val="00D8493A"/>
    <w:pPr>
      <w:autoSpaceDE w:val="0"/>
      <w:autoSpaceDN w:val="0"/>
      <w:adjustRightInd w:val="0"/>
      <w:spacing w:after="0" w:line="181" w:lineRule="atLeast"/>
      <w:jc w:val="left"/>
    </w:pPr>
    <w:rPr>
      <w:rFonts w:ascii="Adobe Garamond Pro" w:hAnsi="Adobe Garamond Pr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6456784">
      <w:bodyDiv w:val="1"/>
      <w:marLeft w:val="0"/>
      <w:marRight w:val="0"/>
      <w:marTop w:val="0"/>
      <w:marBottom w:val="0"/>
      <w:divBdr>
        <w:top w:val="none" w:sz="0" w:space="0" w:color="auto"/>
        <w:left w:val="none" w:sz="0" w:space="0" w:color="auto"/>
        <w:bottom w:val="none" w:sz="0" w:space="0" w:color="auto"/>
        <w:right w:val="none" w:sz="0" w:space="0" w:color="auto"/>
      </w:divBdr>
      <w:divsChild>
        <w:div w:id="617876304">
          <w:marLeft w:val="0"/>
          <w:marRight w:val="0"/>
          <w:marTop w:val="0"/>
          <w:marBottom w:val="0"/>
          <w:divBdr>
            <w:top w:val="none" w:sz="0" w:space="0" w:color="auto"/>
            <w:left w:val="none" w:sz="0" w:space="0" w:color="auto"/>
            <w:bottom w:val="none" w:sz="0" w:space="0" w:color="auto"/>
            <w:right w:val="none" w:sz="0" w:space="0" w:color="auto"/>
          </w:divBdr>
          <w:divsChild>
            <w:div w:id="1061713766">
              <w:marLeft w:val="0"/>
              <w:marRight w:val="0"/>
              <w:marTop w:val="0"/>
              <w:marBottom w:val="0"/>
              <w:divBdr>
                <w:top w:val="none" w:sz="0" w:space="0" w:color="auto"/>
                <w:left w:val="none" w:sz="0" w:space="0" w:color="auto"/>
                <w:bottom w:val="none" w:sz="0" w:space="0" w:color="auto"/>
                <w:right w:val="none" w:sz="0" w:space="0" w:color="auto"/>
              </w:divBdr>
              <w:divsChild>
                <w:div w:id="915018645">
                  <w:marLeft w:val="0"/>
                  <w:marRight w:val="0"/>
                  <w:marTop w:val="0"/>
                  <w:marBottom w:val="0"/>
                  <w:divBdr>
                    <w:top w:val="none" w:sz="0" w:space="0" w:color="auto"/>
                    <w:left w:val="none" w:sz="0" w:space="0" w:color="auto"/>
                    <w:bottom w:val="none" w:sz="0" w:space="0" w:color="auto"/>
                    <w:right w:val="none" w:sz="0" w:space="0" w:color="auto"/>
                  </w:divBdr>
                  <w:divsChild>
                    <w:div w:id="1161310860">
                      <w:marLeft w:val="150"/>
                      <w:marRight w:val="150"/>
                      <w:marTop w:val="0"/>
                      <w:marBottom w:val="0"/>
                      <w:divBdr>
                        <w:top w:val="none" w:sz="0" w:space="0" w:color="auto"/>
                        <w:left w:val="none" w:sz="0" w:space="0" w:color="auto"/>
                        <w:bottom w:val="none" w:sz="0" w:space="0" w:color="auto"/>
                        <w:right w:val="none" w:sz="0" w:space="0" w:color="auto"/>
                      </w:divBdr>
                      <w:divsChild>
                        <w:div w:id="667052748">
                          <w:marLeft w:val="0"/>
                          <w:marRight w:val="0"/>
                          <w:marTop w:val="0"/>
                          <w:marBottom w:val="0"/>
                          <w:divBdr>
                            <w:top w:val="none" w:sz="0" w:space="0" w:color="auto"/>
                            <w:left w:val="none" w:sz="0" w:space="0" w:color="auto"/>
                            <w:bottom w:val="none" w:sz="0" w:space="0" w:color="auto"/>
                            <w:right w:val="none" w:sz="0" w:space="0" w:color="auto"/>
                          </w:divBdr>
                          <w:divsChild>
                            <w:div w:id="1077747145">
                              <w:marLeft w:val="0"/>
                              <w:marRight w:val="0"/>
                              <w:marTop w:val="0"/>
                              <w:marBottom w:val="240"/>
                              <w:divBdr>
                                <w:top w:val="none" w:sz="0" w:space="0" w:color="auto"/>
                                <w:left w:val="none" w:sz="0" w:space="0" w:color="auto"/>
                                <w:bottom w:val="none" w:sz="0" w:space="0" w:color="auto"/>
                                <w:right w:val="none" w:sz="0" w:space="0" w:color="auto"/>
                              </w:divBdr>
                              <w:divsChild>
                                <w:div w:id="318851656">
                                  <w:marLeft w:val="0"/>
                                  <w:marRight w:val="0"/>
                                  <w:marTop w:val="0"/>
                                  <w:marBottom w:val="0"/>
                                  <w:divBdr>
                                    <w:top w:val="none" w:sz="0" w:space="0" w:color="auto"/>
                                    <w:left w:val="none" w:sz="0" w:space="0" w:color="auto"/>
                                    <w:bottom w:val="none" w:sz="0" w:space="0" w:color="auto"/>
                                    <w:right w:val="none" w:sz="0" w:space="0" w:color="auto"/>
                                  </w:divBdr>
                                  <w:divsChild>
                                    <w:div w:id="1548835944">
                                      <w:marLeft w:val="0"/>
                                      <w:marRight w:val="0"/>
                                      <w:marTop w:val="0"/>
                                      <w:marBottom w:val="0"/>
                                      <w:divBdr>
                                        <w:top w:val="none" w:sz="0" w:space="0" w:color="auto"/>
                                        <w:left w:val="none" w:sz="0" w:space="0" w:color="auto"/>
                                        <w:bottom w:val="none" w:sz="0" w:space="0" w:color="auto"/>
                                        <w:right w:val="none" w:sz="0" w:space="0" w:color="auto"/>
                                      </w:divBdr>
                                      <w:divsChild>
                                        <w:div w:id="1965193540">
                                          <w:marLeft w:val="0"/>
                                          <w:marRight w:val="0"/>
                                          <w:marTop w:val="0"/>
                                          <w:marBottom w:val="0"/>
                                          <w:divBdr>
                                            <w:top w:val="none" w:sz="0" w:space="0" w:color="auto"/>
                                            <w:left w:val="none" w:sz="0" w:space="0" w:color="auto"/>
                                            <w:bottom w:val="none" w:sz="0" w:space="0" w:color="auto"/>
                                            <w:right w:val="none" w:sz="0" w:space="0" w:color="auto"/>
                                          </w:divBdr>
                                          <w:divsChild>
                                            <w:div w:id="1278220763">
                                              <w:marLeft w:val="0"/>
                                              <w:marRight w:val="0"/>
                                              <w:marTop w:val="0"/>
                                              <w:marBottom w:val="0"/>
                                              <w:divBdr>
                                                <w:top w:val="none" w:sz="0" w:space="0" w:color="auto"/>
                                                <w:left w:val="none" w:sz="0" w:space="0" w:color="auto"/>
                                                <w:bottom w:val="none" w:sz="0" w:space="0" w:color="auto"/>
                                                <w:right w:val="none" w:sz="0" w:space="0" w:color="auto"/>
                                              </w:divBdr>
                                              <w:divsChild>
                                                <w:div w:id="1033119535">
                                                  <w:marLeft w:val="0"/>
                                                  <w:marRight w:val="0"/>
                                                  <w:marTop w:val="0"/>
                                                  <w:marBottom w:val="0"/>
                                                  <w:divBdr>
                                                    <w:top w:val="none" w:sz="0" w:space="0" w:color="auto"/>
                                                    <w:left w:val="none" w:sz="0" w:space="0" w:color="auto"/>
                                                    <w:bottom w:val="none" w:sz="0" w:space="0" w:color="auto"/>
                                                    <w:right w:val="none" w:sz="0" w:space="0" w:color="auto"/>
                                                  </w:divBdr>
                                                  <w:divsChild>
                                                    <w:div w:id="678969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5486626">
      <w:bodyDiv w:val="1"/>
      <w:marLeft w:val="0"/>
      <w:marRight w:val="0"/>
      <w:marTop w:val="0"/>
      <w:marBottom w:val="0"/>
      <w:divBdr>
        <w:top w:val="none" w:sz="0" w:space="0" w:color="auto"/>
        <w:left w:val="none" w:sz="0" w:space="0" w:color="auto"/>
        <w:bottom w:val="none" w:sz="0" w:space="0" w:color="auto"/>
        <w:right w:val="none" w:sz="0" w:space="0" w:color="auto"/>
      </w:divBdr>
    </w:div>
    <w:div w:id="192573748">
      <w:bodyDiv w:val="1"/>
      <w:marLeft w:val="0"/>
      <w:marRight w:val="0"/>
      <w:marTop w:val="0"/>
      <w:marBottom w:val="0"/>
      <w:divBdr>
        <w:top w:val="none" w:sz="0" w:space="0" w:color="auto"/>
        <w:left w:val="none" w:sz="0" w:space="0" w:color="auto"/>
        <w:bottom w:val="none" w:sz="0" w:space="0" w:color="auto"/>
        <w:right w:val="none" w:sz="0" w:space="0" w:color="auto"/>
      </w:divBdr>
    </w:div>
    <w:div w:id="200479690">
      <w:bodyDiv w:val="1"/>
      <w:marLeft w:val="0"/>
      <w:marRight w:val="0"/>
      <w:marTop w:val="0"/>
      <w:marBottom w:val="0"/>
      <w:divBdr>
        <w:top w:val="none" w:sz="0" w:space="0" w:color="auto"/>
        <w:left w:val="none" w:sz="0" w:space="0" w:color="auto"/>
        <w:bottom w:val="none" w:sz="0" w:space="0" w:color="auto"/>
        <w:right w:val="none" w:sz="0" w:space="0" w:color="auto"/>
      </w:divBdr>
      <w:divsChild>
        <w:div w:id="1955401122">
          <w:marLeft w:val="0"/>
          <w:marRight w:val="0"/>
          <w:marTop w:val="0"/>
          <w:marBottom w:val="0"/>
          <w:divBdr>
            <w:top w:val="none" w:sz="0" w:space="0" w:color="auto"/>
            <w:left w:val="none" w:sz="0" w:space="0" w:color="auto"/>
            <w:bottom w:val="none" w:sz="0" w:space="0" w:color="auto"/>
            <w:right w:val="none" w:sz="0" w:space="0" w:color="auto"/>
          </w:divBdr>
          <w:divsChild>
            <w:div w:id="1354108398">
              <w:marLeft w:val="0"/>
              <w:marRight w:val="0"/>
              <w:marTop w:val="0"/>
              <w:marBottom w:val="0"/>
              <w:divBdr>
                <w:top w:val="none" w:sz="0" w:space="0" w:color="auto"/>
                <w:left w:val="none" w:sz="0" w:space="0" w:color="auto"/>
                <w:bottom w:val="none" w:sz="0" w:space="0" w:color="auto"/>
                <w:right w:val="none" w:sz="0" w:space="0" w:color="auto"/>
              </w:divBdr>
              <w:divsChild>
                <w:div w:id="1628581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9114340">
      <w:bodyDiv w:val="1"/>
      <w:marLeft w:val="0"/>
      <w:marRight w:val="0"/>
      <w:marTop w:val="0"/>
      <w:marBottom w:val="0"/>
      <w:divBdr>
        <w:top w:val="none" w:sz="0" w:space="0" w:color="auto"/>
        <w:left w:val="none" w:sz="0" w:space="0" w:color="auto"/>
        <w:bottom w:val="none" w:sz="0" w:space="0" w:color="auto"/>
        <w:right w:val="none" w:sz="0" w:space="0" w:color="auto"/>
      </w:divBdr>
    </w:div>
    <w:div w:id="423232296">
      <w:bodyDiv w:val="1"/>
      <w:marLeft w:val="0"/>
      <w:marRight w:val="0"/>
      <w:marTop w:val="0"/>
      <w:marBottom w:val="0"/>
      <w:divBdr>
        <w:top w:val="none" w:sz="0" w:space="0" w:color="auto"/>
        <w:left w:val="none" w:sz="0" w:space="0" w:color="auto"/>
        <w:bottom w:val="none" w:sz="0" w:space="0" w:color="auto"/>
        <w:right w:val="none" w:sz="0" w:space="0" w:color="auto"/>
      </w:divBdr>
    </w:div>
    <w:div w:id="433206338">
      <w:bodyDiv w:val="1"/>
      <w:marLeft w:val="0"/>
      <w:marRight w:val="0"/>
      <w:marTop w:val="0"/>
      <w:marBottom w:val="0"/>
      <w:divBdr>
        <w:top w:val="none" w:sz="0" w:space="0" w:color="auto"/>
        <w:left w:val="none" w:sz="0" w:space="0" w:color="auto"/>
        <w:bottom w:val="none" w:sz="0" w:space="0" w:color="auto"/>
        <w:right w:val="none" w:sz="0" w:space="0" w:color="auto"/>
      </w:divBdr>
    </w:div>
    <w:div w:id="443155312">
      <w:bodyDiv w:val="1"/>
      <w:marLeft w:val="0"/>
      <w:marRight w:val="0"/>
      <w:marTop w:val="0"/>
      <w:marBottom w:val="0"/>
      <w:divBdr>
        <w:top w:val="none" w:sz="0" w:space="0" w:color="auto"/>
        <w:left w:val="none" w:sz="0" w:space="0" w:color="auto"/>
        <w:bottom w:val="none" w:sz="0" w:space="0" w:color="auto"/>
        <w:right w:val="none" w:sz="0" w:space="0" w:color="auto"/>
      </w:divBdr>
      <w:divsChild>
        <w:div w:id="1535458732">
          <w:marLeft w:val="0"/>
          <w:marRight w:val="0"/>
          <w:marTop w:val="0"/>
          <w:marBottom w:val="0"/>
          <w:divBdr>
            <w:top w:val="none" w:sz="0" w:space="0" w:color="auto"/>
            <w:left w:val="none" w:sz="0" w:space="0" w:color="auto"/>
            <w:bottom w:val="none" w:sz="0" w:space="0" w:color="auto"/>
            <w:right w:val="none" w:sz="0" w:space="0" w:color="auto"/>
          </w:divBdr>
          <w:divsChild>
            <w:div w:id="1671565709">
              <w:marLeft w:val="0"/>
              <w:marRight w:val="0"/>
              <w:marTop w:val="0"/>
              <w:marBottom w:val="0"/>
              <w:divBdr>
                <w:top w:val="none" w:sz="0" w:space="0" w:color="auto"/>
                <w:left w:val="none" w:sz="0" w:space="0" w:color="auto"/>
                <w:bottom w:val="none" w:sz="0" w:space="0" w:color="auto"/>
                <w:right w:val="none" w:sz="0" w:space="0" w:color="auto"/>
              </w:divBdr>
              <w:divsChild>
                <w:div w:id="467354775">
                  <w:marLeft w:val="0"/>
                  <w:marRight w:val="0"/>
                  <w:marTop w:val="0"/>
                  <w:marBottom w:val="0"/>
                  <w:divBdr>
                    <w:top w:val="none" w:sz="0" w:space="0" w:color="auto"/>
                    <w:left w:val="none" w:sz="0" w:space="0" w:color="auto"/>
                    <w:bottom w:val="none" w:sz="0" w:space="0" w:color="auto"/>
                    <w:right w:val="none" w:sz="0" w:space="0" w:color="auto"/>
                  </w:divBdr>
                  <w:divsChild>
                    <w:div w:id="32121025">
                      <w:marLeft w:val="150"/>
                      <w:marRight w:val="150"/>
                      <w:marTop w:val="0"/>
                      <w:marBottom w:val="0"/>
                      <w:divBdr>
                        <w:top w:val="none" w:sz="0" w:space="0" w:color="auto"/>
                        <w:left w:val="none" w:sz="0" w:space="0" w:color="auto"/>
                        <w:bottom w:val="none" w:sz="0" w:space="0" w:color="auto"/>
                        <w:right w:val="none" w:sz="0" w:space="0" w:color="auto"/>
                      </w:divBdr>
                      <w:divsChild>
                        <w:div w:id="1060859988">
                          <w:marLeft w:val="0"/>
                          <w:marRight w:val="0"/>
                          <w:marTop w:val="0"/>
                          <w:marBottom w:val="0"/>
                          <w:divBdr>
                            <w:top w:val="none" w:sz="0" w:space="0" w:color="auto"/>
                            <w:left w:val="none" w:sz="0" w:space="0" w:color="auto"/>
                            <w:bottom w:val="none" w:sz="0" w:space="0" w:color="auto"/>
                            <w:right w:val="none" w:sz="0" w:space="0" w:color="auto"/>
                          </w:divBdr>
                          <w:divsChild>
                            <w:div w:id="1767534321">
                              <w:marLeft w:val="0"/>
                              <w:marRight w:val="0"/>
                              <w:marTop w:val="0"/>
                              <w:marBottom w:val="240"/>
                              <w:divBdr>
                                <w:top w:val="none" w:sz="0" w:space="0" w:color="auto"/>
                                <w:left w:val="none" w:sz="0" w:space="0" w:color="auto"/>
                                <w:bottom w:val="none" w:sz="0" w:space="0" w:color="auto"/>
                                <w:right w:val="none" w:sz="0" w:space="0" w:color="auto"/>
                              </w:divBdr>
                              <w:divsChild>
                                <w:div w:id="1570530073">
                                  <w:marLeft w:val="0"/>
                                  <w:marRight w:val="0"/>
                                  <w:marTop w:val="0"/>
                                  <w:marBottom w:val="0"/>
                                  <w:divBdr>
                                    <w:top w:val="none" w:sz="0" w:space="0" w:color="auto"/>
                                    <w:left w:val="none" w:sz="0" w:space="0" w:color="auto"/>
                                    <w:bottom w:val="none" w:sz="0" w:space="0" w:color="auto"/>
                                    <w:right w:val="none" w:sz="0" w:space="0" w:color="auto"/>
                                  </w:divBdr>
                                  <w:divsChild>
                                    <w:div w:id="2032536282">
                                      <w:marLeft w:val="0"/>
                                      <w:marRight w:val="0"/>
                                      <w:marTop w:val="0"/>
                                      <w:marBottom w:val="0"/>
                                      <w:divBdr>
                                        <w:top w:val="none" w:sz="0" w:space="0" w:color="auto"/>
                                        <w:left w:val="none" w:sz="0" w:space="0" w:color="auto"/>
                                        <w:bottom w:val="none" w:sz="0" w:space="0" w:color="auto"/>
                                        <w:right w:val="none" w:sz="0" w:space="0" w:color="auto"/>
                                      </w:divBdr>
                                      <w:divsChild>
                                        <w:div w:id="1381520219">
                                          <w:marLeft w:val="0"/>
                                          <w:marRight w:val="0"/>
                                          <w:marTop w:val="0"/>
                                          <w:marBottom w:val="0"/>
                                          <w:divBdr>
                                            <w:top w:val="none" w:sz="0" w:space="0" w:color="auto"/>
                                            <w:left w:val="none" w:sz="0" w:space="0" w:color="auto"/>
                                            <w:bottom w:val="none" w:sz="0" w:space="0" w:color="auto"/>
                                            <w:right w:val="none" w:sz="0" w:space="0" w:color="auto"/>
                                          </w:divBdr>
                                          <w:divsChild>
                                            <w:div w:id="196041897">
                                              <w:marLeft w:val="0"/>
                                              <w:marRight w:val="0"/>
                                              <w:marTop w:val="0"/>
                                              <w:marBottom w:val="0"/>
                                              <w:divBdr>
                                                <w:top w:val="none" w:sz="0" w:space="0" w:color="auto"/>
                                                <w:left w:val="none" w:sz="0" w:space="0" w:color="auto"/>
                                                <w:bottom w:val="none" w:sz="0" w:space="0" w:color="auto"/>
                                                <w:right w:val="none" w:sz="0" w:space="0" w:color="auto"/>
                                              </w:divBdr>
                                              <w:divsChild>
                                                <w:div w:id="1710297940">
                                                  <w:marLeft w:val="0"/>
                                                  <w:marRight w:val="0"/>
                                                  <w:marTop w:val="0"/>
                                                  <w:marBottom w:val="0"/>
                                                  <w:divBdr>
                                                    <w:top w:val="none" w:sz="0" w:space="0" w:color="auto"/>
                                                    <w:left w:val="none" w:sz="0" w:space="0" w:color="auto"/>
                                                    <w:bottom w:val="none" w:sz="0" w:space="0" w:color="auto"/>
                                                    <w:right w:val="none" w:sz="0" w:space="0" w:color="auto"/>
                                                  </w:divBdr>
                                                  <w:divsChild>
                                                    <w:div w:id="521165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73134403">
      <w:bodyDiv w:val="1"/>
      <w:marLeft w:val="0"/>
      <w:marRight w:val="0"/>
      <w:marTop w:val="0"/>
      <w:marBottom w:val="0"/>
      <w:divBdr>
        <w:top w:val="none" w:sz="0" w:space="0" w:color="auto"/>
        <w:left w:val="none" w:sz="0" w:space="0" w:color="auto"/>
        <w:bottom w:val="none" w:sz="0" w:space="0" w:color="auto"/>
        <w:right w:val="none" w:sz="0" w:space="0" w:color="auto"/>
      </w:divBdr>
      <w:divsChild>
        <w:div w:id="1523975940">
          <w:marLeft w:val="0"/>
          <w:marRight w:val="0"/>
          <w:marTop w:val="0"/>
          <w:marBottom w:val="0"/>
          <w:divBdr>
            <w:top w:val="none" w:sz="0" w:space="0" w:color="auto"/>
            <w:left w:val="none" w:sz="0" w:space="0" w:color="auto"/>
            <w:bottom w:val="none" w:sz="0" w:space="0" w:color="auto"/>
            <w:right w:val="none" w:sz="0" w:space="0" w:color="auto"/>
          </w:divBdr>
          <w:divsChild>
            <w:div w:id="755445732">
              <w:marLeft w:val="0"/>
              <w:marRight w:val="0"/>
              <w:marTop w:val="0"/>
              <w:marBottom w:val="0"/>
              <w:divBdr>
                <w:top w:val="none" w:sz="0" w:space="0" w:color="auto"/>
                <w:left w:val="none" w:sz="0" w:space="0" w:color="auto"/>
                <w:bottom w:val="none" w:sz="0" w:space="0" w:color="auto"/>
                <w:right w:val="none" w:sz="0" w:space="0" w:color="auto"/>
              </w:divBdr>
              <w:divsChild>
                <w:div w:id="2106067896">
                  <w:marLeft w:val="0"/>
                  <w:marRight w:val="0"/>
                  <w:marTop w:val="0"/>
                  <w:marBottom w:val="0"/>
                  <w:divBdr>
                    <w:top w:val="none" w:sz="0" w:space="0" w:color="auto"/>
                    <w:left w:val="none" w:sz="0" w:space="0" w:color="auto"/>
                    <w:bottom w:val="none" w:sz="0" w:space="0" w:color="auto"/>
                    <w:right w:val="none" w:sz="0" w:space="0" w:color="auto"/>
                  </w:divBdr>
                  <w:divsChild>
                    <w:div w:id="1043404184">
                      <w:marLeft w:val="150"/>
                      <w:marRight w:val="150"/>
                      <w:marTop w:val="0"/>
                      <w:marBottom w:val="0"/>
                      <w:divBdr>
                        <w:top w:val="none" w:sz="0" w:space="0" w:color="auto"/>
                        <w:left w:val="none" w:sz="0" w:space="0" w:color="auto"/>
                        <w:bottom w:val="none" w:sz="0" w:space="0" w:color="auto"/>
                        <w:right w:val="none" w:sz="0" w:space="0" w:color="auto"/>
                      </w:divBdr>
                      <w:divsChild>
                        <w:div w:id="1530677405">
                          <w:marLeft w:val="0"/>
                          <w:marRight w:val="0"/>
                          <w:marTop w:val="0"/>
                          <w:marBottom w:val="0"/>
                          <w:divBdr>
                            <w:top w:val="none" w:sz="0" w:space="0" w:color="auto"/>
                            <w:left w:val="none" w:sz="0" w:space="0" w:color="auto"/>
                            <w:bottom w:val="none" w:sz="0" w:space="0" w:color="auto"/>
                            <w:right w:val="none" w:sz="0" w:space="0" w:color="auto"/>
                          </w:divBdr>
                          <w:divsChild>
                            <w:div w:id="630987353">
                              <w:marLeft w:val="0"/>
                              <w:marRight w:val="0"/>
                              <w:marTop w:val="0"/>
                              <w:marBottom w:val="240"/>
                              <w:divBdr>
                                <w:top w:val="none" w:sz="0" w:space="0" w:color="auto"/>
                                <w:left w:val="none" w:sz="0" w:space="0" w:color="auto"/>
                                <w:bottom w:val="none" w:sz="0" w:space="0" w:color="auto"/>
                                <w:right w:val="none" w:sz="0" w:space="0" w:color="auto"/>
                              </w:divBdr>
                              <w:divsChild>
                                <w:div w:id="998996087">
                                  <w:marLeft w:val="0"/>
                                  <w:marRight w:val="0"/>
                                  <w:marTop w:val="0"/>
                                  <w:marBottom w:val="0"/>
                                  <w:divBdr>
                                    <w:top w:val="none" w:sz="0" w:space="0" w:color="auto"/>
                                    <w:left w:val="none" w:sz="0" w:space="0" w:color="auto"/>
                                    <w:bottom w:val="none" w:sz="0" w:space="0" w:color="auto"/>
                                    <w:right w:val="none" w:sz="0" w:space="0" w:color="auto"/>
                                  </w:divBdr>
                                  <w:divsChild>
                                    <w:div w:id="1271472325">
                                      <w:marLeft w:val="0"/>
                                      <w:marRight w:val="0"/>
                                      <w:marTop w:val="0"/>
                                      <w:marBottom w:val="0"/>
                                      <w:divBdr>
                                        <w:top w:val="none" w:sz="0" w:space="0" w:color="auto"/>
                                        <w:left w:val="none" w:sz="0" w:space="0" w:color="auto"/>
                                        <w:bottom w:val="none" w:sz="0" w:space="0" w:color="auto"/>
                                        <w:right w:val="none" w:sz="0" w:space="0" w:color="auto"/>
                                      </w:divBdr>
                                      <w:divsChild>
                                        <w:div w:id="1916351997">
                                          <w:marLeft w:val="0"/>
                                          <w:marRight w:val="0"/>
                                          <w:marTop w:val="0"/>
                                          <w:marBottom w:val="0"/>
                                          <w:divBdr>
                                            <w:top w:val="none" w:sz="0" w:space="0" w:color="auto"/>
                                            <w:left w:val="none" w:sz="0" w:space="0" w:color="auto"/>
                                            <w:bottom w:val="none" w:sz="0" w:space="0" w:color="auto"/>
                                            <w:right w:val="none" w:sz="0" w:space="0" w:color="auto"/>
                                          </w:divBdr>
                                          <w:divsChild>
                                            <w:div w:id="1641301764">
                                              <w:marLeft w:val="0"/>
                                              <w:marRight w:val="0"/>
                                              <w:marTop w:val="0"/>
                                              <w:marBottom w:val="0"/>
                                              <w:divBdr>
                                                <w:top w:val="none" w:sz="0" w:space="0" w:color="auto"/>
                                                <w:left w:val="none" w:sz="0" w:space="0" w:color="auto"/>
                                                <w:bottom w:val="none" w:sz="0" w:space="0" w:color="auto"/>
                                                <w:right w:val="none" w:sz="0" w:space="0" w:color="auto"/>
                                              </w:divBdr>
                                              <w:divsChild>
                                                <w:div w:id="1611277080">
                                                  <w:marLeft w:val="0"/>
                                                  <w:marRight w:val="0"/>
                                                  <w:marTop w:val="0"/>
                                                  <w:marBottom w:val="0"/>
                                                  <w:divBdr>
                                                    <w:top w:val="none" w:sz="0" w:space="0" w:color="auto"/>
                                                    <w:left w:val="none" w:sz="0" w:space="0" w:color="auto"/>
                                                    <w:bottom w:val="none" w:sz="0" w:space="0" w:color="auto"/>
                                                    <w:right w:val="none" w:sz="0" w:space="0" w:color="auto"/>
                                                  </w:divBdr>
                                                  <w:divsChild>
                                                    <w:div w:id="442924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01574570">
      <w:bodyDiv w:val="1"/>
      <w:marLeft w:val="0"/>
      <w:marRight w:val="0"/>
      <w:marTop w:val="0"/>
      <w:marBottom w:val="0"/>
      <w:divBdr>
        <w:top w:val="none" w:sz="0" w:space="0" w:color="auto"/>
        <w:left w:val="none" w:sz="0" w:space="0" w:color="auto"/>
        <w:bottom w:val="none" w:sz="0" w:space="0" w:color="auto"/>
        <w:right w:val="none" w:sz="0" w:space="0" w:color="auto"/>
      </w:divBdr>
      <w:divsChild>
        <w:div w:id="846208874">
          <w:marLeft w:val="0"/>
          <w:marRight w:val="0"/>
          <w:marTop w:val="0"/>
          <w:marBottom w:val="0"/>
          <w:divBdr>
            <w:top w:val="none" w:sz="0" w:space="0" w:color="auto"/>
            <w:left w:val="none" w:sz="0" w:space="0" w:color="auto"/>
            <w:bottom w:val="none" w:sz="0" w:space="0" w:color="auto"/>
            <w:right w:val="none" w:sz="0" w:space="0" w:color="auto"/>
          </w:divBdr>
          <w:divsChild>
            <w:div w:id="359858581">
              <w:marLeft w:val="0"/>
              <w:marRight w:val="0"/>
              <w:marTop w:val="0"/>
              <w:marBottom w:val="0"/>
              <w:divBdr>
                <w:top w:val="none" w:sz="0" w:space="0" w:color="auto"/>
                <w:left w:val="none" w:sz="0" w:space="0" w:color="auto"/>
                <w:bottom w:val="none" w:sz="0" w:space="0" w:color="auto"/>
                <w:right w:val="none" w:sz="0" w:space="0" w:color="auto"/>
              </w:divBdr>
              <w:divsChild>
                <w:div w:id="1307275659">
                  <w:marLeft w:val="0"/>
                  <w:marRight w:val="0"/>
                  <w:marTop w:val="0"/>
                  <w:marBottom w:val="0"/>
                  <w:divBdr>
                    <w:top w:val="none" w:sz="0" w:space="0" w:color="auto"/>
                    <w:left w:val="none" w:sz="0" w:space="0" w:color="auto"/>
                    <w:bottom w:val="none" w:sz="0" w:space="0" w:color="auto"/>
                    <w:right w:val="none" w:sz="0" w:space="0" w:color="auto"/>
                  </w:divBdr>
                  <w:divsChild>
                    <w:div w:id="1067918764">
                      <w:marLeft w:val="150"/>
                      <w:marRight w:val="150"/>
                      <w:marTop w:val="0"/>
                      <w:marBottom w:val="0"/>
                      <w:divBdr>
                        <w:top w:val="none" w:sz="0" w:space="0" w:color="auto"/>
                        <w:left w:val="none" w:sz="0" w:space="0" w:color="auto"/>
                        <w:bottom w:val="none" w:sz="0" w:space="0" w:color="auto"/>
                        <w:right w:val="none" w:sz="0" w:space="0" w:color="auto"/>
                      </w:divBdr>
                      <w:divsChild>
                        <w:div w:id="664207608">
                          <w:marLeft w:val="0"/>
                          <w:marRight w:val="0"/>
                          <w:marTop w:val="0"/>
                          <w:marBottom w:val="0"/>
                          <w:divBdr>
                            <w:top w:val="none" w:sz="0" w:space="0" w:color="auto"/>
                            <w:left w:val="none" w:sz="0" w:space="0" w:color="auto"/>
                            <w:bottom w:val="none" w:sz="0" w:space="0" w:color="auto"/>
                            <w:right w:val="none" w:sz="0" w:space="0" w:color="auto"/>
                          </w:divBdr>
                          <w:divsChild>
                            <w:div w:id="1460994546">
                              <w:marLeft w:val="0"/>
                              <w:marRight w:val="0"/>
                              <w:marTop w:val="0"/>
                              <w:marBottom w:val="240"/>
                              <w:divBdr>
                                <w:top w:val="none" w:sz="0" w:space="0" w:color="auto"/>
                                <w:left w:val="none" w:sz="0" w:space="0" w:color="auto"/>
                                <w:bottom w:val="none" w:sz="0" w:space="0" w:color="auto"/>
                                <w:right w:val="none" w:sz="0" w:space="0" w:color="auto"/>
                              </w:divBdr>
                              <w:divsChild>
                                <w:div w:id="136800519">
                                  <w:marLeft w:val="0"/>
                                  <w:marRight w:val="0"/>
                                  <w:marTop w:val="0"/>
                                  <w:marBottom w:val="0"/>
                                  <w:divBdr>
                                    <w:top w:val="none" w:sz="0" w:space="0" w:color="auto"/>
                                    <w:left w:val="none" w:sz="0" w:space="0" w:color="auto"/>
                                    <w:bottom w:val="none" w:sz="0" w:space="0" w:color="auto"/>
                                    <w:right w:val="none" w:sz="0" w:space="0" w:color="auto"/>
                                  </w:divBdr>
                                  <w:divsChild>
                                    <w:div w:id="1778021468">
                                      <w:marLeft w:val="0"/>
                                      <w:marRight w:val="0"/>
                                      <w:marTop w:val="0"/>
                                      <w:marBottom w:val="0"/>
                                      <w:divBdr>
                                        <w:top w:val="none" w:sz="0" w:space="0" w:color="auto"/>
                                        <w:left w:val="none" w:sz="0" w:space="0" w:color="auto"/>
                                        <w:bottom w:val="none" w:sz="0" w:space="0" w:color="auto"/>
                                        <w:right w:val="none" w:sz="0" w:space="0" w:color="auto"/>
                                      </w:divBdr>
                                      <w:divsChild>
                                        <w:div w:id="325984688">
                                          <w:marLeft w:val="0"/>
                                          <w:marRight w:val="0"/>
                                          <w:marTop w:val="0"/>
                                          <w:marBottom w:val="0"/>
                                          <w:divBdr>
                                            <w:top w:val="none" w:sz="0" w:space="0" w:color="auto"/>
                                            <w:left w:val="none" w:sz="0" w:space="0" w:color="auto"/>
                                            <w:bottom w:val="none" w:sz="0" w:space="0" w:color="auto"/>
                                            <w:right w:val="none" w:sz="0" w:space="0" w:color="auto"/>
                                          </w:divBdr>
                                          <w:divsChild>
                                            <w:div w:id="395056256">
                                              <w:marLeft w:val="0"/>
                                              <w:marRight w:val="0"/>
                                              <w:marTop w:val="0"/>
                                              <w:marBottom w:val="0"/>
                                              <w:divBdr>
                                                <w:top w:val="none" w:sz="0" w:space="0" w:color="auto"/>
                                                <w:left w:val="none" w:sz="0" w:space="0" w:color="auto"/>
                                                <w:bottom w:val="none" w:sz="0" w:space="0" w:color="auto"/>
                                                <w:right w:val="none" w:sz="0" w:space="0" w:color="auto"/>
                                              </w:divBdr>
                                              <w:divsChild>
                                                <w:div w:id="74980578">
                                                  <w:marLeft w:val="0"/>
                                                  <w:marRight w:val="0"/>
                                                  <w:marTop w:val="0"/>
                                                  <w:marBottom w:val="0"/>
                                                  <w:divBdr>
                                                    <w:top w:val="none" w:sz="0" w:space="0" w:color="auto"/>
                                                    <w:left w:val="none" w:sz="0" w:space="0" w:color="auto"/>
                                                    <w:bottom w:val="none" w:sz="0" w:space="0" w:color="auto"/>
                                                    <w:right w:val="none" w:sz="0" w:space="0" w:color="auto"/>
                                                  </w:divBdr>
                                                  <w:divsChild>
                                                    <w:div w:id="1241598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47708104">
      <w:bodyDiv w:val="1"/>
      <w:marLeft w:val="0"/>
      <w:marRight w:val="0"/>
      <w:marTop w:val="0"/>
      <w:marBottom w:val="0"/>
      <w:divBdr>
        <w:top w:val="none" w:sz="0" w:space="0" w:color="auto"/>
        <w:left w:val="none" w:sz="0" w:space="0" w:color="auto"/>
        <w:bottom w:val="none" w:sz="0" w:space="0" w:color="auto"/>
        <w:right w:val="none" w:sz="0" w:space="0" w:color="auto"/>
      </w:divBdr>
    </w:div>
    <w:div w:id="779493430">
      <w:bodyDiv w:val="1"/>
      <w:marLeft w:val="0"/>
      <w:marRight w:val="0"/>
      <w:marTop w:val="0"/>
      <w:marBottom w:val="0"/>
      <w:divBdr>
        <w:top w:val="none" w:sz="0" w:space="0" w:color="auto"/>
        <w:left w:val="none" w:sz="0" w:space="0" w:color="auto"/>
        <w:bottom w:val="none" w:sz="0" w:space="0" w:color="auto"/>
        <w:right w:val="none" w:sz="0" w:space="0" w:color="auto"/>
      </w:divBdr>
    </w:div>
    <w:div w:id="826557684">
      <w:bodyDiv w:val="1"/>
      <w:marLeft w:val="0"/>
      <w:marRight w:val="0"/>
      <w:marTop w:val="0"/>
      <w:marBottom w:val="0"/>
      <w:divBdr>
        <w:top w:val="none" w:sz="0" w:space="0" w:color="auto"/>
        <w:left w:val="none" w:sz="0" w:space="0" w:color="auto"/>
        <w:bottom w:val="none" w:sz="0" w:space="0" w:color="auto"/>
        <w:right w:val="none" w:sz="0" w:space="0" w:color="auto"/>
      </w:divBdr>
    </w:div>
    <w:div w:id="829292660">
      <w:bodyDiv w:val="1"/>
      <w:marLeft w:val="0"/>
      <w:marRight w:val="0"/>
      <w:marTop w:val="0"/>
      <w:marBottom w:val="0"/>
      <w:divBdr>
        <w:top w:val="none" w:sz="0" w:space="0" w:color="auto"/>
        <w:left w:val="none" w:sz="0" w:space="0" w:color="auto"/>
        <w:bottom w:val="none" w:sz="0" w:space="0" w:color="auto"/>
        <w:right w:val="none" w:sz="0" w:space="0" w:color="auto"/>
      </w:divBdr>
    </w:div>
    <w:div w:id="901326581">
      <w:bodyDiv w:val="1"/>
      <w:marLeft w:val="0"/>
      <w:marRight w:val="0"/>
      <w:marTop w:val="0"/>
      <w:marBottom w:val="0"/>
      <w:divBdr>
        <w:top w:val="none" w:sz="0" w:space="0" w:color="auto"/>
        <w:left w:val="none" w:sz="0" w:space="0" w:color="auto"/>
        <w:bottom w:val="none" w:sz="0" w:space="0" w:color="auto"/>
        <w:right w:val="none" w:sz="0" w:space="0" w:color="auto"/>
      </w:divBdr>
    </w:div>
    <w:div w:id="951861804">
      <w:bodyDiv w:val="1"/>
      <w:marLeft w:val="0"/>
      <w:marRight w:val="0"/>
      <w:marTop w:val="0"/>
      <w:marBottom w:val="0"/>
      <w:divBdr>
        <w:top w:val="none" w:sz="0" w:space="0" w:color="auto"/>
        <w:left w:val="none" w:sz="0" w:space="0" w:color="auto"/>
        <w:bottom w:val="none" w:sz="0" w:space="0" w:color="auto"/>
        <w:right w:val="none" w:sz="0" w:space="0" w:color="auto"/>
      </w:divBdr>
      <w:divsChild>
        <w:div w:id="1528327711">
          <w:marLeft w:val="0"/>
          <w:marRight w:val="0"/>
          <w:marTop w:val="0"/>
          <w:marBottom w:val="0"/>
          <w:divBdr>
            <w:top w:val="none" w:sz="0" w:space="0" w:color="auto"/>
            <w:left w:val="none" w:sz="0" w:space="0" w:color="auto"/>
            <w:bottom w:val="none" w:sz="0" w:space="0" w:color="auto"/>
            <w:right w:val="none" w:sz="0" w:space="0" w:color="auto"/>
          </w:divBdr>
          <w:divsChild>
            <w:div w:id="767852432">
              <w:marLeft w:val="0"/>
              <w:marRight w:val="0"/>
              <w:marTop w:val="0"/>
              <w:marBottom w:val="0"/>
              <w:divBdr>
                <w:top w:val="none" w:sz="0" w:space="0" w:color="auto"/>
                <w:left w:val="none" w:sz="0" w:space="0" w:color="auto"/>
                <w:bottom w:val="none" w:sz="0" w:space="0" w:color="auto"/>
                <w:right w:val="none" w:sz="0" w:space="0" w:color="auto"/>
              </w:divBdr>
              <w:divsChild>
                <w:div w:id="140075847">
                  <w:marLeft w:val="0"/>
                  <w:marRight w:val="0"/>
                  <w:marTop w:val="0"/>
                  <w:marBottom w:val="0"/>
                  <w:divBdr>
                    <w:top w:val="none" w:sz="0" w:space="0" w:color="auto"/>
                    <w:left w:val="none" w:sz="0" w:space="0" w:color="auto"/>
                    <w:bottom w:val="none" w:sz="0" w:space="0" w:color="auto"/>
                    <w:right w:val="none" w:sz="0" w:space="0" w:color="auto"/>
                  </w:divBdr>
                  <w:divsChild>
                    <w:div w:id="1735810932">
                      <w:marLeft w:val="150"/>
                      <w:marRight w:val="150"/>
                      <w:marTop w:val="0"/>
                      <w:marBottom w:val="0"/>
                      <w:divBdr>
                        <w:top w:val="none" w:sz="0" w:space="0" w:color="auto"/>
                        <w:left w:val="none" w:sz="0" w:space="0" w:color="auto"/>
                        <w:bottom w:val="none" w:sz="0" w:space="0" w:color="auto"/>
                        <w:right w:val="none" w:sz="0" w:space="0" w:color="auto"/>
                      </w:divBdr>
                      <w:divsChild>
                        <w:div w:id="800264566">
                          <w:marLeft w:val="0"/>
                          <w:marRight w:val="0"/>
                          <w:marTop w:val="0"/>
                          <w:marBottom w:val="0"/>
                          <w:divBdr>
                            <w:top w:val="none" w:sz="0" w:space="0" w:color="auto"/>
                            <w:left w:val="none" w:sz="0" w:space="0" w:color="auto"/>
                            <w:bottom w:val="none" w:sz="0" w:space="0" w:color="auto"/>
                            <w:right w:val="none" w:sz="0" w:space="0" w:color="auto"/>
                          </w:divBdr>
                          <w:divsChild>
                            <w:div w:id="765199501">
                              <w:marLeft w:val="0"/>
                              <w:marRight w:val="0"/>
                              <w:marTop w:val="0"/>
                              <w:marBottom w:val="240"/>
                              <w:divBdr>
                                <w:top w:val="none" w:sz="0" w:space="0" w:color="auto"/>
                                <w:left w:val="none" w:sz="0" w:space="0" w:color="auto"/>
                                <w:bottom w:val="none" w:sz="0" w:space="0" w:color="auto"/>
                                <w:right w:val="none" w:sz="0" w:space="0" w:color="auto"/>
                              </w:divBdr>
                              <w:divsChild>
                                <w:div w:id="1110246508">
                                  <w:marLeft w:val="0"/>
                                  <w:marRight w:val="0"/>
                                  <w:marTop w:val="0"/>
                                  <w:marBottom w:val="0"/>
                                  <w:divBdr>
                                    <w:top w:val="none" w:sz="0" w:space="0" w:color="auto"/>
                                    <w:left w:val="none" w:sz="0" w:space="0" w:color="auto"/>
                                    <w:bottom w:val="none" w:sz="0" w:space="0" w:color="auto"/>
                                    <w:right w:val="none" w:sz="0" w:space="0" w:color="auto"/>
                                  </w:divBdr>
                                  <w:divsChild>
                                    <w:div w:id="1820078839">
                                      <w:marLeft w:val="0"/>
                                      <w:marRight w:val="0"/>
                                      <w:marTop w:val="0"/>
                                      <w:marBottom w:val="0"/>
                                      <w:divBdr>
                                        <w:top w:val="none" w:sz="0" w:space="0" w:color="auto"/>
                                        <w:left w:val="none" w:sz="0" w:space="0" w:color="auto"/>
                                        <w:bottom w:val="none" w:sz="0" w:space="0" w:color="auto"/>
                                        <w:right w:val="none" w:sz="0" w:space="0" w:color="auto"/>
                                      </w:divBdr>
                                      <w:divsChild>
                                        <w:div w:id="1574002040">
                                          <w:marLeft w:val="0"/>
                                          <w:marRight w:val="0"/>
                                          <w:marTop w:val="0"/>
                                          <w:marBottom w:val="0"/>
                                          <w:divBdr>
                                            <w:top w:val="none" w:sz="0" w:space="0" w:color="auto"/>
                                            <w:left w:val="none" w:sz="0" w:space="0" w:color="auto"/>
                                            <w:bottom w:val="none" w:sz="0" w:space="0" w:color="auto"/>
                                            <w:right w:val="none" w:sz="0" w:space="0" w:color="auto"/>
                                          </w:divBdr>
                                          <w:divsChild>
                                            <w:div w:id="1872113233">
                                              <w:marLeft w:val="0"/>
                                              <w:marRight w:val="0"/>
                                              <w:marTop w:val="0"/>
                                              <w:marBottom w:val="0"/>
                                              <w:divBdr>
                                                <w:top w:val="none" w:sz="0" w:space="0" w:color="auto"/>
                                                <w:left w:val="none" w:sz="0" w:space="0" w:color="auto"/>
                                                <w:bottom w:val="none" w:sz="0" w:space="0" w:color="auto"/>
                                                <w:right w:val="none" w:sz="0" w:space="0" w:color="auto"/>
                                              </w:divBdr>
                                              <w:divsChild>
                                                <w:div w:id="2066442480">
                                                  <w:marLeft w:val="0"/>
                                                  <w:marRight w:val="0"/>
                                                  <w:marTop w:val="0"/>
                                                  <w:marBottom w:val="0"/>
                                                  <w:divBdr>
                                                    <w:top w:val="none" w:sz="0" w:space="0" w:color="auto"/>
                                                    <w:left w:val="none" w:sz="0" w:space="0" w:color="auto"/>
                                                    <w:bottom w:val="none" w:sz="0" w:space="0" w:color="auto"/>
                                                    <w:right w:val="none" w:sz="0" w:space="0" w:color="auto"/>
                                                  </w:divBdr>
                                                  <w:divsChild>
                                                    <w:div w:id="997734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80757965">
      <w:bodyDiv w:val="1"/>
      <w:marLeft w:val="0"/>
      <w:marRight w:val="0"/>
      <w:marTop w:val="0"/>
      <w:marBottom w:val="0"/>
      <w:divBdr>
        <w:top w:val="none" w:sz="0" w:space="0" w:color="auto"/>
        <w:left w:val="none" w:sz="0" w:space="0" w:color="auto"/>
        <w:bottom w:val="none" w:sz="0" w:space="0" w:color="auto"/>
        <w:right w:val="none" w:sz="0" w:space="0" w:color="auto"/>
      </w:divBdr>
    </w:div>
    <w:div w:id="1228104230">
      <w:bodyDiv w:val="1"/>
      <w:marLeft w:val="0"/>
      <w:marRight w:val="0"/>
      <w:marTop w:val="0"/>
      <w:marBottom w:val="0"/>
      <w:divBdr>
        <w:top w:val="none" w:sz="0" w:space="0" w:color="auto"/>
        <w:left w:val="none" w:sz="0" w:space="0" w:color="auto"/>
        <w:bottom w:val="none" w:sz="0" w:space="0" w:color="auto"/>
        <w:right w:val="none" w:sz="0" w:space="0" w:color="auto"/>
      </w:divBdr>
    </w:div>
    <w:div w:id="1490755300">
      <w:bodyDiv w:val="1"/>
      <w:marLeft w:val="0"/>
      <w:marRight w:val="0"/>
      <w:marTop w:val="0"/>
      <w:marBottom w:val="0"/>
      <w:divBdr>
        <w:top w:val="none" w:sz="0" w:space="0" w:color="auto"/>
        <w:left w:val="none" w:sz="0" w:space="0" w:color="auto"/>
        <w:bottom w:val="none" w:sz="0" w:space="0" w:color="auto"/>
        <w:right w:val="none" w:sz="0" w:space="0" w:color="auto"/>
      </w:divBdr>
    </w:div>
    <w:div w:id="1495681048">
      <w:bodyDiv w:val="1"/>
      <w:marLeft w:val="0"/>
      <w:marRight w:val="0"/>
      <w:marTop w:val="0"/>
      <w:marBottom w:val="0"/>
      <w:divBdr>
        <w:top w:val="none" w:sz="0" w:space="0" w:color="auto"/>
        <w:left w:val="none" w:sz="0" w:space="0" w:color="auto"/>
        <w:bottom w:val="none" w:sz="0" w:space="0" w:color="auto"/>
        <w:right w:val="none" w:sz="0" w:space="0" w:color="auto"/>
      </w:divBdr>
    </w:div>
    <w:div w:id="1716856307">
      <w:bodyDiv w:val="1"/>
      <w:marLeft w:val="0"/>
      <w:marRight w:val="0"/>
      <w:marTop w:val="0"/>
      <w:marBottom w:val="0"/>
      <w:divBdr>
        <w:top w:val="none" w:sz="0" w:space="0" w:color="auto"/>
        <w:left w:val="none" w:sz="0" w:space="0" w:color="auto"/>
        <w:bottom w:val="none" w:sz="0" w:space="0" w:color="auto"/>
        <w:right w:val="none" w:sz="0" w:space="0" w:color="auto"/>
      </w:divBdr>
    </w:div>
    <w:div w:id="18995139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http://www.environment.gov.au/water/cewo/local-engagement" TargetMode="External"/><Relationship Id="rId26" Type="http://schemas.openxmlformats.org/officeDocument/2006/relationships/footer" Target="footer4.xml"/><Relationship Id="rId39" Type="http://schemas.openxmlformats.org/officeDocument/2006/relationships/hyperlink" Target="http://www.environment.gov.au/water/cewo/catchment/northern-victorian-rivers/monitoring" TargetMode="External"/><Relationship Id="rId3" Type="http://schemas.openxmlformats.org/officeDocument/2006/relationships/styles" Target="styles.xml"/><Relationship Id="rId21" Type="http://schemas.openxmlformats.org/officeDocument/2006/relationships/hyperlink" Target="http://www.environment.gov.au/water/cewo/publications/environmental-water-outcomes-framework" TargetMode="External"/><Relationship Id="rId34" Type="http://schemas.openxmlformats.org/officeDocument/2006/relationships/image" Target="media/image8.png"/><Relationship Id="rId42" Type="http://schemas.openxmlformats.org/officeDocument/2006/relationships/image" Target="media/image9.png"/><Relationship Id="rId47" Type="http://schemas.openxmlformats.org/officeDocument/2006/relationships/image" Target="media/image13.jpe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hyperlink" Target="http://www.environment.gov.au/water/cewo/publications" TargetMode="External"/><Relationship Id="rId25" Type="http://schemas.openxmlformats.org/officeDocument/2006/relationships/image" Target="media/image4.jpeg"/><Relationship Id="rId33" Type="http://schemas.openxmlformats.org/officeDocument/2006/relationships/hyperlink" Target="http://www.environment.gov.au/water/cewo/monitoring" TargetMode="External"/><Relationship Id="rId38" Type="http://schemas.openxmlformats.org/officeDocument/2006/relationships/hyperlink" Target="http://www.environment.gov.au/water/cewo/catchment/mid-murray/monitoring" TargetMode="External"/><Relationship Id="rId46" Type="http://schemas.openxmlformats.org/officeDocument/2006/relationships/hyperlink" Target="https://www.mdba.gov.au/publications/mdba-reports/basin-wide-environmental-watering-strategy-2014" TargetMode="Externa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hyperlink" Target="mailto:ewater@environment.gov.au" TargetMode="External"/><Relationship Id="rId29" Type="http://schemas.openxmlformats.org/officeDocument/2006/relationships/hyperlink" Target="http://www.environment.gov.au/water/cewo/publications/framework-determining-cew-use" TargetMode="External"/><Relationship Id="rId41" Type="http://schemas.openxmlformats.org/officeDocument/2006/relationships/hyperlink" Target="http://www.environment.gov.au/water/cewo/catchment/northern-unregulated-rivers/monitorin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hyperlink" Target="http://www.environment.gov.au/water/cewo" TargetMode="External"/><Relationship Id="rId32" Type="http://schemas.openxmlformats.org/officeDocument/2006/relationships/image" Target="media/image7.png"/><Relationship Id="rId37" Type="http://schemas.openxmlformats.org/officeDocument/2006/relationships/hyperlink" Target="http://www.environment.gov.au/water/cewo/catchment/murrumbidgee/monitoring" TargetMode="External"/><Relationship Id="rId40" Type="http://schemas.openxmlformats.org/officeDocument/2006/relationships/hyperlink" Target="http://www.environment.gov.au/water/cewo/catchment/lower-murray-darling/monitoring" TargetMode="External"/><Relationship Id="rId45" Type="http://schemas.openxmlformats.org/officeDocument/2006/relationships/image" Target="media/image12.emf"/><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hyperlink" Target="http://www.environment.gov.au/water/cewo/about/water-holdings" TargetMode="External"/><Relationship Id="rId28" Type="http://schemas.openxmlformats.org/officeDocument/2006/relationships/image" Target="media/image6.png"/><Relationship Id="rId36" Type="http://schemas.openxmlformats.org/officeDocument/2006/relationships/hyperlink" Target="http://www.environment.gov.au/water/cewo/catchment/lachlan/monitoring" TargetMode="External"/><Relationship Id="rId49" Type="http://schemas.openxmlformats.org/officeDocument/2006/relationships/hyperlink" Target="http://www.environment.gov.au/water/cewo" TargetMode="External"/><Relationship Id="rId10" Type="http://schemas.openxmlformats.org/officeDocument/2006/relationships/header" Target="header1.xml"/><Relationship Id="rId19" Type="http://schemas.openxmlformats.org/officeDocument/2006/relationships/hyperlink" Target="http://www.environment.gov.au/ewater/partners/index.html" TargetMode="External"/><Relationship Id="rId31" Type="http://schemas.openxmlformats.org/officeDocument/2006/relationships/hyperlink" Target="http://www.environment.gov.au/water/cewo/trade" TargetMode="External"/><Relationship Id="rId44" Type="http://schemas.openxmlformats.org/officeDocument/2006/relationships/image" Target="media/image11.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eader" Target="header3.xml"/><Relationship Id="rId22" Type="http://schemas.openxmlformats.org/officeDocument/2006/relationships/hyperlink" Target="http://www.mdba.gov.au/managing-water/environmental-water/basin-annual-environmental-watering-priorities" TargetMode="External"/><Relationship Id="rId27" Type="http://schemas.openxmlformats.org/officeDocument/2006/relationships/image" Target="media/image5.png"/><Relationship Id="rId30" Type="http://schemas.openxmlformats.org/officeDocument/2006/relationships/hyperlink" Target="http://www.environment.gov.au/water/cewo/trade/trading-framework" TargetMode="External"/><Relationship Id="rId35" Type="http://schemas.openxmlformats.org/officeDocument/2006/relationships/hyperlink" Target="http://www.environment.gov.au/water/cewo/catchment/gwydir/monitoring" TargetMode="External"/><Relationship Id="rId43" Type="http://schemas.openxmlformats.org/officeDocument/2006/relationships/image" Target="media/image10.emf"/><Relationship Id="rId48" Type="http://schemas.openxmlformats.org/officeDocument/2006/relationships/hyperlink" Target="mailto:ewater@environment.gov.au" TargetMode="External"/><Relationship Id="rId8" Type="http://schemas.openxmlformats.org/officeDocument/2006/relationships/image" Target="media/image1.png"/><Relationship Id="rId5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9492E4-6F3E-42E4-AD17-B41BF06AAD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C99C26DF.dotm</Template>
  <TotalTime>1</TotalTime>
  <Pages>29</Pages>
  <Words>10246</Words>
  <Characters>58406</Characters>
  <Application>Microsoft Office Word</Application>
  <DocSecurity>0</DocSecurity>
  <Lines>486</Lines>
  <Paragraphs>137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68515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Approach to planning for the use, carryover and trade of Commonwealth environmental water</dc:title>
  <dc:creator>Commonwealth Environmental Water Office</dc:creator>
  <cp:lastModifiedBy>Durack, Bec</cp:lastModifiedBy>
  <cp:revision>2</cp:revision>
  <dcterms:created xsi:type="dcterms:W3CDTF">2018-07-11T01:50:00Z</dcterms:created>
  <dcterms:modified xsi:type="dcterms:W3CDTF">2018-07-11T01:51:00Z</dcterms:modified>
</cp:coreProperties>
</file>