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F97C" w14:textId="77777777" w:rsidR="00562E8D" w:rsidRDefault="00562E8D" w:rsidP="00562E8D">
      <w:pPr>
        <w:pStyle w:val="BodyText"/>
      </w:pPr>
      <w:r>
        <w:rPr>
          <w:noProof/>
        </w:rPr>
        <w:drawing>
          <wp:inline distT="0" distB="0" distL="0" distR="0" wp14:anchorId="5E5EFE73" wp14:editId="7D5463A1">
            <wp:extent cx="2520000" cy="968400"/>
            <wp:effectExtent l="0" t="0" r="0" b="0"/>
            <wp:docPr id="480967231" name="Picture 480967231"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of Agriculture, Fisheries and Forestry"/>
                    <pic:cNvPicPr/>
                  </pic:nvPicPr>
                  <pic:blipFill>
                    <a:blip r:embed="rId11">
                      <a:extLst>
                        <a:ext uri="{28A0092B-C50C-407E-A947-70E740481C1C}">
                          <a14:useLocalDpi xmlns:a14="http://schemas.microsoft.com/office/drawing/2010/main" val="0"/>
                        </a:ext>
                      </a:extLst>
                    </a:blip>
                    <a:stretch>
                      <a:fillRect/>
                    </a:stretch>
                  </pic:blipFill>
                  <pic:spPr>
                    <a:xfrm>
                      <a:off x="0" y="0"/>
                      <a:ext cx="2520000" cy="968400"/>
                    </a:xfrm>
                    <a:prstGeom prst="rect">
                      <a:avLst/>
                    </a:prstGeom>
                    <a:ln>
                      <a:noFill/>
                    </a:ln>
                  </pic:spPr>
                </pic:pic>
              </a:graphicData>
            </a:graphic>
          </wp:inline>
        </w:drawing>
      </w:r>
    </w:p>
    <w:p w14:paraId="43B6FEEF" w14:textId="77777777" w:rsidR="00562E8D" w:rsidRPr="002F43E4" w:rsidRDefault="00562E8D" w:rsidP="00562E8D">
      <w:pPr>
        <w:pStyle w:val="BodyText"/>
        <w:shd w:val="clear" w:color="auto" w:fill="A75A1B"/>
        <w:jc w:val="center"/>
        <w:rPr>
          <w:rFonts w:ascii="Cambria" w:hAnsi="Cambria"/>
          <w:b/>
          <w:bCs/>
          <w:color w:val="FFFFFF" w:themeColor="background1"/>
          <w:sz w:val="48"/>
          <w:szCs w:val="48"/>
        </w:rPr>
      </w:pPr>
      <w:r w:rsidRPr="002F43E4">
        <w:rPr>
          <w:rFonts w:ascii="Cambria" w:hAnsi="Cambria"/>
          <w:b/>
          <w:bCs/>
          <w:color w:val="FFFFFF" w:themeColor="background1"/>
          <w:sz w:val="48"/>
          <w:szCs w:val="48"/>
        </w:rPr>
        <w:t>Export</w:t>
      </w:r>
      <w:r>
        <w:rPr>
          <w:rFonts w:ascii="Cambria" w:hAnsi="Cambria"/>
          <w:b/>
          <w:bCs/>
          <w:color w:val="FFFFFF" w:themeColor="background1"/>
          <w:sz w:val="48"/>
          <w:szCs w:val="48"/>
        </w:rPr>
        <w:t>s</w:t>
      </w:r>
      <w:r w:rsidRPr="002F43E4">
        <w:rPr>
          <w:rFonts w:ascii="Cambria" w:hAnsi="Cambria"/>
          <w:b/>
          <w:bCs/>
          <w:color w:val="FFFFFF" w:themeColor="background1"/>
          <w:sz w:val="48"/>
          <w:szCs w:val="48"/>
        </w:rPr>
        <w:t xml:space="preserve"> process instruction</w:t>
      </w:r>
    </w:p>
    <w:p w14:paraId="64DD7362" w14:textId="77777777" w:rsidR="00E12E89" w:rsidRDefault="00E12E89" w:rsidP="00E12E89">
      <w:pPr>
        <w:pStyle w:val="Heading1"/>
        <w:spacing w:after="400"/>
        <w:rPr>
          <w:b w:val="0"/>
          <w:sz w:val="24"/>
          <w:szCs w:val="24"/>
        </w:rPr>
      </w:pPr>
      <w:bookmarkStart w:id="0" w:name="_Toc360193309"/>
      <w:bookmarkStart w:id="1" w:name="_Toc360194608"/>
      <w:bookmarkStart w:id="2" w:name="_Toc360195179"/>
      <w:bookmarkStart w:id="3" w:name="_Toc446076653"/>
      <w:r>
        <w:t>Audit of horticulture export accredited properties</w:t>
      </w:r>
      <w:bookmarkEnd w:id="0"/>
      <w:bookmarkEnd w:id="1"/>
      <w:bookmarkEnd w:id="2"/>
    </w:p>
    <w:p w14:paraId="08D93B4C" w14:textId="77777777" w:rsidR="00562E8D" w:rsidRDefault="00562E8D" w:rsidP="00562E8D">
      <w:pPr>
        <w:pStyle w:val="BodyText"/>
        <w:rPr>
          <w:b/>
        </w:rPr>
      </w:pPr>
      <w:r>
        <w:rPr>
          <w:b/>
        </w:rPr>
        <w:t>Direction to staff</w:t>
      </w:r>
    </w:p>
    <w:p w14:paraId="10C47860" w14:textId="77777777" w:rsidR="00562E8D" w:rsidRDefault="00562E8D" w:rsidP="00562E8D">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6E84E4DA" w14:textId="77777777" w:rsidR="00E12E89" w:rsidRDefault="00C645B1" w:rsidP="00E12E89">
      <w:r>
        <w:pict w14:anchorId="66701BB9">
          <v:rect id="_x0000_i1025" style="width:451.3pt;height:3pt" o:hralign="center" o:hrstd="t" o:hrnoshade="t" o:hr="t" fillcolor="#d5d2ca" stroked="f"/>
        </w:pict>
      </w:r>
    </w:p>
    <w:p w14:paraId="1C834608" w14:textId="77777777" w:rsidR="009570AA" w:rsidRDefault="009570AA" w:rsidP="009570AA">
      <w:pPr>
        <w:pStyle w:val="Heading2"/>
      </w:pPr>
      <w:bookmarkStart w:id="4" w:name="_Toc190699420"/>
      <w:r>
        <w:t>Purpose of this document</w:t>
      </w:r>
      <w:bookmarkEnd w:id="4"/>
    </w:p>
    <w:p w14:paraId="73225CD9" w14:textId="4F0720D2" w:rsidR="009570AA" w:rsidRDefault="009570AA" w:rsidP="009570AA">
      <w:pPr>
        <w:pStyle w:val="BodyText"/>
        <w:ind w:right="-448"/>
      </w:pPr>
      <w:r>
        <w:t>This document details the policy and process for the audit of horticulture export accredited properties.</w:t>
      </w:r>
    </w:p>
    <w:p w14:paraId="3DD4DF6D" w14:textId="2760636B" w:rsidR="00E12E89" w:rsidRPr="00522386" w:rsidRDefault="00E12E89" w:rsidP="00E12E89">
      <w:pPr>
        <w:pStyle w:val="BodyText"/>
        <w:spacing w:after="60"/>
      </w:pPr>
      <w:r>
        <w:t>It includes:</w:t>
      </w:r>
    </w:p>
    <w:p w14:paraId="2A8C3656" w14:textId="77777777" w:rsidR="00E12E89" w:rsidRDefault="00E12E89" w:rsidP="00E12E89">
      <w:pPr>
        <w:pStyle w:val="ListBullet"/>
      </w:pPr>
      <w:r>
        <w:t>audit principles</w:t>
      </w:r>
    </w:p>
    <w:p w14:paraId="600D3DA2" w14:textId="77777777" w:rsidR="00E12E89" w:rsidRDefault="00E12E89" w:rsidP="00E12E89">
      <w:pPr>
        <w:pStyle w:val="ListBullet"/>
      </w:pPr>
      <w:r>
        <w:t>audit performance standards</w:t>
      </w:r>
    </w:p>
    <w:p w14:paraId="7702591F" w14:textId="77777777" w:rsidR="00E12E89" w:rsidRDefault="00E12E89" w:rsidP="00E12E89">
      <w:pPr>
        <w:pStyle w:val="ListBullet"/>
      </w:pPr>
      <w:r>
        <w:t>audit types</w:t>
      </w:r>
    </w:p>
    <w:p w14:paraId="30220255" w14:textId="77777777" w:rsidR="00E12E89" w:rsidRDefault="00E12E89" w:rsidP="00E12E89">
      <w:pPr>
        <w:pStyle w:val="ListBullet"/>
      </w:pPr>
      <w:r>
        <w:t>audit process</w:t>
      </w:r>
    </w:p>
    <w:p w14:paraId="23167DD4" w14:textId="77777777" w:rsidR="00E12E89" w:rsidRDefault="00E12E89" w:rsidP="00E12E89">
      <w:pPr>
        <w:pStyle w:val="ListBullet"/>
      </w:pPr>
      <w:r>
        <w:t>non-compliance ratings</w:t>
      </w:r>
    </w:p>
    <w:p w14:paraId="30E5FD37" w14:textId="2979B101" w:rsidR="00E12E89" w:rsidRDefault="00E12E89" w:rsidP="00E12E89">
      <w:pPr>
        <w:pStyle w:val="ListBullet"/>
      </w:pPr>
      <w:r>
        <w:t>review process.</w:t>
      </w:r>
    </w:p>
    <w:p w14:paraId="02300099" w14:textId="77777777" w:rsidR="00E12E89" w:rsidRDefault="00E12E89" w:rsidP="00E12E89">
      <w:pPr>
        <w:spacing w:line="276" w:lineRule="auto"/>
      </w:pPr>
      <w:r>
        <w:t>_______________________________________________________________________________</w:t>
      </w:r>
    </w:p>
    <w:p w14:paraId="0693AA5A" w14:textId="3C884795" w:rsidR="00E12E89" w:rsidRDefault="00562E8D" w:rsidP="00E12E89">
      <w:pPr>
        <w:pStyle w:val="BodyText"/>
        <w:rPr>
          <w:b/>
          <w:sz w:val="30"/>
          <w:szCs w:val="30"/>
        </w:rPr>
      </w:pPr>
      <w:r>
        <w:rPr>
          <w:b/>
          <w:sz w:val="30"/>
          <w:szCs w:val="30"/>
        </w:rPr>
        <w:t>Contents</w:t>
      </w:r>
    </w:p>
    <w:p w14:paraId="69FAFE16" w14:textId="77777777" w:rsidR="00E12E89" w:rsidRDefault="00E12E89" w:rsidP="00E12E89">
      <w:pPr>
        <w:pStyle w:val="TOC1"/>
      </w:pPr>
      <w:r>
        <w:t>This document contains the following topics.</w:t>
      </w:r>
    </w:p>
    <w:p w14:paraId="0FC73949" w14:textId="5619C414" w:rsidR="002B0EF2" w:rsidRDefault="00E12E89">
      <w:pPr>
        <w:pStyle w:val="TOC1"/>
        <w:rPr>
          <w:rFonts w:asciiTheme="minorHAnsi" w:eastAsiaTheme="minorEastAsia" w:hAnsiTheme="minorHAnsi" w:cstheme="minorBidi"/>
          <w:kern w:val="2"/>
          <w:sz w:val="24"/>
          <w:szCs w:val="24"/>
          <w:lang w:val="en-AU" w:eastAsia="en-AU"/>
          <w14:ligatures w14:val="standardContextual"/>
        </w:rPr>
      </w:pPr>
      <w:r>
        <w:rPr>
          <w:b/>
          <w:bCs/>
        </w:rPr>
        <w:fldChar w:fldCharType="begin"/>
      </w:r>
      <w:r>
        <w:rPr>
          <w:b/>
          <w:bCs/>
        </w:rPr>
        <w:instrText xml:space="preserve"> TOC \h \z \t "Heading 2,1,Heading 3,2,Heading 4,3" </w:instrText>
      </w:r>
      <w:r>
        <w:rPr>
          <w:b/>
          <w:bCs/>
        </w:rPr>
        <w:fldChar w:fldCharType="separate"/>
      </w:r>
      <w:hyperlink w:anchor="_Toc190699420" w:history="1">
        <w:r w:rsidR="002B0EF2" w:rsidRPr="003A52F8">
          <w:rPr>
            <w:rStyle w:val="Hyperlink"/>
          </w:rPr>
          <w:t>Purpose of this document</w:t>
        </w:r>
        <w:r w:rsidR="002B0EF2">
          <w:rPr>
            <w:webHidden/>
          </w:rPr>
          <w:tab/>
        </w:r>
        <w:r w:rsidR="002B0EF2">
          <w:rPr>
            <w:webHidden/>
          </w:rPr>
          <w:fldChar w:fldCharType="begin"/>
        </w:r>
        <w:r w:rsidR="002B0EF2">
          <w:rPr>
            <w:webHidden/>
          </w:rPr>
          <w:instrText xml:space="preserve"> PAGEREF _Toc190699420 \h </w:instrText>
        </w:r>
        <w:r w:rsidR="002B0EF2">
          <w:rPr>
            <w:webHidden/>
          </w:rPr>
        </w:r>
        <w:r w:rsidR="002B0EF2">
          <w:rPr>
            <w:webHidden/>
          </w:rPr>
          <w:fldChar w:fldCharType="separate"/>
        </w:r>
        <w:r w:rsidR="00360604">
          <w:rPr>
            <w:webHidden/>
          </w:rPr>
          <w:t>1</w:t>
        </w:r>
        <w:r w:rsidR="002B0EF2">
          <w:rPr>
            <w:webHidden/>
          </w:rPr>
          <w:fldChar w:fldCharType="end"/>
        </w:r>
      </w:hyperlink>
    </w:p>
    <w:p w14:paraId="68ED4EE1" w14:textId="26473FF6"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21" w:history="1">
        <w:r w:rsidRPr="003A52F8">
          <w:rPr>
            <w:rStyle w:val="Hyperlink"/>
          </w:rPr>
          <w:t>Policy statement</w:t>
        </w:r>
        <w:r>
          <w:rPr>
            <w:webHidden/>
          </w:rPr>
          <w:tab/>
        </w:r>
        <w:r>
          <w:rPr>
            <w:webHidden/>
          </w:rPr>
          <w:fldChar w:fldCharType="begin"/>
        </w:r>
        <w:r>
          <w:rPr>
            <w:webHidden/>
          </w:rPr>
          <w:instrText xml:space="preserve"> PAGEREF _Toc190699421 \h </w:instrText>
        </w:r>
        <w:r>
          <w:rPr>
            <w:webHidden/>
          </w:rPr>
        </w:r>
        <w:r>
          <w:rPr>
            <w:webHidden/>
          </w:rPr>
          <w:fldChar w:fldCharType="separate"/>
        </w:r>
        <w:r w:rsidR="00360604">
          <w:rPr>
            <w:webHidden/>
          </w:rPr>
          <w:t>3</w:t>
        </w:r>
        <w:r>
          <w:rPr>
            <w:webHidden/>
          </w:rPr>
          <w:fldChar w:fldCharType="end"/>
        </w:r>
      </w:hyperlink>
    </w:p>
    <w:p w14:paraId="72F7F1C4" w14:textId="0312B3D7"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22" w:history="1">
        <w:r w:rsidRPr="003A52F8">
          <w:rPr>
            <w:rStyle w:val="Hyperlink"/>
          </w:rPr>
          <w:t>Roles and responsibilities</w:t>
        </w:r>
        <w:r>
          <w:rPr>
            <w:webHidden/>
          </w:rPr>
          <w:tab/>
        </w:r>
        <w:r>
          <w:rPr>
            <w:webHidden/>
          </w:rPr>
          <w:fldChar w:fldCharType="begin"/>
        </w:r>
        <w:r>
          <w:rPr>
            <w:webHidden/>
          </w:rPr>
          <w:instrText xml:space="preserve"> PAGEREF _Toc190699422 \h </w:instrText>
        </w:r>
        <w:r>
          <w:rPr>
            <w:webHidden/>
          </w:rPr>
        </w:r>
        <w:r>
          <w:rPr>
            <w:webHidden/>
          </w:rPr>
          <w:fldChar w:fldCharType="separate"/>
        </w:r>
        <w:r w:rsidR="00360604">
          <w:rPr>
            <w:webHidden/>
          </w:rPr>
          <w:t>3</w:t>
        </w:r>
        <w:r>
          <w:rPr>
            <w:webHidden/>
          </w:rPr>
          <w:fldChar w:fldCharType="end"/>
        </w:r>
      </w:hyperlink>
    </w:p>
    <w:p w14:paraId="2D02D8DA" w14:textId="683AC62D"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23" w:history="1">
        <w:r w:rsidRPr="003A52F8">
          <w:rPr>
            <w:rStyle w:val="Hyperlink"/>
          </w:rPr>
          <w:t>Work health and safety</w:t>
        </w:r>
        <w:r>
          <w:rPr>
            <w:webHidden/>
          </w:rPr>
          <w:tab/>
        </w:r>
        <w:r>
          <w:rPr>
            <w:webHidden/>
          </w:rPr>
          <w:fldChar w:fldCharType="begin"/>
        </w:r>
        <w:r>
          <w:rPr>
            <w:webHidden/>
          </w:rPr>
          <w:instrText xml:space="preserve"> PAGEREF _Toc190699423 \h </w:instrText>
        </w:r>
        <w:r>
          <w:rPr>
            <w:webHidden/>
          </w:rPr>
        </w:r>
        <w:r>
          <w:rPr>
            <w:webHidden/>
          </w:rPr>
          <w:fldChar w:fldCharType="separate"/>
        </w:r>
        <w:r w:rsidR="00360604">
          <w:rPr>
            <w:webHidden/>
          </w:rPr>
          <w:t>4</w:t>
        </w:r>
        <w:r>
          <w:rPr>
            <w:webHidden/>
          </w:rPr>
          <w:fldChar w:fldCharType="end"/>
        </w:r>
      </w:hyperlink>
    </w:p>
    <w:p w14:paraId="6145E55B" w14:textId="4F12A5BA"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24" w:history="1">
        <w:r w:rsidRPr="003A52F8">
          <w:rPr>
            <w:rStyle w:val="Hyperlink"/>
          </w:rPr>
          <w:t>Personal protective equipment</w:t>
        </w:r>
        <w:r>
          <w:rPr>
            <w:webHidden/>
          </w:rPr>
          <w:tab/>
        </w:r>
        <w:r>
          <w:rPr>
            <w:webHidden/>
          </w:rPr>
          <w:fldChar w:fldCharType="begin"/>
        </w:r>
        <w:r>
          <w:rPr>
            <w:webHidden/>
          </w:rPr>
          <w:instrText xml:space="preserve"> PAGEREF _Toc190699424 \h </w:instrText>
        </w:r>
        <w:r>
          <w:rPr>
            <w:webHidden/>
          </w:rPr>
        </w:r>
        <w:r>
          <w:rPr>
            <w:webHidden/>
          </w:rPr>
          <w:fldChar w:fldCharType="separate"/>
        </w:r>
        <w:r w:rsidR="00360604">
          <w:rPr>
            <w:webHidden/>
          </w:rPr>
          <w:t>4</w:t>
        </w:r>
        <w:r>
          <w:rPr>
            <w:webHidden/>
          </w:rPr>
          <w:fldChar w:fldCharType="end"/>
        </w:r>
      </w:hyperlink>
    </w:p>
    <w:p w14:paraId="517CBCCF" w14:textId="7BE5EC61"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25" w:history="1">
        <w:r w:rsidRPr="003A52F8">
          <w:rPr>
            <w:rStyle w:val="Hyperlink"/>
          </w:rPr>
          <w:t>WHS reporting requirements</w:t>
        </w:r>
        <w:r>
          <w:rPr>
            <w:webHidden/>
          </w:rPr>
          <w:tab/>
        </w:r>
        <w:r>
          <w:rPr>
            <w:webHidden/>
          </w:rPr>
          <w:fldChar w:fldCharType="begin"/>
        </w:r>
        <w:r>
          <w:rPr>
            <w:webHidden/>
          </w:rPr>
          <w:instrText xml:space="preserve"> PAGEREF _Toc190699425 \h </w:instrText>
        </w:r>
        <w:r>
          <w:rPr>
            <w:webHidden/>
          </w:rPr>
        </w:r>
        <w:r>
          <w:rPr>
            <w:webHidden/>
          </w:rPr>
          <w:fldChar w:fldCharType="separate"/>
        </w:r>
        <w:r w:rsidR="00360604">
          <w:rPr>
            <w:webHidden/>
          </w:rPr>
          <w:t>4</w:t>
        </w:r>
        <w:r>
          <w:rPr>
            <w:webHidden/>
          </w:rPr>
          <w:fldChar w:fldCharType="end"/>
        </w:r>
      </w:hyperlink>
    </w:p>
    <w:p w14:paraId="3964287E" w14:textId="22A76F49"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27" w:history="1">
        <w:r w:rsidRPr="003A52F8">
          <w:rPr>
            <w:rStyle w:val="Hyperlink"/>
          </w:rPr>
          <w:t>Performance standards</w:t>
        </w:r>
        <w:r>
          <w:rPr>
            <w:webHidden/>
          </w:rPr>
          <w:tab/>
        </w:r>
        <w:r>
          <w:rPr>
            <w:webHidden/>
          </w:rPr>
          <w:fldChar w:fldCharType="begin"/>
        </w:r>
        <w:r>
          <w:rPr>
            <w:webHidden/>
          </w:rPr>
          <w:instrText xml:space="preserve"> PAGEREF _Toc190699427 \h </w:instrText>
        </w:r>
        <w:r>
          <w:rPr>
            <w:webHidden/>
          </w:rPr>
        </w:r>
        <w:r>
          <w:rPr>
            <w:webHidden/>
          </w:rPr>
          <w:fldChar w:fldCharType="separate"/>
        </w:r>
        <w:r w:rsidR="00360604">
          <w:rPr>
            <w:webHidden/>
          </w:rPr>
          <w:t>5</w:t>
        </w:r>
        <w:r>
          <w:rPr>
            <w:webHidden/>
          </w:rPr>
          <w:fldChar w:fldCharType="end"/>
        </w:r>
      </w:hyperlink>
    </w:p>
    <w:p w14:paraId="527234B3" w14:textId="1C32DA78"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28" w:history="1">
        <w:r w:rsidRPr="003A52F8">
          <w:rPr>
            <w:rStyle w:val="Hyperlink"/>
          </w:rPr>
          <w:t>Elements</w:t>
        </w:r>
        <w:r>
          <w:rPr>
            <w:webHidden/>
          </w:rPr>
          <w:tab/>
        </w:r>
        <w:r>
          <w:rPr>
            <w:webHidden/>
          </w:rPr>
          <w:fldChar w:fldCharType="begin"/>
        </w:r>
        <w:r>
          <w:rPr>
            <w:webHidden/>
          </w:rPr>
          <w:instrText xml:space="preserve"> PAGEREF _Toc190699428 \h </w:instrText>
        </w:r>
        <w:r>
          <w:rPr>
            <w:webHidden/>
          </w:rPr>
        </w:r>
        <w:r>
          <w:rPr>
            <w:webHidden/>
          </w:rPr>
          <w:fldChar w:fldCharType="separate"/>
        </w:r>
        <w:r w:rsidR="00360604">
          <w:rPr>
            <w:webHidden/>
          </w:rPr>
          <w:t>5</w:t>
        </w:r>
        <w:r>
          <w:rPr>
            <w:webHidden/>
          </w:rPr>
          <w:fldChar w:fldCharType="end"/>
        </w:r>
      </w:hyperlink>
    </w:p>
    <w:p w14:paraId="025CA972" w14:textId="5B587B51"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29" w:history="1">
        <w:r w:rsidRPr="003A52F8">
          <w:rPr>
            <w:rStyle w:val="Hyperlink"/>
          </w:rPr>
          <w:t>Farm elements</w:t>
        </w:r>
        <w:r>
          <w:rPr>
            <w:webHidden/>
          </w:rPr>
          <w:tab/>
        </w:r>
        <w:r>
          <w:rPr>
            <w:webHidden/>
          </w:rPr>
          <w:fldChar w:fldCharType="begin"/>
        </w:r>
        <w:r>
          <w:rPr>
            <w:webHidden/>
          </w:rPr>
          <w:instrText xml:space="preserve"> PAGEREF _Toc190699429 \h </w:instrText>
        </w:r>
        <w:r>
          <w:rPr>
            <w:webHidden/>
          </w:rPr>
        </w:r>
        <w:r>
          <w:rPr>
            <w:webHidden/>
          </w:rPr>
          <w:fldChar w:fldCharType="separate"/>
        </w:r>
        <w:r w:rsidR="00360604">
          <w:rPr>
            <w:webHidden/>
          </w:rPr>
          <w:t>5</w:t>
        </w:r>
        <w:r>
          <w:rPr>
            <w:webHidden/>
          </w:rPr>
          <w:fldChar w:fldCharType="end"/>
        </w:r>
      </w:hyperlink>
    </w:p>
    <w:p w14:paraId="37DD3BE7" w14:textId="7BF47C5C"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30" w:history="1">
        <w:r w:rsidRPr="003A52F8">
          <w:rPr>
            <w:rStyle w:val="Hyperlink"/>
          </w:rPr>
          <w:t>Crop monitoring elements</w:t>
        </w:r>
        <w:r>
          <w:rPr>
            <w:webHidden/>
          </w:rPr>
          <w:tab/>
        </w:r>
        <w:r>
          <w:rPr>
            <w:webHidden/>
          </w:rPr>
          <w:fldChar w:fldCharType="begin"/>
        </w:r>
        <w:r>
          <w:rPr>
            <w:webHidden/>
          </w:rPr>
          <w:instrText xml:space="preserve"> PAGEREF _Toc190699430 \h </w:instrText>
        </w:r>
        <w:r>
          <w:rPr>
            <w:webHidden/>
          </w:rPr>
        </w:r>
        <w:r>
          <w:rPr>
            <w:webHidden/>
          </w:rPr>
          <w:fldChar w:fldCharType="separate"/>
        </w:r>
        <w:r w:rsidR="00360604">
          <w:rPr>
            <w:webHidden/>
          </w:rPr>
          <w:t>5</w:t>
        </w:r>
        <w:r>
          <w:rPr>
            <w:webHidden/>
          </w:rPr>
          <w:fldChar w:fldCharType="end"/>
        </w:r>
      </w:hyperlink>
    </w:p>
    <w:p w14:paraId="3D4FDD52" w14:textId="42B5FE34"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31" w:history="1">
        <w:r w:rsidRPr="003A52F8">
          <w:rPr>
            <w:rStyle w:val="Hyperlink"/>
          </w:rPr>
          <w:t>Packhouse elements</w:t>
        </w:r>
        <w:r>
          <w:rPr>
            <w:webHidden/>
          </w:rPr>
          <w:tab/>
        </w:r>
        <w:r>
          <w:rPr>
            <w:webHidden/>
          </w:rPr>
          <w:fldChar w:fldCharType="begin"/>
        </w:r>
        <w:r>
          <w:rPr>
            <w:webHidden/>
          </w:rPr>
          <w:instrText xml:space="preserve"> PAGEREF _Toc190699431 \h </w:instrText>
        </w:r>
        <w:r>
          <w:rPr>
            <w:webHidden/>
          </w:rPr>
        </w:r>
        <w:r>
          <w:rPr>
            <w:webHidden/>
          </w:rPr>
          <w:fldChar w:fldCharType="separate"/>
        </w:r>
        <w:r w:rsidR="00360604">
          <w:rPr>
            <w:webHidden/>
          </w:rPr>
          <w:t>5</w:t>
        </w:r>
        <w:r>
          <w:rPr>
            <w:webHidden/>
          </w:rPr>
          <w:fldChar w:fldCharType="end"/>
        </w:r>
      </w:hyperlink>
    </w:p>
    <w:p w14:paraId="3BEA5972" w14:textId="3EECB651"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32" w:history="1">
        <w:r w:rsidRPr="003A52F8">
          <w:rPr>
            <w:rStyle w:val="Hyperlink"/>
          </w:rPr>
          <w:t>Packhouse grower supplier model</w:t>
        </w:r>
        <w:r>
          <w:rPr>
            <w:webHidden/>
          </w:rPr>
          <w:tab/>
        </w:r>
        <w:r>
          <w:rPr>
            <w:webHidden/>
          </w:rPr>
          <w:fldChar w:fldCharType="begin"/>
        </w:r>
        <w:r>
          <w:rPr>
            <w:webHidden/>
          </w:rPr>
          <w:instrText xml:space="preserve"> PAGEREF _Toc190699432 \h </w:instrText>
        </w:r>
        <w:r>
          <w:rPr>
            <w:webHidden/>
          </w:rPr>
        </w:r>
        <w:r>
          <w:rPr>
            <w:webHidden/>
          </w:rPr>
          <w:fldChar w:fldCharType="separate"/>
        </w:r>
        <w:r w:rsidR="00360604">
          <w:rPr>
            <w:webHidden/>
          </w:rPr>
          <w:t>5</w:t>
        </w:r>
        <w:r>
          <w:rPr>
            <w:webHidden/>
          </w:rPr>
          <w:fldChar w:fldCharType="end"/>
        </w:r>
      </w:hyperlink>
    </w:p>
    <w:p w14:paraId="28764F45" w14:textId="1C005C3E"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33" w:history="1">
        <w:r w:rsidRPr="003A52F8">
          <w:rPr>
            <w:rStyle w:val="Hyperlink"/>
          </w:rPr>
          <w:t>Recognition of food safety certification for fresh fruit and vegetables</w:t>
        </w:r>
        <w:r>
          <w:rPr>
            <w:webHidden/>
          </w:rPr>
          <w:tab/>
        </w:r>
        <w:r>
          <w:rPr>
            <w:webHidden/>
          </w:rPr>
          <w:fldChar w:fldCharType="begin"/>
        </w:r>
        <w:r>
          <w:rPr>
            <w:webHidden/>
          </w:rPr>
          <w:instrText xml:space="preserve"> PAGEREF _Toc190699433 \h </w:instrText>
        </w:r>
        <w:r>
          <w:rPr>
            <w:webHidden/>
          </w:rPr>
        </w:r>
        <w:r>
          <w:rPr>
            <w:webHidden/>
          </w:rPr>
          <w:fldChar w:fldCharType="separate"/>
        </w:r>
        <w:r w:rsidR="00360604">
          <w:rPr>
            <w:webHidden/>
          </w:rPr>
          <w:t>5</w:t>
        </w:r>
        <w:r>
          <w:rPr>
            <w:webHidden/>
          </w:rPr>
          <w:fldChar w:fldCharType="end"/>
        </w:r>
      </w:hyperlink>
    </w:p>
    <w:p w14:paraId="5DCBD046" w14:textId="1A0392E6"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34" w:history="1">
        <w:r w:rsidRPr="003A52F8">
          <w:rPr>
            <w:rStyle w:val="Hyperlink"/>
          </w:rPr>
          <w:t>Audit types</w:t>
        </w:r>
        <w:r>
          <w:rPr>
            <w:webHidden/>
          </w:rPr>
          <w:tab/>
        </w:r>
        <w:r>
          <w:rPr>
            <w:webHidden/>
          </w:rPr>
          <w:fldChar w:fldCharType="begin"/>
        </w:r>
        <w:r>
          <w:rPr>
            <w:webHidden/>
          </w:rPr>
          <w:instrText xml:space="preserve"> PAGEREF _Toc190699434 \h </w:instrText>
        </w:r>
        <w:r>
          <w:rPr>
            <w:webHidden/>
          </w:rPr>
        </w:r>
        <w:r>
          <w:rPr>
            <w:webHidden/>
          </w:rPr>
          <w:fldChar w:fldCharType="separate"/>
        </w:r>
        <w:r w:rsidR="00360604">
          <w:rPr>
            <w:webHidden/>
          </w:rPr>
          <w:t>6</w:t>
        </w:r>
        <w:r>
          <w:rPr>
            <w:webHidden/>
          </w:rPr>
          <w:fldChar w:fldCharType="end"/>
        </w:r>
      </w:hyperlink>
    </w:p>
    <w:p w14:paraId="6F01EED5" w14:textId="7B242ED0"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35" w:history="1">
        <w:r w:rsidRPr="003A52F8">
          <w:rPr>
            <w:rStyle w:val="Hyperlink"/>
          </w:rPr>
          <w:t>Audit process</w:t>
        </w:r>
        <w:r>
          <w:rPr>
            <w:webHidden/>
          </w:rPr>
          <w:tab/>
        </w:r>
        <w:r>
          <w:rPr>
            <w:webHidden/>
          </w:rPr>
          <w:fldChar w:fldCharType="begin"/>
        </w:r>
        <w:r>
          <w:rPr>
            <w:webHidden/>
          </w:rPr>
          <w:instrText xml:space="preserve"> PAGEREF _Toc190699435 \h </w:instrText>
        </w:r>
        <w:r>
          <w:rPr>
            <w:webHidden/>
          </w:rPr>
        </w:r>
        <w:r>
          <w:rPr>
            <w:webHidden/>
          </w:rPr>
          <w:fldChar w:fldCharType="separate"/>
        </w:r>
        <w:r w:rsidR="00360604">
          <w:rPr>
            <w:webHidden/>
          </w:rPr>
          <w:t>6</w:t>
        </w:r>
        <w:r>
          <w:rPr>
            <w:webHidden/>
          </w:rPr>
          <w:fldChar w:fldCharType="end"/>
        </w:r>
      </w:hyperlink>
    </w:p>
    <w:p w14:paraId="383466AD" w14:textId="406EA885"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36" w:history="1">
        <w:r w:rsidRPr="003A52F8">
          <w:rPr>
            <w:rStyle w:val="Hyperlink"/>
          </w:rPr>
          <w:t>Pre-season audit</w:t>
        </w:r>
        <w:r>
          <w:rPr>
            <w:webHidden/>
          </w:rPr>
          <w:tab/>
        </w:r>
        <w:r>
          <w:rPr>
            <w:webHidden/>
          </w:rPr>
          <w:fldChar w:fldCharType="begin"/>
        </w:r>
        <w:r>
          <w:rPr>
            <w:webHidden/>
          </w:rPr>
          <w:instrText xml:space="preserve"> PAGEREF _Toc190699436 \h </w:instrText>
        </w:r>
        <w:r>
          <w:rPr>
            <w:webHidden/>
          </w:rPr>
        </w:r>
        <w:r>
          <w:rPr>
            <w:webHidden/>
          </w:rPr>
          <w:fldChar w:fldCharType="separate"/>
        </w:r>
        <w:r w:rsidR="00360604">
          <w:rPr>
            <w:webHidden/>
          </w:rPr>
          <w:t>6</w:t>
        </w:r>
        <w:r>
          <w:rPr>
            <w:webHidden/>
          </w:rPr>
          <w:fldChar w:fldCharType="end"/>
        </w:r>
      </w:hyperlink>
    </w:p>
    <w:p w14:paraId="4D53DA15" w14:textId="729E56D5"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37" w:history="1">
        <w:r w:rsidRPr="003A52F8">
          <w:rPr>
            <w:rStyle w:val="Hyperlink"/>
          </w:rPr>
          <w:t>Issuing advisory findings</w:t>
        </w:r>
        <w:r>
          <w:rPr>
            <w:webHidden/>
          </w:rPr>
          <w:tab/>
        </w:r>
        <w:r>
          <w:rPr>
            <w:webHidden/>
          </w:rPr>
          <w:fldChar w:fldCharType="begin"/>
        </w:r>
        <w:r>
          <w:rPr>
            <w:webHidden/>
          </w:rPr>
          <w:instrText xml:space="preserve"> PAGEREF _Toc190699437 \h </w:instrText>
        </w:r>
        <w:r>
          <w:rPr>
            <w:webHidden/>
          </w:rPr>
        </w:r>
        <w:r>
          <w:rPr>
            <w:webHidden/>
          </w:rPr>
          <w:fldChar w:fldCharType="separate"/>
        </w:r>
        <w:r w:rsidR="00360604">
          <w:rPr>
            <w:webHidden/>
          </w:rPr>
          <w:t>6</w:t>
        </w:r>
        <w:r>
          <w:rPr>
            <w:webHidden/>
          </w:rPr>
          <w:fldChar w:fldCharType="end"/>
        </w:r>
      </w:hyperlink>
    </w:p>
    <w:p w14:paraId="24E22C4D" w14:textId="31EF98D8"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38" w:history="1">
        <w:r w:rsidRPr="003A52F8">
          <w:rPr>
            <w:rStyle w:val="Hyperlink"/>
          </w:rPr>
          <w:t>In-season audit</w:t>
        </w:r>
        <w:r>
          <w:rPr>
            <w:webHidden/>
          </w:rPr>
          <w:tab/>
        </w:r>
        <w:r>
          <w:rPr>
            <w:webHidden/>
          </w:rPr>
          <w:fldChar w:fldCharType="begin"/>
        </w:r>
        <w:r>
          <w:rPr>
            <w:webHidden/>
          </w:rPr>
          <w:instrText xml:space="preserve"> PAGEREF _Toc190699438 \h </w:instrText>
        </w:r>
        <w:r>
          <w:rPr>
            <w:webHidden/>
          </w:rPr>
        </w:r>
        <w:r>
          <w:rPr>
            <w:webHidden/>
          </w:rPr>
          <w:fldChar w:fldCharType="separate"/>
        </w:r>
        <w:r w:rsidR="00360604">
          <w:rPr>
            <w:webHidden/>
          </w:rPr>
          <w:t>9</w:t>
        </w:r>
        <w:r>
          <w:rPr>
            <w:webHidden/>
          </w:rPr>
          <w:fldChar w:fldCharType="end"/>
        </w:r>
      </w:hyperlink>
    </w:p>
    <w:p w14:paraId="13CA4331" w14:textId="2FDC0781"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39" w:history="1">
        <w:r w:rsidRPr="003A52F8">
          <w:rPr>
            <w:rStyle w:val="Hyperlink"/>
          </w:rPr>
          <w:t>Non-compliance ratings</w:t>
        </w:r>
        <w:r>
          <w:rPr>
            <w:webHidden/>
          </w:rPr>
          <w:tab/>
        </w:r>
        <w:r>
          <w:rPr>
            <w:webHidden/>
          </w:rPr>
          <w:fldChar w:fldCharType="begin"/>
        </w:r>
        <w:r>
          <w:rPr>
            <w:webHidden/>
          </w:rPr>
          <w:instrText xml:space="preserve"> PAGEREF _Toc190699439 \h </w:instrText>
        </w:r>
        <w:r>
          <w:rPr>
            <w:webHidden/>
          </w:rPr>
        </w:r>
        <w:r>
          <w:rPr>
            <w:webHidden/>
          </w:rPr>
          <w:fldChar w:fldCharType="separate"/>
        </w:r>
        <w:r w:rsidR="00360604">
          <w:rPr>
            <w:webHidden/>
          </w:rPr>
          <w:t>9</w:t>
        </w:r>
        <w:r>
          <w:rPr>
            <w:webHidden/>
          </w:rPr>
          <w:fldChar w:fldCharType="end"/>
        </w:r>
      </w:hyperlink>
    </w:p>
    <w:p w14:paraId="518071A3" w14:textId="780C7D6B"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40" w:history="1">
        <w:r w:rsidRPr="003A52F8">
          <w:rPr>
            <w:rStyle w:val="Hyperlink"/>
          </w:rPr>
          <w:t>Issuing non-compliance Notices</w:t>
        </w:r>
        <w:r>
          <w:rPr>
            <w:webHidden/>
          </w:rPr>
          <w:tab/>
        </w:r>
        <w:r>
          <w:rPr>
            <w:webHidden/>
          </w:rPr>
          <w:fldChar w:fldCharType="begin"/>
        </w:r>
        <w:r>
          <w:rPr>
            <w:webHidden/>
          </w:rPr>
          <w:instrText xml:space="preserve"> PAGEREF _Toc190699440 \h </w:instrText>
        </w:r>
        <w:r>
          <w:rPr>
            <w:webHidden/>
          </w:rPr>
        </w:r>
        <w:r>
          <w:rPr>
            <w:webHidden/>
          </w:rPr>
          <w:fldChar w:fldCharType="separate"/>
        </w:r>
        <w:r w:rsidR="00360604">
          <w:rPr>
            <w:webHidden/>
          </w:rPr>
          <w:t>10</w:t>
        </w:r>
        <w:r>
          <w:rPr>
            <w:webHidden/>
          </w:rPr>
          <w:fldChar w:fldCharType="end"/>
        </w:r>
      </w:hyperlink>
    </w:p>
    <w:p w14:paraId="479454F4" w14:textId="7D6E5E3C"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41" w:history="1">
        <w:r w:rsidRPr="003A52F8">
          <w:rPr>
            <w:rStyle w:val="Hyperlink"/>
          </w:rPr>
          <w:t>When a critical non-compliance is identified</w:t>
        </w:r>
        <w:r>
          <w:rPr>
            <w:webHidden/>
          </w:rPr>
          <w:tab/>
        </w:r>
        <w:r>
          <w:rPr>
            <w:webHidden/>
          </w:rPr>
          <w:fldChar w:fldCharType="begin"/>
        </w:r>
        <w:r>
          <w:rPr>
            <w:webHidden/>
          </w:rPr>
          <w:instrText xml:space="preserve"> PAGEREF _Toc190699441 \h </w:instrText>
        </w:r>
        <w:r>
          <w:rPr>
            <w:webHidden/>
          </w:rPr>
        </w:r>
        <w:r>
          <w:rPr>
            <w:webHidden/>
          </w:rPr>
          <w:fldChar w:fldCharType="separate"/>
        </w:r>
        <w:r w:rsidR="00360604">
          <w:rPr>
            <w:webHidden/>
          </w:rPr>
          <w:t>10</w:t>
        </w:r>
        <w:r>
          <w:rPr>
            <w:webHidden/>
          </w:rPr>
          <w:fldChar w:fldCharType="end"/>
        </w:r>
      </w:hyperlink>
    </w:p>
    <w:p w14:paraId="208BED35" w14:textId="4DD790D0" w:rsidR="002B0EF2" w:rsidRDefault="002B0EF2">
      <w:pPr>
        <w:pStyle w:val="TOC3"/>
        <w:rPr>
          <w:rFonts w:asciiTheme="minorHAnsi" w:eastAsiaTheme="minorEastAsia" w:hAnsiTheme="minorHAnsi" w:cstheme="minorBidi"/>
          <w:kern w:val="2"/>
          <w:sz w:val="24"/>
          <w:szCs w:val="24"/>
          <w:lang w:eastAsia="en-AU"/>
          <w14:ligatures w14:val="standardContextual"/>
        </w:rPr>
      </w:pPr>
      <w:hyperlink w:anchor="_Toc190699442" w:history="1">
        <w:r w:rsidRPr="003A52F8">
          <w:rPr>
            <w:rStyle w:val="Hyperlink"/>
          </w:rPr>
          <w:t>Conducting an in-season audit of an accredited property</w:t>
        </w:r>
        <w:r>
          <w:rPr>
            <w:webHidden/>
          </w:rPr>
          <w:tab/>
        </w:r>
        <w:r>
          <w:rPr>
            <w:webHidden/>
          </w:rPr>
          <w:fldChar w:fldCharType="begin"/>
        </w:r>
        <w:r>
          <w:rPr>
            <w:webHidden/>
          </w:rPr>
          <w:instrText xml:space="preserve"> PAGEREF _Toc190699442 \h </w:instrText>
        </w:r>
        <w:r>
          <w:rPr>
            <w:webHidden/>
          </w:rPr>
        </w:r>
        <w:r>
          <w:rPr>
            <w:webHidden/>
          </w:rPr>
          <w:fldChar w:fldCharType="separate"/>
        </w:r>
        <w:r w:rsidR="00360604">
          <w:rPr>
            <w:webHidden/>
          </w:rPr>
          <w:t>11</w:t>
        </w:r>
        <w:r>
          <w:rPr>
            <w:webHidden/>
          </w:rPr>
          <w:fldChar w:fldCharType="end"/>
        </w:r>
      </w:hyperlink>
    </w:p>
    <w:p w14:paraId="3317D88E" w14:textId="392E2226"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43" w:history="1">
        <w:r w:rsidRPr="003A52F8">
          <w:rPr>
            <w:rStyle w:val="Hyperlink"/>
          </w:rPr>
          <w:t>Suspension or revocation of the accredited property by the department</w:t>
        </w:r>
        <w:r>
          <w:rPr>
            <w:webHidden/>
          </w:rPr>
          <w:tab/>
        </w:r>
        <w:r>
          <w:rPr>
            <w:webHidden/>
          </w:rPr>
          <w:fldChar w:fldCharType="begin"/>
        </w:r>
        <w:r>
          <w:rPr>
            <w:webHidden/>
          </w:rPr>
          <w:instrText xml:space="preserve"> PAGEREF _Toc190699443 \h </w:instrText>
        </w:r>
        <w:r>
          <w:rPr>
            <w:webHidden/>
          </w:rPr>
        </w:r>
        <w:r>
          <w:rPr>
            <w:webHidden/>
          </w:rPr>
          <w:fldChar w:fldCharType="separate"/>
        </w:r>
        <w:r w:rsidR="00360604">
          <w:rPr>
            <w:webHidden/>
          </w:rPr>
          <w:t>13</w:t>
        </w:r>
        <w:r>
          <w:rPr>
            <w:webHidden/>
          </w:rPr>
          <w:fldChar w:fldCharType="end"/>
        </w:r>
      </w:hyperlink>
    </w:p>
    <w:p w14:paraId="34DB924F" w14:textId="00B4C0B3"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45" w:history="1">
        <w:r w:rsidRPr="003A52F8">
          <w:rPr>
            <w:rStyle w:val="Hyperlink"/>
          </w:rPr>
          <w:t>Review of decisions</w:t>
        </w:r>
        <w:r>
          <w:rPr>
            <w:webHidden/>
          </w:rPr>
          <w:tab/>
        </w:r>
        <w:r>
          <w:rPr>
            <w:webHidden/>
          </w:rPr>
          <w:fldChar w:fldCharType="begin"/>
        </w:r>
        <w:r>
          <w:rPr>
            <w:webHidden/>
          </w:rPr>
          <w:instrText xml:space="preserve"> PAGEREF _Toc190699445 \h </w:instrText>
        </w:r>
        <w:r>
          <w:rPr>
            <w:webHidden/>
          </w:rPr>
        </w:r>
        <w:r>
          <w:rPr>
            <w:webHidden/>
          </w:rPr>
          <w:fldChar w:fldCharType="separate"/>
        </w:r>
        <w:r w:rsidR="00360604">
          <w:rPr>
            <w:webHidden/>
          </w:rPr>
          <w:t>13</w:t>
        </w:r>
        <w:r>
          <w:rPr>
            <w:webHidden/>
          </w:rPr>
          <w:fldChar w:fldCharType="end"/>
        </w:r>
      </w:hyperlink>
    </w:p>
    <w:p w14:paraId="6688A88E" w14:textId="15CE3741"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46" w:history="1">
        <w:r w:rsidRPr="003A52F8">
          <w:rPr>
            <w:rStyle w:val="Hyperlink"/>
          </w:rPr>
          <w:t>Review process</w:t>
        </w:r>
        <w:r>
          <w:rPr>
            <w:webHidden/>
          </w:rPr>
          <w:tab/>
        </w:r>
        <w:r>
          <w:rPr>
            <w:webHidden/>
          </w:rPr>
          <w:fldChar w:fldCharType="begin"/>
        </w:r>
        <w:r>
          <w:rPr>
            <w:webHidden/>
          </w:rPr>
          <w:instrText xml:space="preserve"> PAGEREF _Toc190699446 \h </w:instrText>
        </w:r>
        <w:r>
          <w:rPr>
            <w:webHidden/>
          </w:rPr>
        </w:r>
        <w:r>
          <w:rPr>
            <w:webHidden/>
          </w:rPr>
          <w:fldChar w:fldCharType="separate"/>
        </w:r>
        <w:r w:rsidR="00360604">
          <w:rPr>
            <w:webHidden/>
          </w:rPr>
          <w:t>14</w:t>
        </w:r>
        <w:r>
          <w:rPr>
            <w:webHidden/>
          </w:rPr>
          <w:fldChar w:fldCharType="end"/>
        </w:r>
      </w:hyperlink>
    </w:p>
    <w:p w14:paraId="23B730D8" w14:textId="30A20C03" w:rsidR="002B0EF2" w:rsidRDefault="002B0EF2">
      <w:pPr>
        <w:pStyle w:val="TOC2"/>
        <w:rPr>
          <w:rFonts w:asciiTheme="minorHAnsi" w:eastAsiaTheme="minorEastAsia" w:hAnsiTheme="minorHAnsi" w:cstheme="minorBidi"/>
          <w:kern w:val="2"/>
          <w:sz w:val="24"/>
          <w:szCs w:val="24"/>
          <w:lang w:eastAsia="en-AU"/>
          <w14:ligatures w14:val="standardContextual"/>
        </w:rPr>
      </w:pPr>
      <w:hyperlink w:anchor="_Toc190699447" w:history="1">
        <w:r w:rsidRPr="003A52F8">
          <w:rPr>
            <w:rStyle w:val="Hyperlink"/>
          </w:rPr>
          <w:t>Appeal beyond the department</w:t>
        </w:r>
        <w:r>
          <w:rPr>
            <w:webHidden/>
          </w:rPr>
          <w:tab/>
        </w:r>
        <w:r>
          <w:rPr>
            <w:webHidden/>
          </w:rPr>
          <w:fldChar w:fldCharType="begin"/>
        </w:r>
        <w:r>
          <w:rPr>
            <w:webHidden/>
          </w:rPr>
          <w:instrText xml:space="preserve"> PAGEREF _Toc190699447 \h </w:instrText>
        </w:r>
        <w:r>
          <w:rPr>
            <w:webHidden/>
          </w:rPr>
        </w:r>
        <w:r>
          <w:rPr>
            <w:webHidden/>
          </w:rPr>
          <w:fldChar w:fldCharType="separate"/>
        </w:r>
        <w:r w:rsidR="00360604">
          <w:rPr>
            <w:webHidden/>
          </w:rPr>
          <w:t>14</w:t>
        </w:r>
        <w:r>
          <w:rPr>
            <w:webHidden/>
          </w:rPr>
          <w:fldChar w:fldCharType="end"/>
        </w:r>
      </w:hyperlink>
    </w:p>
    <w:p w14:paraId="45D99F77" w14:textId="2BED9085"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48" w:history="1">
        <w:r w:rsidRPr="003A52F8">
          <w:rPr>
            <w:rStyle w:val="Hyperlink"/>
          </w:rPr>
          <w:t>Non-compliance detected outside of an audit</w:t>
        </w:r>
        <w:r>
          <w:rPr>
            <w:webHidden/>
          </w:rPr>
          <w:tab/>
        </w:r>
        <w:r>
          <w:rPr>
            <w:webHidden/>
          </w:rPr>
          <w:fldChar w:fldCharType="begin"/>
        </w:r>
        <w:r>
          <w:rPr>
            <w:webHidden/>
          </w:rPr>
          <w:instrText xml:space="preserve"> PAGEREF _Toc190699448 \h </w:instrText>
        </w:r>
        <w:r>
          <w:rPr>
            <w:webHidden/>
          </w:rPr>
        </w:r>
        <w:r>
          <w:rPr>
            <w:webHidden/>
          </w:rPr>
          <w:fldChar w:fldCharType="separate"/>
        </w:r>
        <w:r w:rsidR="00360604">
          <w:rPr>
            <w:webHidden/>
          </w:rPr>
          <w:t>14</w:t>
        </w:r>
        <w:r>
          <w:rPr>
            <w:webHidden/>
          </w:rPr>
          <w:fldChar w:fldCharType="end"/>
        </w:r>
      </w:hyperlink>
    </w:p>
    <w:p w14:paraId="48C77FA2" w14:textId="24E623AE"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49" w:history="1">
        <w:r w:rsidRPr="003A52F8">
          <w:rPr>
            <w:rStyle w:val="Hyperlink"/>
          </w:rPr>
          <w:t>Fees and charges</w:t>
        </w:r>
        <w:r>
          <w:rPr>
            <w:webHidden/>
          </w:rPr>
          <w:tab/>
        </w:r>
        <w:r>
          <w:rPr>
            <w:webHidden/>
          </w:rPr>
          <w:fldChar w:fldCharType="begin"/>
        </w:r>
        <w:r>
          <w:rPr>
            <w:webHidden/>
          </w:rPr>
          <w:instrText xml:space="preserve"> PAGEREF _Toc190699449 \h </w:instrText>
        </w:r>
        <w:r>
          <w:rPr>
            <w:webHidden/>
          </w:rPr>
        </w:r>
        <w:r>
          <w:rPr>
            <w:webHidden/>
          </w:rPr>
          <w:fldChar w:fldCharType="separate"/>
        </w:r>
        <w:r w:rsidR="00360604">
          <w:rPr>
            <w:webHidden/>
          </w:rPr>
          <w:t>15</w:t>
        </w:r>
        <w:r>
          <w:rPr>
            <w:webHidden/>
          </w:rPr>
          <w:fldChar w:fldCharType="end"/>
        </w:r>
      </w:hyperlink>
    </w:p>
    <w:p w14:paraId="287836CE" w14:textId="3879EB7B"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0" w:history="1">
        <w:r w:rsidRPr="003A52F8">
          <w:rPr>
            <w:rStyle w:val="Hyperlink"/>
          </w:rPr>
          <w:t>Record keeping</w:t>
        </w:r>
        <w:r>
          <w:rPr>
            <w:webHidden/>
          </w:rPr>
          <w:tab/>
        </w:r>
        <w:r>
          <w:rPr>
            <w:webHidden/>
          </w:rPr>
          <w:fldChar w:fldCharType="begin"/>
        </w:r>
        <w:r>
          <w:rPr>
            <w:webHidden/>
          </w:rPr>
          <w:instrText xml:space="preserve"> PAGEREF _Toc190699450 \h </w:instrText>
        </w:r>
        <w:r>
          <w:rPr>
            <w:webHidden/>
          </w:rPr>
        </w:r>
        <w:r>
          <w:rPr>
            <w:webHidden/>
          </w:rPr>
          <w:fldChar w:fldCharType="separate"/>
        </w:r>
        <w:r w:rsidR="00360604">
          <w:rPr>
            <w:webHidden/>
          </w:rPr>
          <w:t>15</w:t>
        </w:r>
        <w:r>
          <w:rPr>
            <w:webHidden/>
          </w:rPr>
          <w:fldChar w:fldCharType="end"/>
        </w:r>
      </w:hyperlink>
    </w:p>
    <w:p w14:paraId="26DB4538" w14:textId="4610D7C3"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1" w:history="1">
        <w:r w:rsidRPr="003A52F8">
          <w:rPr>
            <w:rStyle w:val="Hyperlink"/>
          </w:rPr>
          <w:t>Related material</w:t>
        </w:r>
        <w:r>
          <w:rPr>
            <w:webHidden/>
          </w:rPr>
          <w:tab/>
        </w:r>
        <w:r>
          <w:rPr>
            <w:webHidden/>
          </w:rPr>
          <w:fldChar w:fldCharType="begin"/>
        </w:r>
        <w:r>
          <w:rPr>
            <w:webHidden/>
          </w:rPr>
          <w:instrText xml:space="preserve"> PAGEREF _Toc190699451 \h </w:instrText>
        </w:r>
        <w:r>
          <w:rPr>
            <w:webHidden/>
          </w:rPr>
        </w:r>
        <w:r>
          <w:rPr>
            <w:webHidden/>
          </w:rPr>
          <w:fldChar w:fldCharType="separate"/>
        </w:r>
        <w:r w:rsidR="00360604">
          <w:rPr>
            <w:webHidden/>
          </w:rPr>
          <w:t>16</w:t>
        </w:r>
        <w:r>
          <w:rPr>
            <w:webHidden/>
          </w:rPr>
          <w:fldChar w:fldCharType="end"/>
        </w:r>
      </w:hyperlink>
    </w:p>
    <w:p w14:paraId="44FB3AA7" w14:textId="12712500"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3" w:history="1">
        <w:r w:rsidRPr="003A52F8">
          <w:rPr>
            <w:rStyle w:val="Hyperlink"/>
          </w:rPr>
          <w:t>Contact information</w:t>
        </w:r>
        <w:r>
          <w:rPr>
            <w:webHidden/>
          </w:rPr>
          <w:tab/>
        </w:r>
        <w:r>
          <w:rPr>
            <w:webHidden/>
          </w:rPr>
          <w:fldChar w:fldCharType="begin"/>
        </w:r>
        <w:r>
          <w:rPr>
            <w:webHidden/>
          </w:rPr>
          <w:instrText xml:space="preserve"> PAGEREF _Toc190699453 \h </w:instrText>
        </w:r>
        <w:r>
          <w:rPr>
            <w:webHidden/>
          </w:rPr>
        </w:r>
        <w:r>
          <w:rPr>
            <w:webHidden/>
          </w:rPr>
          <w:fldChar w:fldCharType="separate"/>
        </w:r>
        <w:r w:rsidR="00360604">
          <w:rPr>
            <w:webHidden/>
          </w:rPr>
          <w:t>16</w:t>
        </w:r>
        <w:r>
          <w:rPr>
            <w:webHidden/>
          </w:rPr>
          <w:fldChar w:fldCharType="end"/>
        </w:r>
      </w:hyperlink>
    </w:p>
    <w:p w14:paraId="7505F32E" w14:textId="6EDCD4D8"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4" w:history="1">
        <w:r w:rsidRPr="003A52F8">
          <w:rPr>
            <w:rStyle w:val="Hyperlink"/>
          </w:rPr>
          <w:t>Document information</w:t>
        </w:r>
        <w:r>
          <w:rPr>
            <w:webHidden/>
          </w:rPr>
          <w:tab/>
        </w:r>
        <w:r>
          <w:rPr>
            <w:webHidden/>
          </w:rPr>
          <w:fldChar w:fldCharType="begin"/>
        </w:r>
        <w:r>
          <w:rPr>
            <w:webHidden/>
          </w:rPr>
          <w:instrText xml:space="preserve"> PAGEREF _Toc190699454 \h </w:instrText>
        </w:r>
        <w:r>
          <w:rPr>
            <w:webHidden/>
          </w:rPr>
        </w:r>
        <w:r>
          <w:rPr>
            <w:webHidden/>
          </w:rPr>
          <w:fldChar w:fldCharType="separate"/>
        </w:r>
        <w:r w:rsidR="00360604">
          <w:rPr>
            <w:webHidden/>
          </w:rPr>
          <w:t>16</w:t>
        </w:r>
        <w:r>
          <w:rPr>
            <w:webHidden/>
          </w:rPr>
          <w:fldChar w:fldCharType="end"/>
        </w:r>
      </w:hyperlink>
    </w:p>
    <w:p w14:paraId="004F15BD" w14:textId="74A7A73C"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5" w:history="1">
        <w:r w:rsidRPr="003A52F8">
          <w:rPr>
            <w:rStyle w:val="Hyperlink"/>
          </w:rPr>
          <w:t>Version history</w:t>
        </w:r>
        <w:r>
          <w:rPr>
            <w:webHidden/>
          </w:rPr>
          <w:tab/>
        </w:r>
        <w:r>
          <w:rPr>
            <w:webHidden/>
          </w:rPr>
          <w:fldChar w:fldCharType="begin"/>
        </w:r>
        <w:r>
          <w:rPr>
            <w:webHidden/>
          </w:rPr>
          <w:instrText xml:space="preserve"> PAGEREF _Toc190699455 \h </w:instrText>
        </w:r>
        <w:r>
          <w:rPr>
            <w:webHidden/>
          </w:rPr>
        </w:r>
        <w:r>
          <w:rPr>
            <w:webHidden/>
          </w:rPr>
          <w:fldChar w:fldCharType="separate"/>
        </w:r>
        <w:r w:rsidR="00360604">
          <w:rPr>
            <w:webHidden/>
          </w:rPr>
          <w:t>17</w:t>
        </w:r>
        <w:r>
          <w:rPr>
            <w:webHidden/>
          </w:rPr>
          <w:fldChar w:fldCharType="end"/>
        </w:r>
      </w:hyperlink>
    </w:p>
    <w:p w14:paraId="7501A808" w14:textId="29C8780F" w:rsidR="002B0EF2" w:rsidRDefault="002B0EF2">
      <w:pPr>
        <w:pStyle w:val="TOC1"/>
        <w:rPr>
          <w:rFonts w:asciiTheme="minorHAnsi" w:eastAsiaTheme="minorEastAsia" w:hAnsiTheme="minorHAnsi" w:cstheme="minorBidi"/>
          <w:kern w:val="2"/>
          <w:sz w:val="24"/>
          <w:szCs w:val="24"/>
          <w:lang w:val="en-AU" w:eastAsia="en-AU"/>
          <w14:ligatures w14:val="standardContextual"/>
        </w:rPr>
      </w:pPr>
      <w:hyperlink w:anchor="_Toc190699456" w:history="1">
        <w:r w:rsidRPr="003A52F8">
          <w:rPr>
            <w:rStyle w:val="Hyperlink"/>
          </w:rPr>
          <w:t>Appendix A: Definitions</w:t>
        </w:r>
        <w:r>
          <w:rPr>
            <w:webHidden/>
          </w:rPr>
          <w:tab/>
        </w:r>
        <w:r>
          <w:rPr>
            <w:webHidden/>
          </w:rPr>
          <w:fldChar w:fldCharType="begin"/>
        </w:r>
        <w:r>
          <w:rPr>
            <w:webHidden/>
          </w:rPr>
          <w:instrText xml:space="preserve"> PAGEREF _Toc190699456 \h </w:instrText>
        </w:r>
        <w:r>
          <w:rPr>
            <w:webHidden/>
          </w:rPr>
        </w:r>
        <w:r>
          <w:rPr>
            <w:webHidden/>
          </w:rPr>
          <w:fldChar w:fldCharType="separate"/>
        </w:r>
        <w:r w:rsidR="00360604">
          <w:rPr>
            <w:webHidden/>
          </w:rPr>
          <w:t>18</w:t>
        </w:r>
        <w:r>
          <w:rPr>
            <w:webHidden/>
          </w:rPr>
          <w:fldChar w:fldCharType="end"/>
        </w:r>
      </w:hyperlink>
    </w:p>
    <w:p w14:paraId="13EA2E04" w14:textId="13AFC9E4" w:rsidR="00E12E89" w:rsidRDefault="00E12E89" w:rsidP="00E12E89">
      <w:pPr>
        <w:pStyle w:val="BodyText"/>
      </w:pPr>
      <w:r>
        <w:fldChar w:fldCharType="end"/>
      </w:r>
      <w:bookmarkStart w:id="5" w:name="_Toc407107073"/>
    </w:p>
    <w:p w14:paraId="19F40927" w14:textId="77777777" w:rsidR="00E12E89" w:rsidRDefault="00E12E89" w:rsidP="00E12E89">
      <w:pPr>
        <w:spacing w:before="0" w:after="0"/>
        <w:rPr>
          <w:rFonts w:eastAsia="Times New Roman"/>
          <w:b/>
          <w:bCs/>
          <w:sz w:val="30"/>
          <w:szCs w:val="26"/>
        </w:rPr>
      </w:pPr>
      <w:r>
        <w:br w:type="page"/>
      </w:r>
    </w:p>
    <w:p w14:paraId="24BB5406" w14:textId="77777777" w:rsidR="009570AA" w:rsidRDefault="009570AA" w:rsidP="009570AA">
      <w:pPr>
        <w:pStyle w:val="Heading2"/>
      </w:pPr>
      <w:bookmarkStart w:id="6" w:name="_Toc190699421"/>
      <w:r>
        <w:lastRenderedPageBreak/>
        <w:t>Policy statement</w:t>
      </w:r>
      <w:bookmarkEnd w:id="6"/>
    </w:p>
    <w:p w14:paraId="7B580471" w14:textId="68965B14" w:rsidR="00E12E89" w:rsidRDefault="009570AA" w:rsidP="00E12E89">
      <w:pPr>
        <w:pStyle w:val="BodyText"/>
      </w:pPr>
      <w:r>
        <w:t xml:space="preserve">The policy, </w:t>
      </w:r>
      <w:r w:rsidR="002F1DE6">
        <w:t xml:space="preserve">overarching framework </w:t>
      </w:r>
      <w:r>
        <w:t xml:space="preserve">and legislation related to this Exports process instruction can be found in the </w:t>
      </w:r>
      <w:r w:rsidR="00193670">
        <w:t>Exports</w:t>
      </w:r>
      <w:r w:rsidR="00413170">
        <w:t xml:space="preserve"> p</w:t>
      </w:r>
      <w:r>
        <w:t xml:space="preserve">olicy: </w:t>
      </w:r>
      <w:hyperlink w:anchor="_Related_Material" w:history="1">
        <w:r w:rsidRPr="00193670">
          <w:rPr>
            <w:rStyle w:val="Hyperlink"/>
            <w:i/>
            <w:iCs/>
          </w:rPr>
          <w:t>Audit of plant export operations</w:t>
        </w:r>
      </w:hyperlink>
      <w:r>
        <w:t xml:space="preserve">. </w:t>
      </w:r>
      <w:bookmarkEnd w:id="5"/>
    </w:p>
    <w:p w14:paraId="100FFA62" w14:textId="77777777" w:rsidR="00E12E89" w:rsidRDefault="00E12E89" w:rsidP="00E12E89">
      <w:pPr>
        <w:pStyle w:val="Heading2"/>
      </w:pPr>
      <w:bookmarkStart w:id="7" w:name="_Toc190699422"/>
      <w:r>
        <w:t>Roles and responsibilities</w:t>
      </w:r>
      <w:bookmarkEnd w:id="7"/>
    </w:p>
    <w:p w14:paraId="5005494F" w14:textId="01184159" w:rsidR="00E12E89" w:rsidRDefault="00E12E89" w:rsidP="00E12E89">
      <w:pPr>
        <w:pStyle w:val="BodyText"/>
      </w:pPr>
      <w:r>
        <w:t xml:space="preserve">The following table outlines the roles and responsibilities undertaken in this </w:t>
      </w:r>
      <w:r w:rsidR="008C1921">
        <w:t>document</w:t>
      </w:r>
      <w: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3"/>
        <w:gridCol w:w="6199"/>
      </w:tblGrid>
      <w:tr w:rsidR="00B5294B" w:rsidRPr="00B5294B" w14:paraId="21B77BD1" w14:textId="77777777" w:rsidTr="00023E69">
        <w:trPr>
          <w:cantSplit/>
          <w:tblHeader/>
        </w:trPr>
        <w:tc>
          <w:tcPr>
            <w:tcW w:w="287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DA2F04" w14:textId="77777777" w:rsidR="00E12E89" w:rsidRPr="00023E69" w:rsidRDefault="00E12E89" w:rsidP="00886ED7">
            <w:pPr>
              <w:pStyle w:val="Tableheadings"/>
              <w:rPr>
                <w:color w:val="auto"/>
              </w:rPr>
            </w:pPr>
            <w:r w:rsidRPr="00023E69">
              <w:rPr>
                <w:color w:val="auto"/>
              </w:rPr>
              <w:t>Role</w:t>
            </w:r>
          </w:p>
        </w:tc>
        <w:tc>
          <w:tcPr>
            <w:tcW w:w="619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4AAC0E" w14:textId="77777777" w:rsidR="00E12E89" w:rsidRPr="00023E69" w:rsidRDefault="00E12E89" w:rsidP="00886ED7">
            <w:pPr>
              <w:pStyle w:val="Tableheadings"/>
              <w:rPr>
                <w:color w:val="auto"/>
              </w:rPr>
            </w:pPr>
            <w:r w:rsidRPr="00023E69">
              <w:rPr>
                <w:color w:val="auto"/>
              </w:rPr>
              <w:t>Responsibility</w:t>
            </w:r>
          </w:p>
        </w:tc>
      </w:tr>
      <w:tr w:rsidR="00E12E89" w14:paraId="697A74B9" w14:textId="77777777" w:rsidTr="00886ED7">
        <w:trPr>
          <w:cantSplit/>
          <w:trHeight w:val="523"/>
        </w:trPr>
        <w:tc>
          <w:tcPr>
            <w:tcW w:w="2873" w:type="dxa"/>
            <w:tcBorders>
              <w:top w:val="single" w:sz="4" w:space="0" w:color="auto"/>
              <w:bottom w:val="single" w:sz="4" w:space="0" w:color="auto"/>
            </w:tcBorders>
          </w:tcPr>
          <w:p w14:paraId="1715B587" w14:textId="77777777" w:rsidR="00E12E89" w:rsidRDefault="00E12E89" w:rsidP="00886ED7">
            <w:r w:rsidRPr="00FA1F4E">
              <w:t>Accredited property manager</w:t>
            </w:r>
          </w:p>
        </w:tc>
        <w:tc>
          <w:tcPr>
            <w:tcW w:w="6199" w:type="dxa"/>
            <w:tcBorders>
              <w:top w:val="single" w:sz="4" w:space="0" w:color="auto"/>
              <w:bottom w:val="single" w:sz="4" w:space="0" w:color="auto"/>
            </w:tcBorders>
          </w:tcPr>
          <w:p w14:paraId="36E1C327" w14:textId="77777777" w:rsidR="00E12E89" w:rsidRDefault="00E12E89" w:rsidP="00886ED7">
            <w:pPr>
              <w:pStyle w:val="ListBullet"/>
            </w:pPr>
            <w:r>
              <w:t>Complying with Australian export laws.</w:t>
            </w:r>
          </w:p>
          <w:p w14:paraId="0E08711C" w14:textId="004CE93E" w:rsidR="00E12E89" w:rsidRDefault="00E12E89" w:rsidP="00886ED7">
            <w:pPr>
              <w:pStyle w:val="ListBullet"/>
            </w:pPr>
            <w:r>
              <w:t xml:space="preserve">Meeting </w:t>
            </w:r>
            <w:r w:rsidRPr="007F520F">
              <w:t>departmental</w:t>
            </w:r>
            <w:r>
              <w:t xml:space="preserve"> performance standards and importing country requirements.</w:t>
            </w:r>
          </w:p>
          <w:p w14:paraId="74E7ECA7" w14:textId="77777777" w:rsidR="00E12E89" w:rsidRDefault="00E12E89" w:rsidP="00886ED7">
            <w:pPr>
              <w:pStyle w:val="ListBullet"/>
            </w:pPr>
            <w:r>
              <w:t>Maintaining records.</w:t>
            </w:r>
          </w:p>
          <w:p w14:paraId="006EA654" w14:textId="77777777" w:rsidR="00E12E89" w:rsidRDefault="00E12E89" w:rsidP="00886ED7">
            <w:pPr>
              <w:pStyle w:val="ListBullet"/>
            </w:pPr>
            <w:r w:rsidRPr="000C75DC">
              <w:t>Being</w:t>
            </w:r>
            <w:r>
              <w:t xml:space="preserve"> available for audit.</w:t>
            </w:r>
          </w:p>
          <w:p w14:paraId="2FEF881C" w14:textId="77777777" w:rsidR="00E12E89" w:rsidRDefault="00E12E89" w:rsidP="00886ED7">
            <w:pPr>
              <w:pStyle w:val="ListBullet"/>
            </w:pPr>
            <w:r>
              <w:t>Providing requested documentation.</w:t>
            </w:r>
            <w:r w:rsidRPr="000C75DC">
              <w:t xml:space="preserve"> </w:t>
            </w:r>
          </w:p>
          <w:p w14:paraId="1345585E" w14:textId="77777777" w:rsidR="00E12E89" w:rsidRDefault="00E12E89" w:rsidP="00886ED7">
            <w:pPr>
              <w:pStyle w:val="ListBullet"/>
            </w:pPr>
            <w:r>
              <w:t>Taking necessary action to address non-compliance.</w:t>
            </w:r>
          </w:p>
          <w:p w14:paraId="665BC3FB" w14:textId="12081B82" w:rsidR="00E12E89" w:rsidRPr="000C75DC" w:rsidRDefault="00E12E89" w:rsidP="00886ED7">
            <w:pPr>
              <w:pStyle w:val="ListBullet"/>
              <w:spacing w:after="120"/>
            </w:pPr>
            <w:r>
              <w:t>Providing submission to support a request for review of a decision when appropriate.</w:t>
            </w:r>
          </w:p>
        </w:tc>
      </w:tr>
      <w:tr w:rsidR="00E12E89" w14:paraId="7CFA0025" w14:textId="77777777" w:rsidTr="00886ED7">
        <w:trPr>
          <w:cantSplit/>
        </w:trPr>
        <w:tc>
          <w:tcPr>
            <w:tcW w:w="2873" w:type="dxa"/>
            <w:tcBorders>
              <w:top w:val="single" w:sz="4" w:space="0" w:color="auto"/>
              <w:bottom w:val="single" w:sz="4" w:space="0" w:color="auto"/>
            </w:tcBorders>
          </w:tcPr>
          <w:p w14:paraId="19DCBB05" w14:textId="3C763E3B" w:rsidR="00E12E89" w:rsidRDefault="0017700C" w:rsidP="00886ED7">
            <w:r>
              <w:t>Auditor (</w:t>
            </w:r>
            <w:r w:rsidR="00E12E89">
              <w:t>Audit and Assurance Branch (AAB)</w:t>
            </w:r>
            <w:r>
              <w:t>)</w:t>
            </w:r>
          </w:p>
        </w:tc>
        <w:tc>
          <w:tcPr>
            <w:tcW w:w="6199" w:type="dxa"/>
            <w:tcBorders>
              <w:top w:val="single" w:sz="4" w:space="0" w:color="auto"/>
              <w:bottom w:val="single" w:sz="4" w:space="0" w:color="auto"/>
            </w:tcBorders>
          </w:tcPr>
          <w:p w14:paraId="43FF722D" w14:textId="77777777" w:rsidR="00E12E89" w:rsidRDefault="00E12E89" w:rsidP="00886ED7">
            <w:pPr>
              <w:pStyle w:val="ListBullet"/>
            </w:pPr>
            <w:r>
              <w:t>Scheduling audits.</w:t>
            </w:r>
          </w:p>
          <w:p w14:paraId="39CC0D80" w14:textId="1F499D13" w:rsidR="00E12E89" w:rsidRDefault="00E12E89" w:rsidP="00886ED7">
            <w:pPr>
              <w:pStyle w:val="ListBullet"/>
            </w:pPr>
            <w:r>
              <w:t xml:space="preserve">Auditing properties against the departmental </w:t>
            </w:r>
            <w:r w:rsidR="0017700C">
              <w:t xml:space="preserve">performance </w:t>
            </w:r>
            <w:r>
              <w:t>standards and importing country requirements</w:t>
            </w:r>
            <w:r w:rsidR="0017700C">
              <w:t xml:space="preserve"> in accordance with this Exports process instruction</w:t>
            </w:r>
            <w:r>
              <w:t>.</w:t>
            </w:r>
          </w:p>
          <w:p w14:paraId="642EC994" w14:textId="77777777" w:rsidR="00E12E89" w:rsidRDefault="00E12E89" w:rsidP="00886ED7">
            <w:pPr>
              <w:pStyle w:val="ListBullet"/>
            </w:pPr>
            <w:r w:rsidRPr="007F520F">
              <w:t>Accrediting</w:t>
            </w:r>
            <w:r>
              <w:t xml:space="preserve"> properties.</w:t>
            </w:r>
          </w:p>
          <w:p w14:paraId="71F82A0C" w14:textId="77777777" w:rsidR="00E12E89" w:rsidRDefault="00E12E89" w:rsidP="00886ED7">
            <w:pPr>
              <w:pStyle w:val="ListBullet"/>
            </w:pPr>
            <w:r>
              <w:t>Notifying managers (applicants) of audit outcomes.</w:t>
            </w:r>
          </w:p>
          <w:p w14:paraId="58721527" w14:textId="77777777" w:rsidR="00E12E89" w:rsidRDefault="00E12E89" w:rsidP="00886ED7">
            <w:pPr>
              <w:pStyle w:val="ListBullet"/>
            </w:pPr>
            <w:r>
              <w:t>Managing critical non-compliance referrals and sanctions.</w:t>
            </w:r>
          </w:p>
          <w:p w14:paraId="2BA270AE" w14:textId="77777777" w:rsidR="00E12E89" w:rsidRDefault="00E12E89" w:rsidP="00886ED7">
            <w:pPr>
              <w:pStyle w:val="ListBullet"/>
            </w:pPr>
            <w:r>
              <w:t>Overseeing the issuance of accreditation numbers.</w:t>
            </w:r>
          </w:p>
          <w:p w14:paraId="11C99230" w14:textId="581766C3" w:rsidR="00E12E89" w:rsidRDefault="00E12E89" w:rsidP="00886ED7">
            <w:pPr>
              <w:pStyle w:val="ListBullet"/>
              <w:spacing w:after="120"/>
            </w:pPr>
            <w:r>
              <w:t xml:space="preserve">Collating the accreditation lists and providing to </w:t>
            </w:r>
            <w:r w:rsidR="00B5294B">
              <w:t xml:space="preserve">the </w:t>
            </w:r>
            <w:r>
              <w:t>H</w:t>
            </w:r>
            <w:r w:rsidR="00B5294B">
              <w:t>orticulture Exports Program (H</w:t>
            </w:r>
            <w:r>
              <w:t>EP</w:t>
            </w:r>
            <w:r w:rsidR="00B5294B">
              <w:t>)</w:t>
            </w:r>
            <w:r>
              <w:t>.</w:t>
            </w:r>
          </w:p>
        </w:tc>
      </w:tr>
      <w:tr w:rsidR="00E12E89" w14:paraId="1E9020A0" w14:textId="77777777" w:rsidTr="00886ED7">
        <w:trPr>
          <w:cantSplit/>
        </w:trPr>
        <w:tc>
          <w:tcPr>
            <w:tcW w:w="2873" w:type="dxa"/>
            <w:tcBorders>
              <w:top w:val="single" w:sz="4" w:space="0" w:color="auto"/>
              <w:bottom w:val="single" w:sz="4" w:space="0" w:color="auto"/>
            </w:tcBorders>
          </w:tcPr>
          <w:p w14:paraId="1DE47AF0" w14:textId="77777777" w:rsidR="00E12E89" w:rsidRDefault="00E12E89" w:rsidP="00886ED7">
            <w:r>
              <w:t>Crop monitor</w:t>
            </w:r>
          </w:p>
        </w:tc>
        <w:tc>
          <w:tcPr>
            <w:tcW w:w="6199" w:type="dxa"/>
            <w:tcBorders>
              <w:top w:val="single" w:sz="4" w:space="0" w:color="auto"/>
              <w:bottom w:val="single" w:sz="4" w:space="0" w:color="auto"/>
            </w:tcBorders>
          </w:tcPr>
          <w:p w14:paraId="614D0774" w14:textId="77777777" w:rsidR="00E12E89" w:rsidRDefault="00E12E89" w:rsidP="00886ED7">
            <w:pPr>
              <w:pStyle w:val="ListBullet"/>
            </w:pPr>
            <w:r w:rsidRPr="007F520F">
              <w:t>Being available for audit</w:t>
            </w:r>
            <w:r>
              <w:t>.</w:t>
            </w:r>
          </w:p>
          <w:p w14:paraId="42A6A640" w14:textId="7FE3720F" w:rsidR="00734DBA" w:rsidRDefault="00734DBA" w:rsidP="00886ED7">
            <w:pPr>
              <w:pStyle w:val="ListBullet"/>
            </w:pPr>
            <w:r>
              <w:t>Completing relevant trainings each season.</w:t>
            </w:r>
          </w:p>
          <w:p w14:paraId="6323C4CE" w14:textId="77777777" w:rsidR="00E12E89" w:rsidRPr="007F520F" w:rsidRDefault="00E12E89" w:rsidP="00886ED7">
            <w:pPr>
              <w:pStyle w:val="ListBullet"/>
            </w:pPr>
            <w:r>
              <w:t>Maintaining records.</w:t>
            </w:r>
          </w:p>
          <w:p w14:paraId="6E42009A" w14:textId="77777777" w:rsidR="00E12E89" w:rsidRDefault="00E12E89" w:rsidP="00886ED7">
            <w:pPr>
              <w:pStyle w:val="ListBullet"/>
              <w:spacing w:after="120"/>
            </w:pPr>
            <w:r w:rsidRPr="007F520F">
              <w:t>Providing</w:t>
            </w:r>
            <w:r>
              <w:t xml:space="preserve"> requested documentation.</w:t>
            </w:r>
          </w:p>
          <w:p w14:paraId="751E181E" w14:textId="77777777" w:rsidR="00E12E89" w:rsidRDefault="00E12E89" w:rsidP="00886ED7">
            <w:pPr>
              <w:pStyle w:val="ListBullet"/>
            </w:pPr>
            <w:r>
              <w:t>Taking necessary action to address non-compliance.</w:t>
            </w:r>
          </w:p>
        </w:tc>
      </w:tr>
      <w:tr w:rsidR="00E12E89" w14:paraId="39449E5B" w14:textId="77777777" w:rsidTr="00886ED7">
        <w:trPr>
          <w:cantSplit/>
        </w:trPr>
        <w:tc>
          <w:tcPr>
            <w:tcW w:w="2873" w:type="dxa"/>
            <w:tcBorders>
              <w:top w:val="single" w:sz="4" w:space="0" w:color="auto"/>
              <w:bottom w:val="single" w:sz="4" w:space="0" w:color="auto"/>
            </w:tcBorders>
          </w:tcPr>
          <w:p w14:paraId="1A4058FE" w14:textId="77777777" w:rsidR="00E12E89" w:rsidRDefault="00E12E89" w:rsidP="00886ED7">
            <w:r>
              <w:t>Horticulture Exports Program (HEP)</w:t>
            </w:r>
          </w:p>
        </w:tc>
        <w:tc>
          <w:tcPr>
            <w:tcW w:w="6199" w:type="dxa"/>
            <w:tcBorders>
              <w:top w:val="single" w:sz="4" w:space="0" w:color="auto"/>
              <w:bottom w:val="single" w:sz="4" w:space="0" w:color="auto"/>
            </w:tcBorders>
          </w:tcPr>
          <w:p w14:paraId="31A2CAF6" w14:textId="77777777" w:rsidR="00E12E89" w:rsidRDefault="00E12E89" w:rsidP="00886ED7">
            <w:pPr>
              <w:pStyle w:val="ListBullet"/>
            </w:pPr>
            <w:r>
              <w:t>Policy owner.</w:t>
            </w:r>
          </w:p>
          <w:p w14:paraId="4D510C2B" w14:textId="77777777" w:rsidR="00E12E89" w:rsidRPr="007F520F" w:rsidRDefault="00E12E89" w:rsidP="00886ED7">
            <w:pPr>
              <w:pStyle w:val="ListBullet"/>
            </w:pPr>
            <w:r w:rsidRPr="007F520F">
              <w:t>Maintaining the performance standards</w:t>
            </w:r>
            <w:r>
              <w:t>.</w:t>
            </w:r>
          </w:p>
          <w:p w14:paraId="394CAE6E" w14:textId="5C140109" w:rsidR="00E12E89" w:rsidRPr="007F520F" w:rsidRDefault="00E12E89" w:rsidP="00886ED7">
            <w:pPr>
              <w:pStyle w:val="ListBullet"/>
            </w:pPr>
            <w:r w:rsidRPr="009A06B7">
              <w:t>Reviewing requests</w:t>
            </w:r>
            <w:r>
              <w:t xml:space="preserve"> for review</w:t>
            </w:r>
            <w:r w:rsidRPr="007F520F">
              <w:t xml:space="preserve"> and providing the outcome in a response to </w:t>
            </w:r>
            <w:r>
              <w:t>AAB</w:t>
            </w:r>
            <w:r w:rsidRPr="007F520F">
              <w:t>.</w:t>
            </w:r>
          </w:p>
          <w:p w14:paraId="4DCC7F83" w14:textId="77777777" w:rsidR="00E12E89" w:rsidRDefault="00E12E89" w:rsidP="00886ED7">
            <w:pPr>
              <w:pStyle w:val="ListBullet"/>
              <w:spacing w:after="120"/>
            </w:pPr>
            <w:r w:rsidRPr="007F520F">
              <w:t>Advising importing country authority of current accredi</w:t>
            </w:r>
            <w:r>
              <w:t>ted</w:t>
            </w:r>
            <w:r w:rsidRPr="007F520F">
              <w:t xml:space="preserve"> property status</w:t>
            </w:r>
            <w:r>
              <w:t>.</w:t>
            </w:r>
          </w:p>
        </w:tc>
      </w:tr>
      <w:tr w:rsidR="00CF1440" w14:paraId="2D5EC96B" w14:textId="77777777" w:rsidTr="00886ED7">
        <w:trPr>
          <w:cantSplit/>
        </w:trPr>
        <w:tc>
          <w:tcPr>
            <w:tcW w:w="2873" w:type="dxa"/>
            <w:tcBorders>
              <w:top w:val="single" w:sz="4" w:space="0" w:color="auto"/>
              <w:bottom w:val="single" w:sz="4" w:space="0" w:color="auto"/>
            </w:tcBorders>
          </w:tcPr>
          <w:p w14:paraId="45E15D4C" w14:textId="06789E50" w:rsidR="00CF1440" w:rsidRDefault="00A61624" w:rsidP="00886ED7">
            <w:r>
              <w:t xml:space="preserve"> AAB Delegate</w:t>
            </w:r>
          </w:p>
        </w:tc>
        <w:tc>
          <w:tcPr>
            <w:tcW w:w="6199" w:type="dxa"/>
            <w:tcBorders>
              <w:top w:val="single" w:sz="4" w:space="0" w:color="auto"/>
              <w:bottom w:val="single" w:sz="4" w:space="0" w:color="auto"/>
            </w:tcBorders>
          </w:tcPr>
          <w:p w14:paraId="7BA095B3" w14:textId="77777777" w:rsidR="00CF1440" w:rsidRDefault="00CF1440" w:rsidP="00CF1440">
            <w:pPr>
              <w:pStyle w:val="ListBullet"/>
              <w:numPr>
                <w:ilvl w:val="0"/>
                <w:numId w:val="0"/>
              </w:numPr>
            </w:pPr>
            <w:r>
              <w:t>A team within AAB</w:t>
            </w:r>
            <w:r w:rsidRPr="00512111">
              <w:t xml:space="preserve"> that manages the auditor and audit framework for the department, including </w:t>
            </w:r>
          </w:p>
          <w:p w14:paraId="5BF15FA2" w14:textId="714FFE96" w:rsidR="00CF1440" w:rsidRDefault="00CF1440" w:rsidP="00023E69">
            <w:pPr>
              <w:pStyle w:val="ListBullet"/>
              <w:numPr>
                <w:ilvl w:val="0"/>
                <w:numId w:val="61"/>
              </w:numPr>
            </w:pPr>
            <w:r>
              <w:t>P</w:t>
            </w:r>
            <w:r w:rsidRPr="00512111">
              <w:t>rovision of technical advice</w:t>
            </w:r>
          </w:p>
          <w:p w14:paraId="71C4FE5A" w14:textId="4623A156" w:rsidR="00CF1440" w:rsidRDefault="00CF1440" w:rsidP="00023E69">
            <w:pPr>
              <w:pStyle w:val="ListBullet"/>
              <w:numPr>
                <w:ilvl w:val="0"/>
                <w:numId w:val="61"/>
              </w:numPr>
            </w:pPr>
            <w:r>
              <w:t>D</w:t>
            </w:r>
            <w:r w:rsidRPr="00512111">
              <w:t>etermination and management of sanctions.</w:t>
            </w:r>
          </w:p>
        </w:tc>
      </w:tr>
    </w:tbl>
    <w:p w14:paraId="49A7F38C" w14:textId="77777777" w:rsidR="00E12E89" w:rsidRDefault="00E12E89" w:rsidP="00B5294B">
      <w:pPr>
        <w:pStyle w:val="Heading2"/>
      </w:pPr>
      <w:bookmarkStart w:id="8" w:name="_Toc190699423"/>
      <w:r>
        <w:lastRenderedPageBreak/>
        <w:t>Work health and safety</w:t>
      </w:r>
      <w:bookmarkEnd w:id="8"/>
    </w:p>
    <w:p w14:paraId="4B371122" w14:textId="77777777" w:rsidR="00E12E89" w:rsidRDefault="00E12E89" w:rsidP="00E12E89">
      <w:pPr>
        <w:pStyle w:val="BodyText"/>
        <w:spacing w:after="60"/>
      </w:pPr>
      <w:r>
        <w:t>Auditors must:</w:t>
      </w:r>
    </w:p>
    <w:p w14:paraId="1A9925F0" w14:textId="77777777" w:rsidR="00E12E89" w:rsidRPr="007F520F" w:rsidRDefault="00E12E89" w:rsidP="00E12E89">
      <w:pPr>
        <w:pStyle w:val="ListBullet"/>
      </w:pPr>
      <w:r>
        <w:t xml:space="preserve">comply </w:t>
      </w:r>
      <w:r w:rsidRPr="007F520F">
        <w:t>with applicable Commonwealth, state and terri</w:t>
      </w:r>
      <w:r>
        <w:t>tory work health and safety (WH</w:t>
      </w:r>
      <w:r w:rsidRPr="007F520F">
        <w:t>S) legislation</w:t>
      </w:r>
    </w:p>
    <w:p w14:paraId="005120D6" w14:textId="77777777" w:rsidR="00E12E89" w:rsidRPr="007F520F" w:rsidRDefault="00E12E89" w:rsidP="00E12E89">
      <w:pPr>
        <w:pStyle w:val="ListBullet"/>
      </w:pPr>
      <w:r w:rsidRPr="007F520F">
        <w:t>comply with</w:t>
      </w:r>
      <w:r>
        <w:t xml:space="preserve"> the departments WH</w:t>
      </w:r>
      <w:r w:rsidRPr="007F520F">
        <w:t>S policy and procedures</w:t>
      </w:r>
    </w:p>
    <w:p w14:paraId="43657182" w14:textId="26580909" w:rsidR="00E12E89" w:rsidRPr="004509CE" w:rsidRDefault="00E12E89" w:rsidP="00E12E89">
      <w:pPr>
        <w:pStyle w:val="ListBullet"/>
        <w:rPr>
          <w:i/>
        </w:rPr>
      </w:pPr>
      <w:r w:rsidRPr="007F520F">
        <w:t xml:space="preserve">read and be familiar with the </w:t>
      </w:r>
      <w:r w:rsidR="00B5294B">
        <w:t>Exports r</w:t>
      </w:r>
      <w:r w:rsidRPr="007F520F">
        <w:t xml:space="preserve">eference: </w:t>
      </w:r>
      <w:hyperlink w:anchor="_Related_material_1" w:history="1">
        <w:r w:rsidRPr="004509CE">
          <w:rPr>
            <w:rStyle w:val="Hyperlink"/>
            <w:i/>
          </w:rPr>
          <w:t>Work health and safety in the plant export environment</w:t>
        </w:r>
      </w:hyperlink>
    </w:p>
    <w:p w14:paraId="25C051CF" w14:textId="77777777" w:rsidR="00E12E89" w:rsidRPr="007F520F" w:rsidRDefault="00E12E89" w:rsidP="00E12E89">
      <w:pPr>
        <w:pStyle w:val="ListBullet"/>
      </w:pPr>
      <w:r w:rsidRPr="007F520F">
        <w:t>not enter work sites unless it is safe</w:t>
      </w:r>
      <w:r>
        <w:t>,</w:t>
      </w:r>
      <w:r w:rsidRPr="007F520F">
        <w:t xml:space="preserve"> they are wearing the required personal protective equipment (</w:t>
      </w:r>
      <w:r>
        <w:t>PPE) and have considered any WH</w:t>
      </w:r>
      <w:r w:rsidRPr="007F520F">
        <w:t>S hazards</w:t>
      </w:r>
    </w:p>
    <w:p w14:paraId="5E0F424C" w14:textId="77777777" w:rsidR="00E12E89" w:rsidRDefault="00E12E89" w:rsidP="00E12E89">
      <w:pPr>
        <w:pStyle w:val="ListBullet"/>
      </w:pPr>
      <w:r w:rsidRPr="007F520F">
        <w:t>comply with site-specific requirements, unless they assess the requirements as placing them at risk, in which case they must take reasonable</w:t>
      </w:r>
      <w:r>
        <w:t xml:space="preserve"> action to ensure their safety</w:t>
      </w:r>
    </w:p>
    <w:p w14:paraId="0A6F3E1F" w14:textId="77777777" w:rsidR="00E12E89" w:rsidRPr="003F58CB" w:rsidRDefault="00E12E89" w:rsidP="00E12E89">
      <w:pPr>
        <w:pStyle w:val="ListBullet"/>
      </w:pPr>
      <w:r w:rsidRPr="0092370C">
        <w:t xml:space="preserve">continually assess the </w:t>
      </w:r>
      <w:r w:rsidRPr="007F520F">
        <w:t>possible</w:t>
      </w:r>
      <w:r w:rsidRPr="0092370C">
        <w:t xml:space="preserve"> risks while performing their duties.</w:t>
      </w:r>
    </w:p>
    <w:p w14:paraId="68AEDCF0" w14:textId="77777777" w:rsidR="00E12E89" w:rsidRPr="001315AA" w:rsidRDefault="00E12E89" w:rsidP="00E12E89">
      <w:pPr>
        <w:pStyle w:val="Heading3"/>
      </w:pPr>
      <w:bookmarkStart w:id="9" w:name="_Toc491267817"/>
      <w:bookmarkStart w:id="10" w:name="_Toc496092188"/>
      <w:bookmarkStart w:id="11" w:name="_Toc496194557"/>
      <w:bookmarkStart w:id="12" w:name="_Toc504396856"/>
      <w:bookmarkStart w:id="13" w:name="_Toc190699424"/>
      <w:r w:rsidRPr="001315AA">
        <w:t>Personal protective equipment</w:t>
      </w:r>
      <w:bookmarkEnd w:id="9"/>
      <w:bookmarkEnd w:id="10"/>
      <w:bookmarkEnd w:id="11"/>
      <w:bookmarkEnd w:id="12"/>
      <w:bookmarkEnd w:id="13"/>
    </w:p>
    <w:p w14:paraId="175ECD70" w14:textId="77777777" w:rsidR="00E12E89" w:rsidRPr="00E340F3" w:rsidRDefault="00E12E89" w:rsidP="00E12E89">
      <w:pPr>
        <w:pStyle w:val="BodyText"/>
        <w:spacing w:after="60"/>
      </w:pPr>
      <w:r w:rsidRPr="00E340F3">
        <w:t>Auditors must have the following PPE when it is required on site:</w:t>
      </w:r>
    </w:p>
    <w:p w14:paraId="2AFC0AE5" w14:textId="77777777" w:rsidR="00E12E89" w:rsidRPr="001315AA" w:rsidRDefault="00E12E89" w:rsidP="00E12E89">
      <w:pPr>
        <w:pStyle w:val="ListBullet"/>
        <w:rPr>
          <w:rFonts w:eastAsia="Calibri"/>
        </w:rPr>
      </w:pPr>
      <w:r w:rsidRPr="001315AA">
        <w:rPr>
          <w:rFonts w:eastAsia="Calibri"/>
        </w:rPr>
        <w:t>hi-visibility vest</w:t>
      </w:r>
    </w:p>
    <w:p w14:paraId="223AB86D" w14:textId="77777777" w:rsidR="00E12E89" w:rsidRPr="007F520F" w:rsidRDefault="00E12E89" w:rsidP="00E12E89">
      <w:pPr>
        <w:pStyle w:val="ListBullet"/>
        <w:rPr>
          <w:rFonts w:eastAsia="Calibri"/>
        </w:rPr>
      </w:pPr>
      <w:r w:rsidRPr="007F520F">
        <w:rPr>
          <w:rFonts w:eastAsia="Calibri"/>
        </w:rPr>
        <w:t>enclosed shoes</w:t>
      </w:r>
    </w:p>
    <w:p w14:paraId="41C20125" w14:textId="77777777" w:rsidR="00E12E89" w:rsidRPr="007F520F" w:rsidRDefault="00E12E89" w:rsidP="00E12E89">
      <w:pPr>
        <w:pStyle w:val="ListBullet"/>
        <w:rPr>
          <w:rFonts w:eastAsia="Calibri"/>
        </w:rPr>
      </w:pPr>
      <w:r w:rsidRPr="007F520F">
        <w:rPr>
          <w:rFonts w:eastAsia="Calibri"/>
        </w:rPr>
        <w:t xml:space="preserve">steel cap boots </w:t>
      </w:r>
    </w:p>
    <w:p w14:paraId="4AB2B039" w14:textId="77777777" w:rsidR="00E12E89" w:rsidRPr="007F520F" w:rsidRDefault="00E12E89" w:rsidP="00E12E89">
      <w:pPr>
        <w:pStyle w:val="ListBullet"/>
        <w:rPr>
          <w:rFonts w:eastAsia="Calibri"/>
        </w:rPr>
      </w:pPr>
      <w:r w:rsidRPr="007F520F">
        <w:rPr>
          <w:rFonts w:eastAsia="Calibri"/>
        </w:rPr>
        <w:t>hearing protection</w:t>
      </w:r>
    </w:p>
    <w:p w14:paraId="441F54FF" w14:textId="77777777" w:rsidR="00E12E89" w:rsidRPr="007F520F" w:rsidRDefault="00E12E89" w:rsidP="00E12E89">
      <w:pPr>
        <w:pStyle w:val="ListBullet"/>
        <w:rPr>
          <w:rFonts w:eastAsia="Calibri"/>
        </w:rPr>
      </w:pPr>
      <w:r w:rsidRPr="007F520F">
        <w:rPr>
          <w:rFonts w:eastAsia="Calibri"/>
        </w:rPr>
        <w:t>hard hat</w:t>
      </w:r>
    </w:p>
    <w:p w14:paraId="010C8FC2" w14:textId="77777777" w:rsidR="00E12E89" w:rsidRPr="007F520F" w:rsidRDefault="00E12E89" w:rsidP="00E12E89">
      <w:pPr>
        <w:pStyle w:val="ListBullet"/>
        <w:rPr>
          <w:rFonts w:eastAsia="Calibri"/>
        </w:rPr>
      </w:pPr>
      <w:r w:rsidRPr="007F520F">
        <w:rPr>
          <w:rFonts w:eastAsia="Calibri"/>
        </w:rPr>
        <w:t>long sleeve clothing</w:t>
      </w:r>
    </w:p>
    <w:p w14:paraId="59F3C623" w14:textId="77777777" w:rsidR="00E12E89" w:rsidRPr="007F520F" w:rsidRDefault="00E12E89" w:rsidP="00E12E89">
      <w:pPr>
        <w:pStyle w:val="ListBullet"/>
        <w:rPr>
          <w:rFonts w:eastAsia="Calibri"/>
        </w:rPr>
      </w:pPr>
      <w:r w:rsidRPr="007F520F">
        <w:rPr>
          <w:rFonts w:eastAsia="Calibri"/>
        </w:rPr>
        <w:t>thermal clothing for cold rooms</w:t>
      </w:r>
    </w:p>
    <w:p w14:paraId="7805238D" w14:textId="77777777" w:rsidR="00E12E89" w:rsidRPr="007F520F" w:rsidRDefault="00E12E89" w:rsidP="00E12E89">
      <w:pPr>
        <w:pStyle w:val="ListBullet"/>
        <w:rPr>
          <w:rFonts w:eastAsia="Calibri"/>
        </w:rPr>
      </w:pPr>
      <w:r w:rsidRPr="007F520F">
        <w:rPr>
          <w:rFonts w:eastAsia="Calibri"/>
        </w:rPr>
        <w:t xml:space="preserve">safety </w:t>
      </w:r>
      <w:r w:rsidRPr="007F520F">
        <w:t>glasses</w:t>
      </w:r>
    </w:p>
    <w:p w14:paraId="7831C0AB" w14:textId="77777777" w:rsidR="00E12E89" w:rsidRPr="007F520F" w:rsidRDefault="00E12E89" w:rsidP="00E12E89">
      <w:pPr>
        <w:pStyle w:val="ListBullet"/>
        <w:rPr>
          <w:rFonts w:eastAsia="Calibri"/>
        </w:rPr>
      </w:pPr>
      <w:r w:rsidRPr="007F520F">
        <w:t>face mask</w:t>
      </w:r>
    </w:p>
    <w:p w14:paraId="27B9686B" w14:textId="77777777" w:rsidR="00E12E89" w:rsidRPr="007F520F" w:rsidRDefault="00E12E89" w:rsidP="00E12E89">
      <w:pPr>
        <w:pStyle w:val="ListBullet"/>
        <w:rPr>
          <w:rFonts w:eastAsia="Calibri"/>
        </w:rPr>
      </w:pPr>
      <w:r w:rsidRPr="007F520F">
        <w:t xml:space="preserve">portable gas detector </w:t>
      </w:r>
    </w:p>
    <w:p w14:paraId="0EE793EF" w14:textId="77777777" w:rsidR="00E12E89" w:rsidRPr="007F520F" w:rsidRDefault="00E12E89" w:rsidP="00E12E89">
      <w:pPr>
        <w:pStyle w:val="ListBullet"/>
        <w:rPr>
          <w:rFonts w:eastAsia="Calibri"/>
        </w:rPr>
      </w:pPr>
      <w:r w:rsidRPr="007F520F">
        <w:t>first aid kit</w:t>
      </w:r>
    </w:p>
    <w:p w14:paraId="6523011A" w14:textId="77777777" w:rsidR="00E12E89" w:rsidRPr="007F520F" w:rsidRDefault="00E12E89" w:rsidP="00E12E89">
      <w:pPr>
        <w:pStyle w:val="ListBullet"/>
        <w:rPr>
          <w:rFonts w:eastAsia="Calibri"/>
        </w:rPr>
      </w:pPr>
      <w:r w:rsidRPr="007F520F">
        <w:t>water</w:t>
      </w:r>
    </w:p>
    <w:p w14:paraId="0AEE3504" w14:textId="77777777" w:rsidR="00E12E89" w:rsidRPr="007F520F" w:rsidRDefault="00E12E89" w:rsidP="00E12E89">
      <w:pPr>
        <w:pStyle w:val="ListBullet"/>
        <w:rPr>
          <w:rFonts w:eastAsia="Calibri"/>
        </w:rPr>
      </w:pPr>
      <w:r w:rsidRPr="007F520F">
        <w:t>sunscreen</w:t>
      </w:r>
    </w:p>
    <w:p w14:paraId="6F748383" w14:textId="77777777" w:rsidR="00E12E89" w:rsidRPr="001315AA" w:rsidRDefault="00E12E89" w:rsidP="00E12E89">
      <w:pPr>
        <w:pStyle w:val="ListBullet"/>
        <w:rPr>
          <w:rFonts w:eastAsia="Calibri"/>
        </w:rPr>
      </w:pPr>
      <w:r w:rsidRPr="007F520F">
        <w:t>emergency communication</w:t>
      </w:r>
      <w:r w:rsidRPr="001315AA">
        <w:t xml:space="preserve"> equipment such as a phone carrier with coverage or satellite phone.</w:t>
      </w:r>
    </w:p>
    <w:p w14:paraId="63E6271B" w14:textId="77777777" w:rsidR="00E12E89" w:rsidRDefault="00E12E89" w:rsidP="00E12E89">
      <w:pPr>
        <w:pStyle w:val="Heading3"/>
      </w:pPr>
      <w:bookmarkStart w:id="14" w:name="_Toc190699425"/>
      <w:r>
        <w:t>WHS reporting requirements</w:t>
      </w:r>
      <w:bookmarkEnd w:id="14"/>
    </w:p>
    <w:p w14:paraId="0F773404" w14:textId="1A5F5725" w:rsidR="00E12E89" w:rsidRPr="003E0AAD" w:rsidRDefault="00E12E89" w:rsidP="00E12E89">
      <w:pPr>
        <w:pStyle w:val="BodyText"/>
      </w:pPr>
      <w:r>
        <w:t xml:space="preserve">All WHS incidents, near misses, and any </w:t>
      </w:r>
      <w:r w:rsidRPr="00816496">
        <w:t>hazards occurring during audit of a property must</w:t>
      </w:r>
      <w:r>
        <w:t xml:space="preserve"> be reported to the department and </w:t>
      </w:r>
      <w:r w:rsidR="009D1C78">
        <w:t>entered in</w:t>
      </w:r>
      <w:r>
        <w:t xml:space="preserve"> </w:t>
      </w:r>
      <w:hyperlink r:id="rId12" w:anchor="/" w:history="1">
        <w:r w:rsidRPr="009D1C78">
          <w:rPr>
            <w:rStyle w:val="Hyperlink"/>
          </w:rPr>
          <w:t>SIRUS</w:t>
        </w:r>
      </w:hyperlink>
      <w:r>
        <w:t xml:space="preserve"> (WHS information system)</w:t>
      </w:r>
      <w:r w:rsidRPr="003E0AAD">
        <w:t>.</w:t>
      </w:r>
    </w:p>
    <w:p w14:paraId="6B1344EF" w14:textId="265486F8" w:rsidR="00E12E89" w:rsidRDefault="00E12E89" w:rsidP="00E12E89">
      <w:pPr>
        <w:spacing w:before="0" w:after="0"/>
        <w:rPr>
          <w:rFonts w:eastAsia="Times New Roman"/>
          <w:b/>
          <w:bCs/>
          <w:sz w:val="30"/>
          <w:szCs w:val="26"/>
        </w:rPr>
      </w:pPr>
      <w:r>
        <w:br w:type="page"/>
      </w:r>
    </w:p>
    <w:p w14:paraId="588BA642" w14:textId="77777777" w:rsidR="00E12E89" w:rsidRDefault="00E12E89" w:rsidP="00023E69">
      <w:pPr>
        <w:pStyle w:val="Heading2"/>
      </w:pPr>
      <w:bookmarkStart w:id="15" w:name="_Toc190699427"/>
      <w:r>
        <w:lastRenderedPageBreak/>
        <w:t>Performance standards</w:t>
      </w:r>
      <w:bookmarkEnd w:id="15"/>
    </w:p>
    <w:p w14:paraId="00760C6B" w14:textId="79415872" w:rsidR="00E12E89" w:rsidRDefault="00E12E89" w:rsidP="00E12E89">
      <w:pPr>
        <w:pStyle w:val="BodyText"/>
      </w:pPr>
      <w:r>
        <w:t>Accredited propert</w:t>
      </w:r>
      <w:r w:rsidR="009D1C78">
        <w:t>y managers</w:t>
      </w:r>
      <w:r>
        <w:t xml:space="preserve"> and crop monitors must be audited for compliance against a set of performance standards derived from the standards outlined in the </w:t>
      </w:r>
      <w:hyperlink w:anchor="_Related_material_1" w:history="1">
        <w:r w:rsidR="00B5294B">
          <w:t>Exports process instruction</w:t>
        </w:r>
        <w:r w:rsidR="00B5294B" w:rsidRPr="004509CE">
          <w:t xml:space="preserve">: </w:t>
        </w:r>
        <w:r w:rsidR="00B5294B" w:rsidRPr="004509CE">
          <w:rPr>
            <w:rStyle w:val="Hyperlink"/>
            <w:i/>
          </w:rPr>
          <w:t>Management of horticulture export accredited properties</w:t>
        </w:r>
      </w:hyperlink>
      <w:r w:rsidRPr="004509CE">
        <w:t>,</w:t>
      </w:r>
      <w:r w:rsidRPr="0060268A">
        <w:rPr>
          <w:b/>
        </w:rPr>
        <w:t xml:space="preserve"> </w:t>
      </w:r>
      <w:r>
        <w:t>relevant legislation and importing country requirements.</w:t>
      </w:r>
    </w:p>
    <w:p w14:paraId="1A9EA4A9" w14:textId="7FF63FEA" w:rsidR="00643F90" w:rsidRDefault="00643F90" w:rsidP="00023E69">
      <w:pPr>
        <w:pStyle w:val="Heading3"/>
      </w:pPr>
      <w:bookmarkStart w:id="16" w:name="_Toc190699428"/>
      <w:r>
        <w:t>Elements</w:t>
      </w:r>
      <w:bookmarkEnd w:id="16"/>
    </w:p>
    <w:p w14:paraId="4BC72190" w14:textId="248EB4D8" w:rsidR="00E12E89" w:rsidRDefault="00E12E89" w:rsidP="00E12E89">
      <w:pPr>
        <w:pStyle w:val="BodyText"/>
      </w:pPr>
      <w:r>
        <w:t xml:space="preserve">Performance standards are organised into groups known as elements. Each element has </w:t>
      </w:r>
      <w:r w:rsidR="009D1C78">
        <w:t>several</w:t>
      </w:r>
      <w:r>
        <w:t xml:space="preserve"> sub-elements that must be assessed for compliance. </w:t>
      </w:r>
    </w:p>
    <w:p w14:paraId="315F7019" w14:textId="11BC7B0B" w:rsidR="00E12E89" w:rsidRDefault="00E12E89" w:rsidP="00E12E89">
      <w:pPr>
        <w:pStyle w:val="Heading4"/>
      </w:pPr>
      <w:bookmarkStart w:id="17" w:name="_Toc190699429"/>
      <w:r>
        <w:t>Farm elements</w:t>
      </w:r>
      <w:bookmarkEnd w:id="17"/>
    </w:p>
    <w:p w14:paraId="355C4BC5" w14:textId="6A22F272" w:rsidR="00E12E89" w:rsidRDefault="00E12E89" w:rsidP="00E12E89">
      <w:pPr>
        <w:pStyle w:val="BodyText"/>
        <w:spacing w:after="50"/>
      </w:pPr>
      <w:r>
        <w:t>The elements for farms are</w:t>
      </w:r>
    </w:p>
    <w:p w14:paraId="30D3927E" w14:textId="77777777" w:rsidR="00E12E89" w:rsidRPr="00536A05" w:rsidRDefault="00E12E89" w:rsidP="00E12E89">
      <w:pPr>
        <w:pStyle w:val="ListBullet"/>
        <w:spacing w:before="50" w:after="50"/>
      </w:pPr>
      <w:r w:rsidRPr="00536A05">
        <w:t>general requirements</w:t>
      </w:r>
    </w:p>
    <w:p w14:paraId="3FA7C204" w14:textId="77777777" w:rsidR="00E12E89" w:rsidRPr="00536A05" w:rsidRDefault="00E12E89" w:rsidP="00E12E89">
      <w:pPr>
        <w:pStyle w:val="ListBullet"/>
        <w:spacing w:before="50" w:after="50"/>
      </w:pPr>
      <w:r w:rsidRPr="00536A05">
        <w:t>pest and disease control</w:t>
      </w:r>
    </w:p>
    <w:p w14:paraId="21CAEFEB" w14:textId="77777777" w:rsidR="00E12E89" w:rsidRDefault="00E12E89" w:rsidP="00E12E89">
      <w:pPr>
        <w:pStyle w:val="ListBullet"/>
        <w:spacing w:before="50"/>
      </w:pPr>
      <w:r w:rsidRPr="00536A05">
        <w:t>harvest requirements.</w:t>
      </w:r>
    </w:p>
    <w:p w14:paraId="0162C365" w14:textId="59BBE71D" w:rsidR="00E12E89" w:rsidRPr="00536A05" w:rsidRDefault="00E12E89" w:rsidP="00E12E89">
      <w:pPr>
        <w:pStyle w:val="Heading4"/>
      </w:pPr>
      <w:bookmarkStart w:id="18" w:name="_Toc190699430"/>
      <w:r>
        <w:t>Crop monitoring elements</w:t>
      </w:r>
      <w:bookmarkEnd w:id="18"/>
    </w:p>
    <w:p w14:paraId="44EEB5EF" w14:textId="0718A3AF" w:rsidR="00E12E89" w:rsidRDefault="00E12E89" w:rsidP="00E12E89">
      <w:pPr>
        <w:pStyle w:val="BodyText"/>
        <w:spacing w:after="60"/>
      </w:pPr>
      <w:r>
        <w:t>The elements for crop monitors are</w:t>
      </w:r>
    </w:p>
    <w:p w14:paraId="14C66D2A" w14:textId="77777777" w:rsidR="00E12E89" w:rsidRPr="00536A05" w:rsidRDefault="00E12E89" w:rsidP="00E12E89">
      <w:pPr>
        <w:pStyle w:val="ListBullet"/>
        <w:spacing w:after="50"/>
      </w:pPr>
      <w:r w:rsidRPr="00536A05">
        <w:t>training</w:t>
      </w:r>
    </w:p>
    <w:p w14:paraId="1B56B34F" w14:textId="77777777" w:rsidR="00E12E89" w:rsidRPr="00536A05" w:rsidRDefault="00E12E89" w:rsidP="00E12E89">
      <w:pPr>
        <w:pStyle w:val="ListBullet"/>
        <w:spacing w:before="50"/>
      </w:pPr>
      <w:r w:rsidRPr="00536A05">
        <w:t>record keeping.</w:t>
      </w:r>
    </w:p>
    <w:p w14:paraId="6829A960" w14:textId="574C3761" w:rsidR="00E12E89" w:rsidRDefault="00E12E89" w:rsidP="00E12E89">
      <w:pPr>
        <w:pStyle w:val="Heading4"/>
      </w:pPr>
      <w:bookmarkStart w:id="19" w:name="_Toc190699431"/>
      <w:r>
        <w:t>Packhouse elements</w:t>
      </w:r>
      <w:bookmarkEnd w:id="19"/>
    </w:p>
    <w:p w14:paraId="2153B340" w14:textId="60E42BDF" w:rsidR="00E12E89" w:rsidRDefault="00E12E89" w:rsidP="00E12E89">
      <w:pPr>
        <w:pStyle w:val="BodyText"/>
        <w:spacing w:after="60"/>
      </w:pPr>
      <w:r>
        <w:t>The elements for packhouses are</w:t>
      </w:r>
    </w:p>
    <w:p w14:paraId="23105CE4" w14:textId="77777777" w:rsidR="00E12E89" w:rsidRPr="00536A05" w:rsidRDefault="00E12E89" w:rsidP="00E12E89">
      <w:pPr>
        <w:pStyle w:val="ListBullet"/>
        <w:spacing w:before="50" w:after="50"/>
      </w:pPr>
      <w:r w:rsidRPr="00536A05">
        <w:t>general requirements</w:t>
      </w:r>
    </w:p>
    <w:p w14:paraId="45C86AF9" w14:textId="77777777" w:rsidR="00E12E89" w:rsidRPr="00536A05" w:rsidRDefault="00E12E89" w:rsidP="00E12E89">
      <w:pPr>
        <w:pStyle w:val="ListBullet"/>
        <w:spacing w:before="50" w:after="50"/>
      </w:pPr>
      <w:r w:rsidRPr="00536A05">
        <w:t>traceability</w:t>
      </w:r>
      <w:r>
        <w:t xml:space="preserve"> and security</w:t>
      </w:r>
    </w:p>
    <w:p w14:paraId="34BCAB9F" w14:textId="77777777" w:rsidR="00E12E89" w:rsidRPr="00536A05" w:rsidRDefault="00E12E89" w:rsidP="00E12E89">
      <w:pPr>
        <w:pStyle w:val="ListBullet"/>
        <w:spacing w:before="50" w:after="50"/>
      </w:pPr>
      <w:r w:rsidRPr="00536A05">
        <w:t>hygiene</w:t>
      </w:r>
      <w:r>
        <w:t xml:space="preserve"> and pest control</w:t>
      </w:r>
      <w:r w:rsidRPr="00536A05">
        <w:t xml:space="preserve"> </w:t>
      </w:r>
    </w:p>
    <w:p w14:paraId="4510D272" w14:textId="77777777" w:rsidR="00E12E89" w:rsidRDefault="00E12E89" w:rsidP="00E12E89">
      <w:pPr>
        <w:pStyle w:val="ListBullet"/>
        <w:spacing w:before="50"/>
      </w:pPr>
      <w:r w:rsidRPr="00536A05">
        <w:t>packaging and labelling.</w:t>
      </w:r>
    </w:p>
    <w:p w14:paraId="31663788" w14:textId="77777777" w:rsidR="00E12E89" w:rsidRDefault="00E12E89" w:rsidP="00E12E89">
      <w:pPr>
        <w:pStyle w:val="ListBullet"/>
        <w:numPr>
          <w:ilvl w:val="0"/>
          <w:numId w:val="0"/>
        </w:numPr>
        <w:spacing w:before="50"/>
      </w:pPr>
    </w:p>
    <w:p w14:paraId="396D2743" w14:textId="77777777" w:rsidR="00E12E89" w:rsidRDefault="00E12E89" w:rsidP="00E12E89">
      <w:pPr>
        <w:pStyle w:val="Heading3"/>
      </w:pPr>
      <w:bookmarkStart w:id="20" w:name="_Toc142464153"/>
      <w:bookmarkStart w:id="21" w:name="_Toc146196934"/>
      <w:bookmarkStart w:id="22" w:name="_Toc146623364"/>
      <w:bookmarkStart w:id="23" w:name="_Toc190699432"/>
      <w:r>
        <w:t>Packhouse grower supplier model</w:t>
      </w:r>
      <w:bookmarkEnd w:id="20"/>
      <w:bookmarkEnd w:id="21"/>
      <w:bookmarkEnd w:id="22"/>
      <w:bookmarkEnd w:id="23"/>
    </w:p>
    <w:p w14:paraId="2B87FA6D" w14:textId="5E384EE6" w:rsidR="00E12E89" w:rsidRDefault="00E12E89" w:rsidP="00E12E89">
      <w:r>
        <w:t xml:space="preserve">Accredited property packhouses operating under the packhouse grower supplier model (the model) are subject to a different audit schedule to the schedule outlined in this </w:t>
      </w:r>
      <w:r w:rsidR="00643F90">
        <w:t>Exports process instruction</w:t>
      </w:r>
      <w:r>
        <w:t xml:space="preserve">. The audit requirements for the model are outlined in the </w:t>
      </w:r>
      <w:r w:rsidR="00B5294B">
        <w:t>Exports process instruction</w:t>
      </w:r>
      <w:r>
        <w:t xml:space="preserve">: </w:t>
      </w:r>
      <w:hyperlink w:anchor="_Related_material_1" w:history="1">
        <w:r w:rsidRPr="000D1FE9">
          <w:rPr>
            <w:rStyle w:val="Hyperlink"/>
            <w:i/>
            <w:iCs/>
          </w:rPr>
          <w:t>Management of horticulture export accredited properties operating under the packhouse grower supplier model</w:t>
        </w:r>
      </w:hyperlink>
      <w:r w:rsidRPr="000D1FE9">
        <w:rPr>
          <w:i/>
          <w:iCs/>
        </w:rPr>
        <w:t>.</w:t>
      </w:r>
    </w:p>
    <w:p w14:paraId="1508AF56" w14:textId="558C5213" w:rsidR="00E12E89" w:rsidRPr="00536A05" w:rsidRDefault="00E12E89" w:rsidP="00023E69">
      <w:r w:rsidRPr="007E6D42">
        <w:rPr>
          <w:b/>
          <w:bCs/>
        </w:rPr>
        <w:t xml:space="preserve">Note: </w:t>
      </w:r>
      <w:r w:rsidRPr="007E6D42">
        <w:t>The department reserves the right at any time to conduct audits of accredited property farms being managed by packhouses under the model.</w:t>
      </w:r>
    </w:p>
    <w:p w14:paraId="093B2C0B" w14:textId="77777777" w:rsidR="00E12E89" w:rsidRPr="005A0EA8" w:rsidRDefault="00E12E89" w:rsidP="00E12E89">
      <w:pPr>
        <w:pStyle w:val="Heading3"/>
      </w:pPr>
      <w:bookmarkStart w:id="24" w:name="_Toc190699433"/>
      <w:bookmarkStart w:id="25" w:name="_Hlk108011317"/>
      <w:r w:rsidRPr="005A0EA8">
        <w:t xml:space="preserve">Recognition of food safety certification for </w:t>
      </w:r>
      <w:r>
        <w:t>f</w:t>
      </w:r>
      <w:r w:rsidRPr="005A0EA8">
        <w:t xml:space="preserve">resh </w:t>
      </w:r>
      <w:r>
        <w:t>f</w:t>
      </w:r>
      <w:r w:rsidRPr="005A0EA8">
        <w:t xml:space="preserve">ruit and </w:t>
      </w:r>
      <w:r>
        <w:t>v</w:t>
      </w:r>
      <w:r w:rsidRPr="005A0EA8">
        <w:t>egetable</w:t>
      </w:r>
      <w:r>
        <w:t>s</w:t>
      </w:r>
      <w:bookmarkEnd w:id="24"/>
      <w:r w:rsidRPr="005A0EA8">
        <w:t xml:space="preserve"> </w:t>
      </w:r>
    </w:p>
    <w:p w14:paraId="3E156582" w14:textId="03358729" w:rsidR="00E12E89" w:rsidRPr="00A36A08" w:rsidRDefault="00E12E89" w:rsidP="00E12E89">
      <w:pPr>
        <w:pStyle w:val="BodyText"/>
      </w:pPr>
      <w:r w:rsidRPr="00A36A08">
        <w:t xml:space="preserve">Current food safety certification to a Global Food Safety Initiative (GFSI) benchmarked scheme can be recognised </w:t>
      </w:r>
      <w:r w:rsidRPr="00A36A08">
        <w:rPr>
          <w:lang w:val="en-GB"/>
        </w:rPr>
        <w:t xml:space="preserve">as evidence in meeting some of the documentation requirements associated with pest control, hygiene and waste management </w:t>
      </w:r>
      <w:r w:rsidR="0023464E">
        <w:rPr>
          <w:lang w:val="en-GB"/>
        </w:rPr>
        <w:t>elements</w:t>
      </w:r>
      <w:r w:rsidRPr="00A36A08">
        <w:t xml:space="preserve">. </w:t>
      </w:r>
    </w:p>
    <w:p w14:paraId="51DCDFDA" w14:textId="77777777" w:rsidR="0023464E" w:rsidRDefault="00E12E89" w:rsidP="00E12E89">
      <w:pPr>
        <w:pStyle w:val="BodyText"/>
        <w:rPr>
          <w:iCs/>
        </w:rPr>
      </w:pPr>
      <w:r w:rsidRPr="00A36A08">
        <w:rPr>
          <w:iCs/>
        </w:rPr>
        <w:t>In Australia, the GFSI benchmarked fresh produce food safety schemes are</w:t>
      </w:r>
      <w:r w:rsidR="0023464E">
        <w:rPr>
          <w:iCs/>
        </w:rPr>
        <w:t>:</w:t>
      </w:r>
    </w:p>
    <w:p w14:paraId="695F06B9" w14:textId="32B6BE80" w:rsidR="0023464E" w:rsidRDefault="00E12E89" w:rsidP="0023464E">
      <w:pPr>
        <w:pStyle w:val="ListBullet"/>
      </w:pPr>
      <w:r w:rsidRPr="00A36A08">
        <w:t>GLOBALG.A.P.</w:t>
      </w:r>
      <w:r w:rsidR="0023464E">
        <w:t xml:space="preserve"> </w:t>
      </w:r>
    </w:p>
    <w:p w14:paraId="1E3FDF87" w14:textId="27B7008E" w:rsidR="0023464E" w:rsidRDefault="00E12E89" w:rsidP="0023464E">
      <w:pPr>
        <w:pStyle w:val="ListBullet"/>
      </w:pPr>
      <w:proofErr w:type="spellStart"/>
      <w:r w:rsidRPr="00A36A08">
        <w:t>Freshcare</w:t>
      </w:r>
      <w:proofErr w:type="spellEnd"/>
      <w:r w:rsidRPr="00A36A08">
        <w:t xml:space="preserve"> </w:t>
      </w:r>
    </w:p>
    <w:p w14:paraId="769C281C" w14:textId="329D0913" w:rsidR="0023464E" w:rsidRDefault="00E12E89" w:rsidP="0023464E">
      <w:pPr>
        <w:pStyle w:val="ListBullet"/>
      </w:pPr>
      <w:r w:rsidRPr="00A36A08">
        <w:t xml:space="preserve">British Retail Consortium (BRC) </w:t>
      </w:r>
    </w:p>
    <w:p w14:paraId="5EA27E31" w14:textId="77777777" w:rsidR="0023464E" w:rsidRDefault="00E12E89" w:rsidP="0023464E">
      <w:pPr>
        <w:pStyle w:val="ListBullet"/>
      </w:pPr>
      <w:r w:rsidRPr="00A36A08">
        <w:t xml:space="preserve">Safe Quality Food (SQF). </w:t>
      </w:r>
    </w:p>
    <w:p w14:paraId="55E3F8F4" w14:textId="3E766236" w:rsidR="00E12E89" w:rsidRPr="005A0EA8" w:rsidRDefault="00E12E89" w:rsidP="0023464E">
      <w:pPr>
        <w:pStyle w:val="BodyText"/>
      </w:pPr>
      <w:r w:rsidRPr="00A36A08">
        <w:t xml:space="preserve">These schemes are also recognised under the </w:t>
      </w:r>
      <w:hyperlink r:id="rId13" w:history="1">
        <w:r w:rsidRPr="00B60AFB">
          <w:rPr>
            <w:rStyle w:val="Hyperlink"/>
          </w:rPr>
          <w:t>Harmonised Australian Retailer Produce Scheme</w:t>
        </w:r>
      </w:hyperlink>
      <w:r w:rsidRPr="00A36A08">
        <w:t xml:space="preserve"> (HARPS). </w:t>
      </w:r>
    </w:p>
    <w:p w14:paraId="25D2827B" w14:textId="77777777" w:rsidR="00E12E89" w:rsidRPr="005A0EA8" w:rsidRDefault="00E12E89" w:rsidP="00E12E89">
      <w:pPr>
        <w:pStyle w:val="BodyText"/>
      </w:pPr>
      <w:r w:rsidRPr="005A0EA8">
        <w:lastRenderedPageBreak/>
        <w:t>To obtain recognition of existing food safety certification for</w:t>
      </w:r>
      <w:r w:rsidRPr="005A0EA8">
        <w:rPr>
          <w:lang w:val="en-US"/>
        </w:rPr>
        <w:t xml:space="preserve"> specific elements of the audit</w:t>
      </w:r>
      <w:r w:rsidRPr="005A0EA8">
        <w:t xml:space="preserve">, packhouse managers must provide evidence of current certification to a GFSI </w:t>
      </w:r>
      <w:r>
        <w:t>benchmarked</w:t>
      </w:r>
      <w:r w:rsidRPr="005A0EA8">
        <w:t xml:space="preserve"> food safety and quality scheme or a certificate extension notice at the export audit. </w:t>
      </w:r>
    </w:p>
    <w:p w14:paraId="17E47A5C" w14:textId="77777777" w:rsidR="00E12E89" w:rsidRPr="005A0EA8" w:rsidRDefault="00E12E89" w:rsidP="00E12E89">
      <w:pPr>
        <w:pStyle w:val="BodyText"/>
        <w:rPr>
          <w:lang w:val="en-US"/>
        </w:rPr>
      </w:pPr>
      <w:r w:rsidRPr="005A0EA8">
        <w:t xml:space="preserve">Current certification is defined as </w:t>
      </w:r>
      <w:r w:rsidRPr="005A0EA8">
        <w:rPr>
          <w:lang w:val="en-US"/>
        </w:rPr>
        <w:t>a valid certificate that has:</w:t>
      </w:r>
    </w:p>
    <w:p w14:paraId="3336CE73" w14:textId="77777777" w:rsidR="00E12E89" w:rsidRPr="005A0EA8" w:rsidRDefault="00E12E89" w:rsidP="00E12E89">
      <w:pPr>
        <w:pStyle w:val="ListBullet"/>
        <w:rPr>
          <w:lang w:val="en-US"/>
        </w:rPr>
      </w:pPr>
      <w:r w:rsidRPr="005A0EA8">
        <w:rPr>
          <w:lang w:val="en-US"/>
        </w:rPr>
        <w:t>not expired</w:t>
      </w:r>
    </w:p>
    <w:p w14:paraId="589AE000" w14:textId="79CE70AC" w:rsidR="00E12E89" w:rsidRPr="005A0EA8" w:rsidRDefault="00E12E89" w:rsidP="00E12E89">
      <w:pPr>
        <w:pStyle w:val="ListBullet"/>
        <w:rPr>
          <w:lang w:val="en-US"/>
        </w:rPr>
      </w:pPr>
      <w:r w:rsidRPr="005A0EA8">
        <w:rPr>
          <w:lang w:val="en-US"/>
        </w:rPr>
        <w:t xml:space="preserve">been issued by a third-party, </w:t>
      </w:r>
      <w:r w:rsidR="00A826F0" w:rsidRPr="00A826F0">
        <w:t>Joint Accreditation System of Australia and New Zealand</w:t>
      </w:r>
      <w:r w:rsidR="00A826F0">
        <w:t xml:space="preserve"> (</w:t>
      </w:r>
      <w:r w:rsidRPr="005A0EA8">
        <w:rPr>
          <w:lang w:val="en-US"/>
        </w:rPr>
        <w:t>JAS-ANZ</w:t>
      </w:r>
      <w:r w:rsidR="00A826F0">
        <w:rPr>
          <w:lang w:val="en-US"/>
        </w:rPr>
        <w:t>)</w:t>
      </w:r>
      <w:r w:rsidRPr="005A0EA8">
        <w:rPr>
          <w:lang w:val="en-US"/>
        </w:rPr>
        <w:t xml:space="preserve"> accredited audit certification body.</w:t>
      </w:r>
    </w:p>
    <w:p w14:paraId="4890521E" w14:textId="4D71EE4D" w:rsidR="00E12E89" w:rsidRPr="005071C1" w:rsidRDefault="00E12E89" w:rsidP="00E12E89">
      <w:pPr>
        <w:pStyle w:val="BodyText"/>
      </w:pPr>
      <w:r w:rsidRPr="005A0EA8">
        <w:t>Where evidence of current certification is not provided or there is visual evidence of non-compliance with export regulatory requirements, all areas must be audited against the full performance standards, and prior recognition will not apply.</w:t>
      </w:r>
      <w:bookmarkEnd w:id="25"/>
    </w:p>
    <w:p w14:paraId="63AB14E0" w14:textId="77777777" w:rsidR="00E12E89" w:rsidRDefault="00E12E89" w:rsidP="00E12E89">
      <w:pPr>
        <w:pStyle w:val="Heading2"/>
      </w:pPr>
      <w:bookmarkStart w:id="26" w:name="_Toc190699434"/>
      <w:r>
        <w:t>Audit types</w:t>
      </w:r>
      <w:bookmarkEnd w:id="26"/>
    </w:p>
    <w:p w14:paraId="354CB642" w14:textId="77777777" w:rsidR="00E12E89" w:rsidRPr="00B17D6E" w:rsidRDefault="00E12E89" w:rsidP="00E12E89">
      <w:pPr>
        <w:pStyle w:val="BodyText"/>
        <w:rPr>
          <w:u w:val="single"/>
        </w:rPr>
      </w:pPr>
      <w:r>
        <w:t>The following table lists audit types for accredited properties.</w:t>
      </w:r>
    </w:p>
    <w:tbl>
      <w:tblPr>
        <w:tblStyle w:val="TableGrid"/>
        <w:tblW w:w="9639" w:type="dxa"/>
        <w:tblInd w:w="-5" w:type="dxa"/>
        <w:tblLayout w:type="fixed"/>
        <w:tblLook w:val="04A0" w:firstRow="1" w:lastRow="0" w:firstColumn="1" w:lastColumn="0" w:noHBand="0" w:noVBand="1"/>
        <w:tblDescription w:val="Audit types"/>
      </w:tblPr>
      <w:tblGrid>
        <w:gridCol w:w="1520"/>
        <w:gridCol w:w="2875"/>
        <w:gridCol w:w="3543"/>
        <w:gridCol w:w="1701"/>
      </w:tblGrid>
      <w:tr w:rsidR="00B5294B" w:rsidRPr="00B5294B" w14:paraId="29F52034" w14:textId="77777777" w:rsidTr="00023E69">
        <w:trPr>
          <w:cantSplit/>
          <w:trHeight w:val="574"/>
          <w:tblHeader/>
        </w:trPr>
        <w:tc>
          <w:tcPr>
            <w:tcW w:w="1520" w:type="dxa"/>
            <w:tcBorders>
              <w:right w:val="single" w:sz="4" w:space="0" w:color="auto"/>
            </w:tcBorders>
            <w:shd w:val="clear" w:color="auto" w:fill="BFBFBF" w:themeFill="background1" w:themeFillShade="BF"/>
          </w:tcPr>
          <w:p w14:paraId="5AF8D67F" w14:textId="77777777" w:rsidR="00E12E89" w:rsidRPr="00023E69" w:rsidRDefault="00E12E89" w:rsidP="00886ED7">
            <w:pPr>
              <w:pStyle w:val="Tableheadings"/>
              <w:rPr>
                <w:color w:val="auto"/>
              </w:rPr>
            </w:pPr>
            <w:r w:rsidRPr="00023E69">
              <w:rPr>
                <w:color w:val="auto"/>
              </w:rPr>
              <w:t>Audit type</w:t>
            </w:r>
          </w:p>
        </w:tc>
        <w:tc>
          <w:tcPr>
            <w:tcW w:w="2875" w:type="dxa"/>
            <w:tcBorders>
              <w:left w:val="single" w:sz="4" w:space="0" w:color="auto"/>
              <w:right w:val="single" w:sz="4" w:space="0" w:color="auto"/>
            </w:tcBorders>
            <w:shd w:val="clear" w:color="auto" w:fill="BFBFBF" w:themeFill="background1" w:themeFillShade="BF"/>
          </w:tcPr>
          <w:p w14:paraId="17499BC8" w14:textId="77777777" w:rsidR="00E12E89" w:rsidRPr="00023E69" w:rsidRDefault="00E12E89" w:rsidP="00886ED7">
            <w:pPr>
              <w:pStyle w:val="Tableheadings"/>
              <w:rPr>
                <w:color w:val="auto"/>
              </w:rPr>
            </w:pPr>
            <w:r w:rsidRPr="00023E69">
              <w:rPr>
                <w:color w:val="auto"/>
              </w:rPr>
              <w:t>Conducted</w:t>
            </w:r>
          </w:p>
        </w:tc>
        <w:tc>
          <w:tcPr>
            <w:tcW w:w="3543" w:type="dxa"/>
            <w:tcBorders>
              <w:left w:val="single" w:sz="4" w:space="0" w:color="auto"/>
              <w:right w:val="single" w:sz="4" w:space="0" w:color="auto"/>
            </w:tcBorders>
            <w:shd w:val="clear" w:color="auto" w:fill="BFBFBF" w:themeFill="background1" w:themeFillShade="BF"/>
          </w:tcPr>
          <w:p w14:paraId="7DEA12BB" w14:textId="77777777" w:rsidR="00E12E89" w:rsidRPr="00023E69" w:rsidRDefault="00E12E89" w:rsidP="00886ED7">
            <w:pPr>
              <w:pStyle w:val="Tableheadings"/>
              <w:rPr>
                <w:color w:val="auto"/>
              </w:rPr>
            </w:pPr>
            <w:r w:rsidRPr="00023E69">
              <w:rPr>
                <w:color w:val="auto"/>
              </w:rPr>
              <w:t>Frequency</w:t>
            </w:r>
          </w:p>
        </w:tc>
        <w:tc>
          <w:tcPr>
            <w:tcW w:w="1701" w:type="dxa"/>
            <w:tcBorders>
              <w:left w:val="single" w:sz="4" w:space="0" w:color="auto"/>
            </w:tcBorders>
            <w:shd w:val="clear" w:color="auto" w:fill="BFBFBF" w:themeFill="background1" w:themeFillShade="BF"/>
          </w:tcPr>
          <w:p w14:paraId="17DD904A" w14:textId="77777777" w:rsidR="00E12E89" w:rsidRPr="00023E69" w:rsidRDefault="00E12E89" w:rsidP="00886ED7">
            <w:pPr>
              <w:pStyle w:val="Tableheadings"/>
              <w:rPr>
                <w:color w:val="auto"/>
              </w:rPr>
            </w:pPr>
            <w:r w:rsidRPr="00023E69">
              <w:rPr>
                <w:color w:val="auto"/>
              </w:rPr>
              <w:t>Announced/ unannounced</w:t>
            </w:r>
          </w:p>
        </w:tc>
      </w:tr>
      <w:tr w:rsidR="00E12E89" w14:paraId="0A514EE2" w14:textId="77777777" w:rsidTr="00023E69">
        <w:tc>
          <w:tcPr>
            <w:tcW w:w="1520" w:type="dxa"/>
          </w:tcPr>
          <w:p w14:paraId="3BE14302" w14:textId="26CFD5FE" w:rsidR="00E12E89" w:rsidRDefault="00E12E89" w:rsidP="00886ED7">
            <w:r>
              <w:t>Pre-season audit</w:t>
            </w:r>
          </w:p>
        </w:tc>
        <w:tc>
          <w:tcPr>
            <w:tcW w:w="2875" w:type="dxa"/>
          </w:tcPr>
          <w:p w14:paraId="3D8440A9" w14:textId="37FE6A7F" w:rsidR="00E12E89" w:rsidRDefault="00E12E89" w:rsidP="00886ED7">
            <w:r>
              <w:t>After application</w:t>
            </w:r>
            <w:r w:rsidR="00733F5B">
              <w:t>, and prior to accreditation</w:t>
            </w:r>
            <w:r w:rsidR="008A603C">
              <w:t xml:space="preserve"> for:</w:t>
            </w:r>
          </w:p>
          <w:p w14:paraId="53B22964" w14:textId="658C5BBC" w:rsidR="008A603C" w:rsidRDefault="008A603C" w:rsidP="008A603C">
            <w:pPr>
              <w:pStyle w:val="ListBullet"/>
            </w:pPr>
            <w:r>
              <w:t>A new horticulture export property, or</w:t>
            </w:r>
          </w:p>
          <w:p w14:paraId="4BD46E94" w14:textId="18A30253" w:rsidR="008A603C" w:rsidRDefault="008A603C" w:rsidP="00023E69">
            <w:pPr>
              <w:pStyle w:val="ListBullet"/>
            </w:pPr>
            <w:r>
              <w:t>A non-compliant horticulture accredited property</w:t>
            </w:r>
          </w:p>
        </w:tc>
        <w:tc>
          <w:tcPr>
            <w:tcW w:w="3543" w:type="dxa"/>
          </w:tcPr>
          <w:p w14:paraId="285F9272" w14:textId="77777777" w:rsidR="00E12E89" w:rsidRDefault="00E12E89" w:rsidP="00886ED7">
            <w:r>
              <w:t>Once before export season</w:t>
            </w:r>
          </w:p>
          <w:p w14:paraId="2FA30F37" w14:textId="1726DE9C" w:rsidR="008A603C" w:rsidRDefault="008A603C" w:rsidP="00886ED7">
            <w:r w:rsidRPr="00037061">
              <w:rPr>
                <w:b/>
                <w:bCs/>
              </w:rPr>
              <w:t>Note</w:t>
            </w:r>
            <w:r>
              <w:rPr>
                <w:b/>
                <w:bCs/>
              </w:rPr>
              <w:t xml:space="preserve">: </w:t>
            </w:r>
            <w:r>
              <w:t>The frequency of audit may be higher, depending on non-compliance.</w:t>
            </w:r>
          </w:p>
        </w:tc>
        <w:tc>
          <w:tcPr>
            <w:tcW w:w="1701" w:type="dxa"/>
          </w:tcPr>
          <w:p w14:paraId="1D8B7697" w14:textId="77777777" w:rsidR="00E12E89" w:rsidRDefault="00E12E89" w:rsidP="00886ED7">
            <w:r>
              <w:t>Announced</w:t>
            </w:r>
          </w:p>
        </w:tc>
      </w:tr>
      <w:tr w:rsidR="00E12E89" w14:paraId="3D499DCE" w14:textId="77777777" w:rsidTr="00023E69">
        <w:tc>
          <w:tcPr>
            <w:tcW w:w="1520" w:type="dxa"/>
          </w:tcPr>
          <w:p w14:paraId="6C4BE746" w14:textId="77777777" w:rsidR="00E12E89" w:rsidRDefault="00E12E89" w:rsidP="00886ED7">
            <w:r>
              <w:t>In-season audit</w:t>
            </w:r>
          </w:p>
        </w:tc>
        <w:tc>
          <w:tcPr>
            <w:tcW w:w="2875" w:type="dxa"/>
          </w:tcPr>
          <w:p w14:paraId="36F46AF5" w14:textId="77777777" w:rsidR="00E12E89" w:rsidRDefault="00E12E89" w:rsidP="00886ED7">
            <w:r>
              <w:t>During the accreditation period</w:t>
            </w:r>
          </w:p>
        </w:tc>
        <w:tc>
          <w:tcPr>
            <w:tcW w:w="3543" w:type="dxa"/>
          </w:tcPr>
          <w:p w14:paraId="59B7FCAA" w14:textId="77777777" w:rsidR="00E12E89" w:rsidRDefault="00E12E89" w:rsidP="00886ED7">
            <w:r>
              <w:t>Once each export season</w:t>
            </w:r>
          </w:p>
          <w:p w14:paraId="0264E06D" w14:textId="77777777" w:rsidR="00E12E89" w:rsidRDefault="00E12E89" w:rsidP="00886ED7">
            <w:r w:rsidRPr="00037061">
              <w:rPr>
                <w:b/>
                <w:bCs/>
              </w:rPr>
              <w:t>Note</w:t>
            </w:r>
            <w:r>
              <w:rPr>
                <w:b/>
                <w:bCs/>
              </w:rPr>
              <w:t xml:space="preserve">: </w:t>
            </w:r>
            <w:r>
              <w:t>The frequency of audit may be higher, depending on non-compliance.</w:t>
            </w:r>
          </w:p>
        </w:tc>
        <w:tc>
          <w:tcPr>
            <w:tcW w:w="1701" w:type="dxa"/>
          </w:tcPr>
          <w:p w14:paraId="730260D4" w14:textId="77777777" w:rsidR="00E12E89" w:rsidRDefault="00E12E89" w:rsidP="00886ED7">
            <w:r>
              <w:t>Announced or unannounced</w:t>
            </w:r>
          </w:p>
        </w:tc>
      </w:tr>
    </w:tbl>
    <w:p w14:paraId="4C37AAE5" w14:textId="77777777" w:rsidR="00E12E89" w:rsidRDefault="00E12E89" w:rsidP="00023E69">
      <w:pPr>
        <w:pStyle w:val="Heading2"/>
      </w:pPr>
      <w:bookmarkStart w:id="27" w:name="_Toc190699435"/>
      <w:r>
        <w:t>Audit process</w:t>
      </w:r>
      <w:bookmarkEnd w:id="27"/>
    </w:p>
    <w:p w14:paraId="0EA402D7" w14:textId="77777777" w:rsidR="00E12E89" w:rsidRPr="005048B7" w:rsidRDefault="00E12E89" w:rsidP="00E12E89">
      <w:pPr>
        <w:pStyle w:val="Heading3"/>
      </w:pPr>
      <w:bookmarkStart w:id="28" w:name="_Toc190699436"/>
      <w:r>
        <w:t>Pre-season audit</w:t>
      </w:r>
      <w:bookmarkEnd w:id="28"/>
    </w:p>
    <w:p w14:paraId="450D97F2" w14:textId="77777777" w:rsidR="00E12E89" w:rsidRDefault="00E12E89" w:rsidP="00E12E89">
      <w:pPr>
        <w:pStyle w:val="ListBullet"/>
      </w:pPr>
      <w:r>
        <w:t>Managers applying for new h</w:t>
      </w:r>
      <w:r w:rsidRPr="00DA0E44">
        <w:t>orticulture export propert</w:t>
      </w:r>
      <w:r>
        <w:t xml:space="preserve">y </w:t>
      </w:r>
      <w:r w:rsidRPr="00DA0E44">
        <w:t xml:space="preserve">accreditation </w:t>
      </w:r>
      <w:r>
        <w:t>and previously accredited properties found non-compliant in the previous export season must</w:t>
      </w:r>
      <w:r w:rsidRPr="00DA0E44">
        <w:t xml:space="preserve"> be audited to </w:t>
      </w:r>
      <w:r w:rsidRPr="00004B91">
        <w:t>assess</w:t>
      </w:r>
      <w:r w:rsidRPr="009F1537">
        <w:t xml:space="preserve"> their </w:t>
      </w:r>
      <w:r>
        <w:t xml:space="preserve">ability to comply with the performance </w:t>
      </w:r>
      <w:r w:rsidRPr="000A3F31">
        <w:t>stan</w:t>
      </w:r>
      <w:r>
        <w:t>dards and importing country requirements before accreditation is approved for the property.</w:t>
      </w:r>
    </w:p>
    <w:p w14:paraId="358AEE57" w14:textId="5EBE0656" w:rsidR="00E12E89" w:rsidRDefault="00E12E89" w:rsidP="00E12E89">
      <w:pPr>
        <w:pStyle w:val="ListBullet"/>
        <w:rPr>
          <w:rFonts w:cs="Calibri"/>
        </w:rPr>
      </w:pPr>
      <w:r>
        <w:rPr>
          <w:rFonts w:cs="Calibri"/>
        </w:rPr>
        <w:t>The manager of the property seeking accreditation or any nominated individual such as crop monitors, must be present at the audit.</w:t>
      </w:r>
    </w:p>
    <w:p w14:paraId="2DE647C3" w14:textId="6E1572FD" w:rsidR="00E12E89" w:rsidRPr="005B12AC" w:rsidRDefault="00E12E89" w:rsidP="00E12E89">
      <w:pPr>
        <w:pStyle w:val="ListBullet"/>
      </w:pPr>
      <w:r>
        <w:t xml:space="preserve">Accredited properties audited pre-season may be subject to a further </w:t>
      </w:r>
      <w:r w:rsidR="00BB1751">
        <w:t xml:space="preserve">in-season </w:t>
      </w:r>
      <w:r>
        <w:t>audit</w:t>
      </w:r>
      <w:r w:rsidR="009D1C78">
        <w:t xml:space="preserve">. This </w:t>
      </w:r>
      <w:r w:rsidR="00985363">
        <w:t>is</w:t>
      </w:r>
      <w:r w:rsidR="009D1C78">
        <w:t xml:space="preserve"> determined based on the </w:t>
      </w:r>
      <w:r>
        <w:t xml:space="preserve">outcome of the </w:t>
      </w:r>
      <w:r w:rsidR="00BB1751">
        <w:t xml:space="preserve">pre-season </w:t>
      </w:r>
      <w:r>
        <w:t>audit.</w:t>
      </w:r>
    </w:p>
    <w:p w14:paraId="765BDA9B" w14:textId="77777777" w:rsidR="00E12E89" w:rsidRDefault="00E12E89" w:rsidP="00E12E89">
      <w:pPr>
        <w:pStyle w:val="ListBullet"/>
        <w:numPr>
          <w:ilvl w:val="0"/>
          <w:numId w:val="0"/>
        </w:numPr>
        <w:rPr>
          <w:rFonts w:cs="Calibri"/>
          <w:b/>
        </w:rPr>
      </w:pPr>
      <w:r>
        <w:rPr>
          <w:rFonts w:cs="Calibri"/>
          <w:b/>
        </w:rPr>
        <w:t xml:space="preserve">Notes: </w:t>
      </w:r>
    </w:p>
    <w:p w14:paraId="3CDE5330" w14:textId="77777777" w:rsidR="00E12E89" w:rsidRDefault="00E12E89" w:rsidP="00E12E89">
      <w:pPr>
        <w:pStyle w:val="ListBullet"/>
      </w:pPr>
      <w:r>
        <w:t xml:space="preserve">An </w:t>
      </w:r>
      <w:r w:rsidRPr="0099280A">
        <w:t>alternative</w:t>
      </w:r>
      <w:r>
        <w:t xml:space="preserve"> audit frequency policy is in place for New Zealand (all commodities) and citrus to Korea, China and Thailand.</w:t>
      </w:r>
    </w:p>
    <w:p w14:paraId="382A1B0D" w14:textId="77777777" w:rsidR="00E12E89" w:rsidRDefault="00E12E89" w:rsidP="00E12E89">
      <w:pPr>
        <w:pStyle w:val="ListBullet"/>
      </w:pPr>
      <w:r w:rsidRPr="0099280A">
        <w:t>Due</w:t>
      </w:r>
      <w:r>
        <w:t xml:space="preserve"> to logistics an existing accredited property may be audited pre-season at the discretion of AAB.</w:t>
      </w:r>
    </w:p>
    <w:p w14:paraId="425C878E" w14:textId="47E955D6" w:rsidR="00E12E89" w:rsidRDefault="00733F5B" w:rsidP="00E12E89">
      <w:pPr>
        <w:pStyle w:val="Heading4"/>
      </w:pPr>
      <w:bookmarkStart w:id="29" w:name="_Toc190699437"/>
      <w:r>
        <w:t>Issuing a</w:t>
      </w:r>
      <w:r w:rsidR="00E12E89">
        <w:t>dvisory findings</w:t>
      </w:r>
      <w:bookmarkEnd w:id="29"/>
    </w:p>
    <w:p w14:paraId="72C93783" w14:textId="59AB3763" w:rsidR="00E12E89" w:rsidRDefault="00E12E89" w:rsidP="00E12E89">
      <w:pPr>
        <w:pStyle w:val="BodyText"/>
        <w:spacing w:after="60"/>
      </w:pPr>
      <w:r>
        <w:t>If a non-compliance is detected during a pre-season audit, the auditor must issue an advisory finding</w:t>
      </w:r>
      <w:r w:rsidR="00733F5B">
        <w:t xml:space="preserve"> per </w:t>
      </w:r>
      <w:r w:rsidR="008A603C">
        <w:t>sub-</w:t>
      </w:r>
      <w:r w:rsidR="00733F5B">
        <w:t>element</w:t>
      </w:r>
      <w:r>
        <w:t>. Each advisory finding must:</w:t>
      </w:r>
    </w:p>
    <w:p w14:paraId="2C639021" w14:textId="77777777" w:rsidR="00E12E89" w:rsidRDefault="00E12E89" w:rsidP="00E12E89">
      <w:pPr>
        <w:pStyle w:val="ListBullet"/>
        <w:ind w:left="284" w:right="-731" w:hanging="284"/>
      </w:pPr>
      <w:r w:rsidRPr="001F4754">
        <w:t>describe the identified non-compliance</w:t>
      </w:r>
    </w:p>
    <w:p w14:paraId="67077C69" w14:textId="60A430C0" w:rsidR="00733F5B" w:rsidRDefault="00733F5B" w:rsidP="00E12E89">
      <w:pPr>
        <w:pStyle w:val="ListBullet"/>
        <w:ind w:left="284" w:right="-731" w:hanging="284"/>
      </w:pPr>
      <w:r>
        <w:rPr>
          <w:szCs w:val="22"/>
        </w:rPr>
        <w:lastRenderedPageBreak/>
        <w:t xml:space="preserve">be </w:t>
      </w:r>
      <w:r w:rsidRPr="00072024">
        <w:rPr>
          <w:szCs w:val="22"/>
        </w:rPr>
        <w:t>issued in writing by auditors immediately upon completing the audit</w:t>
      </w:r>
    </w:p>
    <w:p w14:paraId="029D1F6E" w14:textId="5D8ECB62" w:rsidR="00E12E89" w:rsidRDefault="00E12E89" w:rsidP="00E12E89">
      <w:pPr>
        <w:pStyle w:val="ListBullet"/>
        <w:ind w:left="284" w:right="-731" w:hanging="284"/>
      </w:pPr>
      <w:r>
        <w:t xml:space="preserve">state the </w:t>
      </w:r>
      <w:r w:rsidR="00E64CCF">
        <w:t>review date</w:t>
      </w:r>
      <w:r w:rsidR="00546C44">
        <w:t xml:space="preserve"> </w:t>
      </w:r>
      <w:r>
        <w:t>of the non-compliance, which is no more than seven calendar days from issue of the advisory finding</w:t>
      </w:r>
      <w:r w:rsidR="00546C44">
        <w:t>.</w:t>
      </w:r>
    </w:p>
    <w:p w14:paraId="1F07877B" w14:textId="45B7812D" w:rsidR="00E12E89" w:rsidRDefault="00E12E89" w:rsidP="00E12E89">
      <w:pPr>
        <w:pStyle w:val="BodyText"/>
      </w:pPr>
      <w:bookmarkStart w:id="30" w:name="_Toc497215254"/>
      <w:r>
        <w:t>The following table outlines the process for conducting a pre-season audit of a property.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662"/>
        <w:gridCol w:w="1843"/>
      </w:tblGrid>
      <w:tr w:rsidR="00B5294B" w:rsidRPr="00B5294B" w14:paraId="738EA454" w14:textId="77777777" w:rsidTr="00B5294B">
        <w:trPr>
          <w:cantSplit/>
          <w:trHeight w:val="503"/>
          <w:tblHeader/>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E52CDB" w14:textId="77777777" w:rsidR="00E12E89" w:rsidRPr="00023E69" w:rsidRDefault="00E12E89" w:rsidP="00886ED7">
            <w:pPr>
              <w:pStyle w:val="Tableheadings"/>
              <w:jc w:val="center"/>
              <w:rPr>
                <w:color w:val="auto"/>
              </w:rPr>
            </w:pPr>
            <w:r w:rsidRPr="00023E69">
              <w:rPr>
                <w:color w:val="auto"/>
              </w:rPr>
              <w:t>Stage</w:t>
            </w:r>
          </w:p>
        </w:tc>
        <w:tc>
          <w:tcPr>
            <w:tcW w:w="666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8F6D016" w14:textId="77777777" w:rsidR="00E12E89" w:rsidRPr="00023E69" w:rsidRDefault="00E12E89" w:rsidP="00886ED7">
            <w:pPr>
              <w:pStyle w:val="Tableheadings"/>
              <w:rPr>
                <w:color w:val="auto"/>
              </w:rPr>
            </w:pPr>
            <w:r w:rsidRPr="00023E69">
              <w:rPr>
                <w:color w:val="auto"/>
              </w:rPr>
              <w:t>What happens</w:t>
            </w:r>
          </w:p>
        </w:tc>
        <w:tc>
          <w:tcPr>
            <w:tcW w:w="1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999FA6" w14:textId="77777777" w:rsidR="00E12E89" w:rsidRPr="00023E69" w:rsidRDefault="00E12E89" w:rsidP="00886ED7">
            <w:pPr>
              <w:pStyle w:val="Tableheadings"/>
              <w:rPr>
                <w:color w:val="auto"/>
              </w:rPr>
            </w:pPr>
            <w:r w:rsidRPr="00023E69">
              <w:rPr>
                <w:color w:val="auto"/>
              </w:rPr>
              <w:t>Responsible party</w:t>
            </w:r>
          </w:p>
        </w:tc>
      </w:tr>
      <w:tr w:rsidR="00E12E89" w14:paraId="7A99652F" w14:textId="77777777" w:rsidTr="00023E69">
        <w:trPr>
          <w:cantSplit/>
          <w:trHeight w:val="716"/>
        </w:trPr>
        <w:tc>
          <w:tcPr>
            <w:tcW w:w="851" w:type="dxa"/>
            <w:tcBorders>
              <w:top w:val="single" w:sz="4" w:space="0" w:color="auto"/>
              <w:bottom w:val="single" w:sz="4" w:space="0" w:color="auto"/>
            </w:tcBorders>
          </w:tcPr>
          <w:p w14:paraId="424322A0" w14:textId="77777777" w:rsidR="00E12E89" w:rsidRDefault="00E12E89" w:rsidP="00886ED7">
            <w:pPr>
              <w:jc w:val="center"/>
            </w:pPr>
            <w:r>
              <w:t>1.</w:t>
            </w:r>
          </w:p>
        </w:tc>
        <w:tc>
          <w:tcPr>
            <w:tcW w:w="6662" w:type="dxa"/>
            <w:tcBorders>
              <w:top w:val="single" w:sz="4" w:space="0" w:color="auto"/>
              <w:bottom w:val="single" w:sz="4" w:space="0" w:color="auto"/>
            </w:tcBorders>
          </w:tcPr>
          <w:p w14:paraId="2494348F" w14:textId="77777777" w:rsidR="00E12E89" w:rsidRDefault="00E12E89" w:rsidP="00886ED7">
            <w:pPr>
              <w:rPr>
                <w:rFonts w:cs="Calibri"/>
              </w:rPr>
            </w:pPr>
            <w:r>
              <w:rPr>
                <w:rFonts w:cs="Calibri"/>
              </w:rPr>
              <w:t>An assessment and/or desk audit is conducted on the application and any applicable supporting documents to determine if an audit can occur.</w:t>
            </w:r>
          </w:p>
        </w:tc>
        <w:tc>
          <w:tcPr>
            <w:tcW w:w="1843" w:type="dxa"/>
            <w:tcBorders>
              <w:top w:val="single" w:sz="4" w:space="0" w:color="auto"/>
              <w:bottom w:val="single" w:sz="4" w:space="0" w:color="auto"/>
            </w:tcBorders>
          </w:tcPr>
          <w:p w14:paraId="64B12305" w14:textId="4FBAE9D3" w:rsidR="00E12E89" w:rsidRDefault="00E64CCF" w:rsidP="00886ED7">
            <w:pPr>
              <w:pStyle w:val="ListBullet"/>
              <w:numPr>
                <w:ilvl w:val="0"/>
                <w:numId w:val="0"/>
              </w:numPr>
              <w:ind w:left="360" w:hanging="360"/>
            </w:pPr>
            <w:r>
              <w:t xml:space="preserve">AAB / </w:t>
            </w:r>
            <w:r w:rsidR="003116F8">
              <w:t>Auditor</w:t>
            </w:r>
          </w:p>
        </w:tc>
      </w:tr>
      <w:tr w:rsidR="00E12E89" w14:paraId="39D212F9" w14:textId="77777777" w:rsidTr="00023E69">
        <w:trPr>
          <w:cantSplit/>
          <w:trHeight w:val="716"/>
        </w:trPr>
        <w:tc>
          <w:tcPr>
            <w:tcW w:w="851" w:type="dxa"/>
            <w:tcBorders>
              <w:top w:val="single" w:sz="4" w:space="0" w:color="auto"/>
              <w:bottom w:val="single" w:sz="4" w:space="0" w:color="auto"/>
            </w:tcBorders>
          </w:tcPr>
          <w:p w14:paraId="69CBAB44" w14:textId="77777777" w:rsidR="00E12E89" w:rsidRDefault="00E12E89" w:rsidP="00886ED7">
            <w:pPr>
              <w:jc w:val="center"/>
            </w:pPr>
            <w:r>
              <w:t>2.</w:t>
            </w:r>
          </w:p>
        </w:tc>
        <w:tc>
          <w:tcPr>
            <w:tcW w:w="6662" w:type="dxa"/>
            <w:tcBorders>
              <w:top w:val="single" w:sz="4" w:space="0" w:color="auto"/>
              <w:bottom w:val="single" w:sz="4" w:space="0" w:color="auto"/>
            </w:tcBorders>
          </w:tcPr>
          <w:p w14:paraId="45763ED2" w14:textId="01450ED0" w:rsidR="00E12E89" w:rsidRDefault="00E12E89" w:rsidP="00886ED7">
            <w:pPr>
              <w:rPr>
                <w:rFonts w:cs="Calibri"/>
              </w:rPr>
            </w:pPr>
            <w:r>
              <w:rPr>
                <w:rFonts w:cs="Calibri"/>
              </w:rPr>
              <w:t xml:space="preserve">An entry meeting is conducted </w:t>
            </w:r>
            <w:r w:rsidR="003116F8">
              <w:rPr>
                <w:rFonts w:cs="Calibri"/>
              </w:rPr>
              <w:t xml:space="preserve">on-site with the manager of the property to </w:t>
            </w:r>
            <w:r>
              <w:rPr>
                <w:rFonts w:cs="Calibri"/>
              </w:rPr>
              <w:t>outline the objectives, scope and process of the audit.</w:t>
            </w:r>
          </w:p>
          <w:p w14:paraId="6454E670" w14:textId="37480576" w:rsidR="00E12E89" w:rsidRDefault="00E12E89" w:rsidP="00886ED7">
            <w:pPr>
              <w:rPr>
                <w:rFonts w:cs="Calibri"/>
              </w:rPr>
            </w:pPr>
            <w:r w:rsidRPr="00280387">
              <w:rPr>
                <w:b/>
              </w:rPr>
              <w:t>Note</w:t>
            </w:r>
            <w:r>
              <w:t>:</w:t>
            </w:r>
            <w:r w:rsidR="00E64CCF" w:rsidDel="00E64CCF">
              <w:t xml:space="preserve"> </w:t>
            </w:r>
            <w:r w:rsidR="00E64CCF">
              <w:t>T</w:t>
            </w:r>
            <w:r>
              <w:t xml:space="preserve">he manager may nominate </w:t>
            </w:r>
            <w:r w:rsidR="00E64CCF">
              <w:t xml:space="preserve">a relevant </w:t>
            </w:r>
            <w:r>
              <w:t>person</w:t>
            </w:r>
            <w:r w:rsidR="00E64CCF">
              <w:t>/s</w:t>
            </w:r>
            <w:r>
              <w:t xml:space="preserve"> to represent them during the audit.</w:t>
            </w:r>
          </w:p>
        </w:tc>
        <w:tc>
          <w:tcPr>
            <w:tcW w:w="1843" w:type="dxa"/>
            <w:tcBorders>
              <w:top w:val="single" w:sz="4" w:space="0" w:color="auto"/>
              <w:bottom w:val="single" w:sz="4" w:space="0" w:color="auto"/>
            </w:tcBorders>
          </w:tcPr>
          <w:p w14:paraId="281942F6" w14:textId="6D024DE8" w:rsidR="00E12E89" w:rsidRDefault="00E12E89" w:rsidP="00886ED7">
            <w:pPr>
              <w:pStyle w:val="ListBullet"/>
            </w:pPr>
            <w:r>
              <w:t>Manager</w:t>
            </w:r>
            <w:r w:rsidR="00E64CCF">
              <w:t xml:space="preserve"> / Relevant person</w:t>
            </w:r>
          </w:p>
          <w:p w14:paraId="6C2A9CE6" w14:textId="77777777" w:rsidR="00E12E89" w:rsidRDefault="00E12E89" w:rsidP="00886ED7">
            <w:pPr>
              <w:pStyle w:val="ListBullet"/>
            </w:pPr>
            <w:r>
              <w:t xml:space="preserve">Auditor </w:t>
            </w:r>
          </w:p>
        </w:tc>
      </w:tr>
      <w:tr w:rsidR="00E12E89" w14:paraId="21166BA1" w14:textId="77777777" w:rsidTr="00023E69">
        <w:trPr>
          <w:cantSplit/>
          <w:trHeight w:val="716"/>
        </w:trPr>
        <w:tc>
          <w:tcPr>
            <w:tcW w:w="851" w:type="dxa"/>
            <w:tcBorders>
              <w:top w:val="single" w:sz="4" w:space="0" w:color="auto"/>
              <w:bottom w:val="single" w:sz="4" w:space="0" w:color="auto"/>
            </w:tcBorders>
          </w:tcPr>
          <w:p w14:paraId="4B2EB831" w14:textId="77777777" w:rsidR="00E12E89" w:rsidRDefault="00E12E89" w:rsidP="00886ED7">
            <w:pPr>
              <w:jc w:val="center"/>
            </w:pPr>
            <w:r>
              <w:t>3.</w:t>
            </w:r>
          </w:p>
        </w:tc>
        <w:tc>
          <w:tcPr>
            <w:tcW w:w="6662" w:type="dxa"/>
            <w:tcBorders>
              <w:top w:val="single" w:sz="4" w:space="0" w:color="auto"/>
              <w:bottom w:val="single" w:sz="4" w:space="0" w:color="auto"/>
            </w:tcBorders>
          </w:tcPr>
          <w:p w14:paraId="5A5D128E" w14:textId="6A07BF93" w:rsidR="00E12E89" w:rsidRPr="00BD0DD9" w:rsidRDefault="00E12E89" w:rsidP="00886ED7">
            <w:pPr>
              <w:spacing w:after="60"/>
              <w:rPr>
                <w:b/>
              </w:rPr>
            </w:pPr>
            <w:r>
              <w:rPr>
                <w:rFonts w:cs="Calibri"/>
              </w:rPr>
              <w:t>The manager</w:t>
            </w:r>
            <w:r w:rsidR="00E64CCF">
              <w:rPr>
                <w:rFonts w:cs="Calibri"/>
              </w:rPr>
              <w:t xml:space="preserve"> or relevant person</w:t>
            </w:r>
            <w:r>
              <w:rPr>
                <w:rFonts w:cs="Calibri"/>
              </w:rPr>
              <w:t xml:space="preserve"> provides the auditor with copies of all required documentations as per the relevant performance standards. </w:t>
            </w:r>
          </w:p>
        </w:tc>
        <w:tc>
          <w:tcPr>
            <w:tcW w:w="1843" w:type="dxa"/>
            <w:tcBorders>
              <w:top w:val="single" w:sz="4" w:space="0" w:color="auto"/>
              <w:bottom w:val="single" w:sz="4" w:space="0" w:color="auto"/>
            </w:tcBorders>
          </w:tcPr>
          <w:p w14:paraId="3F9DBADC" w14:textId="1C70C651" w:rsidR="00E12E89" w:rsidRDefault="00E12E89" w:rsidP="00886ED7">
            <w:pPr>
              <w:rPr>
                <w:spacing w:val="-1"/>
              </w:rPr>
            </w:pPr>
            <w:r>
              <w:rPr>
                <w:spacing w:val="-1"/>
              </w:rPr>
              <w:t>Manager</w:t>
            </w:r>
            <w:r w:rsidR="00E64CCF">
              <w:rPr>
                <w:spacing w:val="-1"/>
              </w:rPr>
              <w:t xml:space="preserve"> / Relevant person</w:t>
            </w:r>
          </w:p>
        </w:tc>
      </w:tr>
      <w:tr w:rsidR="00E12E89" w14:paraId="7F9D4B61" w14:textId="77777777" w:rsidTr="00023E69">
        <w:trPr>
          <w:cantSplit/>
          <w:trHeight w:val="716"/>
        </w:trPr>
        <w:tc>
          <w:tcPr>
            <w:tcW w:w="851" w:type="dxa"/>
            <w:tcBorders>
              <w:top w:val="single" w:sz="4" w:space="0" w:color="auto"/>
              <w:bottom w:val="single" w:sz="4" w:space="0" w:color="auto"/>
            </w:tcBorders>
          </w:tcPr>
          <w:p w14:paraId="742BD3EE" w14:textId="77777777" w:rsidR="00E12E89" w:rsidRDefault="00E12E89" w:rsidP="00886ED7">
            <w:pPr>
              <w:jc w:val="center"/>
            </w:pPr>
            <w:r>
              <w:t>4.</w:t>
            </w:r>
          </w:p>
        </w:tc>
        <w:tc>
          <w:tcPr>
            <w:tcW w:w="6662" w:type="dxa"/>
            <w:tcBorders>
              <w:top w:val="single" w:sz="4" w:space="0" w:color="auto"/>
              <w:bottom w:val="single" w:sz="4" w:space="0" w:color="auto"/>
            </w:tcBorders>
          </w:tcPr>
          <w:p w14:paraId="506E4680" w14:textId="2881CF0E" w:rsidR="00E12E89" w:rsidRDefault="00E12E89" w:rsidP="00886ED7">
            <w:pPr>
              <w:rPr>
                <w:rFonts w:cs="Calibri"/>
              </w:rPr>
            </w:pPr>
            <w:r>
              <w:rPr>
                <w:rFonts w:cs="Calibri"/>
              </w:rPr>
              <w:t xml:space="preserve">The auditor </w:t>
            </w:r>
            <w:r>
              <w:t xml:space="preserve">assesses compliance </w:t>
            </w:r>
            <w:r w:rsidRPr="0055064D">
              <w:t xml:space="preserve">against the </w:t>
            </w:r>
            <w:r>
              <w:t>performance standards</w:t>
            </w:r>
            <w:r w:rsidR="00511CAF">
              <w:t>.</w:t>
            </w:r>
          </w:p>
        </w:tc>
        <w:tc>
          <w:tcPr>
            <w:tcW w:w="1843" w:type="dxa"/>
            <w:tcBorders>
              <w:top w:val="single" w:sz="4" w:space="0" w:color="auto"/>
              <w:bottom w:val="single" w:sz="4" w:space="0" w:color="auto"/>
            </w:tcBorders>
          </w:tcPr>
          <w:p w14:paraId="31936BDA" w14:textId="77777777" w:rsidR="00E12E89" w:rsidRDefault="00E12E89" w:rsidP="00886ED7">
            <w:pPr>
              <w:rPr>
                <w:spacing w:val="-1"/>
              </w:rPr>
            </w:pPr>
            <w:r>
              <w:rPr>
                <w:spacing w:val="-1"/>
              </w:rPr>
              <w:t>Auditor</w:t>
            </w:r>
          </w:p>
        </w:tc>
      </w:tr>
      <w:tr w:rsidR="00E12E89" w14:paraId="3247BEB8" w14:textId="77777777" w:rsidTr="00023E69">
        <w:trPr>
          <w:cantSplit/>
          <w:trHeight w:val="1576"/>
        </w:trPr>
        <w:tc>
          <w:tcPr>
            <w:tcW w:w="851" w:type="dxa"/>
            <w:tcBorders>
              <w:top w:val="single" w:sz="4" w:space="0" w:color="auto"/>
              <w:bottom w:val="single" w:sz="4" w:space="0" w:color="auto"/>
            </w:tcBorders>
          </w:tcPr>
          <w:p w14:paraId="5061C97D" w14:textId="77777777" w:rsidR="00E12E89" w:rsidRDefault="00E12E89" w:rsidP="00886ED7">
            <w:pPr>
              <w:jc w:val="center"/>
            </w:pPr>
            <w:r>
              <w:lastRenderedPageBreak/>
              <w:t>5.</w:t>
            </w:r>
          </w:p>
        </w:tc>
        <w:tc>
          <w:tcPr>
            <w:tcW w:w="6662" w:type="dxa"/>
            <w:tcBorders>
              <w:top w:val="single" w:sz="4" w:space="0" w:color="auto"/>
              <w:bottom w:val="single" w:sz="4" w:space="0" w:color="auto"/>
            </w:tcBorders>
          </w:tcPr>
          <w:p w14:paraId="527BA6FC" w14:textId="610645EC" w:rsidR="00E12E89" w:rsidRDefault="00E12E89" w:rsidP="00886ED7">
            <w:pPr>
              <w:rPr>
                <w:rFonts w:cs="Calibri"/>
              </w:rPr>
            </w:pPr>
            <w:r>
              <w:rPr>
                <w:rFonts w:cs="Calibri"/>
              </w:rPr>
              <w:t>An exit meeting is conducted</w:t>
            </w:r>
            <w:r w:rsidR="003116F8">
              <w:rPr>
                <w:rFonts w:cs="Calibri"/>
              </w:rPr>
              <w:t xml:space="preserve"> on-site with the manager</w:t>
            </w:r>
            <w:r w:rsidR="00E64CCF">
              <w:rPr>
                <w:rFonts w:cs="Calibri"/>
              </w:rPr>
              <w:t xml:space="preserve"> or relevant person</w:t>
            </w:r>
            <w:r w:rsidR="003116F8">
              <w:rPr>
                <w:rFonts w:cs="Calibri"/>
              </w:rPr>
              <w:t xml:space="preserve"> of the property</w:t>
            </w:r>
            <w:r>
              <w:rPr>
                <w:rFonts w:cs="Calibri"/>
              </w:rPr>
              <w:t xml:space="preserve"> </w:t>
            </w:r>
            <w:r w:rsidR="00E64CCF">
              <w:rPr>
                <w:rFonts w:cs="Calibri"/>
              </w:rPr>
              <w:t>to present</w:t>
            </w:r>
            <w:r w:rsidR="00653FAB">
              <w:rPr>
                <w:rFonts w:cs="Calibri"/>
              </w:rPr>
              <w:t xml:space="preserve"> </w:t>
            </w:r>
            <w:r>
              <w:rPr>
                <w:rFonts w:cs="Calibri"/>
              </w:rPr>
              <w:t>the audit findings</w:t>
            </w:r>
            <w:r w:rsidR="00E64CCF">
              <w:rPr>
                <w:rFonts w:cs="Calibri"/>
              </w:rPr>
              <w:t xml:space="preserve">, including any identified </w:t>
            </w:r>
            <w:r>
              <w:rPr>
                <w:rFonts w:cs="Calibri"/>
              </w:rPr>
              <w:t>non-compliances and</w:t>
            </w:r>
            <w:r w:rsidR="00E64CCF">
              <w:rPr>
                <w:rFonts w:cs="Calibri"/>
              </w:rPr>
              <w:t xml:space="preserve"> </w:t>
            </w:r>
            <w:r>
              <w:rPr>
                <w:rFonts w:cs="Calibri"/>
              </w:rPr>
              <w:t xml:space="preserve">further actions </w:t>
            </w:r>
            <w:r w:rsidR="00E64CCF">
              <w:rPr>
                <w:rFonts w:cs="Calibri"/>
              </w:rPr>
              <w:t>required</w:t>
            </w:r>
            <w:r>
              <w:rPr>
                <w:rFonts w:cs="Calibri"/>
              </w:rPr>
              <w:t>.</w:t>
            </w:r>
          </w:p>
          <w:p w14:paraId="0B9F8D1D" w14:textId="6819B6DE" w:rsidR="003116F8" w:rsidRDefault="00E64CCF" w:rsidP="00DB291C">
            <w:pPr>
              <w:rPr>
                <w:rFonts w:cs="Calibri"/>
              </w:rPr>
            </w:pPr>
            <w:r>
              <w:rPr>
                <w:rFonts w:cs="Calibri"/>
                <w:b/>
                <w:bCs/>
              </w:rPr>
              <w:t xml:space="preserve">Note: </w:t>
            </w:r>
            <w:r>
              <w:rPr>
                <w:rFonts w:cs="Calibri"/>
              </w:rPr>
              <w:t xml:space="preserve">Where </w:t>
            </w:r>
            <w:r w:rsidR="00DB291C">
              <w:rPr>
                <w:rFonts w:cs="Calibri"/>
              </w:rPr>
              <w:t>several</w:t>
            </w:r>
            <w:r>
              <w:rPr>
                <w:rFonts w:cs="Calibri"/>
              </w:rPr>
              <w:t xml:space="preserve"> non-compliances are identified, the auditor can defer the issuance of non-compliances and associated ratings until further consideration has been sought by the AAB delegate.</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3483"/>
            </w:tblGrid>
            <w:tr w:rsidR="00B5294B" w:rsidRPr="00B5294B" w14:paraId="56868165" w14:textId="77777777" w:rsidTr="00023E69">
              <w:trPr>
                <w:tblHeader/>
              </w:trPr>
              <w:tc>
                <w:tcPr>
                  <w:tcW w:w="2891" w:type="dxa"/>
                  <w:tcBorders>
                    <w:right w:val="single" w:sz="4" w:space="0" w:color="auto"/>
                  </w:tcBorders>
                  <w:shd w:val="clear" w:color="auto" w:fill="BFBFBF" w:themeFill="background1" w:themeFillShade="BF"/>
                </w:tcPr>
                <w:p w14:paraId="6CC204EF" w14:textId="77777777" w:rsidR="00E12E89" w:rsidRPr="00023E69" w:rsidRDefault="00E12E89" w:rsidP="00886ED7">
                  <w:pPr>
                    <w:pStyle w:val="Tableheadings"/>
                    <w:rPr>
                      <w:color w:val="auto"/>
                    </w:rPr>
                  </w:pPr>
                  <w:r w:rsidRPr="00023E69">
                    <w:rPr>
                      <w:color w:val="auto"/>
                    </w:rPr>
                    <w:t>When non-compliances are…</w:t>
                  </w:r>
                </w:p>
              </w:tc>
              <w:tc>
                <w:tcPr>
                  <w:tcW w:w="3483" w:type="dxa"/>
                  <w:tcBorders>
                    <w:left w:val="single" w:sz="4" w:space="0" w:color="auto"/>
                  </w:tcBorders>
                  <w:shd w:val="clear" w:color="auto" w:fill="BFBFBF" w:themeFill="background1" w:themeFillShade="BF"/>
                </w:tcPr>
                <w:p w14:paraId="6A443A89" w14:textId="77777777" w:rsidR="00E12E89" w:rsidRPr="00023E69" w:rsidRDefault="00E12E89" w:rsidP="00886ED7">
                  <w:pPr>
                    <w:pStyle w:val="Tableheadings"/>
                    <w:rPr>
                      <w:color w:val="auto"/>
                    </w:rPr>
                  </w:pPr>
                  <w:r w:rsidRPr="00023E69">
                    <w:rPr>
                      <w:color w:val="auto"/>
                    </w:rPr>
                    <w:t>Then…</w:t>
                  </w:r>
                </w:p>
              </w:tc>
            </w:tr>
            <w:tr w:rsidR="00E12E89" w14:paraId="6FFCDF5C" w14:textId="77777777" w:rsidTr="00023E69">
              <w:tc>
                <w:tcPr>
                  <w:tcW w:w="2891" w:type="dxa"/>
                  <w:shd w:val="clear" w:color="auto" w:fill="auto"/>
                </w:tcPr>
                <w:p w14:paraId="011EE18D" w14:textId="77777777" w:rsidR="00E12E89" w:rsidRDefault="00E12E89" w:rsidP="00886ED7">
                  <w:r>
                    <w:t>not identified</w:t>
                  </w:r>
                </w:p>
              </w:tc>
              <w:tc>
                <w:tcPr>
                  <w:tcW w:w="3483" w:type="dxa"/>
                  <w:shd w:val="clear" w:color="auto" w:fill="auto"/>
                </w:tcPr>
                <w:p w14:paraId="18BF9A3E" w14:textId="77777777" w:rsidR="00E12E89" w:rsidRDefault="00E12E89" w:rsidP="00886ED7">
                  <w:pPr>
                    <w:pStyle w:val="ListBullet"/>
                  </w:pPr>
                  <w:r>
                    <w:t>the property passes the audit</w:t>
                  </w:r>
                </w:p>
                <w:p w14:paraId="098D02F6" w14:textId="5A575A3A" w:rsidR="00E12E89" w:rsidRDefault="00E12E89" w:rsidP="00886ED7">
                  <w:pPr>
                    <w:pStyle w:val="ListBullet"/>
                  </w:pPr>
                  <w:r>
                    <w:t>an audit report is issued</w:t>
                  </w:r>
                  <w:r w:rsidR="00740BDB">
                    <w:t xml:space="preserve"> to the manager/relevant person within 10 business days</w:t>
                  </w:r>
                </w:p>
                <w:p w14:paraId="3E6B1665" w14:textId="642D5AE1" w:rsidR="008B1217" w:rsidRDefault="008B1217" w:rsidP="00886ED7">
                  <w:pPr>
                    <w:pStyle w:val="ListBullet"/>
                  </w:pPr>
                  <w:r>
                    <w:rPr>
                      <w:b/>
                      <w:bCs/>
                    </w:rPr>
                    <w:t xml:space="preserve">Refer to </w:t>
                  </w:r>
                  <w:r>
                    <w:t xml:space="preserve">the </w:t>
                  </w:r>
                  <w:r w:rsidR="00DB291C">
                    <w:t>Exports process instruction</w:t>
                  </w:r>
                  <w:r>
                    <w:t xml:space="preserve">: </w:t>
                  </w:r>
                  <w:hyperlink w:anchor="_Related_material_2" w:history="1">
                    <w:r w:rsidRPr="00023E69">
                      <w:rPr>
                        <w:rStyle w:val="Hyperlink"/>
                        <w:i/>
                        <w:iCs/>
                      </w:rPr>
                      <w:t>Management of horticulture export accredited properties</w:t>
                    </w:r>
                  </w:hyperlink>
                </w:p>
                <w:p w14:paraId="01B74C75" w14:textId="3B045496" w:rsidR="00E12E89" w:rsidRDefault="00E12E89" w:rsidP="00886ED7">
                  <w:pPr>
                    <w:pStyle w:val="ListBullet"/>
                  </w:pPr>
                  <w:r>
                    <w:rPr>
                      <w:b/>
                      <w:bCs/>
                    </w:rPr>
                    <w:t xml:space="preserve">the </w:t>
                  </w:r>
                  <w:r w:rsidRPr="00A56CA5">
                    <w:rPr>
                      <w:b/>
                      <w:bCs/>
                    </w:rPr>
                    <w:t xml:space="preserve">process </w:t>
                  </w:r>
                  <w:r>
                    <w:rPr>
                      <w:b/>
                      <w:bCs/>
                    </w:rPr>
                    <w:t>ends</w:t>
                  </w:r>
                  <w:r w:rsidRPr="00A56CA5">
                    <w:rPr>
                      <w:b/>
                      <w:bCs/>
                    </w:rPr>
                    <w:t xml:space="preserve"> here.</w:t>
                  </w:r>
                </w:p>
              </w:tc>
            </w:tr>
            <w:tr w:rsidR="00E12E89" w14:paraId="52295103" w14:textId="77777777" w:rsidTr="00023E69">
              <w:tc>
                <w:tcPr>
                  <w:tcW w:w="2891" w:type="dxa"/>
                  <w:shd w:val="clear" w:color="auto" w:fill="auto"/>
                </w:tcPr>
                <w:p w14:paraId="5311AD1E" w14:textId="69EDC541" w:rsidR="00E12E89" w:rsidRDefault="00E12E89" w:rsidP="00886ED7">
                  <w:r>
                    <w:t>identified and can be</w:t>
                  </w:r>
                  <w:r w:rsidR="003116F8">
                    <w:t xml:space="preserve"> reasonably </w:t>
                  </w:r>
                  <w:r w:rsidR="00740BDB">
                    <w:t>addressed</w:t>
                  </w:r>
                  <w:r>
                    <w:t xml:space="preserve"> within 7 calendar days</w:t>
                  </w:r>
                </w:p>
              </w:tc>
              <w:tc>
                <w:tcPr>
                  <w:tcW w:w="3483" w:type="dxa"/>
                  <w:shd w:val="clear" w:color="auto" w:fill="auto"/>
                </w:tcPr>
                <w:p w14:paraId="6A6A3F8E" w14:textId="4074992F" w:rsidR="005F3578" w:rsidRDefault="00B11EC4" w:rsidP="00886ED7">
                  <w:pPr>
                    <w:pStyle w:val="ListBullet"/>
                  </w:pPr>
                  <w:r>
                    <w:t>t</w:t>
                  </w:r>
                  <w:r w:rsidR="005F3578" w:rsidRPr="004921D8">
                    <w:t xml:space="preserve">he property is not compliant and is </w:t>
                  </w:r>
                  <w:r w:rsidR="005F3578">
                    <w:t xml:space="preserve">deemed not yet </w:t>
                  </w:r>
                  <w:r w:rsidR="005F3578" w:rsidRPr="004921D8">
                    <w:t>considered for accreditation</w:t>
                  </w:r>
                </w:p>
                <w:p w14:paraId="682B4537" w14:textId="3C080016" w:rsidR="00E12E89" w:rsidRDefault="00E12E89" w:rsidP="00886ED7">
                  <w:pPr>
                    <w:pStyle w:val="ListBullet"/>
                  </w:pPr>
                  <w:r>
                    <w:t>an advisory finding is issued</w:t>
                  </w:r>
                  <w:r w:rsidR="00740BDB">
                    <w:t xml:space="preserve"> to the manager/relevant person</w:t>
                  </w:r>
                </w:p>
                <w:p w14:paraId="5F0B4FB5" w14:textId="5FA50FFD" w:rsidR="00E12E89" w:rsidRDefault="00E12E89" w:rsidP="00886ED7">
                  <w:pPr>
                    <w:pStyle w:val="ListBullet"/>
                  </w:pPr>
                  <w:r>
                    <w:t>an audit report is issued</w:t>
                  </w:r>
                  <w:r w:rsidR="00740BDB">
                    <w:t xml:space="preserve"> to the manager/relevant person within 10 business days.</w:t>
                  </w:r>
                </w:p>
                <w:p w14:paraId="4FFDAED7" w14:textId="77777777" w:rsidR="00E12E89" w:rsidRDefault="00E12E89" w:rsidP="00886ED7">
                  <w:pPr>
                    <w:pStyle w:val="ListBullet"/>
                  </w:pPr>
                  <w:r>
                    <w:rPr>
                      <w:b/>
                    </w:rPr>
                    <w:t>continue to Stage 6</w:t>
                  </w:r>
                  <w:r>
                    <w:t>.</w:t>
                  </w:r>
                </w:p>
              </w:tc>
            </w:tr>
            <w:tr w:rsidR="00E12E89" w14:paraId="4F3AE7B9" w14:textId="77777777" w:rsidTr="00023E69">
              <w:tc>
                <w:tcPr>
                  <w:tcW w:w="2891" w:type="dxa"/>
                  <w:shd w:val="clear" w:color="auto" w:fill="auto"/>
                </w:tcPr>
                <w:p w14:paraId="1615B0F1" w14:textId="77777777" w:rsidR="00E12E89" w:rsidRDefault="00E12E89" w:rsidP="00886ED7">
                  <w:r>
                    <w:t>identified and cannot be actioned</w:t>
                  </w:r>
                </w:p>
              </w:tc>
              <w:tc>
                <w:tcPr>
                  <w:tcW w:w="3483" w:type="dxa"/>
                  <w:shd w:val="clear" w:color="auto" w:fill="auto"/>
                </w:tcPr>
                <w:p w14:paraId="581DE471" w14:textId="41F12A47" w:rsidR="008B1217" w:rsidRDefault="008B1217" w:rsidP="00886ED7">
                  <w:pPr>
                    <w:pStyle w:val="ListBullet"/>
                  </w:pPr>
                  <w:r>
                    <w:t>the property fails the audit</w:t>
                  </w:r>
                </w:p>
                <w:p w14:paraId="5931C0A7" w14:textId="48B56891" w:rsidR="00E12E89" w:rsidRDefault="00E12E89" w:rsidP="00886ED7">
                  <w:pPr>
                    <w:pStyle w:val="ListBullet"/>
                  </w:pPr>
                  <w:r>
                    <w:t xml:space="preserve">an audit report is issued </w:t>
                  </w:r>
                  <w:r w:rsidR="00740BDB">
                    <w:t>to the manager/relevant person within 10 business days</w:t>
                  </w:r>
                </w:p>
                <w:p w14:paraId="58A15B16" w14:textId="013D87BC" w:rsidR="008B1217" w:rsidRDefault="008B1217" w:rsidP="008B1217">
                  <w:pPr>
                    <w:pStyle w:val="ListBullet"/>
                  </w:pPr>
                  <w:r>
                    <w:rPr>
                      <w:b/>
                      <w:bCs/>
                    </w:rPr>
                    <w:t xml:space="preserve">Refer to </w:t>
                  </w:r>
                  <w:r>
                    <w:t xml:space="preserve">the </w:t>
                  </w:r>
                  <w:r w:rsidR="00DB291C">
                    <w:t xml:space="preserve">Exports process instruction: </w:t>
                  </w:r>
                  <w:hyperlink w:anchor="_Related_material_2" w:history="1">
                    <w:r w:rsidR="00DB291C" w:rsidRPr="009457E8">
                      <w:rPr>
                        <w:rStyle w:val="Hyperlink"/>
                        <w:i/>
                        <w:iCs/>
                      </w:rPr>
                      <w:t>Management of horticulture export accredited properties</w:t>
                    </w:r>
                  </w:hyperlink>
                </w:p>
                <w:p w14:paraId="194034EB" w14:textId="0D97B1D4" w:rsidR="00E12E89" w:rsidRDefault="008B1217" w:rsidP="00886ED7">
                  <w:pPr>
                    <w:pStyle w:val="ListBullet"/>
                  </w:pPr>
                  <w:r>
                    <w:rPr>
                      <w:b/>
                      <w:bCs/>
                    </w:rPr>
                    <w:t xml:space="preserve">the </w:t>
                  </w:r>
                  <w:r w:rsidRPr="00A56CA5">
                    <w:rPr>
                      <w:b/>
                      <w:bCs/>
                    </w:rPr>
                    <w:t xml:space="preserve">process </w:t>
                  </w:r>
                  <w:r>
                    <w:rPr>
                      <w:b/>
                      <w:bCs/>
                    </w:rPr>
                    <w:t>ends</w:t>
                  </w:r>
                  <w:r w:rsidRPr="00A56CA5">
                    <w:rPr>
                      <w:b/>
                      <w:bCs/>
                    </w:rPr>
                    <w:t xml:space="preserve"> here.</w:t>
                  </w:r>
                </w:p>
              </w:tc>
            </w:tr>
          </w:tbl>
          <w:p w14:paraId="43BFD128" w14:textId="633B3DB2" w:rsidR="00E12E89" w:rsidRPr="00F06AC0" w:rsidRDefault="00E12E89" w:rsidP="00023E69">
            <w:pPr>
              <w:pStyle w:val="ListBullet"/>
              <w:numPr>
                <w:ilvl w:val="0"/>
                <w:numId w:val="0"/>
              </w:numPr>
              <w:rPr>
                <w:b/>
              </w:rPr>
            </w:pPr>
          </w:p>
        </w:tc>
        <w:tc>
          <w:tcPr>
            <w:tcW w:w="1843" w:type="dxa"/>
            <w:tcBorders>
              <w:top w:val="single" w:sz="4" w:space="0" w:color="auto"/>
              <w:bottom w:val="single" w:sz="4" w:space="0" w:color="auto"/>
            </w:tcBorders>
          </w:tcPr>
          <w:p w14:paraId="30C7CB5E" w14:textId="5EF7DD78" w:rsidR="00E12E89" w:rsidRDefault="00E12E89" w:rsidP="00886ED7">
            <w:pPr>
              <w:pStyle w:val="ListBullet"/>
            </w:pPr>
            <w:r>
              <w:t>Manager</w:t>
            </w:r>
            <w:r w:rsidR="00E64CCF">
              <w:t xml:space="preserve"> / Relevant person</w:t>
            </w:r>
          </w:p>
          <w:p w14:paraId="7BD194D6" w14:textId="77777777" w:rsidR="00E12E89" w:rsidRPr="002524BE" w:rsidRDefault="00E12E89" w:rsidP="00886ED7">
            <w:pPr>
              <w:pStyle w:val="ListBullet"/>
            </w:pPr>
            <w:r>
              <w:t>Auditor</w:t>
            </w:r>
          </w:p>
        </w:tc>
      </w:tr>
      <w:tr w:rsidR="00E12E89" w14:paraId="77D5DB14" w14:textId="77777777" w:rsidTr="00023E69">
        <w:trPr>
          <w:cantSplit/>
          <w:trHeight w:val="117"/>
        </w:trPr>
        <w:tc>
          <w:tcPr>
            <w:tcW w:w="851" w:type="dxa"/>
            <w:tcBorders>
              <w:top w:val="single" w:sz="4" w:space="0" w:color="auto"/>
              <w:bottom w:val="single" w:sz="4" w:space="0" w:color="auto"/>
            </w:tcBorders>
          </w:tcPr>
          <w:p w14:paraId="056C5EC1" w14:textId="77777777" w:rsidR="00E12E89" w:rsidRDefault="00E12E89" w:rsidP="00886ED7">
            <w:pPr>
              <w:jc w:val="center"/>
            </w:pPr>
            <w:r>
              <w:t>6.</w:t>
            </w:r>
          </w:p>
        </w:tc>
        <w:tc>
          <w:tcPr>
            <w:tcW w:w="6662" w:type="dxa"/>
            <w:tcBorders>
              <w:top w:val="single" w:sz="4" w:space="0" w:color="auto"/>
              <w:bottom w:val="single" w:sz="4" w:space="0" w:color="auto"/>
            </w:tcBorders>
          </w:tcPr>
          <w:p w14:paraId="297BD7A6" w14:textId="43327C75" w:rsidR="00E12E89" w:rsidRDefault="00740BDB" w:rsidP="00886ED7">
            <w:pPr>
              <w:rPr>
                <w:rFonts w:cs="Calibri"/>
              </w:rPr>
            </w:pPr>
            <w:r>
              <w:rPr>
                <w:rFonts w:cs="Calibri"/>
              </w:rPr>
              <w:t xml:space="preserve"> Evidence of compliance is provided to the Auditor by the manager/relevant person by the review date.</w:t>
            </w:r>
          </w:p>
        </w:tc>
        <w:tc>
          <w:tcPr>
            <w:tcW w:w="1843" w:type="dxa"/>
            <w:tcBorders>
              <w:top w:val="single" w:sz="4" w:space="0" w:color="auto"/>
              <w:bottom w:val="single" w:sz="4" w:space="0" w:color="auto"/>
            </w:tcBorders>
          </w:tcPr>
          <w:p w14:paraId="0F0CC45D" w14:textId="77777777" w:rsidR="00E12E89" w:rsidRPr="00A56CA5" w:rsidRDefault="00E12E89" w:rsidP="00886ED7">
            <w:pPr>
              <w:rPr>
                <w:spacing w:val="-1"/>
              </w:rPr>
            </w:pPr>
            <w:r w:rsidRPr="00A56CA5">
              <w:rPr>
                <w:spacing w:val="-1"/>
              </w:rPr>
              <w:t>Manager</w:t>
            </w:r>
          </w:p>
        </w:tc>
      </w:tr>
      <w:tr w:rsidR="00E12E89" w14:paraId="4B09D297" w14:textId="77777777" w:rsidTr="00023E69">
        <w:trPr>
          <w:cantSplit/>
          <w:trHeight w:val="7913"/>
        </w:trPr>
        <w:tc>
          <w:tcPr>
            <w:tcW w:w="851" w:type="dxa"/>
            <w:tcBorders>
              <w:top w:val="single" w:sz="4" w:space="0" w:color="auto"/>
              <w:bottom w:val="single" w:sz="4" w:space="0" w:color="auto"/>
            </w:tcBorders>
          </w:tcPr>
          <w:p w14:paraId="6242906A" w14:textId="77777777" w:rsidR="00E12E89" w:rsidRDefault="00E12E89" w:rsidP="00886ED7">
            <w:pPr>
              <w:jc w:val="center"/>
            </w:pPr>
            <w:r>
              <w:lastRenderedPageBreak/>
              <w:t>7.</w:t>
            </w:r>
          </w:p>
        </w:tc>
        <w:tc>
          <w:tcPr>
            <w:tcW w:w="6662" w:type="dxa"/>
            <w:tcBorders>
              <w:top w:val="single" w:sz="4" w:space="0" w:color="auto"/>
              <w:bottom w:val="single" w:sz="4" w:space="0" w:color="auto"/>
            </w:tcBorders>
          </w:tcPr>
          <w:p w14:paraId="2EAB1FFB" w14:textId="77777777" w:rsidR="00E12E89" w:rsidRDefault="00E12E89" w:rsidP="00886ED7">
            <w:pPr>
              <w:rPr>
                <w:rFonts w:cs="Calibri"/>
              </w:rPr>
            </w:pPr>
            <w:r>
              <w:rPr>
                <w:rFonts w:cs="Calibri"/>
              </w:rPr>
              <w:t xml:space="preserve">The evidence provided by the </w:t>
            </w:r>
            <w:r>
              <w:t xml:space="preserve">manager </w:t>
            </w:r>
            <w:r>
              <w:rPr>
                <w:rFonts w:cs="Calibri"/>
              </w:rPr>
              <w:t>to address the non-compliance/s is reviewed.</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3827"/>
            </w:tblGrid>
            <w:tr w:rsidR="00B5294B" w:rsidRPr="00B5294B" w14:paraId="1A9F168A" w14:textId="77777777" w:rsidTr="00023E69">
              <w:trPr>
                <w:cantSplit/>
                <w:tblHeader/>
              </w:trPr>
              <w:tc>
                <w:tcPr>
                  <w:tcW w:w="2122" w:type="dxa"/>
                  <w:tcBorders>
                    <w:right w:val="single" w:sz="4" w:space="0" w:color="auto"/>
                  </w:tcBorders>
                  <w:shd w:val="clear" w:color="auto" w:fill="BFBFBF" w:themeFill="background1" w:themeFillShade="BF"/>
                </w:tcPr>
                <w:p w14:paraId="75F6A21E" w14:textId="77777777" w:rsidR="00E12E89" w:rsidRPr="00023E69" w:rsidRDefault="00E12E89" w:rsidP="00886ED7">
                  <w:pPr>
                    <w:pStyle w:val="Tableheadings"/>
                    <w:rPr>
                      <w:color w:val="auto"/>
                    </w:rPr>
                  </w:pPr>
                  <w:r w:rsidRPr="00023E69">
                    <w:rPr>
                      <w:color w:val="auto"/>
                    </w:rPr>
                    <w:t>When the evidence provided is…</w:t>
                  </w:r>
                </w:p>
              </w:tc>
              <w:tc>
                <w:tcPr>
                  <w:tcW w:w="3827" w:type="dxa"/>
                  <w:tcBorders>
                    <w:left w:val="single" w:sz="4" w:space="0" w:color="auto"/>
                  </w:tcBorders>
                  <w:shd w:val="clear" w:color="auto" w:fill="BFBFBF" w:themeFill="background1" w:themeFillShade="BF"/>
                </w:tcPr>
                <w:p w14:paraId="11B6531C" w14:textId="77777777" w:rsidR="00E12E89" w:rsidRPr="00023E69" w:rsidRDefault="00E12E89" w:rsidP="00886ED7">
                  <w:pPr>
                    <w:pStyle w:val="Tableheadings"/>
                    <w:rPr>
                      <w:color w:val="auto"/>
                    </w:rPr>
                  </w:pPr>
                  <w:r w:rsidRPr="00023E69">
                    <w:rPr>
                      <w:color w:val="auto"/>
                    </w:rPr>
                    <w:t>Then…</w:t>
                  </w:r>
                </w:p>
              </w:tc>
            </w:tr>
            <w:tr w:rsidR="00E12E89" w14:paraId="509338D8" w14:textId="77777777" w:rsidTr="00023E69">
              <w:tc>
                <w:tcPr>
                  <w:tcW w:w="2122" w:type="dxa"/>
                  <w:shd w:val="clear" w:color="auto" w:fill="auto"/>
                </w:tcPr>
                <w:p w14:paraId="64307CE7" w14:textId="77777777" w:rsidR="00E12E89" w:rsidRDefault="00E12E89" w:rsidP="00886ED7">
                  <w:r>
                    <w:t>satisfactory</w:t>
                  </w:r>
                </w:p>
              </w:tc>
              <w:tc>
                <w:tcPr>
                  <w:tcW w:w="3827" w:type="dxa"/>
                  <w:shd w:val="clear" w:color="auto" w:fill="auto"/>
                </w:tcPr>
                <w:p w14:paraId="3E0A7511" w14:textId="02DD65E1" w:rsidR="004921D8" w:rsidRDefault="00DB291C" w:rsidP="00886ED7">
                  <w:pPr>
                    <w:pStyle w:val="ListBullet"/>
                  </w:pPr>
                  <w:r>
                    <w:t>t</w:t>
                  </w:r>
                  <w:r w:rsidR="004921D8" w:rsidRPr="004921D8">
                    <w:t>he property is compliant and is considered for accreditation</w:t>
                  </w:r>
                </w:p>
                <w:p w14:paraId="3334A2C7" w14:textId="6EBA6A53" w:rsidR="00E12E89" w:rsidRDefault="00E12E89" w:rsidP="00886ED7">
                  <w:pPr>
                    <w:pStyle w:val="ListBullet"/>
                  </w:pPr>
                  <w:r>
                    <w:t xml:space="preserve">the </w:t>
                  </w:r>
                  <w:r w:rsidR="004921D8">
                    <w:t>advisory finding result is determined as compliant.</w:t>
                  </w:r>
                </w:p>
                <w:p w14:paraId="36DEAE9B" w14:textId="77777777" w:rsidR="002C097F" w:rsidRDefault="00DB291C" w:rsidP="008B1217">
                  <w:pPr>
                    <w:pStyle w:val="ListBullet"/>
                  </w:pPr>
                  <w:r>
                    <w:t>t</w:t>
                  </w:r>
                  <w:r w:rsidR="004921D8">
                    <w:t>he advisory finding is re-issued with a compliant result.</w:t>
                  </w:r>
                  <w:r w:rsidR="00CC6D4C">
                    <w:t xml:space="preserve"> </w:t>
                  </w:r>
                </w:p>
                <w:p w14:paraId="63231228" w14:textId="727969D9" w:rsidR="008B1217" w:rsidRDefault="008B1217" w:rsidP="008B1217">
                  <w:pPr>
                    <w:pStyle w:val="ListBullet"/>
                  </w:pPr>
                  <w:r>
                    <w:rPr>
                      <w:b/>
                      <w:bCs/>
                    </w:rPr>
                    <w:t xml:space="preserve">Refer to </w:t>
                  </w:r>
                  <w:r>
                    <w:t xml:space="preserve">the </w:t>
                  </w:r>
                  <w:r w:rsidR="00DB291C">
                    <w:t xml:space="preserve">Exports process instruction: </w:t>
                  </w:r>
                  <w:hyperlink w:anchor="_Related_material_2" w:history="1">
                    <w:r w:rsidR="00DB291C" w:rsidRPr="009457E8">
                      <w:rPr>
                        <w:rStyle w:val="Hyperlink"/>
                        <w:i/>
                        <w:iCs/>
                      </w:rPr>
                      <w:t>Management of horticulture export accredited properties</w:t>
                    </w:r>
                  </w:hyperlink>
                </w:p>
                <w:p w14:paraId="63731255" w14:textId="77777777" w:rsidR="00E12E89" w:rsidRPr="002814B5" w:rsidRDefault="00E12E89" w:rsidP="00886ED7">
                  <w:pPr>
                    <w:pStyle w:val="ListBullet"/>
                    <w:rPr>
                      <w:b/>
                    </w:rPr>
                  </w:pPr>
                  <w:r>
                    <w:rPr>
                      <w:b/>
                    </w:rPr>
                    <w:t>the process ends here.</w:t>
                  </w:r>
                  <w:r w:rsidRPr="002814B5">
                    <w:rPr>
                      <w:b/>
                    </w:rPr>
                    <w:t xml:space="preserve"> </w:t>
                  </w:r>
                </w:p>
              </w:tc>
            </w:tr>
            <w:tr w:rsidR="00E12E89" w14:paraId="216AC626" w14:textId="77777777" w:rsidTr="00023E69">
              <w:tc>
                <w:tcPr>
                  <w:tcW w:w="2122" w:type="dxa"/>
                  <w:shd w:val="clear" w:color="auto" w:fill="auto"/>
                </w:tcPr>
                <w:p w14:paraId="3AF89AE0" w14:textId="77777777" w:rsidR="00E12E89" w:rsidRDefault="00E12E89" w:rsidP="00886ED7">
                  <w:r>
                    <w:t>not satisfactory</w:t>
                  </w:r>
                </w:p>
              </w:tc>
              <w:tc>
                <w:tcPr>
                  <w:tcW w:w="3827" w:type="dxa"/>
                  <w:shd w:val="clear" w:color="auto" w:fill="auto"/>
                </w:tcPr>
                <w:p w14:paraId="2F4E5247" w14:textId="14436AE8" w:rsidR="00F31049" w:rsidRDefault="00DB291C" w:rsidP="00F31049">
                  <w:pPr>
                    <w:pStyle w:val="ListBullet"/>
                  </w:pPr>
                  <w:r>
                    <w:t>t</w:t>
                  </w:r>
                  <w:r w:rsidR="00F31049" w:rsidRPr="004921D8">
                    <w:t xml:space="preserve">he property is </w:t>
                  </w:r>
                  <w:r w:rsidR="00F31049">
                    <w:t xml:space="preserve">not </w:t>
                  </w:r>
                  <w:r w:rsidR="00F31049" w:rsidRPr="004921D8">
                    <w:t>compliant and is</w:t>
                  </w:r>
                  <w:r w:rsidR="00F31049">
                    <w:t xml:space="preserve"> deemed</w:t>
                  </w:r>
                  <w:r w:rsidR="00F31049" w:rsidRPr="004921D8">
                    <w:t xml:space="preserve"> </w:t>
                  </w:r>
                  <w:r w:rsidR="00F31049">
                    <w:t xml:space="preserve">not </w:t>
                  </w:r>
                  <w:r w:rsidR="00F31049" w:rsidRPr="004921D8">
                    <w:t>considered for accreditation</w:t>
                  </w:r>
                </w:p>
                <w:p w14:paraId="1841807D" w14:textId="27F7D515" w:rsidR="00E12E89" w:rsidRDefault="00E12E89" w:rsidP="00886ED7">
                  <w:pPr>
                    <w:pStyle w:val="ListBullet"/>
                  </w:pPr>
                  <w:r>
                    <w:t xml:space="preserve">an </w:t>
                  </w:r>
                  <w:r w:rsidRPr="002814B5">
                    <w:t xml:space="preserve">audit report is issued </w:t>
                  </w:r>
                  <w:r w:rsidR="00F31049">
                    <w:t xml:space="preserve">to the manager/relevant person </w:t>
                  </w:r>
                  <w:r>
                    <w:t>with</w:t>
                  </w:r>
                  <w:r w:rsidR="00F31049">
                    <w:t>in 10 business days.</w:t>
                  </w:r>
                  <w:r>
                    <w:t xml:space="preserve"> </w:t>
                  </w:r>
                </w:p>
                <w:p w14:paraId="26810D2E" w14:textId="11DC8D15" w:rsidR="008B1217" w:rsidRPr="00023E69" w:rsidRDefault="008B1217" w:rsidP="008B1217">
                  <w:pPr>
                    <w:pStyle w:val="ListBullet"/>
                  </w:pPr>
                  <w:r>
                    <w:rPr>
                      <w:b/>
                      <w:bCs/>
                    </w:rPr>
                    <w:t xml:space="preserve">Refer to </w:t>
                  </w:r>
                  <w:r>
                    <w:t xml:space="preserve">the </w:t>
                  </w:r>
                  <w:r w:rsidR="00DB291C">
                    <w:t xml:space="preserve">Exports process instruction: </w:t>
                  </w:r>
                  <w:hyperlink w:anchor="_Related_material_2" w:history="1">
                    <w:r w:rsidR="00DB291C" w:rsidRPr="009457E8">
                      <w:rPr>
                        <w:rStyle w:val="Hyperlink"/>
                        <w:i/>
                        <w:iCs/>
                      </w:rPr>
                      <w:t>Management of horticulture export accredited properties</w:t>
                    </w:r>
                  </w:hyperlink>
                </w:p>
                <w:p w14:paraId="61053FBB" w14:textId="2DC5A4A5" w:rsidR="00E12E89" w:rsidRPr="00B740FE" w:rsidRDefault="00CC6D4C" w:rsidP="00023E69">
                  <w:pPr>
                    <w:pStyle w:val="ListBullet"/>
                  </w:pPr>
                  <w:r>
                    <w:rPr>
                      <w:b/>
                    </w:rPr>
                    <w:t>the process ends here.</w:t>
                  </w:r>
                </w:p>
              </w:tc>
            </w:tr>
          </w:tbl>
          <w:p w14:paraId="184051C9" w14:textId="77777777" w:rsidR="00E12E89" w:rsidRDefault="00E12E89" w:rsidP="00886ED7">
            <w:pPr>
              <w:rPr>
                <w:rFonts w:cs="Calibri"/>
              </w:rPr>
            </w:pPr>
          </w:p>
        </w:tc>
        <w:tc>
          <w:tcPr>
            <w:tcW w:w="1843" w:type="dxa"/>
            <w:tcBorders>
              <w:top w:val="single" w:sz="4" w:space="0" w:color="auto"/>
              <w:bottom w:val="single" w:sz="4" w:space="0" w:color="auto"/>
            </w:tcBorders>
          </w:tcPr>
          <w:p w14:paraId="768E4569" w14:textId="77777777" w:rsidR="00E12E89" w:rsidRPr="00A56CA5" w:rsidRDefault="00E12E89" w:rsidP="00886ED7">
            <w:pPr>
              <w:rPr>
                <w:spacing w:val="-1"/>
              </w:rPr>
            </w:pPr>
            <w:r w:rsidRPr="00A56CA5">
              <w:rPr>
                <w:spacing w:val="-1"/>
              </w:rPr>
              <w:t>Auditor</w:t>
            </w:r>
          </w:p>
        </w:tc>
      </w:tr>
    </w:tbl>
    <w:p w14:paraId="76FA857A" w14:textId="77777777" w:rsidR="00E12E89" w:rsidRDefault="00E12E89" w:rsidP="00E12E89">
      <w:pPr>
        <w:rPr>
          <w:rFonts w:eastAsia="Times New Roman"/>
          <w:sz w:val="30"/>
          <w:szCs w:val="26"/>
        </w:rPr>
      </w:pPr>
      <w:bookmarkStart w:id="31" w:name="_Toc497215255"/>
      <w:bookmarkEnd w:id="30"/>
    </w:p>
    <w:p w14:paraId="03DF842D" w14:textId="77777777" w:rsidR="00E12E89" w:rsidRPr="005048B7" w:rsidRDefault="00E12E89" w:rsidP="00E12E89">
      <w:pPr>
        <w:pStyle w:val="Heading3"/>
      </w:pPr>
      <w:bookmarkStart w:id="32" w:name="_Toc190699438"/>
      <w:r>
        <w:t>In-season audit</w:t>
      </w:r>
      <w:bookmarkEnd w:id="32"/>
    </w:p>
    <w:p w14:paraId="30DE574A" w14:textId="02B2CA0C" w:rsidR="00E12E89" w:rsidRPr="00EB1124" w:rsidRDefault="00E12E89" w:rsidP="00E12E89">
      <w:pPr>
        <w:pStyle w:val="BodyText"/>
      </w:pPr>
      <w:r>
        <w:t xml:space="preserve">Accredited properties found compliant in the previous export season </w:t>
      </w:r>
      <w:r w:rsidR="002F7270">
        <w:t>may</w:t>
      </w:r>
      <w:r>
        <w:t xml:space="preserve"> be subject to </w:t>
      </w:r>
      <w:r w:rsidRPr="00EB1124">
        <w:t xml:space="preserve">an audit in-season. </w:t>
      </w:r>
    </w:p>
    <w:p w14:paraId="5CC77A69" w14:textId="77777777" w:rsidR="00E12E89" w:rsidRPr="00EB1124" w:rsidRDefault="00E12E89" w:rsidP="00E12E89">
      <w:pPr>
        <w:pStyle w:val="BodyText"/>
      </w:pPr>
      <w:r w:rsidRPr="00EB1124">
        <w:rPr>
          <w:b/>
          <w:bCs/>
        </w:rPr>
        <w:t>Notes:</w:t>
      </w:r>
      <w:r w:rsidRPr="00EB1124">
        <w:t xml:space="preserve"> </w:t>
      </w:r>
    </w:p>
    <w:p w14:paraId="6BB007C0" w14:textId="77777777" w:rsidR="00E12E89" w:rsidRPr="00EB1124" w:rsidRDefault="00E12E89" w:rsidP="00E12E89">
      <w:pPr>
        <w:pStyle w:val="ListBullet"/>
      </w:pPr>
      <w:r w:rsidRPr="00EB1124">
        <w:t>An alternative audit frequency policy is in place for New Zealand (all commodities) and citrus to Korea, China and Thailand.</w:t>
      </w:r>
    </w:p>
    <w:p w14:paraId="5B264962" w14:textId="289ABD29" w:rsidR="00E12E89" w:rsidRDefault="00E12E89" w:rsidP="00E12E89">
      <w:pPr>
        <w:pStyle w:val="ListBullet"/>
      </w:pPr>
      <w:r w:rsidRPr="00EB1124">
        <w:t>Due to logistics</w:t>
      </w:r>
      <w:r w:rsidR="007E3122">
        <w:t>,</w:t>
      </w:r>
      <w:r w:rsidRPr="00EB1124">
        <w:t xml:space="preserve"> an existing compliant property may be audited pre-season at the discretion of AA</w:t>
      </w:r>
      <w:r>
        <w:t>B</w:t>
      </w:r>
      <w:r w:rsidRPr="00EB1124">
        <w:t>.</w:t>
      </w:r>
    </w:p>
    <w:p w14:paraId="2A6EC736" w14:textId="1FFDE4C2" w:rsidR="00C771BD" w:rsidRPr="00EB1124" w:rsidRDefault="00C771BD" w:rsidP="00C771BD">
      <w:pPr>
        <w:pStyle w:val="ListBullet"/>
      </w:pPr>
      <w:r>
        <w:t>E</w:t>
      </w:r>
      <w:r w:rsidRPr="00EB1124">
        <w:t>vidence of non-compliance in the export supply chain may trigger an additional audit of the accredited property in the current export season or prior to the next export season.</w:t>
      </w:r>
    </w:p>
    <w:p w14:paraId="66DA1F86" w14:textId="7E0684FB" w:rsidR="00E12E89" w:rsidRPr="00EB1124" w:rsidRDefault="00E12E89" w:rsidP="00E12E89">
      <w:pPr>
        <w:pStyle w:val="ListBullet"/>
      </w:pPr>
      <w:r>
        <w:t xml:space="preserve">Accredited property packhouses </w:t>
      </w:r>
      <w:r w:rsidRPr="000D1FE9">
        <w:t>and accredited property farms</w:t>
      </w:r>
      <w:r>
        <w:t xml:space="preserve"> who are approved to operate under the packhouse grower supplier model </w:t>
      </w:r>
      <w:r w:rsidR="002F7270">
        <w:t xml:space="preserve">may </w:t>
      </w:r>
      <w:r>
        <w:t xml:space="preserve">be audited in-season. </w:t>
      </w:r>
    </w:p>
    <w:p w14:paraId="58F8393C" w14:textId="77777777" w:rsidR="00E12E89" w:rsidRPr="00EB1124" w:rsidRDefault="00E12E89" w:rsidP="00E12E89">
      <w:pPr>
        <w:pStyle w:val="ListBullet"/>
        <w:numPr>
          <w:ilvl w:val="0"/>
          <w:numId w:val="0"/>
        </w:numPr>
        <w:ind w:left="360"/>
      </w:pPr>
    </w:p>
    <w:p w14:paraId="45B89FAB" w14:textId="77777777" w:rsidR="00E12E89" w:rsidRPr="00EB1124" w:rsidRDefault="00E12E89" w:rsidP="001C30A7">
      <w:pPr>
        <w:pStyle w:val="Heading4"/>
      </w:pPr>
      <w:bookmarkStart w:id="33" w:name="_Toc43812976"/>
      <w:bookmarkStart w:id="34" w:name="_Toc190699439"/>
      <w:r w:rsidRPr="00EB1124">
        <w:t>Non-compliance ratings</w:t>
      </w:r>
      <w:bookmarkEnd w:id="33"/>
      <w:bookmarkEnd w:id="34"/>
    </w:p>
    <w:p w14:paraId="20716184" w14:textId="03FE1DC0" w:rsidR="00373D68" w:rsidRDefault="00F31049" w:rsidP="00E12E89">
      <w:pPr>
        <w:spacing w:before="120"/>
        <w:rPr>
          <w:rFonts w:eastAsia="Times New Roman"/>
        </w:rPr>
      </w:pPr>
      <w:r>
        <w:rPr>
          <w:rFonts w:eastAsia="Times New Roman"/>
        </w:rPr>
        <w:t>Sub-e</w:t>
      </w:r>
      <w:r w:rsidR="00373D68">
        <w:rPr>
          <w:rFonts w:eastAsia="Times New Roman"/>
        </w:rPr>
        <w:t>lements</w:t>
      </w:r>
      <w:r w:rsidR="00373D68" w:rsidRPr="00EB1124">
        <w:rPr>
          <w:rFonts w:eastAsia="Times New Roman"/>
        </w:rPr>
        <w:t xml:space="preserve"> </w:t>
      </w:r>
      <w:r w:rsidR="00E12E89" w:rsidRPr="00EB1124">
        <w:rPr>
          <w:rFonts w:eastAsia="Times New Roman"/>
        </w:rPr>
        <w:t>in the performance standards are assigned one or more potential non-compliance ratings including</w:t>
      </w:r>
      <w:r w:rsidR="00373D68">
        <w:rPr>
          <w:rFonts w:eastAsia="Times New Roman"/>
        </w:rPr>
        <w:t>:</w:t>
      </w:r>
      <w:r w:rsidR="00E12E89" w:rsidRPr="00EB1124">
        <w:rPr>
          <w:rFonts w:eastAsia="Times New Roman"/>
        </w:rPr>
        <w:t xml:space="preserve"> </w:t>
      </w:r>
    </w:p>
    <w:p w14:paraId="42EA22FB" w14:textId="46C80778" w:rsidR="00373D68" w:rsidRDefault="00E12E89" w:rsidP="00373D68">
      <w:pPr>
        <w:pStyle w:val="ListBullet"/>
      </w:pPr>
      <w:r w:rsidRPr="00EB1124">
        <w:lastRenderedPageBreak/>
        <w:t xml:space="preserve">minor </w:t>
      </w:r>
    </w:p>
    <w:p w14:paraId="6526D386" w14:textId="77777777" w:rsidR="00373D68" w:rsidRDefault="00E12E89" w:rsidP="00373D68">
      <w:pPr>
        <w:pStyle w:val="ListBullet"/>
      </w:pPr>
      <w:r w:rsidRPr="00EB1124">
        <w:t xml:space="preserve">major </w:t>
      </w:r>
    </w:p>
    <w:p w14:paraId="0F34B217" w14:textId="77777777" w:rsidR="00373D68" w:rsidRDefault="00E12E89" w:rsidP="00023E69">
      <w:pPr>
        <w:pStyle w:val="ListBullet"/>
        <w:numPr>
          <w:ilvl w:val="0"/>
          <w:numId w:val="0"/>
        </w:numPr>
        <w:ind w:left="360"/>
      </w:pPr>
      <w:r w:rsidRPr="00EB1124">
        <w:t xml:space="preserve">and </w:t>
      </w:r>
    </w:p>
    <w:p w14:paraId="493B6F6A" w14:textId="77777777" w:rsidR="00373D68" w:rsidRDefault="00E12E89" w:rsidP="00373D68">
      <w:pPr>
        <w:pStyle w:val="ListBullet"/>
      </w:pPr>
      <w:r w:rsidRPr="00EB1124">
        <w:t xml:space="preserve">critical. </w:t>
      </w:r>
    </w:p>
    <w:p w14:paraId="56D23A09" w14:textId="17DD450E" w:rsidR="00E12E89" w:rsidRPr="00EB1124" w:rsidRDefault="00E12E89" w:rsidP="00023E69">
      <w:pPr>
        <w:pStyle w:val="BodyText"/>
      </w:pPr>
      <w:r w:rsidRPr="00EB1124">
        <w:t>Where an accredited property is deemed non-compliant against a</w:t>
      </w:r>
      <w:r w:rsidR="00F31049">
        <w:t xml:space="preserve"> sub-element, </w:t>
      </w:r>
      <w:r w:rsidRPr="00EB1124">
        <w:t xml:space="preserve">the auditor </w:t>
      </w:r>
      <w:r w:rsidR="00373D68">
        <w:t>must</w:t>
      </w:r>
      <w:r w:rsidR="00373D68" w:rsidRPr="00EB1124">
        <w:t xml:space="preserve"> </w:t>
      </w:r>
      <w:r w:rsidRPr="00EB1124">
        <w:t xml:space="preserve">select a non-compliance rating from those listed, </w:t>
      </w:r>
      <w:proofErr w:type="gramStart"/>
      <w:r w:rsidRPr="00EB1124">
        <w:t>taking into account</w:t>
      </w:r>
      <w:proofErr w:type="gramEnd"/>
      <w:r w:rsidRPr="00EB1124">
        <w:t xml:space="preserve"> the context and extent of the non-compliance and the definition of minor, major and critical. </w:t>
      </w:r>
    </w:p>
    <w:p w14:paraId="5A096015" w14:textId="3E3DF97D" w:rsidR="00E12E89" w:rsidRPr="00EB1124" w:rsidRDefault="00E12E89" w:rsidP="00E12E89">
      <w:pPr>
        <w:spacing w:before="120" w:after="0"/>
        <w:rPr>
          <w:rFonts w:eastAsia="Times New Roman"/>
        </w:rPr>
      </w:pPr>
      <w:r w:rsidRPr="00EB1124">
        <w:rPr>
          <w:rFonts w:eastAsia="Times New Roman"/>
        </w:rPr>
        <w:t>Where an auditor believes the non-compliance should be rated a level that is not listed</w:t>
      </w:r>
      <w:proofErr w:type="gramStart"/>
      <w:r w:rsidR="00F31049">
        <w:rPr>
          <w:rFonts w:eastAsia="Times New Roman"/>
        </w:rPr>
        <w:t>,</w:t>
      </w:r>
      <w:r w:rsidRPr="00EB1124">
        <w:rPr>
          <w:rFonts w:eastAsia="Times New Roman"/>
        </w:rPr>
        <w:t xml:space="preserve"> ,</w:t>
      </w:r>
      <w:proofErr w:type="gramEnd"/>
      <w:r w:rsidRPr="00EB1124">
        <w:rPr>
          <w:rFonts w:eastAsia="Times New Roman"/>
        </w:rPr>
        <w:t xml:space="preserve"> they may assign an alternate non-compliance rating </w:t>
      </w:r>
      <w:r w:rsidR="00373D68">
        <w:rPr>
          <w:rFonts w:eastAsia="Times New Roman"/>
        </w:rPr>
        <w:t>(</w:t>
      </w:r>
      <w:r w:rsidRPr="00EB1124">
        <w:rPr>
          <w:rFonts w:eastAsia="Times New Roman"/>
        </w:rPr>
        <w:t>for example, where a</w:t>
      </w:r>
      <w:r w:rsidR="00F31049">
        <w:rPr>
          <w:rFonts w:eastAsia="Times New Roman"/>
        </w:rPr>
        <w:t xml:space="preserve"> sub-element</w:t>
      </w:r>
      <w:r w:rsidRPr="00EB1124">
        <w:rPr>
          <w:rFonts w:eastAsia="Times New Roman"/>
        </w:rPr>
        <w:t xml:space="preserve"> states major and critical as the non-compliance rating options and the non-compliance identified fits with the definition of minor the auditor may list the non-compliance as minor</w:t>
      </w:r>
      <w:r w:rsidR="00373D68">
        <w:rPr>
          <w:rFonts w:eastAsia="Times New Roman"/>
        </w:rPr>
        <w:t>)</w:t>
      </w:r>
      <w:r w:rsidRPr="00EB1124">
        <w:rPr>
          <w:rFonts w:eastAsia="Times New Roman"/>
        </w:rPr>
        <w:t>.</w:t>
      </w:r>
    </w:p>
    <w:p w14:paraId="34B7E64A" w14:textId="0A8FFD6B" w:rsidR="00E12E89" w:rsidRPr="00EB1124" w:rsidRDefault="00E12E89" w:rsidP="001C30A7">
      <w:pPr>
        <w:pStyle w:val="Heading4"/>
      </w:pPr>
      <w:bookmarkStart w:id="35" w:name="_Toc43812978"/>
      <w:bookmarkStart w:id="36" w:name="_Toc190699440"/>
      <w:r w:rsidRPr="00EB1124">
        <w:t xml:space="preserve">Issuing </w:t>
      </w:r>
      <w:bookmarkEnd w:id="35"/>
      <w:r w:rsidR="00373D68">
        <w:t>n</w:t>
      </w:r>
      <w:r>
        <w:t>on-compliance Notices</w:t>
      </w:r>
      <w:bookmarkEnd w:id="36"/>
      <w:r w:rsidRPr="00EB1124">
        <w:t xml:space="preserve"> </w:t>
      </w:r>
    </w:p>
    <w:p w14:paraId="0E0A6480" w14:textId="6E8D1F2E" w:rsidR="00E12E89" w:rsidRPr="00EB1124" w:rsidRDefault="00E12E89" w:rsidP="00E12E89">
      <w:pPr>
        <w:pStyle w:val="ListBullet"/>
      </w:pPr>
      <w:r w:rsidRPr="00EB1124">
        <w:t xml:space="preserve">If a non-compliance is detected during an in-season audit, the auditor must issue a </w:t>
      </w:r>
      <w:r>
        <w:t>non-compliance notice</w:t>
      </w:r>
      <w:r w:rsidRPr="00EB1124">
        <w:t xml:space="preserve"> per </w:t>
      </w:r>
      <w:r w:rsidR="00A32F0F">
        <w:t>performance standard</w:t>
      </w:r>
      <w:r w:rsidRPr="00EB1124">
        <w:t>.</w:t>
      </w:r>
    </w:p>
    <w:p w14:paraId="3FBE3E25" w14:textId="1EAEEE46" w:rsidR="00E12E89" w:rsidRPr="00EB1124" w:rsidRDefault="00E12E89" w:rsidP="00E12E89">
      <w:pPr>
        <w:pStyle w:val="ListBullet"/>
      </w:pPr>
      <w:r w:rsidRPr="00EB1124">
        <w:t xml:space="preserve">A </w:t>
      </w:r>
      <w:r w:rsidR="00F31049">
        <w:t>date</w:t>
      </w:r>
      <w:r w:rsidRPr="00EB1124">
        <w:t xml:space="preserve"> for </w:t>
      </w:r>
      <w:r w:rsidR="00F31049">
        <w:t>review</w:t>
      </w:r>
      <w:r w:rsidRPr="00EB1124">
        <w:t xml:space="preserve"> must be specified by the auditor </w:t>
      </w:r>
      <w:r w:rsidR="00F31049">
        <w:t xml:space="preserve">in the non-compliance notice </w:t>
      </w:r>
      <w:r w:rsidRPr="00EB1124">
        <w:t xml:space="preserve">and be no longer than </w:t>
      </w:r>
    </w:p>
    <w:p w14:paraId="0062DB66" w14:textId="4272C59E" w:rsidR="00E12E89" w:rsidRPr="00EB1124" w:rsidRDefault="00E12E89" w:rsidP="00E12E89">
      <w:pPr>
        <w:pStyle w:val="ListBullet"/>
        <w:numPr>
          <w:ilvl w:val="0"/>
          <w:numId w:val="52"/>
        </w:numPr>
        <w:ind w:left="709"/>
      </w:pPr>
      <w:r w:rsidRPr="00EB1124">
        <w:t xml:space="preserve">28 calendar days for minor </w:t>
      </w:r>
      <w:r>
        <w:t>non-compliance</w:t>
      </w:r>
      <w:r w:rsidRPr="00EB1124">
        <w:t>s</w:t>
      </w:r>
    </w:p>
    <w:p w14:paraId="6B87963E" w14:textId="48142234" w:rsidR="00E12E89" w:rsidRPr="00EB1124" w:rsidRDefault="00E12E89" w:rsidP="00E12E89">
      <w:pPr>
        <w:pStyle w:val="ListBullet"/>
        <w:numPr>
          <w:ilvl w:val="0"/>
          <w:numId w:val="52"/>
        </w:numPr>
        <w:ind w:left="709"/>
      </w:pPr>
      <w:r w:rsidRPr="00EB1124">
        <w:t xml:space="preserve">14 calendar days for major </w:t>
      </w:r>
      <w:r>
        <w:t>non-compliance</w:t>
      </w:r>
      <w:r w:rsidRPr="00EB1124">
        <w:t>s</w:t>
      </w:r>
    </w:p>
    <w:p w14:paraId="4B9BBF96" w14:textId="4770FCA2" w:rsidR="00E12E89" w:rsidRPr="00EB1124" w:rsidRDefault="00E12E89" w:rsidP="00E12E89">
      <w:pPr>
        <w:pStyle w:val="ListBullet"/>
        <w:numPr>
          <w:ilvl w:val="0"/>
          <w:numId w:val="52"/>
        </w:numPr>
        <w:ind w:left="709"/>
      </w:pPr>
      <w:r w:rsidRPr="00EB1124">
        <w:t xml:space="preserve">7 calendar days for critical </w:t>
      </w:r>
      <w:r>
        <w:t>non-compliance</w:t>
      </w:r>
      <w:r w:rsidRPr="00EB1124">
        <w:t xml:space="preserve">s. </w:t>
      </w:r>
    </w:p>
    <w:p w14:paraId="3111B77B" w14:textId="5E2C8793" w:rsidR="00E12E89" w:rsidRPr="00EB1124" w:rsidRDefault="00E12E89" w:rsidP="00E12E89">
      <w:pPr>
        <w:pStyle w:val="ListBullet"/>
      </w:pPr>
      <w:r w:rsidRPr="00EB1124">
        <w:t>Prior to the</w:t>
      </w:r>
      <w:r w:rsidR="00F31049">
        <w:t xml:space="preserve"> date for review</w:t>
      </w:r>
      <w:r w:rsidRPr="00EB1124">
        <w:t xml:space="preserve">, and at the request of the manager, </w:t>
      </w:r>
      <w:r w:rsidR="00F31049">
        <w:t>review dates</w:t>
      </w:r>
      <w:r w:rsidRPr="00EB1124">
        <w:t xml:space="preserve"> </w:t>
      </w:r>
      <w:r w:rsidR="00F31049">
        <w:t xml:space="preserve">may </w:t>
      </w:r>
      <w:r w:rsidRPr="00EB1124">
        <w:t>be extended twice, each for a period equal to the original timeframe.</w:t>
      </w:r>
    </w:p>
    <w:p w14:paraId="0FB8C94C" w14:textId="77777777" w:rsidR="00E12E89" w:rsidRPr="00EB1124" w:rsidRDefault="00E12E89" w:rsidP="00E12E89">
      <w:pPr>
        <w:pStyle w:val="ListBullet"/>
        <w:numPr>
          <w:ilvl w:val="0"/>
          <w:numId w:val="0"/>
        </w:numPr>
        <w:ind w:left="360"/>
      </w:pPr>
      <w:r w:rsidRPr="00EB1124">
        <w:rPr>
          <w:b/>
          <w:bCs/>
        </w:rPr>
        <w:t xml:space="preserve">Important: </w:t>
      </w:r>
      <w:r w:rsidRPr="00EB1124">
        <w:t xml:space="preserve">Requests </w:t>
      </w:r>
      <w:r>
        <w:t>for</w:t>
      </w:r>
      <w:r w:rsidRPr="00EB1124">
        <w:t xml:space="preserve"> extension must be made in writing to </w:t>
      </w:r>
      <w:hyperlink w:anchor="_Contact_information_1" w:history="1">
        <w:r w:rsidRPr="00EB1124">
          <w:rPr>
            <w:rStyle w:val="Hyperlink"/>
          </w:rPr>
          <w:t>AA</w:t>
        </w:r>
      </w:hyperlink>
      <w:r>
        <w:rPr>
          <w:rStyle w:val="Hyperlink"/>
        </w:rPr>
        <w:t>B</w:t>
      </w:r>
      <w:r w:rsidRPr="00EB1124">
        <w:t xml:space="preserve"> to the attention of the auditor who conducted the audit. </w:t>
      </w:r>
    </w:p>
    <w:p w14:paraId="3F0F1365" w14:textId="77777777" w:rsidR="00E12E89" w:rsidRPr="00EB1124" w:rsidRDefault="00E12E89" w:rsidP="001C30A7">
      <w:pPr>
        <w:pStyle w:val="Heading4"/>
      </w:pPr>
      <w:bookmarkStart w:id="37" w:name="_Toc43812979"/>
      <w:bookmarkStart w:id="38" w:name="_Toc190699441"/>
      <w:r w:rsidRPr="00EB1124">
        <w:t>When a critical non-compliance is identified</w:t>
      </w:r>
      <w:bookmarkEnd w:id="37"/>
      <w:bookmarkEnd w:id="38"/>
    </w:p>
    <w:p w14:paraId="4067D8AB" w14:textId="196F7179" w:rsidR="00E12E89" w:rsidRPr="00EB1124" w:rsidRDefault="00E12E89" w:rsidP="00023E69">
      <w:pPr>
        <w:pStyle w:val="ListBullet"/>
      </w:pPr>
      <w:r w:rsidRPr="00EB1124">
        <w:t>When an auditor identifies a critical non-compliance, the audit result must be referred to</w:t>
      </w:r>
      <w:r w:rsidR="00CC6D4C">
        <w:t xml:space="preserve"> </w:t>
      </w:r>
      <w:r w:rsidR="00F31049">
        <w:t xml:space="preserve">the </w:t>
      </w:r>
      <w:hyperlink w:anchor="_Contact_information" w:history="1">
        <w:r w:rsidR="00F31049" w:rsidRPr="00B11EC4">
          <w:rPr>
            <w:rStyle w:val="Hyperlink"/>
          </w:rPr>
          <w:t>AAB</w:t>
        </w:r>
      </w:hyperlink>
      <w:r w:rsidR="00F31049">
        <w:t xml:space="preserve"> delegate</w:t>
      </w:r>
      <w:r w:rsidRPr="00EB1124">
        <w:t>, who</w:t>
      </w:r>
      <w:r w:rsidRPr="00EB1124">
        <w:rPr>
          <w:rFonts w:cs="Segoe UI"/>
          <w:color w:val="000000"/>
          <w:lang w:val="en"/>
        </w:rPr>
        <w:t xml:space="preserve"> will determine </w:t>
      </w:r>
      <w:r w:rsidR="00373D68" w:rsidRPr="00863C9C">
        <w:rPr>
          <w:rFonts w:cs="Segoe UI"/>
          <w:color w:val="000000"/>
        </w:rPr>
        <w:t xml:space="preserve">whether the matter should be referred to </w:t>
      </w:r>
      <w:hyperlink w:anchor="_Contact_information" w:history="1">
        <w:r w:rsidR="00373D68" w:rsidRPr="00B11EC4">
          <w:rPr>
            <w:rStyle w:val="Hyperlink"/>
            <w:rFonts w:cs="Segoe UI"/>
          </w:rPr>
          <w:t>HEP</w:t>
        </w:r>
      </w:hyperlink>
      <w:r w:rsidR="00373D68" w:rsidRPr="00863C9C">
        <w:rPr>
          <w:rFonts w:cs="Segoe UI"/>
          <w:color w:val="000000"/>
        </w:rPr>
        <w:t xml:space="preserve"> and/or the Delegate in the Plant Export</w:t>
      </w:r>
      <w:r w:rsidR="00B11EC4">
        <w:rPr>
          <w:rFonts w:cs="Segoe UI"/>
          <w:color w:val="000000"/>
        </w:rPr>
        <w:t>s</w:t>
      </w:r>
      <w:r w:rsidR="00373D68" w:rsidRPr="00863C9C">
        <w:rPr>
          <w:rFonts w:cs="Segoe UI"/>
          <w:color w:val="000000"/>
        </w:rPr>
        <w:t xml:space="preserve"> Branch to decide on future action</w:t>
      </w:r>
      <w:r w:rsidRPr="00EB1124">
        <w:rPr>
          <w:rFonts w:cs="Segoe UI"/>
          <w:color w:val="000000"/>
          <w:lang w:val="en"/>
        </w:rPr>
        <w:t xml:space="preserve">. </w:t>
      </w:r>
    </w:p>
    <w:p w14:paraId="6AEFDCD4" w14:textId="63610114" w:rsidR="00E12E89" w:rsidRPr="00EB1124" w:rsidRDefault="00E12E89" w:rsidP="00023E69">
      <w:pPr>
        <w:pStyle w:val="ListBullet"/>
        <w:rPr>
          <w:lang w:val="en"/>
        </w:rPr>
      </w:pPr>
      <w:r w:rsidRPr="00EB1124">
        <w:rPr>
          <w:lang w:val="en"/>
        </w:rPr>
        <w:t xml:space="preserve">Further action to address the non-compliance and audit result is </w:t>
      </w:r>
      <w:r w:rsidR="007B28C0">
        <w:rPr>
          <w:lang w:val="en"/>
        </w:rPr>
        <w:t>at the discretion of</w:t>
      </w:r>
      <w:r w:rsidR="00CC6D4C">
        <w:rPr>
          <w:lang w:val="en"/>
        </w:rPr>
        <w:t xml:space="preserve"> </w:t>
      </w:r>
      <w:r w:rsidR="007B28C0">
        <w:rPr>
          <w:lang w:val="en"/>
        </w:rPr>
        <w:t>AAB</w:t>
      </w:r>
      <w:r w:rsidR="00373D68">
        <w:rPr>
          <w:lang w:val="en"/>
        </w:rPr>
        <w:t>/HEP/Delegate</w:t>
      </w:r>
      <w:r w:rsidRPr="00EB1124">
        <w:rPr>
          <w:lang w:val="en"/>
        </w:rPr>
        <w:t xml:space="preserve"> and may include</w:t>
      </w:r>
      <w:r w:rsidR="00373D68">
        <w:rPr>
          <w:lang w:val="en"/>
        </w:rPr>
        <w:t>, but is not limited to</w:t>
      </w:r>
      <w:r w:rsidRPr="00EB1124">
        <w:rPr>
          <w:lang w:val="en"/>
        </w:rPr>
        <w:t>:</w:t>
      </w:r>
    </w:p>
    <w:p w14:paraId="0EF7A083" w14:textId="2E62764F" w:rsidR="00E12E89" w:rsidRPr="00EB1124" w:rsidRDefault="00E12E89" w:rsidP="00023E69">
      <w:pPr>
        <w:pStyle w:val="ListBullet"/>
        <w:numPr>
          <w:ilvl w:val="0"/>
          <w:numId w:val="52"/>
        </w:numPr>
        <w:ind w:left="709"/>
      </w:pPr>
      <w:r w:rsidRPr="00EB1124">
        <w:t xml:space="preserve">downgrading the </w:t>
      </w:r>
      <w:r>
        <w:t xml:space="preserve">non-compliance </w:t>
      </w:r>
      <w:r w:rsidR="007B28C0">
        <w:t>rating</w:t>
      </w:r>
    </w:p>
    <w:p w14:paraId="4CD57FDB" w14:textId="77777777" w:rsidR="00E12E89" w:rsidRPr="00EB1124" w:rsidRDefault="00E12E89" w:rsidP="00023E69">
      <w:pPr>
        <w:pStyle w:val="ListBullet"/>
        <w:numPr>
          <w:ilvl w:val="0"/>
          <w:numId w:val="52"/>
        </w:numPr>
        <w:ind w:left="709"/>
      </w:pPr>
      <w:r w:rsidRPr="00EB1124">
        <w:t>imposing a timeframe for a follow-up audit or increased audit schedule</w:t>
      </w:r>
    </w:p>
    <w:p w14:paraId="3596CC3A" w14:textId="126182B4" w:rsidR="00E12E89" w:rsidRPr="00EB1124" w:rsidRDefault="00E12E89" w:rsidP="00023E69">
      <w:pPr>
        <w:pStyle w:val="ListBullet"/>
        <w:numPr>
          <w:ilvl w:val="0"/>
          <w:numId w:val="52"/>
        </w:numPr>
        <w:ind w:left="709"/>
      </w:pPr>
      <w:r w:rsidRPr="00EB1124">
        <w:t>variation, suspension or revocation of accreditation</w:t>
      </w:r>
      <w:r w:rsidR="007113EB">
        <w:t>.</w:t>
      </w:r>
    </w:p>
    <w:p w14:paraId="39CBDDB6" w14:textId="77777777" w:rsidR="00E12E89" w:rsidRPr="00023E69" w:rsidRDefault="00E12E89" w:rsidP="00023E69">
      <w:pPr>
        <w:pStyle w:val="Heading5"/>
        <w:rPr>
          <w:rFonts w:asciiTheme="minorHAnsi" w:hAnsiTheme="minorHAnsi" w:cstheme="minorHAnsi"/>
          <w:b/>
          <w:bCs/>
        </w:rPr>
      </w:pPr>
      <w:r w:rsidRPr="00023E69">
        <w:rPr>
          <w:rFonts w:asciiTheme="minorHAnsi" w:hAnsiTheme="minorHAnsi" w:cstheme="minorHAnsi"/>
          <w:b/>
          <w:bCs/>
          <w:color w:val="auto"/>
        </w:rPr>
        <w:t>Packhouse grower supplier model</w:t>
      </w:r>
    </w:p>
    <w:p w14:paraId="5D057445" w14:textId="3428AAF2" w:rsidR="00E12E89" w:rsidRDefault="00E12E89" w:rsidP="00E12E89">
      <w:pPr>
        <w:pStyle w:val="ListBullet"/>
        <w:numPr>
          <w:ilvl w:val="0"/>
          <w:numId w:val="0"/>
        </w:numPr>
      </w:pPr>
      <w:r w:rsidRPr="005E25ED">
        <w:t>Wh</w:t>
      </w:r>
      <w:r>
        <w:t>en a critical non-compliance is identified</w:t>
      </w:r>
      <w:r w:rsidR="003C647A">
        <w:t xml:space="preserve"> for an accredited property packhouse operating under the packhouse grower supplier model</w:t>
      </w:r>
      <w:r>
        <w:t xml:space="preserve">, the accredited property may be removed from the model and will be subject to the standard accredited properties audit requirements.  </w:t>
      </w:r>
    </w:p>
    <w:p w14:paraId="354A5D26" w14:textId="77777777" w:rsidR="00E12E89" w:rsidRPr="00EB1124" w:rsidRDefault="00E12E89" w:rsidP="00E12E89">
      <w:pPr>
        <w:pStyle w:val="ListBullet"/>
        <w:numPr>
          <w:ilvl w:val="0"/>
          <w:numId w:val="0"/>
        </w:numPr>
      </w:pPr>
    </w:p>
    <w:p w14:paraId="3C11CEB2" w14:textId="77777777" w:rsidR="00B11EC4" w:rsidRDefault="00B11EC4">
      <w:pPr>
        <w:spacing w:before="0" w:after="0"/>
        <w:rPr>
          <w:rFonts w:eastAsia="Times New Roman"/>
          <w:b/>
          <w:bCs/>
          <w:iCs/>
          <w:color w:val="000000"/>
        </w:rPr>
      </w:pPr>
      <w:r>
        <w:br w:type="page"/>
      </w:r>
    </w:p>
    <w:p w14:paraId="04DF7BB6" w14:textId="77777777" w:rsidR="00E12E89" w:rsidRDefault="00E12E89" w:rsidP="001C30A7">
      <w:pPr>
        <w:pStyle w:val="Heading4"/>
      </w:pPr>
      <w:bookmarkStart w:id="39" w:name="_Toc190699442"/>
      <w:r w:rsidRPr="00EB1124">
        <w:lastRenderedPageBreak/>
        <w:t>Conducting an in-season audit of an accredited property</w:t>
      </w:r>
      <w:bookmarkEnd w:id="39"/>
      <w:r>
        <w:t xml:space="preserve"> </w:t>
      </w:r>
    </w:p>
    <w:p w14:paraId="0C99AD2B" w14:textId="77777777" w:rsidR="00E12E89" w:rsidRDefault="00E12E89" w:rsidP="00E12E89">
      <w:pPr>
        <w:pStyle w:val="BodyText"/>
      </w:pPr>
      <w:r>
        <w:t>The following table outlines the process for conducting an in-season audit of an accredited property.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821"/>
        <w:gridCol w:w="1684"/>
      </w:tblGrid>
      <w:tr w:rsidR="00B5294B" w:rsidRPr="00B5294B" w14:paraId="6FF52C0A" w14:textId="77777777" w:rsidTr="00023E69">
        <w:trPr>
          <w:cantSplit/>
          <w:trHeight w:val="499"/>
          <w:tblHeader/>
        </w:trPr>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E94F900" w14:textId="77777777" w:rsidR="00E12E89" w:rsidRPr="00023E69" w:rsidRDefault="00E12E89" w:rsidP="00886ED7">
            <w:pPr>
              <w:pStyle w:val="Tableheadings"/>
              <w:jc w:val="center"/>
              <w:rPr>
                <w:color w:val="auto"/>
              </w:rPr>
            </w:pPr>
            <w:r w:rsidRPr="00023E69">
              <w:rPr>
                <w:color w:val="auto"/>
              </w:rPr>
              <w:t>Stage</w:t>
            </w:r>
          </w:p>
        </w:tc>
        <w:tc>
          <w:tcPr>
            <w:tcW w:w="6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215F8D" w14:textId="77777777" w:rsidR="00E12E89" w:rsidRPr="00023E69" w:rsidRDefault="00E12E89" w:rsidP="00886ED7">
            <w:pPr>
              <w:pStyle w:val="Tableheadings"/>
              <w:rPr>
                <w:color w:val="auto"/>
              </w:rPr>
            </w:pPr>
            <w:r w:rsidRPr="00023E69">
              <w:rPr>
                <w:color w:val="auto"/>
              </w:rPr>
              <w:t>What happens</w:t>
            </w:r>
          </w:p>
        </w:tc>
        <w:tc>
          <w:tcPr>
            <w:tcW w:w="1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5B6315" w14:textId="77777777" w:rsidR="00E12E89" w:rsidRPr="00023E69" w:rsidRDefault="00E12E89" w:rsidP="00886ED7">
            <w:pPr>
              <w:pStyle w:val="Tableheadings"/>
              <w:rPr>
                <w:color w:val="auto"/>
              </w:rPr>
            </w:pPr>
            <w:r w:rsidRPr="00023E69">
              <w:rPr>
                <w:color w:val="auto"/>
              </w:rPr>
              <w:t>Responsible party</w:t>
            </w:r>
          </w:p>
        </w:tc>
      </w:tr>
      <w:tr w:rsidR="00E12E89" w14:paraId="6ADA0325" w14:textId="77777777" w:rsidTr="00023E69">
        <w:trPr>
          <w:cantSplit/>
          <w:trHeight w:val="3093"/>
        </w:trPr>
        <w:tc>
          <w:tcPr>
            <w:tcW w:w="851" w:type="dxa"/>
            <w:tcBorders>
              <w:top w:val="single" w:sz="4" w:space="0" w:color="auto"/>
              <w:bottom w:val="single" w:sz="4" w:space="0" w:color="auto"/>
            </w:tcBorders>
          </w:tcPr>
          <w:p w14:paraId="2BDF1F25" w14:textId="0F3960A4" w:rsidR="00E12E89" w:rsidRDefault="007B28C0" w:rsidP="00886ED7">
            <w:pPr>
              <w:jc w:val="center"/>
            </w:pPr>
            <w:r>
              <w:t>1.</w:t>
            </w:r>
          </w:p>
        </w:tc>
        <w:tc>
          <w:tcPr>
            <w:tcW w:w="6821" w:type="dxa"/>
            <w:tcBorders>
              <w:top w:val="single" w:sz="4" w:space="0" w:color="auto"/>
              <w:bottom w:val="single" w:sz="4" w:space="0" w:color="auto"/>
            </w:tcBorders>
          </w:tcPr>
          <w:p w14:paraId="29BAA596" w14:textId="6B007FD1" w:rsidR="00E12E89" w:rsidRDefault="00E12E89" w:rsidP="00886ED7">
            <w:pPr>
              <w:rPr>
                <w:rFonts w:cs="Calibri"/>
              </w:rPr>
            </w:pPr>
            <w:r>
              <w:rPr>
                <w:rFonts w:cs="Calibri"/>
              </w:rPr>
              <w:t>It is determined whether the in-season audit will be announced or unannounced</w:t>
            </w:r>
            <w:r w:rsidR="00B5294B">
              <w:rPr>
                <w:rFonts w:cs="Calibri"/>
              </w:rPr>
              <w:t xml:space="preserve"> and is scheduled</w:t>
            </w:r>
            <w:r>
              <w:rPr>
                <w:rFonts w:cs="Calibri"/>
              </w:rPr>
              <w:t>.</w:t>
            </w:r>
          </w:p>
          <w:tbl>
            <w:tblPr>
              <w:tblW w:w="6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515"/>
            </w:tblGrid>
            <w:tr w:rsidR="00B5294B" w:rsidRPr="00B5294B" w14:paraId="16E77DC9" w14:textId="77777777" w:rsidTr="00023E69">
              <w:trPr>
                <w:tblHeader/>
              </w:trPr>
              <w:tc>
                <w:tcPr>
                  <w:tcW w:w="2610" w:type="dxa"/>
                  <w:tcBorders>
                    <w:right w:val="single" w:sz="4" w:space="0" w:color="auto"/>
                  </w:tcBorders>
                  <w:shd w:val="clear" w:color="auto" w:fill="BFBFBF" w:themeFill="background1" w:themeFillShade="BF"/>
                </w:tcPr>
                <w:p w14:paraId="786F287B" w14:textId="77777777" w:rsidR="00E12E89" w:rsidRPr="00023E69" w:rsidRDefault="00E12E89" w:rsidP="00886ED7">
                  <w:pPr>
                    <w:pStyle w:val="Tableheadings"/>
                    <w:rPr>
                      <w:color w:val="auto"/>
                    </w:rPr>
                  </w:pPr>
                  <w:r w:rsidRPr="00023E69">
                    <w:rPr>
                      <w:color w:val="auto"/>
                    </w:rPr>
                    <w:t>When the audit is to be…</w:t>
                  </w:r>
                </w:p>
              </w:tc>
              <w:tc>
                <w:tcPr>
                  <w:tcW w:w="3515" w:type="dxa"/>
                  <w:tcBorders>
                    <w:left w:val="single" w:sz="4" w:space="0" w:color="auto"/>
                  </w:tcBorders>
                  <w:shd w:val="clear" w:color="auto" w:fill="BFBFBF" w:themeFill="background1" w:themeFillShade="BF"/>
                </w:tcPr>
                <w:p w14:paraId="5B70F157" w14:textId="77777777" w:rsidR="00E12E89" w:rsidRPr="00023E69" w:rsidRDefault="00E12E89" w:rsidP="00886ED7">
                  <w:pPr>
                    <w:pStyle w:val="Tableheadings"/>
                    <w:rPr>
                      <w:color w:val="auto"/>
                    </w:rPr>
                  </w:pPr>
                  <w:r w:rsidRPr="00023E69">
                    <w:rPr>
                      <w:color w:val="auto"/>
                    </w:rPr>
                    <w:t>Then…</w:t>
                  </w:r>
                </w:p>
              </w:tc>
            </w:tr>
            <w:tr w:rsidR="00E12E89" w14:paraId="049AB99A" w14:textId="77777777" w:rsidTr="00023E69">
              <w:tc>
                <w:tcPr>
                  <w:tcW w:w="2610" w:type="dxa"/>
                  <w:shd w:val="clear" w:color="auto" w:fill="auto"/>
                </w:tcPr>
                <w:p w14:paraId="49D14011" w14:textId="77777777" w:rsidR="00E12E89" w:rsidRDefault="00E12E89" w:rsidP="00886ED7">
                  <w:r>
                    <w:t>announced</w:t>
                  </w:r>
                </w:p>
              </w:tc>
              <w:tc>
                <w:tcPr>
                  <w:tcW w:w="3515" w:type="dxa"/>
                  <w:shd w:val="clear" w:color="auto" w:fill="auto"/>
                </w:tcPr>
                <w:p w14:paraId="7B93A0EB" w14:textId="528E00C1" w:rsidR="00E12E89" w:rsidRDefault="00E12E89" w:rsidP="00886ED7">
                  <w:pPr>
                    <w:pStyle w:val="ListBullet"/>
                  </w:pPr>
                  <w:r>
                    <w:t>the manager</w:t>
                  </w:r>
                  <w:r w:rsidR="001876C4">
                    <w:t>/relevant person</w:t>
                  </w:r>
                  <w:r>
                    <w:t xml:space="preserve"> of the property </w:t>
                  </w:r>
                  <w:r w:rsidR="00985BCA">
                    <w:t xml:space="preserve">is contacted </w:t>
                  </w:r>
                  <w:r w:rsidR="007B28C0">
                    <w:t xml:space="preserve">by the Auditor </w:t>
                  </w:r>
                  <w:r>
                    <w:t>to schedule the audit</w:t>
                  </w:r>
                </w:p>
                <w:p w14:paraId="699141EB" w14:textId="557B8368" w:rsidR="00E12E89" w:rsidRDefault="00985BCA" w:rsidP="00886ED7">
                  <w:pPr>
                    <w:pStyle w:val="ListBullet"/>
                    <w:spacing w:after="120"/>
                  </w:pPr>
                  <w:r>
                    <w:rPr>
                      <w:b/>
                    </w:rPr>
                    <w:t>continue</w:t>
                  </w:r>
                  <w:r w:rsidRPr="00E025C9">
                    <w:rPr>
                      <w:b/>
                    </w:rPr>
                    <w:t xml:space="preserve"> </w:t>
                  </w:r>
                  <w:r w:rsidR="00E12E89" w:rsidRPr="00E025C9">
                    <w:rPr>
                      <w:b/>
                    </w:rPr>
                    <w:t xml:space="preserve">to </w:t>
                  </w:r>
                  <w:r w:rsidR="00E12E89">
                    <w:rPr>
                      <w:b/>
                    </w:rPr>
                    <w:t>S</w:t>
                  </w:r>
                  <w:r w:rsidR="00E12E89" w:rsidRPr="00E025C9">
                    <w:rPr>
                      <w:b/>
                    </w:rPr>
                    <w:t xml:space="preserve">tage </w:t>
                  </w:r>
                  <w:r w:rsidR="007B28C0">
                    <w:rPr>
                      <w:b/>
                    </w:rPr>
                    <w:t>2</w:t>
                  </w:r>
                  <w:r w:rsidR="00E12E89">
                    <w:t>.</w:t>
                  </w:r>
                </w:p>
              </w:tc>
            </w:tr>
            <w:tr w:rsidR="00E12E89" w14:paraId="591E7179" w14:textId="77777777" w:rsidTr="00023E69">
              <w:tc>
                <w:tcPr>
                  <w:tcW w:w="2610" w:type="dxa"/>
                  <w:shd w:val="clear" w:color="auto" w:fill="auto"/>
                </w:tcPr>
                <w:p w14:paraId="3ECF0BA2" w14:textId="77777777" w:rsidR="00E12E89" w:rsidRDefault="00E12E89" w:rsidP="00886ED7">
                  <w:r>
                    <w:t>unannounced</w:t>
                  </w:r>
                </w:p>
              </w:tc>
              <w:tc>
                <w:tcPr>
                  <w:tcW w:w="3515" w:type="dxa"/>
                  <w:shd w:val="clear" w:color="auto" w:fill="auto"/>
                </w:tcPr>
                <w:p w14:paraId="27FE12A8" w14:textId="3659424F" w:rsidR="00E12E89" w:rsidRDefault="00E12E89" w:rsidP="00886ED7">
                  <w:r>
                    <w:rPr>
                      <w:b/>
                    </w:rPr>
                    <w:t>continue to St</w:t>
                  </w:r>
                  <w:r w:rsidRPr="00E025C9">
                    <w:rPr>
                      <w:b/>
                    </w:rPr>
                    <w:t xml:space="preserve">age </w:t>
                  </w:r>
                  <w:r w:rsidR="007B28C0">
                    <w:rPr>
                      <w:b/>
                    </w:rPr>
                    <w:t>2.</w:t>
                  </w:r>
                </w:p>
              </w:tc>
            </w:tr>
          </w:tbl>
          <w:p w14:paraId="7FF422DE" w14:textId="77777777" w:rsidR="00E12E89" w:rsidRPr="005048B7" w:rsidRDefault="00E12E89" w:rsidP="00886ED7">
            <w:pPr>
              <w:rPr>
                <w:rFonts w:cs="Calibri"/>
                <w:b/>
              </w:rPr>
            </w:pPr>
          </w:p>
        </w:tc>
        <w:tc>
          <w:tcPr>
            <w:tcW w:w="1684" w:type="dxa"/>
            <w:tcBorders>
              <w:top w:val="single" w:sz="4" w:space="0" w:color="auto"/>
              <w:bottom w:val="single" w:sz="4" w:space="0" w:color="auto"/>
            </w:tcBorders>
          </w:tcPr>
          <w:p w14:paraId="53EA9EC6" w14:textId="1951915D" w:rsidR="00E12E89" w:rsidRPr="002524BE" w:rsidRDefault="00985BCA" w:rsidP="00886ED7">
            <w:pPr>
              <w:rPr>
                <w:spacing w:val="-1"/>
              </w:rPr>
            </w:pPr>
            <w:r>
              <w:rPr>
                <w:spacing w:val="-1"/>
              </w:rPr>
              <w:t>Auditor</w:t>
            </w:r>
          </w:p>
        </w:tc>
      </w:tr>
      <w:tr w:rsidR="00E12E89" w14:paraId="58F99563" w14:textId="77777777" w:rsidTr="00023E69">
        <w:trPr>
          <w:cantSplit/>
          <w:trHeight w:val="1073"/>
        </w:trPr>
        <w:tc>
          <w:tcPr>
            <w:tcW w:w="851" w:type="dxa"/>
            <w:tcBorders>
              <w:top w:val="single" w:sz="4" w:space="0" w:color="auto"/>
              <w:bottom w:val="single" w:sz="4" w:space="0" w:color="auto"/>
            </w:tcBorders>
          </w:tcPr>
          <w:p w14:paraId="48B78DE3" w14:textId="346659F7" w:rsidR="00E12E89" w:rsidRDefault="007B28C0" w:rsidP="00886ED7">
            <w:pPr>
              <w:jc w:val="center"/>
            </w:pPr>
            <w:r>
              <w:t>2.</w:t>
            </w:r>
          </w:p>
        </w:tc>
        <w:tc>
          <w:tcPr>
            <w:tcW w:w="6821" w:type="dxa"/>
            <w:tcBorders>
              <w:top w:val="single" w:sz="4" w:space="0" w:color="auto"/>
              <w:bottom w:val="single" w:sz="4" w:space="0" w:color="auto"/>
            </w:tcBorders>
          </w:tcPr>
          <w:p w14:paraId="73721B59" w14:textId="6E922CED" w:rsidR="007B28C0" w:rsidRDefault="007B28C0" w:rsidP="00886ED7">
            <w:pPr>
              <w:rPr>
                <w:rFonts w:cs="Calibri"/>
              </w:rPr>
            </w:pPr>
            <w:r>
              <w:rPr>
                <w:rFonts w:cs="Calibri"/>
              </w:rPr>
              <w:t>Pre-audit activities are conducted by the Auditor prior to commencing the audit. This may include:</w:t>
            </w:r>
          </w:p>
          <w:p w14:paraId="01E6CF7C" w14:textId="77DA09E9" w:rsidR="007B28C0" w:rsidRDefault="007B28C0" w:rsidP="007B28C0">
            <w:pPr>
              <w:pStyle w:val="ListBullet"/>
            </w:pPr>
            <w:r>
              <w:t xml:space="preserve">reviewing previous audit history </w:t>
            </w:r>
          </w:p>
          <w:p w14:paraId="7D93F615" w14:textId="115CADCA" w:rsidR="007B28C0" w:rsidRDefault="007B28C0" w:rsidP="007B28C0">
            <w:pPr>
              <w:pStyle w:val="ListBullet"/>
            </w:pPr>
            <w:r>
              <w:t>preparing the audit scope</w:t>
            </w:r>
          </w:p>
          <w:p w14:paraId="5A601199" w14:textId="0DB850B9" w:rsidR="007B28C0" w:rsidRDefault="007B28C0" w:rsidP="00546C44">
            <w:pPr>
              <w:pStyle w:val="ListBullet"/>
            </w:pPr>
            <w:r>
              <w:t xml:space="preserve">reviewing documentation supplied by the property or requested by the Auditor </w:t>
            </w:r>
          </w:p>
        </w:tc>
        <w:tc>
          <w:tcPr>
            <w:tcW w:w="1684" w:type="dxa"/>
            <w:tcBorders>
              <w:top w:val="single" w:sz="4" w:space="0" w:color="auto"/>
              <w:bottom w:val="single" w:sz="4" w:space="0" w:color="auto"/>
            </w:tcBorders>
          </w:tcPr>
          <w:p w14:paraId="328FFD6A" w14:textId="77777777" w:rsidR="00E12E89" w:rsidRDefault="00E12E89" w:rsidP="00886ED7">
            <w:pPr>
              <w:rPr>
                <w:spacing w:val="-1"/>
              </w:rPr>
            </w:pPr>
            <w:r>
              <w:rPr>
                <w:spacing w:val="-1"/>
              </w:rPr>
              <w:t>Auditor</w:t>
            </w:r>
          </w:p>
        </w:tc>
      </w:tr>
      <w:tr w:rsidR="00E12E89" w14:paraId="504FB954" w14:textId="77777777" w:rsidTr="00023E69">
        <w:trPr>
          <w:cantSplit/>
          <w:trHeight w:val="716"/>
        </w:trPr>
        <w:tc>
          <w:tcPr>
            <w:tcW w:w="851" w:type="dxa"/>
            <w:tcBorders>
              <w:top w:val="single" w:sz="4" w:space="0" w:color="auto"/>
              <w:bottom w:val="single" w:sz="4" w:space="0" w:color="auto"/>
            </w:tcBorders>
          </w:tcPr>
          <w:p w14:paraId="79E4D48C" w14:textId="05065053" w:rsidR="00E12E89" w:rsidRDefault="007B28C0" w:rsidP="00886ED7">
            <w:pPr>
              <w:jc w:val="center"/>
            </w:pPr>
            <w:r>
              <w:t>3.</w:t>
            </w:r>
          </w:p>
        </w:tc>
        <w:tc>
          <w:tcPr>
            <w:tcW w:w="6821" w:type="dxa"/>
            <w:tcBorders>
              <w:top w:val="single" w:sz="4" w:space="0" w:color="auto"/>
              <w:bottom w:val="single" w:sz="4" w:space="0" w:color="auto"/>
            </w:tcBorders>
          </w:tcPr>
          <w:p w14:paraId="5ABAFA0A" w14:textId="77838FEB" w:rsidR="00E12E89" w:rsidRDefault="00E12E89" w:rsidP="00886ED7">
            <w:pPr>
              <w:rPr>
                <w:rFonts w:cs="Calibri"/>
              </w:rPr>
            </w:pPr>
            <w:r>
              <w:rPr>
                <w:rFonts w:cs="Calibri"/>
              </w:rPr>
              <w:t xml:space="preserve">An entry meeting is conducted </w:t>
            </w:r>
            <w:r w:rsidR="00985BCA">
              <w:rPr>
                <w:rFonts w:cs="Calibri"/>
              </w:rPr>
              <w:t>by the auditor on-site with the manager</w:t>
            </w:r>
            <w:r w:rsidR="007B28C0">
              <w:rPr>
                <w:rFonts w:cs="Calibri"/>
              </w:rPr>
              <w:t xml:space="preserve"> or relevant person</w:t>
            </w:r>
            <w:r w:rsidR="00985BCA">
              <w:rPr>
                <w:rFonts w:cs="Calibri"/>
              </w:rPr>
              <w:t xml:space="preserve"> to </w:t>
            </w:r>
            <w:r>
              <w:rPr>
                <w:rFonts w:cs="Calibri"/>
              </w:rPr>
              <w:t>outline the objectives, scope and process of the audit.</w:t>
            </w:r>
          </w:p>
        </w:tc>
        <w:tc>
          <w:tcPr>
            <w:tcW w:w="1684" w:type="dxa"/>
            <w:tcBorders>
              <w:top w:val="single" w:sz="4" w:space="0" w:color="auto"/>
              <w:bottom w:val="single" w:sz="4" w:space="0" w:color="auto"/>
            </w:tcBorders>
          </w:tcPr>
          <w:p w14:paraId="52174326" w14:textId="196B65D9" w:rsidR="00E12E89" w:rsidRPr="003811C0" w:rsidRDefault="00E12E89" w:rsidP="00886ED7">
            <w:pPr>
              <w:pStyle w:val="ListBullet"/>
            </w:pPr>
            <w:r w:rsidRPr="003811C0">
              <w:t>Manager</w:t>
            </w:r>
            <w:r w:rsidR="00FA1347">
              <w:t>/ relevant person</w:t>
            </w:r>
            <w:r w:rsidRPr="003811C0">
              <w:t xml:space="preserve"> </w:t>
            </w:r>
          </w:p>
          <w:p w14:paraId="6177E9C3" w14:textId="77777777" w:rsidR="00E12E89" w:rsidRDefault="00E12E89" w:rsidP="00886ED7">
            <w:pPr>
              <w:pStyle w:val="ListBullet"/>
              <w:spacing w:after="120"/>
            </w:pPr>
            <w:r>
              <w:t>Auditor</w:t>
            </w:r>
          </w:p>
        </w:tc>
      </w:tr>
      <w:tr w:rsidR="00E12E89" w14:paraId="7849B9F3" w14:textId="77777777" w:rsidTr="00023E69">
        <w:trPr>
          <w:cantSplit/>
          <w:trHeight w:val="4591"/>
        </w:trPr>
        <w:tc>
          <w:tcPr>
            <w:tcW w:w="851" w:type="dxa"/>
            <w:tcBorders>
              <w:top w:val="single" w:sz="4" w:space="0" w:color="auto"/>
              <w:bottom w:val="single" w:sz="4" w:space="0" w:color="auto"/>
            </w:tcBorders>
          </w:tcPr>
          <w:p w14:paraId="011A8909" w14:textId="44566578" w:rsidR="00E12E89" w:rsidRDefault="00191940" w:rsidP="00886ED7">
            <w:pPr>
              <w:jc w:val="center"/>
            </w:pPr>
            <w:r>
              <w:t>4</w:t>
            </w:r>
            <w:r w:rsidR="00E12E89">
              <w:t>.</w:t>
            </w:r>
          </w:p>
        </w:tc>
        <w:tc>
          <w:tcPr>
            <w:tcW w:w="6821" w:type="dxa"/>
            <w:tcBorders>
              <w:top w:val="single" w:sz="4" w:space="0" w:color="auto"/>
              <w:bottom w:val="single" w:sz="4" w:space="0" w:color="auto"/>
            </w:tcBorders>
          </w:tcPr>
          <w:p w14:paraId="7E1212C2" w14:textId="2BA32DAC" w:rsidR="00E12E89" w:rsidRDefault="002C097F" w:rsidP="002C097F">
            <w:pPr>
              <w:spacing w:after="0"/>
              <w:rPr>
                <w:rFonts w:cs="Calibri"/>
              </w:rPr>
            </w:pPr>
            <w:r>
              <w:rPr>
                <w:rFonts w:cs="Calibri"/>
              </w:rPr>
              <w:t>The Auditor assesses the accredited property against the relevant performance standards and any importing country requirements to determine compliance. The manager / relevant person provides the Auditor with any requested documentation relating to the audit.</w:t>
            </w:r>
          </w:p>
          <w:tbl>
            <w:tblPr>
              <w:tblpPr w:leftFromText="180" w:rightFromText="180" w:vertAnchor="text" w:horzAnchor="margin" w:tblpY="2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7"/>
              <w:gridCol w:w="3809"/>
            </w:tblGrid>
            <w:tr w:rsidR="002C097F" w:rsidRPr="00B5294B" w14:paraId="334ABB61" w14:textId="77777777" w:rsidTr="006B54EE">
              <w:trPr>
                <w:tblHeader/>
              </w:trPr>
              <w:tc>
                <w:tcPr>
                  <w:tcW w:w="2707" w:type="dxa"/>
                  <w:tcBorders>
                    <w:right w:val="single" w:sz="4" w:space="0" w:color="auto"/>
                  </w:tcBorders>
                  <w:shd w:val="clear" w:color="auto" w:fill="BFBFBF" w:themeFill="background1" w:themeFillShade="BF"/>
                </w:tcPr>
                <w:p w14:paraId="5CE315F9" w14:textId="77777777" w:rsidR="002C097F" w:rsidRPr="00B5294B" w:rsidRDefault="002C097F" w:rsidP="002C097F">
                  <w:pPr>
                    <w:rPr>
                      <w:b/>
                    </w:rPr>
                  </w:pPr>
                  <w:r w:rsidRPr="00B5294B">
                    <w:rPr>
                      <w:b/>
                    </w:rPr>
                    <w:t>When the property is…</w:t>
                  </w:r>
                </w:p>
              </w:tc>
              <w:tc>
                <w:tcPr>
                  <w:tcW w:w="3809" w:type="dxa"/>
                  <w:tcBorders>
                    <w:left w:val="single" w:sz="4" w:space="0" w:color="auto"/>
                  </w:tcBorders>
                  <w:shd w:val="clear" w:color="auto" w:fill="BFBFBF" w:themeFill="background1" w:themeFillShade="BF"/>
                </w:tcPr>
                <w:p w14:paraId="0ECEEC45" w14:textId="77777777" w:rsidR="002C097F" w:rsidRPr="00B5294B" w:rsidRDefault="002C097F" w:rsidP="002C097F">
                  <w:pPr>
                    <w:rPr>
                      <w:b/>
                    </w:rPr>
                  </w:pPr>
                  <w:r w:rsidRPr="00B5294B">
                    <w:rPr>
                      <w:b/>
                    </w:rPr>
                    <w:t>Then…</w:t>
                  </w:r>
                </w:p>
              </w:tc>
            </w:tr>
            <w:tr w:rsidR="002C097F" w14:paraId="5D5BC693" w14:textId="77777777" w:rsidTr="006B54EE">
              <w:tc>
                <w:tcPr>
                  <w:tcW w:w="2707" w:type="dxa"/>
                  <w:shd w:val="clear" w:color="auto" w:fill="auto"/>
                </w:tcPr>
                <w:p w14:paraId="55034770" w14:textId="77777777" w:rsidR="002C097F" w:rsidRDefault="002C097F" w:rsidP="002C097F">
                  <w:r>
                    <w:t>compliant with the sub-element in the performance standards and/or relevant importing country requirements</w:t>
                  </w:r>
                </w:p>
              </w:tc>
              <w:tc>
                <w:tcPr>
                  <w:tcW w:w="3809" w:type="dxa"/>
                  <w:shd w:val="clear" w:color="auto" w:fill="auto"/>
                </w:tcPr>
                <w:p w14:paraId="79D86D4C" w14:textId="77777777" w:rsidR="002C097F" w:rsidRPr="009E61F9" w:rsidRDefault="002C097F" w:rsidP="002C097F">
                  <w:pPr>
                    <w:pStyle w:val="ListBullet"/>
                  </w:pPr>
                  <w:r>
                    <w:rPr>
                      <w:szCs w:val="22"/>
                    </w:rPr>
                    <w:t>each relevant sub-element is rated as ‘compliant’ (C)</w:t>
                  </w:r>
                </w:p>
                <w:p w14:paraId="7EE60619" w14:textId="77777777" w:rsidR="002C097F" w:rsidRDefault="002C097F" w:rsidP="002C097F">
                  <w:pPr>
                    <w:pStyle w:val="ListBullet"/>
                  </w:pPr>
                  <w:r>
                    <w:t>evidence is recorded that supports the rating</w:t>
                  </w:r>
                </w:p>
                <w:p w14:paraId="5984F946" w14:textId="77777777" w:rsidR="002C097F" w:rsidRPr="00EA22CA" w:rsidRDefault="002C097F" w:rsidP="002C097F">
                  <w:pPr>
                    <w:pStyle w:val="ListBullet"/>
                  </w:pPr>
                  <w:r>
                    <w:rPr>
                      <w:b/>
                      <w:bCs/>
                    </w:rPr>
                    <w:t>continue to Stage 5.</w:t>
                  </w:r>
                </w:p>
              </w:tc>
            </w:tr>
            <w:tr w:rsidR="002C097F" w14:paraId="7174DF30" w14:textId="77777777" w:rsidTr="006B54EE">
              <w:trPr>
                <w:trHeight w:val="2870"/>
              </w:trPr>
              <w:tc>
                <w:tcPr>
                  <w:tcW w:w="2707" w:type="dxa"/>
                  <w:shd w:val="clear" w:color="auto" w:fill="auto"/>
                </w:tcPr>
                <w:p w14:paraId="24DDCE92" w14:textId="77777777" w:rsidR="002C097F" w:rsidRDefault="002C097F" w:rsidP="002C097F">
                  <w:r>
                    <w:t xml:space="preserve">non-compliant </w:t>
                  </w:r>
                  <w:r w:rsidRPr="0055064D">
                    <w:t xml:space="preserve">against </w:t>
                  </w:r>
                  <w:r>
                    <w:t>a sub-element of the performance standards and/or importing country requirements</w:t>
                  </w:r>
                </w:p>
              </w:tc>
              <w:tc>
                <w:tcPr>
                  <w:tcW w:w="3809" w:type="dxa"/>
                  <w:shd w:val="clear" w:color="auto" w:fill="auto"/>
                </w:tcPr>
                <w:p w14:paraId="6C4A705B" w14:textId="77777777" w:rsidR="002C097F" w:rsidRDefault="002C097F" w:rsidP="002C097F">
                  <w:pPr>
                    <w:pStyle w:val="ListBullet"/>
                  </w:pPr>
                  <w:r>
                    <w:rPr>
                      <w:szCs w:val="22"/>
                    </w:rPr>
                    <w:t>each relevant</w:t>
                  </w:r>
                  <w:r w:rsidRPr="0055064D">
                    <w:rPr>
                      <w:szCs w:val="22"/>
                    </w:rPr>
                    <w:t xml:space="preserve"> </w:t>
                  </w:r>
                  <w:r>
                    <w:rPr>
                      <w:szCs w:val="22"/>
                    </w:rPr>
                    <w:t>sub-element</w:t>
                  </w:r>
                  <w:r w:rsidRPr="0055064D">
                    <w:rPr>
                      <w:szCs w:val="22"/>
                    </w:rPr>
                    <w:t xml:space="preserve"> is rated as ‘non-compliant’ (NC)</w:t>
                  </w:r>
                </w:p>
                <w:p w14:paraId="7EC55189" w14:textId="77777777" w:rsidR="002C097F" w:rsidRPr="003E0AAD" w:rsidRDefault="002C097F" w:rsidP="002C097F">
                  <w:pPr>
                    <w:pStyle w:val="ListBullet"/>
                  </w:pPr>
                  <w:r w:rsidRPr="003E0AAD">
                    <w:t>evidence is recorded that supports the non</w:t>
                  </w:r>
                  <w:r w:rsidRPr="003E0AAD">
                    <w:noBreakHyphen/>
                    <w:t>compliance</w:t>
                  </w:r>
                </w:p>
                <w:p w14:paraId="72D5E5FC" w14:textId="77777777" w:rsidR="002C097F" w:rsidRDefault="002C097F" w:rsidP="002C097F">
                  <w:pPr>
                    <w:pStyle w:val="ListBullet"/>
                  </w:pPr>
                  <w:r w:rsidRPr="003E0AAD">
                    <w:t>a non-compliance rating is assigned,</w:t>
                  </w:r>
                  <w:r>
                    <w:t xml:space="preserve"> and a non-compliance notice is issued for each relevant sub-element</w:t>
                  </w:r>
                </w:p>
                <w:p w14:paraId="12E4E012" w14:textId="77777777" w:rsidR="002C097F" w:rsidRPr="00B740FE" w:rsidRDefault="002C097F" w:rsidP="002C097F">
                  <w:pPr>
                    <w:pStyle w:val="ListBullet"/>
                    <w:spacing w:after="120"/>
                  </w:pPr>
                  <w:r>
                    <w:rPr>
                      <w:b/>
                      <w:bCs/>
                    </w:rPr>
                    <w:t>continue to Stage 5.</w:t>
                  </w:r>
                </w:p>
              </w:tc>
            </w:tr>
          </w:tbl>
          <w:p w14:paraId="01A344A0" w14:textId="0F4F6C13" w:rsidR="002C097F" w:rsidRDefault="002C097F" w:rsidP="00886ED7">
            <w:pPr>
              <w:rPr>
                <w:rFonts w:cs="Calibri"/>
              </w:rPr>
            </w:pPr>
          </w:p>
        </w:tc>
        <w:tc>
          <w:tcPr>
            <w:tcW w:w="1684" w:type="dxa"/>
            <w:tcBorders>
              <w:top w:val="single" w:sz="4" w:space="0" w:color="auto"/>
              <w:bottom w:val="single" w:sz="4" w:space="0" w:color="auto"/>
            </w:tcBorders>
          </w:tcPr>
          <w:p w14:paraId="6F8C669E" w14:textId="77777777" w:rsidR="00E12E89" w:rsidRDefault="00E12E89" w:rsidP="00886ED7">
            <w:pPr>
              <w:rPr>
                <w:spacing w:val="-1"/>
              </w:rPr>
            </w:pPr>
            <w:r>
              <w:rPr>
                <w:spacing w:val="-1"/>
              </w:rPr>
              <w:t>Auditor</w:t>
            </w:r>
          </w:p>
        </w:tc>
      </w:tr>
      <w:tr w:rsidR="00E12E89" w14:paraId="2BF38B90" w14:textId="77777777" w:rsidTr="00023E69">
        <w:trPr>
          <w:cantSplit/>
          <w:trHeight w:val="12166"/>
        </w:trPr>
        <w:tc>
          <w:tcPr>
            <w:tcW w:w="851" w:type="dxa"/>
            <w:tcBorders>
              <w:top w:val="single" w:sz="4" w:space="0" w:color="auto"/>
              <w:bottom w:val="single" w:sz="4" w:space="0" w:color="auto"/>
            </w:tcBorders>
          </w:tcPr>
          <w:p w14:paraId="3F6FA314" w14:textId="64E06B37" w:rsidR="00E12E89" w:rsidRDefault="00191940" w:rsidP="00886ED7">
            <w:pPr>
              <w:jc w:val="center"/>
            </w:pPr>
            <w:r>
              <w:lastRenderedPageBreak/>
              <w:t>5.</w:t>
            </w:r>
          </w:p>
        </w:tc>
        <w:tc>
          <w:tcPr>
            <w:tcW w:w="6821" w:type="dxa"/>
            <w:tcBorders>
              <w:top w:val="single" w:sz="4" w:space="0" w:color="auto"/>
              <w:bottom w:val="single" w:sz="4" w:space="0" w:color="auto"/>
            </w:tcBorders>
          </w:tcPr>
          <w:p w14:paraId="2C6E2C77" w14:textId="6BBAB2C1" w:rsidR="00486467" w:rsidRDefault="00E12E89" w:rsidP="00886ED7">
            <w:r>
              <w:rPr>
                <w:rFonts w:cs="Calibri"/>
              </w:rPr>
              <w:t xml:space="preserve">An exit meeting is conducted </w:t>
            </w:r>
            <w:r w:rsidR="00486467">
              <w:rPr>
                <w:rFonts w:cs="Calibri"/>
              </w:rPr>
              <w:t>by the auditor on-site with the manager</w:t>
            </w:r>
            <w:r w:rsidR="000F4D58">
              <w:rPr>
                <w:rFonts w:cs="Calibri"/>
              </w:rPr>
              <w:t xml:space="preserve"> or relevant person</w:t>
            </w:r>
            <w:r>
              <w:rPr>
                <w:rFonts w:cs="Calibri"/>
              </w:rPr>
              <w:t xml:space="preserve"> </w:t>
            </w:r>
            <w:r w:rsidR="000F4D58">
              <w:rPr>
                <w:rFonts w:cs="Calibri"/>
              </w:rPr>
              <w:t xml:space="preserve">to present the </w:t>
            </w:r>
            <w:r>
              <w:rPr>
                <w:rFonts w:cs="Calibri"/>
              </w:rPr>
              <w:t>audit findings</w:t>
            </w:r>
            <w:r w:rsidR="000F4D58">
              <w:rPr>
                <w:rFonts w:cs="Calibri"/>
              </w:rPr>
              <w:t>,</w:t>
            </w:r>
            <w:r>
              <w:rPr>
                <w:rFonts w:cs="Calibri"/>
              </w:rPr>
              <w:t xml:space="preserve"> </w:t>
            </w:r>
            <w:r w:rsidR="000F4D58">
              <w:rPr>
                <w:rFonts w:cs="Calibri"/>
              </w:rPr>
              <w:t xml:space="preserve">including any identified </w:t>
            </w:r>
            <w:r>
              <w:rPr>
                <w:rFonts w:cs="Calibri"/>
              </w:rPr>
              <w:t>non-compliances and further actions</w:t>
            </w:r>
            <w:r w:rsidR="00E116B9">
              <w:rPr>
                <w:rFonts w:cs="Calibri"/>
              </w:rPr>
              <w:t xml:space="preserve"> </w:t>
            </w:r>
            <w:r w:rsidR="000F4D58">
              <w:rPr>
                <w:rFonts w:cs="Calibri"/>
              </w:rPr>
              <w:t>required</w:t>
            </w:r>
            <w:r>
              <w:rPr>
                <w:rFonts w:cs="Calibri"/>
              </w:rPr>
              <w:t>.</w:t>
            </w:r>
          </w:p>
          <w:p w14:paraId="292AB992" w14:textId="0563952D" w:rsidR="000F4D58" w:rsidRDefault="000F4D58" w:rsidP="00886ED7">
            <w:pPr>
              <w:rPr>
                <w:rFonts w:cs="Calibri"/>
              </w:rPr>
            </w:pPr>
            <w:r>
              <w:rPr>
                <w:rFonts w:cs="Calibri"/>
                <w:b/>
                <w:bCs/>
              </w:rPr>
              <w:t xml:space="preserve">Note: </w:t>
            </w:r>
            <w:r>
              <w:rPr>
                <w:rFonts w:cs="Calibri"/>
              </w:rPr>
              <w:t xml:space="preserve">Where </w:t>
            </w:r>
            <w:r w:rsidR="005E0F13">
              <w:rPr>
                <w:rFonts w:cs="Calibri"/>
              </w:rPr>
              <w:t>several</w:t>
            </w:r>
            <w:r>
              <w:rPr>
                <w:rFonts w:cs="Calibri"/>
              </w:rPr>
              <w:t xml:space="preserve"> non-compliances are identified, the auditor can defer the issuance of non-compliances and associated ratings until further consideration has been sought by the </w:t>
            </w:r>
            <w:hyperlink w:anchor="_Contact_information" w:history="1">
              <w:r w:rsidRPr="00B11EC4">
                <w:rPr>
                  <w:rStyle w:val="Hyperlink"/>
                  <w:rFonts w:cs="Calibri"/>
                </w:rPr>
                <w:t>AAB</w:t>
              </w:r>
            </w:hyperlink>
            <w:r>
              <w:rPr>
                <w:rFonts w:cs="Calibri"/>
              </w:rPr>
              <w:t xml:space="preserve"> delegate.</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4033"/>
            </w:tblGrid>
            <w:tr w:rsidR="00B5294B" w:rsidRPr="00B5294B" w14:paraId="49F4B108" w14:textId="77777777" w:rsidTr="00B5294B">
              <w:trPr>
                <w:tblHeader/>
              </w:trPr>
              <w:tc>
                <w:tcPr>
                  <w:tcW w:w="2483" w:type="dxa"/>
                  <w:tcBorders>
                    <w:right w:val="single" w:sz="4" w:space="0" w:color="auto"/>
                  </w:tcBorders>
                  <w:shd w:val="clear" w:color="auto" w:fill="BFBFBF" w:themeFill="background1" w:themeFillShade="BF"/>
                </w:tcPr>
                <w:p w14:paraId="1E324E13" w14:textId="77777777" w:rsidR="00E12E89" w:rsidRPr="00B5294B" w:rsidRDefault="00E12E89" w:rsidP="00886ED7">
                  <w:pPr>
                    <w:rPr>
                      <w:b/>
                    </w:rPr>
                  </w:pPr>
                  <w:r w:rsidRPr="00B5294B">
                    <w:rPr>
                      <w:b/>
                    </w:rPr>
                    <w:t>When non-compliances are…</w:t>
                  </w:r>
                </w:p>
              </w:tc>
              <w:tc>
                <w:tcPr>
                  <w:tcW w:w="4033" w:type="dxa"/>
                  <w:tcBorders>
                    <w:left w:val="single" w:sz="4" w:space="0" w:color="auto"/>
                  </w:tcBorders>
                  <w:shd w:val="clear" w:color="auto" w:fill="BFBFBF" w:themeFill="background1" w:themeFillShade="BF"/>
                </w:tcPr>
                <w:p w14:paraId="0AE9E4A1" w14:textId="77777777" w:rsidR="00E12E89" w:rsidRPr="00B5294B" w:rsidRDefault="00E12E89" w:rsidP="00886ED7">
                  <w:pPr>
                    <w:rPr>
                      <w:b/>
                    </w:rPr>
                  </w:pPr>
                  <w:r w:rsidRPr="00B5294B">
                    <w:rPr>
                      <w:b/>
                    </w:rPr>
                    <w:t>Then…</w:t>
                  </w:r>
                </w:p>
              </w:tc>
            </w:tr>
            <w:tr w:rsidR="00E12E89" w14:paraId="6FBFE95C" w14:textId="77777777" w:rsidTr="00023E69">
              <w:tc>
                <w:tcPr>
                  <w:tcW w:w="2483" w:type="dxa"/>
                  <w:shd w:val="clear" w:color="auto" w:fill="auto"/>
                </w:tcPr>
                <w:p w14:paraId="4B3850C1" w14:textId="585E9EBC" w:rsidR="00E12E89" w:rsidRDefault="00E12E89" w:rsidP="00886ED7">
                  <w:r>
                    <w:t>not identified</w:t>
                  </w:r>
                </w:p>
              </w:tc>
              <w:tc>
                <w:tcPr>
                  <w:tcW w:w="4033" w:type="dxa"/>
                  <w:shd w:val="clear" w:color="auto" w:fill="auto"/>
                </w:tcPr>
                <w:p w14:paraId="62F867C5" w14:textId="76AA6477" w:rsidR="000F4D58" w:rsidRDefault="00B11EC4" w:rsidP="00886ED7">
                  <w:pPr>
                    <w:pStyle w:val="ListBullet"/>
                  </w:pPr>
                  <w:r>
                    <w:t>t</w:t>
                  </w:r>
                  <w:r w:rsidR="000F4D58">
                    <w:t>he property is compliant</w:t>
                  </w:r>
                </w:p>
                <w:p w14:paraId="7ED463F5" w14:textId="5A026B88" w:rsidR="00E12E89" w:rsidRDefault="00E12E89" w:rsidP="00886ED7">
                  <w:pPr>
                    <w:pStyle w:val="ListBullet"/>
                  </w:pPr>
                  <w:r>
                    <w:t xml:space="preserve">an audit report is issued </w:t>
                  </w:r>
                  <w:r w:rsidR="000F4D58">
                    <w:t xml:space="preserve">to the manager/relevant person </w:t>
                  </w:r>
                  <w:r>
                    <w:t>within 10 business days</w:t>
                  </w:r>
                </w:p>
                <w:p w14:paraId="7151F20E" w14:textId="6B55A1EE" w:rsidR="00E12E89" w:rsidRDefault="00E12E89" w:rsidP="00886ED7">
                  <w:pPr>
                    <w:pStyle w:val="ListBullet"/>
                  </w:pPr>
                  <w:r w:rsidRPr="007670D6">
                    <w:rPr>
                      <w:b/>
                      <w:bCs/>
                    </w:rPr>
                    <w:t>the process ends here.</w:t>
                  </w:r>
                </w:p>
              </w:tc>
            </w:tr>
            <w:tr w:rsidR="00E12E89" w14:paraId="0A8C1276" w14:textId="77777777" w:rsidTr="00023E69">
              <w:tc>
                <w:tcPr>
                  <w:tcW w:w="2483" w:type="dxa"/>
                  <w:shd w:val="clear" w:color="auto" w:fill="auto"/>
                </w:tcPr>
                <w:p w14:paraId="30686C61" w14:textId="77777777" w:rsidR="00E12E89" w:rsidRDefault="00E12E89" w:rsidP="00886ED7">
                  <w:r>
                    <w:t>major or minor</w:t>
                  </w:r>
                </w:p>
              </w:tc>
              <w:tc>
                <w:tcPr>
                  <w:tcW w:w="4033" w:type="dxa"/>
                  <w:shd w:val="clear" w:color="auto" w:fill="auto"/>
                </w:tcPr>
                <w:p w14:paraId="6AC00C41" w14:textId="4F32087E" w:rsidR="000F4D58" w:rsidRDefault="00B11EC4" w:rsidP="00886ED7">
                  <w:pPr>
                    <w:pStyle w:val="ListBullet"/>
                  </w:pPr>
                  <w:r>
                    <w:t>t</w:t>
                  </w:r>
                  <w:r w:rsidR="000F4D58">
                    <w:t>he property is not compliant.</w:t>
                  </w:r>
                </w:p>
                <w:p w14:paraId="311285C1" w14:textId="42EB00B5" w:rsidR="00E12E89" w:rsidRDefault="00E12E89" w:rsidP="00886ED7">
                  <w:pPr>
                    <w:pStyle w:val="ListBullet"/>
                  </w:pPr>
                  <w:r>
                    <w:t>a non-compliance notice</w:t>
                  </w:r>
                  <w:r w:rsidRPr="007F520F">
                    <w:t xml:space="preserve"> is issued</w:t>
                  </w:r>
                  <w:r w:rsidR="000F4D58">
                    <w:t xml:space="preserve"> to the manager/relevant person.</w:t>
                  </w:r>
                </w:p>
                <w:p w14:paraId="1896FC11" w14:textId="4C86E776" w:rsidR="00486467" w:rsidRPr="003E0AAD" w:rsidRDefault="00486467" w:rsidP="00486467">
                  <w:pPr>
                    <w:pStyle w:val="ListBullet"/>
                  </w:pPr>
                  <w:r>
                    <w:t xml:space="preserve">a timeframe for </w:t>
                  </w:r>
                  <w:r w:rsidR="000F4D58">
                    <w:t>review of</w:t>
                  </w:r>
                  <w:r>
                    <w:t xml:space="preserve"> the non-compliance notice is given</w:t>
                  </w:r>
                </w:p>
                <w:p w14:paraId="2EA1FFA7" w14:textId="770BFBE8" w:rsidR="00E12E89" w:rsidRPr="007F520F" w:rsidRDefault="00E12E89" w:rsidP="00886ED7">
                  <w:pPr>
                    <w:pStyle w:val="ListBullet"/>
                  </w:pPr>
                  <w:r w:rsidRPr="007F520F">
                    <w:t>an audit report is issued</w:t>
                  </w:r>
                  <w:r>
                    <w:t xml:space="preserve"> </w:t>
                  </w:r>
                  <w:r w:rsidR="000F4D58">
                    <w:t xml:space="preserve">to the manager/relevant person </w:t>
                  </w:r>
                  <w:r>
                    <w:t>within 10 business days</w:t>
                  </w:r>
                </w:p>
                <w:p w14:paraId="17D96889" w14:textId="01F30A94" w:rsidR="00E12E89" w:rsidRDefault="00E12E89" w:rsidP="00886ED7">
                  <w:pPr>
                    <w:pStyle w:val="ListBullet"/>
                  </w:pPr>
                  <w:r>
                    <w:rPr>
                      <w:b/>
                    </w:rPr>
                    <w:t xml:space="preserve">continue to Stage </w:t>
                  </w:r>
                  <w:r w:rsidR="00191940">
                    <w:rPr>
                      <w:b/>
                    </w:rPr>
                    <w:t>6</w:t>
                  </w:r>
                  <w:r>
                    <w:t>.</w:t>
                  </w:r>
                </w:p>
              </w:tc>
            </w:tr>
            <w:tr w:rsidR="00E12E89" w14:paraId="285B01F7" w14:textId="77777777" w:rsidTr="00023E69">
              <w:tc>
                <w:tcPr>
                  <w:tcW w:w="2483" w:type="dxa"/>
                  <w:shd w:val="clear" w:color="auto" w:fill="auto"/>
                </w:tcPr>
                <w:p w14:paraId="3AACDF4E" w14:textId="77777777" w:rsidR="00E12E89" w:rsidRDefault="00E12E89" w:rsidP="00886ED7">
                  <w:r>
                    <w:t>critical</w:t>
                  </w:r>
                </w:p>
              </w:tc>
              <w:tc>
                <w:tcPr>
                  <w:tcW w:w="4033" w:type="dxa"/>
                  <w:shd w:val="clear" w:color="auto" w:fill="auto"/>
                </w:tcPr>
                <w:p w14:paraId="026CF825" w14:textId="63E9845D" w:rsidR="000F4D58" w:rsidRDefault="00B11EC4" w:rsidP="00886ED7">
                  <w:pPr>
                    <w:pStyle w:val="ListBullet"/>
                  </w:pPr>
                  <w:r>
                    <w:t>t</w:t>
                  </w:r>
                  <w:r w:rsidR="000F4D58">
                    <w:t>he property is not compliant.</w:t>
                  </w:r>
                </w:p>
                <w:p w14:paraId="14FF9425" w14:textId="1087D143" w:rsidR="00E12E89" w:rsidRDefault="00E12E89" w:rsidP="00886ED7">
                  <w:pPr>
                    <w:pStyle w:val="ListBullet"/>
                  </w:pPr>
                  <w:r>
                    <w:t>a non-compliance notice is issued</w:t>
                  </w:r>
                  <w:r w:rsidR="000F4D58">
                    <w:t xml:space="preserve"> to the manager/relevant person</w:t>
                  </w:r>
                </w:p>
                <w:p w14:paraId="2BE31CFE" w14:textId="2A00FBA3" w:rsidR="00E12E89" w:rsidRDefault="00E12E89" w:rsidP="00886ED7">
                  <w:pPr>
                    <w:pStyle w:val="ListBullet"/>
                  </w:pPr>
                  <w:r>
                    <w:t xml:space="preserve">an audit report is issued </w:t>
                  </w:r>
                  <w:r w:rsidR="000F4D58">
                    <w:t xml:space="preserve">to the manager/relevant person </w:t>
                  </w:r>
                  <w:r>
                    <w:t>within 10 business days</w:t>
                  </w:r>
                  <w:r w:rsidR="000F4D58">
                    <w:t xml:space="preserve"> </w:t>
                  </w:r>
                </w:p>
                <w:p w14:paraId="42DC160A" w14:textId="4573A9EB" w:rsidR="00E12E89" w:rsidRDefault="00E12E89" w:rsidP="00886ED7">
                  <w:pPr>
                    <w:pStyle w:val="ListBullet"/>
                  </w:pPr>
                  <w:r>
                    <w:t xml:space="preserve">the matter is referred to </w:t>
                  </w:r>
                  <w:r w:rsidR="000F4D58">
                    <w:t>AAB delegate</w:t>
                  </w:r>
                  <w:r w:rsidR="00191940">
                    <w:t xml:space="preserve"> </w:t>
                  </w:r>
                  <w:r>
                    <w:t>who will determine how to escalate the issue</w:t>
                  </w:r>
                </w:p>
                <w:p w14:paraId="10464857" w14:textId="014A6727" w:rsidR="00E12E89" w:rsidRDefault="00E12E89" w:rsidP="00886ED7">
                  <w:pPr>
                    <w:pStyle w:val="ListBullet"/>
                    <w:numPr>
                      <w:ilvl w:val="0"/>
                      <w:numId w:val="0"/>
                    </w:numPr>
                    <w:ind w:left="360"/>
                  </w:pPr>
                  <w:r w:rsidRPr="00EB3651">
                    <w:rPr>
                      <w:rFonts w:cs="Segoe UI"/>
                      <w:b/>
                      <w:bCs/>
                      <w:lang w:val="en"/>
                    </w:rPr>
                    <w:t>Refer to</w:t>
                  </w:r>
                  <w:r>
                    <w:rPr>
                      <w:rFonts w:cs="Segoe UI"/>
                      <w:lang w:val="en"/>
                    </w:rPr>
                    <w:t xml:space="preserve"> ‘Variations, suspensions and revocation of registration, operations or functions’ in the </w:t>
                  </w:r>
                  <w:hyperlink w:anchor="_Related_material_1" w:history="1">
                    <w:r w:rsidR="00B5294B">
                      <w:t>Exports process instruction</w:t>
                    </w:r>
                    <w:r w:rsidR="00B5294B" w:rsidRPr="004509CE">
                      <w:t xml:space="preserve">: </w:t>
                    </w:r>
                    <w:r w:rsidR="00B5294B" w:rsidRPr="004509CE">
                      <w:rPr>
                        <w:rStyle w:val="Hyperlink"/>
                        <w:i/>
                        <w:szCs w:val="22"/>
                      </w:rPr>
                      <w:t>Management of horticulture export accredited properties</w:t>
                    </w:r>
                  </w:hyperlink>
                  <w:r w:rsidRPr="004509CE">
                    <w:t>.</w:t>
                  </w:r>
                </w:p>
                <w:p w14:paraId="7351E8C0" w14:textId="77777777" w:rsidR="00E12E89" w:rsidRPr="00EA22CA" w:rsidRDefault="00E12E89" w:rsidP="00886ED7">
                  <w:pPr>
                    <w:pStyle w:val="ListBullet"/>
                    <w:spacing w:after="120"/>
                  </w:pPr>
                  <w:r>
                    <w:rPr>
                      <w:b/>
                      <w:bCs/>
                    </w:rPr>
                    <w:t xml:space="preserve">the </w:t>
                  </w:r>
                  <w:r w:rsidRPr="00EB3651">
                    <w:rPr>
                      <w:b/>
                      <w:bCs/>
                    </w:rPr>
                    <w:t>process ends here</w:t>
                  </w:r>
                  <w:r>
                    <w:t>.</w:t>
                  </w:r>
                </w:p>
              </w:tc>
            </w:tr>
          </w:tbl>
          <w:p w14:paraId="11863929" w14:textId="138206C0" w:rsidR="00E12E89" w:rsidRPr="00F06AC0" w:rsidRDefault="00E12E89" w:rsidP="00886ED7">
            <w:pPr>
              <w:rPr>
                <w:rFonts w:cs="Calibri"/>
                <w:b/>
              </w:rPr>
            </w:pPr>
          </w:p>
        </w:tc>
        <w:tc>
          <w:tcPr>
            <w:tcW w:w="1684" w:type="dxa"/>
            <w:tcBorders>
              <w:top w:val="single" w:sz="4" w:space="0" w:color="auto"/>
              <w:bottom w:val="single" w:sz="4" w:space="0" w:color="auto"/>
            </w:tcBorders>
          </w:tcPr>
          <w:p w14:paraId="654B9B15" w14:textId="14F8EE5D" w:rsidR="00E12E89" w:rsidRDefault="00E12E89" w:rsidP="00886ED7">
            <w:pPr>
              <w:pStyle w:val="ListBullet"/>
            </w:pPr>
            <w:r>
              <w:t>Manager</w:t>
            </w:r>
            <w:r w:rsidR="005E0F13">
              <w:t xml:space="preserve"> / relevant person</w:t>
            </w:r>
            <w:r>
              <w:t xml:space="preserve"> </w:t>
            </w:r>
          </w:p>
          <w:p w14:paraId="20894F85" w14:textId="77777777" w:rsidR="00E12E89" w:rsidRDefault="00E12E89" w:rsidP="00886ED7">
            <w:pPr>
              <w:pStyle w:val="ListBullet"/>
            </w:pPr>
            <w:r>
              <w:t>Auditor</w:t>
            </w:r>
          </w:p>
          <w:p w14:paraId="4EBC6174" w14:textId="7E49B216" w:rsidR="00E12E89" w:rsidRPr="002524BE" w:rsidRDefault="00546C44" w:rsidP="00886ED7">
            <w:pPr>
              <w:pStyle w:val="ListBullet"/>
            </w:pPr>
            <w:r>
              <w:t>AAB delegate</w:t>
            </w:r>
          </w:p>
        </w:tc>
      </w:tr>
      <w:tr w:rsidR="00E12E89" w14:paraId="0877B421" w14:textId="77777777" w:rsidTr="00023E69">
        <w:trPr>
          <w:cantSplit/>
          <w:trHeight w:val="682"/>
        </w:trPr>
        <w:tc>
          <w:tcPr>
            <w:tcW w:w="851" w:type="dxa"/>
            <w:tcBorders>
              <w:top w:val="single" w:sz="4" w:space="0" w:color="auto"/>
              <w:bottom w:val="single" w:sz="4" w:space="0" w:color="auto"/>
            </w:tcBorders>
          </w:tcPr>
          <w:p w14:paraId="393DE6C9" w14:textId="6C41FAFD" w:rsidR="00E12E89" w:rsidRDefault="00191940" w:rsidP="00886ED7">
            <w:pPr>
              <w:jc w:val="center"/>
            </w:pPr>
            <w:r>
              <w:t>6</w:t>
            </w:r>
            <w:r w:rsidR="00E12E89">
              <w:t>.</w:t>
            </w:r>
          </w:p>
        </w:tc>
        <w:tc>
          <w:tcPr>
            <w:tcW w:w="6821" w:type="dxa"/>
            <w:tcBorders>
              <w:top w:val="single" w:sz="4" w:space="0" w:color="auto"/>
              <w:bottom w:val="single" w:sz="4" w:space="0" w:color="auto"/>
            </w:tcBorders>
          </w:tcPr>
          <w:p w14:paraId="16CB6DD6" w14:textId="00617152" w:rsidR="00E12E89" w:rsidRDefault="00E65614" w:rsidP="00886ED7">
            <w:pPr>
              <w:rPr>
                <w:rFonts w:cs="Calibri"/>
              </w:rPr>
            </w:pPr>
            <w:r>
              <w:rPr>
                <w:rFonts w:cs="Calibri"/>
              </w:rPr>
              <w:t xml:space="preserve"> Evidence of compliance is provided to the Auditor by the manager/relevant person by the review date.</w:t>
            </w:r>
          </w:p>
        </w:tc>
        <w:tc>
          <w:tcPr>
            <w:tcW w:w="1684" w:type="dxa"/>
            <w:tcBorders>
              <w:top w:val="single" w:sz="4" w:space="0" w:color="auto"/>
              <w:bottom w:val="single" w:sz="4" w:space="0" w:color="auto"/>
            </w:tcBorders>
          </w:tcPr>
          <w:p w14:paraId="4D3581AB" w14:textId="3544FD3A" w:rsidR="000A398E" w:rsidRDefault="00E12E89" w:rsidP="00886ED7">
            <w:pPr>
              <w:pStyle w:val="ListBullet"/>
              <w:numPr>
                <w:ilvl w:val="0"/>
                <w:numId w:val="0"/>
              </w:numPr>
            </w:pPr>
            <w:r>
              <w:t>Manager</w:t>
            </w:r>
            <w:r w:rsidR="00E65614">
              <w:t>/</w:t>
            </w:r>
          </w:p>
          <w:p w14:paraId="154162CB" w14:textId="32B37AE1" w:rsidR="00E12E89" w:rsidRDefault="00E65614" w:rsidP="00886ED7">
            <w:pPr>
              <w:pStyle w:val="ListBullet"/>
              <w:numPr>
                <w:ilvl w:val="0"/>
                <w:numId w:val="0"/>
              </w:numPr>
            </w:pPr>
            <w:r>
              <w:t>relevant person</w:t>
            </w:r>
          </w:p>
        </w:tc>
      </w:tr>
      <w:tr w:rsidR="00E12E89" w14:paraId="3E8E7A53" w14:textId="77777777" w:rsidTr="00023E69">
        <w:trPr>
          <w:cantSplit/>
          <w:trHeight w:val="6070"/>
        </w:trPr>
        <w:tc>
          <w:tcPr>
            <w:tcW w:w="851" w:type="dxa"/>
            <w:tcBorders>
              <w:top w:val="single" w:sz="4" w:space="0" w:color="auto"/>
              <w:bottom w:val="single" w:sz="4" w:space="0" w:color="auto"/>
            </w:tcBorders>
          </w:tcPr>
          <w:p w14:paraId="73461A2C" w14:textId="2A7DE5AD" w:rsidR="00E12E89" w:rsidRDefault="00191940" w:rsidP="00886ED7">
            <w:pPr>
              <w:jc w:val="center"/>
            </w:pPr>
            <w:r>
              <w:lastRenderedPageBreak/>
              <w:t>7</w:t>
            </w:r>
            <w:r w:rsidR="00E12E89">
              <w:t>.</w:t>
            </w:r>
          </w:p>
        </w:tc>
        <w:tc>
          <w:tcPr>
            <w:tcW w:w="6821" w:type="dxa"/>
            <w:tcBorders>
              <w:top w:val="single" w:sz="4" w:space="0" w:color="auto"/>
              <w:bottom w:val="single" w:sz="4" w:space="0" w:color="auto"/>
            </w:tcBorders>
          </w:tcPr>
          <w:p w14:paraId="6366EF10" w14:textId="63C3132B" w:rsidR="00E12E89" w:rsidRDefault="00E65614" w:rsidP="00886ED7">
            <w:pPr>
              <w:rPr>
                <w:rFonts w:cs="Calibri"/>
              </w:rPr>
            </w:pPr>
            <w:r>
              <w:rPr>
                <w:rFonts w:cs="Calibri"/>
              </w:rPr>
              <w:t>The non-compliance is reviewed by the Auditor against the evidence provided by the manager/relevant person.</w:t>
            </w:r>
          </w:p>
          <w:p w14:paraId="73719551" w14:textId="0F2B1831" w:rsidR="004167B3" w:rsidRDefault="004167B3" w:rsidP="00886ED7">
            <w:pPr>
              <w:rPr>
                <w:rFonts w:cs="Calibri"/>
              </w:rPr>
            </w:pPr>
            <w:r>
              <w:rPr>
                <w:b/>
              </w:rPr>
              <w:t xml:space="preserve">Note: </w:t>
            </w:r>
            <w:r w:rsidRPr="001315AA">
              <w:t>E</w:t>
            </w:r>
            <w:r>
              <w:t xml:space="preserve">vidence </w:t>
            </w:r>
            <w:r w:rsidRPr="00EA22CA">
              <w:t xml:space="preserve">may be </w:t>
            </w:r>
            <w:r>
              <w:t xml:space="preserve">gathered </w:t>
            </w:r>
            <w:r w:rsidRPr="00EA22CA">
              <w:t>via a follow-up visit to the property or where appropriate, determined remotely (for example, the manager may email eviden</w:t>
            </w:r>
            <w:r>
              <w:t>ce of their corrective action).</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2"/>
              <w:gridCol w:w="3514"/>
            </w:tblGrid>
            <w:tr w:rsidR="000A398E" w:rsidRPr="000A398E" w14:paraId="3112EF07" w14:textId="77777777" w:rsidTr="000A398E">
              <w:tc>
                <w:tcPr>
                  <w:tcW w:w="3002" w:type="dxa"/>
                  <w:tcBorders>
                    <w:right w:val="single" w:sz="4" w:space="0" w:color="auto"/>
                  </w:tcBorders>
                  <w:shd w:val="clear" w:color="auto" w:fill="BFBFBF" w:themeFill="background1" w:themeFillShade="BF"/>
                </w:tcPr>
                <w:p w14:paraId="7EEE13FF" w14:textId="33434620" w:rsidR="00E12E89" w:rsidRPr="000A398E" w:rsidRDefault="00E12E89" w:rsidP="00886ED7">
                  <w:pPr>
                    <w:rPr>
                      <w:b/>
                    </w:rPr>
                  </w:pPr>
                  <w:r w:rsidRPr="000A398E">
                    <w:rPr>
                      <w:b/>
                    </w:rPr>
                    <w:t>When the evidence</w:t>
                  </w:r>
                  <w:r w:rsidR="004167B3" w:rsidRPr="000A398E">
                    <w:rPr>
                      <w:b/>
                    </w:rPr>
                    <w:t xml:space="preserve"> provided</w:t>
                  </w:r>
                  <w:r w:rsidRPr="000A398E">
                    <w:rPr>
                      <w:b/>
                    </w:rPr>
                    <w:t xml:space="preserve"> is…</w:t>
                  </w:r>
                </w:p>
              </w:tc>
              <w:tc>
                <w:tcPr>
                  <w:tcW w:w="3514" w:type="dxa"/>
                  <w:tcBorders>
                    <w:left w:val="single" w:sz="4" w:space="0" w:color="auto"/>
                  </w:tcBorders>
                  <w:shd w:val="clear" w:color="auto" w:fill="BFBFBF" w:themeFill="background1" w:themeFillShade="BF"/>
                </w:tcPr>
                <w:p w14:paraId="0E822004" w14:textId="0DF412F2" w:rsidR="00E12E89" w:rsidRPr="000A398E" w:rsidRDefault="00E12E89" w:rsidP="00886ED7">
                  <w:pPr>
                    <w:rPr>
                      <w:b/>
                    </w:rPr>
                  </w:pPr>
                  <w:r w:rsidRPr="000A398E">
                    <w:rPr>
                      <w:b/>
                    </w:rPr>
                    <w:t>Then</w:t>
                  </w:r>
                  <w:r w:rsidR="004167B3" w:rsidRPr="000A398E">
                    <w:rPr>
                      <w:b/>
                    </w:rPr>
                    <w:t xml:space="preserve"> the non-compliance notice</w:t>
                  </w:r>
                  <w:r w:rsidRPr="000A398E">
                    <w:rPr>
                      <w:b/>
                    </w:rPr>
                    <w:t>…</w:t>
                  </w:r>
                </w:p>
              </w:tc>
            </w:tr>
            <w:tr w:rsidR="00E12E89" w14:paraId="0D188FF7" w14:textId="77777777" w:rsidTr="00023E69">
              <w:tc>
                <w:tcPr>
                  <w:tcW w:w="3002" w:type="dxa"/>
                  <w:shd w:val="clear" w:color="auto" w:fill="auto"/>
                </w:tcPr>
                <w:p w14:paraId="2D7F7B4F" w14:textId="77777777" w:rsidR="004167B3" w:rsidRDefault="004167B3" w:rsidP="004167B3">
                  <w:pPr>
                    <w:pStyle w:val="ListBullet"/>
                  </w:pPr>
                  <w:r w:rsidRPr="003E0AAD">
                    <w:t xml:space="preserve">satisfactory </w:t>
                  </w:r>
                </w:p>
                <w:p w14:paraId="0EAA5593" w14:textId="77777777" w:rsidR="004167B3" w:rsidRDefault="004167B3" w:rsidP="004167B3">
                  <w:pPr>
                    <w:pStyle w:val="ListBullet"/>
                    <w:numPr>
                      <w:ilvl w:val="0"/>
                      <w:numId w:val="0"/>
                    </w:numPr>
                    <w:ind w:left="360"/>
                  </w:pPr>
                  <w:r w:rsidRPr="003E0AAD">
                    <w:t xml:space="preserve">and </w:t>
                  </w:r>
                </w:p>
                <w:p w14:paraId="3E68B483" w14:textId="3D2F8606" w:rsidR="00E12E89" w:rsidRDefault="004167B3" w:rsidP="00023E69">
                  <w:pPr>
                    <w:pStyle w:val="ListBullet"/>
                  </w:pPr>
                  <w:r w:rsidRPr="003E0AAD">
                    <w:t xml:space="preserve">provided by the </w:t>
                  </w:r>
                  <w:r w:rsidR="00E65614">
                    <w:t>review date</w:t>
                  </w:r>
                </w:p>
              </w:tc>
              <w:tc>
                <w:tcPr>
                  <w:tcW w:w="3514" w:type="dxa"/>
                  <w:shd w:val="clear" w:color="auto" w:fill="auto"/>
                </w:tcPr>
                <w:p w14:paraId="51E1DEAE" w14:textId="7A7B58A0" w:rsidR="00E12E89" w:rsidRDefault="00E12E89" w:rsidP="00886ED7">
                  <w:pPr>
                    <w:pStyle w:val="ListBullet"/>
                  </w:pPr>
                  <w:r w:rsidRPr="00E65614">
                    <w:t xml:space="preserve">is </w:t>
                  </w:r>
                  <w:r w:rsidR="00E65614" w:rsidRPr="00E65614">
                    <w:t>determined as return to compliance</w:t>
                  </w:r>
                </w:p>
                <w:p w14:paraId="7E0376A7" w14:textId="7176082F" w:rsidR="00191940" w:rsidRDefault="00E65614" w:rsidP="00023E69">
                  <w:pPr>
                    <w:pStyle w:val="ListBullet"/>
                    <w:numPr>
                      <w:ilvl w:val="0"/>
                      <w:numId w:val="0"/>
                    </w:numPr>
                    <w:ind w:left="360"/>
                  </w:pPr>
                  <w:r>
                    <w:t xml:space="preserve"> The non-compliance notice is re-issued with a return to compliance result</w:t>
                  </w:r>
                </w:p>
                <w:p w14:paraId="14D366B9" w14:textId="515F9264" w:rsidR="00E12E89" w:rsidRPr="001F7B2A" w:rsidRDefault="00E12E89" w:rsidP="00886ED7">
                  <w:pPr>
                    <w:pStyle w:val="ListBullet"/>
                    <w:rPr>
                      <w:b/>
                      <w:bCs/>
                    </w:rPr>
                  </w:pPr>
                  <w:r>
                    <w:t xml:space="preserve">the property is </w:t>
                  </w:r>
                  <w:r w:rsidR="00B97146">
                    <w:t>re-</w:t>
                  </w:r>
                  <w:r>
                    <w:t>accredited</w:t>
                  </w:r>
                  <w:r w:rsidR="005F3578">
                    <w:t xml:space="preserve"> </w:t>
                  </w:r>
                  <w:r w:rsidRPr="001F7B2A">
                    <w:rPr>
                      <w:b/>
                      <w:bCs/>
                    </w:rPr>
                    <w:t>the process ends here.</w:t>
                  </w:r>
                </w:p>
              </w:tc>
            </w:tr>
            <w:tr w:rsidR="00E12E89" w14:paraId="3F8CC587" w14:textId="77777777" w:rsidTr="00023E69">
              <w:tc>
                <w:tcPr>
                  <w:tcW w:w="3002" w:type="dxa"/>
                  <w:shd w:val="clear" w:color="auto" w:fill="auto"/>
                </w:tcPr>
                <w:p w14:paraId="09BF007E" w14:textId="77777777" w:rsidR="004167B3" w:rsidRPr="003E0AAD" w:rsidRDefault="004167B3" w:rsidP="004167B3">
                  <w:pPr>
                    <w:pStyle w:val="ListBullet"/>
                  </w:pPr>
                  <w:r w:rsidRPr="003E0AAD">
                    <w:t>not satisfactory</w:t>
                  </w:r>
                </w:p>
                <w:p w14:paraId="7F82AA00" w14:textId="77777777" w:rsidR="004167B3" w:rsidRPr="003E0AAD" w:rsidRDefault="004167B3" w:rsidP="004167B3">
                  <w:pPr>
                    <w:spacing w:after="60"/>
                    <w:ind w:left="360"/>
                    <w:rPr>
                      <w:rFonts w:eastAsia="Times New Roman"/>
                      <w:szCs w:val="24"/>
                    </w:rPr>
                  </w:pPr>
                  <w:r w:rsidRPr="003E0AAD">
                    <w:rPr>
                      <w:rFonts w:eastAsia="Times New Roman"/>
                      <w:szCs w:val="24"/>
                    </w:rPr>
                    <w:t>or</w:t>
                  </w:r>
                </w:p>
                <w:p w14:paraId="3266529B" w14:textId="397BC3B3" w:rsidR="00E12E89" w:rsidRDefault="004167B3" w:rsidP="00886ED7">
                  <w:pPr>
                    <w:pStyle w:val="ListBullet"/>
                    <w:spacing w:after="120"/>
                  </w:pPr>
                  <w:r w:rsidRPr="003E0AAD">
                    <w:t xml:space="preserve">not provided by the </w:t>
                  </w:r>
                  <w:r w:rsidR="00E65614">
                    <w:t>review date</w:t>
                  </w:r>
                  <w:r w:rsidRPr="003E0AAD">
                    <w:t>.</w:t>
                  </w:r>
                </w:p>
              </w:tc>
              <w:tc>
                <w:tcPr>
                  <w:tcW w:w="3514" w:type="dxa"/>
                  <w:shd w:val="clear" w:color="auto" w:fill="auto"/>
                </w:tcPr>
                <w:p w14:paraId="1A7BE472" w14:textId="33CFF418" w:rsidR="00E12E89" w:rsidRDefault="00E12E89" w:rsidP="00886ED7">
                  <w:pPr>
                    <w:pStyle w:val="ListBullet"/>
                  </w:pPr>
                  <w:r>
                    <w:t>remains open</w:t>
                  </w:r>
                </w:p>
                <w:p w14:paraId="1DF79E9E" w14:textId="4BD3FEE1" w:rsidR="00E12E89" w:rsidRPr="00972218" w:rsidRDefault="00E12E89" w:rsidP="00886ED7">
                  <w:pPr>
                    <w:pStyle w:val="ListBullet"/>
                  </w:pPr>
                  <w:r w:rsidRPr="00D06CFF">
                    <w:rPr>
                      <w:b/>
                      <w:bCs/>
                    </w:rPr>
                    <w:t xml:space="preserve">continue to stage </w:t>
                  </w:r>
                  <w:r w:rsidR="00191940">
                    <w:rPr>
                      <w:b/>
                      <w:bCs/>
                    </w:rPr>
                    <w:t>8</w:t>
                  </w:r>
                  <w:r>
                    <w:t>.</w:t>
                  </w:r>
                </w:p>
              </w:tc>
            </w:tr>
          </w:tbl>
          <w:p w14:paraId="16829361" w14:textId="2780F43F" w:rsidR="00E12E89" w:rsidRDefault="00E12E89" w:rsidP="00886ED7">
            <w:pPr>
              <w:rPr>
                <w:rFonts w:cs="Calibri"/>
              </w:rPr>
            </w:pPr>
          </w:p>
        </w:tc>
        <w:tc>
          <w:tcPr>
            <w:tcW w:w="1684" w:type="dxa"/>
            <w:tcBorders>
              <w:top w:val="single" w:sz="4" w:space="0" w:color="auto"/>
              <w:bottom w:val="single" w:sz="4" w:space="0" w:color="auto"/>
            </w:tcBorders>
          </w:tcPr>
          <w:p w14:paraId="2A5CA0B8" w14:textId="77777777" w:rsidR="00E12E89" w:rsidRDefault="00E12E89" w:rsidP="00886ED7">
            <w:pPr>
              <w:rPr>
                <w:spacing w:val="-1"/>
              </w:rPr>
            </w:pPr>
            <w:r>
              <w:rPr>
                <w:spacing w:val="-1"/>
              </w:rPr>
              <w:t>Auditor</w:t>
            </w:r>
          </w:p>
        </w:tc>
      </w:tr>
      <w:tr w:rsidR="00E12E89" w14:paraId="374A0948" w14:textId="77777777" w:rsidTr="00023E69">
        <w:trPr>
          <w:cantSplit/>
          <w:trHeight w:val="3115"/>
        </w:trPr>
        <w:tc>
          <w:tcPr>
            <w:tcW w:w="851" w:type="dxa"/>
            <w:tcBorders>
              <w:top w:val="single" w:sz="4" w:space="0" w:color="auto"/>
              <w:bottom w:val="single" w:sz="4" w:space="0" w:color="auto"/>
            </w:tcBorders>
          </w:tcPr>
          <w:p w14:paraId="7AF7A6ED" w14:textId="1926DA46" w:rsidR="00E12E89" w:rsidRDefault="00191940" w:rsidP="00886ED7">
            <w:pPr>
              <w:jc w:val="center"/>
            </w:pPr>
            <w:r>
              <w:t>8</w:t>
            </w:r>
            <w:r w:rsidR="00E12E89">
              <w:t>.</w:t>
            </w:r>
          </w:p>
        </w:tc>
        <w:tc>
          <w:tcPr>
            <w:tcW w:w="6821" w:type="dxa"/>
            <w:tcBorders>
              <w:top w:val="single" w:sz="4" w:space="0" w:color="auto"/>
              <w:bottom w:val="single" w:sz="4" w:space="0" w:color="auto"/>
            </w:tcBorders>
          </w:tcPr>
          <w:p w14:paraId="09CBDE11" w14:textId="02906A8D" w:rsidR="00E12E89" w:rsidRDefault="00E12E89" w:rsidP="00886ED7">
            <w:pPr>
              <w:rPr>
                <w:rFonts w:cs="Calibri"/>
              </w:rPr>
            </w:pPr>
            <w:r>
              <w:rPr>
                <w:rFonts w:cs="Calibri"/>
              </w:rPr>
              <w:t>The auditor determines whether to grant an extension to rectify the non-compliance notice.</w:t>
            </w:r>
          </w:p>
          <w:tbl>
            <w:tblPr>
              <w:tblpPr w:leftFromText="180" w:rightFromText="180" w:vertAnchor="text" w:horzAnchor="margin"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3"/>
              <w:gridCol w:w="4103"/>
            </w:tblGrid>
            <w:tr w:rsidR="000A398E" w:rsidRPr="000A398E" w14:paraId="3AB8AF17" w14:textId="77777777" w:rsidTr="000A398E">
              <w:trPr>
                <w:cantSplit/>
                <w:tblHeader/>
              </w:trPr>
              <w:tc>
                <w:tcPr>
                  <w:tcW w:w="2413" w:type="dxa"/>
                  <w:tcBorders>
                    <w:right w:val="single" w:sz="4" w:space="0" w:color="auto"/>
                  </w:tcBorders>
                  <w:shd w:val="clear" w:color="auto" w:fill="BFBFBF" w:themeFill="background1" w:themeFillShade="BF"/>
                </w:tcPr>
                <w:p w14:paraId="6D12F157" w14:textId="77777777" w:rsidR="00E12E89" w:rsidRPr="00023E69" w:rsidRDefault="00E12E89" w:rsidP="00886ED7">
                  <w:pPr>
                    <w:pStyle w:val="Tableheadings"/>
                    <w:rPr>
                      <w:color w:val="auto"/>
                    </w:rPr>
                  </w:pPr>
                  <w:r w:rsidRPr="00023E69">
                    <w:rPr>
                      <w:color w:val="auto"/>
                    </w:rPr>
                    <w:t>When an extension is…</w:t>
                  </w:r>
                </w:p>
              </w:tc>
              <w:tc>
                <w:tcPr>
                  <w:tcW w:w="4103" w:type="dxa"/>
                  <w:tcBorders>
                    <w:left w:val="single" w:sz="4" w:space="0" w:color="auto"/>
                  </w:tcBorders>
                  <w:shd w:val="clear" w:color="auto" w:fill="BFBFBF" w:themeFill="background1" w:themeFillShade="BF"/>
                </w:tcPr>
                <w:p w14:paraId="0AC1752B" w14:textId="77777777" w:rsidR="00E12E89" w:rsidRPr="00023E69" w:rsidRDefault="00E12E89" w:rsidP="00886ED7">
                  <w:pPr>
                    <w:pStyle w:val="Tableheadings"/>
                    <w:rPr>
                      <w:color w:val="auto"/>
                    </w:rPr>
                  </w:pPr>
                  <w:r w:rsidRPr="00023E69">
                    <w:rPr>
                      <w:color w:val="auto"/>
                    </w:rPr>
                    <w:t>Then…</w:t>
                  </w:r>
                </w:p>
              </w:tc>
            </w:tr>
            <w:tr w:rsidR="00E12E89" w14:paraId="5BEC9A6B" w14:textId="77777777" w:rsidTr="00023E69">
              <w:tc>
                <w:tcPr>
                  <w:tcW w:w="2413" w:type="dxa"/>
                  <w:shd w:val="clear" w:color="auto" w:fill="auto"/>
                </w:tcPr>
                <w:p w14:paraId="5A21CF3C" w14:textId="77777777" w:rsidR="00E12E89" w:rsidRDefault="00E12E89" w:rsidP="00886ED7">
                  <w:r>
                    <w:t>granted</w:t>
                  </w:r>
                </w:p>
              </w:tc>
              <w:tc>
                <w:tcPr>
                  <w:tcW w:w="4103" w:type="dxa"/>
                  <w:shd w:val="clear" w:color="auto" w:fill="auto"/>
                </w:tcPr>
                <w:p w14:paraId="5E180E61" w14:textId="795462C2" w:rsidR="00E12E89" w:rsidRPr="00EA22CA" w:rsidRDefault="00E12E89" w:rsidP="00886ED7">
                  <w:r w:rsidRPr="00D06CFF">
                    <w:rPr>
                      <w:b/>
                      <w:bCs/>
                    </w:rPr>
                    <w:t>return to</w:t>
                  </w:r>
                  <w:r>
                    <w:t xml:space="preserve"> </w:t>
                  </w:r>
                  <w:r>
                    <w:rPr>
                      <w:b/>
                    </w:rPr>
                    <w:t xml:space="preserve">Stage </w:t>
                  </w:r>
                  <w:r w:rsidR="00191940">
                    <w:rPr>
                      <w:b/>
                    </w:rPr>
                    <w:t>6</w:t>
                  </w:r>
                  <w:r>
                    <w:t>.</w:t>
                  </w:r>
                </w:p>
              </w:tc>
            </w:tr>
            <w:tr w:rsidR="00E12E89" w14:paraId="1633983B" w14:textId="77777777" w:rsidTr="00023E69">
              <w:tc>
                <w:tcPr>
                  <w:tcW w:w="2413" w:type="dxa"/>
                  <w:shd w:val="clear" w:color="auto" w:fill="auto"/>
                </w:tcPr>
                <w:p w14:paraId="1EECEC64" w14:textId="77777777" w:rsidR="00E12E89" w:rsidRDefault="00E12E89" w:rsidP="00886ED7">
                  <w:pPr>
                    <w:pStyle w:val="ListBullet"/>
                    <w:numPr>
                      <w:ilvl w:val="0"/>
                      <w:numId w:val="0"/>
                    </w:numPr>
                  </w:pPr>
                  <w:r>
                    <w:t>not granted</w:t>
                  </w:r>
                </w:p>
                <w:p w14:paraId="023572ED" w14:textId="77777777" w:rsidR="00E12E89" w:rsidRDefault="00E12E89" w:rsidP="00886ED7"/>
                <w:p w14:paraId="5786A339" w14:textId="77777777" w:rsidR="00E12E89" w:rsidRDefault="00E12E89" w:rsidP="00886ED7">
                  <w:pPr>
                    <w:pStyle w:val="ListBullet"/>
                    <w:numPr>
                      <w:ilvl w:val="0"/>
                      <w:numId w:val="0"/>
                    </w:numPr>
                    <w:spacing w:after="120"/>
                    <w:ind w:left="360"/>
                  </w:pPr>
                </w:p>
              </w:tc>
              <w:tc>
                <w:tcPr>
                  <w:tcW w:w="4103" w:type="dxa"/>
                  <w:shd w:val="clear" w:color="auto" w:fill="auto"/>
                </w:tcPr>
                <w:p w14:paraId="22470A6F" w14:textId="209EF44F" w:rsidR="00E65614" w:rsidRPr="005F3578" w:rsidRDefault="00E65614" w:rsidP="00E65614">
                  <w:pPr>
                    <w:pStyle w:val="ListBullet"/>
                  </w:pPr>
                  <w:r w:rsidRPr="005F3578">
                    <w:t xml:space="preserve">it is referred to the AAB delegate by the Auditor </w:t>
                  </w:r>
                </w:p>
                <w:p w14:paraId="598D20E3" w14:textId="77777777" w:rsidR="00E12E89" w:rsidRPr="009673A4" w:rsidRDefault="00E12E89" w:rsidP="00886ED7">
                  <w:pPr>
                    <w:pStyle w:val="ListBullet"/>
                  </w:pPr>
                  <w:r w:rsidRPr="00D06CFF">
                    <w:rPr>
                      <w:b/>
                      <w:bCs/>
                    </w:rPr>
                    <w:t>the process ends here</w:t>
                  </w:r>
                  <w:r w:rsidRPr="009673A4">
                    <w:t>.</w:t>
                  </w:r>
                </w:p>
              </w:tc>
            </w:tr>
          </w:tbl>
          <w:p w14:paraId="5463DB43" w14:textId="77777777" w:rsidR="00E12E89" w:rsidRDefault="00E12E89" w:rsidP="00886ED7">
            <w:pPr>
              <w:rPr>
                <w:rFonts w:cs="Calibri"/>
              </w:rPr>
            </w:pPr>
          </w:p>
        </w:tc>
        <w:tc>
          <w:tcPr>
            <w:tcW w:w="1684" w:type="dxa"/>
            <w:tcBorders>
              <w:top w:val="single" w:sz="4" w:space="0" w:color="auto"/>
              <w:bottom w:val="single" w:sz="4" w:space="0" w:color="auto"/>
            </w:tcBorders>
          </w:tcPr>
          <w:p w14:paraId="15DF6C4A" w14:textId="77777777" w:rsidR="00E12E89" w:rsidRDefault="00E12E89" w:rsidP="00886ED7">
            <w:pPr>
              <w:rPr>
                <w:spacing w:val="-1"/>
              </w:rPr>
            </w:pPr>
            <w:r>
              <w:rPr>
                <w:spacing w:val="-1"/>
              </w:rPr>
              <w:t>Auditor</w:t>
            </w:r>
          </w:p>
        </w:tc>
      </w:tr>
    </w:tbl>
    <w:p w14:paraId="28535333" w14:textId="77777777" w:rsidR="00E12E89" w:rsidRPr="00EB1124" w:rsidRDefault="00E12E89" w:rsidP="00E12E89">
      <w:pPr>
        <w:pStyle w:val="BodyText"/>
        <w:ind w:right="261"/>
      </w:pPr>
      <w:bookmarkStart w:id="40" w:name="_Toc472514752"/>
      <w:bookmarkStart w:id="41" w:name="_Toc497215257"/>
      <w:bookmarkEnd w:id="31"/>
    </w:p>
    <w:p w14:paraId="1FAB9988" w14:textId="77777777" w:rsidR="00E12E89" w:rsidRPr="00EB1124" w:rsidRDefault="00E12E89" w:rsidP="00023E69">
      <w:pPr>
        <w:pStyle w:val="Heading3"/>
      </w:pPr>
      <w:bookmarkStart w:id="42" w:name="_Toc190699443"/>
      <w:r w:rsidRPr="00EB1124">
        <w:t>Suspension or revocation of the accredited property by the department</w:t>
      </w:r>
      <w:bookmarkEnd w:id="42"/>
    </w:p>
    <w:p w14:paraId="152DAD42" w14:textId="6B7C71F9" w:rsidR="00E12E89" w:rsidRDefault="00E12E89" w:rsidP="00E12E89">
      <w:pPr>
        <w:pStyle w:val="BodyText"/>
        <w:ind w:right="-165"/>
        <w:rPr>
          <w:szCs w:val="22"/>
        </w:rPr>
      </w:pPr>
      <w:r w:rsidRPr="00EB1124">
        <w:rPr>
          <w:szCs w:val="22"/>
        </w:rPr>
        <w:t xml:space="preserve">Non-compliance may constitute grounds for the suspension or revocation of a property’s accreditation without liability to the department as outlined in the </w:t>
      </w:r>
      <w:hyperlink w:anchor="_Related_material_1" w:history="1">
        <w:r w:rsidR="000A398E">
          <w:t>Exports process instruction</w:t>
        </w:r>
        <w:r w:rsidRPr="00EB1124">
          <w:t xml:space="preserve">: </w:t>
        </w:r>
        <w:r w:rsidRPr="00EB1124">
          <w:rPr>
            <w:rStyle w:val="Hyperlink"/>
            <w:i/>
            <w:szCs w:val="22"/>
          </w:rPr>
          <w:t>Management of horticulture export accredited properties</w:t>
        </w:r>
      </w:hyperlink>
      <w:r w:rsidRPr="00EB1124">
        <w:rPr>
          <w:szCs w:val="22"/>
        </w:rPr>
        <w:t>.</w:t>
      </w:r>
    </w:p>
    <w:p w14:paraId="60803F4E" w14:textId="691B2FCE" w:rsidR="00E12E89" w:rsidRPr="00D55868" w:rsidRDefault="00E12E89" w:rsidP="00E12E89">
      <w:pPr>
        <w:pStyle w:val="Heading2"/>
      </w:pPr>
      <w:bookmarkStart w:id="43" w:name="_Appeals_policy"/>
      <w:bookmarkStart w:id="44" w:name="_Toc190699445"/>
      <w:bookmarkEnd w:id="40"/>
      <w:bookmarkEnd w:id="41"/>
      <w:bookmarkEnd w:id="43"/>
      <w:r w:rsidRPr="00D55868">
        <w:t>Review of decisions</w:t>
      </w:r>
      <w:bookmarkEnd w:id="44"/>
    </w:p>
    <w:p w14:paraId="330976FE" w14:textId="17900C94" w:rsidR="00E12E89" w:rsidRPr="00D55868" w:rsidRDefault="00E12E89" w:rsidP="00E12E89">
      <w:pPr>
        <w:pStyle w:val="BodyText"/>
        <w:ind w:right="261"/>
      </w:pPr>
      <w:bookmarkStart w:id="45" w:name="_Hlk176956300"/>
      <w:r w:rsidRPr="00D55868">
        <w:t xml:space="preserve">The department accepts that on occasion the decision to, suspend, revoke or refuse to accredit the property may be subject to dispute. In accordance with part 2 of chapter 11 of </w:t>
      </w:r>
      <w:r w:rsidRPr="00D55868">
        <w:rPr>
          <w:i/>
          <w:iCs/>
        </w:rPr>
        <w:t xml:space="preserve">the Export Control Act 2020 </w:t>
      </w:r>
      <w:r w:rsidRPr="00D55868">
        <w:t xml:space="preserve">the accredited property has the right to have the decision reviewed.  </w:t>
      </w:r>
    </w:p>
    <w:bookmarkEnd w:id="45"/>
    <w:p w14:paraId="0D26B815" w14:textId="0C3F3E72" w:rsidR="00E12E89" w:rsidRPr="00D55868" w:rsidRDefault="00E12E89" w:rsidP="00E12E89">
      <w:pPr>
        <w:pStyle w:val="BodyText"/>
        <w:spacing w:after="60"/>
      </w:pPr>
      <w:r w:rsidRPr="00D55868">
        <w:t>The review mechanism is progressive and must be considered in the following order:</w:t>
      </w:r>
    </w:p>
    <w:p w14:paraId="2170ADE3" w14:textId="714B4320" w:rsidR="00E12E89" w:rsidRPr="00D55868" w:rsidRDefault="00E12E89" w:rsidP="00E12E89">
      <w:pPr>
        <w:pStyle w:val="ListBullet"/>
      </w:pPr>
      <w:r w:rsidRPr="00D55868">
        <w:t>request a review of the decision to the secretary</w:t>
      </w:r>
    </w:p>
    <w:p w14:paraId="7ACB900A" w14:textId="6F5B06CD" w:rsidR="00E12E89" w:rsidRPr="00023E69" w:rsidRDefault="00E12E89" w:rsidP="00E12E89">
      <w:pPr>
        <w:pStyle w:val="ListBullet"/>
        <w:rPr>
          <w:i/>
          <w:iCs/>
        </w:rPr>
      </w:pPr>
      <w:r w:rsidRPr="00D55868">
        <w:t xml:space="preserve">external review under the provisions of the </w:t>
      </w:r>
      <w:r w:rsidRPr="00D55868">
        <w:rPr>
          <w:i/>
          <w:iCs/>
        </w:rPr>
        <w:t>Administrative Review Tribunal Act 2024</w:t>
      </w:r>
      <w:r w:rsidRPr="00D55868">
        <w:t>.</w:t>
      </w:r>
    </w:p>
    <w:p w14:paraId="6E61C0C6" w14:textId="654A2630" w:rsidR="00E12E89" w:rsidRPr="00D55868" w:rsidRDefault="00E12E89" w:rsidP="00E12E89">
      <w:pPr>
        <w:spacing w:before="120"/>
        <w:ind w:right="261"/>
        <w:rPr>
          <w:rFonts w:eastAsia="Times New Roman"/>
        </w:rPr>
      </w:pPr>
      <w:r w:rsidRPr="00D55868">
        <w:rPr>
          <w:rFonts w:eastAsia="Times New Roman"/>
          <w:b/>
        </w:rPr>
        <w:lastRenderedPageBreak/>
        <w:t xml:space="preserve">Important: </w:t>
      </w:r>
      <w:r w:rsidRPr="00D55868">
        <w:rPr>
          <w:rFonts w:eastAsia="Times New Roman"/>
        </w:rPr>
        <w:t xml:space="preserve">Reviewable decisions do not apply where the horticulture export accredited property is subject to a department </w:t>
      </w:r>
      <w:r w:rsidRPr="00D55868">
        <w:t>Enforcement and Sanctions</w:t>
      </w:r>
      <w:r w:rsidRPr="00D55868">
        <w:rPr>
          <w:rFonts w:eastAsia="Times New Roman"/>
        </w:rPr>
        <w:t xml:space="preserve"> investigation.</w:t>
      </w:r>
    </w:p>
    <w:p w14:paraId="372D508F" w14:textId="77B2A7AA" w:rsidR="00E12E89" w:rsidRPr="00D55868" w:rsidRDefault="00E12E89" w:rsidP="00E12E89">
      <w:pPr>
        <w:pStyle w:val="BodyText"/>
        <w:ind w:right="261"/>
      </w:pPr>
      <w:r w:rsidRPr="00D55868">
        <w:rPr>
          <w:b/>
        </w:rPr>
        <w:t>Note</w:t>
      </w:r>
      <w:r w:rsidRPr="00D55868">
        <w:t>: The onus of the departments review process is on the accredited property to provide either objective evidence or proof of extenuating circumstance as to why they believe the non-compliance or the audit result to be incorrect.</w:t>
      </w:r>
    </w:p>
    <w:p w14:paraId="037C35AE" w14:textId="77777777" w:rsidR="00E12E89" w:rsidRPr="00D55868" w:rsidRDefault="00E12E89" w:rsidP="00E12E89">
      <w:pPr>
        <w:pStyle w:val="Heading3"/>
      </w:pPr>
      <w:bookmarkStart w:id="46" w:name="_Toc190699446"/>
      <w:r w:rsidRPr="00D55868">
        <w:t>Review process</w:t>
      </w:r>
      <w:bookmarkEnd w:id="46"/>
    </w:p>
    <w:p w14:paraId="4F240789" w14:textId="765B6943" w:rsidR="00E12E89" w:rsidRPr="00D55868" w:rsidRDefault="00E12E89" w:rsidP="00E12E89">
      <w:pPr>
        <w:pStyle w:val="BodyText"/>
      </w:pPr>
      <w:r w:rsidRPr="00D55868">
        <w:t>The following table outlines the process to seek a review of a decision.</w:t>
      </w:r>
      <w:r w:rsidR="00B11EC4" w:rsidRPr="00D55868" w:rsidDel="00B11EC4">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7485"/>
        <w:gridCol w:w="1559"/>
      </w:tblGrid>
      <w:tr w:rsidR="000A398E" w:rsidRPr="000A398E" w14:paraId="7C94B6A5" w14:textId="77777777" w:rsidTr="00023E69">
        <w:trPr>
          <w:cantSplit/>
          <w:trHeight w:val="467"/>
          <w:tblHeader/>
        </w:trPr>
        <w:tc>
          <w:tcPr>
            <w:tcW w:w="73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41FCDE" w14:textId="77777777" w:rsidR="00E12E89" w:rsidRPr="00023E69" w:rsidRDefault="00E12E89" w:rsidP="00886ED7">
            <w:pPr>
              <w:pStyle w:val="Tableheadings"/>
              <w:jc w:val="center"/>
              <w:rPr>
                <w:color w:val="auto"/>
              </w:rPr>
            </w:pPr>
            <w:r w:rsidRPr="00023E69">
              <w:rPr>
                <w:color w:val="auto"/>
              </w:rPr>
              <w:t>Stage</w:t>
            </w:r>
          </w:p>
        </w:tc>
        <w:tc>
          <w:tcPr>
            <w:tcW w:w="748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8EB247" w14:textId="77777777" w:rsidR="00E12E89" w:rsidRPr="00023E69" w:rsidRDefault="00E12E89" w:rsidP="00886ED7">
            <w:pPr>
              <w:pStyle w:val="Tableheadings"/>
              <w:rPr>
                <w:color w:val="auto"/>
              </w:rPr>
            </w:pPr>
            <w:r w:rsidRPr="00023E69">
              <w:rPr>
                <w:color w:val="auto"/>
              </w:rPr>
              <w:t>What happens</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75A41A3" w14:textId="77777777" w:rsidR="00E12E89" w:rsidRPr="00023E69" w:rsidRDefault="00E12E89" w:rsidP="00886ED7">
            <w:pPr>
              <w:pStyle w:val="Tableheadings"/>
              <w:rPr>
                <w:color w:val="auto"/>
              </w:rPr>
            </w:pPr>
            <w:r w:rsidRPr="00023E69">
              <w:rPr>
                <w:color w:val="auto"/>
              </w:rPr>
              <w:t>Responsible party</w:t>
            </w:r>
          </w:p>
        </w:tc>
      </w:tr>
      <w:tr w:rsidR="00E12E89" w:rsidRPr="00D55868" w14:paraId="65A92E76" w14:textId="77777777" w:rsidTr="00023E69">
        <w:trPr>
          <w:cantSplit/>
          <w:trHeight w:val="716"/>
        </w:trPr>
        <w:tc>
          <w:tcPr>
            <w:tcW w:w="737" w:type="dxa"/>
            <w:tcBorders>
              <w:top w:val="single" w:sz="4" w:space="0" w:color="auto"/>
              <w:bottom w:val="single" w:sz="4" w:space="0" w:color="auto"/>
            </w:tcBorders>
          </w:tcPr>
          <w:p w14:paraId="702FCD20" w14:textId="77777777" w:rsidR="00E12E89" w:rsidRPr="00D55868" w:rsidRDefault="00E12E89" w:rsidP="00886ED7">
            <w:pPr>
              <w:jc w:val="center"/>
            </w:pPr>
            <w:r w:rsidRPr="00D55868">
              <w:t>1.</w:t>
            </w:r>
          </w:p>
        </w:tc>
        <w:tc>
          <w:tcPr>
            <w:tcW w:w="7485" w:type="dxa"/>
            <w:tcBorders>
              <w:top w:val="single" w:sz="4" w:space="0" w:color="auto"/>
              <w:bottom w:val="single" w:sz="4" w:space="0" w:color="auto"/>
            </w:tcBorders>
          </w:tcPr>
          <w:p w14:paraId="74DD481F" w14:textId="792443F1" w:rsidR="00E12E89" w:rsidRPr="00D55868" w:rsidRDefault="00E12E89" w:rsidP="00886ED7">
            <w:pPr>
              <w:rPr>
                <w:spacing w:val="-1"/>
              </w:rPr>
            </w:pPr>
            <w:r w:rsidRPr="00D55868">
              <w:rPr>
                <w:spacing w:val="-1"/>
              </w:rPr>
              <w:t xml:space="preserve">A submission to the Secretary is lodged, within 30 days of the notification </w:t>
            </w:r>
            <w:r w:rsidRPr="00D55868">
              <w:t>of, suspend, revoke or</w:t>
            </w:r>
            <w:r w:rsidRPr="00D55868">
              <w:rPr>
                <w:spacing w:val="-1"/>
              </w:rPr>
              <w:t xml:space="preserve"> </w:t>
            </w:r>
            <w:r w:rsidRPr="00D55868">
              <w:t>refusal to accredit</w:t>
            </w:r>
            <w:r w:rsidRPr="00D55868">
              <w:rPr>
                <w:spacing w:val="-1"/>
              </w:rPr>
              <w:t xml:space="preserve"> being received, with the </w:t>
            </w:r>
            <w:hyperlink w:anchor="_Contact_information" w:history="1">
              <w:r w:rsidRPr="00D55868">
                <w:rPr>
                  <w:rStyle w:val="Hyperlink"/>
                </w:rPr>
                <w:t>Horticulture Exports Program</w:t>
              </w:r>
            </w:hyperlink>
            <w:r w:rsidRPr="00D55868">
              <w:rPr>
                <w:rStyle w:val="Hyperlink"/>
              </w:rPr>
              <w:t xml:space="preserve"> </w:t>
            </w:r>
            <w:r w:rsidRPr="00D55868">
              <w:rPr>
                <w:spacing w:val="-1"/>
              </w:rPr>
              <w:t>detailing the reasons for the request for a review of the decision.</w:t>
            </w:r>
          </w:p>
        </w:tc>
        <w:tc>
          <w:tcPr>
            <w:tcW w:w="1559" w:type="dxa"/>
            <w:tcBorders>
              <w:top w:val="single" w:sz="4" w:space="0" w:color="auto"/>
              <w:bottom w:val="single" w:sz="4" w:space="0" w:color="auto"/>
            </w:tcBorders>
          </w:tcPr>
          <w:p w14:paraId="6824C512" w14:textId="77777777" w:rsidR="00E12E89" w:rsidRPr="00D55868" w:rsidRDefault="00E12E89" w:rsidP="00886ED7">
            <w:r w:rsidRPr="00D55868">
              <w:rPr>
                <w:spacing w:val="-1"/>
              </w:rPr>
              <w:t>Manager</w:t>
            </w:r>
          </w:p>
        </w:tc>
      </w:tr>
      <w:tr w:rsidR="00E12E89" w:rsidRPr="00D55868" w14:paraId="4B75D108" w14:textId="77777777" w:rsidTr="00023E69">
        <w:trPr>
          <w:cantSplit/>
          <w:trHeight w:val="3779"/>
        </w:trPr>
        <w:tc>
          <w:tcPr>
            <w:tcW w:w="737" w:type="dxa"/>
            <w:tcBorders>
              <w:top w:val="single" w:sz="4" w:space="0" w:color="auto"/>
              <w:bottom w:val="single" w:sz="4" w:space="0" w:color="auto"/>
            </w:tcBorders>
          </w:tcPr>
          <w:p w14:paraId="2668466D" w14:textId="77777777" w:rsidR="00E12E89" w:rsidRPr="00D55868" w:rsidRDefault="00E12E89" w:rsidP="00886ED7">
            <w:pPr>
              <w:jc w:val="center"/>
            </w:pPr>
            <w:r w:rsidRPr="00D55868">
              <w:t>2.</w:t>
            </w:r>
          </w:p>
        </w:tc>
        <w:tc>
          <w:tcPr>
            <w:tcW w:w="7485" w:type="dxa"/>
            <w:tcBorders>
              <w:top w:val="single" w:sz="4" w:space="0" w:color="auto"/>
              <w:bottom w:val="single" w:sz="4" w:space="0" w:color="auto"/>
            </w:tcBorders>
          </w:tcPr>
          <w:p w14:paraId="09628A1C" w14:textId="7F4F7280" w:rsidR="00E12E89" w:rsidRPr="00D55868" w:rsidRDefault="00E12E89" w:rsidP="00886ED7">
            <w:r w:rsidRPr="00D55868">
              <w:t>The submission and the findings of the decision is reviewed.</w:t>
            </w:r>
          </w:p>
          <w:tbl>
            <w:tblPr>
              <w:tblpPr w:leftFromText="180" w:rightFromText="180" w:vertAnchor="text" w:horzAnchor="margin" w:tblpY="-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4929"/>
            </w:tblGrid>
            <w:tr w:rsidR="000A398E" w:rsidRPr="000A398E" w14:paraId="4080FA79" w14:textId="77777777" w:rsidTr="000A398E">
              <w:tc>
                <w:tcPr>
                  <w:tcW w:w="2154" w:type="dxa"/>
                  <w:tcBorders>
                    <w:right w:val="single" w:sz="4" w:space="0" w:color="auto"/>
                  </w:tcBorders>
                  <w:shd w:val="clear" w:color="auto" w:fill="BFBFBF" w:themeFill="background1" w:themeFillShade="BF"/>
                </w:tcPr>
                <w:p w14:paraId="245904BA" w14:textId="77777777" w:rsidR="00E12E89" w:rsidRPr="000A398E" w:rsidRDefault="00E12E89" w:rsidP="00886ED7">
                  <w:pPr>
                    <w:rPr>
                      <w:b/>
                    </w:rPr>
                  </w:pPr>
                  <w:r w:rsidRPr="000A398E">
                    <w:rPr>
                      <w:b/>
                    </w:rPr>
                    <w:t>When the initial audit findings are…</w:t>
                  </w:r>
                </w:p>
              </w:tc>
              <w:tc>
                <w:tcPr>
                  <w:tcW w:w="4929" w:type="dxa"/>
                  <w:tcBorders>
                    <w:left w:val="single" w:sz="4" w:space="0" w:color="auto"/>
                  </w:tcBorders>
                  <w:shd w:val="clear" w:color="auto" w:fill="BFBFBF" w:themeFill="background1" w:themeFillShade="BF"/>
                </w:tcPr>
                <w:p w14:paraId="06172206" w14:textId="77777777" w:rsidR="00E12E89" w:rsidRPr="000A398E" w:rsidRDefault="00E12E89" w:rsidP="00886ED7">
                  <w:pPr>
                    <w:rPr>
                      <w:b/>
                    </w:rPr>
                  </w:pPr>
                  <w:r w:rsidRPr="000A398E">
                    <w:rPr>
                      <w:b/>
                    </w:rPr>
                    <w:t>Then…</w:t>
                  </w:r>
                </w:p>
              </w:tc>
            </w:tr>
            <w:tr w:rsidR="00E12E89" w:rsidRPr="00D55868" w14:paraId="0FD06183" w14:textId="77777777" w:rsidTr="00023E69">
              <w:tc>
                <w:tcPr>
                  <w:tcW w:w="2154" w:type="dxa"/>
                  <w:shd w:val="clear" w:color="auto" w:fill="auto"/>
                </w:tcPr>
                <w:p w14:paraId="2F15D9F0" w14:textId="77777777" w:rsidR="00E12E89" w:rsidRPr="00D55868" w:rsidRDefault="00E12E89" w:rsidP="00886ED7">
                  <w:r w:rsidRPr="00D55868">
                    <w:t>agreed with</w:t>
                  </w:r>
                </w:p>
              </w:tc>
              <w:tc>
                <w:tcPr>
                  <w:tcW w:w="4929" w:type="dxa"/>
                  <w:shd w:val="clear" w:color="auto" w:fill="auto"/>
                </w:tcPr>
                <w:p w14:paraId="745687D4" w14:textId="385C2F0C" w:rsidR="00E12E89" w:rsidRPr="00D55868" w:rsidRDefault="00E12E89" w:rsidP="00886ED7">
                  <w:pPr>
                    <w:pStyle w:val="ListBullet"/>
                  </w:pPr>
                  <w:r w:rsidRPr="00D55868">
                    <w:t>the original decision will be upheld</w:t>
                  </w:r>
                </w:p>
                <w:p w14:paraId="36A5C056" w14:textId="77777777" w:rsidR="00E12E89" w:rsidRPr="00D55868" w:rsidRDefault="00E12E89" w:rsidP="00886ED7">
                  <w:pPr>
                    <w:pStyle w:val="ListBullet"/>
                    <w:spacing w:after="120"/>
                  </w:pPr>
                  <w:r w:rsidRPr="00D55868">
                    <w:rPr>
                      <w:b/>
                    </w:rPr>
                    <w:t>continue to Stage 3.</w:t>
                  </w:r>
                </w:p>
              </w:tc>
            </w:tr>
            <w:tr w:rsidR="00E12E89" w:rsidRPr="00D55868" w14:paraId="6380FFE0" w14:textId="77777777" w:rsidTr="00023E69">
              <w:tc>
                <w:tcPr>
                  <w:tcW w:w="2154" w:type="dxa"/>
                  <w:shd w:val="clear" w:color="auto" w:fill="auto"/>
                </w:tcPr>
                <w:p w14:paraId="48398FE4" w14:textId="77777777" w:rsidR="00E12E89" w:rsidRPr="00D55868" w:rsidRDefault="00E12E89" w:rsidP="00886ED7">
                  <w:r w:rsidRPr="00D55868">
                    <w:t>not agreed with</w:t>
                  </w:r>
                </w:p>
              </w:tc>
              <w:tc>
                <w:tcPr>
                  <w:tcW w:w="4929" w:type="dxa"/>
                  <w:shd w:val="clear" w:color="auto" w:fill="auto"/>
                </w:tcPr>
                <w:p w14:paraId="63520B99" w14:textId="4385C44A" w:rsidR="00E12E89" w:rsidRPr="00D55868" w:rsidRDefault="00E12E89" w:rsidP="00886ED7">
                  <w:pPr>
                    <w:pStyle w:val="ListBullet"/>
                  </w:pPr>
                  <w:r w:rsidRPr="00D55868">
                    <w:t>the accredited property has due cause to continue their request for review</w:t>
                  </w:r>
                </w:p>
                <w:p w14:paraId="5D93CA64" w14:textId="77777777" w:rsidR="00E12E89" w:rsidRPr="00D55868" w:rsidRDefault="00E12E89" w:rsidP="00886ED7">
                  <w:pPr>
                    <w:pStyle w:val="ListBullet"/>
                  </w:pPr>
                  <w:r w:rsidRPr="00D55868">
                    <w:t>HEP will advise AAB of their findings and request the original decision be amended</w:t>
                  </w:r>
                </w:p>
                <w:p w14:paraId="09C8480E" w14:textId="77777777" w:rsidR="00E12E89" w:rsidRPr="00D55868" w:rsidRDefault="00E12E89" w:rsidP="00886ED7">
                  <w:pPr>
                    <w:pStyle w:val="ListBullet"/>
                    <w:spacing w:after="120"/>
                  </w:pPr>
                  <w:r w:rsidRPr="00D55868">
                    <w:rPr>
                      <w:b/>
                    </w:rPr>
                    <w:t>continue to Stage 3.</w:t>
                  </w:r>
                </w:p>
              </w:tc>
            </w:tr>
          </w:tbl>
          <w:p w14:paraId="66E51674" w14:textId="77777777" w:rsidR="00E12E89" w:rsidRPr="00D55868" w:rsidRDefault="00E12E89" w:rsidP="00886ED7">
            <w:pPr>
              <w:pStyle w:val="BodyText"/>
            </w:pPr>
          </w:p>
        </w:tc>
        <w:tc>
          <w:tcPr>
            <w:tcW w:w="1559" w:type="dxa"/>
            <w:tcBorders>
              <w:top w:val="single" w:sz="4" w:space="0" w:color="auto"/>
              <w:bottom w:val="single" w:sz="4" w:space="0" w:color="auto"/>
            </w:tcBorders>
          </w:tcPr>
          <w:p w14:paraId="7D9B576C" w14:textId="77777777" w:rsidR="00E12E89" w:rsidRPr="00D55868" w:rsidRDefault="00E12E89" w:rsidP="00886ED7">
            <w:r w:rsidRPr="00D55868">
              <w:t>HEP</w:t>
            </w:r>
          </w:p>
        </w:tc>
      </w:tr>
      <w:tr w:rsidR="00E12E89" w:rsidRPr="00D55868" w14:paraId="708813CF" w14:textId="77777777" w:rsidTr="00023E69">
        <w:trPr>
          <w:cantSplit/>
          <w:trHeight w:val="377"/>
        </w:trPr>
        <w:tc>
          <w:tcPr>
            <w:tcW w:w="737" w:type="dxa"/>
            <w:tcBorders>
              <w:top w:val="single" w:sz="4" w:space="0" w:color="auto"/>
              <w:bottom w:val="single" w:sz="4" w:space="0" w:color="auto"/>
            </w:tcBorders>
          </w:tcPr>
          <w:p w14:paraId="01E0F10F" w14:textId="77777777" w:rsidR="00E12E89" w:rsidRPr="00D55868" w:rsidRDefault="00E12E89" w:rsidP="00886ED7">
            <w:pPr>
              <w:jc w:val="center"/>
            </w:pPr>
            <w:r w:rsidRPr="00D55868">
              <w:t>3.</w:t>
            </w:r>
          </w:p>
        </w:tc>
        <w:tc>
          <w:tcPr>
            <w:tcW w:w="7485" w:type="dxa"/>
            <w:tcBorders>
              <w:top w:val="single" w:sz="4" w:space="0" w:color="auto"/>
              <w:bottom w:val="single" w:sz="4" w:space="0" w:color="auto"/>
            </w:tcBorders>
          </w:tcPr>
          <w:p w14:paraId="2D8C7510" w14:textId="7DC8180E" w:rsidR="00E12E89" w:rsidRPr="00D55868" w:rsidRDefault="00E12E89" w:rsidP="00886ED7">
            <w:pPr>
              <w:rPr>
                <w:b/>
              </w:rPr>
            </w:pPr>
            <w:r w:rsidRPr="00D55868">
              <w:t>Notification is provided in writing to the accredited property manager detailing the outcome of the review including reasons for the decision.</w:t>
            </w:r>
          </w:p>
        </w:tc>
        <w:tc>
          <w:tcPr>
            <w:tcW w:w="1559" w:type="dxa"/>
            <w:tcBorders>
              <w:top w:val="single" w:sz="4" w:space="0" w:color="auto"/>
              <w:bottom w:val="single" w:sz="4" w:space="0" w:color="auto"/>
            </w:tcBorders>
          </w:tcPr>
          <w:p w14:paraId="0073AB87" w14:textId="77777777" w:rsidR="00E12E89" w:rsidRPr="00D55868" w:rsidRDefault="00E12E89" w:rsidP="00886ED7">
            <w:r w:rsidRPr="00D55868">
              <w:t>HEP</w:t>
            </w:r>
          </w:p>
        </w:tc>
      </w:tr>
      <w:tr w:rsidR="00E12E89" w:rsidRPr="00D55868" w14:paraId="1E86D084" w14:textId="77777777" w:rsidTr="00023E69">
        <w:trPr>
          <w:cantSplit/>
          <w:trHeight w:val="2246"/>
        </w:trPr>
        <w:tc>
          <w:tcPr>
            <w:tcW w:w="737" w:type="dxa"/>
            <w:tcBorders>
              <w:top w:val="single" w:sz="4" w:space="0" w:color="auto"/>
              <w:bottom w:val="single" w:sz="4" w:space="0" w:color="auto"/>
            </w:tcBorders>
          </w:tcPr>
          <w:p w14:paraId="2F6CEE21" w14:textId="77777777" w:rsidR="00E12E89" w:rsidRPr="00D55868" w:rsidRDefault="00E12E89" w:rsidP="00886ED7">
            <w:pPr>
              <w:jc w:val="center"/>
            </w:pPr>
            <w:r w:rsidRPr="00D55868">
              <w:t>4.</w:t>
            </w:r>
          </w:p>
        </w:tc>
        <w:tc>
          <w:tcPr>
            <w:tcW w:w="7485" w:type="dxa"/>
            <w:tcBorders>
              <w:top w:val="single" w:sz="4" w:space="0" w:color="auto"/>
              <w:bottom w:val="single" w:sz="4" w:space="0" w:color="auto"/>
            </w:tcBorders>
          </w:tcPr>
          <w:p w14:paraId="00F825A9" w14:textId="77777777" w:rsidR="00E12E89" w:rsidRPr="00D55868" w:rsidRDefault="00E12E89" w:rsidP="00886ED7">
            <w:r w:rsidRPr="00D55868">
              <w:t>The notification is received.</w:t>
            </w:r>
          </w:p>
          <w:tbl>
            <w:tblPr>
              <w:tblpPr w:leftFromText="180" w:rightFromText="180" w:vertAnchor="text" w:horzAnchor="margin" w:tblpY="-25"/>
              <w:tblOverlap w:val="never"/>
              <w:tblW w:w="7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6"/>
              <w:gridCol w:w="4547"/>
            </w:tblGrid>
            <w:tr w:rsidR="000A398E" w:rsidRPr="000A398E" w14:paraId="281A63F7" w14:textId="77777777" w:rsidTr="000A398E">
              <w:trPr>
                <w:tblHeader/>
              </w:trPr>
              <w:tc>
                <w:tcPr>
                  <w:tcW w:w="2536" w:type="dxa"/>
                  <w:tcBorders>
                    <w:right w:val="single" w:sz="4" w:space="0" w:color="auto"/>
                  </w:tcBorders>
                  <w:shd w:val="clear" w:color="auto" w:fill="BFBFBF" w:themeFill="background1" w:themeFillShade="BF"/>
                </w:tcPr>
                <w:p w14:paraId="4AC96450" w14:textId="77777777" w:rsidR="00E12E89" w:rsidRPr="000A398E" w:rsidRDefault="00E12E89" w:rsidP="00886ED7">
                  <w:pPr>
                    <w:rPr>
                      <w:b/>
                    </w:rPr>
                  </w:pPr>
                  <w:r w:rsidRPr="000A398E">
                    <w:rPr>
                      <w:b/>
                    </w:rPr>
                    <w:t>When the decision is…</w:t>
                  </w:r>
                </w:p>
              </w:tc>
              <w:tc>
                <w:tcPr>
                  <w:tcW w:w="4547" w:type="dxa"/>
                  <w:tcBorders>
                    <w:left w:val="single" w:sz="4" w:space="0" w:color="auto"/>
                  </w:tcBorders>
                  <w:shd w:val="clear" w:color="auto" w:fill="BFBFBF" w:themeFill="background1" w:themeFillShade="BF"/>
                </w:tcPr>
                <w:p w14:paraId="2B1A3971" w14:textId="77777777" w:rsidR="00E12E89" w:rsidRPr="000A398E" w:rsidRDefault="00E12E89" w:rsidP="00886ED7">
                  <w:pPr>
                    <w:rPr>
                      <w:b/>
                    </w:rPr>
                  </w:pPr>
                  <w:r w:rsidRPr="000A398E">
                    <w:rPr>
                      <w:b/>
                    </w:rPr>
                    <w:t>Then…</w:t>
                  </w:r>
                </w:p>
              </w:tc>
            </w:tr>
            <w:tr w:rsidR="00E12E89" w:rsidRPr="00D55868" w14:paraId="4ED36AE5" w14:textId="77777777" w:rsidTr="00023E69">
              <w:tc>
                <w:tcPr>
                  <w:tcW w:w="2536" w:type="dxa"/>
                  <w:shd w:val="clear" w:color="auto" w:fill="auto"/>
                </w:tcPr>
                <w:p w14:paraId="1779D240" w14:textId="77777777" w:rsidR="00E12E89" w:rsidRPr="00D55868" w:rsidRDefault="00E12E89" w:rsidP="00886ED7">
                  <w:r w:rsidRPr="00D55868">
                    <w:t>accepted</w:t>
                  </w:r>
                </w:p>
              </w:tc>
              <w:tc>
                <w:tcPr>
                  <w:tcW w:w="4547" w:type="dxa"/>
                  <w:shd w:val="clear" w:color="auto" w:fill="auto"/>
                </w:tcPr>
                <w:p w14:paraId="37839AB9" w14:textId="004FD4BD" w:rsidR="00E12E89" w:rsidRPr="00D55868" w:rsidRDefault="00E12E89" w:rsidP="00886ED7">
                  <w:r w:rsidRPr="00D55868">
                    <w:t>the review process ends.</w:t>
                  </w:r>
                </w:p>
              </w:tc>
            </w:tr>
            <w:tr w:rsidR="00E12E89" w:rsidRPr="00D55868" w14:paraId="5A1ADE11" w14:textId="77777777" w:rsidTr="00023E69">
              <w:tc>
                <w:tcPr>
                  <w:tcW w:w="2536" w:type="dxa"/>
                  <w:shd w:val="clear" w:color="auto" w:fill="auto"/>
                </w:tcPr>
                <w:p w14:paraId="1FB8BC2B" w14:textId="77777777" w:rsidR="00E12E89" w:rsidRPr="00D55868" w:rsidRDefault="00E12E89" w:rsidP="00886ED7">
                  <w:r w:rsidRPr="00D55868">
                    <w:t>not accepted</w:t>
                  </w:r>
                </w:p>
              </w:tc>
              <w:tc>
                <w:tcPr>
                  <w:tcW w:w="4547" w:type="dxa"/>
                  <w:shd w:val="clear" w:color="auto" w:fill="auto"/>
                </w:tcPr>
                <w:p w14:paraId="0D178375" w14:textId="11A10FAF" w:rsidR="00E12E89" w:rsidRPr="00D55868" w:rsidRDefault="00E12E89" w:rsidP="00886ED7">
                  <w:r w:rsidRPr="00D55868">
                    <w:t>A request for a review can be made beyond the department.</w:t>
                  </w:r>
                </w:p>
              </w:tc>
            </w:tr>
          </w:tbl>
          <w:p w14:paraId="53C625B7" w14:textId="77777777" w:rsidR="00E12E89" w:rsidRPr="00D55868" w:rsidRDefault="00E12E89" w:rsidP="00886ED7"/>
        </w:tc>
        <w:tc>
          <w:tcPr>
            <w:tcW w:w="1559" w:type="dxa"/>
            <w:tcBorders>
              <w:top w:val="single" w:sz="4" w:space="0" w:color="auto"/>
              <w:bottom w:val="single" w:sz="4" w:space="0" w:color="auto"/>
            </w:tcBorders>
          </w:tcPr>
          <w:p w14:paraId="73A1BAC3" w14:textId="77777777" w:rsidR="00E12E89" w:rsidRPr="00D55868" w:rsidRDefault="00E12E89" w:rsidP="00886ED7">
            <w:r w:rsidRPr="00D55868">
              <w:rPr>
                <w:spacing w:val="-1"/>
              </w:rPr>
              <w:t>Manager</w:t>
            </w:r>
          </w:p>
        </w:tc>
      </w:tr>
    </w:tbl>
    <w:p w14:paraId="34FA0D3A" w14:textId="77777777" w:rsidR="00E12E89" w:rsidRPr="00D55868" w:rsidRDefault="00E12E89" w:rsidP="00E12E89">
      <w:pPr>
        <w:pStyle w:val="Heading3"/>
      </w:pPr>
      <w:bookmarkStart w:id="47" w:name="_Toc497215261"/>
      <w:bookmarkStart w:id="48" w:name="_Toc190699447"/>
      <w:r w:rsidRPr="00D55868">
        <w:t>Appeal beyond the department</w:t>
      </w:r>
      <w:bookmarkEnd w:id="47"/>
      <w:bookmarkEnd w:id="48"/>
    </w:p>
    <w:p w14:paraId="77DA4987" w14:textId="313903A2" w:rsidR="00E12E89" w:rsidRDefault="00E12E89" w:rsidP="00E12E89">
      <w:pPr>
        <w:pStyle w:val="BodyText"/>
      </w:pPr>
      <w:r w:rsidRPr="00D55868">
        <w:t>Where the accredited property feels that the department has not given their objection due consideration through the review process, the accredited property may seek legal redress beyond the terms of this policy.</w:t>
      </w:r>
    </w:p>
    <w:p w14:paraId="0C43A99F" w14:textId="77777777" w:rsidR="00E12E89" w:rsidRDefault="00E12E89" w:rsidP="00E12E89">
      <w:pPr>
        <w:pStyle w:val="Heading2"/>
      </w:pPr>
      <w:bookmarkStart w:id="49" w:name="_Toc190699448"/>
      <w:r>
        <w:t>Non-compliance detected outside of an audit</w:t>
      </w:r>
      <w:bookmarkEnd w:id="49"/>
    </w:p>
    <w:p w14:paraId="1ACEE9B1" w14:textId="77777777" w:rsidR="00E12E89" w:rsidRDefault="00E12E89" w:rsidP="00E12E89">
      <w:pPr>
        <w:pStyle w:val="BodyText"/>
      </w:pPr>
      <w:r>
        <w:t>Non-compliance may be detected outside of an audit by the following:</w:t>
      </w:r>
    </w:p>
    <w:p w14:paraId="0EE7F63B" w14:textId="77777777" w:rsidR="00E12E89" w:rsidRDefault="00E12E89" w:rsidP="00E12E89">
      <w:pPr>
        <w:pStyle w:val="ListBullet"/>
      </w:pPr>
      <w:r>
        <w:t>non-compliance detected during an Authorised Officer (AO) inspection</w:t>
      </w:r>
    </w:p>
    <w:p w14:paraId="73DE017C" w14:textId="77777777" w:rsidR="00E12E89" w:rsidRDefault="00E12E89" w:rsidP="00E12E89">
      <w:pPr>
        <w:pStyle w:val="ListBullet"/>
      </w:pPr>
      <w:r>
        <w:t>non-compliance detected by an importing country</w:t>
      </w:r>
    </w:p>
    <w:p w14:paraId="26EBD9E6" w14:textId="77777777" w:rsidR="00E12E89" w:rsidRDefault="00E12E89" w:rsidP="00E12E89">
      <w:pPr>
        <w:pStyle w:val="ListBullet"/>
      </w:pPr>
      <w:r>
        <w:lastRenderedPageBreak/>
        <w:t>documentation issues detected by the department</w:t>
      </w:r>
    </w:p>
    <w:p w14:paraId="41131D1A" w14:textId="77777777" w:rsidR="00E12E89" w:rsidRDefault="00E12E89" w:rsidP="00E12E89">
      <w:pPr>
        <w:pStyle w:val="ListBullet"/>
      </w:pPr>
      <w:r>
        <w:t>documentation issues detected by an AO</w:t>
      </w:r>
    </w:p>
    <w:p w14:paraId="15505267" w14:textId="77777777" w:rsidR="00E12E89" w:rsidRDefault="00E12E89" w:rsidP="00E12E89">
      <w:pPr>
        <w:pStyle w:val="ListBullet"/>
      </w:pPr>
      <w:r>
        <w:t>reported non-compliance by a third-party or visiting department officer.</w:t>
      </w:r>
    </w:p>
    <w:p w14:paraId="4575F8BB" w14:textId="765EE616" w:rsidR="00E12E89" w:rsidRDefault="00E12E89" w:rsidP="00023E69">
      <w:r>
        <w:t>All non-compliances detected outside of an audit will be referred to</w:t>
      </w:r>
      <w:r w:rsidR="0080586E">
        <w:t xml:space="preserve"> the AAB delegate. The next course of action will be determined in consultation with </w:t>
      </w:r>
      <w:r w:rsidR="000A398E">
        <w:t>HEP and</w:t>
      </w:r>
      <w:r w:rsidR="0080586E">
        <w:t xml:space="preserve"> will be reviewed on a case-by-case basis. </w:t>
      </w:r>
    </w:p>
    <w:p w14:paraId="36A0F866" w14:textId="1D6BAD62" w:rsidR="00E12E89" w:rsidRDefault="00E12E89" w:rsidP="00E12E89">
      <w:pPr>
        <w:pStyle w:val="BodyText"/>
      </w:pPr>
      <w:r w:rsidRPr="00A23CE3">
        <w:rPr>
          <w:b/>
        </w:rPr>
        <w:t>Note:</w:t>
      </w:r>
      <w:r>
        <w:t xml:space="preserve"> Reports of deliberate non-compliance can be confidentially made to the department's Redline on </w:t>
      </w:r>
      <w:r w:rsidRPr="00591FBE">
        <w:t>1800 803 006</w:t>
      </w:r>
      <w:r>
        <w:t>.</w:t>
      </w:r>
    </w:p>
    <w:p w14:paraId="5866441C" w14:textId="77777777" w:rsidR="00E12E89" w:rsidRPr="00B76F2F" w:rsidRDefault="00E12E89" w:rsidP="00E12E89">
      <w:pPr>
        <w:pStyle w:val="Heading2"/>
      </w:pPr>
      <w:bookmarkStart w:id="50" w:name="_Toc190699449"/>
      <w:bookmarkStart w:id="51" w:name="_Toc497215266"/>
      <w:r w:rsidRPr="00B76F2F">
        <w:t>Fees and charges</w:t>
      </w:r>
      <w:bookmarkEnd w:id="50"/>
    </w:p>
    <w:p w14:paraId="15FD0A0E" w14:textId="77777777" w:rsidR="00E13750" w:rsidRDefault="00E13750" w:rsidP="00E13750">
      <w:pPr>
        <w:pStyle w:val="BodyText"/>
      </w:pPr>
      <w:r w:rsidRPr="003E0AAD">
        <w:t xml:space="preserve">All activities associated with audits are subject to a fee-for-service rate. These activities include preparation and post audit activities and activities in response to </w:t>
      </w:r>
      <w:r>
        <w:t>non-compliance notice</w:t>
      </w:r>
      <w:r w:rsidRPr="003E0AAD">
        <w:t>s. Where an announced audit is cancelled, charges may still apply.</w:t>
      </w:r>
    </w:p>
    <w:p w14:paraId="1D43BC3B" w14:textId="47E31ECC" w:rsidR="00E12E89" w:rsidRDefault="00E12E89" w:rsidP="00E12E89">
      <w:pPr>
        <w:pStyle w:val="BodyText"/>
        <w:ind w:right="261"/>
      </w:pPr>
      <w:r w:rsidRPr="00B76F2F">
        <w:rPr>
          <w:b/>
        </w:rPr>
        <w:t>Note</w:t>
      </w:r>
      <w:r w:rsidRPr="00B76F2F">
        <w:t>: Information about the fee-for-service rate for audits is available in the department’s</w:t>
      </w:r>
      <w:r>
        <w:t xml:space="preserve"> </w:t>
      </w:r>
      <w:hyperlink w:anchor="_Related_material_1" w:history="1">
        <w:r w:rsidRPr="00B92831">
          <w:rPr>
            <w:rStyle w:val="Hyperlink"/>
          </w:rPr>
          <w:t>Charging guidelines</w:t>
        </w:r>
      </w:hyperlink>
      <w:r w:rsidRPr="00495C1E">
        <w:t>.</w:t>
      </w:r>
    </w:p>
    <w:p w14:paraId="4A98D303" w14:textId="77777777" w:rsidR="00E12E89" w:rsidRDefault="00E12E89" w:rsidP="00E12E89">
      <w:pPr>
        <w:pStyle w:val="Heading2"/>
      </w:pPr>
      <w:bookmarkStart w:id="52" w:name="_Toc190699450"/>
      <w:r>
        <w:t>Record keeping</w:t>
      </w:r>
      <w:bookmarkEnd w:id="51"/>
      <w:bookmarkEnd w:id="52"/>
    </w:p>
    <w:p w14:paraId="63E4010A" w14:textId="77777777" w:rsidR="00E12E89" w:rsidRDefault="00E12E89" w:rsidP="00E12E89">
      <w:pPr>
        <w:pStyle w:val="BodyText"/>
        <w:rPr>
          <w:b/>
          <w:bCs/>
          <w:sz w:val="30"/>
          <w:szCs w:val="26"/>
        </w:rPr>
      </w:pPr>
      <w:bookmarkStart w:id="53" w:name="_Toc472514762"/>
      <w:r>
        <w:t xml:space="preserve">Accredited property managers, crop monitors, AAB and HEP must </w:t>
      </w:r>
      <w:r w:rsidRPr="006C0AB2">
        <w:t>retain documentat</w:t>
      </w:r>
      <w:r>
        <w:t>ion in relation to audits, accreditation</w:t>
      </w:r>
      <w:r w:rsidRPr="006C0AB2">
        <w:t xml:space="preserve"> and export certification for a </w:t>
      </w:r>
      <w:r>
        <w:t>period of at least 2 years</w:t>
      </w:r>
      <w:r w:rsidRPr="006C0AB2">
        <w:t>.</w:t>
      </w:r>
      <w:bookmarkStart w:id="54" w:name="_Related_material"/>
      <w:bookmarkStart w:id="55" w:name="_Toc497215267"/>
      <w:bookmarkEnd w:id="54"/>
    </w:p>
    <w:p w14:paraId="6323A7F4" w14:textId="77777777" w:rsidR="000A398E" w:rsidRDefault="000A398E">
      <w:pPr>
        <w:spacing w:before="0" w:after="0"/>
        <w:rPr>
          <w:rFonts w:eastAsia="Times New Roman"/>
          <w:b/>
          <w:bCs/>
          <w:sz w:val="30"/>
          <w:szCs w:val="26"/>
        </w:rPr>
      </w:pPr>
      <w:bookmarkStart w:id="56" w:name="_Related_material_1"/>
      <w:bookmarkEnd w:id="56"/>
      <w:r>
        <w:br w:type="page"/>
      </w:r>
    </w:p>
    <w:p w14:paraId="3D08CC80" w14:textId="607E2A25" w:rsidR="00E12E89" w:rsidRDefault="00E12E89" w:rsidP="00E12E89">
      <w:pPr>
        <w:pStyle w:val="Heading2"/>
      </w:pPr>
      <w:bookmarkStart w:id="57" w:name="_Related_material_2"/>
      <w:bookmarkStart w:id="58" w:name="_Toc190699451"/>
      <w:bookmarkEnd w:id="57"/>
      <w:r>
        <w:lastRenderedPageBreak/>
        <w:t>Related material</w:t>
      </w:r>
      <w:bookmarkEnd w:id="53"/>
      <w:bookmarkEnd w:id="55"/>
      <w:bookmarkEnd w:id="58"/>
    </w:p>
    <w:p w14:paraId="159A2B9C" w14:textId="77777777" w:rsidR="00E12E89" w:rsidRDefault="00E12E89" w:rsidP="00E12E89">
      <w:pPr>
        <w:pStyle w:val="BodyText"/>
        <w:spacing w:after="60"/>
      </w:pPr>
      <w:r>
        <w:t>The following related material is available on the department’s website:</w:t>
      </w:r>
    </w:p>
    <w:p w14:paraId="5687C2BB" w14:textId="04DBA8A8" w:rsidR="00E12E89" w:rsidRPr="005F3578" w:rsidRDefault="00E12E89" w:rsidP="00E12E89">
      <w:pPr>
        <w:pStyle w:val="ListBullet"/>
        <w:rPr>
          <w:rStyle w:val="Hyperlink"/>
          <w:color w:val="auto"/>
        </w:rPr>
      </w:pPr>
      <w:hyperlink r:id="rId14" w:history="1">
        <w:r w:rsidRPr="000A398E">
          <w:rPr>
            <w:rStyle w:val="Hyperlink"/>
          </w:rPr>
          <w:t>Charging guidelines</w:t>
        </w:r>
      </w:hyperlink>
      <w:r w:rsidRPr="005F3578">
        <w:t xml:space="preserve"> </w:t>
      </w:r>
    </w:p>
    <w:p w14:paraId="31466F94" w14:textId="73E97C39" w:rsidR="00E12E89" w:rsidRPr="005F3578" w:rsidRDefault="00E12E89" w:rsidP="00E12E89">
      <w:pPr>
        <w:pStyle w:val="ListBullet"/>
      </w:pPr>
      <w:hyperlink r:id="rId15" w:history="1">
        <w:r w:rsidRPr="000A398E">
          <w:rPr>
            <w:rStyle w:val="Hyperlink"/>
          </w:rPr>
          <w:t>Plant Export Operations Manual</w:t>
        </w:r>
      </w:hyperlink>
      <w:r w:rsidRPr="005F3578">
        <w:t xml:space="preserve"> </w:t>
      </w:r>
    </w:p>
    <w:p w14:paraId="76334CF7" w14:textId="79E1F192" w:rsidR="00E12E89" w:rsidRPr="00023E69" w:rsidRDefault="000A398E" w:rsidP="00E12E89">
      <w:pPr>
        <w:pStyle w:val="ListBullet"/>
        <w:numPr>
          <w:ilvl w:val="0"/>
          <w:numId w:val="54"/>
        </w:numPr>
      </w:pPr>
      <w:r>
        <w:t>Exports process instruction</w:t>
      </w:r>
      <w:r w:rsidR="00E12E89" w:rsidRPr="005F3578">
        <w:t xml:space="preserve">: </w:t>
      </w:r>
      <w:r w:rsidR="00E12E89" w:rsidRPr="005F3578">
        <w:rPr>
          <w:i/>
        </w:rPr>
        <w:t>Management of horticulture export accredited properties</w:t>
      </w:r>
    </w:p>
    <w:p w14:paraId="73779DFA" w14:textId="17DE8451" w:rsidR="00C40B1A" w:rsidRPr="005F3578" w:rsidRDefault="000A398E" w:rsidP="00C40B1A">
      <w:pPr>
        <w:pStyle w:val="ListBullet"/>
        <w:numPr>
          <w:ilvl w:val="0"/>
          <w:numId w:val="54"/>
        </w:numPr>
      </w:pPr>
      <w:r>
        <w:t>Exports process instruction</w:t>
      </w:r>
      <w:r w:rsidR="00C40B1A" w:rsidRPr="005F3578">
        <w:t>:</w:t>
      </w:r>
      <w:r w:rsidR="00C40B1A" w:rsidRPr="005F3578">
        <w:rPr>
          <w:i/>
          <w:iCs/>
        </w:rPr>
        <w:t xml:space="preserve"> Management of horticulture export accredited properties operating under the packhouse grower supplier model</w:t>
      </w:r>
    </w:p>
    <w:p w14:paraId="291C9585" w14:textId="51A5FF43" w:rsidR="00E12E89" w:rsidRPr="00CD2588" w:rsidRDefault="00193670" w:rsidP="00E12E89">
      <w:pPr>
        <w:pStyle w:val="ListBullet"/>
        <w:numPr>
          <w:ilvl w:val="0"/>
          <w:numId w:val="54"/>
        </w:numPr>
        <w:rPr>
          <w:i/>
        </w:rPr>
      </w:pPr>
      <w:r>
        <w:t>Exports</w:t>
      </w:r>
      <w:r w:rsidR="00CA2FCF">
        <w:t xml:space="preserve"> p</w:t>
      </w:r>
      <w:r w:rsidR="005B23D2">
        <w:t>olicy</w:t>
      </w:r>
      <w:r w:rsidR="00E12E89">
        <w:t xml:space="preserve">: </w:t>
      </w:r>
      <w:r w:rsidR="00E12E89" w:rsidRPr="00CD2588">
        <w:rPr>
          <w:i/>
        </w:rPr>
        <w:t xml:space="preserve">Audit </w:t>
      </w:r>
      <w:r w:rsidR="00E12E89">
        <w:rPr>
          <w:i/>
        </w:rPr>
        <w:t>of plant export operations</w:t>
      </w:r>
    </w:p>
    <w:p w14:paraId="48A0D779" w14:textId="2C9F3908" w:rsidR="00E12E89" w:rsidRPr="00B3229C" w:rsidRDefault="000A398E" w:rsidP="00E12E89">
      <w:pPr>
        <w:pStyle w:val="ListBullet"/>
        <w:numPr>
          <w:ilvl w:val="0"/>
          <w:numId w:val="54"/>
        </w:numPr>
      </w:pPr>
      <w:r>
        <w:t>Exports reference</w:t>
      </w:r>
      <w:r w:rsidR="00E12E89">
        <w:t xml:space="preserve">: </w:t>
      </w:r>
      <w:r w:rsidR="00E12E89" w:rsidRPr="009F2E89">
        <w:rPr>
          <w:i/>
          <w:iCs/>
        </w:rPr>
        <w:t>Performance standards for farms</w:t>
      </w:r>
    </w:p>
    <w:p w14:paraId="5D7713B9" w14:textId="735BB5AE" w:rsidR="00E12E89" w:rsidRPr="00B3229C" w:rsidRDefault="000A398E" w:rsidP="00E12E89">
      <w:pPr>
        <w:pStyle w:val="ListBullet"/>
        <w:numPr>
          <w:ilvl w:val="0"/>
          <w:numId w:val="54"/>
        </w:numPr>
      </w:pPr>
      <w:r>
        <w:t>Exports r</w:t>
      </w:r>
      <w:r w:rsidR="00E12E89" w:rsidRPr="00B3229C">
        <w:t xml:space="preserve">eference: </w:t>
      </w:r>
      <w:r w:rsidR="00E12E89" w:rsidRPr="009F2E89">
        <w:rPr>
          <w:i/>
          <w:iCs/>
        </w:rPr>
        <w:t>Performance standards for crop monitors</w:t>
      </w:r>
    </w:p>
    <w:p w14:paraId="3C3C8716" w14:textId="2055C2E2" w:rsidR="00E12E89" w:rsidRPr="0091525A" w:rsidRDefault="000A398E" w:rsidP="00E12E89">
      <w:pPr>
        <w:pStyle w:val="ListBullet"/>
        <w:numPr>
          <w:ilvl w:val="0"/>
          <w:numId w:val="54"/>
        </w:numPr>
      </w:pPr>
      <w:r>
        <w:t>Exports r</w:t>
      </w:r>
      <w:r w:rsidR="00E12E89" w:rsidRPr="00B3229C">
        <w:t xml:space="preserve">eference: </w:t>
      </w:r>
      <w:r w:rsidR="00E12E89" w:rsidRPr="009F2E89">
        <w:rPr>
          <w:i/>
          <w:iCs/>
        </w:rPr>
        <w:t>Performance standards for packhouses</w:t>
      </w:r>
    </w:p>
    <w:p w14:paraId="063B3546" w14:textId="15221685" w:rsidR="00E12E89" w:rsidRPr="005071C1" w:rsidRDefault="000A398E" w:rsidP="00E12E89">
      <w:pPr>
        <w:pStyle w:val="ListBullet"/>
        <w:numPr>
          <w:ilvl w:val="0"/>
          <w:numId w:val="54"/>
        </w:numPr>
      </w:pPr>
      <w:r>
        <w:t>Exports r</w:t>
      </w:r>
      <w:r w:rsidR="00E12E89" w:rsidRPr="00FF425C">
        <w:t>eference:</w:t>
      </w:r>
      <w:r w:rsidR="00E12E89">
        <w:rPr>
          <w:i/>
          <w:iCs/>
        </w:rPr>
        <w:t xml:space="preserve"> Performance standards for the packhouse grower supplier model</w:t>
      </w:r>
    </w:p>
    <w:p w14:paraId="10C419B4" w14:textId="77777777" w:rsidR="00E12E89" w:rsidRPr="003C5AE3" w:rsidRDefault="00E12E89" w:rsidP="00E12E89">
      <w:pPr>
        <w:pStyle w:val="Heading2"/>
      </w:pPr>
      <w:bookmarkStart w:id="59" w:name="_Contact_information"/>
      <w:bookmarkStart w:id="60" w:name="_Contact_information_1"/>
      <w:bookmarkStart w:id="61" w:name="_Toc190699453"/>
      <w:bookmarkEnd w:id="59"/>
      <w:bookmarkEnd w:id="60"/>
      <w:r>
        <w:t xml:space="preserve">Contact </w:t>
      </w:r>
      <w:r w:rsidRPr="003C5AE3">
        <w:t>information</w:t>
      </w:r>
      <w:bookmarkEnd w:id="61"/>
    </w:p>
    <w:p w14:paraId="4E1AC78F" w14:textId="778D954A" w:rsidR="00E12E89" w:rsidRDefault="00E12E89" w:rsidP="00E12E89">
      <w:pPr>
        <w:pStyle w:val="ListBullet"/>
        <w:ind w:left="284" w:hanging="284"/>
      </w:pPr>
      <w:r>
        <w:t xml:space="preserve">Audit and Assurance Branch: </w:t>
      </w:r>
      <w:hyperlink r:id="rId16" w:history="1">
        <w:r w:rsidR="000A398E" w:rsidRPr="00EE0600">
          <w:rPr>
            <w:rStyle w:val="Hyperlink"/>
          </w:rPr>
          <w:t>AuditServices@aff.gov.au</w:t>
        </w:r>
      </w:hyperlink>
      <w:r w:rsidR="000A398E">
        <w:tab/>
      </w:r>
    </w:p>
    <w:p w14:paraId="7466A97D" w14:textId="543D8229" w:rsidR="00E12E89" w:rsidRDefault="00E12E89" w:rsidP="00E12E89">
      <w:pPr>
        <w:pStyle w:val="ListBullet"/>
        <w:ind w:left="284" w:hanging="284"/>
      </w:pPr>
      <w:r>
        <w:t>Horticulture Export</w:t>
      </w:r>
      <w:r w:rsidR="000A398E">
        <w:t>s</w:t>
      </w:r>
      <w:r>
        <w:t xml:space="preserve"> Program: </w:t>
      </w:r>
      <w:hyperlink r:id="rId17" w:history="1">
        <w:r w:rsidR="000A398E" w:rsidRPr="00EE0600">
          <w:rPr>
            <w:rStyle w:val="Hyperlink"/>
          </w:rPr>
          <w:t>HorticultureExports@aff.gov.au</w:t>
        </w:r>
      </w:hyperlink>
      <w:r>
        <w:t>.</w:t>
      </w:r>
      <w:r w:rsidR="000A398E">
        <w:tab/>
      </w:r>
    </w:p>
    <w:p w14:paraId="218119DF" w14:textId="77777777" w:rsidR="00E12E89" w:rsidRPr="003C5AE3" w:rsidRDefault="00E12E89" w:rsidP="00E12E89">
      <w:pPr>
        <w:pStyle w:val="Heading2"/>
      </w:pPr>
      <w:bookmarkStart w:id="62" w:name="_Toc190699454"/>
      <w:r w:rsidRPr="003C5AE3">
        <w:t>Document information</w:t>
      </w:r>
      <w:bookmarkEnd w:id="3"/>
      <w:bookmarkEnd w:id="62"/>
    </w:p>
    <w:p w14:paraId="70CA446B" w14:textId="77777777" w:rsidR="00E12E89" w:rsidRDefault="00E12E89" w:rsidP="00E12E89">
      <w:pPr>
        <w:pStyle w:val="BodyText"/>
        <w:keepNext/>
      </w:pPr>
      <w:r w:rsidRPr="003C5AE3">
        <w:t>The following table contains administrative metadata.</w:t>
      </w:r>
      <w:bookmarkStart w:id="63" w:name="_Toc446076654"/>
    </w:p>
    <w:tbl>
      <w:tblPr>
        <w:tblStyle w:val="TableGrid"/>
        <w:tblW w:w="9463" w:type="dxa"/>
        <w:tblLook w:val="04A0" w:firstRow="1" w:lastRow="0" w:firstColumn="1" w:lastColumn="0" w:noHBand="0" w:noVBand="1"/>
      </w:tblPr>
      <w:tblGrid>
        <w:gridCol w:w="2263"/>
        <w:gridCol w:w="7200"/>
      </w:tblGrid>
      <w:tr w:rsidR="000A398E" w14:paraId="04DB6EA3" w14:textId="77777777" w:rsidTr="00023E69">
        <w:tc>
          <w:tcPr>
            <w:tcW w:w="2263" w:type="dxa"/>
            <w:shd w:val="clear" w:color="auto" w:fill="BFBFBF" w:themeFill="background1" w:themeFillShade="BF"/>
          </w:tcPr>
          <w:p w14:paraId="58F11E0E" w14:textId="21720297" w:rsidR="000A398E" w:rsidRPr="00023E69" w:rsidRDefault="000A398E" w:rsidP="000A398E">
            <w:pPr>
              <w:pStyle w:val="BodyText"/>
              <w:keepNext/>
              <w:rPr>
                <w:b/>
                <w:bCs/>
              </w:rPr>
            </w:pPr>
            <w:r w:rsidRPr="00023E69">
              <w:rPr>
                <w:b/>
                <w:bCs/>
              </w:rPr>
              <w:t>Instructional Material Library document ID</w:t>
            </w:r>
          </w:p>
        </w:tc>
        <w:sdt>
          <w:sdtPr>
            <w:rPr>
              <w:rFonts w:asciiTheme="minorHAnsi" w:hAnsiTheme="minorHAnsi"/>
            </w:rPr>
            <w:alias w:val="Document ID Value"/>
            <w:tag w:val="_dlc_DocId"/>
            <w:id w:val="-1712267717"/>
            <w:lock w:val="contentLocked"/>
            <w:placeholder>
              <w:docPart w:val="708A1FFB5367472798B5191A59971FA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EE117B81-2598-4DDA-96CD-7BD580AB5354}"/>
            <w:text/>
          </w:sdtPr>
          <w:sdtEndPr/>
          <w:sdtContent>
            <w:tc>
              <w:tcPr>
                <w:tcW w:w="7200" w:type="dxa"/>
              </w:tcPr>
              <w:p w14:paraId="7F7D4C0C" w14:textId="6DE50F64" w:rsidR="000A398E" w:rsidRDefault="000A398E" w:rsidP="000A398E">
                <w:pPr>
                  <w:pStyle w:val="BodyText"/>
                  <w:keepNext/>
                </w:pPr>
                <w:r>
                  <w:rPr>
                    <w:rFonts w:asciiTheme="minorHAnsi" w:hAnsiTheme="minorHAnsi"/>
                  </w:rPr>
                  <w:t>IMLS-9-3813</w:t>
                </w:r>
              </w:p>
            </w:tc>
          </w:sdtContent>
        </w:sdt>
      </w:tr>
      <w:tr w:rsidR="000A398E" w14:paraId="51FC26FC" w14:textId="77777777" w:rsidTr="00023E69">
        <w:tc>
          <w:tcPr>
            <w:tcW w:w="2263" w:type="dxa"/>
            <w:shd w:val="clear" w:color="auto" w:fill="BFBFBF" w:themeFill="background1" w:themeFillShade="BF"/>
          </w:tcPr>
          <w:p w14:paraId="0DCA7D60" w14:textId="2DDA29AE" w:rsidR="000A398E" w:rsidRPr="00023E69" w:rsidRDefault="000A398E" w:rsidP="000A398E">
            <w:pPr>
              <w:pStyle w:val="BodyText"/>
              <w:keepNext/>
              <w:rPr>
                <w:b/>
                <w:bCs/>
              </w:rPr>
            </w:pPr>
            <w:r w:rsidRPr="00023E69">
              <w:rPr>
                <w:b/>
                <w:bCs/>
              </w:rPr>
              <w:t>Instructional material owner</w:t>
            </w:r>
          </w:p>
        </w:tc>
        <w:tc>
          <w:tcPr>
            <w:tcW w:w="7200" w:type="dxa"/>
          </w:tcPr>
          <w:p w14:paraId="5A037714" w14:textId="7FC869DC" w:rsidR="000A398E" w:rsidRDefault="000A398E" w:rsidP="000A398E">
            <w:pPr>
              <w:pStyle w:val="BodyText"/>
              <w:keepNext/>
            </w:pPr>
            <w:r>
              <w:t>Director, Horticulture Exports Program</w:t>
            </w:r>
          </w:p>
        </w:tc>
      </w:tr>
      <w:tr w:rsidR="000A398E" w14:paraId="752EAB39" w14:textId="77777777" w:rsidTr="00023E69">
        <w:tc>
          <w:tcPr>
            <w:tcW w:w="2263" w:type="dxa"/>
            <w:shd w:val="clear" w:color="auto" w:fill="BFBFBF" w:themeFill="background1" w:themeFillShade="BF"/>
          </w:tcPr>
          <w:p w14:paraId="24E34A00" w14:textId="257DD559" w:rsidR="000A398E" w:rsidRPr="00023E69" w:rsidRDefault="000A398E" w:rsidP="000A398E">
            <w:pPr>
              <w:pStyle w:val="BodyText"/>
              <w:keepNext/>
              <w:rPr>
                <w:b/>
                <w:bCs/>
              </w:rPr>
            </w:pPr>
            <w:r w:rsidRPr="00023E69">
              <w:rPr>
                <w:b/>
                <w:bCs/>
              </w:rPr>
              <w:t>Risk rating</w:t>
            </w:r>
          </w:p>
        </w:tc>
        <w:tc>
          <w:tcPr>
            <w:tcW w:w="7200" w:type="dxa"/>
          </w:tcPr>
          <w:p w14:paraId="640D8185" w14:textId="6181EF62" w:rsidR="000A398E" w:rsidRDefault="000A398E" w:rsidP="000A398E">
            <w:pPr>
              <w:pStyle w:val="BodyText"/>
              <w:keepNext/>
            </w:pPr>
            <w:r>
              <w:rPr>
                <w:bCs/>
              </w:rPr>
              <w:t>Medium</w:t>
            </w:r>
          </w:p>
        </w:tc>
      </w:tr>
      <w:tr w:rsidR="000A398E" w14:paraId="1C3DF5AE" w14:textId="77777777" w:rsidTr="00023E69">
        <w:tc>
          <w:tcPr>
            <w:tcW w:w="2263" w:type="dxa"/>
            <w:shd w:val="clear" w:color="auto" w:fill="BFBFBF" w:themeFill="background1" w:themeFillShade="BF"/>
          </w:tcPr>
          <w:p w14:paraId="03332A1A" w14:textId="676E88B4" w:rsidR="000A398E" w:rsidRPr="00023E69" w:rsidRDefault="000A398E" w:rsidP="000A398E">
            <w:pPr>
              <w:pStyle w:val="BodyText"/>
              <w:keepNext/>
              <w:rPr>
                <w:b/>
                <w:bCs/>
              </w:rPr>
            </w:pPr>
            <w:r w:rsidRPr="000A398E">
              <w:rPr>
                <w:rFonts w:asciiTheme="minorHAnsi" w:hAnsiTheme="minorHAnsi"/>
                <w:b/>
                <w:bCs/>
              </w:rPr>
              <w:t>Review period</w:t>
            </w:r>
          </w:p>
        </w:tc>
        <w:tc>
          <w:tcPr>
            <w:tcW w:w="7200" w:type="dxa"/>
          </w:tcPr>
          <w:p w14:paraId="2C824280" w14:textId="2402F0B0" w:rsidR="000A398E" w:rsidRDefault="000A398E" w:rsidP="000A398E">
            <w:pPr>
              <w:pStyle w:val="BodyText"/>
              <w:keepNext/>
            </w:pPr>
            <w:r>
              <w:t xml:space="preserve">Due for review within </w:t>
            </w:r>
            <w:r w:rsidR="00023E69">
              <w:t>3</w:t>
            </w:r>
            <w:r>
              <w:t xml:space="preserve"> years of the most recent approved date.</w:t>
            </w:r>
          </w:p>
        </w:tc>
      </w:tr>
    </w:tbl>
    <w:p w14:paraId="263E4E90" w14:textId="77777777" w:rsidR="00967212" w:rsidRDefault="00967212" w:rsidP="00023E69">
      <w:pPr>
        <w:pStyle w:val="BodyText"/>
      </w:pPr>
    </w:p>
    <w:p w14:paraId="4972D479" w14:textId="77777777" w:rsidR="00967212" w:rsidRDefault="00967212">
      <w:pPr>
        <w:spacing w:before="0" w:after="0"/>
        <w:rPr>
          <w:rFonts w:eastAsia="Times New Roman"/>
          <w:b/>
          <w:bCs/>
          <w:sz w:val="30"/>
          <w:szCs w:val="26"/>
        </w:rPr>
      </w:pPr>
      <w:r>
        <w:br w:type="page"/>
      </w:r>
    </w:p>
    <w:p w14:paraId="07C0A25C" w14:textId="3F58B70A" w:rsidR="00E12E89" w:rsidRDefault="00E12E89" w:rsidP="00E12E89">
      <w:pPr>
        <w:pStyle w:val="Heading2"/>
      </w:pPr>
      <w:bookmarkStart w:id="64" w:name="_Toc190699455"/>
      <w:r>
        <w:lastRenderedPageBreak/>
        <w:t>Version history</w:t>
      </w:r>
      <w:bookmarkEnd w:id="63"/>
      <w:bookmarkEnd w:id="64"/>
    </w:p>
    <w:p w14:paraId="04215C4C" w14:textId="77777777" w:rsidR="00E12E89" w:rsidRDefault="00E12E89" w:rsidP="00E12E89">
      <w:pPr>
        <w:pStyle w:val="BodyText"/>
      </w:pPr>
      <w:r>
        <w:t>The following table details the published date and amendment details for this document.</w:t>
      </w:r>
    </w:p>
    <w:tbl>
      <w:tblPr>
        <w:tblW w:w="9639"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Description w:val="Version history"/>
      </w:tblPr>
      <w:tblGrid>
        <w:gridCol w:w="914"/>
        <w:gridCol w:w="1278"/>
        <w:gridCol w:w="1352"/>
        <w:gridCol w:w="1619"/>
        <w:gridCol w:w="4476"/>
      </w:tblGrid>
      <w:tr w:rsidR="00967212" w:rsidRPr="000A398E" w14:paraId="47012A7A" w14:textId="77777777" w:rsidTr="00023E69">
        <w:trPr>
          <w:tblHeader/>
        </w:trPr>
        <w:tc>
          <w:tcPr>
            <w:tcW w:w="914" w:type="dxa"/>
            <w:shd w:val="clear" w:color="auto" w:fill="D9D9D9" w:themeFill="background1" w:themeFillShade="D9"/>
          </w:tcPr>
          <w:p w14:paraId="61172DC7" w14:textId="77777777" w:rsidR="000A398E" w:rsidRPr="00023E69" w:rsidRDefault="000A398E" w:rsidP="00B41B8D">
            <w:pPr>
              <w:pStyle w:val="Tableheadings"/>
              <w:keepNext/>
              <w:keepLines/>
              <w:rPr>
                <w:color w:val="auto"/>
              </w:rPr>
            </w:pPr>
            <w:bookmarkStart w:id="65" w:name="_Hlk150942015"/>
            <w:r w:rsidRPr="00023E69">
              <w:rPr>
                <w:color w:val="auto"/>
              </w:rPr>
              <w:t>Version</w:t>
            </w:r>
          </w:p>
        </w:tc>
        <w:tc>
          <w:tcPr>
            <w:tcW w:w="1278" w:type="dxa"/>
            <w:shd w:val="clear" w:color="auto" w:fill="D9D9D9" w:themeFill="background1" w:themeFillShade="D9"/>
          </w:tcPr>
          <w:p w14:paraId="5144068E" w14:textId="77777777" w:rsidR="000A398E" w:rsidRPr="00023E69" w:rsidRDefault="000A398E" w:rsidP="00B41B8D">
            <w:pPr>
              <w:pStyle w:val="Tableheadings"/>
              <w:keepNext/>
              <w:keepLines/>
              <w:rPr>
                <w:color w:val="auto"/>
              </w:rPr>
            </w:pPr>
            <w:r w:rsidRPr="00023E69">
              <w:rPr>
                <w:color w:val="auto"/>
              </w:rPr>
              <w:t>Date published</w:t>
            </w:r>
          </w:p>
        </w:tc>
        <w:tc>
          <w:tcPr>
            <w:tcW w:w="1352" w:type="dxa"/>
            <w:shd w:val="clear" w:color="auto" w:fill="D9D9D9" w:themeFill="background1" w:themeFillShade="D9"/>
          </w:tcPr>
          <w:p w14:paraId="39BC5891" w14:textId="77777777" w:rsidR="000A398E" w:rsidRPr="00023E69" w:rsidRDefault="000A398E" w:rsidP="00B41B8D">
            <w:pPr>
              <w:pStyle w:val="Tableheadings"/>
              <w:keepNext/>
              <w:keepLines/>
              <w:rPr>
                <w:color w:val="auto"/>
              </w:rPr>
            </w:pPr>
            <w:r w:rsidRPr="00023E69">
              <w:rPr>
                <w:color w:val="auto"/>
              </w:rPr>
              <w:t>Date last approved</w:t>
            </w:r>
          </w:p>
        </w:tc>
        <w:tc>
          <w:tcPr>
            <w:tcW w:w="1619" w:type="dxa"/>
            <w:shd w:val="clear" w:color="auto" w:fill="D9D9D9" w:themeFill="background1" w:themeFillShade="D9"/>
          </w:tcPr>
          <w:p w14:paraId="099E8A7F" w14:textId="77777777" w:rsidR="000A398E" w:rsidRPr="00023E69" w:rsidRDefault="000A398E" w:rsidP="00B41B8D">
            <w:pPr>
              <w:pStyle w:val="Tableheadings"/>
              <w:keepNext/>
              <w:keepLines/>
              <w:rPr>
                <w:color w:val="auto"/>
              </w:rPr>
            </w:pPr>
            <w:r w:rsidRPr="00023E69">
              <w:rPr>
                <w:color w:val="auto"/>
              </w:rPr>
              <w:t>Review type</w:t>
            </w:r>
          </w:p>
        </w:tc>
        <w:tc>
          <w:tcPr>
            <w:tcW w:w="4476" w:type="dxa"/>
            <w:shd w:val="clear" w:color="auto" w:fill="D9D9D9" w:themeFill="background1" w:themeFillShade="D9"/>
          </w:tcPr>
          <w:p w14:paraId="2233D91E" w14:textId="77777777" w:rsidR="000A398E" w:rsidRPr="00023E69" w:rsidRDefault="000A398E" w:rsidP="00B41B8D">
            <w:pPr>
              <w:pStyle w:val="Tableheadings"/>
              <w:keepNext/>
              <w:keepLines/>
              <w:rPr>
                <w:color w:val="auto"/>
              </w:rPr>
            </w:pPr>
            <w:r w:rsidRPr="00023E69">
              <w:rPr>
                <w:color w:val="auto"/>
              </w:rPr>
              <w:t>Summary of review</w:t>
            </w:r>
          </w:p>
        </w:tc>
      </w:tr>
      <w:tr w:rsidR="00967212" w:rsidRPr="000A398E" w14:paraId="24675F4F" w14:textId="77777777" w:rsidTr="00023E69">
        <w:trPr>
          <w:tblHeader/>
        </w:trPr>
        <w:tc>
          <w:tcPr>
            <w:tcW w:w="914" w:type="dxa"/>
            <w:shd w:val="clear" w:color="auto" w:fill="auto"/>
          </w:tcPr>
          <w:p w14:paraId="29E51DC2" w14:textId="0DCED768" w:rsidR="000A398E" w:rsidRPr="00023E69" w:rsidRDefault="000A398E" w:rsidP="00023E69">
            <w:pPr>
              <w:pStyle w:val="Tableheadings"/>
              <w:keepNext/>
              <w:keepLines/>
              <w:jc w:val="center"/>
              <w:rPr>
                <w:b w:val="0"/>
                <w:bCs/>
                <w:color w:val="auto"/>
              </w:rPr>
            </w:pPr>
            <w:r w:rsidRPr="00023E69">
              <w:rPr>
                <w:b w:val="0"/>
                <w:bCs/>
                <w:color w:val="auto"/>
              </w:rPr>
              <w:t>1</w:t>
            </w:r>
          </w:p>
        </w:tc>
        <w:tc>
          <w:tcPr>
            <w:tcW w:w="1278" w:type="dxa"/>
            <w:shd w:val="clear" w:color="auto" w:fill="auto"/>
          </w:tcPr>
          <w:p w14:paraId="55B36F52" w14:textId="532A677A" w:rsidR="000A398E" w:rsidRPr="00023E69" w:rsidRDefault="000A398E" w:rsidP="000A398E">
            <w:pPr>
              <w:pStyle w:val="Tableheadings"/>
              <w:keepNext/>
              <w:keepLines/>
              <w:rPr>
                <w:b w:val="0"/>
                <w:bCs/>
                <w:color w:val="auto"/>
              </w:rPr>
            </w:pPr>
            <w:r w:rsidRPr="00023E69">
              <w:rPr>
                <w:b w:val="0"/>
                <w:bCs/>
                <w:color w:val="auto"/>
              </w:rPr>
              <w:t>19/06/2018</w:t>
            </w:r>
          </w:p>
        </w:tc>
        <w:tc>
          <w:tcPr>
            <w:tcW w:w="1352" w:type="dxa"/>
            <w:shd w:val="clear" w:color="auto" w:fill="auto"/>
          </w:tcPr>
          <w:p w14:paraId="5FC28071" w14:textId="35B11112" w:rsidR="000A398E" w:rsidRPr="00023E69" w:rsidRDefault="000A398E" w:rsidP="000A398E">
            <w:pPr>
              <w:pStyle w:val="Tableheadings"/>
              <w:keepNext/>
              <w:keepLines/>
              <w:rPr>
                <w:b w:val="0"/>
                <w:bCs/>
                <w:color w:val="auto"/>
              </w:rPr>
            </w:pPr>
            <w:r w:rsidRPr="00023E69">
              <w:rPr>
                <w:b w:val="0"/>
                <w:bCs/>
                <w:color w:val="auto"/>
              </w:rPr>
              <w:t>19/06/2018</w:t>
            </w:r>
          </w:p>
        </w:tc>
        <w:tc>
          <w:tcPr>
            <w:tcW w:w="1619" w:type="dxa"/>
            <w:shd w:val="clear" w:color="auto" w:fill="auto"/>
          </w:tcPr>
          <w:p w14:paraId="43C65F38" w14:textId="3D8455D7" w:rsidR="000A398E" w:rsidRPr="00023E69" w:rsidRDefault="00967212" w:rsidP="000A398E">
            <w:pPr>
              <w:pStyle w:val="Tableheadings"/>
              <w:keepNext/>
              <w:keepLines/>
              <w:rPr>
                <w:b w:val="0"/>
                <w:bCs/>
                <w:color w:val="auto"/>
              </w:rPr>
            </w:pPr>
            <w:r w:rsidRPr="00023E69">
              <w:rPr>
                <w:b w:val="0"/>
                <w:bCs/>
                <w:color w:val="auto"/>
              </w:rPr>
              <w:t>New document</w:t>
            </w:r>
          </w:p>
        </w:tc>
        <w:tc>
          <w:tcPr>
            <w:tcW w:w="4476" w:type="dxa"/>
            <w:shd w:val="clear" w:color="auto" w:fill="auto"/>
          </w:tcPr>
          <w:p w14:paraId="2C3FBDF6" w14:textId="7687AF17" w:rsidR="000A398E" w:rsidRPr="00023E69" w:rsidRDefault="000A398E" w:rsidP="000A398E">
            <w:pPr>
              <w:pStyle w:val="Tableheadings"/>
              <w:keepNext/>
              <w:keepLines/>
              <w:rPr>
                <w:b w:val="0"/>
                <w:bCs/>
                <w:color w:val="auto"/>
              </w:rPr>
            </w:pPr>
            <w:r w:rsidRPr="00023E69">
              <w:rPr>
                <w:b w:val="0"/>
                <w:bCs/>
                <w:color w:val="auto"/>
              </w:rPr>
              <w:t>First publication of this guideline.</w:t>
            </w:r>
          </w:p>
        </w:tc>
      </w:tr>
      <w:tr w:rsidR="00967212" w:rsidRPr="000A398E" w14:paraId="77FCE42F" w14:textId="77777777" w:rsidTr="00023E69">
        <w:trPr>
          <w:tblHeader/>
        </w:trPr>
        <w:tc>
          <w:tcPr>
            <w:tcW w:w="914" w:type="dxa"/>
            <w:shd w:val="clear" w:color="auto" w:fill="auto"/>
          </w:tcPr>
          <w:p w14:paraId="5764197B" w14:textId="1CD0A417" w:rsidR="000A398E" w:rsidRPr="00023E69" w:rsidRDefault="000A398E" w:rsidP="00023E69">
            <w:pPr>
              <w:pStyle w:val="Tableheadings"/>
              <w:keepNext/>
              <w:keepLines/>
              <w:jc w:val="center"/>
              <w:rPr>
                <w:b w:val="0"/>
                <w:bCs/>
                <w:color w:val="auto"/>
              </w:rPr>
            </w:pPr>
            <w:r w:rsidRPr="00023E69">
              <w:rPr>
                <w:b w:val="0"/>
                <w:bCs/>
                <w:color w:val="auto"/>
              </w:rPr>
              <w:t>2</w:t>
            </w:r>
          </w:p>
        </w:tc>
        <w:tc>
          <w:tcPr>
            <w:tcW w:w="1278" w:type="dxa"/>
            <w:shd w:val="clear" w:color="auto" w:fill="auto"/>
          </w:tcPr>
          <w:p w14:paraId="363258A7" w14:textId="0B33C7FF" w:rsidR="000A398E" w:rsidRPr="00023E69" w:rsidRDefault="000A398E" w:rsidP="000A398E">
            <w:pPr>
              <w:pStyle w:val="Tableheadings"/>
              <w:keepNext/>
              <w:keepLines/>
              <w:rPr>
                <w:b w:val="0"/>
                <w:bCs/>
                <w:color w:val="auto"/>
              </w:rPr>
            </w:pPr>
            <w:r w:rsidRPr="00023E69">
              <w:rPr>
                <w:b w:val="0"/>
                <w:bCs/>
                <w:color w:val="auto"/>
              </w:rPr>
              <w:t>28/02/2021</w:t>
            </w:r>
          </w:p>
        </w:tc>
        <w:tc>
          <w:tcPr>
            <w:tcW w:w="1352" w:type="dxa"/>
            <w:shd w:val="clear" w:color="auto" w:fill="auto"/>
          </w:tcPr>
          <w:p w14:paraId="447FD7C2" w14:textId="64E8A3F2" w:rsidR="000A398E" w:rsidRPr="00023E69" w:rsidRDefault="000A398E" w:rsidP="000A398E">
            <w:pPr>
              <w:pStyle w:val="Tableheadings"/>
              <w:keepNext/>
              <w:keepLines/>
              <w:rPr>
                <w:b w:val="0"/>
                <w:bCs/>
                <w:color w:val="auto"/>
              </w:rPr>
            </w:pPr>
            <w:r w:rsidRPr="00023E69">
              <w:rPr>
                <w:b w:val="0"/>
                <w:bCs/>
                <w:color w:val="auto"/>
              </w:rPr>
              <w:t>28/02/2021</w:t>
            </w:r>
          </w:p>
        </w:tc>
        <w:tc>
          <w:tcPr>
            <w:tcW w:w="1619" w:type="dxa"/>
            <w:shd w:val="clear" w:color="auto" w:fill="auto"/>
          </w:tcPr>
          <w:p w14:paraId="77850630" w14:textId="1FD2BA93" w:rsidR="000A398E" w:rsidRPr="00023E69" w:rsidRDefault="00967212" w:rsidP="000A398E">
            <w:pPr>
              <w:pStyle w:val="Tableheadings"/>
              <w:keepNext/>
              <w:keepLines/>
              <w:rPr>
                <w:b w:val="0"/>
                <w:bCs/>
                <w:color w:val="auto"/>
              </w:rPr>
            </w:pPr>
            <w:r>
              <w:rPr>
                <w:b w:val="0"/>
                <w:bCs/>
                <w:color w:val="auto"/>
              </w:rPr>
              <w:t>Major change</w:t>
            </w:r>
          </w:p>
        </w:tc>
        <w:tc>
          <w:tcPr>
            <w:tcW w:w="4476" w:type="dxa"/>
            <w:shd w:val="clear" w:color="auto" w:fill="auto"/>
          </w:tcPr>
          <w:p w14:paraId="4E550110" w14:textId="77777777" w:rsidR="000A398E" w:rsidRPr="000A398E" w:rsidRDefault="000A398E" w:rsidP="000A398E">
            <w:pPr>
              <w:rPr>
                <w:bCs/>
              </w:rPr>
            </w:pPr>
            <w:r w:rsidRPr="000A398E">
              <w:rPr>
                <w:bCs/>
              </w:rPr>
              <w:t>Amendments for commencement of the Export Control Act 2020 and associated Plant Rules.</w:t>
            </w:r>
          </w:p>
          <w:p w14:paraId="454B620A" w14:textId="2E169875" w:rsidR="000A398E" w:rsidRPr="00023E69" w:rsidRDefault="000A398E" w:rsidP="000A398E">
            <w:pPr>
              <w:pStyle w:val="Tableheadings"/>
              <w:keepNext/>
              <w:keepLines/>
              <w:rPr>
                <w:b w:val="0"/>
                <w:bCs/>
                <w:color w:val="auto"/>
              </w:rPr>
            </w:pPr>
            <w:r w:rsidRPr="00023E69">
              <w:rPr>
                <w:b w:val="0"/>
                <w:bCs/>
                <w:color w:val="auto"/>
              </w:rPr>
              <w:t>Redesign of audit process to capture pre-season audits and in-season audits.</w:t>
            </w:r>
          </w:p>
        </w:tc>
      </w:tr>
      <w:tr w:rsidR="00967212" w:rsidRPr="000A398E" w14:paraId="1768195F" w14:textId="77777777" w:rsidTr="00023E69">
        <w:trPr>
          <w:tblHeader/>
        </w:trPr>
        <w:tc>
          <w:tcPr>
            <w:tcW w:w="914" w:type="dxa"/>
            <w:shd w:val="clear" w:color="auto" w:fill="auto"/>
          </w:tcPr>
          <w:p w14:paraId="0CF685A6" w14:textId="5C8C399B" w:rsidR="000A398E" w:rsidRPr="00023E69" w:rsidRDefault="000A398E" w:rsidP="00023E69">
            <w:pPr>
              <w:pStyle w:val="Tableheadings"/>
              <w:keepNext/>
              <w:keepLines/>
              <w:jc w:val="center"/>
              <w:rPr>
                <w:b w:val="0"/>
                <w:bCs/>
                <w:color w:val="auto"/>
              </w:rPr>
            </w:pPr>
            <w:r w:rsidRPr="00023E69">
              <w:rPr>
                <w:b w:val="0"/>
                <w:bCs/>
                <w:color w:val="auto"/>
              </w:rPr>
              <w:t>3</w:t>
            </w:r>
          </w:p>
        </w:tc>
        <w:tc>
          <w:tcPr>
            <w:tcW w:w="1278" w:type="dxa"/>
            <w:shd w:val="clear" w:color="auto" w:fill="auto"/>
          </w:tcPr>
          <w:p w14:paraId="6871EDD8" w14:textId="0A8AE373" w:rsidR="000A398E" w:rsidRPr="00023E69" w:rsidRDefault="000A398E" w:rsidP="000A398E">
            <w:pPr>
              <w:pStyle w:val="Tableheadings"/>
              <w:keepNext/>
              <w:keepLines/>
              <w:rPr>
                <w:b w:val="0"/>
                <w:bCs/>
                <w:color w:val="auto"/>
              </w:rPr>
            </w:pPr>
            <w:r w:rsidRPr="00023E69">
              <w:rPr>
                <w:b w:val="0"/>
                <w:bCs/>
                <w:color w:val="auto"/>
              </w:rPr>
              <w:t>1/10/2022</w:t>
            </w:r>
          </w:p>
        </w:tc>
        <w:tc>
          <w:tcPr>
            <w:tcW w:w="1352" w:type="dxa"/>
            <w:shd w:val="clear" w:color="auto" w:fill="auto"/>
          </w:tcPr>
          <w:p w14:paraId="75BE6EAD" w14:textId="4BE674E6" w:rsidR="000A398E" w:rsidRPr="00023E69" w:rsidRDefault="000A398E" w:rsidP="000A398E">
            <w:pPr>
              <w:pStyle w:val="Tableheadings"/>
              <w:keepNext/>
              <w:keepLines/>
              <w:rPr>
                <w:b w:val="0"/>
                <w:bCs/>
                <w:color w:val="auto"/>
              </w:rPr>
            </w:pPr>
            <w:r w:rsidRPr="00023E69">
              <w:rPr>
                <w:b w:val="0"/>
                <w:bCs/>
                <w:color w:val="auto"/>
              </w:rPr>
              <w:t>1/10/2022</w:t>
            </w:r>
          </w:p>
        </w:tc>
        <w:tc>
          <w:tcPr>
            <w:tcW w:w="1619" w:type="dxa"/>
            <w:shd w:val="clear" w:color="auto" w:fill="auto"/>
          </w:tcPr>
          <w:p w14:paraId="25A8E2AD" w14:textId="698C9883" w:rsidR="000A398E" w:rsidRPr="00023E69" w:rsidRDefault="00967212" w:rsidP="000A398E">
            <w:pPr>
              <w:pStyle w:val="Tableheadings"/>
              <w:keepNext/>
              <w:keepLines/>
              <w:rPr>
                <w:b w:val="0"/>
                <w:bCs/>
                <w:color w:val="auto"/>
              </w:rPr>
            </w:pPr>
            <w:r>
              <w:rPr>
                <w:b w:val="0"/>
                <w:bCs/>
                <w:color w:val="auto"/>
              </w:rPr>
              <w:t>Major change</w:t>
            </w:r>
          </w:p>
        </w:tc>
        <w:tc>
          <w:tcPr>
            <w:tcW w:w="4476" w:type="dxa"/>
            <w:shd w:val="clear" w:color="auto" w:fill="auto"/>
          </w:tcPr>
          <w:p w14:paraId="5B0CDC31" w14:textId="33E38B95" w:rsidR="000A398E" w:rsidRPr="00023E69" w:rsidRDefault="000A398E" w:rsidP="000A398E">
            <w:pPr>
              <w:pStyle w:val="Tableheadings"/>
              <w:keepNext/>
              <w:keepLines/>
              <w:rPr>
                <w:b w:val="0"/>
                <w:bCs/>
                <w:color w:val="auto"/>
              </w:rPr>
            </w:pPr>
            <w:r w:rsidRPr="00023E69">
              <w:rPr>
                <w:b w:val="0"/>
                <w:bCs/>
                <w:color w:val="auto"/>
              </w:rPr>
              <w:t>Added information about Global Food Safety Initiative (GFSI) scheme and updated department branding.</w:t>
            </w:r>
          </w:p>
        </w:tc>
      </w:tr>
      <w:tr w:rsidR="00967212" w:rsidRPr="000A398E" w14:paraId="4808AC74" w14:textId="77777777" w:rsidTr="00023E69">
        <w:trPr>
          <w:tblHeader/>
        </w:trPr>
        <w:tc>
          <w:tcPr>
            <w:tcW w:w="914" w:type="dxa"/>
            <w:shd w:val="clear" w:color="auto" w:fill="auto"/>
          </w:tcPr>
          <w:p w14:paraId="7CACE7B8" w14:textId="0D447B16" w:rsidR="000A398E" w:rsidRPr="00023E69" w:rsidRDefault="000A398E" w:rsidP="00023E69">
            <w:pPr>
              <w:pStyle w:val="Tableheadings"/>
              <w:keepNext/>
              <w:keepLines/>
              <w:jc w:val="center"/>
              <w:rPr>
                <w:b w:val="0"/>
                <w:bCs/>
                <w:color w:val="auto"/>
              </w:rPr>
            </w:pPr>
            <w:r w:rsidRPr="00023E69">
              <w:rPr>
                <w:b w:val="0"/>
                <w:bCs/>
                <w:color w:val="auto"/>
              </w:rPr>
              <w:t>4</w:t>
            </w:r>
          </w:p>
        </w:tc>
        <w:tc>
          <w:tcPr>
            <w:tcW w:w="1278" w:type="dxa"/>
            <w:shd w:val="clear" w:color="auto" w:fill="auto"/>
          </w:tcPr>
          <w:p w14:paraId="10428757" w14:textId="1732B956" w:rsidR="000A398E" w:rsidRPr="00023E69" w:rsidRDefault="000A398E" w:rsidP="000A398E">
            <w:pPr>
              <w:pStyle w:val="Tableheadings"/>
              <w:keepNext/>
              <w:keepLines/>
              <w:rPr>
                <w:b w:val="0"/>
                <w:bCs/>
                <w:color w:val="auto"/>
              </w:rPr>
            </w:pPr>
            <w:r w:rsidRPr="00023E69">
              <w:rPr>
                <w:b w:val="0"/>
                <w:bCs/>
                <w:color w:val="auto"/>
              </w:rPr>
              <w:t>7/08/2023</w:t>
            </w:r>
          </w:p>
        </w:tc>
        <w:tc>
          <w:tcPr>
            <w:tcW w:w="1352" w:type="dxa"/>
            <w:shd w:val="clear" w:color="auto" w:fill="auto"/>
          </w:tcPr>
          <w:p w14:paraId="634ED411" w14:textId="631F6A4D" w:rsidR="000A398E" w:rsidRPr="00023E69" w:rsidRDefault="000A398E" w:rsidP="000A398E">
            <w:pPr>
              <w:pStyle w:val="Tableheadings"/>
              <w:keepNext/>
              <w:keepLines/>
              <w:rPr>
                <w:b w:val="0"/>
                <w:bCs/>
                <w:color w:val="auto"/>
              </w:rPr>
            </w:pPr>
            <w:r w:rsidRPr="00023E69">
              <w:rPr>
                <w:b w:val="0"/>
                <w:bCs/>
                <w:color w:val="auto"/>
              </w:rPr>
              <w:t>7/08/2023</w:t>
            </w:r>
          </w:p>
        </w:tc>
        <w:tc>
          <w:tcPr>
            <w:tcW w:w="1619" w:type="dxa"/>
            <w:shd w:val="clear" w:color="auto" w:fill="auto"/>
          </w:tcPr>
          <w:p w14:paraId="622A8A9B" w14:textId="0D0E8089" w:rsidR="000A398E" w:rsidRPr="00023E69" w:rsidRDefault="00967212" w:rsidP="000A398E">
            <w:pPr>
              <w:pStyle w:val="Tableheadings"/>
              <w:keepNext/>
              <w:keepLines/>
              <w:rPr>
                <w:b w:val="0"/>
                <w:bCs/>
                <w:color w:val="auto"/>
              </w:rPr>
            </w:pPr>
            <w:r>
              <w:rPr>
                <w:b w:val="0"/>
                <w:bCs/>
                <w:color w:val="auto"/>
              </w:rPr>
              <w:t>Major change</w:t>
            </w:r>
          </w:p>
        </w:tc>
        <w:tc>
          <w:tcPr>
            <w:tcW w:w="4476" w:type="dxa"/>
            <w:shd w:val="clear" w:color="auto" w:fill="auto"/>
          </w:tcPr>
          <w:p w14:paraId="151454DF" w14:textId="3B6EAD1E" w:rsidR="000A398E" w:rsidRPr="00023E69" w:rsidRDefault="000A398E" w:rsidP="000A398E">
            <w:pPr>
              <w:pStyle w:val="Tableheadings"/>
              <w:keepNext/>
              <w:keepLines/>
              <w:rPr>
                <w:b w:val="0"/>
                <w:bCs/>
                <w:color w:val="auto"/>
              </w:rPr>
            </w:pPr>
            <w:r w:rsidRPr="00023E69">
              <w:rPr>
                <w:b w:val="0"/>
                <w:bCs/>
                <w:color w:val="auto"/>
              </w:rPr>
              <w:t>Removed date from diagram; removed references to New Zealand Industry Inspections; updated references to accredited properties.</w:t>
            </w:r>
          </w:p>
        </w:tc>
      </w:tr>
      <w:tr w:rsidR="00967212" w:rsidRPr="000A398E" w14:paraId="149CC718" w14:textId="77777777" w:rsidTr="00023E69">
        <w:trPr>
          <w:tblHeader/>
        </w:trPr>
        <w:tc>
          <w:tcPr>
            <w:tcW w:w="914" w:type="dxa"/>
            <w:shd w:val="clear" w:color="auto" w:fill="auto"/>
          </w:tcPr>
          <w:p w14:paraId="7D764A98" w14:textId="0FFCD084" w:rsidR="000A398E" w:rsidRPr="00023E69" w:rsidRDefault="000A398E" w:rsidP="00023E69">
            <w:pPr>
              <w:pStyle w:val="Tableheadings"/>
              <w:keepNext/>
              <w:keepLines/>
              <w:jc w:val="center"/>
              <w:rPr>
                <w:b w:val="0"/>
                <w:bCs/>
                <w:color w:val="auto"/>
              </w:rPr>
            </w:pPr>
            <w:r w:rsidRPr="00023E69">
              <w:rPr>
                <w:b w:val="0"/>
                <w:bCs/>
                <w:color w:val="auto"/>
              </w:rPr>
              <w:t>5</w:t>
            </w:r>
          </w:p>
        </w:tc>
        <w:tc>
          <w:tcPr>
            <w:tcW w:w="1278" w:type="dxa"/>
            <w:shd w:val="clear" w:color="auto" w:fill="auto"/>
          </w:tcPr>
          <w:p w14:paraId="3E18B197" w14:textId="70D81B3C" w:rsidR="000A398E" w:rsidRPr="00023E69" w:rsidRDefault="000A398E" w:rsidP="000A398E">
            <w:pPr>
              <w:pStyle w:val="Tableheadings"/>
              <w:keepNext/>
              <w:keepLines/>
              <w:rPr>
                <w:b w:val="0"/>
                <w:bCs/>
                <w:color w:val="auto"/>
              </w:rPr>
            </w:pPr>
            <w:r w:rsidRPr="00023E69">
              <w:rPr>
                <w:b w:val="0"/>
                <w:bCs/>
                <w:color w:val="auto"/>
              </w:rPr>
              <w:t>1/11/2023</w:t>
            </w:r>
          </w:p>
        </w:tc>
        <w:tc>
          <w:tcPr>
            <w:tcW w:w="1352" w:type="dxa"/>
            <w:shd w:val="clear" w:color="auto" w:fill="auto"/>
          </w:tcPr>
          <w:p w14:paraId="5461B7CF" w14:textId="473E0881" w:rsidR="000A398E" w:rsidRPr="00023E69" w:rsidRDefault="000A398E" w:rsidP="000A398E">
            <w:pPr>
              <w:pStyle w:val="Tableheadings"/>
              <w:keepNext/>
              <w:keepLines/>
              <w:rPr>
                <w:b w:val="0"/>
                <w:bCs/>
                <w:color w:val="auto"/>
              </w:rPr>
            </w:pPr>
            <w:r w:rsidRPr="00023E69">
              <w:rPr>
                <w:b w:val="0"/>
                <w:bCs/>
                <w:color w:val="auto"/>
              </w:rPr>
              <w:t>1/11/2023</w:t>
            </w:r>
          </w:p>
        </w:tc>
        <w:tc>
          <w:tcPr>
            <w:tcW w:w="1619" w:type="dxa"/>
            <w:shd w:val="clear" w:color="auto" w:fill="auto"/>
          </w:tcPr>
          <w:p w14:paraId="43D564C1" w14:textId="467DE33A" w:rsidR="000A398E" w:rsidRPr="00023E69" w:rsidRDefault="00967212" w:rsidP="000A398E">
            <w:pPr>
              <w:pStyle w:val="Tableheadings"/>
              <w:keepNext/>
              <w:keepLines/>
              <w:rPr>
                <w:b w:val="0"/>
                <w:bCs/>
                <w:color w:val="auto"/>
              </w:rPr>
            </w:pPr>
            <w:r>
              <w:rPr>
                <w:b w:val="0"/>
                <w:bCs/>
                <w:color w:val="auto"/>
              </w:rPr>
              <w:t>Major change</w:t>
            </w:r>
          </w:p>
        </w:tc>
        <w:tc>
          <w:tcPr>
            <w:tcW w:w="4476" w:type="dxa"/>
            <w:shd w:val="clear" w:color="auto" w:fill="auto"/>
          </w:tcPr>
          <w:p w14:paraId="6C8710CF" w14:textId="1FF43782" w:rsidR="000A398E" w:rsidRPr="00023E69" w:rsidRDefault="000A398E" w:rsidP="000A398E">
            <w:pPr>
              <w:pStyle w:val="Tableheadings"/>
              <w:keepNext/>
              <w:keepLines/>
              <w:rPr>
                <w:b w:val="0"/>
                <w:bCs/>
                <w:color w:val="auto"/>
              </w:rPr>
            </w:pPr>
            <w:r w:rsidRPr="00023E69">
              <w:rPr>
                <w:b w:val="0"/>
                <w:bCs/>
                <w:color w:val="auto"/>
              </w:rPr>
              <w:t>Added information about the Packhouse grower supplier model.</w:t>
            </w:r>
          </w:p>
        </w:tc>
      </w:tr>
      <w:tr w:rsidR="00967212" w14:paraId="0C74C04C" w14:textId="77777777" w:rsidTr="00023E69">
        <w:tc>
          <w:tcPr>
            <w:tcW w:w="914" w:type="dxa"/>
          </w:tcPr>
          <w:p w14:paraId="0BCCA4B5" w14:textId="69090AB9" w:rsidR="000A398E" w:rsidRDefault="00C645B1" w:rsidP="00B41B8D">
            <w:pPr>
              <w:keepNext/>
              <w:keepLines/>
              <w:jc w:val="center"/>
            </w:pPr>
            <w:sdt>
              <w:sdtPr>
                <w:alias w:val="Revision Number"/>
                <w:tag w:val="RevisionNumber"/>
                <w:id w:val="-557314390"/>
                <w:placeholder>
                  <w:docPart w:val="0B45CE04A8534E0C9319E419E7478B7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0A398E">
                  <w:t>6</w:t>
                </w:r>
              </w:sdtContent>
            </w:sdt>
          </w:p>
        </w:tc>
        <w:sdt>
          <w:sdtPr>
            <w:alias w:val="Date published"/>
            <w:tag w:val="DatePublished"/>
            <w:id w:val="-1061471419"/>
            <w:placeholder>
              <w:docPart w:val="00A602FBEB194755BBE4D27A4CE6D5E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EndPr/>
          <w:sdtContent>
            <w:tc>
              <w:tcPr>
                <w:tcW w:w="1278" w:type="dxa"/>
              </w:tcPr>
              <w:p w14:paraId="44D76B80" w14:textId="13B26522" w:rsidR="000A398E" w:rsidRDefault="00023E69" w:rsidP="00B41B8D">
                <w:pPr>
                  <w:keepNext/>
                  <w:keepLines/>
                </w:pPr>
                <w:r>
                  <w:t>22/04/2025</w:t>
                </w:r>
              </w:p>
            </w:tc>
          </w:sdtContent>
        </w:sdt>
        <w:sdt>
          <w:sdtPr>
            <w:alias w:val="Last Approver Review Date"/>
            <w:tag w:val="LastApproverReviewDate"/>
            <w:id w:val="-1856486223"/>
            <w:placeholder>
              <w:docPart w:val="8E3E70C564774D92AC4370C14E9317E3"/>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EE117B81-2598-4DDA-96CD-7BD580AB5354}"/>
            <w:date w:fullDate="2025-04-22T00:00:00Z">
              <w:dateFormat w:val="d/MM/yyyy"/>
              <w:lid w:val="en-AU"/>
              <w:storeMappedDataAs w:val="dateTime"/>
              <w:calendar w:val="gregorian"/>
            </w:date>
          </w:sdtPr>
          <w:sdtEndPr/>
          <w:sdtContent>
            <w:tc>
              <w:tcPr>
                <w:tcW w:w="1352" w:type="dxa"/>
              </w:tcPr>
              <w:p w14:paraId="1743ECBD" w14:textId="17522D68" w:rsidR="000A398E" w:rsidRDefault="00023E69" w:rsidP="00B41B8D">
                <w:pPr>
                  <w:keepNext/>
                  <w:keepLines/>
                </w:pPr>
                <w:r>
                  <w:t>22/04/2025</w:t>
                </w:r>
              </w:p>
            </w:tc>
          </w:sdtContent>
        </w:sdt>
        <w:tc>
          <w:tcPr>
            <w:tcW w:w="1619" w:type="dxa"/>
          </w:tcPr>
          <w:p w14:paraId="23DDBCF8" w14:textId="0545C3D2" w:rsidR="000A398E" w:rsidRPr="00967212" w:rsidRDefault="000A398E" w:rsidP="00B41B8D">
            <w:pPr>
              <w:keepNext/>
              <w:keepLines/>
              <w:rPr>
                <w:bCs/>
              </w:rPr>
            </w:pPr>
            <w:r w:rsidRPr="00967212">
              <w:rPr>
                <w:bCs/>
              </w:rPr>
              <w:t>Major</w:t>
            </w:r>
            <w:r w:rsidR="00967212">
              <w:rPr>
                <w:bCs/>
              </w:rPr>
              <w:t xml:space="preserve"> change</w:t>
            </w:r>
          </w:p>
        </w:tc>
        <w:tc>
          <w:tcPr>
            <w:tcW w:w="4476" w:type="dxa"/>
          </w:tcPr>
          <w:p w14:paraId="056846E7" w14:textId="76D8C9EB" w:rsidR="000A398E" w:rsidRPr="005E468A" w:rsidRDefault="00D65B2D" w:rsidP="00B41B8D">
            <w:pPr>
              <w:keepNext/>
              <w:keepLines/>
              <w:rPr>
                <w:highlight w:val="yellow"/>
              </w:rPr>
            </w:pPr>
            <w:r>
              <w:t>Alignment of registered establishment, authorised officer and accredited property audit policies.</w:t>
            </w:r>
          </w:p>
        </w:tc>
      </w:tr>
      <w:bookmarkEnd w:id="65"/>
    </w:tbl>
    <w:p w14:paraId="21D12A6E" w14:textId="77777777" w:rsidR="000A398E" w:rsidRDefault="000A398E" w:rsidP="00E12E89">
      <w:pPr>
        <w:pStyle w:val="BodyText"/>
      </w:pPr>
    </w:p>
    <w:p w14:paraId="0FB788AE" w14:textId="77777777" w:rsidR="000A398E" w:rsidRDefault="000A398E" w:rsidP="00E12E89">
      <w:pPr>
        <w:pStyle w:val="BodyText"/>
      </w:pPr>
    </w:p>
    <w:p w14:paraId="4BAD2A86" w14:textId="77777777" w:rsidR="00562E8D" w:rsidRDefault="00562E8D">
      <w:pPr>
        <w:spacing w:before="0" w:after="0"/>
        <w:rPr>
          <w:highlight w:val="yellow"/>
        </w:rPr>
      </w:pPr>
      <w:r>
        <w:rPr>
          <w:highlight w:val="yellow"/>
        </w:rPr>
        <w:br w:type="page"/>
      </w:r>
    </w:p>
    <w:p w14:paraId="0F8D8F14" w14:textId="77777777" w:rsidR="00562E8D" w:rsidRDefault="00562E8D" w:rsidP="00562E8D">
      <w:pPr>
        <w:pStyle w:val="Heading2"/>
      </w:pPr>
      <w:bookmarkStart w:id="66" w:name="_Toc152835086"/>
      <w:bookmarkStart w:id="67" w:name="_Toc190699456"/>
      <w:r>
        <w:lastRenderedPageBreak/>
        <w:t>Appendix A: Definitions</w:t>
      </w:r>
      <w:bookmarkEnd w:id="66"/>
      <w:bookmarkEnd w:id="67"/>
    </w:p>
    <w:p w14:paraId="44B69CC0" w14:textId="77777777" w:rsidR="00562E8D" w:rsidRDefault="00562E8D" w:rsidP="00562E8D">
      <w:bookmarkStart w:id="68" w:name="_Hlk147133278"/>
      <w:r>
        <w:t>The following table defines terms (and their abbreviations) used in this document.</w:t>
      </w:r>
    </w:p>
    <w:tbl>
      <w:tblPr>
        <w:tblW w:w="91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6746"/>
      </w:tblGrid>
      <w:tr w:rsidR="00562E8D" w14:paraId="2B991B78" w14:textId="77777777" w:rsidTr="00023E69">
        <w:trPr>
          <w:cantSplit/>
          <w:tblHeader/>
        </w:trPr>
        <w:tc>
          <w:tcPr>
            <w:tcW w:w="23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bookmarkEnd w:id="68"/>
          <w:p w14:paraId="7093CB3C" w14:textId="77777777" w:rsidR="00562E8D" w:rsidRPr="00512111" w:rsidRDefault="00562E8D" w:rsidP="00B41B8D">
            <w:pPr>
              <w:pStyle w:val="Tableheadings"/>
              <w:rPr>
                <w:color w:val="auto"/>
              </w:rPr>
            </w:pPr>
            <w:r w:rsidRPr="00512111">
              <w:rPr>
                <w:color w:val="auto"/>
              </w:rPr>
              <w:t>Term</w:t>
            </w:r>
          </w:p>
        </w:tc>
        <w:tc>
          <w:tcPr>
            <w:tcW w:w="674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0E8BC9F" w14:textId="77777777" w:rsidR="00562E8D" w:rsidRPr="00512111" w:rsidRDefault="00562E8D" w:rsidP="00B41B8D">
            <w:pPr>
              <w:pStyle w:val="Tableheadings"/>
              <w:rPr>
                <w:color w:val="auto"/>
              </w:rPr>
            </w:pPr>
            <w:r w:rsidRPr="00512111">
              <w:rPr>
                <w:color w:val="auto"/>
              </w:rPr>
              <w:t>Definition</w:t>
            </w:r>
          </w:p>
        </w:tc>
      </w:tr>
      <w:tr w:rsidR="00562E8D" w14:paraId="6C2D9E7C" w14:textId="77777777" w:rsidTr="00B41B8D">
        <w:trPr>
          <w:cantSplit/>
        </w:trPr>
        <w:tc>
          <w:tcPr>
            <w:tcW w:w="2381" w:type="dxa"/>
            <w:tcBorders>
              <w:top w:val="single" w:sz="4" w:space="0" w:color="auto"/>
              <w:bottom w:val="single" w:sz="4" w:space="0" w:color="auto"/>
            </w:tcBorders>
          </w:tcPr>
          <w:p w14:paraId="2BBFA03D" w14:textId="77777777" w:rsidR="00562E8D" w:rsidRPr="00512111" w:rsidRDefault="00562E8D" w:rsidP="00B41B8D">
            <w:r w:rsidRPr="00512111">
              <w:t>Accredited property</w:t>
            </w:r>
          </w:p>
        </w:tc>
        <w:tc>
          <w:tcPr>
            <w:tcW w:w="6746" w:type="dxa"/>
            <w:tcBorders>
              <w:top w:val="single" w:sz="4" w:space="0" w:color="auto"/>
              <w:bottom w:val="single" w:sz="4" w:space="0" w:color="auto"/>
            </w:tcBorders>
          </w:tcPr>
          <w:p w14:paraId="71730F3C" w14:textId="77777777" w:rsidR="00562E8D" w:rsidRPr="00512111" w:rsidRDefault="00562E8D" w:rsidP="00B41B8D">
            <w:r w:rsidRPr="00512111">
              <w:t>A property (such as a farm or packhouse) that is required to be accredited by the department to produce and/or prepare a particular commodity to meet the requirement for recognition by an importing country authority.</w:t>
            </w:r>
          </w:p>
          <w:p w14:paraId="661C7126" w14:textId="77777777" w:rsidR="00562E8D" w:rsidRPr="00512111" w:rsidRDefault="00562E8D" w:rsidP="00B41B8D">
            <w:r w:rsidRPr="00512111">
              <w:rPr>
                <w:b/>
              </w:rPr>
              <w:t>Note:</w:t>
            </w:r>
            <w:r w:rsidRPr="00512111">
              <w:t xml:space="preserve"> The recognition may be referred to as ‘registration’ or ‘export approval’ in protocol documents.</w:t>
            </w:r>
          </w:p>
        </w:tc>
      </w:tr>
      <w:tr w:rsidR="00562E8D" w14:paraId="1F918EA4" w14:textId="77777777" w:rsidTr="00B41B8D">
        <w:trPr>
          <w:cantSplit/>
        </w:trPr>
        <w:tc>
          <w:tcPr>
            <w:tcW w:w="2381" w:type="dxa"/>
            <w:tcBorders>
              <w:top w:val="single" w:sz="4" w:space="0" w:color="auto"/>
              <w:bottom w:val="single" w:sz="4" w:space="0" w:color="auto"/>
            </w:tcBorders>
          </w:tcPr>
          <w:p w14:paraId="2D25F987" w14:textId="77777777" w:rsidR="00562E8D" w:rsidRPr="00512111" w:rsidRDefault="00562E8D" w:rsidP="00B41B8D">
            <w:r w:rsidRPr="00512111">
              <w:t>Accreditation period</w:t>
            </w:r>
          </w:p>
        </w:tc>
        <w:tc>
          <w:tcPr>
            <w:tcW w:w="6746" w:type="dxa"/>
            <w:tcBorders>
              <w:top w:val="single" w:sz="4" w:space="0" w:color="auto"/>
              <w:bottom w:val="single" w:sz="4" w:space="0" w:color="auto"/>
            </w:tcBorders>
          </w:tcPr>
          <w:p w14:paraId="24E27AE6" w14:textId="77777777" w:rsidR="00562E8D" w:rsidRPr="00512111" w:rsidRDefault="00562E8D" w:rsidP="00B41B8D">
            <w:r w:rsidRPr="00512111">
              <w:t>The period the accreditation of the property remains in effect.</w:t>
            </w:r>
          </w:p>
        </w:tc>
      </w:tr>
      <w:tr w:rsidR="00562E8D" w14:paraId="12588C69" w14:textId="77777777" w:rsidTr="00B41B8D">
        <w:trPr>
          <w:cantSplit/>
        </w:trPr>
        <w:tc>
          <w:tcPr>
            <w:tcW w:w="2381" w:type="dxa"/>
            <w:tcBorders>
              <w:top w:val="single" w:sz="4" w:space="0" w:color="auto"/>
              <w:bottom w:val="single" w:sz="4" w:space="0" w:color="auto"/>
            </w:tcBorders>
          </w:tcPr>
          <w:p w14:paraId="2E19EF30" w14:textId="77777777" w:rsidR="00562E8D" w:rsidRPr="00512111" w:rsidRDefault="00562E8D" w:rsidP="00B41B8D">
            <w:r w:rsidRPr="00512111">
              <w:t xml:space="preserve">Advisory </w:t>
            </w:r>
            <w:r>
              <w:t>f</w:t>
            </w:r>
            <w:r w:rsidRPr="00512111">
              <w:t>inding</w:t>
            </w:r>
            <w:r>
              <w:t>s</w:t>
            </w:r>
          </w:p>
        </w:tc>
        <w:tc>
          <w:tcPr>
            <w:tcW w:w="6746" w:type="dxa"/>
            <w:tcBorders>
              <w:top w:val="single" w:sz="4" w:space="0" w:color="auto"/>
              <w:bottom w:val="single" w:sz="4" w:space="0" w:color="auto"/>
            </w:tcBorders>
          </w:tcPr>
          <w:p w14:paraId="33F9D476" w14:textId="77777777" w:rsidR="00562E8D" w:rsidRPr="00512111" w:rsidRDefault="00562E8D" w:rsidP="00B41B8D">
            <w:r w:rsidRPr="00512111">
              <w:rPr>
                <w:lang w:val="en-US"/>
              </w:rPr>
              <w:t>A notification, issued by an auditor at a</w:t>
            </w:r>
            <w:r>
              <w:rPr>
                <w:lang w:val="en-US"/>
              </w:rPr>
              <w:t xml:space="preserve">n initial and/or pre-season </w:t>
            </w:r>
            <w:r w:rsidRPr="00512111">
              <w:rPr>
                <w:lang w:val="en-US"/>
              </w:rPr>
              <w:t xml:space="preserve">audit, advising the </w:t>
            </w:r>
            <w:r>
              <w:rPr>
                <w:lang w:val="en-US"/>
              </w:rPr>
              <w:t>property</w:t>
            </w:r>
            <w:r w:rsidRPr="00512111">
              <w:rPr>
                <w:lang w:val="en-US"/>
              </w:rPr>
              <w:t xml:space="preserve"> that they have not complied with the relevant performance standards</w:t>
            </w:r>
            <w:r>
              <w:rPr>
                <w:lang w:val="en-US"/>
              </w:rPr>
              <w:t>,</w:t>
            </w:r>
            <w:r w:rsidRPr="003E0AAD">
              <w:rPr>
                <w:lang w:val="en-US"/>
              </w:rPr>
              <w:t xml:space="preserve"> and therefore cannot be </w:t>
            </w:r>
            <w:r>
              <w:rPr>
                <w:lang w:val="en-US"/>
              </w:rPr>
              <w:t>accredited</w:t>
            </w:r>
            <w:r w:rsidRPr="003E0AAD">
              <w:rPr>
                <w:lang w:val="en-US"/>
              </w:rPr>
              <w:t xml:space="preserve"> until the findings have been addressed.</w:t>
            </w:r>
          </w:p>
        </w:tc>
      </w:tr>
      <w:tr w:rsidR="00562E8D" w14:paraId="47D32253" w14:textId="77777777" w:rsidTr="00B41B8D">
        <w:trPr>
          <w:cantSplit/>
        </w:trPr>
        <w:tc>
          <w:tcPr>
            <w:tcW w:w="2381" w:type="dxa"/>
            <w:tcBorders>
              <w:top w:val="single" w:sz="4" w:space="0" w:color="auto"/>
              <w:bottom w:val="single" w:sz="4" w:space="0" w:color="auto"/>
            </w:tcBorders>
          </w:tcPr>
          <w:p w14:paraId="6A0F4DF1" w14:textId="77777777" w:rsidR="00562E8D" w:rsidRPr="00512111" w:rsidRDefault="00562E8D" w:rsidP="00B41B8D">
            <w:r w:rsidRPr="00512111">
              <w:t>Announced audit</w:t>
            </w:r>
          </w:p>
        </w:tc>
        <w:tc>
          <w:tcPr>
            <w:tcW w:w="6746" w:type="dxa"/>
            <w:tcBorders>
              <w:top w:val="single" w:sz="4" w:space="0" w:color="auto"/>
              <w:bottom w:val="single" w:sz="4" w:space="0" w:color="auto"/>
            </w:tcBorders>
          </w:tcPr>
          <w:p w14:paraId="682E006C" w14:textId="77777777" w:rsidR="00562E8D" w:rsidRPr="00512111" w:rsidRDefault="00562E8D" w:rsidP="00B41B8D">
            <w:r w:rsidRPr="008A3D51">
              <w:t>An audit where the auditee is given advance noticed of the audit date and time.</w:t>
            </w:r>
            <w:r>
              <w:t xml:space="preserve"> </w:t>
            </w:r>
            <w:r w:rsidRPr="00512111">
              <w:t>An audit that is arranged in advance with the auditee.</w:t>
            </w:r>
          </w:p>
        </w:tc>
      </w:tr>
      <w:tr w:rsidR="00562E8D" w14:paraId="5281D54D" w14:textId="77777777" w:rsidTr="00B41B8D">
        <w:trPr>
          <w:cantSplit/>
        </w:trPr>
        <w:tc>
          <w:tcPr>
            <w:tcW w:w="2381" w:type="dxa"/>
            <w:tcBorders>
              <w:top w:val="single" w:sz="4" w:space="0" w:color="auto"/>
              <w:bottom w:val="single" w:sz="4" w:space="0" w:color="auto"/>
            </w:tcBorders>
          </w:tcPr>
          <w:p w14:paraId="09D8A3FF" w14:textId="77777777" w:rsidR="00562E8D" w:rsidRPr="00512111" w:rsidRDefault="00562E8D" w:rsidP="00B41B8D">
            <w:r w:rsidRPr="00512111">
              <w:t>Auditor</w:t>
            </w:r>
          </w:p>
        </w:tc>
        <w:tc>
          <w:tcPr>
            <w:tcW w:w="6746" w:type="dxa"/>
            <w:tcBorders>
              <w:top w:val="single" w:sz="4" w:space="0" w:color="auto"/>
              <w:bottom w:val="single" w:sz="4" w:space="0" w:color="auto"/>
            </w:tcBorders>
          </w:tcPr>
          <w:p w14:paraId="571818F2" w14:textId="77777777" w:rsidR="00562E8D" w:rsidRPr="00512111" w:rsidRDefault="00562E8D" w:rsidP="00B41B8D">
            <w:r w:rsidRPr="009C3B1F">
              <w:t>A</w:t>
            </w:r>
            <w:r>
              <w:t xml:space="preserve"> Department of Agriculture, Fisheries and Forestry officer</w:t>
            </w:r>
            <w:r w:rsidRPr="009C3B1F">
              <w:t xml:space="preserve"> </w:t>
            </w:r>
            <w:r w:rsidRPr="00512111">
              <w:t xml:space="preserve">whose functions and powers include conducting an audit under Part 1 of Chapter 9 of the </w:t>
            </w:r>
            <w:r w:rsidRPr="00512111">
              <w:rPr>
                <w:i/>
              </w:rPr>
              <w:t>Export Control Act 2020</w:t>
            </w:r>
            <w:r w:rsidRPr="00512111">
              <w:t>.</w:t>
            </w:r>
          </w:p>
        </w:tc>
      </w:tr>
      <w:tr w:rsidR="00562E8D" w14:paraId="422F6C0D" w14:textId="77777777" w:rsidTr="00B41B8D">
        <w:trPr>
          <w:cantSplit/>
        </w:trPr>
        <w:tc>
          <w:tcPr>
            <w:tcW w:w="2381" w:type="dxa"/>
            <w:tcBorders>
              <w:top w:val="single" w:sz="4" w:space="0" w:color="auto"/>
              <w:bottom w:val="single" w:sz="4" w:space="0" w:color="auto"/>
            </w:tcBorders>
          </w:tcPr>
          <w:p w14:paraId="59E0DF8F" w14:textId="77777777" w:rsidR="00562E8D" w:rsidRPr="00512111" w:rsidRDefault="00562E8D" w:rsidP="00B41B8D">
            <w:r w:rsidRPr="00512111">
              <w:t>Block</w:t>
            </w:r>
          </w:p>
        </w:tc>
        <w:tc>
          <w:tcPr>
            <w:tcW w:w="6746" w:type="dxa"/>
            <w:tcBorders>
              <w:top w:val="single" w:sz="4" w:space="0" w:color="auto"/>
              <w:bottom w:val="single" w:sz="4" w:space="0" w:color="auto"/>
            </w:tcBorders>
          </w:tcPr>
          <w:p w14:paraId="22ED6311" w14:textId="77777777" w:rsidR="00562E8D" w:rsidRPr="00512111" w:rsidRDefault="00562E8D" w:rsidP="00B41B8D">
            <w:r w:rsidRPr="00512111">
              <w:t>Any farm, grove, orchard, patch, pivot, vineyard or section of a farm, grove, orchard, patch, pivot or vineyard which can be defined by set boundaries.</w:t>
            </w:r>
          </w:p>
          <w:p w14:paraId="07FE4F28" w14:textId="77777777" w:rsidR="00562E8D" w:rsidRPr="00512111" w:rsidRDefault="00562E8D" w:rsidP="00B41B8D">
            <w:r w:rsidRPr="00512111">
              <w:rPr>
                <w:b/>
              </w:rPr>
              <w:t xml:space="preserve">Important: </w:t>
            </w:r>
            <w:r w:rsidRPr="00512111">
              <w:t>A block must be a contiguous unit and not be separated by structures such as a building, public road or body of water.</w:t>
            </w:r>
          </w:p>
        </w:tc>
      </w:tr>
      <w:tr w:rsidR="00562E8D" w14:paraId="7AF8A803" w14:textId="77777777" w:rsidTr="00B41B8D">
        <w:trPr>
          <w:cantSplit/>
        </w:trPr>
        <w:tc>
          <w:tcPr>
            <w:tcW w:w="2381" w:type="dxa"/>
            <w:tcBorders>
              <w:top w:val="single" w:sz="4" w:space="0" w:color="auto"/>
              <w:bottom w:val="single" w:sz="4" w:space="0" w:color="auto"/>
            </w:tcBorders>
          </w:tcPr>
          <w:p w14:paraId="3051033E" w14:textId="77777777" w:rsidR="00562E8D" w:rsidRPr="00512111" w:rsidRDefault="00562E8D" w:rsidP="00B41B8D">
            <w:r w:rsidRPr="00512111">
              <w:t>Bud burst</w:t>
            </w:r>
          </w:p>
        </w:tc>
        <w:tc>
          <w:tcPr>
            <w:tcW w:w="6746" w:type="dxa"/>
            <w:tcBorders>
              <w:top w:val="single" w:sz="4" w:space="0" w:color="auto"/>
              <w:bottom w:val="single" w:sz="4" w:space="0" w:color="auto"/>
            </w:tcBorders>
          </w:tcPr>
          <w:p w14:paraId="2EF6372B" w14:textId="77777777" w:rsidR="00562E8D" w:rsidRPr="00512111" w:rsidRDefault="00562E8D" w:rsidP="00B41B8D">
            <w:r w:rsidRPr="00512111">
              <w:t>The emergence of new vegetative growth or flowers on a plant at the beginning of each growing season.</w:t>
            </w:r>
          </w:p>
          <w:p w14:paraId="36AF37B3" w14:textId="3A126D57" w:rsidR="00562E8D" w:rsidRPr="00512111" w:rsidRDefault="00562E8D" w:rsidP="00B41B8D">
            <w:r w:rsidRPr="00512111">
              <w:rPr>
                <w:b/>
              </w:rPr>
              <w:t>Note:</w:t>
            </w:r>
            <w:r w:rsidRPr="00512111">
              <w:t xml:space="preserve"> Bud burst is considered to have occurred when 50</w:t>
            </w:r>
            <w:r w:rsidR="004259D2">
              <w:t xml:space="preserve">% </w:t>
            </w:r>
            <w:r w:rsidRPr="00512111">
              <w:t>of plants have 50</w:t>
            </w:r>
            <w:r w:rsidR="004259D2">
              <w:t>%</w:t>
            </w:r>
            <w:r w:rsidRPr="00512111">
              <w:t xml:space="preserve"> new growth or flowers of the earliest variety, where more than one variety is in a block.</w:t>
            </w:r>
          </w:p>
        </w:tc>
      </w:tr>
      <w:tr w:rsidR="00562E8D" w14:paraId="4AC09357" w14:textId="77777777" w:rsidTr="00B41B8D">
        <w:trPr>
          <w:cantSplit/>
        </w:trPr>
        <w:tc>
          <w:tcPr>
            <w:tcW w:w="2381" w:type="dxa"/>
            <w:tcBorders>
              <w:top w:val="single" w:sz="4" w:space="0" w:color="auto"/>
              <w:bottom w:val="single" w:sz="4" w:space="0" w:color="auto"/>
            </w:tcBorders>
          </w:tcPr>
          <w:p w14:paraId="30528110" w14:textId="77777777" w:rsidR="00562E8D" w:rsidRPr="00512111" w:rsidRDefault="00562E8D" w:rsidP="00B41B8D">
            <w:r>
              <w:t>Compliant</w:t>
            </w:r>
          </w:p>
        </w:tc>
        <w:tc>
          <w:tcPr>
            <w:tcW w:w="6746" w:type="dxa"/>
            <w:tcBorders>
              <w:top w:val="single" w:sz="4" w:space="0" w:color="auto"/>
              <w:bottom w:val="single" w:sz="4" w:space="0" w:color="auto"/>
            </w:tcBorders>
          </w:tcPr>
          <w:p w14:paraId="682E13F5" w14:textId="77777777" w:rsidR="00562E8D" w:rsidRPr="00512111" w:rsidRDefault="00562E8D" w:rsidP="00B41B8D">
            <w:r>
              <w:t>Meeting a requirement.</w:t>
            </w:r>
          </w:p>
        </w:tc>
      </w:tr>
      <w:tr w:rsidR="00562E8D" w14:paraId="4AFF4D3C" w14:textId="77777777" w:rsidTr="00B41B8D">
        <w:trPr>
          <w:cantSplit/>
        </w:trPr>
        <w:tc>
          <w:tcPr>
            <w:tcW w:w="2381" w:type="dxa"/>
            <w:tcBorders>
              <w:top w:val="single" w:sz="4" w:space="0" w:color="auto"/>
              <w:bottom w:val="single" w:sz="4" w:space="0" w:color="auto"/>
            </w:tcBorders>
          </w:tcPr>
          <w:p w14:paraId="58E15BAD" w14:textId="77777777" w:rsidR="00562E8D" w:rsidRPr="00512111" w:rsidRDefault="00562E8D" w:rsidP="00B41B8D">
            <w:r w:rsidRPr="00512111">
              <w:t>Compliant property</w:t>
            </w:r>
          </w:p>
        </w:tc>
        <w:tc>
          <w:tcPr>
            <w:tcW w:w="6746" w:type="dxa"/>
            <w:tcBorders>
              <w:top w:val="single" w:sz="4" w:space="0" w:color="auto"/>
              <w:bottom w:val="single" w:sz="4" w:space="0" w:color="auto"/>
            </w:tcBorders>
          </w:tcPr>
          <w:p w14:paraId="5886EB57" w14:textId="77777777" w:rsidR="00562E8D" w:rsidRPr="00512111" w:rsidRDefault="00562E8D" w:rsidP="00B41B8D">
            <w:r w:rsidRPr="00512111">
              <w:t>A block that was accredited for all applied commodities and countries for the entire</w:t>
            </w:r>
            <w:r>
              <w:t xml:space="preserve"> export</w:t>
            </w:r>
            <w:r w:rsidRPr="00512111">
              <w:t xml:space="preserve"> season.</w:t>
            </w:r>
          </w:p>
        </w:tc>
      </w:tr>
      <w:tr w:rsidR="00562E8D" w14:paraId="2CF27640" w14:textId="77777777" w:rsidTr="00B41B8D">
        <w:trPr>
          <w:cantSplit/>
        </w:trPr>
        <w:tc>
          <w:tcPr>
            <w:tcW w:w="2381" w:type="dxa"/>
            <w:tcBorders>
              <w:top w:val="single" w:sz="4" w:space="0" w:color="auto"/>
              <w:bottom w:val="single" w:sz="4" w:space="0" w:color="auto"/>
            </w:tcBorders>
          </w:tcPr>
          <w:p w14:paraId="3F42CE77" w14:textId="77777777" w:rsidR="00562E8D" w:rsidRPr="00512111" w:rsidRDefault="00562E8D" w:rsidP="00B41B8D">
            <w:r w:rsidRPr="00512111">
              <w:lastRenderedPageBreak/>
              <w:t>Critical non-compliance rating</w:t>
            </w:r>
          </w:p>
        </w:tc>
        <w:tc>
          <w:tcPr>
            <w:tcW w:w="6746" w:type="dxa"/>
            <w:tcBorders>
              <w:top w:val="single" w:sz="4" w:space="0" w:color="auto"/>
              <w:bottom w:val="single" w:sz="4" w:space="0" w:color="auto"/>
            </w:tcBorders>
          </w:tcPr>
          <w:p w14:paraId="00F772A4" w14:textId="77777777" w:rsidR="00562E8D" w:rsidRPr="00512111" w:rsidRDefault="00562E8D" w:rsidP="00B41B8D">
            <w:r w:rsidRPr="00512111">
              <w:t xml:space="preserve">When there is: </w:t>
            </w:r>
          </w:p>
          <w:p w14:paraId="2FF5B507" w14:textId="77777777" w:rsidR="00562E8D" w:rsidRPr="00512111" w:rsidRDefault="00562E8D" w:rsidP="00B41B8D">
            <w:pPr>
              <w:pStyle w:val="ListBullet"/>
              <w:numPr>
                <w:ilvl w:val="0"/>
                <w:numId w:val="47"/>
              </w:numPr>
              <w:spacing w:before="120"/>
            </w:pPr>
            <w:r w:rsidRPr="00512111">
              <w:t>action, inaction or contravention of department requirements that</w:t>
            </w:r>
          </w:p>
          <w:p w14:paraId="002E90E9" w14:textId="77777777" w:rsidR="00562E8D" w:rsidRPr="00512111" w:rsidRDefault="00562E8D" w:rsidP="00B41B8D">
            <w:pPr>
              <w:pStyle w:val="ListBullet"/>
              <w:numPr>
                <w:ilvl w:val="1"/>
                <w:numId w:val="47"/>
              </w:numPr>
              <w:spacing w:before="120"/>
              <w:ind w:left="740" w:hanging="425"/>
            </w:pPr>
            <w:r w:rsidRPr="00512111">
              <w:t xml:space="preserve">would be reasonably expected to result in the phytosanitary status of goods being compromised, or </w:t>
            </w:r>
          </w:p>
          <w:p w14:paraId="1579DE93" w14:textId="77777777" w:rsidR="00562E8D" w:rsidRPr="00512111" w:rsidRDefault="00562E8D" w:rsidP="00B41B8D">
            <w:pPr>
              <w:pStyle w:val="ListBullet"/>
              <w:numPr>
                <w:ilvl w:val="1"/>
                <w:numId w:val="47"/>
              </w:numPr>
              <w:spacing w:before="120"/>
              <w:ind w:left="740" w:hanging="425"/>
            </w:pPr>
            <w:r w:rsidRPr="00512111">
              <w:t xml:space="preserve">results in a breach of the </w:t>
            </w:r>
            <w:r w:rsidRPr="00512111">
              <w:rPr>
                <w:i/>
              </w:rPr>
              <w:t>Export Control Act</w:t>
            </w:r>
            <w:r w:rsidRPr="00512111">
              <w:t xml:space="preserve"> </w:t>
            </w:r>
            <w:r w:rsidRPr="00512111">
              <w:rPr>
                <w:i/>
              </w:rPr>
              <w:t>2020</w:t>
            </w:r>
            <w:r>
              <w:t xml:space="preserve"> or the Export Control (Plant and Plant Products) Rules 2021</w:t>
            </w:r>
            <w:r w:rsidRPr="00512111">
              <w:t>.</w:t>
            </w:r>
          </w:p>
          <w:p w14:paraId="7F5C77C4" w14:textId="77777777" w:rsidR="00562E8D" w:rsidRPr="00512111" w:rsidRDefault="00562E8D" w:rsidP="00B41B8D">
            <w:pPr>
              <w:pStyle w:val="ListBullet"/>
              <w:numPr>
                <w:ilvl w:val="0"/>
                <w:numId w:val="47"/>
              </w:numPr>
              <w:spacing w:before="120"/>
            </w:pPr>
            <w:r w:rsidRPr="00512111">
              <w:t>a deliberate failure to comply with legislative requirements</w:t>
            </w:r>
          </w:p>
          <w:p w14:paraId="196BA045" w14:textId="77777777" w:rsidR="00562E8D" w:rsidRPr="00512111" w:rsidRDefault="00562E8D" w:rsidP="00B41B8D">
            <w:pPr>
              <w:pStyle w:val="ListBullet"/>
              <w:numPr>
                <w:ilvl w:val="0"/>
                <w:numId w:val="47"/>
              </w:numPr>
              <w:spacing w:before="120"/>
            </w:pPr>
            <w:r w:rsidRPr="00512111">
              <w:t>a deliberate failure to follow a legal direction of an AO.</w:t>
            </w:r>
          </w:p>
          <w:p w14:paraId="50F04777" w14:textId="77777777" w:rsidR="00562E8D" w:rsidRPr="00512111" w:rsidRDefault="00562E8D" w:rsidP="00B41B8D">
            <w:r w:rsidRPr="00512111">
              <w:rPr>
                <w:b/>
              </w:rPr>
              <w:t>Note:</w:t>
            </w:r>
            <w:r w:rsidRPr="00512111">
              <w:t xml:space="preserve"> Critical non-compliances may lead to suspension, revocation, refusal of registration, or criminal prosecution.</w:t>
            </w:r>
          </w:p>
        </w:tc>
      </w:tr>
      <w:tr w:rsidR="00562E8D" w14:paraId="72E9B3C2" w14:textId="77777777" w:rsidTr="00B41B8D">
        <w:trPr>
          <w:cantSplit/>
        </w:trPr>
        <w:tc>
          <w:tcPr>
            <w:tcW w:w="2381" w:type="dxa"/>
            <w:tcBorders>
              <w:top w:val="single" w:sz="4" w:space="0" w:color="auto"/>
              <w:bottom w:val="single" w:sz="4" w:space="0" w:color="auto"/>
            </w:tcBorders>
          </w:tcPr>
          <w:p w14:paraId="6CAF3CCE" w14:textId="77777777" w:rsidR="00562E8D" w:rsidRPr="00512111" w:rsidRDefault="00562E8D" w:rsidP="00B41B8D">
            <w:r w:rsidRPr="00512111">
              <w:t>Crop monitor</w:t>
            </w:r>
          </w:p>
        </w:tc>
        <w:tc>
          <w:tcPr>
            <w:tcW w:w="6746" w:type="dxa"/>
            <w:tcBorders>
              <w:top w:val="single" w:sz="4" w:space="0" w:color="auto"/>
              <w:bottom w:val="single" w:sz="4" w:space="0" w:color="auto"/>
            </w:tcBorders>
          </w:tcPr>
          <w:p w14:paraId="19BC9696" w14:textId="77777777" w:rsidR="00562E8D" w:rsidRPr="00512111" w:rsidRDefault="00562E8D" w:rsidP="00B41B8D">
            <w:r w:rsidRPr="00512111">
              <w:t>A person who is approved by the department to undertake pest and disease monitoring during the growing season.</w:t>
            </w:r>
          </w:p>
        </w:tc>
      </w:tr>
      <w:tr w:rsidR="00562E8D" w14:paraId="5785AC46" w14:textId="77777777" w:rsidTr="00B41B8D">
        <w:trPr>
          <w:cantSplit/>
        </w:trPr>
        <w:tc>
          <w:tcPr>
            <w:tcW w:w="2381" w:type="dxa"/>
            <w:tcBorders>
              <w:top w:val="single" w:sz="4" w:space="0" w:color="auto"/>
              <w:bottom w:val="single" w:sz="4" w:space="0" w:color="auto"/>
            </w:tcBorders>
          </w:tcPr>
          <w:p w14:paraId="0AA20D52" w14:textId="77777777" w:rsidR="00562E8D" w:rsidRPr="00512111" w:rsidRDefault="00562E8D" w:rsidP="00B41B8D">
            <w:r w:rsidRPr="00512111">
              <w:t>Farm</w:t>
            </w:r>
          </w:p>
        </w:tc>
        <w:tc>
          <w:tcPr>
            <w:tcW w:w="6746" w:type="dxa"/>
            <w:tcBorders>
              <w:top w:val="single" w:sz="4" w:space="0" w:color="auto"/>
              <w:bottom w:val="single" w:sz="4" w:space="0" w:color="auto"/>
            </w:tcBorders>
          </w:tcPr>
          <w:p w14:paraId="05E5AF60" w14:textId="77777777" w:rsidR="00562E8D" w:rsidRPr="00512111" w:rsidRDefault="00562E8D" w:rsidP="00B41B8D">
            <w:r w:rsidRPr="00512111">
              <w:t>An area of land and its buildings used for growing crops.</w:t>
            </w:r>
          </w:p>
        </w:tc>
      </w:tr>
      <w:tr w:rsidR="00562E8D" w14:paraId="45E61244" w14:textId="77777777" w:rsidTr="00B41B8D">
        <w:trPr>
          <w:cantSplit/>
        </w:trPr>
        <w:tc>
          <w:tcPr>
            <w:tcW w:w="2381" w:type="dxa"/>
            <w:tcBorders>
              <w:top w:val="single" w:sz="4" w:space="0" w:color="auto"/>
              <w:bottom w:val="single" w:sz="4" w:space="0" w:color="auto"/>
            </w:tcBorders>
          </w:tcPr>
          <w:p w14:paraId="3E2ECE53" w14:textId="77777777" w:rsidR="00562E8D" w:rsidRPr="00512111" w:rsidRDefault="00562E8D" w:rsidP="00B41B8D">
            <w:r>
              <w:t xml:space="preserve"> Further action required</w:t>
            </w:r>
          </w:p>
        </w:tc>
        <w:tc>
          <w:tcPr>
            <w:tcW w:w="6746" w:type="dxa"/>
            <w:tcBorders>
              <w:top w:val="single" w:sz="4" w:space="0" w:color="auto"/>
              <w:bottom w:val="single" w:sz="4" w:space="0" w:color="auto"/>
            </w:tcBorders>
          </w:tcPr>
          <w:p w14:paraId="24AE1847" w14:textId="77777777" w:rsidR="00562E8D" w:rsidRPr="00512111" w:rsidRDefault="00562E8D" w:rsidP="00B41B8D">
            <w:r w:rsidRPr="003E0AAD">
              <w:t xml:space="preserve">Where a </w:t>
            </w:r>
            <w:r>
              <w:t>non-compliance notice</w:t>
            </w:r>
            <w:r w:rsidRPr="003E0AAD">
              <w:t xml:space="preserve"> has been </w:t>
            </w:r>
            <w:proofErr w:type="gramStart"/>
            <w:r w:rsidRPr="003E0AAD">
              <w:t>issued</w:t>
            </w:r>
            <w:proofErr w:type="gramEnd"/>
            <w:r w:rsidRPr="003E0AAD">
              <w:t xml:space="preserve"> </w:t>
            </w:r>
            <w:r>
              <w:t>and</w:t>
            </w:r>
            <w:r w:rsidRPr="003E0AAD">
              <w:t xml:space="preserve"> insufficient evidence has been provided to demonstrate </w:t>
            </w:r>
            <w:r>
              <w:t>compliance.</w:t>
            </w:r>
          </w:p>
        </w:tc>
      </w:tr>
      <w:tr w:rsidR="00562E8D" w14:paraId="4564F80F" w14:textId="77777777" w:rsidTr="00B41B8D">
        <w:trPr>
          <w:cantSplit/>
        </w:trPr>
        <w:tc>
          <w:tcPr>
            <w:tcW w:w="2381" w:type="dxa"/>
            <w:tcBorders>
              <w:top w:val="single" w:sz="4" w:space="0" w:color="auto"/>
              <w:bottom w:val="single" w:sz="4" w:space="0" w:color="auto"/>
            </w:tcBorders>
          </w:tcPr>
          <w:p w14:paraId="26579691" w14:textId="77777777" w:rsidR="00562E8D" w:rsidRPr="00512111" w:rsidRDefault="00562E8D" w:rsidP="00B41B8D">
            <w:r w:rsidRPr="00512111">
              <w:t>Growing season (excluding citrus)</w:t>
            </w:r>
          </w:p>
        </w:tc>
        <w:tc>
          <w:tcPr>
            <w:tcW w:w="6746" w:type="dxa"/>
            <w:tcBorders>
              <w:top w:val="single" w:sz="4" w:space="0" w:color="auto"/>
              <w:bottom w:val="single" w:sz="4" w:space="0" w:color="auto"/>
            </w:tcBorders>
          </w:tcPr>
          <w:p w14:paraId="093806AE" w14:textId="01F30AF2" w:rsidR="00562E8D" w:rsidRPr="00512111" w:rsidRDefault="00562E8D" w:rsidP="00B41B8D">
            <w:r w:rsidRPr="00512111">
              <w:t xml:space="preserve">The </w:t>
            </w:r>
            <w:r w:rsidR="004259D2" w:rsidRPr="00512111">
              <w:t>period</w:t>
            </w:r>
            <w:r w:rsidRPr="00512111">
              <w:t xml:space="preserve"> from bud burst until the completion of harvest.</w:t>
            </w:r>
          </w:p>
        </w:tc>
      </w:tr>
      <w:tr w:rsidR="00562E8D" w14:paraId="11C99C2A" w14:textId="77777777" w:rsidTr="00B41B8D">
        <w:trPr>
          <w:cantSplit/>
        </w:trPr>
        <w:tc>
          <w:tcPr>
            <w:tcW w:w="2381" w:type="dxa"/>
            <w:tcBorders>
              <w:top w:val="single" w:sz="4" w:space="0" w:color="auto"/>
              <w:bottom w:val="single" w:sz="4" w:space="0" w:color="auto"/>
            </w:tcBorders>
          </w:tcPr>
          <w:p w14:paraId="4D8D2FCA" w14:textId="77777777" w:rsidR="00562E8D" w:rsidRPr="00512111" w:rsidRDefault="00562E8D" w:rsidP="00B41B8D">
            <w:r w:rsidRPr="00512111">
              <w:t>Growing season (citrus)</w:t>
            </w:r>
          </w:p>
        </w:tc>
        <w:tc>
          <w:tcPr>
            <w:tcW w:w="6746" w:type="dxa"/>
            <w:tcBorders>
              <w:top w:val="single" w:sz="4" w:space="0" w:color="auto"/>
              <w:bottom w:val="single" w:sz="4" w:space="0" w:color="auto"/>
            </w:tcBorders>
          </w:tcPr>
          <w:p w14:paraId="3C6F3824" w14:textId="245BDF1F" w:rsidR="00562E8D" w:rsidRPr="00512111" w:rsidRDefault="00562E8D" w:rsidP="00B41B8D">
            <w:r w:rsidRPr="00512111">
              <w:t xml:space="preserve">The </w:t>
            </w:r>
            <w:r w:rsidR="004259D2" w:rsidRPr="00512111">
              <w:t>period</w:t>
            </w:r>
            <w:r w:rsidRPr="00512111">
              <w:t xml:space="preserve"> from December to the completion of harvest.</w:t>
            </w:r>
          </w:p>
        </w:tc>
      </w:tr>
      <w:tr w:rsidR="00562E8D" w14:paraId="58CAD5D9" w14:textId="77777777" w:rsidTr="00B41B8D">
        <w:trPr>
          <w:cantSplit/>
        </w:trPr>
        <w:tc>
          <w:tcPr>
            <w:tcW w:w="2381" w:type="dxa"/>
            <w:tcBorders>
              <w:top w:val="single" w:sz="4" w:space="0" w:color="auto"/>
              <w:bottom w:val="single" w:sz="4" w:space="0" w:color="auto"/>
            </w:tcBorders>
          </w:tcPr>
          <w:p w14:paraId="7E78BDFD" w14:textId="77777777" w:rsidR="00562E8D" w:rsidRPr="00512111" w:rsidRDefault="00562E8D" w:rsidP="00B41B8D">
            <w:r w:rsidRPr="00512111">
              <w:t>Major non-compliance rating</w:t>
            </w:r>
          </w:p>
        </w:tc>
        <w:tc>
          <w:tcPr>
            <w:tcW w:w="6746" w:type="dxa"/>
            <w:tcBorders>
              <w:top w:val="single" w:sz="4" w:space="0" w:color="auto"/>
              <w:bottom w:val="single" w:sz="4" w:space="0" w:color="auto"/>
            </w:tcBorders>
          </w:tcPr>
          <w:p w14:paraId="791D7EBB" w14:textId="77777777" w:rsidR="00562E8D" w:rsidRPr="00512111" w:rsidRDefault="00562E8D" w:rsidP="00B41B8D">
            <w:pPr>
              <w:rPr>
                <w:rFonts w:asciiTheme="minorHAnsi" w:hAnsiTheme="minorHAnsi" w:cstheme="minorHAnsi"/>
              </w:rPr>
            </w:pPr>
            <w:r w:rsidRPr="00512111">
              <w:rPr>
                <w:rFonts w:asciiTheme="minorHAnsi" w:hAnsiTheme="minorHAnsi" w:cstheme="minorHAnsi"/>
              </w:rPr>
              <w:t xml:space="preserve">When there is action, inaction or contravention of departmental requirements that: </w:t>
            </w:r>
          </w:p>
          <w:p w14:paraId="7B93B475" w14:textId="77777777" w:rsidR="00562E8D" w:rsidRPr="00512111" w:rsidRDefault="00562E8D" w:rsidP="00B41B8D">
            <w:pPr>
              <w:pStyle w:val="ListBullet"/>
              <w:spacing w:before="120"/>
            </w:pPr>
            <w:r w:rsidRPr="00512111">
              <w:t>results in a situation that may lead to the phytosanitary status of prescribed goods to be compromised</w:t>
            </w:r>
          </w:p>
          <w:p w14:paraId="6C7ED554" w14:textId="77777777" w:rsidR="00562E8D" w:rsidRPr="00512111" w:rsidRDefault="00562E8D" w:rsidP="00B41B8D">
            <w:r w:rsidRPr="00512111">
              <w:t xml:space="preserve">may lead to </w:t>
            </w:r>
            <w:r>
              <w:t xml:space="preserve">the </w:t>
            </w:r>
            <w:r w:rsidRPr="00512111">
              <w:t>export of prescribed goods that are not export compliant.</w:t>
            </w:r>
          </w:p>
        </w:tc>
      </w:tr>
      <w:tr w:rsidR="00562E8D" w14:paraId="2A096114" w14:textId="77777777" w:rsidTr="00B41B8D">
        <w:trPr>
          <w:cantSplit/>
        </w:trPr>
        <w:tc>
          <w:tcPr>
            <w:tcW w:w="2381" w:type="dxa"/>
            <w:tcBorders>
              <w:top w:val="single" w:sz="4" w:space="0" w:color="auto"/>
              <w:bottom w:val="single" w:sz="4" w:space="0" w:color="auto"/>
            </w:tcBorders>
          </w:tcPr>
          <w:p w14:paraId="787ADA0B" w14:textId="77777777" w:rsidR="00562E8D" w:rsidRPr="00512111" w:rsidRDefault="00562E8D" w:rsidP="00B41B8D">
            <w:r w:rsidRPr="00512111">
              <w:t>Manager (of a property)</w:t>
            </w:r>
          </w:p>
        </w:tc>
        <w:tc>
          <w:tcPr>
            <w:tcW w:w="6746" w:type="dxa"/>
            <w:tcBorders>
              <w:top w:val="single" w:sz="4" w:space="0" w:color="auto"/>
              <w:bottom w:val="single" w:sz="4" w:space="0" w:color="auto"/>
            </w:tcBorders>
          </w:tcPr>
          <w:p w14:paraId="1C0BCDA3" w14:textId="77777777" w:rsidR="00562E8D" w:rsidRPr="00512111" w:rsidRDefault="00562E8D" w:rsidP="00B41B8D">
            <w:pPr>
              <w:rPr>
                <w:rFonts w:cs="Calibri"/>
              </w:rPr>
            </w:pPr>
            <w:r w:rsidRPr="00512111">
              <w:rPr>
                <w:rFonts w:cs="Calibri"/>
              </w:rPr>
              <w:t>The person who is responsible for the day</w:t>
            </w:r>
            <w:r w:rsidRPr="00512111">
              <w:rPr>
                <w:rFonts w:cs="Calibri"/>
              </w:rPr>
              <w:noBreakHyphen/>
              <w:t>to</w:t>
            </w:r>
            <w:r w:rsidRPr="00512111">
              <w:rPr>
                <w:rFonts w:cs="Calibri"/>
              </w:rPr>
              <w:noBreakHyphen/>
              <w:t xml:space="preserve">day management of the property, and is taken to be the person who applies, and assumes legal responsibility, for the accredited property under the </w:t>
            </w:r>
            <w:r w:rsidRPr="00512111">
              <w:rPr>
                <w:rFonts w:cs="Calibri"/>
                <w:i/>
              </w:rPr>
              <w:t>Export Control Act 2020</w:t>
            </w:r>
            <w:r w:rsidRPr="00512111">
              <w:rPr>
                <w:rFonts w:cs="Calibri"/>
              </w:rPr>
              <w:t>.</w:t>
            </w:r>
          </w:p>
          <w:p w14:paraId="0BDCA096" w14:textId="77777777" w:rsidR="00562E8D" w:rsidRPr="00512111" w:rsidRDefault="00562E8D" w:rsidP="00B41B8D">
            <w:pPr>
              <w:pStyle w:val="ListBullet"/>
            </w:pPr>
            <w:r w:rsidRPr="00512111">
              <w:rPr>
                <w:rFonts w:cs="Calibri"/>
                <w:b/>
                <w:bCs/>
              </w:rPr>
              <w:t>Note:</w:t>
            </w:r>
            <w:r w:rsidRPr="00512111">
              <w:rPr>
                <w:rFonts w:cs="Calibri"/>
              </w:rPr>
              <w:t xml:space="preserve"> A trust may not be the manager of a property.</w:t>
            </w:r>
          </w:p>
        </w:tc>
      </w:tr>
      <w:tr w:rsidR="00562E8D" w14:paraId="19B16527" w14:textId="77777777" w:rsidTr="00B41B8D">
        <w:trPr>
          <w:cantSplit/>
        </w:trPr>
        <w:tc>
          <w:tcPr>
            <w:tcW w:w="2381" w:type="dxa"/>
            <w:tcBorders>
              <w:top w:val="single" w:sz="4" w:space="0" w:color="auto"/>
              <w:bottom w:val="single" w:sz="4" w:space="0" w:color="auto"/>
            </w:tcBorders>
          </w:tcPr>
          <w:p w14:paraId="44DDF3CA" w14:textId="77777777" w:rsidR="00562E8D" w:rsidRPr="00512111" w:rsidRDefault="00562E8D" w:rsidP="00B41B8D">
            <w:r w:rsidRPr="00512111">
              <w:t>Minor non-compliance rating</w:t>
            </w:r>
          </w:p>
        </w:tc>
        <w:tc>
          <w:tcPr>
            <w:tcW w:w="6746" w:type="dxa"/>
            <w:tcBorders>
              <w:top w:val="single" w:sz="4" w:space="0" w:color="auto"/>
              <w:bottom w:val="single" w:sz="4" w:space="0" w:color="auto"/>
            </w:tcBorders>
          </w:tcPr>
          <w:p w14:paraId="11DE56B7" w14:textId="77777777" w:rsidR="00562E8D" w:rsidRPr="00512111" w:rsidRDefault="00562E8D" w:rsidP="00B41B8D">
            <w:r w:rsidRPr="00512111">
              <w:rPr>
                <w:lang w:val="en-US"/>
              </w:rPr>
              <w:t xml:space="preserve">When there is </w:t>
            </w:r>
            <w:r w:rsidRPr="00512111">
              <w:t>action, inaction or contravention of departmental requirements that results in a situation that may compromise the integrity of systems, processes or premises that are designed to maintain phytosanitary status of prescribed goods.</w:t>
            </w:r>
          </w:p>
        </w:tc>
      </w:tr>
      <w:tr w:rsidR="00562E8D" w14:paraId="11988CDB" w14:textId="77777777" w:rsidTr="00B41B8D">
        <w:trPr>
          <w:cantSplit/>
        </w:trPr>
        <w:tc>
          <w:tcPr>
            <w:tcW w:w="2381" w:type="dxa"/>
            <w:tcBorders>
              <w:top w:val="single" w:sz="4" w:space="0" w:color="auto"/>
              <w:bottom w:val="single" w:sz="4" w:space="0" w:color="auto"/>
            </w:tcBorders>
          </w:tcPr>
          <w:p w14:paraId="45824543" w14:textId="77777777" w:rsidR="00562E8D" w:rsidRPr="00512111" w:rsidRDefault="00562E8D" w:rsidP="00B41B8D">
            <w:r w:rsidRPr="00512111">
              <w:t>New horticulture export property</w:t>
            </w:r>
          </w:p>
        </w:tc>
        <w:tc>
          <w:tcPr>
            <w:tcW w:w="6746" w:type="dxa"/>
            <w:tcBorders>
              <w:top w:val="single" w:sz="4" w:space="0" w:color="auto"/>
              <w:bottom w:val="single" w:sz="4" w:space="0" w:color="auto"/>
            </w:tcBorders>
          </w:tcPr>
          <w:p w14:paraId="31A7E8BE" w14:textId="77777777" w:rsidR="00562E8D" w:rsidRPr="00512111" w:rsidRDefault="00562E8D" w:rsidP="00B41B8D">
            <w:pPr>
              <w:rPr>
                <w:rFonts w:cs="Calibri"/>
              </w:rPr>
            </w:pPr>
            <w:r w:rsidRPr="00512111">
              <w:t xml:space="preserve">Farm and/or packhouse located at an address that was </w:t>
            </w:r>
            <w:r w:rsidRPr="00512111">
              <w:rPr>
                <w:b/>
              </w:rPr>
              <w:t>not accredited</w:t>
            </w:r>
            <w:r w:rsidRPr="00512111">
              <w:t xml:space="preserve"> in the previous year.</w:t>
            </w:r>
          </w:p>
        </w:tc>
      </w:tr>
      <w:tr w:rsidR="00562E8D" w14:paraId="7E8D53FF" w14:textId="77777777" w:rsidTr="00B41B8D">
        <w:trPr>
          <w:cantSplit/>
        </w:trPr>
        <w:tc>
          <w:tcPr>
            <w:tcW w:w="2381" w:type="dxa"/>
            <w:tcBorders>
              <w:top w:val="single" w:sz="4" w:space="0" w:color="auto"/>
              <w:bottom w:val="single" w:sz="4" w:space="0" w:color="auto"/>
            </w:tcBorders>
          </w:tcPr>
          <w:p w14:paraId="24605A25" w14:textId="77777777" w:rsidR="00562E8D" w:rsidRPr="00512111" w:rsidRDefault="00562E8D" w:rsidP="00B41B8D">
            <w:r>
              <w:rPr>
                <w:lang w:val="en-US"/>
              </w:rPr>
              <w:t xml:space="preserve"> No further action required</w:t>
            </w:r>
          </w:p>
        </w:tc>
        <w:tc>
          <w:tcPr>
            <w:tcW w:w="6746" w:type="dxa"/>
            <w:tcBorders>
              <w:top w:val="single" w:sz="4" w:space="0" w:color="auto"/>
              <w:bottom w:val="single" w:sz="4" w:space="0" w:color="auto"/>
            </w:tcBorders>
          </w:tcPr>
          <w:p w14:paraId="1F6EF3D7" w14:textId="77777777" w:rsidR="00562E8D" w:rsidRPr="00512111" w:rsidRDefault="00562E8D" w:rsidP="00B41B8D">
            <w:pPr>
              <w:rPr>
                <w:rFonts w:cs="Calibri"/>
              </w:rPr>
            </w:pPr>
            <w:r w:rsidRPr="003E0AAD">
              <w:rPr>
                <w:lang w:val="en-US"/>
              </w:rPr>
              <w:t xml:space="preserve">When evidence has been provided to the department demonstrating that a </w:t>
            </w:r>
            <w:r>
              <w:t>non-compliance notice</w:t>
            </w:r>
            <w:r w:rsidRPr="003E0AAD">
              <w:rPr>
                <w:lang w:val="en-US"/>
              </w:rPr>
              <w:t xml:space="preserve"> has been satisfactorily addressed, </w:t>
            </w:r>
          </w:p>
        </w:tc>
      </w:tr>
      <w:tr w:rsidR="00562E8D" w14:paraId="0A365AF3" w14:textId="77777777" w:rsidTr="00B41B8D">
        <w:trPr>
          <w:cantSplit/>
        </w:trPr>
        <w:tc>
          <w:tcPr>
            <w:tcW w:w="2381" w:type="dxa"/>
            <w:tcBorders>
              <w:top w:val="single" w:sz="4" w:space="0" w:color="auto"/>
              <w:bottom w:val="single" w:sz="4" w:space="0" w:color="auto"/>
            </w:tcBorders>
          </w:tcPr>
          <w:p w14:paraId="0EDC5620" w14:textId="77777777" w:rsidR="00562E8D" w:rsidRPr="00512111" w:rsidRDefault="00562E8D" w:rsidP="00B41B8D">
            <w:r>
              <w:t>Non-compliant</w:t>
            </w:r>
          </w:p>
        </w:tc>
        <w:tc>
          <w:tcPr>
            <w:tcW w:w="6746" w:type="dxa"/>
            <w:tcBorders>
              <w:top w:val="single" w:sz="4" w:space="0" w:color="auto"/>
              <w:bottom w:val="single" w:sz="4" w:space="0" w:color="auto"/>
            </w:tcBorders>
          </w:tcPr>
          <w:p w14:paraId="35E0C019" w14:textId="77777777" w:rsidR="00562E8D" w:rsidRPr="00512111" w:rsidRDefault="00562E8D" w:rsidP="00B41B8D">
            <w:r>
              <w:t>Not meeting a requirement</w:t>
            </w:r>
          </w:p>
        </w:tc>
      </w:tr>
      <w:tr w:rsidR="00562E8D" w14:paraId="3245CDAF" w14:textId="77777777" w:rsidTr="00B41B8D">
        <w:trPr>
          <w:cantSplit/>
        </w:trPr>
        <w:tc>
          <w:tcPr>
            <w:tcW w:w="2381" w:type="dxa"/>
            <w:tcBorders>
              <w:top w:val="single" w:sz="4" w:space="0" w:color="auto"/>
              <w:bottom w:val="single" w:sz="4" w:space="0" w:color="auto"/>
            </w:tcBorders>
          </w:tcPr>
          <w:p w14:paraId="624BC3EA" w14:textId="77777777" w:rsidR="00562E8D" w:rsidRPr="00512111" w:rsidRDefault="00562E8D" w:rsidP="00B41B8D">
            <w:r>
              <w:lastRenderedPageBreak/>
              <w:t>Non-compliance notice</w:t>
            </w:r>
          </w:p>
        </w:tc>
        <w:tc>
          <w:tcPr>
            <w:tcW w:w="6746" w:type="dxa"/>
            <w:tcBorders>
              <w:top w:val="single" w:sz="4" w:space="0" w:color="auto"/>
              <w:bottom w:val="single" w:sz="4" w:space="0" w:color="auto"/>
            </w:tcBorders>
          </w:tcPr>
          <w:p w14:paraId="0FA7C539" w14:textId="77777777" w:rsidR="00562E8D" w:rsidRPr="00512111" w:rsidRDefault="00562E8D" w:rsidP="00B41B8D">
            <w:r w:rsidRPr="00512111">
              <w:t>A formal notice from the department requesting the cause of non-compliance with requirements to be eliminated, with the objective of preventing reoccurrence.</w:t>
            </w:r>
          </w:p>
        </w:tc>
      </w:tr>
      <w:tr w:rsidR="00562E8D" w14:paraId="43D6C507" w14:textId="77777777" w:rsidTr="00B41B8D">
        <w:trPr>
          <w:cantSplit/>
        </w:trPr>
        <w:tc>
          <w:tcPr>
            <w:tcW w:w="2381" w:type="dxa"/>
            <w:tcBorders>
              <w:top w:val="single" w:sz="4" w:space="0" w:color="auto"/>
              <w:bottom w:val="single" w:sz="4" w:space="0" w:color="auto"/>
            </w:tcBorders>
          </w:tcPr>
          <w:p w14:paraId="3AF09255" w14:textId="77777777" w:rsidR="00562E8D" w:rsidRDefault="00562E8D" w:rsidP="00B41B8D">
            <w:r w:rsidRPr="00512111">
              <w:t>Non-compliant properties</w:t>
            </w:r>
          </w:p>
        </w:tc>
        <w:tc>
          <w:tcPr>
            <w:tcW w:w="6746" w:type="dxa"/>
            <w:tcBorders>
              <w:top w:val="single" w:sz="4" w:space="0" w:color="auto"/>
              <w:bottom w:val="single" w:sz="4" w:space="0" w:color="auto"/>
            </w:tcBorders>
          </w:tcPr>
          <w:p w14:paraId="3A2AA5F7" w14:textId="77777777" w:rsidR="00562E8D" w:rsidRPr="00512111" w:rsidRDefault="00562E8D" w:rsidP="00B41B8D">
            <w:r w:rsidRPr="00512111">
              <w:t>A block that was not accredited for a commodity or country due to:</w:t>
            </w:r>
          </w:p>
          <w:p w14:paraId="112DBB77" w14:textId="77777777" w:rsidR="00562E8D" w:rsidRPr="00512111" w:rsidRDefault="00562E8D" w:rsidP="00B41B8D">
            <w:pPr>
              <w:pStyle w:val="ListBullet"/>
              <w:rPr>
                <w:rFonts w:eastAsiaTheme="minorHAnsi"/>
              </w:rPr>
            </w:pPr>
            <w:r w:rsidRPr="00512111">
              <w:rPr>
                <w:rFonts w:eastAsiaTheme="minorHAnsi"/>
              </w:rPr>
              <w:t xml:space="preserve">failed pre-season audit </w:t>
            </w:r>
          </w:p>
          <w:p w14:paraId="227D89B1" w14:textId="77777777" w:rsidR="00562E8D" w:rsidRPr="00512111" w:rsidRDefault="00562E8D" w:rsidP="00B41B8D">
            <w:pPr>
              <w:pStyle w:val="ListBullet"/>
              <w:rPr>
                <w:rFonts w:eastAsiaTheme="minorHAnsi"/>
              </w:rPr>
            </w:pPr>
            <w:r w:rsidRPr="00512111">
              <w:rPr>
                <w:rFonts w:eastAsiaTheme="minorHAnsi"/>
              </w:rPr>
              <w:t xml:space="preserve">failed in-season audit </w:t>
            </w:r>
          </w:p>
          <w:p w14:paraId="45180D63" w14:textId="77777777" w:rsidR="00562E8D" w:rsidRPr="00512111" w:rsidRDefault="00562E8D" w:rsidP="00B41B8D">
            <w:pPr>
              <w:pStyle w:val="ListBullet"/>
              <w:rPr>
                <w:rFonts w:eastAsiaTheme="minorHAnsi"/>
              </w:rPr>
            </w:pPr>
            <w:r w:rsidRPr="00512111">
              <w:rPr>
                <w:rFonts w:eastAsiaTheme="minorHAnsi"/>
              </w:rPr>
              <w:t>withdrawn application at audit or after applications close</w:t>
            </w:r>
          </w:p>
          <w:p w14:paraId="46C670BF" w14:textId="77777777" w:rsidR="00562E8D" w:rsidRPr="00512111" w:rsidRDefault="00562E8D" w:rsidP="00B41B8D">
            <w:pPr>
              <w:pStyle w:val="ListBullet"/>
              <w:rPr>
                <w:rFonts w:eastAsiaTheme="minorHAnsi"/>
              </w:rPr>
            </w:pPr>
            <w:r w:rsidRPr="00512111">
              <w:rPr>
                <w:rFonts w:eastAsiaTheme="minorHAnsi"/>
              </w:rPr>
              <w:t>evidence of non-compliance during export/import inspections</w:t>
            </w:r>
          </w:p>
          <w:p w14:paraId="45E02ACD" w14:textId="77777777" w:rsidR="00562E8D" w:rsidRDefault="00562E8D" w:rsidP="00023E69">
            <w:pPr>
              <w:pStyle w:val="ListBullet"/>
            </w:pPr>
            <w:r w:rsidRPr="00512111">
              <w:rPr>
                <w:rFonts w:eastAsiaTheme="minorHAnsi"/>
              </w:rPr>
              <w:t xml:space="preserve">multiple non-compliances referred to </w:t>
            </w:r>
            <w:r>
              <w:rPr>
                <w:rFonts w:eastAsiaTheme="minorHAnsi"/>
              </w:rPr>
              <w:t xml:space="preserve">AAB delegate </w:t>
            </w:r>
            <w:r w:rsidRPr="00512111">
              <w:rPr>
                <w:rFonts w:eastAsiaTheme="minorHAnsi"/>
              </w:rPr>
              <w:t>at audit which may result in an increased audit frequency.</w:t>
            </w:r>
          </w:p>
        </w:tc>
      </w:tr>
      <w:tr w:rsidR="00562E8D" w14:paraId="5BF834BC" w14:textId="77777777" w:rsidTr="00B41B8D">
        <w:trPr>
          <w:cantSplit/>
        </w:trPr>
        <w:tc>
          <w:tcPr>
            <w:tcW w:w="2381" w:type="dxa"/>
            <w:tcBorders>
              <w:top w:val="single" w:sz="4" w:space="0" w:color="auto"/>
              <w:bottom w:val="single" w:sz="4" w:space="0" w:color="auto"/>
            </w:tcBorders>
          </w:tcPr>
          <w:p w14:paraId="21516D1E" w14:textId="77777777" w:rsidR="00562E8D" w:rsidRPr="00512111" w:rsidRDefault="00562E8D" w:rsidP="00B41B8D">
            <w:r w:rsidRPr="00512111">
              <w:t>Packhouse</w:t>
            </w:r>
          </w:p>
        </w:tc>
        <w:tc>
          <w:tcPr>
            <w:tcW w:w="6746" w:type="dxa"/>
            <w:tcBorders>
              <w:top w:val="single" w:sz="4" w:space="0" w:color="auto"/>
              <w:bottom w:val="single" w:sz="4" w:space="0" w:color="auto"/>
            </w:tcBorders>
          </w:tcPr>
          <w:p w14:paraId="4BD3EDFE" w14:textId="77777777" w:rsidR="00562E8D" w:rsidRPr="00512111" w:rsidRDefault="00562E8D" w:rsidP="00B41B8D">
            <w:r w:rsidRPr="00512111">
              <w:t xml:space="preserve">A premises where horticulture produce is </w:t>
            </w:r>
            <w:r>
              <w:t xml:space="preserve">processed and </w:t>
            </w:r>
            <w:r w:rsidRPr="00512111">
              <w:t>packed for export.</w:t>
            </w:r>
          </w:p>
          <w:p w14:paraId="1C5DF7CD" w14:textId="77777777" w:rsidR="00562E8D" w:rsidRPr="00512111" w:rsidRDefault="00562E8D" w:rsidP="00B41B8D">
            <w:r w:rsidRPr="00512111">
              <w:rPr>
                <w:b/>
              </w:rPr>
              <w:t xml:space="preserve">Note: </w:t>
            </w:r>
            <w:r w:rsidRPr="00512111">
              <w:t>This is also known as a ‘packing house’.</w:t>
            </w:r>
          </w:p>
        </w:tc>
      </w:tr>
      <w:tr w:rsidR="00562E8D" w14:paraId="5D967BA7" w14:textId="77777777" w:rsidTr="00B41B8D">
        <w:trPr>
          <w:cantSplit/>
        </w:trPr>
        <w:tc>
          <w:tcPr>
            <w:tcW w:w="2381" w:type="dxa"/>
            <w:tcBorders>
              <w:top w:val="single" w:sz="4" w:space="0" w:color="auto"/>
              <w:bottom w:val="single" w:sz="4" w:space="0" w:color="auto"/>
            </w:tcBorders>
          </w:tcPr>
          <w:p w14:paraId="5C0BF227" w14:textId="77777777" w:rsidR="00562E8D" w:rsidRPr="00512111" w:rsidRDefault="00562E8D" w:rsidP="00B41B8D">
            <w:r w:rsidRPr="00512111">
              <w:t>Performance standards</w:t>
            </w:r>
          </w:p>
        </w:tc>
        <w:tc>
          <w:tcPr>
            <w:tcW w:w="6746" w:type="dxa"/>
            <w:tcBorders>
              <w:top w:val="single" w:sz="4" w:space="0" w:color="auto"/>
              <w:bottom w:val="single" w:sz="4" w:space="0" w:color="auto"/>
            </w:tcBorders>
          </w:tcPr>
          <w:p w14:paraId="5155A48C" w14:textId="77777777" w:rsidR="00562E8D" w:rsidRPr="00512111" w:rsidRDefault="00562E8D" w:rsidP="00B41B8D">
            <w:r w:rsidRPr="00512111">
              <w:rPr>
                <w:rFonts w:cs="Helvetica"/>
                <w:lang w:val="en"/>
              </w:rPr>
              <w:t>A benchmark derived from legislation and departmental requirements against which actual performance of third parties is measured.</w:t>
            </w:r>
          </w:p>
        </w:tc>
      </w:tr>
      <w:tr w:rsidR="00562E8D" w14:paraId="1DDD628C" w14:textId="77777777" w:rsidTr="00B41B8D">
        <w:trPr>
          <w:cantSplit/>
        </w:trPr>
        <w:tc>
          <w:tcPr>
            <w:tcW w:w="2381" w:type="dxa"/>
            <w:tcBorders>
              <w:top w:val="single" w:sz="4" w:space="0" w:color="auto"/>
              <w:bottom w:val="single" w:sz="4" w:space="0" w:color="auto"/>
            </w:tcBorders>
          </w:tcPr>
          <w:p w14:paraId="7112ABFA" w14:textId="77777777" w:rsidR="00562E8D" w:rsidRPr="00512111" w:rsidRDefault="00562E8D" w:rsidP="00B41B8D">
            <w:r w:rsidRPr="00512111">
              <w:t>Plant Export Operations Manual (PEOM)</w:t>
            </w:r>
          </w:p>
        </w:tc>
        <w:tc>
          <w:tcPr>
            <w:tcW w:w="6746" w:type="dxa"/>
            <w:tcBorders>
              <w:top w:val="single" w:sz="4" w:space="0" w:color="auto"/>
              <w:bottom w:val="single" w:sz="4" w:space="0" w:color="auto"/>
            </w:tcBorders>
          </w:tcPr>
          <w:p w14:paraId="745C8EC0" w14:textId="77777777" w:rsidR="00562E8D" w:rsidRPr="00512111" w:rsidRDefault="00562E8D" w:rsidP="00B41B8D">
            <w:r w:rsidRPr="00512111">
              <w:t>A webpage maintained by the department that outlines the policy and processes for exporting plants and plant products from Australia. It also lists instructional material, forms and user guides related to the export certification process.</w:t>
            </w:r>
          </w:p>
        </w:tc>
      </w:tr>
      <w:tr w:rsidR="00562E8D" w14:paraId="3521E5A7" w14:textId="77777777" w:rsidTr="00B41B8D">
        <w:trPr>
          <w:cantSplit/>
        </w:trPr>
        <w:tc>
          <w:tcPr>
            <w:tcW w:w="2381" w:type="dxa"/>
            <w:tcBorders>
              <w:top w:val="single" w:sz="4" w:space="0" w:color="auto"/>
              <w:bottom w:val="single" w:sz="4" w:space="0" w:color="auto"/>
            </w:tcBorders>
          </w:tcPr>
          <w:p w14:paraId="511A6602" w14:textId="77777777" w:rsidR="00562E8D" w:rsidRPr="00512111" w:rsidRDefault="00562E8D" w:rsidP="00B41B8D">
            <w:r w:rsidRPr="00512111">
              <w:t>Previously accredited horticulture accredited property</w:t>
            </w:r>
          </w:p>
        </w:tc>
        <w:tc>
          <w:tcPr>
            <w:tcW w:w="6746" w:type="dxa"/>
            <w:tcBorders>
              <w:top w:val="single" w:sz="4" w:space="0" w:color="auto"/>
              <w:bottom w:val="single" w:sz="4" w:space="0" w:color="auto"/>
            </w:tcBorders>
          </w:tcPr>
          <w:p w14:paraId="7CC829B3" w14:textId="77777777" w:rsidR="00562E8D" w:rsidRPr="00512111" w:rsidRDefault="00562E8D" w:rsidP="00B41B8D">
            <w:pPr>
              <w:spacing w:before="0" w:after="160" w:line="259" w:lineRule="auto"/>
              <w:rPr>
                <w:rFonts w:asciiTheme="minorHAnsi" w:eastAsiaTheme="minorHAnsi" w:hAnsiTheme="minorHAnsi" w:cstheme="minorBidi"/>
              </w:rPr>
            </w:pPr>
            <w:r w:rsidRPr="00512111">
              <w:rPr>
                <w:rFonts w:asciiTheme="minorHAnsi" w:eastAsiaTheme="minorHAnsi" w:hAnsiTheme="minorHAnsi" w:cstheme="minorBidi"/>
              </w:rPr>
              <w:t xml:space="preserve">Farm and/or packhouse located at an address that was </w:t>
            </w:r>
            <w:r w:rsidRPr="00512111">
              <w:rPr>
                <w:rFonts w:asciiTheme="minorHAnsi" w:eastAsiaTheme="minorHAnsi" w:hAnsiTheme="minorHAnsi" w:cstheme="minorBidi"/>
                <w:b/>
              </w:rPr>
              <w:t>accredited</w:t>
            </w:r>
            <w:r w:rsidRPr="00512111">
              <w:rPr>
                <w:rFonts w:asciiTheme="minorHAnsi" w:eastAsiaTheme="minorHAnsi" w:hAnsiTheme="minorHAnsi" w:cstheme="minorBidi"/>
              </w:rPr>
              <w:t xml:space="preserve"> in the previous season. </w:t>
            </w:r>
          </w:p>
          <w:p w14:paraId="25F4A31A" w14:textId="77777777" w:rsidR="00562E8D" w:rsidRPr="00512111" w:rsidRDefault="00562E8D" w:rsidP="00B41B8D">
            <w:pPr>
              <w:rPr>
                <w:rFonts w:cs="Helvetica"/>
                <w:lang w:val="en"/>
              </w:rPr>
            </w:pPr>
            <w:r w:rsidRPr="00512111">
              <w:rPr>
                <w:rFonts w:asciiTheme="minorHAnsi" w:eastAsiaTheme="minorHAnsi" w:hAnsiTheme="minorHAnsi" w:cstheme="minorBidi"/>
                <w:b/>
              </w:rPr>
              <w:t>Note:</w:t>
            </w:r>
            <w:r w:rsidRPr="00512111">
              <w:rPr>
                <w:rFonts w:asciiTheme="minorHAnsi" w:eastAsiaTheme="minorHAnsi" w:hAnsiTheme="minorHAnsi" w:cstheme="minorBidi"/>
              </w:rPr>
              <w:t xml:space="preserve"> This definition also applies to a farm that was previously accredited but has new block/s to be accredited.</w:t>
            </w:r>
          </w:p>
        </w:tc>
      </w:tr>
      <w:tr w:rsidR="00562E8D" w14:paraId="763D8615" w14:textId="77777777" w:rsidTr="00B41B8D">
        <w:trPr>
          <w:cantSplit/>
        </w:trPr>
        <w:tc>
          <w:tcPr>
            <w:tcW w:w="2381" w:type="dxa"/>
            <w:tcBorders>
              <w:top w:val="single" w:sz="4" w:space="0" w:color="auto"/>
              <w:bottom w:val="single" w:sz="4" w:space="0" w:color="auto"/>
            </w:tcBorders>
          </w:tcPr>
          <w:p w14:paraId="7073FCE6" w14:textId="77777777" w:rsidR="00562E8D" w:rsidRPr="00512111" w:rsidRDefault="00562E8D" w:rsidP="00B41B8D">
            <w:r w:rsidRPr="00512111">
              <w:t>Property</w:t>
            </w:r>
          </w:p>
        </w:tc>
        <w:tc>
          <w:tcPr>
            <w:tcW w:w="6746" w:type="dxa"/>
            <w:tcBorders>
              <w:top w:val="single" w:sz="4" w:space="0" w:color="auto"/>
              <w:bottom w:val="single" w:sz="4" w:space="0" w:color="auto"/>
            </w:tcBorders>
          </w:tcPr>
          <w:p w14:paraId="2CB9FD77" w14:textId="77777777" w:rsidR="00562E8D" w:rsidRPr="00512111" w:rsidRDefault="00562E8D" w:rsidP="00B41B8D">
            <w:r w:rsidRPr="00512111">
              <w:t xml:space="preserve">Includes premises, which is defined as a building or place (whether enclosed, or built on, or not), or a part of a building or place for example a farm or packhouse. </w:t>
            </w:r>
          </w:p>
        </w:tc>
      </w:tr>
      <w:tr w:rsidR="00562E8D" w14:paraId="5B7FD307" w14:textId="77777777" w:rsidTr="00B41B8D">
        <w:trPr>
          <w:cantSplit/>
        </w:trPr>
        <w:tc>
          <w:tcPr>
            <w:tcW w:w="2381" w:type="dxa"/>
            <w:tcBorders>
              <w:top w:val="single" w:sz="4" w:space="0" w:color="auto"/>
              <w:bottom w:val="single" w:sz="4" w:space="0" w:color="auto"/>
            </w:tcBorders>
          </w:tcPr>
          <w:p w14:paraId="314DDB40" w14:textId="77777777" w:rsidR="00562E8D" w:rsidRPr="00512111" w:rsidRDefault="00562E8D" w:rsidP="00B41B8D">
            <w:r>
              <w:t>Scope</w:t>
            </w:r>
          </w:p>
        </w:tc>
        <w:tc>
          <w:tcPr>
            <w:tcW w:w="6746" w:type="dxa"/>
            <w:tcBorders>
              <w:top w:val="single" w:sz="4" w:space="0" w:color="auto"/>
              <w:bottom w:val="single" w:sz="4" w:space="0" w:color="auto"/>
            </w:tcBorders>
          </w:tcPr>
          <w:p w14:paraId="12E0F767" w14:textId="77777777" w:rsidR="00562E8D" w:rsidRPr="00512111" w:rsidRDefault="00562E8D" w:rsidP="00B41B8D">
            <w:r>
              <w:t xml:space="preserve">Sets out the </w:t>
            </w:r>
            <w:r w:rsidRPr="00B41B8D">
              <w:t>activities</w:t>
            </w:r>
            <w:r>
              <w:t xml:space="preserve"> that will be assessed during the audit.  </w:t>
            </w:r>
          </w:p>
        </w:tc>
      </w:tr>
      <w:tr w:rsidR="00562E8D" w14:paraId="468D0BAC" w14:textId="77777777" w:rsidTr="00B41B8D">
        <w:trPr>
          <w:cantSplit/>
        </w:trPr>
        <w:tc>
          <w:tcPr>
            <w:tcW w:w="2381" w:type="dxa"/>
            <w:tcBorders>
              <w:top w:val="single" w:sz="4" w:space="0" w:color="auto"/>
              <w:bottom w:val="single" w:sz="4" w:space="0" w:color="auto"/>
            </w:tcBorders>
          </w:tcPr>
          <w:p w14:paraId="51CF9E9D" w14:textId="77777777" w:rsidR="00562E8D" w:rsidRPr="00512111" w:rsidRDefault="00562E8D" w:rsidP="00B41B8D">
            <w:r w:rsidRPr="00512111">
              <w:t>Unannounced audit</w:t>
            </w:r>
          </w:p>
        </w:tc>
        <w:tc>
          <w:tcPr>
            <w:tcW w:w="6746" w:type="dxa"/>
            <w:tcBorders>
              <w:top w:val="single" w:sz="4" w:space="0" w:color="auto"/>
              <w:bottom w:val="single" w:sz="4" w:space="0" w:color="auto"/>
            </w:tcBorders>
          </w:tcPr>
          <w:p w14:paraId="2504DC88" w14:textId="77777777" w:rsidR="00562E8D" w:rsidRPr="00512111" w:rsidRDefault="00562E8D" w:rsidP="00B41B8D">
            <w:r w:rsidRPr="00512111">
              <w:rPr>
                <w:rFonts w:cs="Calibri"/>
              </w:rPr>
              <w:t>An audit that is carried out without providing advance notice to the auditee.</w:t>
            </w:r>
          </w:p>
        </w:tc>
      </w:tr>
    </w:tbl>
    <w:p w14:paraId="1FA4928F" w14:textId="5D360EAF" w:rsidR="009A2792" w:rsidRPr="00E12E89" w:rsidRDefault="009A2792" w:rsidP="00985363">
      <w:bookmarkStart w:id="69" w:name="_Attachment_1:_Process"/>
      <w:bookmarkEnd w:id="69"/>
    </w:p>
    <w:sectPr w:rsidR="009A2792" w:rsidRPr="00E12E89" w:rsidSect="00023E69">
      <w:headerReference w:type="even" r:id="rId18"/>
      <w:headerReference w:type="default" r:id="rId19"/>
      <w:footerReference w:type="even" r:id="rId20"/>
      <w:footerReference w:type="default" r:id="rId21"/>
      <w:headerReference w:type="first" r:id="rId22"/>
      <w:footerReference w:type="first" r:id="rId23"/>
      <w:pgSz w:w="11906" w:h="16838"/>
      <w:pgMar w:top="922" w:right="1440" w:bottom="1134" w:left="993" w:header="426" w:footer="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6AA99" w14:textId="77777777" w:rsidR="009163D2" w:rsidRDefault="009163D2">
      <w:pPr>
        <w:spacing w:after="0"/>
      </w:pPr>
      <w:r>
        <w:separator/>
      </w:r>
    </w:p>
    <w:p w14:paraId="7D7BA7D7" w14:textId="77777777" w:rsidR="009163D2" w:rsidRDefault="009163D2"/>
  </w:endnote>
  <w:endnote w:type="continuationSeparator" w:id="0">
    <w:p w14:paraId="17881E48" w14:textId="77777777" w:rsidR="009163D2" w:rsidRDefault="009163D2">
      <w:pPr>
        <w:spacing w:after="0"/>
      </w:pPr>
      <w:r>
        <w:continuationSeparator/>
      </w:r>
    </w:p>
    <w:p w14:paraId="5BFE7D08" w14:textId="77777777" w:rsidR="009163D2" w:rsidRDefault="009163D2"/>
  </w:endnote>
  <w:endnote w:type="continuationNotice" w:id="1">
    <w:p w14:paraId="673B9A00" w14:textId="77777777" w:rsidR="009163D2" w:rsidRDefault="009163D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481DA" w14:textId="0F28E953" w:rsidR="00E12E89" w:rsidRDefault="00E12E89">
    <w:pPr>
      <w:pStyle w:val="Footer"/>
    </w:pPr>
    <w:r>
      <w:rPr>
        <w:noProof/>
      </w:rPr>
      <mc:AlternateContent>
        <mc:Choice Requires="wps">
          <w:drawing>
            <wp:anchor distT="0" distB="0" distL="0" distR="0" simplePos="0" relativeHeight="251658244" behindDoc="0" locked="0" layoutInCell="1" allowOverlap="1" wp14:anchorId="2F8BDA8A" wp14:editId="6CBE0626">
              <wp:simplePos x="635" y="635"/>
              <wp:positionH relativeFrom="page">
                <wp:align>center</wp:align>
              </wp:positionH>
              <wp:positionV relativeFrom="page">
                <wp:align>bottom</wp:align>
              </wp:positionV>
              <wp:extent cx="551815" cy="414655"/>
              <wp:effectExtent l="0" t="0" r="635" b="0"/>
              <wp:wrapNone/>
              <wp:docPr id="1348915002"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597CF34" w14:textId="5BF4F254"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DA8A" id="_x0000_t202" coordsize="21600,21600" o:spt="202" path="m,l,21600r21600,l21600,xe">
              <v:stroke joinstyle="miter"/>
              <v:path gradientshapeok="t" o:connecttype="rect"/>
            </v:shapetype>
            <v:shape id="Text Box 11" o:spid="_x0000_s1028" type="#_x0000_t202" alt="OFFICIAL" style="position:absolute;margin-left:0;margin-top:0;width:43.45pt;height:32.6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7597CF34" w14:textId="5BF4F254"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B36CF" w14:textId="5D013D2E" w:rsidR="00E0629F" w:rsidRDefault="00E12E89">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noProof/>
        <w:sz w:val="15"/>
        <w:szCs w:val="15"/>
      </w:rPr>
      <mc:AlternateContent>
        <mc:Choice Requires="wps">
          <w:drawing>
            <wp:anchor distT="0" distB="0" distL="0" distR="0" simplePos="0" relativeHeight="251658245" behindDoc="0" locked="0" layoutInCell="1" allowOverlap="1" wp14:anchorId="1394EB39" wp14:editId="040D23F9">
              <wp:simplePos x="635" y="635"/>
              <wp:positionH relativeFrom="page">
                <wp:align>center</wp:align>
              </wp:positionH>
              <wp:positionV relativeFrom="page">
                <wp:align>bottom</wp:align>
              </wp:positionV>
              <wp:extent cx="551815" cy="414655"/>
              <wp:effectExtent l="0" t="0" r="635" b="0"/>
              <wp:wrapNone/>
              <wp:docPr id="664896707"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23CE434B" w14:textId="3AF84CE4"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94EB39"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2.6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yKDgIAABwEAAAOAAAAZHJzL2Uyb0RvYy54bWysU8Fu2zAMvQ/YPwi6L7a7umiNOEXWIsOA&#10;oC2QDj0rshQbkERBUmJnXz9KjpOt22nYRaZJ6pF8fJrfD1qRg3C+A1PTYpZTIgyHpjO7mn5/XX26&#10;pcQHZhqmwIiaHoWn94uPH+a9rcQVtKAa4QiCGF/1tqZtCLbKMs9boZmfgRUGgxKcZgF/3S5rHOsR&#10;XavsKs9vsh5cYx1w4T16H8cgXSR8KQUPz1J6EYiqKfYW0unSuY1ntpizaueYbTt+aoP9QxeadQaL&#10;nqEeWWBk77o/oHTHHXiQYcZBZyBlx0WaAacp8nfTbFpmRZoFyfH2TJP/f7D86bCxL46E4QsMuMBI&#10;SG995dEZ5xmk0/GLnRKMI4XHM21iCISjsyyL26KkhGPouri+KcuIkl0uW+fDVwGaRKOmDreSyGKH&#10;tQ9j6pQSaxlYdUqlzSjzmwMxoye7dBitMGwH0jU1/Tx1v4XmiEM5GPftLV91WHrNfHhhDheMc6Bo&#10;wzMeUkFfUzhZlLTgfvzNH/ORd4xS0qNgampQ0ZSobwb3EbU1GW4ytsko7vIyx7jZ6wdAGRb4IixP&#10;JnpdUJMpHeg3lPMyFsIQMxzL1XQ7mQ9hVC4+By6Wy5SEMrIsrM3G8ggd6Ypcvg5vzNkT4QE39QST&#10;mlj1jvcxN970drkPyH5aSqR2JPLEOEowrfX0XKLGf/1PWZdHvfgJ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AZQ8ig4CAAAc&#10;BAAADgAAAAAAAAAAAAAAAAAuAgAAZHJzL2Uyb0RvYy54bWxQSwECLQAUAAYACAAAACEAKMXpYNsA&#10;AAADAQAADwAAAAAAAAAAAAAAAABoBAAAZHJzL2Rvd25yZXYueG1sUEsFBgAAAAAEAAQA8wAAAHAF&#10;AAAAAA==&#10;" filled="f" stroked="f">
              <v:textbox style="mso-fit-shape-to-text:t" inset="0,0,0,15pt">
                <w:txbxContent>
                  <w:p w14:paraId="23CE434B" w14:textId="3AF84CE4"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r w:rsidR="00E0629F">
      <w:rPr>
        <w:sz w:val="15"/>
        <w:szCs w:val="15"/>
      </w:rPr>
      <w:t>This is a CONTROLLED document. Any documents appearing in paper form are not controlled and should be checked against the IML version prior to use.</w:t>
    </w:r>
  </w:p>
  <w:p w14:paraId="27F25CD2" w14:textId="530C3DD4" w:rsidR="00E0629F" w:rsidRDefault="00C645B1">
    <w:pPr>
      <w:pStyle w:val="Footer"/>
      <w:tabs>
        <w:tab w:val="clear" w:pos="4513"/>
        <w:tab w:val="clear" w:pos="9026"/>
        <w:tab w:val="right" w:pos="9356"/>
      </w:tabs>
      <w:ind w:left="-567" w:right="-330"/>
      <w:rPr>
        <w:i/>
      </w:rPr>
    </w:pPr>
    <w:sdt>
      <w:sdtPr>
        <w:rPr>
          <w:i/>
        </w:rPr>
        <w:alias w:val="Title"/>
        <w:tag w:val=""/>
        <w:id w:val="-1868978922"/>
        <w:dataBinding w:prefixMappings="xmlns:ns0='http://purl.org/dc/elements/1.1/' xmlns:ns1='http://schemas.openxmlformats.org/package/2006/metadata/core-properties' " w:xpath="/ns1:coreProperties[1]/ns0:title[1]" w:storeItemID="{6C3C8BC8-F283-45AE-878A-BAB7291924A1}"/>
        <w:text/>
      </w:sdtPr>
      <w:sdtEndPr/>
      <w:sdtContent>
        <w:r w:rsidR="00E0629F">
          <w:rPr>
            <w:i/>
          </w:rPr>
          <w:t>Audit of horticulture export accredited properties</w:t>
        </w:r>
      </w:sdtContent>
    </w:sdt>
    <w:r w:rsidR="00E0629F">
      <w:rPr>
        <w:i/>
      </w:rPr>
      <w:tab/>
    </w:r>
    <w:r w:rsidR="00E0629F">
      <w:t xml:space="preserve">Version no.: </w:t>
    </w:r>
    <w:sdt>
      <w:sdtPr>
        <w:alias w:val="Revision Number"/>
        <w:tag w:val="RevisionNumber"/>
        <w:id w:val="-1353416619"/>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E12E89">
          <w:t>6</w:t>
        </w:r>
      </w:sdtContent>
    </w:sdt>
  </w:p>
  <w:p w14:paraId="17DFB1EB" w14:textId="1C05BB94" w:rsidR="00E0629F" w:rsidRDefault="00E0629F" w:rsidP="001C139F">
    <w:pPr>
      <w:pStyle w:val="Footer"/>
      <w:tabs>
        <w:tab w:val="clear" w:pos="9026"/>
        <w:tab w:val="right" w:pos="9356"/>
      </w:tabs>
      <w:ind w:left="-567" w:right="-330"/>
    </w:pPr>
    <w:r>
      <w:t xml:space="preserve">Date published: </w:t>
    </w:r>
    <w:sdt>
      <w:sdtPr>
        <w:rPr>
          <w:szCs w:val="18"/>
        </w:rPr>
        <w:alias w:val="Date Published"/>
        <w:tag w:val="DatePublished"/>
        <w:id w:val="-1621983950"/>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25-04-22T00:00:00Z">
          <w:dateFormat w:val="d/MM/yyyy"/>
          <w:lid w:val="en-AU"/>
          <w:storeMappedDataAs w:val="dateTime"/>
          <w:calendar w:val="gregorian"/>
        </w:date>
      </w:sdtPr>
      <w:sdtEndPr/>
      <w:sdtContent>
        <w:r w:rsidR="00023E69">
          <w:rPr>
            <w:szCs w:val="18"/>
          </w:rPr>
          <w:t>22/04/2025</w:t>
        </w:r>
      </w:sdtContent>
    </w:sdt>
    <w:r>
      <w:tab/>
    </w:r>
    <w:r>
      <w:ptab w:relativeTo="margin" w:alignment="right" w:leader="none"/>
    </w:r>
    <w:r>
      <w:rPr>
        <w:szCs w:val="18"/>
      </w:rPr>
      <w:fldChar w:fldCharType="begin"/>
    </w:r>
    <w:r>
      <w:rPr>
        <w:szCs w:val="18"/>
      </w:rPr>
      <w:instrText xml:space="preserve"> PAGE  \* Arabic  \* MERGEFORMAT </w:instrText>
    </w:r>
    <w:r>
      <w:rPr>
        <w:szCs w:val="18"/>
      </w:rPr>
      <w:fldChar w:fldCharType="separate"/>
    </w:r>
    <w:r>
      <w:rPr>
        <w:noProof/>
        <w:szCs w:val="18"/>
      </w:rPr>
      <w:t>15</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15</w:t>
    </w:r>
    <w:r>
      <w:rPr>
        <w:szCs w:val="18"/>
      </w:rPr>
      <w:fldChar w:fldCharType="end"/>
    </w:r>
  </w:p>
  <w:p w14:paraId="7BB93EBD" w14:textId="77777777" w:rsidR="00E0629F" w:rsidRDefault="00E0629F">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6C815" w14:textId="70A32BA5" w:rsidR="00E12E89" w:rsidRDefault="00E12E89">
    <w:pPr>
      <w:pStyle w:val="Footer"/>
    </w:pPr>
    <w:r>
      <w:rPr>
        <w:noProof/>
      </w:rPr>
      <mc:AlternateContent>
        <mc:Choice Requires="wps">
          <w:drawing>
            <wp:anchor distT="0" distB="0" distL="0" distR="0" simplePos="0" relativeHeight="251658243" behindDoc="0" locked="0" layoutInCell="1" allowOverlap="1" wp14:anchorId="3ECE565F" wp14:editId="7C27B5BC">
              <wp:simplePos x="635" y="635"/>
              <wp:positionH relativeFrom="page">
                <wp:align>center</wp:align>
              </wp:positionH>
              <wp:positionV relativeFrom="page">
                <wp:align>bottom</wp:align>
              </wp:positionV>
              <wp:extent cx="551815" cy="414655"/>
              <wp:effectExtent l="0" t="0" r="635" b="0"/>
              <wp:wrapNone/>
              <wp:docPr id="1902422332"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DDE1D9A" w14:textId="2D2278A9"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CE565F" id="_x0000_t202" coordsize="21600,21600" o:spt="202" path="m,l,21600r21600,l21600,xe">
              <v:stroke joinstyle="miter"/>
              <v:path gradientshapeok="t" o:connecttype="rect"/>
            </v:shapetype>
            <v:shape id="Text Box 10" o:spid="_x0000_s1031" type="#_x0000_t202" alt="OFFICIAL" style="position:absolute;margin-left:0;margin-top:0;width:43.45pt;height:32.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5MH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2MnW/heaIQzkY9+0tX3VYes18eGEOF4xzoGjD&#10;Mx5SQV9TOFmUtOB+/ssf85F3jFLSo2BqalDRlKjvBvcRtTUZbjK2ySi+5mWOcbPXD4AyLPBFWJ5M&#10;9LqgJlM60G8o52UshCFmOJar6XYyH8KoXHwOXCyXKQllZFlYm43lETrSFbl8Hd6YsyfCA27qCSY1&#10;seod72NuvOntch+Q/bSUSO1I5IlxlGBa6+m5RI3//p+yLo968Qs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BvF5MHDQIAABwE&#10;AAAOAAAAAAAAAAAAAAAAAC4CAABkcnMvZTJvRG9jLnhtbFBLAQItABQABgAIAAAAIQAoxelg2wAA&#10;AAMBAAAPAAAAAAAAAAAAAAAAAGcEAABkcnMvZG93bnJldi54bWxQSwUGAAAAAAQABADzAAAAbwUA&#10;AAAA&#10;" filled="f" stroked="f">
              <v:textbox style="mso-fit-shape-to-text:t" inset="0,0,0,15pt">
                <w:txbxContent>
                  <w:p w14:paraId="5DDE1D9A" w14:textId="2D2278A9"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856CD" w14:textId="77777777" w:rsidR="009163D2" w:rsidRDefault="009163D2">
      <w:pPr>
        <w:spacing w:after="0"/>
      </w:pPr>
      <w:r>
        <w:separator/>
      </w:r>
    </w:p>
    <w:p w14:paraId="3006BB1C" w14:textId="77777777" w:rsidR="009163D2" w:rsidRDefault="009163D2"/>
  </w:footnote>
  <w:footnote w:type="continuationSeparator" w:id="0">
    <w:p w14:paraId="26D21CA1" w14:textId="77777777" w:rsidR="009163D2" w:rsidRDefault="009163D2">
      <w:pPr>
        <w:spacing w:after="0"/>
      </w:pPr>
      <w:r>
        <w:continuationSeparator/>
      </w:r>
    </w:p>
    <w:p w14:paraId="65A123C7" w14:textId="77777777" w:rsidR="009163D2" w:rsidRDefault="009163D2"/>
  </w:footnote>
  <w:footnote w:type="continuationNotice" w:id="1">
    <w:p w14:paraId="31F9988C" w14:textId="77777777" w:rsidR="009163D2" w:rsidRDefault="009163D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BD30" w14:textId="251AFABE" w:rsidR="00E12E89" w:rsidRDefault="00E12E89">
    <w:pPr>
      <w:pStyle w:val="Header"/>
    </w:pPr>
    <w:r>
      <w:rPr>
        <w:noProof/>
      </w:rPr>
      <mc:AlternateContent>
        <mc:Choice Requires="wps">
          <w:drawing>
            <wp:anchor distT="0" distB="0" distL="0" distR="0" simplePos="0" relativeHeight="251658241" behindDoc="0" locked="0" layoutInCell="1" allowOverlap="1" wp14:anchorId="17122098" wp14:editId="40A7E505">
              <wp:simplePos x="635" y="635"/>
              <wp:positionH relativeFrom="page">
                <wp:align>center</wp:align>
              </wp:positionH>
              <wp:positionV relativeFrom="page">
                <wp:align>top</wp:align>
              </wp:positionV>
              <wp:extent cx="551815" cy="414655"/>
              <wp:effectExtent l="0" t="0" r="635" b="4445"/>
              <wp:wrapNone/>
              <wp:docPr id="971546390"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787DC05B" w14:textId="0B495E18"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7122098" id="_x0000_t202" coordsize="21600,21600" o:spt="202" path="m,l,21600r21600,l21600,xe">
              <v:stroke joinstyle="miter"/>
              <v:path gradientshapeok="t" o:connecttype="rect"/>
            </v:shapetype>
            <v:shape id="Text Box 5" o:spid="_x0000_s1026" type="#_x0000_t202" alt="OFFICIAL" style="position:absolute;margin-left:0;margin-top:0;width:43.45pt;height:32.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787DC05B" w14:textId="0B495E18"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2DA90" w14:textId="48026558" w:rsidR="00562E8D" w:rsidRDefault="00562E8D" w:rsidP="00B41B8D">
    <w:pPr>
      <w:pStyle w:val="Header"/>
      <w:jc w:val="right"/>
      <w:rPr>
        <w:szCs w:val="18"/>
        <w:lang w:val="en-US" w:eastAsia="zh-TW"/>
      </w:rPr>
    </w:pPr>
    <w:r w:rsidRPr="00023E69">
      <w:rPr>
        <w:sz w:val="20"/>
        <w:szCs w:val="16"/>
        <w:lang w:val="en-US" w:eastAsia="zh-TW"/>
      </w:rPr>
      <w:t>Document ID</w:t>
    </w:r>
    <w:r w:rsidR="00023E69">
      <w:rPr>
        <w:sz w:val="20"/>
        <w:szCs w:val="16"/>
        <w:lang w:val="en-US" w:eastAsia="zh-TW"/>
      </w:rPr>
      <w:t>: IMLS-9-3813</w:t>
    </w:r>
  </w:p>
  <w:p w14:paraId="79A81B99" w14:textId="1EE41B2B" w:rsidR="00E0629F" w:rsidRDefault="00562E8D" w:rsidP="00023E69">
    <w:pPr>
      <w:pStyle w:val="Header"/>
      <w:jc w:val="right"/>
      <w:rPr>
        <w:sz w:val="18"/>
        <w:szCs w:val="18"/>
        <w:lang w:val="en-US" w:eastAsia="zh-TW"/>
      </w:rPr>
    </w:pPr>
    <w:r w:rsidRPr="00023E69">
      <w:rPr>
        <w:sz w:val="20"/>
        <w:szCs w:val="16"/>
        <w:lang w:val="en-US" w:eastAsia="zh-TW"/>
      </w:rPr>
      <w:t>Risk rating: Medium</w:t>
    </w:r>
    <w:r w:rsidR="00E12E89">
      <w:rPr>
        <w:noProof/>
        <w:sz w:val="18"/>
        <w:szCs w:val="18"/>
        <w:lang w:val="en-US" w:eastAsia="zh-TW"/>
      </w:rPr>
      <mc:AlternateContent>
        <mc:Choice Requires="wps">
          <w:drawing>
            <wp:anchor distT="0" distB="0" distL="0" distR="0" simplePos="0" relativeHeight="251658242" behindDoc="0" locked="0" layoutInCell="1" allowOverlap="1" wp14:anchorId="6ECC9362" wp14:editId="73B86CA3">
              <wp:simplePos x="635" y="635"/>
              <wp:positionH relativeFrom="page">
                <wp:align>center</wp:align>
              </wp:positionH>
              <wp:positionV relativeFrom="page">
                <wp:align>top</wp:align>
              </wp:positionV>
              <wp:extent cx="551815" cy="414655"/>
              <wp:effectExtent l="0" t="0" r="635" b="4445"/>
              <wp:wrapNone/>
              <wp:docPr id="1129329790"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2B3787B" w14:textId="7A21ED8F"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ECC9362" id="_x0000_t202" coordsize="21600,21600" o:spt="202" path="m,l,21600r21600,l21600,xe">
              <v:stroke joinstyle="miter"/>
              <v:path gradientshapeok="t" o:connecttype="rect"/>
            </v:shapetype>
            <v:shape id="Text Box 6" o:spid="_x0000_s1027" type="#_x0000_t202" alt="OFFICIAL" style="position:absolute;left:0;text-align:left;margin-left:0;margin-top:0;width:43.45pt;height:32.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42B3787B" w14:textId="7A21ED8F"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E54A1" w14:textId="362F1673" w:rsidR="00E12E89" w:rsidRDefault="00E12E89">
    <w:pPr>
      <w:pStyle w:val="Header"/>
    </w:pPr>
    <w:r>
      <w:rPr>
        <w:noProof/>
      </w:rPr>
      <mc:AlternateContent>
        <mc:Choice Requires="wps">
          <w:drawing>
            <wp:anchor distT="0" distB="0" distL="0" distR="0" simplePos="0" relativeHeight="251658240" behindDoc="0" locked="0" layoutInCell="1" allowOverlap="1" wp14:anchorId="477D07B4" wp14:editId="15D83D68">
              <wp:simplePos x="635" y="635"/>
              <wp:positionH relativeFrom="page">
                <wp:align>center</wp:align>
              </wp:positionH>
              <wp:positionV relativeFrom="page">
                <wp:align>top</wp:align>
              </wp:positionV>
              <wp:extent cx="551815" cy="414655"/>
              <wp:effectExtent l="0" t="0" r="635" b="4445"/>
              <wp:wrapNone/>
              <wp:docPr id="775150062"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1DB86B7" w14:textId="3DCC100B"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7D07B4" id="_x0000_t202" coordsize="21600,21600" o:spt="202" path="m,l,21600r21600,l21600,xe">
              <v:stroke joinstyle="miter"/>
              <v:path gradientshapeok="t" o:connecttype="rect"/>
            </v:shapetype>
            <v:shape id="Text Box 4" o:spid="_x0000_s1030" type="#_x0000_t202" alt="OFFICIAL" style="position:absolute;margin-left:0;margin-top:0;width:43.45pt;height:32.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CODQIAABwEAAAOAAAAZHJzL2Uyb0RvYy54bWysU8Fu2zAMvQ/YPwi6L7aLuuiMOEXaIsOA&#10;oC2QDj0rshQbkERBUmJnXz9KjpOt22noRaZI+pF8fJrfDVqRg3C+A1PTYpZTIgyHpjO7mv54XX25&#10;pcQHZhqmwIiaHoWnd4vPn+a9rcQVtKAa4QiCGF/1tqZtCLbKMs9boZmfgRUGgxKcZgGvbpc1jvWI&#10;rlV2lec3WQ+usQ648B69j2OQLhK+lIKHZym9CETVFHsL6XTp3MYzW8xZtXPMth0/tcH+owvNOoNF&#10;z1CPLDCyd91fULrjDjzIMOOgM5Cy4yLNgNMU+btpNi2zIs2C5Hh7psl/HCx/OmzsiyNhuIcBFxgJ&#10;6a2vPDrjPIN0On6xU4JxpPB4pk0MgXB0lmVxW5SUcAxdF9c3ZRlRssvP1vnwTYAm0aipw60ksthh&#10;7cOYOqXEWgZWnVJpM8r84UDM6MkuHUYrDNuBdA0Wn7rfQnPEoRyM+/aWrzosvWY+vDCHC8Y5ULTh&#10;GQ+poK8pnCxKWnA//+WP+cg7RinpUTA1NahoStR3g/uI2kpG8TUvc7y5yb2dDLPXD4AyLPBFWJ7M&#10;mBfUZEoH+g3lvIyFMMQMx3I1DZP5EEbl4nPgYrlMSSgjy8LabCyP0JGuyOXr8MacPREecFNPMKmJ&#10;Ve94H3Pjn94u9wHZT0uJ1I5EnhhHCaa1np5L1Pjv95R1edSLXwAAAP//AwBQSwMEFAAGAAgAAAAh&#10;AMs2Nd/aAAAAAwEAAA8AAABkcnMvZG93bnJldi54bWxMj81OwzAQhO9IvIO1SNyoE1CikmZTVUg9&#10;9FbKz9mNt0kgXkex24Y+PQsXuKw0mtHMt+Vycr060Rg6zwjpLAFFXHvbcYPw+rK+m4MK0bA1vWdC&#10;+KIAy+r6qjSF9Wd+ptMuNkpKOBQGoY1xKLQOdUvOhJkfiMU7+NGZKHJstB3NWcpdr++TJNfOdCwL&#10;rRnoqaX6c3d0CF228jGlt836492lPr1sN9lli3h7M60WoCJN8S8MP/iCDpUw7f2RbVA9gjwSf694&#10;8/wR1B4hzx5AV6X+z159AwAA//8DAFBLAQItABQABgAIAAAAIQC2gziS/gAAAOEBAAATAAAAAAAA&#10;AAAAAAAAAAAAAABbQ29udGVudF9UeXBlc10ueG1sUEsBAi0AFAAGAAgAAAAhADj9If/WAAAAlAEA&#10;AAsAAAAAAAAAAAAAAAAALwEAAF9yZWxzLy5yZWxzUEsBAi0AFAAGAAgAAAAhAJxvcI4NAgAAHAQA&#10;AA4AAAAAAAAAAAAAAAAALgIAAGRycy9lMm9Eb2MueG1sUEsBAi0AFAAGAAgAAAAhAMs2Nd/aAAAA&#10;AwEAAA8AAAAAAAAAAAAAAAAAZwQAAGRycy9kb3ducmV2LnhtbFBLBQYAAAAABAAEAPMAAABuBQAA&#10;AAA=&#10;" filled="f" stroked="f">
              <v:textbox style="mso-fit-shape-to-text:t" inset="0,15pt,0,0">
                <w:txbxContent>
                  <w:p w14:paraId="61DB86B7" w14:textId="3DCC100B" w:rsidR="00E12E89" w:rsidRPr="00E12E89" w:rsidRDefault="00E12E89" w:rsidP="00E12E89">
                    <w:pPr>
                      <w:spacing w:after="0"/>
                      <w:rPr>
                        <w:rFonts w:cs="Calibri"/>
                        <w:noProof/>
                        <w:color w:val="FF0000"/>
                        <w:sz w:val="24"/>
                        <w:szCs w:val="24"/>
                      </w:rPr>
                    </w:pPr>
                    <w:r w:rsidRPr="00E12E89">
                      <w:rPr>
                        <w:rFonts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131268"/>
    <w:multiLevelType w:val="hybridMultilevel"/>
    <w:tmpl w:val="06F09A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D084B"/>
    <w:multiLevelType w:val="hybridMultilevel"/>
    <w:tmpl w:val="70AA8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327EB7"/>
    <w:multiLevelType w:val="hybridMultilevel"/>
    <w:tmpl w:val="10666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5F4512"/>
    <w:multiLevelType w:val="hybridMultilevel"/>
    <w:tmpl w:val="1A2E9CB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E000D2"/>
    <w:multiLevelType w:val="hybridMultilevel"/>
    <w:tmpl w:val="A4700892"/>
    <w:lvl w:ilvl="0" w:tplc="C6DA191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E394FD4"/>
    <w:multiLevelType w:val="hybridMultilevel"/>
    <w:tmpl w:val="6F06AD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812F48"/>
    <w:multiLevelType w:val="hybridMultilevel"/>
    <w:tmpl w:val="18E8F390"/>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B7E6E9A"/>
    <w:multiLevelType w:val="hybridMultilevel"/>
    <w:tmpl w:val="AE0C9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5241C5A"/>
    <w:multiLevelType w:val="hybridMultilevel"/>
    <w:tmpl w:val="C096D5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C32356"/>
    <w:multiLevelType w:val="hybridMultilevel"/>
    <w:tmpl w:val="93FA5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8BC60A4"/>
    <w:multiLevelType w:val="hybridMultilevel"/>
    <w:tmpl w:val="3462E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960B0D"/>
    <w:multiLevelType w:val="hybridMultilevel"/>
    <w:tmpl w:val="D9CA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C106F8"/>
    <w:multiLevelType w:val="hybridMultilevel"/>
    <w:tmpl w:val="6B2E3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A6407FD"/>
    <w:multiLevelType w:val="hybridMultilevel"/>
    <w:tmpl w:val="60FAF26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D957BF9"/>
    <w:multiLevelType w:val="hybridMultilevel"/>
    <w:tmpl w:val="988A6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1A1278B"/>
    <w:multiLevelType w:val="hybridMultilevel"/>
    <w:tmpl w:val="55B69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43109F4"/>
    <w:multiLevelType w:val="hybridMultilevel"/>
    <w:tmpl w:val="CF3E2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C2D03"/>
    <w:multiLevelType w:val="hybridMultilevel"/>
    <w:tmpl w:val="6F347D9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9F40D9"/>
    <w:multiLevelType w:val="hybridMultilevel"/>
    <w:tmpl w:val="8BC6BD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B93DCA"/>
    <w:multiLevelType w:val="hybridMultilevel"/>
    <w:tmpl w:val="43C2B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E4364D"/>
    <w:multiLevelType w:val="hybridMultilevel"/>
    <w:tmpl w:val="E1089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0"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8EA7124"/>
    <w:multiLevelType w:val="hybridMultilevel"/>
    <w:tmpl w:val="86561F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4C1A3AC1"/>
    <w:multiLevelType w:val="hybridMultilevel"/>
    <w:tmpl w:val="5DE0C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CE411A3"/>
    <w:multiLevelType w:val="hybridMultilevel"/>
    <w:tmpl w:val="A2E83A18"/>
    <w:lvl w:ilvl="0" w:tplc="3A647398">
      <w:start w:val="1"/>
      <w:numFmt w:val="bullet"/>
      <w:lvlText w:val=""/>
      <w:lvlJc w:val="left"/>
      <w:pPr>
        <w:ind w:left="720" w:hanging="360"/>
      </w:pPr>
      <w:rPr>
        <w:rFonts w:ascii="Symbol" w:hAnsi="Symbol"/>
      </w:rPr>
    </w:lvl>
    <w:lvl w:ilvl="1" w:tplc="2EFE3FD8">
      <w:start w:val="1"/>
      <w:numFmt w:val="bullet"/>
      <w:lvlText w:val=""/>
      <w:lvlJc w:val="left"/>
      <w:pPr>
        <w:ind w:left="720" w:hanging="360"/>
      </w:pPr>
      <w:rPr>
        <w:rFonts w:ascii="Symbol" w:hAnsi="Symbol"/>
      </w:rPr>
    </w:lvl>
    <w:lvl w:ilvl="2" w:tplc="9C644526">
      <w:start w:val="1"/>
      <w:numFmt w:val="bullet"/>
      <w:lvlText w:val=""/>
      <w:lvlJc w:val="left"/>
      <w:pPr>
        <w:ind w:left="720" w:hanging="360"/>
      </w:pPr>
      <w:rPr>
        <w:rFonts w:ascii="Symbol" w:hAnsi="Symbol"/>
      </w:rPr>
    </w:lvl>
    <w:lvl w:ilvl="3" w:tplc="23F6DE3E">
      <w:start w:val="1"/>
      <w:numFmt w:val="bullet"/>
      <w:lvlText w:val=""/>
      <w:lvlJc w:val="left"/>
      <w:pPr>
        <w:ind w:left="720" w:hanging="360"/>
      </w:pPr>
      <w:rPr>
        <w:rFonts w:ascii="Symbol" w:hAnsi="Symbol"/>
      </w:rPr>
    </w:lvl>
    <w:lvl w:ilvl="4" w:tplc="B33A2450">
      <w:start w:val="1"/>
      <w:numFmt w:val="bullet"/>
      <w:lvlText w:val=""/>
      <w:lvlJc w:val="left"/>
      <w:pPr>
        <w:ind w:left="720" w:hanging="360"/>
      </w:pPr>
      <w:rPr>
        <w:rFonts w:ascii="Symbol" w:hAnsi="Symbol"/>
      </w:rPr>
    </w:lvl>
    <w:lvl w:ilvl="5" w:tplc="96583EE8">
      <w:start w:val="1"/>
      <w:numFmt w:val="bullet"/>
      <w:lvlText w:val=""/>
      <w:lvlJc w:val="left"/>
      <w:pPr>
        <w:ind w:left="720" w:hanging="360"/>
      </w:pPr>
      <w:rPr>
        <w:rFonts w:ascii="Symbol" w:hAnsi="Symbol"/>
      </w:rPr>
    </w:lvl>
    <w:lvl w:ilvl="6" w:tplc="B8869232">
      <w:start w:val="1"/>
      <w:numFmt w:val="bullet"/>
      <w:lvlText w:val=""/>
      <w:lvlJc w:val="left"/>
      <w:pPr>
        <w:ind w:left="720" w:hanging="360"/>
      </w:pPr>
      <w:rPr>
        <w:rFonts w:ascii="Symbol" w:hAnsi="Symbol"/>
      </w:rPr>
    </w:lvl>
    <w:lvl w:ilvl="7" w:tplc="0962515A">
      <w:start w:val="1"/>
      <w:numFmt w:val="bullet"/>
      <w:lvlText w:val=""/>
      <w:lvlJc w:val="left"/>
      <w:pPr>
        <w:ind w:left="720" w:hanging="360"/>
      </w:pPr>
      <w:rPr>
        <w:rFonts w:ascii="Symbol" w:hAnsi="Symbol"/>
      </w:rPr>
    </w:lvl>
    <w:lvl w:ilvl="8" w:tplc="66A2EC6A">
      <w:start w:val="1"/>
      <w:numFmt w:val="bullet"/>
      <w:lvlText w:val=""/>
      <w:lvlJc w:val="left"/>
      <w:pPr>
        <w:ind w:left="720" w:hanging="360"/>
      </w:pPr>
      <w:rPr>
        <w:rFonts w:ascii="Symbol" w:hAnsi="Symbol"/>
      </w:rPr>
    </w:lvl>
  </w:abstractNum>
  <w:abstractNum w:abstractNumId="34" w15:restartNumberingAfterBreak="0">
    <w:nsid w:val="570F244E"/>
    <w:multiLevelType w:val="hybridMultilevel"/>
    <w:tmpl w:val="49689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376574"/>
    <w:multiLevelType w:val="hybridMultilevel"/>
    <w:tmpl w:val="CC64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9B23FD"/>
    <w:multiLevelType w:val="hybridMultilevel"/>
    <w:tmpl w:val="9E26C66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9C2783B"/>
    <w:multiLevelType w:val="hybridMultilevel"/>
    <w:tmpl w:val="7FDC9D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1440920"/>
    <w:multiLevelType w:val="hybridMultilevel"/>
    <w:tmpl w:val="15A6D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31A7CFF"/>
    <w:multiLevelType w:val="hybridMultilevel"/>
    <w:tmpl w:val="44A26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AA66E2"/>
    <w:multiLevelType w:val="hybridMultilevel"/>
    <w:tmpl w:val="686EC48C"/>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6B608B7"/>
    <w:multiLevelType w:val="hybridMultilevel"/>
    <w:tmpl w:val="0F64E77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8605424"/>
    <w:multiLevelType w:val="hybridMultilevel"/>
    <w:tmpl w:val="3F18CAE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2A537D"/>
    <w:multiLevelType w:val="hybridMultilevel"/>
    <w:tmpl w:val="683E9624"/>
    <w:lvl w:ilvl="0" w:tplc="0CC670D0">
      <w:start w:val="1"/>
      <w:numFmt w:val="bullet"/>
      <w:lvlText w:val=""/>
      <w:lvlJc w:val="left"/>
      <w:pPr>
        <w:ind w:left="720" w:hanging="360"/>
      </w:pPr>
      <w:rPr>
        <w:rFonts w:ascii="Symbol" w:hAnsi="Symbol" w:hint="default"/>
      </w:rPr>
    </w:lvl>
    <w:lvl w:ilvl="1" w:tplc="7A685A42" w:tentative="1">
      <w:start w:val="1"/>
      <w:numFmt w:val="bullet"/>
      <w:lvlText w:val="o"/>
      <w:lvlJc w:val="left"/>
      <w:pPr>
        <w:ind w:left="1440" w:hanging="360"/>
      </w:pPr>
      <w:rPr>
        <w:rFonts w:ascii="Courier New" w:hAnsi="Courier New" w:cs="Courier New" w:hint="default"/>
      </w:rPr>
    </w:lvl>
    <w:lvl w:ilvl="2" w:tplc="15C22052" w:tentative="1">
      <w:start w:val="1"/>
      <w:numFmt w:val="bullet"/>
      <w:lvlText w:val=""/>
      <w:lvlJc w:val="left"/>
      <w:pPr>
        <w:ind w:left="2160" w:hanging="360"/>
      </w:pPr>
      <w:rPr>
        <w:rFonts w:ascii="Wingdings" w:hAnsi="Wingdings" w:hint="default"/>
      </w:rPr>
    </w:lvl>
    <w:lvl w:ilvl="3" w:tplc="3E28FE5A" w:tentative="1">
      <w:start w:val="1"/>
      <w:numFmt w:val="bullet"/>
      <w:lvlText w:val=""/>
      <w:lvlJc w:val="left"/>
      <w:pPr>
        <w:ind w:left="2880" w:hanging="360"/>
      </w:pPr>
      <w:rPr>
        <w:rFonts w:ascii="Symbol" w:hAnsi="Symbol" w:hint="default"/>
      </w:rPr>
    </w:lvl>
    <w:lvl w:ilvl="4" w:tplc="5584F9E0" w:tentative="1">
      <w:start w:val="1"/>
      <w:numFmt w:val="bullet"/>
      <w:lvlText w:val="o"/>
      <w:lvlJc w:val="left"/>
      <w:pPr>
        <w:ind w:left="3600" w:hanging="360"/>
      </w:pPr>
      <w:rPr>
        <w:rFonts w:ascii="Courier New" w:hAnsi="Courier New" w:cs="Courier New" w:hint="default"/>
      </w:rPr>
    </w:lvl>
    <w:lvl w:ilvl="5" w:tplc="9E0E2E14" w:tentative="1">
      <w:start w:val="1"/>
      <w:numFmt w:val="bullet"/>
      <w:lvlText w:val=""/>
      <w:lvlJc w:val="left"/>
      <w:pPr>
        <w:ind w:left="4320" w:hanging="360"/>
      </w:pPr>
      <w:rPr>
        <w:rFonts w:ascii="Wingdings" w:hAnsi="Wingdings" w:hint="default"/>
      </w:rPr>
    </w:lvl>
    <w:lvl w:ilvl="6" w:tplc="0540E974" w:tentative="1">
      <w:start w:val="1"/>
      <w:numFmt w:val="bullet"/>
      <w:lvlText w:val=""/>
      <w:lvlJc w:val="left"/>
      <w:pPr>
        <w:ind w:left="5040" w:hanging="360"/>
      </w:pPr>
      <w:rPr>
        <w:rFonts w:ascii="Symbol" w:hAnsi="Symbol" w:hint="default"/>
      </w:rPr>
    </w:lvl>
    <w:lvl w:ilvl="7" w:tplc="A2F4F3BA" w:tentative="1">
      <w:start w:val="1"/>
      <w:numFmt w:val="bullet"/>
      <w:lvlText w:val="o"/>
      <w:lvlJc w:val="left"/>
      <w:pPr>
        <w:ind w:left="5760" w:hanging="360"/>
      </w:pPr>
      <w:rPr>
        <w:rFonts w:ascii="Courier New" w:hAnsi="Courier New" w:cs="Courier New" w:hint="default"/>
      </w:rPr>
    </w:lvl>
    <w:lvl w:ilvl="8" w:tplc="CE10E808" w:tentative="1">
      <w:start w:val="1"/>
      <w:numFmt w:val="bullet"/>
      <w:lvlText w:val=""/>
      <w:lvlJc w:val="left"/>
      <w:pPr>
        <w:ind w:left="6480" w:hanging="360"/>
      </w:pPr>
      <w:rPr>
        <w:rFonts w:ascii="Wingdings" w:hAnsi="Wingdings" w:hint="default"/>
      </w:rPr>
    </w:lvl>
  </w:abstractNum>
  <w:abstractNum w:abstractNumId="47" w15:restartNumberingAfterBreak="0">
    <w:nsid w:val="7B651EA8"/>
    <w:multiLevelType w:val="hybridMultilevel"/>
    <w:tmpl w:val="AF7A8BDC"/>
    <w:lvl w:ilvl="0" w:tplc="142AF4D8">
      <w:start w:val="1"/>
      <w:numFmt w:val="decimal"/>
      <w:lvlText w:val="%1."/>
      <w:lvlJc w:val="left"/>
      <w:pPr>
        <w:ind w:left="1020" w:hanging="360"/>
      </w:pPr>
    </w:lvl>
    <w:lvl w:ilvl="1" w:tplc="94F86250">
      <w:start w:val="1"/>
      <w:numFmt w:val="decimal"/>
      <w:lvlText w:val="%2."/>
      <w:lvlJc w:val="left"/>
      <w:pPr>
        <w:ind w:left="1020" w:hanging="360"/>
      </w:pPr>
    </w:lvl>
    <w:lvl w:ilvl="2" w:tplc="0FD818C2">
      <w:start w:val="1"/>
      <w:numFmt w:val="decimal"/>
      <w:lvlText w:val="%3."/>
      <w:lvlJc w:val="left"/>
      <w:pPr>
        <w:ind w:left="1020" w:hanging="360"/>
      </w:pPr>
    </w:lvl>
    <w:lvl w:ilvl="3" w:tplc="4BD81EC0">
      <w:start w:val="1"/>
      <w:numFmt w:val="decimal"/>
      <w:lvlText w:val="%4."/>
      <w:lvlJc w:val="left"/>
      <w:pPr>
        <w:ind w:left="1020" w:hanging="360"/>
      </w:pPr>
    </w:lvl>
    <w:lvl w:ilvl="4" w:tplc="0CA4442A">
      <w:start w:val="1"/>
      <w:numFmt w:val="decimal"/>
      <w:lvlText w:val="%5."/>
      <w:lvlJc w:val="left"/>
      <w:pPr>
        <w:ind w:left="1020" w:hanging="360"/>
      </w:pPr>
    </w:lvl>
    <w:lvl w:ilvl="5" w:tplc="4A82E422">
      <w:start w:val="1"/>
      <w:numFmt w:val="decimal"/>
      <w:lvlText w:val="%6."/>
      <w:lvlJc w:val="left"/>
      <w:pPr>
        <w:ind w:left="1020" w:hanging="360"/>
      </w:pPr>
    </w:lvl>
    <w:lvl w:ilvl="6" w:tplc="678E15DC">
      <w:start w:val="1"/>
      <w:numFmt w:val="decimal"/>
      <w:lvlText w:val="%7."/>
      <w:lvlJc w:val="left"/>
      <w:pPr>
        <w:ind w:left="1020" w:hanging="360"/>
      </w:pPr>
    </w:lvl>
    <w:lvl w:ilvl="7" w:tplc="E58CCD72">
      <w:start w:val="1"/>
      <w:numFmt w:val="decimal"/>
      <w:lvlText w:val="%8."/>
      <w:lvlJc w:val="left"/>
      <w:pPr>
        <w:ind w:left="1020" w:hanging="360"/>
      </w:pPr>
    </w:lvl>
    <w:lvl w:ilvl="8" w:tplc="4CB66936">
      <w:start w:val="1"/>
      <w:numFmt w:val="decimal"/>
      <w:lvlText w:val="%9."/>
      <w:lvlJc w:val="left"/>
      <w:pPr>
        <w:ind w:left="1020" w:hanging="360"/>
      </w:pPr>
    </w:lvl>
  </w:abstractNum>
  <w:abstractNum w:abstractNumId="48" w15:restartNumberingAfterBreak="0">
    <w:nsid w:val="7C8418DD"/>
    <w:multiLevelType w:val="hybridMultilevel"/>
    <w:tmpl w:val="72C68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CD01105"/>
    <w:multiLevelType w:val="hybridMultilevel"/>
    <w:tmpl w:val="5DFAD40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082017270">
    <w:abstractNumId w:val="5"/>
  </w:num>
  <w:num w:numId="2" w16cid:durableId="364259887">
    <w:abstractNumId w:val="29"/>
  </w:num>
  <w:num w:numId="3" w16cid:durableId="2080441577">
    <w:abstractNumId w:val="12"/>
  </w:num>
  <w:num w:numId="4" w16cid:durableId="197667261">
    <w:abstractNumId w:val="38"/>
  </w:num>
  <w:num w:numId="5" w16cid:durableId="852913925">
    <w:abstractNumId w:val="0"/>
  </w:num>
  <w:num w:numId="6" w16cid:durableId="617491955">
    <w:abstractNumId w:val="38"/>
  </w:num>
  <w:num w:numId="7" w16cid:durableId="147135713">
    <w:abstractNumId w:val="45"/>
  </w:num>
  <w:num w:numId="8" w16cid:durableId="946235408">
    <w:abstractNumId w:val="20"/>
  </w:num>
  <w:num w:numId="9" w16cid:durableId="1914466214">
    <w:abstractNumId w:val="11"/>
  </w:num>
  <w:num w:numId="10" w16cid:durableId="1264024138">
    <w:abstractNumId w:val="23"/>
  </w:num>
  <w:num w:numId="11" w16cid:durableId="1222518832">
    <w:abstractNumId w:val="41"/>
  </w:num>
  <w:num w:numId="12" w16cid:durableId="996689216">
    <w:abstractNumId w:val="13"/>
  </w:num>
  <w:num w:numId="13" w16cid:durableId="392895979">
    <w:abstractNumId w:val="21"/>
  </w:num>
  <w:num w:numId="14" w16cid:durableId="102505271">
    <w:abstractNumId w:val="30"/>
  </w:num>
  <w:num w:numId="15" w16cid:durableId="632055877">
    <w:abstractNumId w:val="16"/>
  </w:num>
  <w:num w:numId="16" w16cid:durableId="1584298278">
    <w:abstractNumId w:val="0"/>
  </w:num>
  <w:num w:numId="17" w16cid:durableId="115950456">
    <w:abstractNumId w:val="34"/>
  </w:num>
  <w:num w:numId="18" w16cid:durableId="728961863">
    <w:abstractNumId w:val="14"/>
  </w:num>
  <w:num w:numId="19" w16cid:durableId="229969440">
    <w:abstractNumId w:val="0"/>
  </w:num>
  <w:num w:numId="20" w16cid:durableId="998852778">
    <w:abstractNumId w:val="24"/>
  </w:num>
  <w:num w:numId="21" w16cid:durableId="1162624389">
    <w:abstractNumId w:val="39"/>
  </w:num>
  <w:num w:numId="22" w16cid:durableId="855659291">
    <w:abstractNumId w:val="10"/>
  </w:num>
  <w:num w:numId="23" w16cid:durableId="318921905">
    <w:abstractNumId w:val="40"/>
  </w:num>
  <w:num w:numId="24" w16cid:durableId="910429505">
    <w:abstractNumId w:val="7"/>
  </w:num>
  <w:num w:numId="25" w16cid:durableId="245917863">
    <w:abstractNumId w:val="32"/>
  </w:num>
  <w:num w:numId="26" w16cid:durableId="1697923156">
    <w:abstractNumId w:val="3"/>
  </w:num>
  <w:num w:numId="27" w16cid:durableId="2042897436">
    <w:abstractNumId w:val="26"/>
  </w:num>
  <w:num w:numId="28" w16cid:durableId="491337395">
    <w:abstractNumId w:val="28"/>
  </w:num>
  <w:num w:numId="29" w16cid:durableId="1254391260">
    <w:abstractNumId w:val="0"/>
  </w:num>
  <w:num w:numId="30" w16cid:durableId="1939097530">
    <w:abstractNumId w:val="1"/>
  </w:num>
  <w:num w:numId="31" w16cid:durableId="693534248">
    <w:abstractNumId w:val="43"/>
  </w:num>
  <w:num w:numId="32" w16cid:durableId="1425036647">
    <w:abstractNumId w:val="17"/>
  </w:num>
  <w:num w:numId="33" w16cid:durableId="1552841174">
    <w:abstractNumId w:val="15"/>
  </w:num>
  <w:num w:numId="34" w16cid:durableId="665401239">
    <w:abstractNumId w:val="22"/>
  </w:num>
  <w:num w:numId="35" w16cid:durableId="837695697">
    <w:abstractNumId w:val="0"/>
  </w:num>
  <w:num w:numId="36" w16cid:durableId="263270918">
    <w:abstractNumId w:val="8"/>
  </w:num>
  <w:num w:numId="37" w16cid:durableId="495071298">
    <w:abstractNumId w:val="48"/>
  </w:num>
  <w:num w:numId="38" w16cid:durableId="1353264365">
    <w:abstractNumId w:val="0"/>
  </w:num>
  <w:num w:numId="39" w16cid:durableId="1742559858">
    <w:abstractNumId w:val="49"/>
  </w:num>
  <w:num w:numId="40" w16cid:durableId="2065834505">
    <w:abstractNumId w:val="18"/>
  </w:num>
  <w:num w:numId="41" w16cid:durableId="645470765">
    <w:abstractNumId w:val="42"/>
  </w:num>
  <w:num w:numId="42" w16cid:durableId="1206530527">
    <w:abstractNumId w:val="2"/>
  </w:num>
  <w:num w:numId="43" w16cid:durableId="1651448418">
    <w:abstractNumId w:val="0"/>
  </w:num>
  <w:num w:numId="44" w16cid:durableId="86661461">
    <w:abstractNumId w:val="36"/>
  </w:num>
  <w:num w:numId="45" w16cid:durableId="1101216057">
    <w:abstractNumId w:val="0"/>
  </w:num>
  <w:num w:numId="46" w16cid:durableId="1321009357">
    <w:abstractNumId w:val="0"/>
  </w:num>
  <w:num w:numId="47" w16cid:durableId="1933316169">
    <w:abstractNumId w:val="6"/>
  </w:num>
  <w:num w:numId="48" w16cid:durableId="857235530">
    <w:abstractNumId w:val="19"/>
  </w:num>
  <w:num w:numId="49" w16cid:durableId="1291403105">
    <w:abstractNumId w:val="27"/>
  </w:num>
  <w:num w:numId="50" w16cid:durableId="1123887543">
    <w:abstractNumId w:val="25"/>
  </w:num>
  <w:num w:numId="51" w16cid:durableId="791292578">
    <w:abstractNumId w:val="44"/>
  </w:num>
  <w:num w:numId="52" w16cid:durableId="1253004821">
    <w:abstractNumId w:val="4"/>
  </w:num>
  <w:num w:numId="53" w16cid:durableId="347221407">
    <w:abstractNumId w:val="9"/>
  </w:num>
  <w:num w:numId="54" w16cid:durableId="1770925315">
    <w:abstractNumId w:val="37"/>
  </w:num>
  <w:num w:numId="55" w16cid:durableId="1251545415">
    <w:abstractNumId w:val="46"/>
  </w:num>
  <w:num w:numId="56" w16cid:durableId="1301689118">
    <w:abstractNumId w:val="0"/>
  </w:num>
  <w:num w:numId="57" w16cid:durableId="2003894607">
    <w:abstractNumId w:val="0"/>
  </w:num>
  <w:num w:numId="58" w16cid:durableId="1007975472">
    <w:abstractNumId w:val="0"/>
  </w:num>
  <w:num w:numId="59" w16cid:durableId="210504138">
    <w:abstractNumId w:val="0"/>
  </w:num>
  <w:num w:numId="60" w16cid:durableId="1454321754">
    <w:abstractNumId w:val="47"/>
  </w:num>
  <w:num w:numId="61" w16cid:durableId="773013854">
    <w:abstractNumId w:val="35"/>
  </w:num>
  <w:num w:numId="62" w16cid:durableId="1451170602">
    <w:abstractNumId w:val="31"/>
  </w:num>
  <w:num w:numId="63" w16cid:durableId="405609286">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0012"/>
    <w:rsid w:val="00001646"/>
    <w:rsid w:val="00001E10"/>
    <w:rsid w:val="00004845"/>
    <w:rsid w:val="00004A87"/>
    <w:rsid w:val="00004B91"/>
    <w:rsid w:val="000073CD"/>
    <w:rsid w:val="00011B30"/>
    <w:rsid w:val="00014F21"/>
    <w:rsid w:val="000201B8"/>
    <w:rsid w:val="00023E69"/>
    <w:rsid w:val="0002546F"/>
    <w:rsid w:val="000327D9"/>
    <w:rsid w:val="00032BB6"/>
    <w:rsid w:val="00033FDD"/>
    <w:rsid w:val="00035A53"/>
    <w:rsid w:val="000366BF"/>
    <w:rsid w:val="00037667"/>
    <w:rsid w:val="00041D56"/>
    <w:rsid w:val="000447F8"/>
    <w:rsid w:val="000451EF"/>
    <w:rsid w:val="0005101E"/>
    <w:rsid w:val="00056C91"/>
    <w:rsid w:val="00062CC8"/>
    <w:rsid w:val="00063AA7"/>
    <w:rsid w:val="000640A8"/>
    <w:rsid w:val="00064EFB"/>
    <w:rsid w:val="00065464"/>
    <w:rsid w:val="00066E0B"/>
    <w:rsid w:val="000714DC"/>
    <w:rsid w:val="00072024"/>
    <w:rsid w:val="0007275C"/>
    <w:rsid w:val="00076177"/>
    <w:rsid w:val="00077FC5"/>
    <w:rsid w:val="000818D4"/>
    <w:rsid w:val="00084225"/>
    <w:rsid w:val="0008483C"/>
    <w:rsid w:val="00084E07"/>
    <w:rsid w:val="0009112F"/>
    <w:rsid w:val="000956AD"/>
    <w:rsid w:val="000960CE"/>
    <w:rsid w:val="00096D14"/>
    <w:rsid w:val="000A0242"/>
    <w:rsid w:val="000A128C"/>
    <w:rsid w:val="000A1EC5"/>
    <w:rsid w:val="000A258F"/>
    <w:rsid w:val="000A27A4"/>
    <w:rsid w:val="000A398E"/>
    <w:rsid w:val="000A58B8"/>
    <w:rsid w:val="000B10BF"/>
    <w:rsid w:val="000B3B2E"/>
    <w:rsid w:val="000B5548"/>
    <w:rsid w:val="000B6A2A"/>
    <w:rsid w:val="000B7983"/>
    <w:rsid w:val="000C371A"/>
    <w:rsid w:val="000C5957"/>
    <w:rsid w:val="000C66FA"/>
    <w:rsid w:val="000C6BE0"/>
    <w:rsid w:val="000C717D"/>
    <w:rsid w:val="000C75DC"/>
    <w:rsid w:val="000D00D4"/>
    <w:rsid w:val="000D1598"/>
    <w:rsid w:val="000D219E"/>
    <w:rsid w:val="000D4657"/>
    <w:rsid w:val="000D5525"/>
    <w:rsid w:val="000D5701"/>
    <w:rsid w:val="000E0496"/>
    <w:rsid w:val="000E13A3"/>
    <w:rsid w:val="000E140A"/>
    <w:rsid w:val="000E1EC7"/>
    <w:rsid w:val="000E637B"/>
    <w:rsid w:val="000F1303"/>
    <w:rsid w:val="000F30B1"/>
    <w:rsid w:val="000F4737"/>
    <w:rsid w:val="000F4967"/>
    <w:rsid w:val="000F4D58"/>
    <w:rsid w:val="000F5A0E"/>
    <w:rsid w:val="000F5B66"/>
    <w:rsid w:val="000F79BB"/>
    <w:rsid w:val="0010243A"/>
    <w:rsid w:val="00103D74"/>
    <w:rsid w:val="0011122F"/>
    <w:rsid w:val="001142C6"/>
    <w:rsid w:val="00114312"/>
    <w:rsid w:val="00116D66"/>
    <w:rsid w:val="001175EE"/>
    <w:rsid w:val="0012035A"/>
    <w:rsid w:val="0012319D"/>
    <w:rsid w:val="0012453C"/>
    <w:rsid w:val="00126BCF"/>
    <w:rsid w:val="00126CB4"/>
    <w:rsid w:val="001315AA"/>
    <w:rsid w:val="001327CD"/>
    <w:rsid w:val="0013610F"/>
    <w:rsid w:val="001371D7"/>
    <w:rsid w:val="00140D18"/>
    <w:rsid w:val="00141180"/>
    <w:rsid w:val="00142040"/>
    <w:rsid w:val="00142AD8"/>
    <w:rsid w:val="001439AE"/>
    <w:rsid w:val="0014781F"/>
    <w:rsid w:val="0015250C"/>
    <w:rsid w:val="0015282B"/>
    <w:rsid w:val="001530CB"/>
    <w:rsid w:val="00155881"/>
    <w:rsid w:val="00155A2F"/>
    <w:rsid w:val="00160011"/>
    <w:rsid w:val="0016069E"/>
    <w:rsid w:val="00162184"/>
    <w:rsid w:val="00163A58"/>
    <w:rsid w:val="00163ECE"/>
    <w:rsid w:val="00164105"/>
    <w:rsid w:val="00164CF8"/>
    <w:rsid w:val="00165039"/>
    <w:rsid w:val="00167F7A"/>
    <w:rsid w:val="00170EA6"/>
    <w:rsid w:val="00171D91"/>
    <w:rsid w:val="00172080"/>
    <w:rsid w:val="00172C77"/>
    <w:rsid w:val="00172D06"/>
    <w:rsid w:val="00172FD2"/>
    <w:rsid w:val="00174719"/>
    <w:rsid w:val="001752F4"/>
    <w:rsid w:val="0017700C"/>
    <w:rsid w:val="001771E3"/>
    <w:rsid w:val="00177251"/>
    <w:rsid w:val="00182A43"/>
    <w:rsid w:val="00185858"/>
    <w:rsid w:val="00186E89"/>
    <w:rsid w:val="001876C4"/>
    <w:rsid w:val="00191357"/>
    <w:rsid w:val="00191940"/>
    <w:rsid w:val="00191B14"/>
    <w:rsid w:val="00192105"/>
    <w:rsid w:val="00193670"/>
    <w:rsid w:val="0019416D"/>
    <w:rsid w:val="001A0DAB"/>
    <w:rsid w:val="001A223B"/>
    <w:rsid w:val="001A3E6E"/>
    <w:rsid w:val="001A3F82"/>
    <w:rsid w:val="001A41B0"/>
    <w:rsid w:val="001A4BF3"/>
    <w:rsid w:val="001A7F18"/>
    <w:rsid w:val="001B3F3D"/>
    <w:rsid w:val="001C139F"/>
    <w:rsid w:val="001C30A7"/>
    <w:rsid w:val="001C4D57"/>
    <w:rsid w:val="001D0898"/>
    <w:rsid w:val="001D0B74"/>
    <w:rsid w:val="001D2509"/>
    <w:rsid w:val="001D2A31"/>
    <w:rsid w:val="001D2D31"/>
    <w:rsid w:val="001D382A"/>
    <w:rsid w:val="001D4D55"/>
    <w:rsid w:val="001D6340"/>
    <w:rsid w:val="001D64DD"/>
    <w:rsid w:val="001E62E3"/>
    <w:rsid w:val="001F1731"/>
    <w:rsid w:val="001F184D"/>
    <w:rsid w:val="001F2761"/>
    <w:rsid w:val="001F2DEF"/>
    <w:rsid w:val="001F2F59"/>
    <w:rsid w:val="001F7B2A"/>
    <w:rsid w:val="002003DC"/>
    <w:rsid w:val="00202402"/>
    <w:rsid w:val="002048A2"/>
    <w:rsid w:val="00206D8C"/>
    <w:rsid w:val="00207234"/>
    <w:rsid w:val="0021064D"/>
    <w:rsid w:val="00210868"/>
    <w:rsid w:val="00211762"/>
    <w:rsid w:val="0021565E"/>
    <w:rsid w:val="002177D4"/>
    <w:rsid w:val="002178D0"/>
    <w:rsid w:val="00220128"/>
    <w:rsid w:val="00225D6A"/>
    <w:rsid w:val="0022650A"/>
    <w:rsid w:val="00227DFF"/>
    <w:rsid w:val="00231245"/>
    <w:rsid w:val="00231330"/>
    <w:rsid w:val="00231C54"/>
    <w:rsid w:val="00232276"/>
    <w:rsid w:val="00232714"/>
    <w:rsid w:val="00232A0F"/>
    <w:rsid w:val="0023464E"/>
    <w:rsid w:val="00241364"/>
    <w:rsid w:val="0024137B"/>
    <w:rsid w:val="00244BB4"/>
    <w:rsid w:val="00245F8D"/>
    <w:rsid w:val="00255F1F"/>
    <w:rsid w:val="00257C2E"/>
    <w:rsid w:val="00260DDF"/>
    <w:rsid w:val="00261692"/>
    <w:rsid w:val="0026280F"/>
    <w:rsid w:val="00262940"/>
    <w:rsid w:val="00266B53"/>
    <w:rsid w:val="002724E5"/>
    <w:rsid w:val="002736A3"/>
    <w:rsid w:val="002738AE"/>
    <w:rsid w:val="00280387"/>
    <w:rsid w:val="00280B62"/>
    <w:rsid w:val="00280B6C"/>
    <w:rsid w:val="00281921"/>
    <w:rsid w:val="0028527F"/>
    <w:rsid w:val="00292C8A"/>
    <w:rsid w:val="0029322D"/>
    <w:rsid w:val="0029397E"/>
    <w:rsid w:val="00296227"/>
    <w:rsid w:val="002A149B"/>
    <w:rsid w:val="002A2641"/>
    <w:rsid w:val="002A36AA"/>
    <w:rsid w:val="002B0EF2"/>
    <w:rsid w:val="002B2C8F"/>
    <w:rsid w:val="002B4353"/>
    <w:rsid w:val="002C097F"/>
    <w:rsid w:val="002C3382"/>
    <w:rsid w:val="002C7BFF"/>
    <w:rsid w:val="002D2D1D"/>
    <w:rsid w:val="002D4766"/>
    <w:rsid w:val="002D4B35"/>
    <w:rsid w:val="002D57B6"/>
    <w:rsid w:val="002E0E87"/>
    <w:rsid w:val="002E3503"/>
    <w:rsid w:val="002E3B95"/>
    <w:rsid w:val="002F1DE6"/>
    <w:rsid w:val="002F2914"/>
    <w:rsid w:val="002F32A4"/>
    <w:rsid w:val="002F5482"/>
    <w:rsid w:val="002F57CA"/>
    <w:rsid w:val="002F60D9"/>
    <w:rsid w:val="002F7270"/>
    <w:rsid w:val="00301319"/>
    <w:rsid w:val="00306160"/>
    <w:rsid w:val="003116F8"/>
    <w:rsid w:val="00312897"/>
    <w:rsid w:val="00312E01"/>
    <w:rsid w:val="00313A4E"/>
    <w:rsid w:val="00314245"/>
    <w:rsid w:val="00316B95"/>
    <w:rsid w:val="003179BA"/>
    <w:rsid w:val="003238BB"/>
    <w:rsid w:val="00324E3E"/>
    <w:rsid w:val="00325E0C"/>
    <w:rsid w:val="00327294"/>
    <w:rsid w:val="00327F81"/>
    <w:rsid w:val="00336A90"/>
    <w:rsid w:val="00337FAF"/>
    <w:rsid w:val="003451C3"/>
    <w:rsid w:val="00345223"/>
    <w:rsid w:val="003454E7"/>
    <w:rsid w:val="0034560A"/>
    <w:rsid w:val="00354ADC"/>
    <w:rsid w:val="00360604"/>
    <w:rsid w:val="00363455"/>
    <w:rsid w:val="003639AC"/>
    <w:rsid w:val="003650E7"/>
    <w:rsid w:val="00366CD0"/>
    <w:rsid w:val="00371701"/>
    <w:rsid w:val="00372BAD"/>
    <w:rsid w:val="00373ABB"/>
    <w:rsid w:val="00373D68"/>
    <w:rsid w:val="00375367"/>
    <w:rsid w:val="003768BA"/>
    <w:rsid w:val="003768FC"/>
    <w:rsid w:val="003811C0"/>
    <w:rsid w:val="00382391"/>
    <w:rsid w:val="00383CDC"/>
    <w:rsid w:val="003930F3"/>
    <w:rsid w:val="0039358C"/>
    <w:rsid w:val="003A1072"/>
    <w:rsid w:val="003A262D"/>
    <w:rsid w:val="003A3B11"/>
    <w:rsid w:val="003A4505"/>
    <w:rsid w:val="003A5545"/>
    <w:rsid w:val="003B26C6"/>
    <w:rsid w:val="003B33EF"/>
    <w:rsid w:val="003B3CED"/>
    <w:rsid w:val="003B7CE3"/>
    <w:rsid w:val="003C0F2F"/>
    <w:rsid w:val="003C39A5"/>
    <w:rsid w:val="003C647A"/>
    <w:rsid w:val="003C77B9"/>
    <w:rsid w:val="003D0841"/>
    <w:rsid w:val="003D10D1"/>
    <w:rsid w:val="003D383E"/>
    <w:rsid w:val="003D58FC"/>
    <w:rsid w:val="003D630F"/>
    <w:rsid w:val="003E0117"/>
    <w:rsid w:val="003E57B2"/>
    <w:rsid w:val="003F1E5F"/>
    <w:rsid w:val="003F2BF3"/>
    <w:rsid w:val="003F4F39"/>
    <w:rsid w:val="004010B9"/>
    <w:rsid w:val="00401E16"/>
    <w:rsid w:val="00401E67"/>
    <w:rsid w:val="00403AD6"/>
    <w:rsid w:val="004051A4"/>
    <w:rsid w:val="00405BC9"/>
    <w:rsid w:val="00406B3B"/>
    <w:rsid w:val="00411A25"/>
    <w:rsid w:val="00412E72"/>
    <w:rsid w:val="00413170"/>
    <w:rsid w:val="004161CB"/>
    <w:rsid w:val="00416239"/>
    <w:rsid w:val="004167B3"/>
    <w:rsid w:val="004210B1"/>
    <w:rsid w:val="00423B9B"/>
    <w:rsid w:val="004259D2"/>
    <w:rsid w:val="00425C4B"/>
    <w:rsid w:val="0042626F"/>
    <w:rsid w:val="004272DA"/>
    <w:rsid w:val="004276A7"/>
    <w:rsid w:val="00430AEE"/>
    <w:rsid w:val="004410E7"/>
    <w:rsid w:val="00441340"/>
    <w:rsid w:val="00445DB3"/>
    <w:rsid w:val="004477DE"/>
    <w:rsid w:val="0045090B"/>
    <w:rsid w:val="004509CE"/>
    <w:rsid w:val="00452DA0"/>
    <w:rsid w:val="00454485"/>
    <w:rsid w:val="00460D71"/>
    <w:rsid w:val="004642DC"/>
    <w:rsid w:val="004643CE"/>
    <w:rsid w:val="004651C4"/>
    <w:rsid w:val="004677C5"/>
    <w:rsid w:val="00467E9E"/>
    <w:rsid w:val="0047278A"/>
    <w:rsid w:val="00472A5B"/>
    <w:rsid w:val="00472DBF"/>
    <w:rsid w:val="00474815"/>
    <w:rsid w:val="00482033"/>
    <w:rsid w:val="00486467"/>
    <w:rsid w:val="00487753"/>
    <w:rsid w:val="00490992"/>
    <w:rsid w:val="004917F3"/>
    <w:rsid w:val="00491DEE"/>
    <w:rsid w:val="00491F62"/>
    <w:rsid w:val="004921D8"/>
    <w:rsid w:val="00493D08"/>
    <w:rsid w:val="00494EA1"/>
    <w:rsid w:val="0049502B"/>
    <w:rsid w:val="00495C1E"/>
    <w:rsid w:val="004A0009"/>
    <w:rsid w:val="004A029B"/>
    <w:rsid w:val="004A15D8"/>
    <w:rsid w:val="004A1AC9"/>
    <w:rsid w:val="004A34B9"/>
    <w:rsid w:val="004A5A84"/>
    <w:rsid w:val="004B121A"/>
    <w:rsid w:val="004B4A48"/>
    <w:rsid w:val="004B4C21"/>
    <w:rsid w:val="004C7FD6"/>
    <w:rsid w:val="004D2AEC"/>
    <w:rsid w:val="004D3DE6"/>
    <w:rsid w:val="004D4B91"/>
    <w:rsid w:val="004D5A58"/>
    <w:rsid w:val="004D6D37"/>
    <w:rsid w:val="004E07A6"/>
    <w:rsid w:val="004E1AB4"/>
    <w:rsid w:val="004E335C"/>
    <w:rsid w:val="004E34C2"/>
    <w:rsid w:val="004E3760"/>
    <w:rsid w:val="004F01EC"/>
    <w:rsid w:val="004F5E3E"/>
    <w:rsid w:val="004F61AE"/>
    <w:rsid w:val="004F6956"/>
    <w:rsid w:val="004F7D10"/>
    <w:rsid w:val="005009D7"/>
    <w:rsid w:val="005048B7"/>
    <w:rsid w:val="005071C1"/>
    <w:rsid w:val="005112F8"/>
    <w:rsid w:val="00511CAF"/>
    <w:rsid w:val="00512111"/>
    <w:rsid w:val="00512592"/>
    <w:rsid w:val="005148B9"/>
    <w:rsid w:val="00516A9A"/>
    <w:rsid w:val="0052177F"/>
    <w:rsid w:val="00522386"/>
    <w:rsid w:val="005237B9"/>
    <w:rsid w:val="005240A3"/>
    <w:rsid w:val="00525472"/>
    <w:rsid w:val="0052689B"/>
    <w:rsid w:val="005310E4"/>
    <w:rsid w:val="0053276A"/>
    <w:rsid w:val="00532C44"/>
    <w:rsid w:val="005330F4"/>
    <w:rsid w:val="005348CB"/>
    <w:rsid w:val="00534BFB"/>
    <w:rsid w:val="00535CF8"/>
    <w:rsid w:val="00536A05"/>
    <w:rsid w:val="00537633"/>
    <w:rsid w:val="00540088"/>
    <w:rsid w:val="00540906"/>
    <w:rsid w:val="005412A5"/>
    <w:rsid w:val="00542C3A"/>
    <w:rsid w:val="00543A34"/>
    <w:rsid w:val="0054407C"/>
    <w:rsid w:val="00545F95"/>
    <w:rsid w:val="00546C44"/>
    <w:rsid w:val="0055111D"/>
    <w:rsid w:val="005548FC"/>
    <w:rsid w:val="00555138"/>
    <w:rsid w:val="00557E7B"/>
    <w:rsid w:val="00560DCA"/>
    <w:rsid w:val="00562E8D"/>
    <w:rsid w:val="00564FCB"/>
    <w:rsid w:val="005659CE"/>
    <w:rsid w:val="00570181"/>
    <w:rsid w:val="00572E49"/>
    <w:rsid w:val="00573113"/>
    <w:rsid w:val="005779B6"/>
    <w:rsid w:val="005779F8"/>
    <w:rsid w:val="00582CD1"/>
    <w:rsid w:val="00582CDC"/>
    <w:rsid w:val="0058364D"/>
    <w:rsid w:val="005849F3"/>
    <w:rsid w:val="005850CF"/>
    <w:rsid w:val="00590B39"/>
    <w:rsid w:val="005938B5"/>
    <w:rsid w:val="005A47DB"/>
    <w:rsid w:val="005B12AC"/>
    <w:rsid w:val="005B1599"/>
    <w:rsid w:val="005B23D2"/>
    <w:rsid w:val="005B5894"/>
    <w:rsid w:val="005B7B91"/>
    <w:rsid w:val="005C4AB4"/>
    <w:rsid w:val="005C5654"/>
    <w:rsid w:val="005C6E66"/>
    <w:rsid w:val="005C7EBB"/>
    <w:rsid w:val="005D0A5B"/>
    <w:rsid w:val="005D2C11"/>
    <w:rsid w:val="005E0F13"/>
    <w:rsid w:val="005E1668"/>
    <w:rsid w:val="005E468A"/>
    <w:rsid w:val="005F0C6E"/>
    <w:rsid w:val="005F16E6"/>
    <w:rsid w:val="005F1718"/>
    <w:rsid w:val="005F3578"/>
    <w:rsid w:val="005F5582"/>
    <w:rsid w:val="0061015E"/>
    <w:rsid w:val="00613E50"/>
    <w:rsid w:val="00615149"/>
    <w:rsid w:val="0061606C"/>
    <w:rsid w:val="00622D2B"/>
    <w:rsid w:val="0062300F"/>
    <w:rsid w:val="00623AAE"/>
    <w:rsid w:val="0063105E"/>
    <w:rsid w:val="006347F0"/>
    <w:rsid w:val="00634E07"/>
    <w:rsid w:val="006418CA"/>
    <w:rsid w:val="00642037"/>
    <w:rsid w:val="00643F90"/>
    <w:rsid w:val="00644E34"/>
    <w:rsid w:val="00644FFB"/>
    <w:rsid w:val="006476D3"/>
    <w:rsid w:val="0065155D"/>
    <w:rsid w:val="006519D4"/>
    <w:rsid w:val="00651E29"/>
    <w:rsid w:val="00653FAB"/>
    <w:rsid w:val="0065586F"/>
    <w:rsid w:val="006559B6"/>
    <w:rsid w:val="00657495"/>
    <w:rsid w:val="00660DDD"/>
    <w:rsid w:val="006614DC"/>
    <w:rsid w:val="00663C27"/>
    <w:rsid w:val="006655F5"/>
    <w:rsid w:val="00672225"/>
    <w:rsid w:val="006737FD"/>
    <w:rsid w:val="00677C32"/>
    <w:rsid w:val="0068083C"/>
    <w:rsid w:val="00682AB3"/>
    <w:rsid w:val="00684EE5"/>
    <w:rsid w:val="00691594"/>
    <w:rsid w:val="0069257C"/>
    <w:rsid w:val="006A19F5"/>
    <w:rsid w:val="006A4EB2"/>
    <w:rsid w:val="006B040A"/>
    <w:rsid w:val="006B0C24"/>
    <w:rsid w:val="006B1019"/>
    <w:rsid w:val="006B18C8"/>
    <w:rsid w:val="006B1A49"/>
    <w:rsid w:val="006B4D2E"/>
    <w:rsid w:val="006B69EB"/>
    <w:rsid w:val="006B7527"/>
    <w:rsid w:val="006D3863"/>
    <w:rsid w:val="006D4A95"/>
    <w:rsid w:val="006D70CD"/>
    <w:rsid w:val="006D77CA"/>
    <w:rsid w:val="006E0E8C"/>
    <w:rsid w:val="006E4CA7"/>
    <w:rsid w:val="006F0036"/>
    <w:rsid w:val="006F6549"/>
    <w:rsid w:val="00700088"/>
    <w:rsid w:val="007002A1"/>
    <w:rsid w:val="007003A2"/>
    <w:rsid w:val="007030E8"/>
    <w:rsid w:val="00703DFC"/>
    <w:rsid w:val="00706620"/>
    <w:rsid w:val="0070757B"/>
    <w:rsid w:val="00710EE4"/>
    <w:rsid w:val="007113EB"/>
    <w:rsid w:val="00711F47"/>
    <w:rsid w:val="00722B52"/>
    <w:rsid w:val="007273C2"/>
    <w:rsid w:val="00727D32"/>
    <w:rsid w:val="00727DBB"/>
    <w:rsid w:val="00733417"/>
    <w:rsid w:val="00733F5B"/>
    <w:rsid w:val="00734DBA"/>
    <w:rsid w:val="00735931"/>
    <w:rsid w:val="00736FB4"/>
    <w:rsid w:val="007375DC"/>
    <w:rsid w:val="00740BDB"/>
    <w:rsid w:val="00740CF0"/>
    <w:rsid w:val="007441A9"/>
    <w:rsid w:val="007446A6"/>
    <w:rsid w:val="007449C9"/>
    <w:rsid w:val="00746ECA"/>
    <w:rsid w:val="007516E7"/>
    <w:rsid w:val="0075318B"/>
    <w:rsid w:val="007532D6"/>
    <w:rsid w:val="00753B83"/>
    <w:rsid w:val="007575F7"/>
    <w:rsid w:val="00763A74"/>
    <w:rsid w:val="007644A1"/>
    <w:rsid w:val="00764822"/>
    <w:rsid w:val="00766B76"/>
    <w:rsid w:val="00766ED6"/>
    <w:rsid w:val="007670D6"/>
    <w:rsid w:val="0076735D"/>
    <w:rsid w:val="00767FF7"/>
    <w:rsid w:val="00770B32"/>
    <w:rsid w:val="00770D5A"/>
    <w:rsid w:val="00775ABA"/>
    <w:rsid w:val="007778B2"/>
    <w:rsid w:val="00783D9D"/>
    <w:rsid w:val="007852A1"/>
    <w:rsid w:val="0078673D"/>
    <w:rsid w:val="00794C68"/>
    <w:rsid w:val="00797D98"/>
    <w:rsid w:val="007A1CBB"/>
    <w:rsid w:val="007A22CE"/>
    <w:rsid w:val="007A28F3"/>
    <w:rsid w:val="007A5041"/>
    <w:rsid w:val="007A6939"/>
    <w:rsid w:val="007A7A02"/>
    <w:rsid w:val="007B1CA6"/>
    <w:rsid w:val="007B28C0"/>
    <w:rsid w:val="007B5EAD"/>
    <w:rsid w:val="007C0A96"/>
    <w:rsid w:val="007C0B93"/>
    <w:rsid w:val="007C1F19"/>
    <w:rsid w:val="007C495C"/>
    <w:rsid w:val="007C61C8"/>
    <w:rsid w:val="007C7C14"/>
    <w:rsid w:val="007C7ECB"/>
    <w:rsid w:val="007D2FCE"/>
    <w:rsid w:val="007D3856"/>
    <w:rsid w:val="007D4480"/>
    <w:rsid w:val="007E0874"/>
    <w:rsid w:val="007E213F"/>
    <w:rsid w:val="007E233B"/>
    <w:rsid w:val="007E3122"/>
    <w:rsid w:val="007F520F"/>
    <w:rsid w:val="00802D70"/>
    <w:rsid w:val="0080586E"/>
    <w:rsid w:val="00806118"/>
    <w:rsid w:val="008136BD"/>
    <w:rsid w:val="00816C30"/>
    <w:rsid w:val="0081701E"/>
    <w:rsid w:val="00823121"/>
    <w:rsid w:val="00823BA9"/>
    <w:rsid w:val="00824F68"/>
    <w:rsid w:val="008328A1"/>
    <w:rsid w:val="00832BA8"/>
    <w:rsid w:val="00833265"/>
    <w:rsid w:val="008339F4"/>
    <w:rsid w:val="00833E4A"/>
    <w:rsid w:val="008343BF"/>
    <w:rsid w:val="00835A43"/>
    <w:rsid w:val="00836373"/>
    <w:rsid w:val="008369EE"/>
    <w:rsid w:val="0083751F"/>
    <w:rsid w:val="00842050"/>
    <w:rsid w:val="00843001"/>
    <w:rsid w:val="00843EE1"/>
    <w:rsid w:val="008465E8"/>
    <w:rsid w:val="0084687D"/>
    <w:rsid w:val="008520DC"/>
    <w:rsid w:val="008534BF"/>
    <w:rsid w:val="00854AD4"/>
    <w:rsid w:val="00854EFF"/>
    <w:rsid w:val="0085727B"/>
    <w:rsid w:val="008619DB"/>
    <w:rsid w:val="008626DD"/>
    <w:rsid w:val="00864639"/>
    <w:rsid w:val="0086483A"/>
    <w:rsid w:val="00870C77"/>
    <w:rsid w:val="00872087"/>
    <w:rsid w:val="00873902"/>
    <w:rsid w:val="00874452"/>
    <w:rsid w:val="008762DC"/>
    <w:rsid w:val="00876F1F"/>
    <w:rsid w:val="00880098"/>
    <w:rsid w:val="008811F4"/>
    <w:rsid w:val="00884332"/>
    <w:rsid w:val="00885BFA"/>
    <w:rsid w:val="008868EC"/>
    <w:rsid w:val="00887CE6"/>
    <w:rsid w:val="008928BE"/>
    <w:rsid w:val="008A0799"/>
    <w:rsid w:val="008A10A0"/>
    <w:rsid w:val="008A1CEC"/>
    <w:rsid w:val="008A4C71"/>
    <w:rsid w:val="008A603C"/>
    <w:rsid w:val="008A6D7A"/>
    <w:rsid w:val="008B1217"/>
    <w:rsid w:val="008B2AA4"/>
    <w:rsid w:val="008B2D3B"/>
    <w:rsid w:val="008B7AD1"/>
    <w:rsid w:val="008C1921"/>
    <w:rsid w:val="008C32CA"/>
    <w:rsid w:val="008C38A3"/>
    <w:rsid w:val="008C42AF"/>
    <w:rsid w:val="008C47F2"/>
    <w:rsid w:val="008C5EAE"/>
    <w:rsid w:val="008C798B"/>
    <w:rsid w:val="008C7FF2"/>
    <w:rsid w:val="008D5074"/>
    <w:rsid w:val="008D5228"/>
    <w:rsid w:val="008D52F1"/>
    <w:rsid w:val="008D7F0D"/>
    <w:rsid w:val="008E0CE5"/>
    <w:rsid w:val="008E0FF5"/>
    <w:rsid w:val="008E50FC"/>
    <w:rsid w:val="008F13F2"/>
    <w:rsid w:val="008F431C"/>
    <w:rsid w:val="008F51DC"/>
    <w:rsid w:val="008F711D"/>
    <w:rsid w:val="009007AD"/>
    <w:rsid w:val="00901773"/>
    <w:rsid w:val="00902380"/>
    <w:rsid w:val="0090466A"/>
    <w:rsid w:val="00904B74"/>
    <w:rsid w:val="00906597"/>
    <w:rsid w:val="00907E27"/>
    <w:rsid w:val="009124CA"/>
    <w:rsid w:val="00914D89"/>
    <w:rsid w:val="009163D2"/>
    <w:rsid w:val="009174AF"/>
    <w:rsid w:val="00923C08"/>
    <w:rsid w:val="00924A84"/>
    <w:rsid w:val="00925AB6"/>
    <w:rsid w:val="00926E5F"/>
    <w:rsid w:val="009306B5"/>
    <w:rsid w:val="00932497"/>
    <w:rsid w:val="00936EF7"/>
    <w:rsid w:val="00943C4B"/>
    <w:rsid w:val="00944461"/>
    <w:rsid w:val="00951799"/>
    <w:rsid w:val="00951C29"/>
    <w:rsid w:val="009532A7"/>
    <w:rsid w:val="00953A01"/>
    <w:rsid w:val="009568E8"/>
    <w:rsid w:val="009570AA"/>
    <w:rsid w:val="009600E6"/>
    <w:rsid w:val="00965EDD"/>
    <w:rsid w:val="00967212"/>
    <w:rsid w:val="00972218"/>
    <w:rsid w:val="00973309"/>
    <w:rsid w:val="0098428E"/>
    <w:rsid w:val="00984FF7"/>
    <w:rsid w:val="00985363"/>
    <w:rsid w:val="00985BCA"/>
    <w:rsid w:val="00986DDD"/>
    <w:rsid w:val="0098703A"/>
    <w:rsid w:val="00992363"/>
    <w:rsid w:val="0099280A"/>
    <w:rsid w:val="00992CDE"/>
    <w:rsid w:val="00995DE1"/>
    <w:rsid w:val="00996294"/>
    <w:rsid w:val="009A2792"/>
    <w:rsid w:val="009A4715"/>
    <w:rsid w:val="009A4C4B"/>
    <w:rsid w:val="009A7095"/>
    <w:rsid w:val="009B32F1"/>
    <w:rsid w:val="009B48F8"/>
    <w:rsid w:val="009B655F"/>
    <w:rsid w:val="009B6C86"/>
    <w:rsid w:val="009B7424"/>
    <w:rsid w:val="009B76E2"/>
    <w:rsid w:val="009C1293"/>
    <w:rsid w:val="009C1BCF"/>
    <w:rsid w:val="009D0A4C"/>
    <w:rsid w:val="009D113E"/>
    <w:rsid w:val="009D1BF4"/>
    <w:rsid w:val="009D1C78"/>
    <w:rsid w:val="009D2D8F"/>
    <w:rsid w:val="009D2FE8"/>
    <w:rsid w:val="009D31AD"/>
    <w:rsid w:val="009D4A75"/>
    <w:rsid w:val="009E1A7C"/>
    <w:rsid w:val="009E20A8"/>
    <w:rsid w:val="009E223E"/>
    <w:rsid w:val="009E2CD3"/>
    <w:rsid w:val="009E418D"/>
    <w:rsid w:val="009E41E3"/>
    <w:rsid w:val="009E4554"/>
    <w:rsid w:val="009E4831"/>
    <w:rsid w:val="009E61F9"/>
    <w:rsid w:val="009E6E7D"/>
    <w:rsid w:val="009F2E89"/>
    <w:rsid w:val="009F4138"/>
    <w:rsid w:val="009F4EFA"/>
    <w:rsid w:val="009F5D48"/>
    <w:rsid w:val="009F6850"/>
    <w:rsid w:val="00A0177E"/>
    <w:rsid w:val="00A0250F"/>
    <w:rsid w:val="00A02D00"/>
    <w:rsid w:val="00A1130B"/>
    <w:rsid w:val="00A12C49"/>
    <w:rsid w:val="00A12E27"/>
    <w:rsid w:val="00A14417"/>
    <w:rsid w:val="00A167CA"/>
    <w:rsid w:val="00A17505"/>
    <w:rsid w:val="00A24C2D"/>
    <w:rsid w:val="00A25747"/>
    <w:rsid w:val="00A31428"/>
    <w:rsid w:val="00A3275C"/>
    <w:rsid w:val="00A32CB1"/>
    <w:rsid w:val="00A32F0F"/>
    <w:rsid w:val="00A37879"/>
    <w:rsid w:val="00A403A4"/>
    <w:rsid w:val="00A4046E"/>
    <w:rsid w:val="00A440AB"/>
    <w:rsid w:val="00A47EE6"/>
    <w:rsid w:val="00A53A10"/>
    <w:rsid w:val="00A53BA9"/>
    <w:rsid w:val="00A5691A"/>
    <w:rsid w:val="00A56CA5"/>
    <w:rsid w:val="00A61624"/>
    <w:rsid w:val="00A65692"/>
    <w:rsid w:val="00A74AA3"/>
    <w:rsid w:val="00A802AF"/>
    <w:rsid w:val="00A826F0"/>
    <w:rsid w:val="00A8340A"/>
    <w:rsid w:val="00A8552A"/>
    <w:rsid w:val="00A86791"/>
    <w:rsid w:val="00A92CF5"/>
    <w:rsid w:val="00A93A88"/>
    <w:rsid w:val="00A95FAC"/>
    <w:rsid w:val="00AA0431"/>
    <w:rsid w:val="00AA100D"/>
    <w:rsid w:val="00AA19EC"/>
    <w:rsid w:val="00AA27E4"/>
    <w:rsid w:val="00AA2ADF"/>
    <w:rsid w:val="00AA4E24"/>
    <w:rsid w:val="00AA6934"/>
    <w:rsid w:val="00AB0D7E"/>
    <w:rsid w:val="00AB10EE"/>
    <w:rsid w:val="00AB186B"/>
    <w:rsid w:val="00AB1A23"/>
    <w:rsid w:val="00AB1E57"/>
    <w:rsid w:val="00AB21B9"/>
    <w:rsid w:val="00AB21CB"/>
    <w:rsid w:val="00AB29F5"/>
    <w:rsid w:val="00AB31DC"/>
    <w:rsid w:val="00AB43C2"/>
    <w:rsid w:val="00AB4C1D"/>
    <w:rsid w:val="00AB70F0"/>
    <w:rsid w:val="00AC1B77"/>
    <w:rsid w:val="00AC2558"/>
    <w:rsid w:val="00AC2B10"/>
    <w:rsid w:val="00AC3B2F"/>
    <w:rsid w:val="00AC40C6"/>
    <w:rsid w:val="00AC57CC"/>
    <w:rsid w:val="00AD0C15"/>
    <w:rsid w:val="00AD3211"/>
    <w:rsid w:val="00AD3673"/>
    <w:rsid w:val="00AE2184"/>
    <w:rsid w:val="00AE2BA5"/>
    <w:rsid w:val="00AE2CF2"/>
    <w:rsid w:val="00AE339A"/>
    <w:rsid w:val="00AF0394"/>
    <w:rsid w:val="00B00554"/>
    <w:rsid w:val="00B01F2D"/>
    <w:rsid w:val="00B070A8"/>
    <w:rsid w:val="00B11EC4"/>
    <w:rsid w:val="00B13263"/>
    <w:rsid w:val="00B1410E"/>
    <w:rsid w:val="00B1658D"/>
    <w:rsid w:val="00B17D6E"/>
    <w:rsid w:val="00B20E63"/>
    <w:rsid w:val="00B24B21"/>
    <w:rsid w:val="00B24D67"/>
    <w:rsid w:val="00B26694"/>
    <w:rsid w:val="00B31AEC"/>
    <w:rsid w:val="00B3229C"/>
    <w:rsid w:val="00B353E8"/>
    <w:rsid w:val="00B36253"/>
    <w:rsid w:val="00B36600"/>
    <w:rsid w:val="00B410B4"/>
    <w:rsid w:val="00B47719"/>
    <w:rsid w:val="00B50520"/>
    <w:rsid w:val="00B51123"/>
    <w:rsid w:val="00B5294B"/>
    <w:rsid w:val="00B570B2"/>
    <w:rsid w:val="00B60DA3"/>
    <w:rsid w:val="00B60F83"/>
    <w:rsid w:val="00B612E1"/>
    <w:rsid w:val="00B63402"/>
    <w:rsid w:val="00B63B32"/>
    <w:rsid w:val="00B6473C"/>
    <w:rsid w:val="00B64B3C"/>
    <w:rsid w:val="00B653A7"/>
    <w:rsid w:val="00B65791"/>
    <w:rsid w:val="00B709EE"/>
    <w:rsid w:val="00B740FE"/>
    <w:rsid w:val="00B74980"/>
    <w:rsid w:val="00B81C02"/>
    <w:rsid w:val="00B83D09"/>
    <w:rsid w:val="00B84885"/>
    <w:rsid w:val="00B85317"/>
    <w:rsid w:val="00B907FF"/>
    <w:rsid w:val="00B92831"/>
    <w:rsid w:val="00B9334D"/>
    <w:rsid w:val="00B94B40"/>
    <w:rsid w:val="00B950A2"/>
    <w:rsid w:val="00B97146"/>
    <w:rsid w:val="00B97654"/>
    <w:rsid w:val="00B97819"/>
    <w:rsid w:val="00BA1D4B"/>
    <w:rsid w:val="00BA3D96"/>
    <w:rsid w:val="00BA40B5"/>
    <w:rsid w:val="00BA506A"/>
    <w:rsid w:val="00BA6CF0"/>
    <w:rsid w:val="00BB115B"/>
    <w:rsid w:val="00BB122B"/>
    <w:rsid w:val="00BB1751"/>
    <w:rsid w:val="00BB2CA0"/>
    <w:rsid w:val="00BB5E5B"/>
    <w:rsid w:val="00BB6F82"/>
    <w:rsid w:val="00BC031D"/>
    <w:rsid w:val="00BC509E"/>
    <w:rsid w:val="00BC6213"/>
    <w:rsid w:val="00BC74FB"/>
    <w:rsid w:val="00BD0924"/>
    <w:rsid w:val="00BD2A21"/>
    <w:rsid w:val="00BD6254"/>
    <w:rsid w:val="00BD6E36"/>
    <w:rsid w:val="00BD78C1"/>
    <w:rsid w:val="00BD799C"/>
    <w:rsid w:val="00BD7CE5"/>
    <w:rsid w:val="00BE07EB"/>
    <w:rsid w:val="00BE1A17"/>
    <w:rsid w:val="00BE3A47"/>
    <w:rsid w:val="00BE3B99"/>
    <w:rsid w:val="00BE4DCF"/>
    <w:rsid w:val="00BE50BD"/>
    <w:rsid w:val="00BE5F8C"/>
    <w:rsid w:val="00BE6AA0"/>
    <w:rsid w:val="00BE70BE"/>
    <w:rsid w:val="00BE7AB3"/>
    <w:rsid w:val="00BF0EA8"/>
    <w:rsid w:val="00BF3255"/>
    <w:rsid w:val="00BF698F"/>
    <w:rsid w:val="00C00748"/>
    <w:rsid w:val="00C0529E"/>
    <w:rsid w:val="00C066ED"/>
    <w:rsid w:val="00C06E28"/>
    <w:rsid w:val="00C0791B"/>
    <w:rsid w:val="00C12CA7"/>
    <w:rsid w:val="00C130CD"/>
    <w:rsid w:val="00C1624C"/>
    <w:rsid w:val="00C16A02"/>
    <w:rsid w:val="00C2215B"/>
    <w:rsid w:val="00C22C6D"/>
    <w:rsid w:val="00C23680"/>
    <w:rsid w:val="00C25B0F"/>
    <w:rsid w:val="00C30ECB"/>
    <w:rsid w:val="00C40534"/>
    <w:rsid w:val="00C40B1A"/>
    <w:rsid w:val="00C41606"/>
    <w:rsid w:val="00C4172E"/>
    <w:rsid w:val="00C42257"/>
    <w:rsid w:val="00C426B5"/>
    <w:rsid w:val="00C429DB"/>
    <w:rsid w:val="00C42BAF"/>
    <w:rsid w:val="00C4454B"/>
    <w:rsid w:val="00C4466C"/>
    <w:rsid w:val="00C44E6D"/>
    <w:rsid w:val="00C478D6"/>
    <w:rsid w:val="00C54FA9"/>
    <w:rsid w:val="00C55A27"/>
    <w:rsid w:val="00C55E75"/>
    <w:rsid w:val="00C562D7"/>
    <w:rsid w:val="00C602DC"/>
    <w:rsid w:val="00C61E0D"/>
    <w:rsid w:val="00C63AAB"/>
    <w:rsid w:val="00C645B1"/>
    <w:rsid w:val="00C654CA"/>
    <w:rsid w:val="00C658E8"/>
    <w:rsid w:val="00C677A1"/>
    <w:rsid w:val="00C7107B"/>
    <w:rsid w:val="00C71A36"/>
    <w:rsid w:val="00C723D1"/>
    <w:rsid w:val="00C7355C"/>
    <w:rsid w:val="00C74E4D"/>
    <w:rsid w:val="00C771BD"/>
    <w:rsid w:val="00C83268"/>
    <w:rsid w:val="00C85E64"/>
    <w:rsid w:val="00C874D7"/>
    <w:rsid w:val="00C879D9"/>
    <w:rsid w:val="00C87FAE"/>
    <w:rsid w:val="00C9108A"/>
    <w:rsid w:val="00C94C40"/>
    <w:rsid w:val="00C954F2"/>
    <w:rsid w:val="00C97379"/>
    <w:rsid w:val="00CA0CC0"/>
    <w:rsid w:val="00CA1C4F"/>
    <w:rsid w:val="00CA2FCF"/>
    <w:rsid w:val="00CA68CB"/>
    <w:rsid w:val="00CB6825"/>
    <w:rsid w:val="00CC0325"/>
    <w:rsid w:val="00CC3657"/>
    <w:rsid w:val="00CC5365"/>
    <w:rsid w:val="00CC5EE1"/>
    <w:rsid w:val="00CC6540"/>
    <w:rsid w:val="00CC6D4C"/>
    <w:rsid w:val="00CC7FA2"/>
    <w:rsid w:val="00CD1D3C"/>
    <w:rsid w:val="00CD2588"/>
    <w:rsid w:val="00CD3A64"/>
    <w:rsid w:val="00CD4AFF"/>
    <w:rsid w:val="00CE0D9F"/>
    <w:rsid w:val="00CF11F0"/>
    <w:rsid w:val="00CF13F5"/>
    <w:rsid w:val="00CF1440"/>
    <w:rsid w:val="00CF2A5A"/>
    <w:rsid w:val="00CF727C"/>
    <w:rsid w:val="00D01573"/>
    <w:rsid w:val="00D02B05"/>
    <w:rsid w:val="00D05203"/>
    <w:rsid w:val="00D06371"/>
    <w:rsid w:val="00D06CFF"/>
    <w:rsid w:val="00D0751F"/>
    <w:rsid w:val="00D120CF"/>
    <w:rsid w:val="00D15FE9"/>
    <w:rsid w:val="00D20221"/>
    <w:rsid w:val="00D2219A"/>
    <w:rsid w:val="00D24AF4"/>
    <w:rsid w:val="00D300AF"/>
    <w:rsid w:val="00D30DD6"/>
    <w:rsid w:val="00D40260"/>
    <w:rsid w:val="00D4044A"/>
    <w:rsid w:val="00D42536"/>
    <w:rsid w:val="00D43185"/>
    <w:rsid w:val="00D43EF8"/>
    <w:rsid w:val="00D45BE0"/>
    <w:rsid w:val="00D51003"/>
    <w:rsid w:val="00D55868"/>
    <w:rsid w:val="00D5778D"/>
    <w:rsid w:val="00D60DA2"/>
    <w:rsid w:val="00D61A6F"/>
    <w:rsid w:val="00D62943"/>
    <w:rsid w:val="00D65B2D"/>
    <w:rsid w:val="00D712C7"/>
    <w:rsid w:val="00D73789"/>
    <w:rsid w:val="00D73EB9"/>
    <w:rsid w:val="00D74A70"/>
    <w:rsid w:val="00D767CF"/>
    <w:rsid w:val="00D7705B"/>
    <w:rsid w:val="00D77CCB"/>
    <w:rsid w:val="00D81AE6"/>
    <w:rsid w:val="00D81F73"/>
    <w:rsid w:val="00D82545"/>
    <w:rsid w:val="00D833E3"/>
    <w:rsid w:val="00D86795"/>
    <w:rsid w:val="00D86796"/>
    <w:rsid w:val="00D87F9C"/>
    <w:rsid w:val="00D90AEC"/>
    <w:rsid w:val="00D90DF8"/>
    <w:rsid w:val="00D93721"/>
    <w:rsid w:val="00D96E97"/>
    <w:rsid w:val="00DA0E44"/>
    <w:rsid w:val="00DA2D82"/>
    <w:rsid w:val="00DA4292"/>
    <w:rsid w:val="00DB291C"/>
    <w:rsid w:val="00DB58B7"/>
    <w:rsid w:val="00DB68AA"/>
    <w:rsid w:val="00DC307E"/>
    <w:rsid w:val="00DC562D"/>
    <w:rsid w:val="00DC57F4"/>
    <w:rsid w:val="00DC7734"/>
    <w:rsid w:val="00DD102E"/>
    <w:rsid w:val="00DD43F1"/>
    <w:rsid w:val="00DD5486"/>
    <w:rsid w:val="00DE7CF4"/>
    <w:rsid w:val="00DF1553"/>
    <w:rsid w:val="00DF1DD8"/>
    <w:rsid w:val="00DF59DB"/>
    <w:rsid w:val="00DF7FEB"/>
    <w:rsid w:val="00E00C40"/>
    <w:rsid w:val="00E0129F"/>
    <w:rsid w:val="00E0312D"/>
    <w:rsid w:val="00E0339D"/>
    <w:rsid w:val="00E05A74"/>
    <w:rsid w:val="00E05BFE"/>
    <w:rsid w:val="00E0629F"/>
    <w:rsid w:val="00E1154D"/>
    <w:rsid w:val="00E116B9"/>
    <w:rsid w:val="00E12E89"/>
    <w:rsid w:val="00E13750"/>
    <w:rsid w:val="00E152A1"/>
    <w:rsid w:val="00E17AB8"/>
    <w:rsid w:val="00E20230"/>
    <w:rsid w:val="00E25463"/>
    <w:rsid w:val="00E27DAA"/>
    <w:rsid w:val="00E315C1"/>
    <w:rsid w:val="00E340F3"/>
    <w:rsid w:val="00E347A9"/>
    <w:rsid w:val="00E43E0F"/>
    <w:rsid w:val="00E43F1F"/>
    <w:rsid w:val="00E44AB6"/>
    <w:rsid w:val="00E46CA7"/>
    <w:rsid w:val="00E523D1"/>
    <w:rsid w:val="00E55791"/>
    <w:rsid w:val="00E57106"/>
    <w:rsid w:val="00E5754C"/>
    <w:rsid w:val="00E61F5D"/>
    <w:rsid w:val="00E631E2"/>
    <w:rsid w:val="00E64CCF"/>
    <w:rsid w:val="00E654A8"/>
    <w:rsid w:val="00E65614"/>
    <w:rsid w:val="00E65960"/>
    <w:rsid w:val="00E67233"/>
    <w:rsid w:val="00E73090"/>
    <w:rsid w:val="00E739E9"/>
    <w:rsid w:val="00E74CE7"/>
    <w:rsid w:val="00E765A9"/>
    <w:rsid w:val="00E7749A"/>
    <w:rsid w:val="00E80A4F"/>
    <w:rsid w:val="00E86E33"/>
    <w:rsid w:val="00E924CC"/>
    <w:rsid w:val="00E976F5"/>
    <w:rsid w:val="00E977A2"/>
    <w:rsid w:val="00EA03C0"/>
    <w:rsid w:val="00EA100E"/>
    <w:rsid w:val="00EA221B"/>
    <w:rsid w:val="00EA22CA"/>
    <w:rsid w:val="00EA2CE9"/>
    <w:rsid w:val="00EA381F"/>
    <w:rsid w:val="00EA5426"/>
    <w:rsid w:val="00EB1124"/>
    <w:rsid w:val="00EB3651"/>
    <w:rsid w:val="00EB6FF8"/>
    <w:rsid w:val="00EC151A"/>
    <w:rsid w:val="00EE03F8"/>
    <w:rsid w:val="00EE0F39"/>
    <w:rsid w:val="00EF37C8"/>
    <w:rsid w:val="00F02998"/>
    <w:rsid w:val="00F06AC0"/>
    <w:rsid w:val="00F07C4F"/>
    <w:rsid w:val="00F205C0"/>
    <w:rsid w:val="00F20BDB"/>
    <w:rsid w:val="00F21F5F"/>
    <w:rsid w:val="00F31049"/>
    <w:rsid w:val="00F316E2"/>
    <w:rsid w:val="00F31930"/>
    <w:rsid w:val="00F32EDF"/>
    <w:rsid w:val="00F444A7"/>
    <w:rsid w:val="00F45B68"/>
    <w:rsid w:val="00F50AFD"/>
    <w:rsid w:val="00F52557"/>
    <w:rsid w:val="00F52997"/>
    <w:rsid w:val="00F56B6E"/>
    <w:rsid w:val="00F57B3B"/>
    <w:rsid w:val="00F6438B"/>
    <w:rsid w:val="00F65A4B"/>
    <w:rsid w:val="00F66D2B"/>
    <w:rsid w:val="00F67D4B"/>
    <w:rsid w:val="00F67EAF"/>
    <w:rsid w:val="00F7084A"/>
    <w:rsid w:val="00F712A3"/>
    <w:rsid w:val="00F736A6"/>
    <w:rsid w:val="00F76209"/>
    <w:rsid w:val="00F807D6"/>
    <w:rsid w:val="00F828F8"/>
    <w:rsid w:val="00F83E0E"/>
    <w:rsid w:val="00F848F6"/>
    <w:rsid w:val="00F85AEC"/>
    <w:rsid w:val="00F85C35"/>
    <w:rsid w:val="00F85E0D"/>
    <w:rsid w:val="00F941C8"/>
    <w:rsid w:val="00F950B2"/>
    <w:rsid w:val="00F97E9F"/>
    <w:rsid w:val="00FA00A5"/>
    <w:rsid w:val="00FA1347"/>
    <w:rsid w:val="00FA1F4E"/>
    <w:rsid w:val="00FA59A8"/>
    <w:rsid w:val="00FB01E0"/>
    <w:rsid w:val="00FB145A"/>
    <w:rsid w:val="00FB1847"/>
    <w:rsid w:val="00FB1A90"/>
    <w:rsid w:val="00FB4092"/>
    <w:rsid w:val="00FC00CC"/>
    <w:rsid w:val="00FC2B00"/>
    <w:rsid w:val="00FC3837"/>
    <w:rsid w:val="00FC63CE"/>
    <w:rsid w:val="00FD05F9"/>
    <w:rsid w:val="00FD3A5E"/>
    <w:rsid w:val="00FD7013"/>
    <w:rsid w:val="00FD7150"/>
    <w:rsid w:val="00FE0B0A"/>
    <w:rsid w:val="00FE3B24"/>
    <w:rsid w:val="00FE791D"/>
    <w:rsid w:val="00FF1440"/>
    <w:rsid w:val="00FF5835"/>
    <w:rsid w:val="00FF5A72"/>
    <w:rsid w:val="00FF6A0A"/>
    <w:rsid w:val="00FF6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854EFC5"/>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rsid w:val="003811C0"/>
    <w:pPr>
      <w:keepNext/>
      <w:keepLines/>
      <w:spacing w:before="120"/>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sid w:val="003811C0"/>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0D1598"/>
    <w:pPr>
      <w:tabs>
        <w:tab w:val="left" w:pos="426"/>
        <w:tab w:val="right" w:leader="dot" w:pos="8766"/>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3811C0"/>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3811C0"/>
    <w:rPr>
      <w:sz w:val="18"/>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qFormat/>
    <w:rsid w:val="000A398E"/>
    <w:rPr>
      <w:color w:val="4472C4" w:themeColor="accent5"/>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uiPriority w:val="7"/>
    <w:qFormat/>
    <w:rsid w:val="002003DC"/>
    <w:pPr>
      <w:numPr>
        <w:numId w:val="5"/>
      </w:numPr>
      <w:spacing w:before="60" w:after="60"/>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uiPriority w:val="7"/>
    <w:rsid w:val="002003DC"/>
    <w:rPr>
      <w:rFonts w:eastAsia="Times New Roman"/>
      <w:sz w:val="22"/>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3811C0"/>
    <w:pPr>
      <w:tabs>
        <w:tab w:val="right" w:leader="dot" w:pos="9016"/>
      </w:tabs>
      <w:spacing w:after="60"/>
      <w:ind w:left="220"/>
    </w:pPr>
    <w:rPr>
      <w:noProof/>
    </w:rPr>
  </w:style>
  <w:style w:type="paragraph" w:styleId="TOC3">
    <w:name w:val="toc 3"/>
    <w:basedOn w:val="TOC2"/>
    <w:next w:val="Normal"/>
    <w:autoRedefine/>
    <w:uiPriority w:val="39"/>
    <w:unhideWhenUsed/>
    <w:rsid w:val="00C42257"/>
  </w:style>
  <w:style w:type="character" w:styleId="PlaceholderText">
    <w:name w:val="Placeholder Text"/>
    <w:basedOn w:val="DefaultParagraphFont"/>
    <w:uiPriority w:val="99"/>
    <w:semiHidden/>
    <w:rsid w:val="007E233B"/>
    <w:rPr>
      <w:color w:val="808080"/>
    </w:rPr>
  </w:style>
  <w:style w:type="paragraph" w:styleId="ListParagraph">
    <w:name w:val="List Paragraph"/>
    <w:basedOn w:val="Normal"/>
    <w:link w:val="ListParagraphChar"/>
    <w:uiPriority w:val="34"/>
    <w:rsid w:val="00711F47"/>
    <w:pPr>
      <w:ind w:left="720"/>
      <w:contextualSpacing/>
    </w:pPr>
  </w:style>
  <w:style w:type="character" w:customStyle="1" w:styleId="ListParagraphChar">
    <w:name w:val="List Paragraph Char"/>
    <w:basedOn w:val="DefaultParagraphFont"/>
    <w:link w:val="ListParagraph"/>
    <w:uiPriority w:val="34"/>
    <w:rsid w:val="00711F47"/>
    <w:rPr>
      <w:sz w:val="22"/>
      <w:szCs w:val="22"/>
      <w:lang w:eastAsia="en-US"/>
    </w:rPr>
  </w:style>
  <w:style w:type="paragraph" w:styleId="Revision">
    <w:name w:val="Revision"/>
    <w:hidden/>
    <w:uiPriority w:val="99"/>
    <w:semiHidden/>
    <w:rsid w:val="00FA1F4E"/>
    <w:rPr>
      <w:sz w:val="22"/>
      <w:szCs w:val="22"/>
      <w:lang w:eastAsia="en-US"/>
    </w:rPr>
  </w:style>
  <w:style w:type="paragraph" w:customStyle="1" w:styleId="TableParagraph">
    <w:name w:val="Table Paragraph"/>
    <w:basedOn w:val="Normal"/>
    <w:uiPriority w:val="1"/>
    <w:qFormat/>
    <w:rsid w:val="00B709EE"/>
    <w:pPr>
      <w:widowControl w:val="0"/>
      <w:spacing w:before="0" w:after="0"/>
    </w:pPr>
    <w:rPr>
      <w:rFonts w:asciiTheme="minorHAnsi" w:eastAsiaTheme="minorHAnsi" w:hAnsiTheme="minorHAnsi" w:cstheme="minorBidi"/>
      <w:lang w:val="en-US"/>
    </w:rPr>
  </w:style>
  <w:style w:type="character" w:styleId="UnresolvedMention">
    <w:name w:val="Unresolved Mention"/>
    <w:basedOn w:val="DefaultParagraphFont"/>
    <w:uiPriority w:val="99"/>
    <w:unhideWhenUsed/>
    <w:rsid w:val="00B1658D"/>
    <w:rPr>
      <w:color w:val="605E5C"/>
      <w:shd w:val="clear" w:color="auto" w:fill="E1DFDD"/>
    </w:rPr>
  </w:style>
  <w:style w:type="character" w:customStyle="1" w:styleId="UnresolvedMention1">
    <w:name w:val="Unresolved Mention1"/>
    <w:basedOn w:val="DefaultParagraphFont"/>
    <w:uiPriority w:val="99"/>
    <w:semiHidden/>
    <w:unhideWhenUsed/>
    <w:rsid w:val="00E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510458">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51588887">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rpsonline.com.au/growers-and-suppliers/"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apac.ehssrisk.sai360.net/daff/" TargetMode="External"/><Relationship Id="rId17" Type="http://schemas.openxmlformats.org/officeDocument/2006/relationships/hyperlink" Target="mailto:HorticultureExports@aff.gov.au"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AuditServices@aff.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agriculture.gov.au/biosecurity-trade/export/controlled-goods/plants-plant-products/plantexportsmanual"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fees/charging-guidelines"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08A1FFB5367472798B5191A59971FA6"/>
        <w:category>
          <w:name w:val="General"/>
          <w:gallery w:val="placeholder"/>
        </w:category>
        <w:types>
          <w:type w:val="bbPlcHdr"/>
        </w:types>
        <w:behaviors>
          <w:behavior w:val="content"/>
        </w:behaviors>
        <w:guid w:val="{797DC85B-5688-4600-8368-D909FBF216F4}"/>
      </w:docPartPr>
      <w:docPartBody>
        <w:p w:rsidR="00FE7C05" w:rsidRDefault="00FE7C05" w:rsidP="00FE7C05">
          <w:pPr>
            <w:pStyle w:val="708A1FFB5367472798B5191A59971FA6"/>
          </w:pPr>
          <w:r w:rsidRPr="000B2434">
            <w:rPr>
              <w:rStyle w:val="PlaceholderText"/>
            </w:rPr>
            <w:t>[Document ID Value]</w:t>
          </w:r>
        </w:p>
      </w:docPartBody>
    </w:docPart>
    <w:docPart>
      <w:docPartPr>
        <w:name w:val="0B45CE04A8534E0C9319E419E7478B77"/>
        <w:category>
          <w:name w:val="General"/>
          <w:gallery w:val="placeholder"/>
        </w:category>
        <w:types>
          <w:type w:val="bbPlcHdr"/>
        </w:types>
        <w:behaviors>
          <w:behavior w:val="content"/>
        </w:behaviors>
        <w:guid w:val="{0C4E07EB-7DE5-416B-87F6-3151356AB4E8}"/>
      </w:docPartPr>
      <w:docPartBody>
        <w:p w:rsidR="00FE7C05" w:rsidRDefault="00FE7C05" w:rsidP="00FE7C05">
          <w:pPr>
            <w:pStyle w:val="0B45CE04A8534E0C9319E419E7478B77"/>
          </w:pPr>
          <w:r w:rsidRPr="00FA0201">
            <w:rPr>
              <w:rStyle w:val="PlaceholderText"/>
            </w:rPr>
            <w:t>[Revision Number]</w:t>
          </w:r>
        </w:p>
      </w:docPartBody>
    </w:docPart>
    <w:docPart>
      <w:docPartPr>
        <w:name w:val="00A602FBEB194755BBE4D27A4CE6D5E4"/>
        <w:category>
          <w:name w:val="General"/>
          <w:gallery w:val="placeholder"/>
        </w:category>
        <w:types>
          <w:type w:val="bbPlcHdr"/>
        </w:types>
        <w:behaviors>
          <w:behavior w:val="content"/>
        </w:behaviors>
        <w:guid w:val="{24A25F87-5857-4A03-8BC2-FA32E4900159}"/>
      </w:docPartPr>
      <w:docPartBody>
        <w:p w:rsidR="00FE7C05" w:rsidRDefault="00FE7C05" w:rsidP="00FE7C05">
          <w:pPr>
            <w:pStyle w:val="00A602FBEB194755BBE4D27A4CE6D5E4"/>
          </w:pPr>
          <w:r w:rsidRPr="0039358C">
            <w:rPr>
              <w:rStyle w:val="PlaceholderText"/>
            </w:rPr>
            <w:t>[Date published]</w:t>
          </w:r>
        </w:p>
      </w:docPartBody>
    </w:docPart>
    <w:docPart>
      <w:docPartPr>
        <w:name w:val="8E3E70C564774D92AC4370C14E9317E3"/>
        <w:category>
          <w:name w:val="General"/>
          <w:gallery w:val="placeholder"/>
        </w:category>
        <w:types>
          <w:type w:val="bbPlcHdr"/>
        </w:types>
        <w:behaviors>
          <w:behavior w:val="content"/>
        </w:behaviors>
        <w:guid w:val="{A7B51F78-0BD2-4108-AE98-95738EEA0FB6}"/>
      </w:docPartPr>
      <w:docPartBody>
        <w:p w:rsidR="00FE7C05" w:rsidRDefault="00FE7C05" w:rsidP="00FE7C05">
          <w:pPr>
            <w:pStyle w:val="8E3E70C564774D92AC4370C14E9317E3"/>
          </w:pPr>
          <w:r w:rsidRPr="003D0375">
            <w:rPr>
              <w:rStyle w:val="PlaceholderText"/>
            </w:rPr>
            <w:t>[Last Approver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F2D"/>
    <w:rsid w:val="0000711F"/>
    <w:rsid w:val="00023873"/>
    <w:rsid w:val="0009598A"/>
    <w:rsid w:val="000C6BE0"/>
    <w:rsid w:val="000C6FCB"/>
    <w:rsid w:val="000C73E7"/>
    <w:rsid w:val="000D505D"/>
    <w:rsid w:val="000E13A3"/>
    <w:rsid w:val="001327CD"/>
    <w:rsid w:val="00142040"/>
    <w:rsid w:val="00154244"/>
    <w:rsid w:val="00172D06"/>
    <w:rsid w:val="001803D4"/>
    <w:rsid w:val="001C0126"/>
    <w:rsid w:val="001D4EAB"/>
    <w:rsid w:val="00204A89"/>
    <w:rsid w:val="00210E70"/>
    <w:rsid w:val="002133E6"/>
    <w:rsid w:val="002401A2"/>
    <w:rsid w:val="002458EC"/>
    <w:rsid w:val="00262940"/>
    <w:rsid w:val="002B2C8F"/>
    <w:rsid w:val="002B72E4"/>
    <w:rsid w:val="00324E3E"/>
    <w:rsid w:val="00372BAD"/>
    <w:rsid w:val="003E0117"/>
    <w:rsid w:val="00423BCF"/>
    <w:rsid w:val="00425C4B"/>
    <w:rsid w:val="00462F2B"/>
    <w:rsid w:val="004733FC"/>
    <w:rsid w:val="004A34B9"/>
    <w:rsid w:val="004C5F4F"/>
    <w:rsid w:val="005A1D2A"/>
    <w:rsid w:val="005A2B5B"/>
    <w:rsid w:val="00646272"/>
    <w:rsid w:val="0066717E"/>
    <w:rsid w:val="006875FA"/>
    <w:rsid w:val="00692BD7"/>
    <w:rsid w:val="006A0B93"/>
    <w:rsid w:val="007030E8"/>
    <w:rsid w:val="0070425E"/>
    <w:rsid w:val="0074588D"/>
    <w:rsid w:val="00786FBC"/>
    <w:rsid w:val="007C1F19"/>
    <w:rsid w:val="007D3856"/>
    <w:rsid w:val="00821269"/>
    <w:rsid w:val="00824FCC"/>
    <w:rsid w:val="00825BF9"/>
    <w:rsid w:val="0085727B"/>
    <w:rsid w:val="008B18D2"/>
    <w:rsid w:val="008B21EB"/>
    <w:rsid w:val="008F3048"/>
    <w:rsid w:val="009031D1"/>
    <w:rsid w:val="0094217D"/>
    <w:rsid w:val="0098428E"/>
    <w:rsid w:val="009A7095"/>
    <w:rsid w:val="009B76E2"/>
    <w:rsid w:val="009C3107"/>
    <w:rsid w:val="00A70A66"/>
    <w:rsid w:val="00A73880"/>
    <w:rsid w:val="00AC2B10"/>
    <w:rsid w:val="00AC3B2F"/>
    <w:rsid w:val="00B73BF8"/>
    <w:rsid w:val="00BA1D4B"/>
    <w:rsid w:val="00BB2CA0"/>
    <w:rsid w:val="00BB3B09"/>
    <w:rsid w:val="00BD6254"/>
    <w:rsid w:val="00BE50BD"/>
    <w:rsid w:val="00BF2F69"/>
    <w:rsid w:val="00C00748"/>
    <w:rsid w:val="00C1624C"/>
    <w:rsid w:val="00C16E7E"/>
    <w:rsid w:val="00C36103"/>
    <w:rsid w:val="00C57C90"/>
    <w:rsid w:val="00C658E8"/>
    <w:rsid w:val="00C94C40"/>
    <w:rsid w:val="00CA0F9C"/>
    <w:rsid w:val="00CE5624"/>
    <w:rsid w:val="00D47D04"/>
    <w:rsid w:val="00D912F2"/>
    <w:rsid w:val="00DB68AA"/>
    <w:rsid w:val="00DD38E5"/>
    <w:rsid w:val="00DE6160"/>
    <w:rsid w:val="00DF3F2D"/>
    <w:rsid w:val="00E120DE"/>
    <w:rsid w:val="00E71A19"/>
    <w:rsid w:val="00E74D9C"/>
    <w:rsid w:val="00E77911"/>
    <w:rsid w:val="00EA5426"/>
    <w:rsid w:val="00EE451A"/>
    <w:rsid w:val="00F601FC"/>
    <w:rsid w:val="00F635E9"/>
    <w:rsid w:val="00F850C4"/>
    <w:rsid w:val="00FE7C05"/>
    <w:rsid w:val="00FF47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7C05"/>
    <w:rPr>
      <w:color w:val="808080"/>
    </w:rPr>
  </w:style>
  <w:style w:type="paragraph" w:customStyle="1" w:styleId="708A1FFB5367472798B5191A59971FA6">
    <w:name w:val="708A1FFB5367472798B5191A59971FA6"/>
    <w:rsid w:val="00FE7C05"/>
    <w:pPr>
      <w:spacing w:line="278" w:lineRule="auto"/>
    </w:pPr>
    <w:rPr>
      <w:kern w:val="2"/>
      <w:sz w:val="24"/>
      <w:szCs w:val="24"/>
      <w14:ligatures w14:val="standardContextual"/>
    </w:rPr>
  </w:style>
  <w:style w:type="paragraph" w:customStyle="1" w:styleId="0B45CE04A8534E0C9319E419E7478B77">
    <w:name w:val="0B45CE04A8534E0C9319E419E7478B77"/>
    <w:rsid w:val="00FE7C05"/>
    <w:pPr>
      <w:spacing w:line="278" w:lineRule="auto"/>
    </w:pPr>
    <w:rPr>
      <w:kern w:val="2"/>
      <w:sz w:val="24"/>
      <w:szCs w:val="24"/>
      <w14:ligatures w14:val="standardContextual"/>
    </w:rPr>
  </w:style>
  <w:style w:type="paragraph" w:customStyle="1" w:styleId="00A602FBEB194755BBE4D27A4CE6D5E4">
    <w:name w:val="00A602FBEB194755BBE4D27A4CE6D5E4"/>
    <w:rsid w:val="00FE7C05"/>
    <w:pPr>
      <w:spacing w:line="278" w:lineRule="auto"/>
    </w:pPr>
    <w:rPr>
      <w:kern w:val="2"/>
      <w:sz w:val="24"/>
      <w:szCs w:val="24"/>
      <w14:ligatures w14:val="standardContextual"/>
    </w:rPr>
  </w:style>
  <w:style w:type="paragraph" w:customStyle="1" w:styleId="8E3E70C564774D92AC4370C14E9317E3">
    <w:name w:val="8E3E70C564774D92AC4370C14E9317E3"/>
    <w:rsid w:val="00FE7C0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117B81-2598-4DDA-96CD-7BD580AB5354}">
  <ds:schemaRefs>
    <ds:schemaRef ds:uri="http://purl.org/dc/terms/"/>
    <ds:schemaRef ds:uri="2b53c995-2120-4bc0-8922-c25044d37f65"/>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81c01dc6-2c49-4730-b140-874c95cac377"/>
    <ds:schemaRef ds:uri="http://schemas.microsoft.com/office/infopath/2007/PartnerControls"/>
    <ds:schemaRef ds:uri="c95b51c2-b2ac-4224-a5b5-069909057829"/>
    <ds:schemaRef ds:uri="http://purl.org/dc/dcmitype/"/>
  </ds:schemaRefs>
</ds:datastoreItem>
</file>

<file path=customXml/itemProps2.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3.xml><?xml version="1.0" encoding="utf-8"?>
<ds:datastoreItem xmlns:ds="http://schemas.openxmlformats.org/officeDocument/2006/customXml" ds:itemID="{6A7CAACD-B0A3-4404-BF73-545E5024F06E}">
  <ds:schemaRefs>
    <ds:schemaRef ds:uri="http://schemas.openxmlformats.org/officeDocument/2006/bibliography"/>
  </ds:schemaRefs>
</ds:datastoreItem>
</file>

<file path=customXml/itemProps4.xml><?xml version="1.0" encoding="utf-8"?>
<ds:datastoreItem xmlns:ds="http://schemas.openxmlformats.org/officeDocument/2006/customXml" ds:itemID="{D554B09A-858A-402D-BE78-2C8AAE0FEA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5156</Words>
  <Characters>29391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Audit of horticulture export accredited properties</vt:lpstr>
    </vt:vector>
  </TitlesOfParts>
  <Company/>
  <LinksUpToDate>false</LinksUpToDate>
  <CharactersWithSpaces>34479</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of horticulture export accredited properties</dc:title>
  <dc:subject/>
  <dc:creator>Department of Agriculture, Fisheries and Forestry</dc:creator>
  <cp:keywords/>
  <dc:description/>
  <cp:revision>4</cp:revision>
  <cp:lastPrinted>2025-04-22T03:43:00Z</cp:lastPrinted>
  <dcterms:created xsi:type="dcterms:W3CDTF">2025-04-22T03:43:00Z</dcterms:created>
  <dcterms:modified xsi:type="dcterms:W3CDTF">2025-04-24T04:43:00Z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996923c7-3bc6-4565-979d-42fc382e3774</vt:lpwstr>
  </property>
  <property fmtid="{D5CDD505-2E9C-101B-9397-08002B2CF9AE}" pid="6" name="Entity">
    <vt:lpwstr>6;#Department of Agriculture|5ab835ac-4b11-4ce4-b610-333d04e5f48f</vt:lpwstr>
  </property>
  <property fmtid="{D5CDD505-2E9C-101B-9397-08002B2CF9AE}" pid="7" name="CDMSDocumentType">
    <vt:lpwstr>114;#2.1 Guideline|4e4f7563-6bfd-49eb-b4c6-189a0f865257</vt:lpwstr>
  </property>
  <property fmtid="{D5CDD505-2E9C-101B-9397-08002B2CF9AE}" pid="8" name="Function1">
    <vt:lpwstr>939;#Accredited properties|ed674f35-953f-45fb-85a8-98779d6983d5</vt:lpwstr>
  </property>
  <property fmtid="{D5CDD505-2E9C-101B-9397-08002B2CF9AE}" pid="9" name="BusinessService">
    <vt:lpwstr/>
  </property>
  <property fmtid="{D5CDD505-2E9C-101B-9397-08002B2CF9AE}" pid="10" name="Legislation">
    <vt:lpwstr/>
  </property>
  <property fmtid="{D5CDD505-2E9C-101B-9397-08002B2CF9AE}" pid="11" name="Activities">
    <vt:lpwstr>532;#Establishments|9b63e619-1c1c-47b5-9447-3e55d23f3b17;#942;#Management and standards|4afff2b4-5ee8-496f-8615-4c4ac8a5f095</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GUID">
    <vt:lpwstr>eda0813d-8733-4dc7-9b4c-e0e65208b1e8</vt:lpwstr>
  </property>
  <property fmtid="{D5CDD505-2E9C-101B-9397-08002B2CF9AE}" pid="15" name="WorkflowCreationPath">
    <vt:lpwstr>680f5786-0236-4809-a685-d604790e1d93;e81b3c68-e95e-4ecb-8197-ca7a1d50db4a;</vt:lpwstr>
  </property>
  <property fmtid="{D5CDD505-2E9C-101B-9397-08002B2CF9AE}" pid="16" name="WorkflowChangePath">
    <vt:lpwstr>1e3fafe7-4bf9-4f2e-b801-28c0e27baed4,94;1e3fafe7-4bf9-4f2e-b801-28c0e27baed4,494;1e3fafe7-4bf9-4f2e-b801-28c0e27baed4,644;1e3fafe7-4bf9-4f2e-b801-28c0e27baed4,688;d7b72833-ebc7-40f1-b893-0ebd703c2a90,702;d7b72833-ebc7-40f1-b893-0ebd703c2a90,706;9b01623d-32df48210-3ab9-4c61-80f8-5fa1083c3cce,1011;2df48210-3ab9-4c61-80f8-5fa1083c3cce,1013;2df48210-3ab9-4c61-80f8-5fa1083c3cce,1013;beb1ecaa-bff8-43a7-9f05-e67177c0e5a3,1026;beb1ecaa-bff8-43a7-9f05-e67177c0e5a3,1048;beb1ecaa-bff8-43a7-9f05-e67177c0e5a3,1050;3dc36fd3-9732-41d5-83cc-975eb442aaba,1058;3dc36fd3-9732-41d5-83cc-975eb442aaba,1060;93c87db2-e4e6-4bd0-99f3-833c9903e140,1062;93c87db2-e4e6-4bd0-99f3-833c9903e140,1064;93c87db2-e4e6-4bd0-99f3-833c9903e140,1064;93c87db2-e4e6-4bd0-99f3-833c9903e140,1066;93c87db2-e4e6-4bd0-99f3-833c9903e140,1074;c01232b2-b02e-4ea2-9bbe-ac7250293098,1082;c01232b2-b02e-4ea2-9bbe-ac7250293098,1082;c01232b2-b02e-4ea2-9bbe-ac7250293098,1084;c01232b2-b02e-4ea2-9bbe-ac7250293098,1086;c01232b2-b02e-4ea2-9bbe-ac7250293098,1086;3dc36fd3-9732-41d5-83cc-975eb442aaba,1111;93c87db2-e4e6-4bd0-99f3-833c9903e140,1113;93c87db2-e4e6-4bd0-99f3-833c9903e140,1115;93c87db2-e4e6-4bd0-99f3-833c9903e140,1115;93c87db2-e4e6-4bd0-99f3-833c9903e140,1117;93c87db2-e4e6-4bd0-99f3-833c9903e140,1125;44204d69-6808-4ac9-b4f9-c16f44a25b07,1129;44204d69-6808-4ac9-b4f9-c16f44a25b07,1133;93c87db2-e4e6-4bd0-99f3-833c9903e140,1141;93c87db2-e4e6-4bd0-99f3-833c9903e140,1143;93c87db2-e4e6-4bd0-99f3-833c9903e140,1143;93c87db2-e4e6-4bd0-99f3-833c9903e140,1145;93c87db2-e4e6-4bd0-99f3-833c9903e140,1155;44204d69-6808-4ac9-b4f9-c16f44a25b07,1159;44204d69-6808-4ac9-b4f9-c16f44a25b07,1163;c01232b2-b02e-4ea2-9bbe-ac7250293098,1165;c01232b2-b02e-4ea2-9bbe-ac7250293098,1165;c01232b2-b02e-4ea2-9bbe-ac7250293098,1165;c01232b2-b02e-4ea2-9bbe-ac7250293098,1167;c01232b2-b02e-4ea2-9bbe-ac7250293098,1167;beb1ecaa-bff8-43a7-9f05-e67177c0e5a3,1183;beb1ecaa-bff8-43a7-9f05-e67177c0e5a3,1189;3dc36fd3-9732-41d5-83cc-975eb442aaba,1199;3dc36fd3-9732-41d5-83cc-975eb442aaba,1201;93c87db2-e4e6-4bd0-99f3-833c9903e140,1203;93c87db2-e4e6-4bd0-99f3-833c9903e140,1205;93c87db2-e4e6-4bd0-99f3-833c9903e140,1205;93c87db2-e4e6-4bd0-99f3-833c9903e140,1207;93c87db2-e4e6-4bd0-99f3-833c9903e140,1215;44204d69-6808-4ac9-b4f9-c16f44a25b07,1219;44204d69-6808-4ac9-b4f9-c16f44a25b07,1221;c01232b2-b02e-4ea2-9bbe-ac7250293098,1233;c01232b2-b02e-4ea2-9bbe-ac7250293098,1233;c01232b2-b02e-4ea2-9bbe-ac7250293098,1233;c01232b2-b02e-4ea2-9bbe-ac7250293098,1235;c01232b2-b02e-4ea2-9bbe-ac7250293098,1235;beb1ecaa-bff8-43a7-9f05-e67177c0e5a3,1244;beb1ecaa-bff8-43a7-9f05-e67177c0e5a3,1322;93c87db2-e4e6-4bd0-99f3-833c9903e140,1418;93c87db2-e4e6-4bd0-99f3-833c9903e140,1422;93c87db2-e4e6-4bd0-99f3-833c9903e140,1422;93c87db2-e4e6-4bd0-99f3-833c9903e140,1424;beb1ecaa-bff8-43a7-9f05-e67177c0e5a3,1434;93c87db2-e4e6-4bd0-99f3-833c9903e140,1436;93c87db2-e4e6-4bd0-99f3-833c9903e140,1438;93c87db2-e4e6-4bd0-99f3-833c9903e140,1438;93c87db2-e4e6-4bd0-99f3-833c9903e140,1440;93c87db2-e4e6-4bd0-99f3-833c9903e140,1448;44204d69-6808-4ac9-b4f9-c16f44a25b07,1452;44204d69-6808-4ac9-b4f9-c16f44a25b07,1456;</vt:lpwstr>
  </property>
  <property fmtid="{D5CDD505-2E9C-101B-9397-08002B2CF9AE}" pid="17" name="Section">
    <vt:lpwstr>868;#Horticulture Exports|54c7787a-50e9-41f9-b21e-594c08fe99df</vt:lpwstr>
  </property>
  <property fmtid="{D5CDD505-2E9C-101B-9397-08002B2CF9AE}" pid="18" name="Branch">
    <vt:lpwstr>845;#Plant Export Operations|49af6338-80ee-4dde-8d87-ab0f74deea08</vt:lpwstr>
  </property>
  <property fmtid="{D5CDD505-2E9C-101B-9397-08002B2CF9AE}" pid="19" name="Division">
    <vt:lpwstr>1376;#Plant and Live Animal Exports, Welfare and Regulation|46fe7a4b-8c6a-4270-9d4c-44c8fea3ee0e</vt:lpwstr>
  </property>
  <property fmtid="{D5CDD505-2E9C-101B-9397-08002B2CF9AE}" pid="20" name="Dual FAS approval">
    <vt:bool>false</vt:bool>
  </property>
  <property fmtid="{D5CDD505-2E9C-101B-9397-08002B2CF9AE}" pid="21" name="IML Document Owner">
    <vt:lpwstr>Plant Export Ops &gt; Horticulture Exports</vt:lpwstr>
  </property>
  <property fmtid="{D5CDD505-2E9C-101B-9397-08002B2CF9AE}" pid="22" name="Web Accessibility">
    <vt:lpwstr>Fully accessible</vt:lpwstr>
  </property>
  <property fmtid="{D5CDD505-2E9C-101B-9397-08002B2CF9AE}" pid="23" name="ClassificationContentMarkingHeaderShapeIds">
    <vt:lpwstr>47509102,283b98b4,3cca5382,2e33d9ee,39e89f16,4350347e</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91485ad,47b172ea,2c2ba2be,7164a93c,5066cf3a,27a184c3</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2024-10-16T23:50:25Z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d0b1680b-6ad9-48fa-8b95-9404470d1286</vt:lpwstr>
  </property>
  <property fmtid="{D5CDD505-2E9C-101B-9397-08002B2CF9AE}" pid="35" name="MSIP_Label_933d8be6-3c40-4052-87a2-9c2adcba8759_ContentBits">
    <vt:lpwstr>3</vt:lpwstr>
  </property>
  <property fmtid="{D5CDD505-2E9C-101B-9397-08002B2CF9AE}" pid="36" name="MediaServiceImageTags">
    <vt:lpwstr/>
  </property>
</Properties>
</file>