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49BE6" w14:textId="37B39D22" w:rsidR="006866BE" w:rsidRDefault="006866BE" w:rsidP="006866BE">
      <w:pPr>
        <w:pStyle w:val="BodyText"/>
        <w:spacing w:before="0"/>
      </w:pPr>
      <w:r>
        <w:rPr>
          <w:noProof/>
        </w:rPr>
        <w:drawing>
          <wp:inline distT="0" distB="0" distL="0" distR="0" wp14:anchorId="01ABE23A" wp14:editId="556F5E62">
            <wp:extent cx="2432685" cy="707390"/>
            <wp:effectExtent l="0" t="0" r="5715" b="0"/>
            <wp:docPr id="1207656065" name="Picture 1" descr="Australian Government Department of Agriculture, Fisheries and Forestry 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656065" name="Picture 1" descr="Australian Government Department of Agriculture, Fisheries and Forestry cres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685" cy="707390"/>
                    </a:xfrm>
                    <a:prstGeom prst="rect">
                      <a:avLst/>
                    </a:prstGeom>
                    <a:noFill/>
                  </pic:spPr>
                </pic:pic>
              </a:graphicData>
            </a:graphic>
          </wp:inline>
        </w:drawing>
      </w:r>
    </w:p>
    <w:p w14:paraId="274D9A07" w14:textId="77777777" w:rsidR="006866BE" w:rsidRDefault="006866BE" w:rsidP="006866BE">
      <w:pPr>
        <w:pStyle w:val="BodyText"/>
        <w:spacing w:before="0"/>
      </w:pPr>
    </w:p>
    <w:p w14:paraId="671ABF5B" w14:textId="77777777" w:rsidR="006866BE" w:rsidRPr="002F43E4" w:rsidRDefault="006866BE" w:rsidP="006866BE">
      <w:pPr>
        <w:pStyle w:val="BodyText"/>
        <w:shd w:val="clear" w:color="auto" w:fill="A75A1B"/>
        <w:jc w:val="center"/>
        <w:rPr>
          <w:rFonts w:ascii="Cambria" w:hAnsi="Cambria"/>
          <w:b/>
          <w:bCs/>
          <w:color w:val="FFFFFF" w:themeColor="background1"/>
          <w:sz w:val="48"/>
          <w:szCs w:val="48"/>
        </w:rPr>
      </w:pPr>
      <w:r w:rsidRPr="002F43E4">
        <w:rPr>
          <w:rFonts w:ascii="Cambria" w:hAnsi="Cambria"/>
          <w:b/>
          <w:bCs/>
          <w:color w:val="FFFFFF" w:themeColor="background1"/>
          <w:sz w:val="48"/>
          <w:szCs w:val="48"/>
        </w:rPr>
        <w:t>Export</w:t>
      </w:r>
      <w:r>
        <w:rPr>
          <w:rFonts w:ascii="Cambria" w:hAnsi="Cambria"/>
          <w:b/>
          <w:bCs/>
          <w:color w:val="FFFFFF" w:themeColor="background1"/>
          <w:sz w:val="48"/>
          <w:szCs w:val="48"/>
        </w:rPr>
        <w:t>s</w:t>
      </w:r>
      <w:r w:rsidRPr="002F43E4">
        <w:rPr>
          <w:rFonts w:ascii="Cambria" w:hAnsi="Cambria"/>
          <w:b/>
          <w:bCs/>
          <w:color w:val="FFFFFF" w:themeColor="background1"/>
          <w:sz w:val="48"/>
          <w:szCs w:val="48"/>
        </w:rPr>
        <w:t xml:space="preserve"> process instruction</w:t>
      </w:r>
    </w:p>
    <w:p w14:paraId="16E8A457" w14:textId="4001F1F3" w:rsidR="006866BE" w:rsidRDefault="006866BE" w:rsidP="006866BE">
      <w:pPr>
        <w:pStyle w:val="Heading1"/>
        <w:spacing w:after="400"/>
        <w:rPr>
          <w:b w:val="0"/>
          <w:sz w:val="24"/>
          <w:szCs w:val="24"/>
        </w:rPr>
      </w:pPr>
      <w:r>
        <w:t>Audit of plant export authorised officers</w:t>
      </w:r>
    </w:p>
    <w:p w14:paraId="75F561CA" w14:textId="77777777" w:rsidR="006866BE" w:rsidRDefault="006866BE" w:rsidP="006866BE">
      <w:pPr>
        <w:pStyle w:val="BodyText"/>
        <w:rPr>
          <w:b/>
        </w:rPr>
      </w:pPr>
      <w:r>
        <w:rPr>
          <w:b/>
        </w:rPr>
        <w:t>Direction to staff</w:t>
      </w:r>
    </w:p>
    <w:p w14:paraId="61B56776" w14:textId="77777777" w:rsidR="006866BE" w:rsidRDefault="006866BE" w:rsidP="006866BE">
      <w:pPr>
        <w:pStyle w:val="BodyText"/>
        <w:spacing w:before="0" w:after="0"/>
      </w:pPr>
      <w:r>
        <w:t xml:space="preserve">This is official instructional material of the Department of Agriculture, Fisheries and Forestry (the department). Failure to comply with it may result in a breach of relevant legislation and/or the code of conduct under section 13(5) of the </w:t>
      </w:r>
      <w:r w:rsidRPr="00085CA2">
        <w:rPr>
          <w:i/>
          <w:iCs/>
          <w:szCs w:val="22"/>
        </w:rPr>
        <w:t>Public Service Act 1999</w:t>
      </w:r>
      <w:r>
        <w:rPr>
          <w:i/>
          <w:iCs/>
          <w:szCs w:val="22"/>
        </w:rPr>
        <w:t>.</w:t>
      </w:r>
    </w:p>
    <w:p w14:paraId="3EAA09DC" w14:textId="77777777" w:rsidR="006866BE" w:rsidRDefault="00000000" w:rsidP="006866BE">
      <w:r>
        <w:pict w14:anchorId="33B141C3">
          <v:rect id="_x0000_i1025" style="width:451.3pt;height:3pt" o:hralign="center" o:hrstd="t" o:hrnoshade="t" o:hr="t" fillcolor="#d5d2ca" stroked="f"/>
        </w:pict>
      </w:r>
    </w:p>
    <w:p w14:paraId="1C491D0F" w14:textId="77777777" w:rsidR="006866BE" w:rsidRDefault="006866BE" w:rsidP="006866BE">
      <w:pPr>
        <w:pStyle w:val="Heading2"/>
      </w:pPr>
      <w:bookmarkStart w:id="0" w:name="_Toc196211645"/>
      <w:r w:rsidRPr="00C71591">
        <w:t>P</w:t>
      </w:r>
      <w:r w:rsidRPr="00D673F6">
        <w:t>urpose</w:t>
      </w:r>
      <w:r>
        <w:t xml:space="preserve"> of this document</w:t>
      </w:r>
      <w:bookmarkEnd w:id="0"/>
    </w:p>
    <w:p w14:paraId="3BEC7DA6" w14:textId="16E19321" w:rsidR="006866BE" w:rsidRDefault="006866BE" w:rsidP="006866BE">
      <w:pPr>
        <w:pStyle w:val="BodyText"/>
      </w:pPr>
      <w:r w:rsidRPr="005E22C1">
        <w:t xml:space="preserve">This </w:t>
      </w:r>
      <w:r>
        <w:t>document</w:t>
      </w:r>
      <w:r w:rsidRPr="005E22C1">
        <w:t xml:space="preserve"> outlines</w:t>
      </w:r>
      <w:r>
        <w:t xml:space="preserve"> the policy and process for auditing s</w:t>
      </w:r>
      <w:r w:rsidRPr="009C3B1F">
        <w:t xml:space="preserve">tate or </w:t>
      </w:r>
      <w:r>
        <w:t>t</w:t>
      </w:r>
      <w:r w:rsidRPr="009C3B1F">
        <w:t xml:space="preserve">erritory government </w:t>
      </w:r>
      <w:r>
        <w:t>and</w:t>
      </w:r>
      <w:r w:rsidRPr="009C3B1F">
        <w:t xml:space="preserve"> third-party</w:t>
      </w:r>
      <w:r w:rsidRPr="005E22C1">
        <w:t xml:space="preserve"> </w:t>
      </w:r>
      <w:r>
        <w:t>p</w:t>
      </w:r>
      <w:r w:rsidRPr="005E22C1">
        <w:t xml:space="preserve">lant </w:t>
      </w:r>
      <w:r>
        <w:t>e</w:t>
      </w:r>
      <w:r w:rsidRPr="005E22C1">
        <w:t xml:space="preserve">xports </w:t>
      </w:r>
      <w:r>
        <w:t>authorised officers (AO)s</w:t>
      </w:r>
      <w:r w:rsidRPr="005E22C1">
        <w:t xml:space="preserve">. </w:t>
      </w:r>
      <w:r>
        <w:t>It includes:</w:t>
      </w:r>
    </w:p>
    <w:p w14:paraId="4ECF03E4" w14:textId="5A41D7FF" w:rsidR="006866BE" w:rsidRDefault="006866BE" w:rsidP="006866BE">
      <w:pPr>
        <w:pStyle w:val="ListBullet"/>
      </w:pPr>
      <w:r>
        <w:t>audit principles</w:t>
      </w:r>
    </w:p>
    <w:p w14:paraId="76D52FBF" w14:textId="77777777" w:rsidR="006866BE" w:rsidRDefault="006866BE" w:rsidP="006866BE">
      <w:pPr>
        <w:pStyle w:val="ListBullet"/>
      </w:pPr>
      <w:r>
        <w:t>audit performance standards</w:t>
      </w:r>
    </w:p>
    <w:p w14:paraId="6B959E22" w14:textId="77777777" w:rsidR="006866BE" w:rsidRDefault="006866BE" w:rsidP="006866BE">
      <w:pPr>
        <w:pStyle w:val="ListBullet"/>
      </w:pPr>
      <w:r>
        <w:t>audit types</w:t>
      </w:r>
    </w:p>
    <w:p w14:paraId="65E05FFB" w14:textId="77777777" w:rsidR="006866BE" w:rsidRDefault="006866BE" w:rsidP="006866BE">
      <w:pPr>
        <w:pStyle w:val="ListBullet"/>
      </w:pPr>
      <w:r>
        <w:t>audit process</w:t>
      </w:r>
    </w:p>
    <w:p w14:paraId="0242DCDA" w14:textId="0342A479" w:rsidR="006866BE" w:rsidRDefault="006866BE" w:rsidP="006866BE">
      <w:pPr>
        <w:pStyle w:val="ListBullet"/>
      </w:pPr>
      <w:r>
        <w:t>non-compliance ratings</w:t>
      </w:r>
    </w:p>
    <w:p w14:paraId="5A1F3BAF" w14:textId="27D6F32E" w:rsidR="006866BE" w:rsidRDefault="006866BE" w:rsidP="006866BE">
      <w:pPr>
        <w:pStyle w:val="ListBullet"/>
      </w:pPr>
      <w:r>
        <w:t>review process</w:t>
      </w:r>
      <w:r w:rsidRPr="00E815AF">
        <w:t>.</w:t>
      </w:r>
    </w:p>
    <w:p w14:paraId="7B419405" w14:textId="77777777" w:rsidR="006866BE" w:rsidRDefault="006866BE" w:rsidP="006866BE">
      <w:pPr>
        <w:spacing w:line="276" w:lineRule="auto"/>
      </w:pPr>
      <w:r>
        <w:t>_________________________________________________________________________________</w:t>
      </w:r>
    </w:p>
    <w:p w14:paraId="1DD886CB" w14:textId="20869152" w:rsidR="006866BE" w:rsidRDefault="006866BE" w:rsidP="006866BE">
      <w:pPr>
        <w:pStyle w:val="Heading2"/>
      </w:pPr>
      <w:bookmarkStart w:id="1" w:name="_Toc196211646"/>
      <w:r>
        <w:t>Contents</w:t>
      </w:r>
      <w:bookmarkEnd w:id="1"/>
    </w:p>
    <w:p w14:paraId="16B7E0B5" w14:textId="77777777" w:rsidR="006866BE" w:rsidRDefault="006866BE" w:rsidP="006866BE">
      <w:pPr>
        <w:pStyle w:val="BodyText"/>
        <w:rPr>
          <w:lang w:val="en-US"/>
        </w:rPr>
      </w:pPr>
      <w:r>
        <w:rPr>
          <w:lang w:val="en-US"/>
        </w:rPr>
        <w:t>This document contains the following topics.</w:t>
      </w:r>
    </w:p>
    <w:p w14:paraId="1ADB2C2A" w14:textId="1B03CCA8" w:rsidR="00A877AE" w:rsidRDefault="006866BE">
      <w:pPr>
        <w:pStyle w:val="TOC1"/>
        <w:rPr>
          <w:rFonts w:asciiTheme="minorHAnsi" w:eastAsiaTheme="minorEastAsia" w:hAnsiTheme="minorHAnsi" w:cstheme="minorBidi"/>
          <w:kern w:val="2"/>
          <w:sz w:val="24"/>
          <w:szCs w:val="24"/>
          <w:lang w:val="en-AU" w:eastAsia="en-AU"/>
          <w14:ligatures w14:val="standardContextual"/>
        </w:rPr>
      </w:pPr>
      <w:r>
        <w:rPr>
          <w:b/>
          <w:bCs/>
          <w:lang w:val="en-AU"/>
        </w:rPr>
        <w:fldChar w:fldCharType="begin"/>
      </w:r>
      <w:r>
        <w:rPr>
          <w:b/>
          <w:bCs/>
        </w:rPr>
        <w:instrText xml:space="preserve"> TOC \h \z \t "Heading 2,1,Heading 3,2,Heading 4,3" </w:instrText>
      </w:r>
      <w:r>
        <w:rPr>
          <w:b/>
          <w:bCs/>
          <w:lang w:val="en-AU"/>
        </w:rPr>
        <w:fldChar w:fldCharType="separate"/>
      </w:r>
      <w:hyperlink w:anchor="_Toc196211645" w:history="1">
        <w:r w:rsidR="00A877AE" w:rsidRPr="0008457D">
          <w:rPr>
            <w:rStyle w:val="Hyperlink"/>
          </w:rPr>
          <w:t>Purpose of this document</w:t>
        </w:r>
        <w:r w:rsidR="00A877AE">
          <w:rPr>
            <w:webHidden/>
          </w:rPr>
          <w:tab/>
        </w:r>
        <w:r w:rsidR="00A877AE">
          <w:rPr>
            <w:webHidden/>
          </w:rPr>
          <w:fldChar w:fldCharType="begin"/>
        </w:r>
        <w:r w:rsidR="00A877AE">
          <w:rPr>
            <w:webHidden/>
          </w:rPr>
          <w:instrText xml:space="preserve"> PAGEREF _Toc196211645 \h </w:instrText>
        </w:r>
        <w:r w:rsidR="00A877AE">
          <w:rPr>
            <w:webHidden/>
          </w:rPr>
        </w:r>
        <w:r w:rsidR="00A877AE">
          <w:rPr>
            <w:webHidden/>
          </w:rPr>
          <w:fldChar w:fldCharType="separate"/>
        </w:r>
        <w:r w:rsidR="00C678E4">
          <w:rPr>
            <w:webHidden/>
          </w:rPr>
          <w:t>1</w:t>
        </w:r>
        <w:r w:rsidR="00A877AE">
          <w:rPr>
            <w:webHidden/>
          </w:rPr>
          <w:fldChar w:fldCharType="end"/>
        </w:r>
      </w:hyperlink>
    </w:p>
    <w:p w14:paraId="6539F81C" w14:textId="0DE5C3C6" w:rsidR="00A877AE" w:rsidRDefault="00A877AE">
      <w:pPr>
        <w:pStyle w:val="TOC1"/>
        <w:rPr>
          <w:rFonts w:asciiTheme="minorHAnsi" w:eastAsiaTheme="minorEastAsia" w:hAnsiTheme="minorHAnsi" w:cstheme="minorBidi"/>
          <w:kern w:val="2"/>
          <w:sz w:val="24"/>
          <w:szCs w:val="24"/>
          <w:lang w:val="en-AU" w:eastAsia="en-AU"/>
          <w14:ligatures w14:val="standardContextual"/>
        </w:rPr>
      </w:pPr>
      <w:hyperlink w:anchor="_Toc196211646" w:history="1">
        <w:r w:rsidRPr="0008457D">
          <w:rPr>
            <w:rStyle w:val="Hyperlink"/>
          </w:rPr>
          <w:t>Contents</w:t>
        </w:r>
        <w:r>
          <w:rPr>
            <w:webHidden/>
          </w:rPr>
          <w:tab/>
        </w:r>
        <w:r>
          <w:rPr>
            <w:webHidden/>
          </w:rPr>
          <w:fldChar w:fldCharType="begin"/>
        </w:r>
        <w:r>
          <w:rPr>
            <w:webHidden/>
          </w:rPr>
          <w:instrText xml:space="preserve"> PAGEREF _Toc196211646 \h </w:instrText>
        </w:r>
        <w:r>
          <w:rPr>
            <w:webHidden/>
          </w:rPr>
        </w:r>
        <w:r>
          <w:rPr>
            <w:webHidden/>
          </w:rPr>
          <w:fldChar w:fldCharType="separate"/>
        </w:r>
        <w:r w:rsidR="00C678E4">
          <w:rPr>
            <w:webHidden/>
          </w:rPr>
          <w:t>1</w:t>
        </w:r>
        <w:r>
          <w:rPr>
            <w:webHidden/>
          </w:rPr>
          <w:fldChar w:fldCharType="end"/>
        </w:r>
      </w:hyperlink>
    </w:p>
    <w:p w14:paraId="7BF0347E" w14:textId="4DE363D4" w:rsidR="00A877AE" w:rsidRDefault="00A877AE">
      <w:pPr>
        <w:pStyle w:val="TOC1"/>
        <w:rPr>
          <w:rFonts w:asciiTheme="minorHAnsi" w:eastAsiaTheme="minorEastAsia" w:hAnsiTheme="minorHAnsi" w:cstheme="minorBidi"/>
          <w:kern w:val="2"/>
          <w:sz w:val="24"/>
          <w:szCs w:val="24"/>
          <w:lang w:val="en-AU" w:eastAsia="en-AU"/>
          <w14:ligatures w14:val="standardContextual"/>
        </w:rPr>
      </w:pPr>
      <w:hyperlink w:anchor="_Toc196211647" w:history="1">
        <w:r w:rsidRPr="0008457D">
          <w:rPr>
            <w:rStyle w:val="Hyperlink"/>
          </w:rPr>
          <w:t>Policy statement</w:t>
        </w:r>
        <w:r>
          <w:rPr>
            <w:webHidden/>
          </w:rPr>
          <w:tab/>
        </w:r>
        <w:r>
          <w:rPr>
            <w:webHidden/>
          </w:rPr>
          <w:fldChar w:fldCharType="begin"/>
        </w:r>
        <w:r>
          <w:rPr>
            <w:webHidden/>
          </w:rPr>
          <w:instrText xml:space="preserve"> PAGEREF _Toc196211647 \h </w:instrText>
        </w:r>
        <w:r>
          <w:rPr>
            <w:webHidden/>
          </w:rPr>
        </w:r>
        <w:r>
          <w:rPr>
            <w:webHidden/>
          </w:rPr>
          <w:fldChar w:fldCharType="separate"/>
        </w:r>
        <w:r w:rsidR="00C678E4">
          <w:rPr>
            <w:webHidden/>
          </w:rPr>
          <w:t>3</w:t>
        </w:r>
        <w:r>
          <w:rPr>
            <w:webHidden/>
          </w:rPr>
          <w:fldChar w:fldCharType="end"/>
        </w:r>
      </w:hyperlink>
    </w:p>
    <w:p w14:paraId="491ABC4F" w14:textId="7ECD0059" w:rsidR="00A877AE" w:rsidRDefault="00A877AE">
      <w:pPr>
        <w:pStyle w:val="TOC1"/>
        <w:rPr>
          <w:rFonts w:asciiTheme="minorHAnsi" w:eastAsiaTheme="minorEastAsia" w:hAnsiTheme="minorHAnsi" w:cstheme="minorBidi"/>
          <w:kern w:val="2"/>
          <w:sz w:val="24"/>
          <w:szCs w:val="24"/>
          <w:lang w:val="en-AU" w:eastAsia="en-AU"/>
          <w14:ligatures w14:val="standardContextual"/>
        </w:rPr>
      </w:pPr>
      <w:hyperlink w:anchor="_Toc196211648" w:history="1">
        <w:r w:rsidRPr="0008457D">
          <w:rPr>
            <w:rStyle w:val="Hyperlink"/>
          </w:rPr>
          <w:t>Roles and responsibilities</w:t>
        </w:r>
        <w:r>
          <w:rPr>
            <w:webHidden/>
          </w:rPr>
          <w:tab/>
        </w:r>
        <w:r>
          <w:rPr>
            <w:webHidden/>
          </w:rPr>
          <w:fldChar w:fldCharType="begin"/>
        </w:r>
        <w:r>
          <w:rPr>
            <w:webHidden/>
          </w:rPr>
          <w:instrText xml:space="preserve"> PAGEREF _Toc196211648 \h </w:instrText>
        </w:r>
        <w:r>
          <w:rPr>
            <w:webHidden/>
          </w:rPr>
        </w:r>
        <w:r>
          <w:rPr>
            <w:webHidden/>
          </w:rPr>
          <w:fldChar w:fldCharType="separate"/>
        </w:r>
        <w:r w:rsidR="00C678E4">
          <w:rPr>
            <w:webHidden/>
          </w:rPr>
          <w:t>3</w:t>
        </w:r>
        <w:r>
          <w:rPr>
            <w:webHidden/>
          </w:rPr>
          <w:fldChar w:fldCharType="end"/>
        </w:r>
      </w:hyperlink>
    </w:p>
    <w:p w14:paraId="21B70A54" w14:textId="4312A709" w:rsidR="00A877AE" w:rsidRDefault="00A877AE">
      <w:pPr>
        <w:pStyle w:val="TOC1"/>
        <w:rPr>
          <w:rFonts w:asciiTheme="minorHAnsi" w:eastAsiaTheme="minorEastAsia" w:hAnsiTheme="minorHAnsi" w:cstheme="minorBidi"/>
          <w:kern w:val="2"/>
          <w:sz w:val="24"/>
          <w:szCs w:val="24"/>
          <w:lang w:val="en-AU" w:eastAsia="en-AU"/>
          <w14:ligatures w14:val="standardContextual"/>
        </w:rPr>
      </w:pPr>
      <w:hyperlink w:anchor="_Toc196211649" w:history="1">
        <w:r w:rsidRPr="0008457D">
          <w:rPr>
            <w:rStyle w:val="Hyperlink"/>
          </w:rPr>
          <w:t>Work health and safety</w:t>
        </w:r>
        <w:r>
          <w:rPr>
            <w:webHidden/>
          </w:rPr>
          <w:tab/>
        </w:r>
        <w:r>
          <w:rPr>
            <w:webHidden/>
          </w:rPr>
          <w:fldChar w:fldCharType="begin"/>
        </w:r>
        <w:r>
          <w:rPr>
            <w:webHidden/>
          </w:rPr>
          <w:instrText xml:space="preserve"> PAGEREF _Toc196211649 \h </w:instrText>
        </w:r>
        <w:r>
          <w:rPr>
            <w:webHidden/>
          </w:rPr>
        </w:r>
        <w:r>
          <w:rPr>
            <w:webHidden/>
          </w:rPr>
          <w:fldChar w:fldCharType="separate"/>
        </w:r>
        <w:r w:rsidR="00C678E4">
          <w:rPr>
            <w:webHidden/>
          </w:rPr>
          <w:t>4</w:t>
        </w:r>
        <w:r>
          <w:rPr>
            <w:webHidden/>
          </w:rPr>
          <w:fldChar w:fldCharType="end"/>
        </w:r>
      </w:hyperlink>
    </w:p>
    <w:p w14:paraId="0613F403" w14:textId="1314C5D6" w:rsidR="00A877AE" w:rsidRDefault="00A877AE">
      <w:pPr>
        <w:pStyle w:val="TOC2"/>
        <w:rPr>
          <w:rFonts w:asciiTheme="minorHAnsi" w:eastAsiaTheme="minorEastAsia" w:hAnsiTheme="minorHAnsi" w:cstheme="minorBidi"/>
          <w:kern w:val="2"/>
          <w:sz w:val="24"/>
          <w:szCs w:val="24"/>
          <w:lang w:eastAsia="en-AU"/>
          <w14:ligatures w14:val="standardContextual"/>
        </w:rPr>
      </w:pPr>
      <w:hyperlink w:anchor="_Toc196211650" w:history="1">
        <w:r w:rsidRPr="0008457D">
          <w:rPr>
            <w:rStyle w:val="Hyperlink"/>
          </w:rPr>
          <w:t>Personal protective equipment</w:t>
        </w:r>
        <w:r>
          <w:rPr>
            <w:webHidden/>
          </w:rPr>
          <w:tab/>
        </w:r>
        <w:r>
          <w:rPr>
            <w:webHidden/>
          </w:rPr>
          <w:fldChar w:fldCharType="begin"/>
        </w:r>
        <w:r>
          <w:rPr>
            <w:webHidden/>
          </w:rPr>
          <w:instrText xml:space="preserve"> PAGEREF _Toc196211650 \h </w:instrText>
        </w:r>
        <w:r>
          <w:rPr>
            <w:webHidden/>
          </w:rPr>
        </w:r>
        <w:r>
          <w:rPr>
            <w:webHidden/>
          </w:rPr>
          <w:fldChar w:fldCharType="separate"/>
        </w:r>
        <w:r w:rsidR="00C678E4">
          <w:rPr>
            <w:webHidden/>
          </w:rPr>
          <w:t>4</w:t>
        </w:r>
        <w:r>
          <w:rPr>
            <w:webHidden/>
          </w:rPr>
          <w:fldChar w:fldCharType="end"/>
        </w:r>
      </w:hyperlink>
    </w:p>
    <w:p w14:paraId="4684D31B" w14:textId="6F1F286E" w:rsidR="00A877AE" w:rsidRDefault="00A877AE">
      <w:pPr>
        <w:pStyle w:val="TOC2"/>
        <w:rPr>
          <w:rFonts w:asciiTheme="minorHAnsi" w:eastAsiaTheme="minorEastAsia" w:hAnsiTheme="minorHAnsi" w:cstheme="minorBidi"/>
          <w:kern w:val="2"/>
          <w:sz w:val="24"/>
          <w:szCs w:val="24"/>
          <w:lang w:eastAsia="en-AU"/>
          <w14:ligatures w14:val="standardContextual"/>
        </w:rPr>
      </w:pPr>
      <w:hyperlink w:anchor="_Toc196211651" w:history="1">
        <w:r w:rsidRPr="0008457D">
          <w:rPr>
            <w:rStyle w:val="Hyperlink"/>
          </w:rPr>
          <w:t>WHS reporting requirements</w:t>
        </w:r>
        <w:r>
          <w:rPr>
            <w:webHidden/>
          </w:rPr>
          <w:tab/>
        </w:r>
        <w:r>
          <w:rPr>
            <w:webHidden/>
          </w:rPr>
          <w:fldChar w:fldCharType="begin"/>
        </w:r>
        <w:r>
          <w:rPr>
            <w:webHidden/>
          </w:rPr>
          <w:instrText xml:space="preserve"> PAGEREF _Toc196211651 \h </w:instrText>
        </w:r>
        <w:r>
          <w:rPr>
            <w:webHidden/>
          </w:rPr>
        </w:r>
        <w:r>
          <w:rPr>
            <w:webHidden/>
          </w:rPr>
          <w:fldChar w:fldCharType="separate"/>
        </w:r>
        <w:r w:rsidR="00C678E4">
          <w:rPr>
            <w:webHidden/>
          </w:rPr>
          <w:t>5</w:t>
        </w:r>
        <w:r>
          <w:rPr>
            <w:webHidden/>
          </w:rPr>
          <w:fldChar w:fldCharType="end"/>
        </w:r>
      </w:hyperlink>
    </w:p>
    <w:p w14:paraId="70A39F9A" w14:textId="6BF63F2C" w:rsidR="00A877AE" w:rsidRDefault="00A877AE">
      <w:pPr>
        <w:pStyle w:val="TOC1"/>
        <w:rPr>
          <w:rFonts w:asciiTheme="minorHAnsi" w:eastAsiaTheme="minorEastAsia" w:hAnsiTheme="minorHAnsi" w:cstheme="minorBidi"/>
          <w:kern w:val="2"/>
          <w:sz w:val="24"/>
          <w:szCs w:val="24"/>
          <w:lang w:val="en-AU" w:eastAsia="en-AU"/>
          <w14:ligatures w14:val="standardContextual"/>
        </w:rPr>
      </w:pPr>
      <w:hyperlink w:anchor="_Toc196211652" w:history="1">
        <w:r w:rsidRPr="0008457D">
          <w:rPr>
            <w:rStyle w:val="Hyperlink"/>
          </w:rPr>
          <w:t>Performance standards</w:t>
        </w:r>
        <w:r>
          <w:rPr>
            <w:webHidden/>
          </w:rPr>
          <w:tab/>
        </w:r>
        <w:r>
          <w:rPr>
            <w:webHidden/>
          </w:rPr>
          <w:fldChar w:fldCharType="begin"/>
        </w:r>
        <w:r>
          <w:rPr>
            <w:webHidden/>
          </w:rPr>
          <w:instrText xml:space="preserve"> PAGEREF _Toc196211652 \h </w:instrText>
        </w:r>
        <w:r>
          <w:rPr>
            <w:webHidden/>
          </w:rPr>
        </w:r>
        <w:r>
          <w:rPr>
            <w:webHidden/>
          </w:rPr>
          <w:fldChar w:fldCharType="separate"/>
        </w:r>
        <w:r w:rsidR="00C678E4">
          <w:rPr>
            <w:webHidden/>
          </w:rPr>
          <w:t>5</w:t>
        </w:r>
        <w:r>
          <w:rPr>
            <w:webHidden/>
          </w:rPr>
          <w:fldChar w:fldCharType="end"/>
        </w:r>
      </w:hyperlink>
    </w:p>
    <w:p w14:paraId="502ECD42" w14:textId="6BF5CE3F" w:rsidR="00A877AE" w:rsidRDefault="00A877AE">
      <w:pPr>
        <w:pStyle w:val="TOC2"/>
        <w:rPr>
          <w:rFonts w:asciiTheme="minorHAnsi" w:eastAsiaTheme="minorEastAsia" w:hAnsiTheme="minorHAnsi" w:cstheme="minorBidi"/>
          <w:kern w:val="2"/>
          <w:sz w:val="24"/>
          <w:szCs w:val="24"/>
          <w:lang w:eastAsia="en-AU"/>
          <w14:ligatures w14:val="standardContextual"/>
        </w:rPr>
      </w:pPr>
      <w:hyperlink w:anchor="_Toc196211653" w:history="1">
        <w:r w:rsidRPr="0008457D">
          <w:rPr>
            <w:rStyle w:val="Hyperlink"/>
          </w:rPr>
          <w:t>Elements</w:t>
        </w:r>
        <w:r>
          <w:rPr>
            <w:webHidden/>
          </w:rPr>
          <w:tab/>
        </w:r>
        <w:r>
          <w:rPr>
            <w:webHidden/>
          </w:rPr>
          <w:fldChar w:fldCharType="begin"/>
        </w:r>
        <w:r>
          <w:rPr>
            <w:webHidden/>
          </w:rPr>
          <w:instrText xml:space="preserve"> PAGEREF _Toc196211653 \h </w:instrText>
        </w:r>
        <w:r>
          <w:rPr>
            <w:webHidden/>
          </w:rPr>
        </w:r>
        <w:r>
          <w:rPr>
            <w:webHidden/>
          </w:rPr>
          <w:fldChar w:fldCharType="separate"/>
        </w:r>
        <w:r w:rsidR="00C678E4">
          <w:rPr>
            <w:webHidden/>
          </w:rPr>
          <w:t>5</w:t>
        </w:r>
        <w:r>
          <w:rPr>
            <w:webHidden/>
          </w:rPr>
          <w:fldChar w:fldCharType="end"/>
        </w:r>
      </w:hyperlink>
    </w:p>
    <w:p w14:paraId="2E852FA0" w14:textId="3631ADC1" w:rsidR="00A877AE" w:rsidRDefault="00A877AE">
      <w:pPr>
        <w:pStyle w:val="TOC2"/>
        <w:rPr>
          <w:rFonts w:asciiTheme="minorHAnsi" w:eastAsiaTheme="minorEastAsia" w:hAnsiTheme="minorHAnsi" w:cstheme="minorBidi"/>
          <w:kern w:val="2"/>
          <w:sz w:val="24"/>
          <w:szCs w:val="24"/>
          <w:lang w:eastAsia="en-AU"/>
          <w14:ligatures w14:val="standardContextual"/>
        </w:rPr>
      </w:pPr>
      <w:hyperlink w:anchor="_Toc196211654" w:history="1">
        <w:r w:rsidRPr="0008457D">
          <w:rPr>
            <w:rStyle w:val="Hyperlink"/>
          </w:rPr>
          <w:t>Sub-elements</w:t>
        </w:r>
        <w:r>
          <w:rPr>
            <w:webHidden/>
          </w:rPr>
          <w:tab/>
        </w:r>
        <w:r>
          <w:rPr>
            <w:webHidden/>
          </w:rPr>
          <w:fldChar w:fldCharType="begin"/>
        </w:r>
        <w:r>
          <w:rPr>
            <w:webHidden/>
          </w:rPr>
          <w:instrText xml:space="preserve"> PAGEREF _Toc196211654 \h </w:instrText>
        </w:r>
        <w:r>
          <w:rPr>
            <w:webHidden/>
          </w:rPr>
        </w:r>
        <w:r>
          <w:rPr>
            <w:webHidden/>
          </w:rPr>
          <w:fldChar w:fldCharType="separate"/>
        </w:r>
        <w:r w:rsidR="00C678E4">
          <w:rPr>
            <w:webHidden/>
          </w:rPr>
          <w:t>5</w:t>
        </w:r>
        <w:r>
          <w:rPr>
            <w:webHidden/>
          </w:rPr>
          <w:fldChar w:fldCharType="end"/>
        </w:r>
      </w:hyperlink>
    </w:p>
    <w:p w14:paraId="4680CE03" w14:textId="7A4FDD0F" w:rsidR="00A877AE" w:rsidRDefault="00A877AE">
      <w:pPr>
        <w:pStyle w:val="TOC1"/>
        <w:rPr>
          <w:rFonts w:asciiTheme="minorHAnsi" w:eastAsiaTheme="minorEastAsia" w:hAnsiTheme="minorHAnsi" w:cstheme="minorBidi"/>
          <w:kern w:val="2"/>
          <w:sz w:val="24"/>
          <w:szCs w:val="24"/>
          <w:lang w:val="en-AU" w:eastAsia="en-AU"/>
          <w14:ligatures w14:val="standardContextual"/>
        </w:rPr>
      </w:pPr>
      <w:hyperlink w:anchor="_Toc196211655" w:history="1">
        <w:r w:rsidRPr="0008457D">
          <w:rPr>
            <w:rStyle w:val="Hyperlink"/>
          </w:rPr>
          <w:t>Audit types</w:t>
        </w:r>
        <w:r>
          <w:rPr>
            <w:webHidden/>
          </w:rPr>
          <w:tab/>
        </w:r>
        <w:r>
          <w:rPr>
            <w:webHidden/>
          </w:rPr>
          <w:fldChar w:fldCharType="begin"/>
        </w:r>
        <w:r>
          <w:rPr>
            <w:webHidden/>
          </w:rPr>
          <w:instrText xml:space="preserve"> PAGEREF _Toc196211655 \h </w:instrText>
        </w:r>
        <w:r>
          <w:rPr>
            <w:webHidden/>
          </w:rPr>
        </w:r>
        <w:r>
          <w:rPr>
            <w:webHidden/>
          </w:rPr>
          <w:fldChar w:fldCharType="separate"/>
        </w:r>
        <w:r w:rsidR="00C678E4">
          <w:rPr>
            <w:webHidden/>
          </w:rPr>
          <w:t>5</w:t>
        </w:r>
        <w:r>
          <w:rPr>
            <w:webHidden/>
          </w:rPr>
          <w:fldChar w:fldCharType="end"/>
        </w:r>
      </w:hyperlink>
    </w:p>
    <w:p w14:paraId="566C2E77" w14:textId="12D93802" w:rsidR="00A877AE" w:rsidRDefault="00A877AE">
      <w:pPr>
        <w:pStyle w:val="TOC1"/>
        <w:rPr>
          <w:rFonts w:asciiTheme="minorHAnsi" w:eastAsiaTheme="minorEastAsia" w:hAnsiTheme="minorHAnsi" w:cstheme="minorBidi"/>
          <w:kern w:val="2"/>
          <w:sz w:val="24"/>
          <w:szCs w:val="24"/>
          <w:lang w:val="en-AU" w:eastAsia="en-AU"/>
          <w14:ligatures w14:val="standardContextual"/>
        </w:rPr>
      </w:pPr>
      <w:hyperlink w:anchor="_Toc196211656" w:history="1">
        <w:r w:rsidRPr="0008457D">
          <w:rPr>
            <w:rStyle w:val="Hyperlink"/>
          </w:rPr>
          <w:t>Audit scheduling</w:t>
        </w:r>
        <w:r>
          <w:rPr>
            <w:webHidden/>
          </w:rPr>
          <w:tab/>
        </w:r>
        <w:r>
          <w:rPr>
            <w:webHidden/>
          </w:rPr>
          <w:fldChar w:fldCharType="begin"/>
        </w:r>
        <w:r>
          <w:rPr>
            <w:webHidden/>
          </w:rPr>
          <w:instrText xml:space="preserve"> PAGEREF _Toc196211656 \h </w:instrText>
        </w:r>
        <w:r>
          <w:rPr>
            <w:webHidden/>
          </w:rPr>
        </w:r>
        <w:r>
          <w:rPr>
            <w:webHidden/>
          </w:rPr>
          <w:fldChar w:fldCharType="separate"/>
        </w:r>
        <w:r w:rsidR="00C678E4">
          <w:rPr>
            <w:webHidden/>
          </w:rPr>
          <w:t>6</w:t>
        </w:r>
        <w:r>
          <w:rPr>
            <w:webHidden/>
          </w:rPr>
          <w:fldChar w:fldCharType="end"/>
        </w:r>
      </w:hyperlink>
    </w:p>
    <w:p w14:paraId="0F3F8238" w14:textId="536A09C1" w:rsidR="00A877AE" w:rsidRDefault="00A877AE">
      <w:pPr>
        <w:pStyle w:val="TOC1"/>
        <w:rPr>
          <w:rFonts w:asciiTheme="minorHAnsi" w:eastAsiaTheme="minorEastAsia" w:hAnsiTheme="minorHAnsi" w:cstheme="minorBidi"/>
          <w:kern w:val="2"/>
          <w:sz w:val="24"/>
          <w:szCs w:val="24"/>
          <w:lang w:val="en-AU" w:eastAsia="en-AU"/>
          <w14:ligatures w14:val="standardContextual"/>
        </w:rPr>
      </w:pPr>
      <w:hyperlink w:anchor="_Toc196211657" w:history="1">
        <w:r w:rsidRPr="0008457D">
          <w:rPr>
            <w:rStyle w:val="Hyperlink"/>
          </w:rPr>
          <w:t>Audit Process</w:t>
        </w:r>
        <w:r>
          <w:rPr>
            <w:webHidden/>
          </w:rPr>
          <w:tab/>
        </w:r>
        <w:r>
          <w:rPr>
            <w:webHidden/>
          </w:rPr>
          <w:fldChar w:fldCharType="begin"/>
        </w:r>
        <w:r>
          <w:rPr>
            <w:webHidden/>
          </w:rPr>
          <w:instrText xml:space="preserve"> PAGEREF _Toc196211657 \h </w:instrText>
        </w:r>
        <w:r>
          <w:rPr>
            <w:webHidden/>
          </w:rPr>
        </w:r>
        <w:r>
          <w:rPr>
            <w:webHidden/>
          </w:rPr>
          <w:fldChar w:fldCharType="separate"/>
        </w:r>
        <w:r w:rsidR="00C678E4">
          <w:rPr>
            <w:webHidden/>
          </w:rPr>
          <w:t>6</w:t>
        </w:r>
        <w:r>
          <w:rPr>
            <w:webHidden/>
          </w:rPr>
          <w:fldChar w:fldCharType="end"/>
        </w:r>
      </w:hyperlink>
    </w:p>
    <w:p w14:paraId="127362E8" w14:textId="2CFD47BC" w:rsidR="00A877AE" w:rsidRDefault="00A877AE">
      <w:pPr>
        <w:pStyle w:val="TOC2"/>
        <w:rPr>
          <w:rFonts w:asciiTheme="minorHAnsi" w:eastAsiaTheme="minorEastAsia" w:hAnsiTheme="minorHAnsi" w:cstheme="minorBidi"/>
          <w:kern w:val="2"/>
          <w:sz w:val="24"/>
          <w:szCs w:val="24"/>
          <w:lang w:eastAsia="en-AU"/>
          <w14:ligatures w14:val="standardContextual"/>
        </w:rPr>
      </w:pPr>
      <w:hyperlink w:anchor="_Toc196211658" w:history="1">
        <w:r w:rsidRPr="0008457D">
          <w:rPr>
            <w:rStyle w:val="Hyperlink"/>
          </w:rPr>
          <w:t>Demonstration Audit</w:t>
        </w:r>
        <w:r>
          <w:rPr>
            <w:webHidden/>
          </w:rPr>
          <w:tab/>
        </w:r>
        <w:r>
          <w:rPr>
            <w:webHidden/>
          </w:rPr>
          <w:fldChar w:fldCharType="begin"/>
        </w:r>
        <w:r>
          <w:rPr>
            <w:webHidden/>
          </w:rPr>
          <w:instrText xml:space="preserve"> PAGEREF _Toc196211658 \h </w:instrText>
        </w:r>
        <w:r>
          <w:rPr>
            <w:webHidden/>
          </w:rPr>
        </w:r>
        <w:r>
          <w:rPr>
            <w:webHidden/>
          </w:rPr>
          <w:fldChar w:fldCharType="separate"/>
        </w:r>
        <w:r w:rsidR="00C678E4">
          <w:rPr>
            <w:webHidden/>
          </w:rPr>
          <w:t>6</w:t>
        </w:r>
        <w:r>
          <w:rPr>
            <w:webHidden/>
          </w:rPr>
          <w:fldChar w:fldCharType="end"/>
        </w:r>
      </w:hyperlink>
    </w:p>
    <w:p w14:paraId="6FA61979" w14:textId="54D24F2D" w:rsidR="00A877AE" w:rsidRDefault="00A877AE">
      <w:pPr>
        <w:pStyle w:val="TOC2"/>
        <w:rPr>
          <w:rFonts w:asciiTheme="minorHAnsi" w:eastAsiaTheme="minorEastAsia" w:hAnsiTheme="minorHAnsi" w:cstheme="minorBidi"/>
          <w:kern w:val="2"/>
          <w:sz w:val="24"/>
          <w:szCs w:val="24"/>
          <w:lang w:eastAsia="en-AU"/>
          <w14:ligatures w14:val="standardContextual"/>
        </w:rPr>
      </w:pPr>
      <w:hyperlink w:anchor="_Toc196211659" w:history="1">
        <w:r w:rsidRPr="0008457D">
          <w:rPr>
            <w:rStyle w:val="Hyperlink"/>
          </w:rPr>
          <w:t>Compliance Audit</w:t>
        </w:r>
        <w:r>
          <w:rPr>
            <w:webHidden/>
          </w:rPr>
          <w:tab/>
        </w:r>
        <w:r>
          <w:rPr>
            <w:webHidden/>
          </w:rPr>
          <w:fldChar w:fldCharType="begin"/>
        </w:r>
        <w:r>
          <w:rPr>
            <w:webHidden/>
          </w:rPr>
          <w:instrText xml:space="preserve"> PAGEREF _Toc196211659 \h </w:instrText>
        </w:r>
        <w:r>
          <w:rPr>
            <w:webHidden/>
          </w:rPr>
        </w:r>
        <w:r>
          <w:rPr>
            <w:webHidden/>
          </w:rPr>
          <w:fldChar w:fldCharType="separate"/>
        </w:r>
        <w:r w:rsidR="00C678E4">
          <w:rPr>
            <w:webHidden/>
          </w:rPr>
          <w:t>7</w:t>
        </w:r>
        <w:r>
          <w:rPr>
            <w:webHidden/>
          </w:rPr>
          <w:fldChar w:fldCharType="end"/>
        </w:r>
      </w:hyperlink>
    </w:p>
    <w:p w14:paraId="522C23D4" w14:textId="2A320B38" w:rsidR="00A877AE" w:rsidRDefault="00A877AE">
      <w:pPr>
        <w:pStyle w:val="TOC3"/>
        <w:rPr>
          <w:rFonts w:asciiTheme="minorHAnsi" w:eastAsiaTheme="minorEastAsia" w:hAnsiTheme="minorHAnsi" w:cstheme="minorBidi"/>
          <w:kern w:val="2"/>
          <w:sz w:val="24"/>
          <w:szCs w:val="24"/>
          <w:lang w:eastAsia="en-AU"/>
          <w14:ligatures w14:val="standardContextual"/>
        </w:rPr>
      </w:pPr>
      <w:hyperlink w:anchor="_Toc196211660" w:history="1">
        <w:r w:rsidRPr="0008457D">
          <w:rPr>
            <w:rStyle w:val="Hyperlink"/>
          </w:rPr>
          <w:t>Non-compliance ratings</w:t>
        </w:r>
        <w:r>
          <w:rPr>
            <w:webHidden/>
          </w:rPr>
          <w:tab/>
        </w:r>
        <w:r>
          <w:rPr>
            <w:webHidden/>
          </w:rPr>
          <w:fldChar w:fldCharType="begin"/>
        </w:r>
        <w:r>
          <w:rPr>
            <w:webHidden/>
          </w:rPr>
          <w:instrText xml:space="preserve"> PAGEREF _Toc196211660 \h </w:instrText>
        </w:r>
        <w:r>
          <w:rPr>
            <w:webHidden/>
          </w:rPr>
        </w:r>
        <w:r>
          <w:rPr>
            <w:webHidden/>
          </w:rPr>
          <w:fldChar w:fldCharType="separate"/>
        </w:r>
        <w:r w:rsidR="00C678E4">
          <w:rPr>
            <w:webHidden/>
          </w:rPr>
          <w:t>11</w:t>
        </w:r>
        <w:r>
          <w:rPr>
            <w:webHidden/>
          </w:rPr>
          <w:fldChar w:fldCharType="end"/>
        </w:r>
      </w:hyperlink>
    </w:p>
    <w:p w14:paraId="02675303" w14:textId="6143A76D" w:rsidR="00A877AE" w:rsidRDefault="00A877AE">
      <w:pPr>
        <w:pStyle w:val="TOC1"/>
        <w:rPr>
          <w:rFonts w:asciiTheme="minorHAnsi" w:eastAsiaTheme="minorEastAsia" w:hAnsiTheme="minorHAnsi" w:cstheme="minorBidi"/>
          <w:kern w:val="2"/>
          <w:sz w:val="24"/>
          <w:szCs w:val="24"/>
          <w:lang w:val="en-AU" w:eastAsia="en-AU"/>
          <w14:ligatures w14:val="standardContextual"/>
        </w:rPr>
      </w:pPr>
      <w:hyperlink w:anchor="_Toc196211661" w:history="1">
        <w:r w:rsidRPr="0008457D">
          <w:rPr>
            <w:rStyle w:val="Hyperlink"/>
          </w:rPr>
          <w:t>Issuing Non-compliance Notices</w:t>
        </w:r>
        <w:r>
          <w:rPr>
            <w:webHidden/>
          </w:rPr>
          <w:tab/>
        </w:r>
        <w:r>
          <w:rPr>
            <w:webHidden/>
          </w:rPr>
          <w:fldChar w:fldCharType="begin"/>
        </w:r>
        <w:r>
          <w:rPr>
            <w:webHidden/>
          </w:rPr>
          <w:instrText xml:space="preserve"> PAGEREF _Toc196211661 \h </w:instrText>
        </w:r>
        <w:r>
          <w:rPr>
            <w:webHidden/>
          </w:rPr>
        </w:r>
        <w:r>
          <w:rPr>
            <w:webHidden/>
          </w:rPr>
          <w:fldChar w:fldCharType="separate"/>
        </w:r>
        <w:r w:rsidR="00C678E4">
          <w:rPr>
            <w:webHidden/>
          </w:rPr>
          <w:t>11</w:t>
        </w:r>
        <w:r>
          <w:rPr>
            <w:webHidden/>
          </w:rPr>
          <w:fldChar w:fldCharType="end"/>
        </w:r>
      </w:hyperlink>
    </w:p>
    <w:p w14:paraId="50E84925" w14:textId="355112E2" w:rsidR="00A877AE" w:rsidRDefault="00A877AE">
      <w:pPr>
        <w:pStyle w:val="TOC2"/>
        <w:rPr>
          <w:rFonts w:asciiTheme="minorHAnsi" w:eastAsiaTheme="minorEastAsia" w:hAnsiTheme="minorHAnsi" w:cstheme="minorBidi"/>
          <w:kern w:val="2"/>
          <w:sz w:val="24"/>
          <w:szCs w:val="24"/>
          <w:lang w:eastAsia="en-AU"/>
          <w14:ligatures w14:val="standardContextual"/>
        </w:rPr>
      </w:pPr>
      <w:hyperlink w:anchor="_Toc196211662" w:history="1">
        <w:r w:rsidRPr="0008457D">
          <w:rPr>
            <w:rStyle w:val="Hyperlink"/>
          </w:rPr>
          <w:t>When a critical non-compliance is identified</w:t>
        </w:r>
        <w:r>
          <w:rPr>
            <w:webHidden/>
          </w:rPr>
          <w:tab/>
        </w:r>
        <w:r>
          <w:rPr>
            <w:webHidden/>
          </w:rPr>
          <w:fldChar w:fldCharType="begin"/>
        </w:r>
        <w:r>
          <w:rPr>
            <w:webHidden/>
          </w:rPr>
          <w:instrText xml:space="preserve"> PAGEREF _Toc196211662 \h </w:instrText>
        </w:r>
        <w:r>
          <w:rPr>
            <w:webHidden/>
          </w:rPr>
        </w:r>
        <w:r>
          <w:rPr>
            <w:webHidden/>
          </w:rPr>
          <w:fldChar w:fldCharType="separate"/>
        </w:r>
        <w:r w:rsidR="00C678E4">
          <w:rPr>
            <w:webHidden/>
          </w:rPr>
          <w:t>11</w:t>
        </w:r>
        <w:r>
          <w:rPr>
            <w:webHidden/>
          </w:rPr>
          <w:fldChar w:fldCharType="end"/>
        </w:r>
      </w:hyperlink>
    </w:p>
    <w:p w14:paraId="7A4AECFA" w14:textId="0E47979B" w:rsidR="00A877AE" w:rsidRDefault="00A877AE">
      <w:pPr>
        <w:pStyle w:val="TOC3"/>
        <w:rPr>
          <w:rFonts w:asciiTheme="minorHAnsi" w:eastAsiaTheme="minorEastAsia" w:hAnsiTheme="minorHAnsi" w:cstheme="minorBidi"/>
          <w:kern w:val="2"/>
          <w:sz w:val="24"/>
          <w:szCs w:val="24"/>
          <w:lang w:eastAsia="en-AU"/>
          <w14:ligatures w14:val="standardContextual"/>
        </w:rPr>
      </w:pPr>
      <w:hyperlink w:anchor="_Toc196211663" w:history="1">
        <w:r w:rsidRPr="0008457D">
          <w:rPr>
            <w:rStyle w:val="Hyperlink"/>
          </w:rPr>
          <w:t>Mandatory Re-training and reassessment of competency</w:t>
        </w:r>
        <w:r>
          <w:rPr>
            <w:webHidden/>
          </w:rPr>
          <w:tab/>
        </w:r>
        <w:r>
          <w:rPr>
            <w:webHidden/>
          </w:rPr>
          <w:fldChar w:fldCharType="begin"/>
        </w:r>
        <w:r>
          <w:rPr>
            <w:webHidden/>
          </w:rPr>
          <w:instrText xml:space="preserve"> PAGEREF _Toc196211663 \h </w:instrText>
        </w:r>
        <w:r>
          <w:rPr>
            <w:webHidden/>
          </w:rPr>
        </w:r>
        <w:r>
          <w:rPr>
            <w:webHidden/>
          </w:rPr>
          <w:fldChar w:fldCharType="separate"/>
        </w:r>
        <w:r w:rsidR="00C678E4">
          <w:rPr>
            <w:webHidden/>
          </w:rPr>
          <w:t>11</w:t>
        </w:r>
        <w:r>
          <w:rPr>
            <w:webHidden/>
          </w:rPr>
          <w:fldChar w:fldCharType="end"/>
        </w:r>
      </w:hyperlink>
    </w:p>
    <w:p w14:paraId="2772302D" w14:textId="08A05278" w:rsidR="00A877AE" w:rsidRDefault="00A877AE">
      <w:pPr>
        <w:pStyle w:val="TOC1"/>
        <w:rPr>
          <w:rFonts w:asciiTheme="minorHAnsi" w:eastAsiaTheme="minorEastAsia" w:hAnsiTheme="minorHAnsi" w:cstheme="minorBidi"/>
          <w:kern w:val="2"/>
          <w:sz w:val="24"/>
          <w:szCs w:val="24"/>
          <w:lang w:val="en-AU" w:eastAsia="en-AU"/>
          <w14:ligatures w14:val="standardContextual"/>
        </w:rPr>
      </w:pPr>
      <w:hyperlink w:anchor="_Toc196211664" w:history="1">
        <w:r w:rsidRPr="0008457D">
          <w:rPr>
            <w:rStyle w:val="Hyperlink"/>
          </w:rPr>
          <w:t>Audit result</w:t>
        </w:r>
        <w:r>
          <w:rPr>
            <w:webHidden/>
          </w:rPr>
          <w:tab/>
        </w:r>
        <w:r>
          <w:rPr>
            <w:webHidden/>
          </w:rPr>
          <w:fldChar w:fldCharType="begin"/>
        </w:r>
        <w:r>
          <w:rPr>
            <w:webHidden/>
          </w:rPr>
          <w:instrText xml:space="preserve"> PAGEREF _Toc196211664 \h </w:instrText>
        </w:r>
        <w:r>
          <w:rPr>
            <w:webHidden/>
          </w:rPr>
        </w:r>
        <w:r>
          <w:rPr>
            <w:webHidden/>
          </w:rPr>
          <w:fldChar w:fldCharType="separate"/>
        </w:r>
        <w:r w:rsidR="00C678E4">
          <w:rPr>
            <w:webHidden/>
          </w:rPr>
          <w:t>11</w:t>
        </w:r>
        <w:r>
          <w:rPr>
            <w:webHidden/>
          </w:rPr>
          <w:fldChar w:fldCharType="end"/>
        </w:r>
      </w:hyperlink>
    </w:p>
    <w:p w14:paraId="62AF03D7" w14:textId="5656D9A8" w:rsidR="00A877AE" w:rsidRDefault="00A877AE">
      <w:pPr>
        <w:pStyle w:val="TOC2"/>
        <w:rPr>
          <w:rFonts w:asciiTheme="minorHAnsi" w:eastAsiaTheme="minorEastAsia" w:hAnsiTheme="minorHAnsi" w:cstheme="minorBidi"/>
          <w:kern w:val="2"/>
          <w:sz w:val="24"/>
          <w:szCs w:val="24"/>
          <w:lang w:eastAsia="en-AU"/>
          <w14:ligatures w14:val="standardContextual"/>
        </w:rPr>
      </w:pPr>
      <w:hyperlink w:anchor="_Toc196211665" w:history="1">
        <w:r w:rsidRPr="0008457D">
          <w:rPr>
            <w:rStyle w:val="Hyperlink"/>
          </w:rPr>
          <w:t>Variation, Suspension or Revocation of Appointment by the department</w:t>
        </w:r>
        <w:r>
          <w:rPr>
            <w:webHidden/>
          </w:rPr>
          <w:tab/>
        </w:r>
        <w:r>
          <w:rPr>
            <w:webHidden/>
          </w:rPr>
          <w:fldChar w:fldCharType="begin"/>
        </w:r>
        <w:r>
          <w:rPr>
            <w:webHidden/>
          </w:rPr>
          <w:instrText xml:space="preserve"> PAGEREF _Toc196211665 \h </w:instrText>
        </w:r>
        <w:r>
          <w:rPr>
            <w:webHidden/>
          </w:rPr>
        </w:r>
        <w:r>
          <w:rPr>
            <w:webHidden/>
          </w:rPr>
          <w:fldChar w:fldCharType="separate"/>
        </w:r>
        <w:r w:rsidR="00C678E4">
          <w:rPr>
            <w:webHidden/>
          </w:rPr>
          <w:t>12</w:t>
        </w:r>
        <w:r>
          <w:rPr>
            <w:webHidden/>
          </w:rPr>
          <w:fldChar w:fldCharType="end"/>
        </w:r>
      </w:hyperlink>
    </w:p>
    <w:p w14:paraId="6F33329C" w14:textId="6B001A6D" w:rsidR="00A877AE" w:rsidRDefault="00A877AE">
      <w:pPr>
        <w:pStyle w:val="TOC1"/>
        <w:rPr>
          <w:rFonts w:asciiTheme="minorHAnsi" w:eastAsiaTheme="minorEastAsia" w:hAnsiTheme="minorHAnsi" w:cstheme="minorBidi"/>
          <w:kern w:val="2"/>
          <w:sz w:val="24"/>
          <w:szCs w:val="24"/>
          <w:lang w:val="en-AU" w:eastAsia="en-AU"/>
          <w14:ligatures w14:val="standardContextual"/>
        </w:rPr>
      </w:pPr>
      <w:hyperlink w:anchor="_Toc196211666" w:history="1">
        <w:r w:rsidRPr="0008457D">
          <w:rPr>
            <w:rStyle w:val="Hyperlink"/>
          </w:rPr>
          <w:t>Non-compliance detected outside of an audit</w:t>
        </w:r>
        <w:r>
          <w:rPr>
            <w:webHidden/>
          </w:rPr>
          <w:tab/>
        </w:r>
        <w:r>
          <w:rPr>
            <w:webHidden/>
          </w:rPr>
          <w:fldChar w:fldCharType="begin"/>
        </w:r>
        <w:r>
          <w:rPr>
            <w:webHidden/>
          </w:rPr>
          <w:instrText xml:space="preserve"> PAGEREF _Toc196211666 \h </w:instrText>
        </w:r>
        <w:r>
          <w:rPr>
            <w:webHidden/>
          </w:rPr>
        </w:r>
        <w:r>
          <w:rPr>
            <w:webHidden/>
          </w:rPr>
          <w:fldChar w:fldCharType="separate"/>
        </w:r>
        <w:r w:rsidR="00C678E4">
          <w:rPr>
            <w:webHidden/>
          </w:rPr>
          <w:t>12</w:t>
        </w:r>
        <w:r>
          <w:rPr>
            <w:webHidden/>
          </w:rPr>
          <w:fldChar w:fldCharType="end"/>
        </w:r>
      </w:hyperlink>
    </w:p>
    <w:p w14:paraId="1A296CE8" w14:textId="475107EA" w:rsidR="00A877AE" w:rsidRDefault="00A877AE">
      <w:pPr>
        <w:pStyle w:val="TOC1"/>
        <w:rPr>
          <w:rFonts w:asciiTheme="minorHAnsi" w:eastAsiaTheme="minorEastAsia" w:hAnsiTheme="minorHAnsi" w:cstheme="minorBidi"/>
          <w:kern w:val="2"/>
          <w:sz w:val="24"/>
          <w:szCs w:val="24"/>
          <w:lang w:val="en-AU" w:eastAsia="en-AU"/>
          <w14:ligatures w14:val="standardContextual"/>
        </w:rPr>
      </w:pPr>
      <w:hyperlink w:anchor="_Toc196211667" w:history="1">
        <w:r w:rsidRPr="0008457D">
          <w:rPr>
            <w:rStyle w:val="Hyperlink"/>
          </w:rPr>
          <w:t>Fees and Charges</w:t>
        </w:r>
        <w:r>
          <w:rPr>
            <w:webHidden/>
          </w:rPr>
          <w:tab/>
        </w:r>
        <w:r>
          <w:rPr>
            <w:webHidden/>
          </w:rPr>
          <w:fldChar w:fldCharType="begin"/>
        </w:r>
        <w:r>
          <w:rPr>
            <w:webHidden/>
          </w:rPr>
          <w:instrText xml:space="preserve"> PAGEREF _Toc196211667 \h </w:instrText>
        </w:r>
        <w:r>
          <w:rPr>
            <w:webHidden/>
          </w:rPr>
        </w:r>
        <w:r>
          <w:rPr>
            <w:webHidden/>
          </w:rPr>
          <w:fldChar w:fldCharType="separate"/>
        </w:r>
        <w:r w:rsidR="00C678E4">
          <w:rPr>
            <w:webHidden/>
          </w:rPr>
          <w:t>12</w:t>
        </w:r>
        <w:r>
          <w:rPr>
            <w:webHidden/>
          </w:rPr>
          <w:fldChar w:fldCharType="end"/>
        </w:r>
      </w:hyperlink>
    </w:p>
    <w:p w14:paraId="4243B8DA" w14:textId="23B8C4E2" w:rsidR="00A877AE" w:rsidRDefault="00A877AE">
      <w:pPr>
        <w:pStyle w:val="TOC1"/>
        <w:rPr>
          <w:rFonts w:asciiTheme="minorHAnsi" w:eastAsiaTheme="minorEastAsia" w:hAnsiTheme="minorHAnsi" w:cstheme="minorBidi"/>
          <w:kern w:val="2"/>
          <w:sz w:val="24"/>
          <w:szCs w:val="24"/>
          <w:lang w:val="en-AU" w:eastAsia="en-AU"/>
          <w14:ligatures w14:val="standardContextual"/>
        </w:rPr>
      </w:pPr>
      <w:hyperlink w:anchor="_Toc196211668" w:history="1">
        <w:r w:rsidRPr="0008457D">
          <w:rPr>
            <w:rStyle w:val="Hyperlink"/>
          </w:rPr>
          <w:t>Record keeping</w:t>
        </w:r>
        <w:r>
          <w:rPr>
            <w:webHidden/>
          </w:rPr>
          <w:tab/>
        </w:r>
        <w:r>
          <w:rPr>
            <w:webHidden/>
          </w:rPr>
          <w:fldChar w:fldCharType="begin"/>
        </w:r>
        <w:r>
          <w:rPr>
            <w:webHidden/>
          </w:rPr>
          <w:instrText xml:space="preserve"> PAGEREF _Toc196211668 \h </w:instrText>
        </w:r>
        <w:r>
          <w:rPr>
            <w:webHidden/>
          </w:rPr>
        </w:r>
        <w:r>
          <w:rPr>
            <w:webHidden/>
          </w:rPr>
          <w:fldChar w:fldCharType="separate"/>
        </w:r>
        <w:r w:rsidR="00C678E4">
          <w:rPr>
            <w:webHidden/>
          </w:rPr>
          <w:t>13</w:t>
        </w:r>
        <w:r>
          <w:rPr>
            <w:webHidden/>
          </w:rPr>
          <w:fldChar w:fldCharType="end"/>
        </w:r>
      </w:hyperlink>
    </w:p>
    <w:p w14:paraId="3B17625B" w14:textId="18562E0A" w:rsidR="00A877AE" w:rsidRDefault="00A877AE">
      <w:pPr>
        <w:pStyle w:val="TOC1"/>
        <w:rPr>
          <w:rFonts w:asciiTheme="minorHAnsi" w:eastAsiaTheme="minorEastAsia" w:hAnsiTheme="minorHAnsi" w:cstheme="minorBidi"/>
          <w:kern w:val="2"/>
          <w:sz w:val="24"/>
          <w:szCs w:val="24"/>
          <w:lang w:val="en-AU" w:eastAsia="en-AU"/>
          <w14:ligatures w14:val="standardContextual"/>
        </w:rPr>
      </w:pPr>
      <w:hyperlink w:anchor="_Toc196211669" w:history="1">
        <w:r w:rsidRPr="0008457D">
          <w:rPr>
            <w:rStyle w:val="Hyperlink"/>
          </w:rPr>
          <w:t>Related Material</w:t>
        </w:r>
        <w:r>
          <w:rPr>
            <w:webHidden/>
          </w:rPr>
          <w:tab/>
        </w:r>
        <w:r>
          <w:rPr>
            <w:webHidden/>
          </w:rPr>
          <w:fldChar w:fldCharType="begin"/>
        </w:r>
        <w:r>
          <w:rPr>
            <w:webHidden/>
          </w:rPr>
          <w:instrText xml:space="preserve"> PAGEREF _Toc196211669 \h </w:instrText>
        </w:r>
        <w:r>
          <w:rPr>
            <w:webHidden/>
          </w:rPr>
        </w:r>
        <w:r>
          <w:rPr>
            <w:webHidden/>
          </w:rPr>
          <w:fldChar w:fldCharType="separate"/>
        </w:r>
        <w:r w:rsidR="00C678E4">
          <w:rPr>
            <w:webHidden/>
          </w:rPr>
          <w:t>13</w:t>
        </w:r>
        <w:r>
          <w:rPr>
            <w:webHidden/>
          </w:rPr>
          <w:fldChar w:fldCharType="end"/>
        </w:r>
      </w:hyperlink>
    </w:p>
    <w:p w14:paraId="0B250AC3" w14:textId="1ACD246F" w:rsidR="00A877AE" w:rsidRDefault="00A877AE">
      <w:pPr>
        <w:pStyle w:val="TOC1"/>
        <w:rPr>
          <w:rFonts w:asciiTheme="minorHAnsi" w:eastAsiaTheme="minorEastAsia" w:hAnsiTheme="minorHAnsi" w:cstheme="minorBidi"/>
          <w:kern w:val="2"/>
          <w:sz w:val="24"/>
          <w:szCs w:val="24"/>
          <w:lang w:val="en-AU" w:eastAsia="en-AU"/>
          <w14:ligatures w14:val="standardContextual"/>
        </w:rPr>
      </w:pPr>
      <w:hyperlink w:anchor="_Toc196211670" w:history="1">
        <w:r w:rsidRPr="0008457D">
          <w:rPr>
            <w:rStyle w:val="Hyperlink"/>
          </w:rPr>
          <w:t>Contact information</w:t>
        </w:r>
        <w:r>
          <w:rPr>
            <w:webHidden/>
          </w:rPr>
          <w:tab/>
        </w:r>
        <w:r>
          <w:rPr>
            <w:webHidden/>
          </w:rPr>
          <w:fldChar w:fldCharType="begin"/>
        </w:r>
        <w:r>
          <w:rPr>
            <w:webHidden/>
          </w:rPr>
          <w:instrText xml:space="preserve"> PAGEREF _Toc196211670 \h </w:instrText>
        </w:r>
        <w:r>
          <w:rPr>
            <w:webHidden/>
          </w:rPr>
        </w:r>
        <w:r>
          <w:rPr>
            <w:webHidden/>
          </w:rPr>
          <w:fldChar w:fldCharType="separate"/>
        </w:r>
        <w:r w:rsidR="00C678E4">
          <w:rPr>
            <w:webHidden/>
          </w:rPr>
          <w:t>13</w:t>
        </w:r>
        <w:r>
          <w:rPr>
            <w:webHidden/>
          </w:rPr>
          <w:fldChar w:fldCharType="end"/>
        </w:r>
      </w:hyperlink>
    </w:p>
    <w:p w14:paraId="271A9C2E" w14:textId="29F71092" w:rsidR="00A877AE" w:rsidRDefault="00A877AE">
      <w:pPr>
        <w:pStyle w:val="TOC1"/>
        <w:rPr>
          <w:rFonts w:asciiTheme="minorHAnsi" w:eastAsiaTheme="minorEastAsia" w:hAnsiTheme="minorHAnsi" w:cstheme="minorBidi"/>
          <w:kern w:val="2"/>
          <w:sz w:val="24"/>
          <w:szCs w:val="24"/>
          <w:lang w:val="en-AU" w:eastAsia="en-AU"/>
          <w14:ligatures w14:val="standardContextual"/>
        </w:rPr>
      </w:pPr>
      <w:hyperlink w:anchor="_Toc196211671" w:history="1">
        <w:r w:rsidRPr="0008457D">
          <w:rPr>
            <w:rStyle w:val="Hyperlink"/>
          </w:rPr>
          <w:t>Appendix A: Definitions</w:t>
        </w:r>
        <w:r>
          <w:rPr>
            <w:webHidden/>
          </w:rPr>
          <w:tab/>
        </w:r>
        <w:r>
          <w:rPr>
            <w:webHidden/>
          </w:rPr>
          <w:fldChar w:fldCharType="begin"/>
        </w:r>
        <w:r>
          <w:rPr>
            <w:webHidden/>
          </w:rPr>
          <w:instrText xml:space="preserve"> PAGEREF _Toc196211671 \h </w:instrText>
        </w:r>
        <w:r>
          <w:rPr>
            <w:webHidden/>
          </w:rPr>
        </w:r>
        <w:r>
          <w:rPr>
            <w:webHidden/>
          </w:rPr>
          <w:fldChar w:fldCharType="separate"/>
        </w:r>
        <w:r w:rsidR="00C678E4">
          <w:rPr>
            <w:webHidden/>
          </w:rPr>
          <w:t>15</w:t>
        </w:r>
        <w:r>
          <w:rPr>
            <w:webHidden/>
          </w:rPr>
          <w:fldChar w:fldCharType="end"/>
        </w:r>
      </w:hyperlink>
    </w:p>
    <w:p w14:paraId="19A95B59" w14:textId="42E6532C" w:rsidR="006866BE" w:rsidRDefault="006866BE" w:rsidP="006866BE">
      <w:pPr>
        <w:pStyle w:val="BodyText"/>
        <w:spacing w:after="60"/>
      </w:pPr>
      <w:r>
        <w:rPr>
          <w:bCs/>
          <w:lang w:val="en-US"/>
        </w:rPr>
        <w:fldChar w:fldCharType="end"/>
      </w:r>
    </w:p>
    <w:p w14:paraId="112215AA" w14:textId="77777777" w:rsidR="006866BE" w:rsidRDefault="006866BE" w:rsidP="006866BE">
      <w:pPr>
        <w:spacing w:before="0" w:after="0"/>
        <w:rPr>
          <w:rFonts w:eastAsia="Times New Roman"/>
          <w:b/>
          <w:bCs/>
          <w:sz w:val="30"/>
          <w:szCs w:val="26"/>
        </w:rPr>
      </w:pPr>
      <w:r>
        <w:br w:type="page"/>
      </w:r>
    </w:p>
    <w:p w14:paraId="6BCE7AFE" w14:textId="013586B0" w:rsidR="006866BE" w:rsidRDefault="006866BE" w:rsidP="006866BE">
      <w:pPr>
        <w:pStyle w:val="BodyText"/>
      </w:pPr>
    </w:p>
    <w:p w14:paraId="6B514720" w14:textId="77777777" w:rsidR="006866BE" w:rsidRDefault="006866BE" w:rsidP="006866BE">
      <w:pPr>
        <w:pStyle w:val="Heading2"/>
      </w:pPr>
      <w:bookmarkStart w:id="2" w:name="_Toc196211647"/>
      <w:r>
        <w:t>Policy statement</w:t>
      </w:r>
      <w:bookmarkEnd w:id="2"/>
    </w:p>
    <w:p w14:paraId="28228359" w14:textId="26F21EE8" w:rsidR="006866BE" w:rsidRPr="00A729F1" w:rsidRDefault="006866BE" w:rsidP="006866BE">
      <w:pPr>
        <w:pStyle w:val="BodyText"/>
      </w:pPr>
      <w:r>
        <w:t xml:space="preserve">The policy, overarching framework and legislation related to this Exports process instruction can be found in the </w:t>
      </w:r>
      <w:r w:rsidR="00963CB0">
        <w:t>Exports</w:t>
      </w:r>
      <w:r w:rsidR="0048450E">
        <w:t xml:space="preserve"> p</w:t>
      </w:r>
      <w:r w:rsidR="00472984">
        <w:t>olicy</w:t>
      </w:r>
      <w:r>
        <w:t>:</w:t>
      </w:r>
      <w:r w:rsidRPr="00A877AE">
        <w:rPr>
          <w:i/>
          <w:iCs/>
        </w:rPr>
        <w:t xml:space="preserve"> </w:t>
      </w:r>
      <w:hyperlink w:anchor="_Related_Material" w:history="1">
        <w:r w:rsidRPr="00076A10">
          <w:rPr>
            <w:rStyle w:val="Hyperlink"/>
            <w:i/>
            <w:iCs/>
          </w:rPr>
          <w:t>Audit of plant export operations</w:t>
        </w:r>
      </w:hyperlink>
      <w:r>
        <w:t xml:space="preserve">. </w:t>
      </w:r>
    </w:p>
    <w:p w14:paraId="13AABED6" w14:textId="77777777" w:rsidR="006866BE" w:rsidRDefault="006866BE" w:rsidP="006866BE">
      <w:pPr>
        <w:pStyle w:val="Heading2"/>
      </w:pPr>
      <w:bookmarkStart w:id="3" w:name="_Toc43812959"/>
      <w:bookmarkStart w:id="4" w:name="_Toc196211648"/>
      <w:bookmarkStart w:id="5" w:name="_Toc517164278"/>
      <w:bookmarkStart w:id="6" w:name="_Toc43812963"/>
      <w:r>
        <w:t>Roles and responsibilities</w:t>
      </w:r>
      <w:bookmarkEnd w:id="3"/>
      <w:bookmarkEnd w:id="4"/>
    </w:p>
    <w:p w14:paraId="1867D9FB" w14:textId="0BCE23C8" w:rsidR="006866BE" w:rsidRDefault="006866BE" w:rsidP="006866BE">
      <w:pPr>
        <w:pStyle w:val="BodyText"/>
      </w:pPr>
      <w:r>
        <w:t>The following table outlines the roles and responsibilities undertaken in this document.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5954"/>
      </w:tblGrid>
      <w:tr w:rsidR="006866BE" w14:paraId="0FD9ABA4" w14:textId="77777777" w:rsidTr="00A877AE">
        <w:trPr>
          <w:cantSplit/>
          <w:tblHeader/>
        </w:trPr>
        <w:tc>
          <w:tcPr>
            <w:tcW w:w="3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23B89" w14:textId="77777777" w:rsidR="006866BE" w:rsidRPr="00A877AE" w:rsidRDefault="006866BE" w:rsidP="005D3BFA">
            <w:pPr>
              <w:pStyle w:val="Tableheadings"/>
              <w:rPr>
                <w:color w:val="auto"/>
              </w:rPr>
            </w:pPr>
            <w:r w:rsidRPr="00A877AE">
              <w:rPr>
                <w:color w:val="auto"/>
              </w:rPr>
              <w:t>Role</w:t>
            </w:r>
          </w:p>
        </w:tc>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52F04E" w14:textId="77777777" w:rsidR="006866BE" w:rsidRPr="00A877AE" w:rsidRDefault="006866BE" w:rsidP="005D3BFA">
            <w:pPr>
              <w:pStyle w:val="Tableheadings"/>
              <w:rPr>
                <w:color w:val="auto"/>
              </w:rPr>
            </w:pPr>
            <w:r w:rsidRPr="00A877AE">
              <w:rPr>
                <w:color w:val="auto"/>
              </w:rPr>
              <w:t>Responsibility</w:t>
            </w:r>
          </w:p>
        </w:tc>
      </w:tr>
      <w:tr w:rsidR="006866BE" w14:paraId="08BDA8D2" w14:textId="77777777" w:rsidTr="005D3BFA">
        <w:trPr>
          <w:cantSplit/>
        </w:trPr>
        <w:tc>
          <w:tcPr>
            <w:tcW w:w="3061" w:type="dxa"/>
            <w:tcBorders>
              <w:top w:val="single" w:sz="4" w:space="0" w:color="auto"/>
              <w:bottom w:val="single" w:sz="4" w:space="0" w:color="auto"/>
            </w:tcBorders>
          </w:tcPr>
          <w:p w14:paraId="2C9A7B1C" w14:textId="77777777" w:rsidR="006866BE" w:rsidRDefault="006866BE" w:rsidP="005D3BFA">
            <w:r>
              <w:t>Audit and Assurance Branch (AAB)</w:t>
            </w:r>
          </w:p>
        </w:tc>
        <w:tc>
          <w:tcPr>
            <w:tcW w:w="5954" w:type="dxa"/>
            <w:tcBorders>
              <w:top w:val="single" w:sz="4" w:space="0" w:color="auto"/>
              <w:bottom w:val="single" w:sz="4" w:space="0" w:color="auto"/>
            </w:tcBorders>
          </w:tcPr>
          <w:p w14:paraId="3D71B46B" w14:textId="77777777" w:rsidR="006866BE" w:rsidRPr="005E6CAD" w:rsidRDefault="006866BE" w:rsidP="005D3BFA">
            <w:pPr>
              <w:pStyle w:val="ListBullet"/>
            </w:pPr>
            <w:r w:rsidRPr="003E0AAD">
              <w:t xml:space="preserve">Receiving matters of </w:t>
            </w:r>
            <w:r>
              <w:t>AO</w:t>
            </w:r>
            <w:r w:rsidRPr="003E0AAD">
              <w:t xml:space="preserve"> non</w:t>
            </w:r>
            <w:r w:rsidRPr="003E0AAD">
              <w:noBreakHyphen/>
              <w:t xml:space="preserve">compliance to </w:t>
            </w:r>
            <w:r w:rsidRPr="005E6CAD">
              <w:t xml:space="preserve">review. </w:t>
            </w:r>
          </w:p>
          <w:p w14:paraId="4E233F24" w14:textId="1E7CD287" w:rsidR="006866BE" w:rsidRPr="005E6CAD" w:rsidRDefault="00247FBF" w:rsidP="005D3BFA">
            <w:pPr>
              <w:pStyle w:val="ListBullet"/>
            </w:pPr>
            <w:r>
              <w:rPr>
                <w:rFonts w:cs="Segoe UI"/>
                <w:color w:val="000000"/>
                <w:lang w:val="en"/>
              </w:rPr>
              <w:t>Recommend</w:t>
            </w:r>
            <w:r w:rsidRPr="005E6CAD">
              <w:rPr>
                <w:rFonts w:cs="Segoe UI"/>
                <w:color w:val="000000"/>
                <w:lang w:val="en"/>
              </w:rPr>
              <w:t xml:space="preserve"> </w:t>
            </w:r>
            <w:r w:rsidR="006866BE" w:rsidRPr="005E6CAD">
              <w:rPr>
                <w:rFonts w:cs="Segoe UI"/>
                <w:color w:val="000000"/>
                <w:lang w:val="en"/>
              </w:rPr>
              <w:t>future action to address non-compliances</w:t>
            </w:r>
            <w:r>
              <w:rPr>
                <w:rFonts w:cs="Segoe UI"/>
                <w:color w:val="000000"/>
                <w:lang w:val="en"/>
              </w:rPr>
              <w:t xml:space="preserve"> through consultation with programs</w:t>
            </w:r>
          </w:p>
          <w:p w14:paraId="393A32DA" w14:textId="35A5560B" w:rsidR="006866BE" w:rsidRPr="003048F8" w:rsidRDefault="006866BE" w:rsidP="005D3BFA">
            <w:pPr>
              <w:pStyle w:val="ListBullet"/>
            </w:pPr>
            <w:r w:rsidRPr="008F57DB">
              <w:rPr>
                <w:rFonts w:cs="Segoe UI"/>
                <w:color w:val="000000"/>
                <w:lang w:val="en"/>
              </w:rPr>
              <w:t>Making recommendations on whether to vary</w:t>
            </w:r>
            <w:r>
              <w:rPr>
                <w:rFonts w:cs="Segoe UI"/>
                <w:color w:val="000000"/>
                <w:lang w:val="en"/>
              </w:rPr>
              <w:t>,</w:t>
            </w:r>
            <w:r w:rsidRPr="008F57DB">
              <w:rPr>
                <w:rFonts w:cs="Segoe UI"/>
                <w:color w:val="000000"/>
                <w:lang w:val="en"/>
              </w:rPr>
              <w:t xml:space="preserve"> suspend </w:t>
            </w:r>
            <w:r>
              <w:rPr>
                <w:rFonts w:cs="Segoe UI"/>
                <w:color w:val="000000"/>
                <w:lang w:val="en"/>
              </w:rPr>
              <w:t xml:space="preserve">or revoke </w:t>
            </w:r>
            <w:r w:rsidRPr="008F57DB">
              <w:rPr>
                <w:rFonts w:cs="Segoe UI"/>
                <w:color w:val="000000"/>
                <w:lang w:val="en"/>
              </w:rPr>
              <w:t xml:space="preserve">an </w:t>
            </w:r>
            <w:r>
              <w:rPr>
                <w:rFonts w:cs="Segoe UI"/>
                <w:color w:val="000000"/>
                <w:lang w:val="en"/>
              </w:rPr>
              <w:t>AO’s appointment</w:t>
            </w:r>
            <w:r w:rsidRPr="008F57DB">
              <w:rPr>
                <w:rFonts w:cs="Segoe UI"/>
                <w:color w:val="000000"/>
                <w:lang w:val="en"/>
              </w:rPr>
              <w:t>.</w:t>
            </w:r>
          </w:p>
        </w:tc>
      </w:tr>
      <w:tr w:rsidR="006866BE" w14:paraId="3C671EDD" w14:textId="77777777" w:rsidTr="005D3BFA">
        <w:trPr>
          <w:cantSplit/>
        </w:trPr>
        <w:tc>
          <w:tcPr>
            <w:tcW w:w="3061" w:type="dxa"/>
            <w:tcBorders>
              <w:top w:val="single" w:sz="4" w:space="0" w:color="auto"/>
              <w:bottom w:val="single" w:sz="4" w:space="0" w:color="auto"/>
            </w:tcBorders>
          </w:tcPr>
          <w:p w14:paraId="6F0228AC" w14:textId="64A06DD0" w:rsidR="006866BE" w:rsidRDefault="006866BE" w:rsidP="005D3BFA">
            <w:r>
              <w:t>Auditor (AAB)</w:t>
            </w:r>
          </w:p>
        </w:tc>
        <w:tc>
          <w:tcPr>
            <w:tcW w:w="5954" w:type="dxa"/>
            <w:tcBorders>
              <w:top w:val="single" w:sz="4" w:space="0" w:color="auto"/>
              <w:bottom w:val="single" w:sz="4" w:space="0" w:color="auto"/>
            </w:tcBorders>
          </w:tcPr>
          <w:p w14:paraId="40DF4B04" w14:textId="79A1AD02" w:rsidR="006866BE" w:rsidRPr="003048F8" w:rsidRDefault="006866BE" w:rsidP="005D3BFA">
            <w:pPr>
              <w:pStyle w:val="ListBullet"/>
            </w:pPr>
            <w:r w:rsidRPr="003048F8">
              <w:t>Scheduling audits.</w:t>
            </w:r>
          </w:p>
          <w:p w14:paraId="514DAE18" w14:textId="4A772DDF" w:rsidR="006866BE" w:rsidRPr="003048F8" w:rsidRDefault="006866BE" w:rsidP="005D3BFA">
            <w:pPr>
              <w:pStyle w:val="ListBullet"/>
            </w:pPr>
            <w:r w:rsidRPr="003048F8">
              <w:t xml:space="preserve">Auditing </w:t>
            </w:r>
            <w:r>
              <w:t>AOs</w:t>
            </w:r>
            <w:r w:rsidRPr="003048F8">
              <w:t xml:space="preserve"> against departmental performance standards in accordance with this </w:t>
            </w:r>
            <w:r>
              <w:t>Exports process instruction</w:t>
            </w:r>
            <w:r w:rsidRPr="003048F8">
              <w:t>.</w:t>
            </w:r>
          </w:p>
          <w:p w14:paraId="2C1CC029" w14:textId="77777777" w:rsidR="006866BE" w:rsidRPr="003048F8" w:rsidRDefault="006866BE" w:rsidP="005D3BFA">
            <w:pPr>
              <w:pStyle w:val="ListBullet"/>
            </w:pPr>
            <w:r w:rsidRPr="003048F8">
              <w:t>Preparing the audit report.</w:t>
            </w:r>
          </w:p>
          <w:p w14:paraId="6604BEE2" w14:textId="77777777" w:rsidR="006866BE" w:rsidRPr="003048F8" w:rsidRDefault="006866BE" w:rsidP="005D3BFA">
            <w:pPr>
              <w:pStyle w:val="ListBullet"/>
            </w:pPr>
            <w:r w:rsidRPr="003048F8">
              <w:t xml:space="preserve">Notifying </w:t>
            </w:r>
            <w:r>
              <w:t>AOs</w:t>
            </w:r>
            <w:r w:rsidRPr="003048F8">
              <w:t xml:space="preserve"> of audit outcomes by providing the audit report.</w:t>
            </w:r>
          </w:p>
          <w:p w14:paraId="5F1BC3B5" w14:textId="77777777" w:rsidR="006866BE" w:rsidRPr="003048F8" w:rsidRDefault="006866BE" w:rsidP="005D3BFA">
            <w:pPr>
              <w:pStyle w:val="ListBullet"/>
            </w:pPr>
            <w:r w:rsidRPr="003048F8">
              <w:t>Recording audit results and filing audit documents.</w:t>
            </w:r>
          </w:p>
          <w:p w14:paraId="14D475AE" w14:textId="06F16A95" w:rsidR="006866BE" w:rsidRPr="003048F8" w:rsidRDefault="006866BE" w:rsidP="005D3BFA">
            <w:pPr>
              <w:pStyle w:val="ListBullet"/>
            </w:pPr>
            <w:r w:rsidRPr="003048F8">
              <w:t xml:space="preserve">Issuing </w:t>
            </w:r>
            <w:r>
              <w:t>non-compliance notice</w:t>
            </w:r>
            <w:r w:rsidRPr="003048F8">
              <w:t>s.</w:t>
            </w:r>
          </w:p>
          <w:p w14:paraId="35B358EC" w14:textId="76929D62" w:rsidR="006866BE" w:rsidRPr="003048F8" w:rsidRDefault="006866BE" w:rsidP="005D3BFA">
            <w:pPr>
              <w:pStyle w:val="ListBullet"/>
            </w:pPr>
            <w:r w:rsidRPr="003048F8">
              <w:t xml:space="preserve">Referring critical non-compliances to </w:t>
            </w:r>
            <w:r>
              <w:t>AAB Delegate</w:t>
            </w:r>
            <w:r w:rsidRPr="003048F8">
              <w:t>.</w:t>
            </w:r>
          </w:p>
        </w:tc>
      </w:tr>
      <w:tr w:rsidR="006866BE" w14:paraId="3127D6D9" w14:textId="77777777" w:rsidTr="005D3BFA">
        <w:trPr>
          <w:cantSplit/>
        </w:trPr>
        <w:tc>
          <w:tcPr>
            <w:tcW w:w="3061" w:type="dxa"/>
            <w:tcBorders>
              <w:top w:val="single" w:sz="4" w:space="0" w:color="auto"/>
              <w:bottom w:val="single" w:sz="4" w:space="0" w:color="auto"/>
            </w:tcBorders>
          </w:tcPr>
          <w:p w14:paraId="5B17E8EA" w14:textId="77777777" w:rsidR="006866BE" w:rsidRDefault="006866BE" w:rsidP="005D3BFA">
            <w:r>
              <w:t>Authorised Officer (</w:t>
            </w:r>
            <w:r w:rsidRPr="00A93556">
              <w:t>AO</w:t>
            </w:r>
            <w:r>
              <w:t>)</w:t>
            </w:r>
          </w:p>
        </w:tc>
        <w:tc>
          <w:tcPr>
            <w:tcW w:w="5954" w:type="dxa"/>
            <w:tcBorders>
              <w:top w:val="single" w:sz="4" w:space="0" w:color="auto"/>
              <w:bottom w:val="single" w:sz="4" w:space="0" w:color="auto"/>
            </w:tcBorders>
          </w:tcPr>
          <w:p w14:paraId="3F4F30AD" w14:textId="77777777" w:rsidR="006866BE" w:rsidRPr="00A93556" w:rsidRDefault="006866BE" w:rsidP="005D3BFA">
            <w:pPr>
              <w:pStyle w:val="ListBullet"/>
            </w:pPr>
            <w:r w:rsidRPr="00A93556">
              <w:t>Complying with Australian export laws.</w:t>
            </w:r>
          </w:p>
          <w:p w14:paraId="5C0B2441" w14:textId="77777777" w:rsidR="006866BE" w:rsidRDefault="006866BE" w:rsidP="005D3BFA">
            <w:pPr>
              <w:pStyle w:val="ListBullet"/>
            </w:pPr>
            <w:r w:rsidRPr="00A93556">
              <w:t>Meeting departmental performance standards.</w:t>
            </w:r>
          </w:p>
          <w:p w14:paraId="327AAF6D" w14:textId="77777777" w:rsidR="006866BE" w:rsidRPr="00A93556" w:rsidRDefault="006866BE" w:rsidP="005D3BFA">
            <w:pPr>
              <w:pStyle w:val="ListBullet"/>
            </w:pPr>
            <w:r>
              <w:t>Administrative oversight including, AO training and appointment, maintaining contact details and managing inactive AOs.</w:t>
            </w:r>
          </w:p>
          <w:p w14:paraId="27A8ABF6" w14:textId="77777777" w:rsidR="006866BE" w:rsidRPr="00A93556" w:rsidRDefault="006866BE" w:rsidP="005D3BFA">
            <w:pPr>
              <w:pStyle w:val="ListBullet"/>
            </w:pPr>
            <w:r w:rsidRPr="00A93556">
              <w:t>Maintaining records.</w:t>
            </w:r>
          </w:p>
          <w:p w14:paraId="0CD9BB29" w14:textId="77777777" w:rsidR="006866BE" w:rsidRPr="00A93556" w:rsidRDefault="006866BE" w:rsidP="005D3BFA">
            <w:pPr>
              <w:pStyle w:val="ListBullet"/>
            </w:pPr>
            <w:r w:rsidRPr="00A93556">
              <w:t>Being available for audit.</w:t>
            </w:r>
          </w:p>
          <w:p w14:paraId="17EDCF9D" w14:textId="77777777" w:rsidR="006866BE" w:rsidRPr="00A93556" w:rsidRDefault="006866BE" w:rsidP="005D3BFA">
            <w:pPr>
              <w:pStyle w:val="ListBullet"/>
            </w:pPr>
            <w:r w:rsidRPr="00A93556">
              <w:t>Providing requested documentation.</w:t>
            </w:r>
          </w:p>
          <w:p w14:paraId="19428AF6" w14:textId="77777777" w:rsidR="006866BE" w:rsidRPr="00A93556" w:rsidRDefault="006866BE" w:rsidP="005D3BFA">
            <w:pPr>
              <w:pStyle w:val="ListBullet"/>
            </w:pPr>
            <w:r w:rsidRPr="00A93556">
              <w:t>Taking necessary action to address non</w:t>
            </w:r>
            <w:r w:rsidRPr="00A93556">
              <w:noBreakHyphen/>
              <w:t>compliance.</w:t>
            </w:r>
          </w:p>
          <w:p w14:paraId="28D9B970" w14:textId="77777777" w:rsidR="006866BE" w:rsidRPr="00A93556" w:rsidRDefault="006866BE" w:rsidP="005D3BFA">
            <w:pPr>
              <w:pStyle w:val="ListBullet"/>
            </w:pPr>
            <w:r w:rsidRPr="00A93556">
              <w:t>Providing evidence that non-compliances have been rectified.</w:t>
            </w:r>
          </w:p>
          <w:p w14:paraId="43ABCEC3" w14:textId="77777777" w:rsidR="006866BE" w:rsidRPr="003048F8" w:rsidRDefault="006866BE" w:rsidP="005D3BFA">
            <w:pPr>
              <w:pStyle w:val="ListBullet"/>
            </w:pPr>
            <w:r w:rsidRPr="00A93556">
              <w:t xml:space="preserve">Providing submission </w:t>
            </w:r>
            <w:r>
              <w:t>if requesting a review of a</w:t>
            </w:r>
            <w:r w:rsidRPr="00A93556">
              <w:t xml:space="preserve"> decision when appropriate.</w:t>
            </w:r>
          </w:p>
        </w:tc>
      </w:tr>
      <w:tr w:rsidR="006866BE" w14:paraId="02E17C7B" w14:textId="77777777" w:rsidTr="005D3BFA">
        <w:trPr>
          <w:cantSplit/>
        </w:trPr>
        <w:tc>
          <w:tcPr>
            <w:tcW w:w="3061" w:type="dxa"/>
            <w:tcBorders>
              <w:top w:val="single" w:sz="4" w:space="0" w:color="auto"/>
              <w:bottom w:val="single" w:sz="4" w:space="0" w:color="auto"/>
            </w:tcBorders>
          </w:tcPr>
          <w:p w14:paraId="606A0BA9" w14:textId="71ACAED6" w:rsidR="006866BE" w:rsidRDefault="006866BE" w:rsidP="005D3BFA">
            <w:pPr>
              <w:rPr>
                <w:highlight w:val="yellow"/>
              </w:rPr>
            </w:pPr>
            <w:r w:rsidRPr="003E0AAD">
              <w:t>Business Systems Program (BSP), Plant Export</w:t>
            </w:r>
            <w:r>
              <w:t>s</w:t>
            </w:r>
            <w:r w:rsidRPr="003E0AAD">
              <w:t xml:space="preserve"> Branch</w:t>
            </w:r>
          </w:p>
        </w:tc>
        <w:tc>
          <w:tcPr>
            <w:tcW w:w="5954" w:type="dxa"/>
            <w:tcBorders>
              <w:top w:val="single" w:sz="4" w:space="0" w:color="auto"/>
              <w:bottom w:val="single" w:sz="4" w:space="0" w:color="auto"/>
            </w:tcBorders>
          </w:tcPr>
          <w:p w14:paraId="5F4E4183" w14:textId="08BC39DD" w:rsidR="006866BE" w:rsidRDefault="006866BE" w:rsidP="005D3BFA">
            <w:pPr>
              <w:pStyle w:val="ListBullet"/>
            </w:pPr>
            <w:r>
              <w:t>Maintaining the performance standards.</w:t>
            </w:r>
          </w:p>
          <w:p w14:paraId="63BF0CEE" w14:textId="77777777" w:rsidR="006866BE" w:rsidRPr="003048F8" w:rsidRDefault="006866BE" w:rsidP="005D3BFA">
            <w:pPr>
              <w:pStyle w:val="ListBullet"/>
            </w:pPr>
            <w:r>
              <w:t>Determining who the independent delegate will be for any requests for a review o</w:t>
            </w:r>
            <w:r w:rsidRPr="003048F8">
              <w:t xml:space="preserve">f </w:t>
            </w:r>
            <w:r>
              <w:t xml:space="preserve">a </w:t>
            </w:r>
            <w:r w:rsidRPr="003048F8">
              <w:t>decision.</w:t>
            </w:r>
          </w:p>
          <w:p w14:paraId="335FF25C" w14:textId="77777777" w:rsidR="006866BE" w:rsidRPr="003048F8" w:rsidRDefault="006866BE" w:rsidP="005D3BFA">
            <w:pPr>
              <w:pStyle w:val="ListBullet"/>
              <w:rPr>
                <w:bCs/>
              </w:rPr>
            </w:pPr>
            <w:r w:rsidRPr="003048F8">
              <w:t>Provide the outcome of a decision, or review request of a decision, to the AO.</w:t>
            </w:r>
          </w:p>
        </w:tc>
      </w:tr>
      <w:tr w:rsidR="006866BE" w14:paraId="1769616D" w14:textId="77777777" w:rsidTr="005D3BFA">
        <w:trPr>
          <w:cantSplit/>
        </w:trPr>
        <w:tc>
          <w:tcPr>
            <w:tcW w:w="3061" w:type="dxa"/>
            <w:tcBorders>
              <w:top w:val="single" w:sz="4" w:space="0" w:color="auto"/>
              <w:bottom w:val="single" w:sz="4" w:space="0" w:color="auto"/>
            </w:tcBorders>
          </w:tcPr>
          <w:p w14:paraId="1F7131FC" w14:textId="6B8B6AE3" w:rsidR="006866BE" w:rsidRDefault="006866BE" w:rsidP="005D3BFA">
            <w:r>
              <w:lastRenderedPageBreak/>
              <w:t xml:space="preserve">Delegate </w:t>
            </w:r>
            <w:r w:rsidRPr="003E72DC">
              <w:rPr>
                <w:bCs/>
              </w:rPr>
              <w:t>(Assistant Secretary</w:t>
            </w:r>
            <w:r>
              <w:rPr>
                <w:bCs/>
              </w:rPr>
              <w:t>,</w:t>
            </w:r>
            <w:r w:rsidRPr="003E72DC">
              <w:rPr>
                <w:bCs/>
              </w:rPr>
              <w:t xml:space="preserve"> Plant Export</w:t>
            </w:r>
            <w:r>
              <w:rPr>
                <w:bCs/>
              </w:rPr>
              <w:t>s</w:t>
            </w:r>
            <w:r w:rsidRPr="003E72DC">
              <w:rPr>
                <w:bCs/>
              </w:rPr>
              <w:t xml:space="preserve"> Branch)</w:t>
            </w:r>
          </w:p>
        </w:tc>
        <w:tc>
          <w:tcPr>
            <w:tcW w:w="5954" w:type="dxa"/>
            <w:tcBorders>
              <w:top w:val="single" w:sz="4" w:space="0" w:color="auto"/>
              <w:bottom w:val="single" w:sz="4" w:space="0" w:color="auto"/>
            </w:tcBorders>
          </w:tcPr>
          <w:p w14:paraId="4A643F7E" w14:textId="77777777" w:rsidR="006866BE" w:rsidRPr="009A3273" w:rsidRDefault="006866BE" w:rsidP="005D3BFA">
            <w:pPr>
              <w:pStyle w:val="ListBullet"/>
            </w:pPr>
            <w:r w:rsidRPr="009A3273">
              <w:t>Reviewing requests for review of a decision where they were not the delegate for the decision being appealed.</w:t>
            </w:r>
          </w:p>
          <w:p w14:paraId="02E49D0B" w14:textId="52041B95" w:rsidR="006866BE" w:rsidRPr="00494345" w:rsidRDefault="006866BE" w:rsidP="005D3BFA">
            <w:pPr>
              <w:pStyle w:val="ListBullet"/>
            </w:pPr>
            <w:r w:rsidRPr="009A3273">
              <w:t>Provid</w:t>
            </w:r>
            <w:r>
              <w:t>ing</w:t>
            </w:r>
            <w:r w:rsidRPr="009A3273">
              <w:t xml:space="preserve"> the outcome of a decision, or appeal of decision, to the applicant.</w:t>
            </w:r>
          </w:p>
        </w:tc>
      </w:tr>
      <w:tr w:rsidR="006866BE" w14:paraId="4B2BC56C" w14:textId="77777777" w:rsidTr="005D3BFA">
        <w:trPr>
          <w:cantSplit/>
        </w:trPr>
        <w:tc>
          <w:tcPr>
            <w:tcW w:w="3061" w:type="dxa"/>
            <w:tcBorders>
              <w:top w:val="single" w:sz="4" w:space="0" w:color="auto"/>
              <w:bottom w:val="single" w:sz="4" w:space="0" w:color="auto"/>
            </w:tcBorders>
          </w:tcPr>
          <w:p w14:paraId="40CB4F71" w14:textId="02A2FE78" w:rsidR="006866BE" w:rsidRPr="008F57DB" w:rsidRDefault="006866BE" w:rsidP="005D3BFA">
            <w:r>
              <w:t xml:space="preserve">Grain and Seed Exports Program (GSEP), </w:t>
            </w:r>
            <w:r w:rsidRPr="003E0AAD">
              <w:t>Plant Export</w:t>
            </w:r>
            <w:r>
              <w:t>s</w:t>
            </w:r>
            <w:r w:rsidRPr="003E0AAD">
              <w:t xml:space="preserve"> Branch</w:t>
            </w:r>
          </w:p>
        </w:tc>
        <w:tc>
          <w:tcPr>
            <w:tcW w:w="5954" w:type="dxa"/>
            <w:tcBorders>
              <w:top w:val="single" w:sz="4" w:space="0" w:color="auto"/>
              <w:bottom w:val="single" w:sz="4" w:space="0" w:color="auto"/>
            </w:tcBorders>
          </w:tcPr>
          <w:p w14:paraId="52B37F69" w14:textId="6F188968" w:rsidR="006866BE" w:rsidRPr="009920B3" w:rsidRDefault="006866BE" w:rsidP="00A877AE">
            <w:pPr>
              <w:rPr>
                <w:bCs/>
              </w:rPr>
            </w:pPr>
            <w:r>
              <w:t>Maintaining grain and other non-horticultural plant product specific job function performance standards and checklists.</w:t>
            </w:r>
          </w:p>
        </w:tc>
      </w:tr>
      <w:tr w:rsidR="006866BE" w14:paraId="61BCBA2E" w14:textId="77777777" w:rsidTr="005D3BFA">
        <w:trPr>
          <w:cantSplit/>
        </w:trPr>
        <w:tc>
          <w:tcPr>
            <w:tcW w:w="3061" w:type="dxa"/>
            <w:tcBorders>
              <w:top w:val="single" w:sz="4" w:space="0" w:color="auto"/>
              <w:bottom w:val="single" w:sz="4" w:space="0" w:color="auto"/>
            </w:tcBorders>
          </w:tcPr>
          <w:p w14:paraId="694197C0" w14:textId="1B5C4781" w:rsidR="006866BE" w:rsidRPr="008F57DB" w:rsidRDefault="006866BE" w:rsidP="005D3BFA">
            <w:r>
              <w:t xml:space="preserve">Horticulture Exports Program (HEP), </w:t>
            </w:r>
            <w:r w:rsidRPr="003E0AAD">
              <w:t>Plant Export</w:t>
            </w:r>
            <w:r>
              <w:t>s</w:t>
            </w:r>
            <w:r w:rsidRPr="003E0AAD">
              <w:t xml:space="preserve"> Branch</w:t>
            </w:r>
          </w:p>
        </w:tc>
        <w:tc>
          <w:tcPr>
            <w:tcW w:w="5954" w:type="dxa"/>
            <w:tcBorders>
              <w:top w:val="single" w:sz="4" w:space="0" w:color="auto"/>
              <w:bottom w:val="single" w:sz="4" w:space="0" w:color="auto"/>
            </w:tcBorders>
          </w:tcPr>
          <w:p w14:paraId="14678096" w14:textId="3E2FE8EB" w:rsidR="006866BE" w:rsidRPr="009920B3" w:rsidRDefault="006866BE" w:rsidP="00A877AE">
            <w:pPr>
              <w:rPr>
                <w:bCs/>
              </w:rPr>
            </w:pPr>
            <w:r>
              <w:t>Maintaining horticulture specific job function performance standards and checklists.</w:t>
            </w:r>
          </w:p>
        </w:tc>
      </w:tr>
      <w:tr w:rsidR="006866BE" w14:paraId="43C5727F" w14:textId="77777777" w:rsidTr="005D3BFA">
        <w:trPr>
          <w:cantSplit/>
        </w:trPr>
        <w:tc>
          <w:tcPr>
            <w:tcW w:w="3061" w:type="dxa"/>
            <w:tcBorders>
              <w:top w:val="single" w:sz="4" w:space="0" w:color="auto"/>
              <w:bottom w:val="single" w:sz="4" w:space="0" w:color="auto"/>
            </w:tcBorders>
          </w:tcPr>
          <w:p w14:paraId="203F5FB0" w14:textId="77777777" w:rsidR="006866BE" w:rsidRDefault="006866BE" w:rsidP="005D3BFA">
            <w:r w:rsidRPr="008F57DB">
              <w:t>Plant Export Assessor (PEA)</w:t>
            </w:r>
          </w:p>
        </w:tc>
        <w:tc>
          <w:tcPr>
            <w:tcW w:w="5954" w:type="dxa"/>
            <w:tcBorders>
              <w:top w:val="single" w:sz="4" w:space="0" w:color="auto"/>
              <w:bottom w:val="single" w:sz="4" w:space="0" w:color="auto"/>
            </w:tcBorders>
          </w:tcPr>
          <w:p w14:paraId="3A46A8C5" w14:textId="56BA23FF" w:rsidR="006866BE" w:rsidRPr="00494345" w:rsidRDefault="006866BE" w:rsidP="00A877AE">
            <w:r w:rsidRPr="009920B3">
              <w:rPr>
                <w:bCs/>
              </w:rPr>
              <w:t>Provid</w:t>
            </w:r>
            <w:r>
              <w:rPr>
                <w:bCs/>
              </w:rPr>
              <w:t>ing</w:t>
            </w:r>
            <w:r w:rsidRPr="009920B3">
              <w:rPr>
                <w:bCs/>
              </w:rPr>
              <w:t xml:space="preserve"> </w:t>
            </w:r>
            <w:r>
              <w:t>re-training and re-assessment of competency i</w:t>
            </w:r>
            <w:r w:rsidRPr="00F72B3A">
              <w:t>f a</w:t>
            </w:r>
            <w:r>
              <w:t>n</w:t>
            </w:r>
            <w:r w:rsidRPr="00F72B3A">
              <w:t xml:space="preserve"> auditor determines that an AO lacks the required skills</w:t>
            </w:r>
            <w:r>
              <w:t xml:space="preserve"> or knowledge</w:t>
            </w:r>
            <w:r w:rsidRPr="00F72B3A">
              <w:t xml:space="preserve"> to prevent a recurrence of the non-compliance and is not confident that any assistance given (advice, clarification of instructional materials, or direction to instructional materials) is sufficient to prevent a recurrence</w:t>
            </w:r>
            <w:r>
              <w:t>.</w:t>
            </w:r>
          </w:p>
        </w:tc>
      </w:tr>
    </w:tbl>
    <w:p w14:paraId="17151538" w14:textId="77777777" w:rsidR="006866BE" w:rsidRDefault="006866BE" w:rsidP="006866BE">
      <w:pPr>
        <w:pStyle w:val="Heading2"/>
      </w:pPr>
      <w:bookmarkStart w:id="7" w:name="_Toc43812960"/>
      <w:bookmarkStart w:id="8" w:name="_Toc196211649"/>
      <w:r>
        <w:t>Work health and safety</w:t>
      </w:r>
      <w:bookmarkEnd w:id="7"/>
      <w:bookmarkEnd w:id="8"/>
    </w:p>
    <w:p w14:paraId="1EDBBE71" w14:textId="77777777" w:rsidR="006866BE" w:rsidRDefault="006866BE" w:rsidP="006866BE">
      <w:pPr>
        <w:pStyle w:val="BodyText"/>
        <w:spacing w:after="60"/>
      </w:pPr>
      <w:r>
        <w:t>Auditors must:</w:t>
      </w:r>
    </w:p>
    <w:p w14:paraId="6F25B842" w14:textId="77777777" w:rsidR="006866BE" w:rsidRDefault="006866BE" w:rsidP="006866BE">
      <w:pPr>
        <w:pStyle w:val="ListBullet"/>
      </w:pPr>
      <w:r>
        <w:t xml:space="preserve">comply </w:t>
      </w:r>
      <w:r w:rsidRPr="007F520F">
        <w:t>with applicable Commonwealth, state and terri</w:t>
      </w:r>
      <w:r>
        <w:t>tory work health and safety (WH</w:t>
      </w:r>
      <w:r w:rsidRPr="007F520F">
        <w:t>S) legislation</w:t>
      </w:r>
    </w:p>
    <w:p w14:paraId="151AB98F" w14:textId="77777777" w:rsidR="006866BE" w:rsidRPr="007F520F" w:rsidRDefault="006866BE" w:rsidP="006866BE">
      <w:pPr>
        <w:pStyle w:val="ListBullet"/>
      </w:pPr>
      <w:r w:rsidRPr="007F520F">
        <w:t>comply with</w:t>
      </w:r>
      <w:r>
        <w:t xml:space="preserve"> the department’s WH</w:t>
      </w:r>
      <w:r w:rsidRPr="007F520F">
        <w:t>S policy and procedures</w:t>
      </w:r>
    </w:p>
    <w:p w14:paraId="3D4D66E9" w14:textId="219FDF4D" w:rsidR="006866BE" w:rsidRPr="00076A10" w:rsidRDefault="006866BE" w:rsidP="006866BE">
      <w:pPr>
        <w:pStyle w:val="ListBullet"/>
        <w:rPr>
          <w:i/>
          <w:iCs/>
        </w:rPr>
      </w:pPr>
      <w:r w:rsidRPr="007F520F">
        <w:t xml:space="preserve">read and be familiar with the </w:t>
      </w:r>
      <w:r>
        <w:t>Exports r</w:t>
      </w:r>
      <w:r w:rsidRPr="007F520F">
        <w:t xml:space="preserve">eference: </w:t>
      </w:r>
      <w:hyperlink w:anchor="_Related_material" w:history="1">
        <w:r w:rsidRPr="00076A10">
          <w:rPr>
            <w:rStyle w:val="Hyperlink"/>
            <w:i/>
            <w:iCs/>
          </w:rPr>
          <w:t>Work health and safety in the plant export environment</w:t>
        </w:r>
      </w:hyperlink>
    </w:p>
    <w:p w14:paraId="5D71C8D1" w14:textId="77777777" w:rsidR="006866BE" w:rsidRPr="003E0AAD" w:rsidRDefault="006866BE" w:rsidP="006866BE">
      <w:pPr>
        <w:pStyle w:val="ListBullet"/>
      </w:pPr>
      <w:r w:rsidRPr="003E0AAD">
        <w:t xml:space="preserve">not enter work sites unless it is safe, </w:t>
      </w:r>
      <w:r>
        <w:t>wear</w:t>
      </w:r>
      <w:r w:rsidRPr="003E0AAD">
        <w:t xml:space="preserve"> required personal protective equipment (PPE) and </w:t>
      </w:r>
      <w:r>
        <w:t>consider</w:t>
      </w:r>
      <w:r w:rsidRPr="003E0AAD">
        <w:t xml:space="preserve"> any WHS hazards</w:t>
      </w:r>
    </w:p>
    <w:p w14:paraId="21A10057" w14:textId="77777777" w:rsidR="006866BE" w:rsidRDefault="006866BE" w:rsidP="006866BE">
      <w:pPr>
        <w:pStyle w:val="ListBullet"/>
      </w:pPr>
      <w:r w:rsidRPr="007F520F">
        <w:t>comply with site-specific requirements, unless they assess the requirements as placing them at risk, in which case they must take reasonable</w:t>
      </w:r>
      <w:r>
        <w:t xml:space="preserve"> action to ensure their safety</w:t>
      </w:r>
    </w:p>
    <w:p w14:paraId="3896CDDE" w14:textId="77777777" w:rsidR="006866BE" w:rsidRPr="003F58CB" w:rsidRDefault="006866BE" w:rsidP="006866BE">
      <w:pPr>
        <w:pStyle w:val="ListBullet"/>
      </w:pPr>
      <w:r w:rsidRPr="0092370C">
        <w:t xml:space="preserve">continually assess the </w:t>
      </w:r>
      <w:r w:rsidRPr="007F520F">
        <w:t>possible</w:t>
      </w:r>
      <w:r w:rsidRPr="0092370C">
        <w:t xml:space="preserve"> risks while performing their duties.</w:t>
      </w:r>
    </w:p>
    <w:p w14:paraId="0C648356" w14:textId="77777777" w:rsidR="006866BE" w:rsidRPr="001315AA" w:rsidRDefault="006866BE" w:rsidP="006866BE">
      <w:pPr>
        <w:pStyle w:val="Heading3"/>
      </w:pPr>
      <w:bookmarkStart w:id="9" w:name="_Toc491267817"/>
      <w:bookmarkStart w:id="10" w:name="_Toc496092188"/>
      <w:bookmarkStart w:id="11" w:name="_Toc496194557"/>
      <w:bookmarkStart w:id="12" w:name="_Toc504396856"/>
      <w:bookmarkStart w:id="13" w:name="_Toc517164277"/>
      <w:bookmarkStart w:id="14" w:name="_Toc43812961"/>
      <w:bookmarkStart w:id="15" w:name="_Toc196211650"/>
      <w:r w:rsidRPr="001315AA">
        <w:t>Personal protective equipment</w:t>
      </w:r>
      <w:bookmarkEnd w:id="9"/>
      <w:bookmarkEnd w:id="10"/>
      <w:bookmarkEnd w:id="11"/>
      <w:bookmarkEnd w:id="12"/>
      <w:bookmarkEnd w:id="13"/>
      <w:bookmarkEnd w:id="14"/>
      <w:bookmarkEnd w:id="15"/>
    </w:p>
    <w:p w14:paraId="070F2AE0" w14:textId="77777777" w:rsidR="006866BE" w:rsidRPr="00E340F3" w:rsidRDefault="006866BE" w:rsidP="006866BE">
      <w:pPr>
        <w:pStyle w:val="BodyText"/>
        <w:spacing w:after="60"/>
      </w:pPr>
      <w:r w:rsidRPr="00E340F3">
        <w:t>Auditors must have the following PPE</w:t>
      </w:r>
      <w:r>
        <w:t xml:space="preserve"> for</w:t>
      </w:r>
      <w:r w:rsidRPr="00E340F3">
        <w:t xml:space="preserve"> when</w:t>
      </w:r>
      <w:r>
        <w:t xml:space="preserve"> a site or work instruction</w:t>
      </w:r>
      <w:r w:rsidRPr="00E340F3">
        <w:t xml:space="preserve"> require</w:t>
      </w:r>
      <w:r>
        <w:t>s it</w:t>
      </w:r>
      <w:r w:rsidRPr="00E340F3">
        <w:t>:</w:t>
      </w:r>
    </w:p>
    <w:p w14:paraId="6BEC826D" w14:textId="77777777" w:rsidR="006866BE" w:rsidRPr="001315AA" w:rsidRDefault="006866BE" w:rsidP="006866BE">
      <w:pPr>
        <w:pStyle w:val="ListBullet"/>
        <w:rPr>
          <w:rFonts w:eastAsia="Calibri"/>
        </w:rPr>
      </w:pPr>
      <w:r w:rsidRPr="001315AA">
        <w:rPr>
          <w:rFonts w:eastAsia="Calibri"/>
        </w:rPr>
        <w:t>hi-visibility vest</w:t>
      </w:r>
    </w:p>
    <w:p w14:paraId="6B54927F" w14:textId="77777777" w:rsidR="006866BE" w:rsidRPr="007F520F" w:rsidRDefault="006866BE" w:rsidP="006866BE">
      <w:pPr>
        <w:pStyle w:val="ListBullet"/>
        <w:rPr>
          <w:rFonts w:eastAsia="Calibri"/>
        </w:rPr>
      </w:pPr>
      <w:r w:rsidRPr="007F520F">
        <w:rPr>
          <w:rFonts w:eastAsia="Calibri"/>
        </w:rPr>
        <w:t>enclosed shoes</w:t>
      </w:r>
    </w:p>
    <w:p w14:paraId="2684F891" w14:textId="77777777" w:rsidR="006866BE" w:rsidRPr="007F520F" w:rsidRDefault="006866BE" w:rsidP="006866BE">
      <w:pPr>
        <w:pStyle w:val="ListBullet"/>
        <w:rPr>
          <w:rFonts w:eastAsia="Calibri"/>
        </w:rPr>
      </w:pPr>
      <w:r w:rsidRPr="007F520F">
        <w:rPr>
          <w:rFonts w:eastAsia="Calibri"/>
        </w:rPr>
        <w:t xml:space="preserve">steel cap boots </w:t>
      </w:r>
    </w:p>
    <w:p w14:paraId="564091D7" w14:textId="77777777" w:rsidR="006866BE" w:rsidRPr="007F520F" w:rsidRDefault="006866BE" w:rsidP="006866BE">
      <w:pPr>
        <w:pStyle w:val="ListBullet"/>
        <w:rPr>
          <w:rFonts w:eastAsia="Calibri"/>
        </w:rPr>
      </w:pPr>
      <w:r w:rsidRPr="007F520F">
        <w:rPr>
          <w:rFonts w:eastAsia="Calibri"/>
        </w:rPr>
        <w:t>hearing protection</w:t>
      </w:r>
    </w:p>
    <w:p w14:paraId="0627C3AB" w14:textId="77777777" w:rsidR="006866BE" w:rsidRPr="007F520F" w:rsidRDefault="006866BE" w:rsidP="006866BE">
      <w:pPr>
        <w:pStyle w:val="ListBullet"/>
        <w:rPr>
          <w:rFonts w:eastAsia="Calibri"/>
        </w:rPr>
      </w:pPr>
      <w:r w:rsidRPr="007F520F">
        <w:rPr>
          <w:rFonts w:eastAsia="Calibri"/>
        </w:rPr>
        <w:t>hard hat</w:t>
      </w:r>
    </w:p>
    <w:p w14:paraId="3E8A3370" w14:textId="77777777" w:rsidR="006866BE" w:rsidRPr="007F520F" w:rsidRDefault="006866BE" w:rsidP="006866BE">
      <w:pPr>
        <w:pStyle w:val="ListBullet"/>
        <w:rPr>
          <w:rFonts w:eastAsia="Calibri"/>
        </w:rPr>
      </w:pPr>
      <w:r w:rsidRPr="007F520F">
        <w:rPr>
          <w:rFonts w:eastAsia="Calibri"/>
        </w:rPr>
        <w:t>long sleeve clothing</w:t>
      </w:r>
    </w:p>
    <w:p w14:paraId="56E431FE" w14:textId="77777777" w:rsidR="006866BE" w:rsidRPr="007F520F" w:rsidRDefault="006866BE" w:rsidP="006866BE">
      <w:pPr>
        <w:pStyle w:val="ListBullet"/>
        <w:rPr>
          <w:rFonts w:eastAsia="Calibri"/>
        </w:rPr>
      </w:pPr>
      <w:r w:rsidRPr="007F520F">
        <w:rPr>
          <w:rFonts w:eastAsia="Calibri"/>
        </w:rPr>
        <w:t xml:space="preserve">thermal clothing </w:t>
      </w:r>
      <w:r>
        <w:rPr>
          <w:rFonts w:eastAsia="Calibri"/>
        </w:rPr>
        <w:t>(</w:t>
      </w:r>
      <w:r w:rsidRPr="007F520F">
        <w:rPr>
          <w:rFonts w:eastAsia="Calibri"/>
        </w:rPr>
        <w:t>for cold rooms</w:t>
      </w:r>
      <w:r>
        <w:rPr>
          <w:rFonts w:eastAsia="Calibri"/>
        </w:rPr>
        <w:t>)</w:t>
      </w:r>
    </w:p>
    <w:p w14:paraId="0B5EC31B" w14:textId="77777777" w:rsidR="006866BE" w:rsidRPr="007F520F" w:rsidRDefault="006866BE" w:rsidP="006866BE">
      <w:pPr>
        <w:pStyle w:val="ListBullet"/>
        <w:rPr>
          <w:rFonts w:eastAsia="Calibri"/>
        </w:rPr>
      </w:pPr>
      <w:r w:rsidRPr="007F520F">
        <w:rPr>
          <w:rFonts w:eastAsia="Calibri"/>
        </w:rPr>
        <w:t xml:space="preserve">safety </w:t>
      </w:r>
      <w:r w:rsidRPr="007F520F">
        <w:t>glasses</w:t>
      </w:r>
    </w:p>
    <w:p w14:paraId="4D6F9084" w14:textId="77777777" w:rsidR="006866BE" w:rsidRPr="007F520F" w:rsidRDefault="006866BE" w:rsidP="006866BE">
      <w:pPr>
        <w:pStyle w:val="ListBullet"/>
        <w:rPr>
          <w:rFonts w:eastAsia="Calibri"/>
        </w:rPr>
      </w:pPr>
      <w:r w:rsidRPr="007F520F">
        <w:t>face mask</w:t>
      </w:r>
    </w:p>
    <w:p w14:paraId="4C07EA26" w14:textId="77777777" w:rsidR="006866BE" w:rsidRPr="007F520F" w:rsidRDefault="006866BE" w:rsidP="006866BE">
      <w:pPr>
        <w:pStyle w:val="ListBullet"/>
        <w:rPr>
          <w:rFonts w:eastAsia="Calibri"/>
        </w:rPr>
      </w:pPr>
      <w:r w:rsidRPr="007F520F">
        <w:t>first aid kit</w:t>
      </w:r>
    </w:p>
    <w:p w14:paraId="66AE979B" w14:textId="77777777" w:rsidR="006866BE" w:rsidRPr="007F520F" w:rsidRDefault="006866BE" w:rsidP="006866BE">
      <w:pPr>
        <w:pStyle w:val="ListBullet"/>
        <w:rPr>
          <w:rFonts w:eastAsia="Calibri"/>
        </w:rPr>
      </w:pPr>
      <w:r w:rsidRPr="007F520F">
        <w:t xml:space="preserve">portable gas detector </w:t>
      </w:r>
    </w:p>
    <w:p w14:paraId="52FB1369" w14:textId="77777777" w:rsidR="006866BE" w:rsidRPr="007F520F" w:rsidRDefault="006866BE" w:rsidP="006866BE">
      <w:pPr>
        <w:pStyle w:val="ListBullet"/>
        <w:rPr>
          <w:rFonts w:eastAsia="Calibri"/>
        </w:rPr>
      </w:pPr>
      <w:r w:rsidRPr="007F520F">
        <w:t>water</w:t>
      </w:r>
    </w:p>
    <w:p w14:paraId="052497E3" w14:textId="77777777" w:rsidR="006866BE" w:rsidRPr="007F520F" w:rsidRDefault="006866BE" w:rsidP="006866BE">
      <w:pPr>
        <w:pStyle w:val="ListBullet"/>
        <w:rPr>
          <w:rFonts w:eastAsia="Calibri"/>
        </w:rPr>
      </w:pPr>
      <w:r w:rsidRPr="007F520F">
        <w:lastRenderedPageBreak/>
        <w:t>sunscreen</w:t>
      </w:r>
    </w:p>
    <w:p w14:paraId="67E392CA" w14:textId="77777777" w:rsidR="006866BE" w:rsidRPr="009F746B" w:rsidRDefault="006866BE" w:rsidP="006866BE">
      <w:pPr>
        <w:pStyle w:val="ListBullet"/>
        <w:rPr>
          <w:rFonts w:eastAsia="Calibri"/>
        </w:rPr>
      </w:pPr>
      <w:r w:rsidRPr="007F520F">
        <w:t>emergency communication</w:t>
      </w:r>
      <w:r w:rsidRPr="001315AA">
        <w:t xml:space="preserve"> equipment </w:t>
      </w:r>
      <w:r>
        <w:t>(</w:t>
      </w:r>
      <w:r w:rsidRPr="001315AA">
        <w:t>such as a phone carrier with coverage or satellite phone</w:t>
      </w:r>
      <w:r>
        <w:t>)</w:t>
      </w:r>
      <w:r w:rsidRPr="001315AA">
        <w:t>.</w:t>
      </w:r>
    </w:p>
    <w:p w14:paraId="2083397C" w14:textId="77777777" w:rsidR="006866BE" w:rsidRDefault="006866BE" w:rsidP="006866BE">
      <w:pPr>
        <w:pStyle w:val="Heading3"/>
      </w:pPr>
      <w:bookmarkStart w:id="16" w:name="_Toc43812962"/>
      <w:bookmarkStart w:id="17" w:name="_Toc196211651"/>
      <w:r>
        <w:t>WHS reporting requirements</w:t>
      </w:r>
      <w:bookmarkEnd w:id="16"/>
      <w:bookmarkEnd w:id="17"/>
    </w:p>
    <w:p w14:paraId="65410550" w14:textId="5DBCDE0B" w:rsidR="006866BE" w:rsidRPr="009F746B" w:rsidRDefault="006866BE" w:rsidP="006866BE">
      <w:pPr>
        <w:pStyle w:val="BodyText"/>
      </w:pPr>
      <w:r w:rsidRPr="009F746B">
        <w:t>All WHS incidents, near misses, and any hazards must be</w:t>
      </w:r>
      <w:r>
        <w:t xml:space="preserve"> reported to the department and entered in SIRUS (WHS information system).</w:t>
      </w:r>
    </w:p>
    <w:p w14:paraId="3526A0AC" w14:textId="6497F87D" w:rsidR="006866BE" w:rsidRPr="00510B60" w:rsidRDefault="006866BE" w:rsidP="006866BE">
      <w:pPr>
        <w:pStyle w:val="Heading2"/>
      </w:pPr>
      <w:bookmarkStart w:id="18" w:name="_Toc196211652"/>
      <w:bookmarkStart w:id="19" w:name="_Toc380478161"/>
      <w:bookmarkEnd w:id="5"/>
      <w:bookmarkEnd w:id="6"/>
      <w:r w:rsidRPr="00510B60">
        <w:t xml:space="preserve">Performance </w:t>
      </w:r>
      <w:r>
        <w:t>s</w:t>
      </w:r>
      <w:r w:rsidRPr="00510B60">
        <w:t>tandards</w:t>
      </w:r>
      <w:bookmarkEnd w:id="18"/>
    </w:p>
    <w:p w14:paraId="25EEC0A0" w14:textId="379890BD" w:rsidR="006866BE" w:rsidRDefault="006866BE" w:rsidP="006866BE">
      <w:pPr>
        <w:pStyle w:val="BodyText"/>
      </w:pPr>
      <w:r>
        <w:t xml:space="preserve">AOs </w:t>
      </w:r>
      <w:r>
        <w:rPr>
          <w:lang w:val="en-GB"/>
        </w:rPr>
        <w:t>must be audited</w:t>
      </w:r>
      <w:r w:rsidRPr="00481569">
        <w:rPr>
          <w:lang w:val="en-GB"/>
        </w:rPr>
        <w:t xml:space="preserve"> for compliance against </w:t>
      </w:r>
      <w:r>
        <w:rPr>
          <w:lang w:val="en-GB"/>
        </w:rPr>
        <w:t xml:space="preserve">performance standards </w:t>
      </w:r>
      <w:r w:rsidRPr="00BA135D">
        <w:t xml:space="preserve">derived from </w:t>
      </w:r>
      <w:r>
        <w:t xml:space="preserve">relevant legislation, instructional material and importing country requirements. </w:t>
      </w:r>
    </w:p>
    <w:p w14:paraId="5360814E" w14:textId="77777777" w:rsidR="006866BE" w:rsidRDefault="006866BE" w:rsidP="006866BE">
      <w:pPr>
        <w:pStyle w:val="BodyText"/>
        <w:rPr>
          <w:rFonts w:cstheme="minorHAnsi"/>
        </w:rPr>
      </w:pPr>
      <w:r w:rsidRPr="00E752F4">
        <w:t xml:space="preserve">AOs </w:t>
      </w:r>
      <w:r>
        <w:t>who</w:t>
      </w:r>
      <w:r w:rsidRPr="00E752F4">
        <w:t xml:space="preserve"> do not meet the performance standards </w:t>
      </w:r>
      <w:r>
        <w:t>may</w:t>
      </w:r>
      <w:r w:rsidRPr="00E752F4">
        <w:t xml:space="preserve"> be subject to sanctions, including increased audit frequency, additional training, and possible variation, suspension or revocation of</w:t>
      </w:r>
      <w:r>
        <w:t xml:space="preserve"> their</w:t>
      </w:r>
      <w:r w:rsidRPr="00E752F4">
        <w:t xml:space="preserve"> appointment.</w:t>
      </w:r>
      <w:r w:rsidRPr="00E752F4">
        <w:rPr>
          <w:rFonts w:cstheme="minorHAnsi"/>
        </w:rPr>
        <w:t xml:space="preserve"> </w:t>
      </w:r>
    </w:p>
    <w:p w14:paraId="384D7C9B" w14:textId="77777777" w:rsidR="006866BE" w:rsidRDefault="006866BE" w:rsidP="00A877AE">
      <w:pPr>
        <w:pStyle w:val="Heading3"/>
      </w:pPr>
      <w:bookmarkStart w:id="20" w:name="_Toc196211653"/>
      <w:r>
        <w:t>Elements</w:t>
      </w:r>
      <w:bookmarkEnd w:id="20"/>
    </w:p>
    <w:p w14:paraId="0FB21609" w14:textId="77777777" w:rsidR="006866BE" w:rsidRPr="003E0AAD" w:rsidRDefault="006866BE" w:rsidP="006866BE">
      <w:pPr>
        <w:pStyle w:val="BodyText"/>
      </w:pPr>
      <w:r w:rsidRPr="003E0AAD">
        <w:t xml:space="preserve">Performance standards are organised into groups known as </w:t>
      </w:r>
      <w:r>
        <w:t>elements</w:t>
      </w:r>
      <w:r w:rsidRPr="003E0AAD">
        <w:t xml:space="preserve">. Each </w:t>
      </w:r>
      <w:r>
        <w:t xml:space="preserve">element </w:t>
      </w:r>
      <w:r w:rsidRPr="003E0AAD">
        <w:t xml:space="preserve">has several </w:t>
      </w:r>
      <w:r>
        <w:t>sub-elements</w:t>
      </w:r>
      <w:r w:rsidRPr="003E0AAD">
        <w:t xml:space="preserve"> that must be assessed for compliance. </w:t>
      </w:r>
    </w:p>
    <w:p w14:paraId="3E0414F0" w14:textId="3E8E6735" w:rsidR="006866BE" w:rsidRDefault="006866BE" w:rsidP="006866BE">
      <w:pPr>
        <w:pStyle w:val="BodyText"/>
      </w:pPr>
      <w:r>
        <w:t>The elements are:</w:t>
      </w:r>
    </w:p>
    <w:p w14:paraId="3DA40179" w14:textId="77777777" w:rsidR="006866BE" w:rsidRPr="005E22C1" w:rsidRDefault="006866BE" w:rsidP="00A877AE">
      <w:pPr>
        <w:pStyle w:val="ListParagraph"/>
        <w:numPr>
          <w:ilvl w:val="0"/>
          <w:numId w:val="104"/>
        </w:numPr>
        <w:tabs>
          <w:tab w:val="clear" w:pos="720"/>
          <w:tab w:val="num" w:pos="360"/>
        </w:tabs>
        <w:ind w:left="360"/>
      </w:pPr>
      <w:r w:rsidRPr="005E22C1">
        <w:t>Legislation</w:t>
      </w:r>
    </w:p>
    <w:p w14:paraId="57D940F8" w14:textId="77777777" w:rsidR="006866BE" w:rsidRPr="005E22C1" w:rsidRDefault="006866BE" w:rsidP="00A877AE">
      <w:pPr>
        <w:pStyle w:val="ListParagraph"/>
        <w:numPr>
          <w:ilvl w:val="0"/>
          <w:numId w:val="104"/>
        </w:numPr>
        <w:tabs>
          <w:tab w:val="clear" w:pos="720"/>
          <w:tab w:val="num" w:pos="360"/>
        </w:tabs>
        <w:ind w:left="360"/>
      </w:pPr>
      <w:r>
        <w:t>Pre-inspection</w:t>
      </w:r>
    </w:p>
    <w:p w14:paraId="449E44E8" w14:textId="77777777" w:rsidR="006866BE" w:rsidRDefault="006866BE" w:rsidP="006866BE">
      <w:pPr>
        <w:pStyle w:val="ListParagraph"/>
        <w:numPr>
          <w:ilvl w:val="0"/>
          <w:numId w:val="104"/>
        </w:numPr>
        <w:tabs>
          <w:tab w:val="clear" w:pos="720"/>
          <w:tab w:val="num" w:pos="360"/>
        </w:tabs>
        <w:ind w:left="360"/>
      </w:pPr>
      <w:r>
        <w:t>Inspection of plants and plant products</w:t>
      </w:r>
    </w:p>
    <w:p w14:paraId="06C657D2" w14:textId="77777777" w:rsidR="006866BE" w:rsidRDefault="006866BE" w:rsidP="00A877AE">
      <w:pPr>
        <w:pStyle w:val="ListParagraph"/>
        <w:numPr>
          <w:ilvl w:val="0"/>
          <w:numId w:val="104"/>
        </w:numPr>
        <w:tabs>
          <w:tab w:val="clear" w:pos="720"/>
          <w:tab w:val="num" w:pos="360"/>
        </w:tabs>
        <w:ind w:left="360"/>
      </w:pPr>
      <w:r>
        <w:t>Post-inspection</w:t>
      </w:r>
    </w:p>
    <w:p w14:paraId="0223B71C" w14:textId="77777777" w:rsidR="006866BE" w:rsidRPr="005E22C1" w:rsidRDefault="006866BE" w:rsidP="00A877AE">
      <w:pPr>
        <w:pStyle w:val="ListParagraph"/>
        <w:numPr>
          <w:ilvl w:val="0"/>
          <w:numId w:val="104"/>
        </w:numPr>
        <w:tabs>
          <w:tab w:val="clear" w:pos="720"/>
          <w:tab w:val="num" w:pos="360"/>
        </w:tabs>
        <w:ind w:left="360"/>
      </w:pPr>
      <w:r>
        <w:t>Inspection of bulk vessels</w:t>
      </w:r>
    </w:p>
    <w:p w14:paraId="0669DD9F" w14:textId="77777777" w:rsidR="006866BE" w:rsidRPr="005E22C1" w:rsidRDefault="006866BE" w:rsidP="00A877AE">
      <w:pPr>
        <w:pStyle w:val="ListParagraph"/>
        <w:numPr>
          <w:ilvl w:val="0"/>
          <w:numId w:val="104"/>
        </w:numPr>
        <w:tabs>
          <w:tab w:val="clear" w:pos="720"/>
          <w:tab w:val="num" w:pos="360"/>
        </w:tabs>
        <w:ind w:left="360"/>
      </w:pPr>
      <w:r>
        <w:t>Horticulture Export protocol treatments.</w:t>
      </w:r>
    </w:p>
    <w:p w14:paraId="2667DA0E" w14:textId="77777777" w:rsidR="006866BE" w:rsidRDefault="006866BE" w:rsidP="00A877AE">
      <w:pPr>
        <w:pStyle w:val="Heading3"/>
      </w:pPr>
      <w:bookmarkStart w:id="21" w:name="_Toc196211654"/>
      <w:r>
        <w:t>Sub-elements</w:t>
      </w:r>
      <w:bookmarkEnd w:id="21"/>
    </w:p>
    <w:p w14:paraId="792514E3" w14:textId="280CFD69" w:rsidR="006866BE" w:rsidRDefault="006866BE" w:rsidP="006866BE">
      <w:pPr>
        <w:pStyle w:val="BodyText"/>
      </w:pPr>
      <w:r>
        <w:t xml:space="preserve">Elements are further arranged into sub-elements. To ensure </w:t>
      </w:r>
      <w:r w:rsidRPr="001C2995">
        <w:t xml:space="preserve">that </w:t>
      </w:r>
      <w:r>
        <w:t>AOs</w:t>
      </w:r>
      <w:r w:rsidRPr="001C2995">
        <w:t xml:space="preserve"> are assessed comprehensively and consistently</w:t>
      </w:r>
      <w:r>
        <w:t xml:space="preserve">, an AO audit must cover all sub-elements related to the powers and functions given to the AO by their instrument of appointment. </w:t>
      </w:r>
    </w:p>
    <w:p w14:paraId="1E9F4573" w14:textId="319189EB" w:rsidR="006866BE" w:rsidRDefault="006866BE" w:rsidP="006866BE">
      <w:pPr>
        <w:pStyle w:val="BodyText"/>
      </w:pPr>
      <w:r>
        <w:t xml:space="preserve">The order in which the sub-elements are addressed during an audit follows the workflow of typical AO activities. Refer to </w:t>
      </w:r>
      <w:hyperlink w:anchor="_6._Related_Materials" w:history="1">
        <w:r>
          <w:rPr>
            <w:rStyle w:val="Hyperlink"/>
          </w:rPr>
          <w:t>related material</w:t>
        </w:r>
      </w:hyperlink>
      <w:r>
        <w:t xml:space="preserve"> for t</w:t>
      </w:r>
      <w:r w:rsidRPr="003237F2">
        <w:t xml:space="preserve">he </w:t>
      </w:r>
      <w:r>
        <w:t>sub-elements</w:t>
      </w:r>
      <w:r w:rsidRPr="003237F2">
        <w:t xml:space="preserve"> covered during an AO audit</w:t>
      </w:r>
      <w:r>
        <w:t>.</w:t>
      </w:r>
    </w:p>
    <w:p w14:paraId="024C10D7" w14:textId="10957F0C" w:rsidR="006866BE" w:rsidRPr="00A877AE" w:rsidRDefault="006866BE" w:rsidP="006866BE">
      <w:pPr>
        <w:pStyle w:val="BodyText"/>
        <w:rPr>
          <w:rFonts w:cstheme="minorHAnsi"/>
          <w:i/>
          <w:iCs/>
        </w:rPr>
      </w:pPr>
      <w:r>
        <w:rPr>
          <w:rFonts w:cstheme="minorHAnsi"/>
          <w:b/>
          <w:bCs/>
        </w:rPr>
        <w:t xml:space="preserve">Refer to </w:t>
      </w:r>
      <w:r>
        <w:rPr>
          <w:rFonts w:cstheme="minorHAnsi"/>
        </w:rPr>
        <w:t xml:space="preserve">Exports reference: </w:t>
      </w:r>
      <w:hyperlink w:anchor="_6._Related_Materials" w:history="1">
        <w:r w:rsidRPr="00076A10">
          <w:rPr>
            <w:rStyle w:val="Hyperlink"/>
            <w:i/>
            <w:iCs/>
          </w:rPr>
          <w:t>Authorised officer audit performance standards</w:t>
        </w:r>
      </w:hyperlink>
      <w:r>
        <w:rPr>
          <w:rFonts w:cstheme="minorHAnsi"/>
          <w:i/>
          <w:iCs/>
        </w:rPr>
        <w:t xml:space="preserve">. </w:t>
      </w:r>
    </w:p>
    <w:p w14:paraId="639B06F6" w14:textId="77777777" w:rsidR="006866BE" w:rsidRDefault="006866BE" w:rsidP="006866BE">
      <w:pPr>
        <w:pStyle w:val="Heading2"/>
      </w:pPr>
      <w:bookmarkStart w:id="22" w:name="_Audit_type"/>
      <w:bookmarkStart w:id="23" w:name="_Toc196211655"/>
      <w:bookmarkEnd w:id="19"/>
      <w:bookmarkEnd w:id="22"/>
      <w:r w:rsidRPr="00E752F4">
        <w:t>Audit</w:t>
      </w:r>
      <w:r>
        <w:t xml:space="preserve"> types</w:t>
      </w:r>
      <w:bookmarkEnd w:id="23"/>
    </w:p>
    <w:p w14:paraId="4D66E9B4" w14:textId="55B27EA3" w:rsidR="006866BE" w:rsidRDefault="006866BE" w:rsidP="006866BE">
      <w:pPr>
        <w:pStyle w:val="BodyText"/>
      </w:pPr>
      <w:r w:rsidRPr="001C42EF">
        <w:t xml:space="preserve">An AO may receive either a compliance audit or a demonstration audit. Both the compliance and demonstration audit types </w:t>
      </w:r>
      <w:r>
        <w:t>can</w:t>
      </w:r>
      <w:r w:rsidRPr="001C42EF">
        <w:t xml:space="preserve"> be performed either </w:t>
      </w:r>
      <w:r>
        <w:t>announced</w:t>
      </w:r>
      <w:r w:rsidRPr="001C42EF">
        <w:t xml:space="preserve"> or unannounced</w:t>
      </w:r>
      <w:r>
        <w:t xml:space="preserve"> and follow the same process. Additionally, demonstration audits will involve observation of an AO performing their export activities.</w:t>
      </w:r>
    </w:p>
    <w:p w14:paraId="76E275ED" w14:textId="77777777" w:rsidR="006866BE" w:rsidRDefault="006866BE" w:rsidP="006866BE">
      <w:pPr>
        <w:pStyle w:val="BodyText"/>
      </w:pPr>
      <w:r>
        <w:t>The AO must be present at the audit.</w:t>
      </w:r>
    </w:p>
    <w:p w14:paraId="68D2E9CD" w14:textId="77777777" w:rsidR="006866BE" w:rsidRDefault="006866BE" w:rsidP="006866BE">
      <w:pPr>
        <w:pStyle w:val="BodyText"/>
      </w:pPr>
      <w:r>
        <w:t>The following table lists audit types for AOs.</w:t>
      </w:r>
    </w:p>
    <w:tbl>
      <w:tblPr>
        <w:tblStyle w:val="TableGrid"/>
        <w:tblW w:w="9015" w:type="dxa"/>
        <w:tblInd w:w="-5" w:type="dxa"/>
        <w:tblLayout w:type="fixed"/>
        <w:tblLook w:val="04A0" w:firstRow="1" w:lastRow="0" w:firstColumn="1" w:lastColumn="0" w:noHBand="0" w:noVBand="1"/>
      </w:tblPr>
      <w:tblGrid>
        <w:gridCol w:w="1701"/>
        <w:gridCol w:w="2835"/>
        <w:gridCol w:w="2552"/>
        <w:gridCol w:w="1927"/>
      </w:tblGrid>
      <w:tr w:rsidR="006866BE" w:rsidRPr="00C772E7" w14:paraId="1286D942" w14:textId="77777777" w:rsidTr="00A877AE">
        <w:trPr>
          <w:cantSplit/>
          <w:trHeight w:val="574"/>
          <w:tblHeader/>
        </w:trPr>
        <w:tc>
          <w:tcPr>
            <w:tcW w:w="1701" w:type="dxa"/>
            <w:tcBorders>
              <w:right w:val="single" w:sz="4" w:space="0" w:color="auto"/>
            </w:tcBorders>
            <w:shd w:val="clear" w:color="auto" w:fill="D9D9D9" w:themeFill="background1" w:themeFillShade="D9"/>
          </w:tcPr>
          <w:p w14:paraId="7E604A7D" w14:textId="77777777" w:rsidR="006866BE" w:rsidRPr="00A877AE" w:rsidRDefault="006866BE" w:rsidP="005D3BFA">
            <w:pPr>
              <w:rPr>
                <w:b/>
              </w:rPr>
            </w:pPr>
            <w:r w:rsidRPr="00A877AE">
              <w:rPr>
                <w:b/>
              </w:rPr>
              <w:lastRenderedPageBreak/>
              <w:t>Audit type</w:t>
            </w:r>
          </w:p>
        </w:tc>
        <w:tc>
          <w:tcPr>
            <w:tcW w:w="2835" w:type="dxa"/>
            <w:tcBorders>
              <w:left w:val="single" w:sz="4" w:space="0" w:color="auto"/>
              <w:right w:val="single" w:sz="4" w:space="0" w:color="auto"/>
            </w:tcBorders>
            <w:shd w:val="clear" w:color="auto" w:fill="D9D9D9" w:themeFill="background1" w:themeFillShade="D9"/>
          </w:tcPr>
          <w:p w14:paraId="4F16A8A0" w14:textId="77777777" w:rsidR="006866BE" w:rsidRPr="00A877AE" w:rsidRDefault="006866BE" w:rsidP="005D3BFA">
            <w:pPr>
              <w:rPr>
                <w:b/>
              </w:rPr>
            </w:pPr>
            <w:r w:rsidRPr="00A877AE">
              <w:rPr>
                <w:b/>
              </w:rPr>
              <w:t>Conducted</w:t>
            </w:r>
          </w:p>
        </w:tc>
        <w:tc>
          <w:tcPr>
            <w:tcW w:w="2552" w:type="dxa"/>
            <w:tcBorders>
              <w:left w:val="single" w:sz="4" w:space="0" w:color="auto"/>
              <w:right w:val="single" w:sz="4" w:space="0" w:color="auto"/>
            </w:tcBorders>
            <w:shd w:val="clear" w:color="auto" w:fill="D9D9D9" w:themeFill="background1" w:themeFillShade="D9"/>
          </w:tcPr>
          <w:p w14:paraId="334FEED9" w14:textId="77777777" w:rsidR="006866BE" w:rsidRPr="00A877AE" w:rsidRDefault="006866BE" w:rsidP="005D3BFA">
            <w:pPr>
              <w:rPr>
                <w:b/>
              </w:rPr>
            </w:pPr>
            <w:r w:rsidRPr="00A877AE">
              <w:rPr>
                <w:b/>
              </w:rPr>
              <w:t>Frequency</w:t>
            </w:r>
          </w:p>
        </w:tc>
        <w:tc>
          <w:tcPr>
            <w:tcW w:w="1927" w:type="dxa"/>
            <w:tcBorders>
              <w:left w:val="single" w:sz="4" w:space="0" w:color="auto"/>
            </w:tcBorders>
            <w:shd w:val="clear" w:color="auto" w:fill="D9D9D9" w:themeFill="background1" w:themeFillShade="D9"/>
          </w:tcPr>
          <w:p w14:paraId="1C8AC3D1" w14:textId="77777777" w:rsidR="006866BE" w:rsidRPr="00A877AE" w:rsidRDefault="006866BE" w:rsidP="005D3BFA">
            <w:pPr>
              <w:rPr>
                <w:b/>
              </w:rPr>
            </w:pPr>
            <w:r w:rsidRPr="00A877AE">
              <w:rPr>
                <w:b/>
              </w:rPr>
              <w:t>Announced/ unannounced</w:t>
            </w:r>
          </w:p>
        </w:tc>
      </w:tr>
      <w:tr w:rsidR="006866BE" w:rsidRPr="00C772E7" w14:paraId="6078DF0A" w14:textId="77777777" w:rsidTr="005D3BFA">
        <w:tc>
          <w:tcPr>
            <w:tcW w:w="1701" w:type="dxa"/>
            <w:vMerge w:val="restart"/>
          </w:tcPr>
          <w:p w14:paraId="5A497285" w14:textId="72ADFF13" w:rsidR="006866BE" w:rsidRDefault="006866BE" w:rsidP="005D3BFA">
            <w:r>
              <w:t>First</w:t>
            </w:r>
            <w:r w:rsidRPr="00363939">
              <w:t xml:space="preserve"> audit </w:t>
            </w:r>
          </w:p>
          <w:p w14:paraId="4EBB4556" w14:textId="77777777" w:rsidR="006866BE" w:rsidRDefault="006866BE" w:rsidP="005D3BFA"/>
          <w:p w14:paraId="015FD91A" w14:textId="77777777" w:rsidR="006866BE" w:rsidRPr="00363939" w:rsidRDefault="006866BE" w:rsidP="005D3BFA">
            <w:r>
              <w:t>(Demonstration audit)</w:t>
            </w:r>
          </w:p>
        </w:tc>
        <w:tc>
          <w:tcPr>
            <w:tcW w:w="2835" w:type="dxa"/>
          </w:tcPr>
          <w:p w14:paraId="55185A4A" w14:textId="6A2CC1CD" w:rsidR="006866BE" w:rsidRPr="00890B51" w:rsidRDefault="00FE0D9E" w:rsidP="00A877AE">
            <w:r>
              <w:t>n</w:t>
            </w:r>
            <w:r w:rsidR="006866BE" w:rsidRPr="00363939">
              <w:t xml:space="preserve">ewly appointed AOs </w:t>
            </w:r>
            <w:r w:rsidR="006866BE" w:rsidRPr="003823E8">
              <w:rPr>
                <w:b/>
                <w:bCs/>
              </w:rPr>
              <w:t>who do not hold</w:t>
            </w:r>
            <w:r w:rsidR="006866BE" w:rsidRPr="00363939">
              <w:t xml:space="preserve"> protocol job functions</w:t>
            </w:r>
          </w:p>
        </w:tc>
        <w:tc>
          <w:tcPr>
            <w:tcW w:w="2552" w:type="dxa"/>
          </w:tcPr>
          <w:p w14:paraId="224CAA4B" w14:textId="59EF0B1D" w:rsidR="006866BE" w:rsidRPr="00363939" w:rsidRDefault="00FE0D9E" w:rsidP="00A877AE">
            <w:r>
              <w:t>w</w:t>
            </w:r>
            <w:r w:rsidR="006866BE" w:rsidRPr="00363939">
              <w:t>ithin 6 months of appointment</w:t>
            </w:r>
          </w:p>
        </w:tc>
        <w:tc>
          <w:tcPr>
            <w:tcW w:w="1927" w:type="dxa"/>
            <w:vMerge w:val="restart"/>
          </w:tcPr>
          <w:p w14:paraId="722DC347" w14:textId="77777777" w:rsidR="006866BE" w:rsidRDefault="006866BE" w:rsidP="005D3BFA">
            <w:r w:rsidRPr="00E23181">
              <w:t>Announced</w:t>
            </w:r>
          </w:p>
          <w:p w14:paraId="60A9784C" w14:textId="77777777" w:rsidR="006866BE" w:rsidRPr="00C772E7" w:rsidRDefault="006866BE" w:rsidP="005D3BFA"/>
        </w:tc>
      </w:tr>
      <w:tr w:rsidR="006866BE" w:rsidRPr="00C772E7" w14:paraId="3A0EAE76" w14:textId="77777777" w:rsidTr="005D3BFA">
        <w:tc>
          <w:tcPr>
            <w:tcW w:w="1701" w:type="dxa"/>
            <w:vMerge/>
          </w:tcPr>
          <w:p w14:paraId="18115DE6" w14:textId="77777777" w:rsidR="006866BE" w:rsidRPr="00363939" w:rsidRDefault="006866BE" w:rsidP="005D3BFA"/>
        </w:tc>
        <w:tc>
          <w:tcPr>
            <w:tcW w:w="2835" w:type="dxa"/>
          </w:tcPr>
          <w:p w14:paraId="6D4BFD2B" w14:textId="4B99CFFF" w:rsidR="006866BE" w:rsidRPr="003823E8" w:rsidRDefault="00FE0D9E" w:rsidP="005D3BFA">
            <w:pPr>
              <w:pStyle w:val="ListBullet"/>
              <w:rPr>
                <w:rFonts w:eastAsia="Calibri"/>
                <w:szCs w:val="22"/>
              </w:rPr>
            </w:pPr>
            <w:r>
              <w:t>n</w:t>
            </w:r>
            <w:r w:rsidR="006866BE">
              <w:t>ewly appointed AOs with protocol job function</w:t>
            </w:r>
          </w:p>
          <w:p w14:paraId="173C58CE" w14:textId="77777777" w:rsidR="006866BE" w:rsidRDefault="006866BE" w:rsidP="00A877AE">
            <w:pPr>
              <w:pStyle w:val="ListBullet"/>
              <w:numPr>
                <w:ilvl w:val="0"/>
                <w:numId w:val="0"/>
              </w:numPr>
              <w:ind w:left="360"/>
            </w:pPr>
            <w:r>
              <w:t xml:space="preserve">or </w:t>
            </w:r>
          </w:p>
          <w:p w14:paraId="012785D2" w14:textId="5DB4229F" w:rsidR="006866BE" w:rsidRPr="00363939" w:rsidRDefault="00FE0D9E" w:rsidP="005D3BFA">
            <w:pPr>
              <w:pStyle w:val="ListBullet"/>
              <w:numPr>
                <w:ilvl w:val="0"/>
                <w:numId w:val="96"/>
              </w:numPr>
              <w:rPr>
                <w:rFonts w:eastAsia="Calibri"/>
                <w:szCs w:val="22"/>
              </w:rPr>
            </w:pPr>
            <w:r>
              <w:t>e</w:t>
            </w:r>
            <w:r w:rsidR="006866BE">
              <w:t>xisting AOs who become appointed for new protocol job functions</w:t>
            </w:r>
          </w:p>
        </w:tc>
        <w:tc>
          <w:tcPr>
            <w:tcW w:w="2552" w:type="dxa"/>
          </w:tcPr>
          <w:p w14:paraId="6445787E" w14:textId="49A38C69" w:rsidR="006866BE" w:rsidRPr="003823E8" w:rsidRDefault="00FE0D9E" w:rsidP="00A877AE">
            <w:r>
              <w:t>w</w:t>
            </w:r>
            <w:r w:rsidR="006866BE" w:rsidRPr="00363939">
              <w:t>ithin the first season of that commodity</w:t>
            </w:r>
          </w:p>
        </w:tc>
        <w:tc>
          <w:tcPr>
            <w:tcW w:w="1927" w:type="dxa"/>
            <w:vMerge/>
          </w:tcPr>
          <w:p w14:paraId="582C643F" w14:textId="77777777" w:rsidR="006866BE" w:rsidRPr="00C772E7" w:rsidRDefault="006866BE" w:rsidP="005D3BFA"/>
        </w:tc>
      </w:tr>
      <w:tr w:rsidR="006866BE" w:rsidRPr="003E0AAD" w14:paraId="674C0155" w14:textId="77777777" w:rsidTr="005D3BFA">
        <w:tc>
          <w:tcPr>
            <w:tcW w:w="1701" w:type="dxa"/>
          </w:tcPr>
          <w:p w14:paraId="6047BC15" w14:textId="77777777" w:rsidR="006866BE" w:rsidRDefault="006866BE" w:rsidP="005D3BFA">
            <w:r w:rsidRPr="00363939">
              <w:t>Periodic audit</w:t>
            </w:r>
          </w:p>
          <w:p w14:paraId="3B075BF4" w14:textId="77777777" w:rsidR="006866BE" w:rsidRDefault="006866BE" w:rsidP="005D3BFA"/>
          <w:p w14:paraId="245F6FD1" w14:textId="77777777" w:rsidR="006866BE" w:rsidRPr="00363939" w:rsidRDefault="006866BE" w:rsidP="005D3BFA">
            <w:r>
              <w:t>(Demonstration or compliance audit)</w:t>
            </w:r>
          </w:p>
        </w:tc>
        <w:tc>
          <w:tcPr>
            <w:tcW w:w="2835" w:type="dxa"/>
          </w:tcPr>
          <w:p w14:paraId="7C516609" w14:textId="77777777" w:rsidR="006866BE" w:rsidRDefault="006866BE" w:rsidP="005D3BFA">
            <w:r w:rsidRPr="00363939">
              <w:t xml:space="preserve">AOs </w:t>
            </w:r>
            <w:r w:rsidRPr="003823E8">
              <w:rPr>
                <w:b/>
                <w:bCs/>
              </w:rPr>
              <w:t>who do not hold</w:t>
            </w:r>
            <w:r w:rsidRPr="00363939">
              <w:t xml:space="preserve"> protocol job functions</w:t>
            </w:r>
          </w:p>
          <w:p w14:paraId="59C4618D" w14:textId="77777777" w:rsidR="006866BE" w:rsidRPr="00363939" w:rsidRDefault="006866BE" w:rsidP="005D3BFA"/>
        </w:tc>
        <w:tc>
          <w:tcPr>
            <w:tcW w:w="2552" w:type="dxa"/>
          </w:tcPr>
          <w:p w14:paraId="5DDF48D8" w14:textId="3688E172" w:rsidR="006866BE" w:rsidRPr="00363939" w:rsidRDefault="00FE0D9E" w:rsidP="00A877AE">
            <w:r>
              <w:t>m</w:t>
            </w:r>
            <w:r w:rsidR="006866BE" w:rsidRPr="001156D6">
              <w:t>inimum of one every 12 months</w:t>
            </w:r>
          </w:p>
        </w:tc>
        <w:tc>
          <w:tcPr>
            <w:tcW w:w="1927" w:type="dxa"/>
            <w:vMerge w:val="restart"/>
          </w:tcPr>
          <w:p w14:paraId="59FA7284" w14:textId="77777777" w:rsidR="006866BE" w:rsidRPr="003E0AAD" w:rsidRDefault="006866BE" w:rsidP="005D3BFA">
            <w:r w:rsidRPr="00E23181">
              <w:t>Announced or unannounced</w:t>
            </w:r>
            <w:r>
              <w:t xml:space="preserve"> </w:t>
            </w:r>
          </w:p>
          <w:p w14:paraId="780808F1" w14:textId="77777777" w:rsidR="006866BE" w:rsidRPr="003E0AAD" w:rsidRDefault="006866BE" w:rsidP="005D3BFA"/>
        </w:tc>
      </w:tr>
      <w:tr w:rsidR="006866BE" w:rsidRPr="003E0AAD" w14:paraId="4B6544CE" w14:textId="77777777" w:rsidTr="005D3BFA">
        <w:tc>
          <w:tcPr>
            <w:tcW w:w="1701" w:type="dxa"/>
          </w:tcPr>
          <w:p w14:paraId="69DBF66A" w14:textId="77777777" w:rsidR="006866BE" w:rsidRDefault="006866BE" w:rsidP="005D3BFA">
            <w:r w:rsidRPr="00363939">
              <w:t>Periodic audit</w:t>
            </w:r>
          </w:p>
          <w:p w14:paraId="368926DC" w14:textId="77777777" w:rsidR="006866BE" w:rsidRDefault="006866BE" w:rsidP="005D3BFA"/>
          <w:p w14:paraId="46A4A468" w14:textId="77777777" w:rsidR="006866BE" w:rsidRPr="00363939" w:rsidRDefault="006866BE" w:rsidP="005D3BFA">
            <w:r>
              <w:t>(Demonstration audit)</w:t>
            </w:r>
          </w:p>
        </w:tc>
        <w:tc>
          <w:tcPr>
            <w:tcW w:w="2835" w:type="dxa"/>
          </w:tcPr>
          <w:p w14:paraId="3544057F" w14:textId="77777777" w:rsidR="006866BE" w:rsidRPr="000D3D32" w:rsidRDefault="006866BE" w:rsidP="005D3BFA">
            <w:pPr>
              <w:pStyle w:val="ListBullet"/>
              <w:numPr>
                <w:ilvl w:val="0"/>
                <w:numId w:val="0"/>
              </w:numPr>
              <w:rPr>
                <w:rFonts w:eastAsia="Calibri"/>
                <w:szCs w:val="22"/>
              </w:rPr>
            </w:pPr>
            <w:r>
              <w:rPr>
                <w:rFonts w:eastAsia="Calibri"/>
                <w:szCs w:val="22"/>
              </w:rPr>
              <w:t xml:space="preserve">AOs </w:t>
            </w:r>
            <w:r w:rsidRPr="00766431">
              <w:rPr>
                <w:rFonts w:eastAsia="Calibri"/>
                <w:b/>
                <w:bCs/>
                <w:szCs w:val="22"/>
              </w:rPr>
              <w:t>with</w:t>
            </w:r>
            <w:r>
              <w:rPr>
                <w:rFonts w:eastAsia="Calibri"/>
                <w:szCs w:val="22"/>
              </w:rPr>
              <w:t xml:space="preserve"> protocol functions</w:t>
            </w:r>
          </w:p>
          <w:p w14:paraId="0D939934" w14:textId="77777777" w:rsidR="006866BE" w:rsidRPr="00363939" w:rsidRDefault="006866BE" w:rsidP="005D3BFA"/>
        </w:tc>
        <w:tc>
          <w:tcPr>
            <w:tcW w:w="2552" w:type="dxa"/>
          </w:tcPr>
          <w:p w14:paraId="72691EFA" w14:textId="214036BE" w:rsidR="006866BE" w:rsidRPr="000F3F91" w:rsidRDefault="00FE0D9E" w:rsidP="00A877AE">
            <w:r>
              <w:t>m</w:t>
            </w:r>
            <w:r w:rsidR="006866BE">
              <w:t>inimum of one every 12 months</w:t>
            </w:r>
          </w:p>
        </w:tc>
        <w:tc>
          <w:tcPr>
            <w:tcW w:w="1927" w:type="dxa"/>
            <w:vMerge/>
          </w:tcPr>
          <w:p w14:paraId="45D65AC6" w14:textId="77777777" w:rsidR="006866BE" w:rsidRPr="00D64F93" w:rsidRDefault="006866BE" w:rsidP="005D3BFA">
            <w:pPr>
              <w:rPr>
                <w:highlight w:val="yellow"/>
              </w:rPr>
            </w:pPr>
          </w:p>
        </w:tc>
      </w:tr>
    </w:tbl>
    <w:p w14:paraId="070D7BBD" w14:textId="181F5E70" w:rsidR="006866BE" w:rsidRDefault="006866BE" w:rsidP="006866BE">
      <w:pPr>
        <w:pStyle w:val="Heading2"/>
      </w:pPr>
      <w:bookmarkStart w:id="24" w:name="_Toc196211656"/>
      <w:r w:rsidRPr="00E752F4">
        <w:t>Audit</w:t>
      </w:r>
      <w:r>
        <w:t xml:space="preserve"> scheduling</w:t>
      </w:r>
      <w:bookmarkEnd w:id="24"/>
    </w:p>
    <w:p w14:paraId="2B50C087" w14:textId="77777777" w:rsidR="006866BE" w:rsidRPr="0095427A" w:rsidRDefault="006866BE" w:rsidP="00A877AE">
      <w:pPr>
        <w:pStyle w:val="ListBullet"/>
        <w:ind w:left="284" w:hanging="284"/>
      </w:pPr>
      <w:r w:rsidRPr="0095427A">
        <w:t>S</w:t>
      </w:r>
      <w:r w:rsidRPr="00FE37CC">
        <w:t xml:space="preserve">cheduling of audits may be adjusted to take into consideration operating season and multiple audits may occur within one operating </w:t>
      </w:r>
      <w:r w:rsidRPr="00A92A40">
        <w:t>season</w:t>
      </w:r>
      <w:r w:rsidRPr="00FE37CC">
        <w:t xml:space="preserve"> where required.</w:t>
      </w:r>
    </w:p>
    <w:p w14:paraId="53F6BDBA" w14:textId="0F71066C" w:rsidR="006866BE" w:rsidRDefault="006866BE" w:rsidP="00A877AE">
      <w:pPr>
        <w:pStyle w:val="ListBullet"/>
        <w:ind w:left="284" w:hanging="284"/>
      </w:pPr>
      <w:r>
        <w:t xml:space="preserve">Where an AO has multiple job functions, the auditor must </w:t>
      </w:r>
      <w:r w:rsidRPr="00A92A40">
        <w:t>consider</w:t>
      </w:r>
      <w:r w:rsidRPr="0095427A">
        <w:t xml:space="preserve"> </w:t>
      </w:r>
      <w:r w:rsidRPr="00FE37CC">
        <w:t>job functions last audited and</w:t>
      </w:r>
      <w:r w:rsidRPr="005D2A8B">
        <w:t xml:space="preserve"> </w:t>
      </w:r>
      <w:r>
        <w:t>use</w:t>
      </w:r>
      <w:r w:rsidRPr="005D2A8B">
        <w:t xml:space="preserve"> the</w:t>
      </w:r>
      <w:r>
        <w:t xml:space="preserve"> Exports reference:</w:t>
      </w:r>
      <w:r w:rsidRPr="005D2A8B">
        <w:t xml:space="preserve"> </w:t>
      </w:r>
      <w:hyperlink w:anchor="_6._Related_Materials" w:history="1">
        <w:r w:rsidRPr="00076A10">
          <w:rPr>
            <w:rStyle w:val="Hyperlink"/>
            <w:i/>
            <w:iCs/>
          </w:rPr>
          <w:t>Hierarchy of authorised officer job functions for plant exports</w:t>
        </w:r>
      </w:hyperlink>
      <w:r w:rsidRPr="005D2A8B">
        <w:t xml:space="preserve"> to prioritise resources towards auditing more high-risk job functions, such as those with more complex inspection and sampling techniques. </w:t>
      </w:r>
    </w:p>
    <w:p w14:paraId="3BD97BBC" w14:textId="33F66F44" w:rsidR="006866BE" w:rsidRDefault="006866BE" w:rsidP="006866BE">
      <w:pPr>
        <w:pStyle w:val="ListBullet"/>
      </w:pPr>
      <w:r>
        <w:t xml:space="preserve">Only </w:t>
      </w:r>
      <w:r w:rsidRPr="00A92A40">
        <w:t>active</w:t>
      </w:r>
      <w:r>
        <w:t xml:space="preserve"> AOs can be audited. Where an audit falls due for an AO who has not completed an inspection since their last audit, the audit must be rescheduled for the following quarter. </w:t>
      </w:r>
    </w:p>
    <w:p w14:paraId="56D7B88B" w14:textId="4BB808AB" w:rsidR="006866BE" w:rsidRDefault="006866BE" w:rsidP="00A877AE">
      <w:pPr>
        <w:pStyle w:val="ListBullet"/>
      </w:pPr>
      <w:r>
        <w:t xml:space="preserve">AOs who have not completed an inspection in 12 months or more are considered ‘inactive’ and must be referred to the Authorised Officer Program (AOP). </w:t>
      </w:r>
    </w:p>
    <w:p w14:paraId="2CCF90D4" w14:textId="6E317211" w:rsidR="006866BE" w:rsidRDefault="006866BE" w:rsidP="00A877AE">
      <w:pPr>
        <w:pStyle w:val="Heading2"/>
      </w:pPr>
      <w:bookmarkStart w:id="25" w:name="_4.4_The_Audit"/>
      <w:bookmarkStart w:id="26" w:name="_Toc196211657"/>
      <w:bookmarkEnd w:id="25"/>
      <w:r>
        <w:t>Audit</w:t>
      </w:r>
      <w:r w:rsidRPr="004166F8">
        <w:t xml:space="preserve"> </w:t>
      </w:r>
      <w:r>
        <w:t>Process</w:t>
      </w:r>
      <w:bookmarkEnd w:id="26"/>
    </w:p>
    <w:p w14:paraId="31F3D0CF" w14:textId="77777777" w:rsidR="006866BE" w:rsidRPr="00890AB2" w:rsidRDefault="006866BE" w:rsidP="00A877AE">
      <w:pPr>
        <w:pStyle w:val="Heading3"/>
        <w:rPr>
          <w:i/>
        </w:rPr>
      </w:pPr>
      <w:bookmarkStart w:id="27" w:name="_Toc196211658"/>
      <w:r w:rsidRPr="00E752F4">
        <w:t>Demonstration</w:t>
      </w:r>
      <w:r w:rsidRPr="00890AB2">
        <w:t xml:space="preserve"> Audit</w:t>
      </w:r>
      <w:bookmarkEnd w:id="27"/>
    </w:p>
    <w:p w14:paraId="719E6D16" w14:textId="77777777" w:rsidR="006866BE" w:rsidRDefault="006866BE" w:rsidP="006866BE">
      <w:pPr>
        <w:pStyle w:val="BodyText"/>
      </w:pPr>
      <w:r>
        <w:t xml:space="preserve">The auditor must: </w:t>
      </w:r>
    </w:p>
    <w:p w14:paraId="65CBE7AA" w14:textId="1C8890F3" w:rsidR="006866BE" w:rsidRDefault="006866BE" w:rsidP="00A877AE">
      <w:pPr>
        <w:pStyle w:val="ListBullet"/>
      </w:pPr>
      <w:r>
        <w:t>observe the AO performing export activities for the job functions against which they are being audited.</w:t>
      </w:r>
    </w:p>
    <w:p w14:paraId="5A835C91" w14:textId="6FAD38B9" w:rsidR="006866BE" w:rsidRDefault="006866BE" w:rsidP="006866BE">
      <w:pPr>
        <w:pStyle w:val="ListBullet"/>
      </w:pPr>
      <w:r>
        <w:t xml:space="preserve">assesses the AO’s compliance with the performance standards through inspection documentation checks and observation. </w:t>
      </w:r>
    </w:p>
    <w:p w14:paraId="7C831185" w14:textId="77777777" w:rsidR="006866BE" w:rsidRDefault="006866BE" w:rsidP="00A877AE">
      <w:pPr>
        <w:pStyle w:val="ListBullet"/>
        <w:numPr>
          <w:ilvl w:val="0"/>
          <w:numId w:val="0"/>
        </w:numPr>
      </w:pPr>
      <w:r>
        <w:rPr>
          <w:b/>
          <w:bCs/>
        </w:rPr>
        <w:lastRenderedPageBreak/>
        <w:t xml:space="preserve">Note: </w:t>
      </w:r>
      <w:r>
        <w:t>The auditor may ask the AO follow-up questions during the observation component of the audit if more thorough checking of the AO’s skills and knowledge is required to assess compliance with performance standards.</w:t>
      </w:r>
      <w:r w:rsidDel="00CE225E">
        <w:rPr>
          <w:rStyle w:val="CommentReference"/>
        </w:rPr>
        <w:t xml:space="preserve"> </w:t>
      </w:r>
    </w:p>
    <w:p w14:paraId="4B441C45" w14:textId="77777777" w:rsidR="006866BE" w:rsidRPr="00890AB2" w:rsidRDefault="006866BE" w:rsidP="00A877AE">
      <w:pPr>
        <w:pStyle w:val="Heading3"/>
        <w:rPr>
          <w:i/>
        </w:rPr>
      </w:pPr>
      <w:bookmarkStart w:id="28" w:name="_Toc196211659"/>
      <w:r w:rsidRPr="00890AB2">
        <w:t>Compliance Audit</w:t>
      </w:r>
      <w:bookmarkEnd w:id="28"/>
    </w:p>
    <w:p w14:paraId="0EFD4DC6" w14:textId="77777777" w:rsidR="006866BE" w:rsidRDefault="006866BE" w:rsidP="00A877AE">
      <w:pPr>
        <w:pStyle w:val="ListBullet"/>
      </w:pPr>
      <w:r>
        <w:t>A compliance audit may take place either remotely or onsite at a registered establishment (RE), a business office, a departmental office, or other location agreed to.</w:t>
      </w:r>
    </w:p>
    <w:p w14:paraId="269D5C14" w14:textId="6789D197" w:rsidR="006866BE" w:rsidRDefault="006866BE" w:rsidP="00A877AE">
      <w:pPr>
        <w:pStyle w:val="ListBullet"/>
      </w:pPr>
      <w:r>
        <w:t xml:space="preserve">The auditor must check the AO’s inspection documentation against the performance standards and use it to guide the interview with the AO. </w:t>
      </w:r>
    </w:p>
    <w:p w14:paraId="7DE2391D" w14:textId="37328C1C" w:rsidR="006866BE" w:rsidRDefault="006866BE" w:rsidP="00A877AE">
      <w:pPr>
        <w:pStyle w:val="ListBullet"/>
      </w:pPr>
      <w:r>
        <w:t xml:space="preserve">The auditor may require the AO to demonstrate their skills and knowledge for one or more sub-elements (for example, by demonstrating that the most current work instructions are in their possession, demonstrating knowledge of flow path inspection procedures). </w:t>
      </w:r>
    </w:p>
    <w:p w14:paraId="6AB6032C" w14:textId="77777777" w:rsidR="006866BE" w:rsidRDefault="006866BE" w:rsidP="00A877AE">
      <w:pPr>
        <w:pStyle w:val="ListBullet"/>
      </w:pPr>
      <w:r>
        <w:t xml:space="preserve">Where the auditor is not satisfied with the initial response provided by the AO further clarification may be required to assess compliance. </w:t>
      </w:r>
    </w:p>
    <w:p w14:paraId="3B2A4C6D" w14:textId="65F9B669" w:rsidR="006866BE" w:rsidRPr="00862E97" w:rsidRDefault="006866BE" w:rsidP="00A877AE">
      <w:pPr>
        <w:pStyle w:val="ListBullet"/>
      </w:pPr>
      <w:r>
        <w:t>Where the auditor identifies multiple elements for the AO to demonstrate, the auditor has the discretion to make a compliance audit become a demonstration audit.</w:t>
      </w:r>
    </w:p>
    <w:p w14:paraId="60C2CF7B" w14:textId="6A936B89" w:rsidR="006866BE" w:rsidRDefault="006866BE" w:rsidP="006866BE">
      <w:r>
        <w:t xml:space="preserve">The following table outlines the process </w:t>
      </w:r>
      <w:r w:rsidRPr="001D5327">
        <w:t xml:space="preserve">for conducting </w:t>
      </w:r>
      <w:r>
        <w:t>a first</w:t>
      </w:r>
      <w:r w:rsidRPr="001D5327">
        <w:t xml:space="preserve"> or periodic audit of an </w:t>
      </w:r>
      <w:r>
        <w:t>AO.</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6918"/>
        <w:gridCol w:w="1360"/>
      </w:tblGrid>
      <w:tr w:rsidR="006866BE" w14:paraId="0B23E311" w14:textId="77777777" w:rsidTr="00A877AE">
        <w:trPr>
          <w:cantSplit/>
          <w:trHeight w:val="503"/>
          <w:tblHeader/>
        </w:trPr>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E9261" w14:textId="77777777" w:rsidR="006866BE" w:rsidRPr="00A877AE" w:rsidRDefault="006866BE" w:rsidP="005D3BFA">
            <w:pPr>
              <w:pStyle w:val="Tableheadings"/>
              <w:jc w:val="center"/>
              <w:rPr>
                <w:color w:val="auto"/>
              </w:rPr>
            </w:pPr>
            <w:r w:rsidRPr="00A877AE">
              <w:rPr>
                <w:color w:val="auto"/>
              </w:rPr>
              <w:t>Stage</w:t>
            </w:r>
          </w:p>
        </w:tc>
        <w:tc>
          <w:tcPr>
            <w:tcW w:w="6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24DE8" w14:textId="77777777" w:rsidR="006866BE" w:rsidRPr="00A877AE" w:rsidRDefault="006866BE" w:rsidP="005D3BFA">
            <w:pPr>
              <w:pStyle w:val="Tableheadings"/>
              <w:rPr>
                <w:color w:val="auto"/>
              </w:rPr>
            </w:pPr>
            <w:r w:rsidRPr="00A877AE">
              <w:rPr>
                <w:color w:val="auto"/>
              </w:rPr>
              <w:t>What happens</w:t>
            </w:r>
          </w:p>
        </w:tc>
        <w:tc>
          <w:tcPr>
            <w:tcW w:w="1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39FBE" w14:textId="77777777" w:rsidR="006866BE" w:rsidRPr="00A877AE" w:rsidRDefault="006866BE" w:rsidP="005D3BFA">
            <w:pPr>
              <w:pStyle w:val="Tableheadings"/>
              <w:rPr>
                <w:color w:val="auto"/>
              </w:rPr>
            </w:pPr>
            <w:r w:rsidRPr="00A877AE">
              <w:rPr>
                <w:color w:val="auto"/>
              </w:rPr>
              <w:t>Responsible party</w:t>
            </w:r>
          </w:p>
        </w:tc>
      </w:tr>
      <w:tr w:rsidR="006866BE" w14:paraId="2C354425" w14:textId="77777777" w:rsidTr="00A877AE">
        <w:trPr>
          <w:cantSplit/>
          <w:trHeight w:val="3362"/>
        </w:trPr>
        <w:tc>
          <w:tcPr>
            <w:tcW w:w="737" w:type="dxa"/>
            <w:tcBorders>
              <w:top w:val="single" w:sz="4" w:space="0" w:color="auto"/>
              <w:bottom w:val="single" w:sz="4" w:space="0" w:color="auto"/>
            </w:tcBorders>
          </w:tcPr>
          <w:p w14:paraId="7ACAA8A3" w14:textId="77777777" w:rsidR="006866BE" w:rsidRDefault="006866BE" w:rsidP="005D3BFA">
            <w:pPr>
              <w:jc w:val="center"/>
            </w:pPr>
            <w:r>
              <w:t>1.</w:t>
            </w:r>
          </w:p>
        </w:tc>
        <w:tc>
          <w:tcPr>
            <w:tcW w:w="6918" w:type="dxa"/>
            <w:tcBorders>
              <w:top w:val="single" w:sz="4" w:space="0" w:color="auto"/>
              <w:bottom w:val="single" w:sz="4" w:space="0" w:color="auto"/>
            </w:tcBorders>
          </w:tcPr>
          <w:p w14:paraId="4BB46E86" w14:textId="77777777" w:rsidR="006866BE" w:rsidRPr="00C267F1" w:rsidRDefault="006866BE" w:rsidP="005D3BFA">
            <w:pPr>
              <w:rPr>
                <w:rFonts w:cs="Calibri"/>
              </w:rPr>
            </w:pPr>
            <w:r w:rsidRPr="005173EF">
              <w:rPr>
                <w:rFonts w:cs="Calibri"/>
              </w:rPr>
              <w:t>A</w:t>
            </w:r>
            <w:r w:rsidRPr="00C267F1">
              <w:rPr>
                <w:rFonts w:cs="Calibri"/>
              </w:rPr>
              <w:t xml:space="preserve">udits are scheduled. </w:t>
            </w:r>
          </w:p>
          <w:p w14:paraId="6400E784" w14:textId="77777777" w:rsidR="006866BE" w:rsidRPr="00C267F1" w:rsidRDefault="006866BE" w:rsidP="005D3BFA">
            <w:pPr>
              <w:rPr>
                <w:rFonts w:cs="Calibri"/>
              </w:rPr>
            </w:pPr>
            <w:r w:rsidRPr="004C5D1A">
              <w:rPr>
                <w:b/>
                <w:bCs/>
              </w:rPr>
              <w:t>Note:</w:t>
            </w:r>
            <w:r w:rsidRPr="001D5327">
              <w:t xml:space="preserve"> AOs who avoid committing to an audit are failing to meet their obligations under plant export legislation </w:t>
            </w:r>
            <w:r>
              <w:t xml:space="preserve">and </w:t>
            </w:r>
            <w:r w:rsidRPr="001D5327">
              <w:t>may be referred to the Delegate and/or risk suspension or revocation.</w:t>
            </w:r>
          </w:p>
          <w:tbl>
            <w:tblPr>
              <w:tblW w:w="6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3476"/>
            </w:tblGrid>
            <w:tr w:rsidR="006866BE" w:rsidRPr="005173EF" w14:paraId="16452250" w14:textId="77777777" w:rsidTr="00A877AE">
              <w:trPr>
                <w:cantSplit/>
                <w:tblHeader/>
              </w:trPr>
              <w:tc>
                <w:tcPr>
                  <w:tcW w:w="2610" w:type="dxa"/>
                  <w:tcBorders>
                    <w:right w:val="single" w:sz="4" w:space="0" w:color="auto"/>
                  </w:tcBorders>
                  <w:shd w:val="clear" w:color="auto" w:fill="D9D9D9" w:themeFill="background1" w:themeFillShade="D9"/>
                </w:tcPr>
                <w:p w14:paraId="11BE8ED2" w14:textId="77777777" w:rsidR="006866BE" w:rsidRPr="00A877AE" w:rsidRDefault="006866BE" w:rsidP="005D3BFA">
                  <w:pPr>
                    <w:rPr>
                      <w:b/>
                    </w:rPr>
                  </w:pPr>
                  <w:r w:rsidRPr="00A877AE">
                    <w:rPr>
                      <w:b/>
                    </w:rPr>
                    <w:t>When the audit is to be…</w:t>
                  </w:r>
                </w:p>
              </w:tc>
              <w:tc>
                <w:tcPr>
                  <w:tcW w:w="3476" w:type="dxa"/>
                  <w:tcBorders>
                    <w:left w:val="single" w:sz="4" w:space="0" w:color="auto"/>
                  </w:tcBorders>
                  <w:shd w:val="clear" w:color="auto" w:fill="D9D9D9" w:themeFill="background1" w:themeFillShade="D9"/>
                </w:tcPr>
                <w:p w14:paraId="5679B5ED" w14:textId="77777777" w:rsidR="006866BE" w:rsidRPr="00A877AE" w:rsidRDefault="006866BE" w:rsidP="005D3BFA">
                  <w:pPr>
                    <w:rPr>
                      <w:b/>
                    </w:rPr>
                  </w:pPr>
                  <w:r w:rsidRPr="00A877AE">
                    <w:rPr>
                      <w:b/>
                    </w:rPr>
                    <w:t>Then…</w:t>
                  </w:r>
                </w:p>
              </w:tc>
            </w:tr>
            <w:tr w:rsidR="006866BE" w:rsidRPr="00350336" w14:paraId="1E80BBFC" w14:textId="77777777" w:rsidTr="00A877AE">
              <w:tc>
                <w:tcPr>
                  <w:tcW w:w="2610" w:type="dxa"/>
                  <w:shd w:val="clear" w:color="auto" w:fill="auto"/>
                </w:tcPr>
                <w:p w14:paraId="75420909" w14:textId="77777777" w:rsidR="006866BE" w:rsidRPr="00C267F1" w:rsidRDefault="006866BE" w:rsidP="005D3BFA">
                  <w:r w:rsidRPr="00C267F1">
                    <w:t>announced</w:t>
                  </w:r>
                </w:p>
              </w:tc>
              <w:tc>
                <w:tcPr>
                  <w:tcW w:w="3476" w:type="dxa"/>
                  <w:shd w:val="clear" w:color="auto" w:fill="auto"/>
                </w:tcPr>
                <w:p w14:paraId="19EC6F91" w14:textId="5841CBB8" w:rsidR="006866BE" w:rsidRPr="00C267F1" w:rsidRDefault="006866BE" w:rsidP="005D3BFA">
                  <w:pPr>
                    <w:pStyle w:val="ListBullet"/>
                  </w:pPr>
                  <w:r w:rsidRPr="00C267F1">
                    <w:t xml:space="preserve">the </w:t>
                  </w:r>
                  <w:r>
                    <w:t>AO</w:t>
                  </w:r>
                  <w:r w:rsidRPr="00C267F1">
                    <w:t xml:space="preserve"> is contacted to schedule the audit</w:t>
                  </w:r>
                </w:p>
              </w:tc>
            </w:tr>
            <w:tr w:rsidR="006866BE" w:rsidRPr="003E0AAD" w14:paraId="266F4B45" w14:textId="77777777" w:rsidTr="00A877AE">
              <w:tc>
                <w:tcPr>
                  <w:tcW w:w="2610" w:type="dxa"/>
                  <w:shd w:val="clear" w:color="auto" w:fill="auto"/>
                </w:tcPr>
                <w:p w14:paraId="4BB87B44" w14:textId="77777777" w:rsidR="006866BE" w:rsidRPr="00C267F1" w:rsidRDefault="006866BE" w:rsidP="005D3BFA">
                  <w:r w:rsidRPr="00C267F1">
                    <w:t>unannounced</w:t>
                  </w:r>
                </w:p>
              </w:tc>
              <w:tc>
                <w:tcPr>
                  <w:tcW w:w="3476" w:type="dxa"/>
                  <w:shd w:val="clear" w:color="auto" w:fill="auto"/>
                </w:tcPr>
                <w:p w14:paraId="4863598D" w14:textId="7B9C1D1F" w:rsidR="006866BE" w:rsidRPr="00C267F1" w:rsidRDefault="006866BE" w:rsidP="005D3BFA">
                  <w:pPr>
                    <w:pStyle w:val="ListBullet"/>
                  </w:pPr>
                  <w:r w:rsidRPr="00C267F1">
                    <w:t xml:space="preserve">the </w:t>
                  </w:r>
                  <w:r>
                    <w:t>AO</w:t>
                  </w:r>
                  <w:r w:rsidRPr="00C267F1">
                    <w:t xml:space="preserve"> is contacted with minimal </w:t>
                  </w:r>
                  <w:r>
                    <w:t xml:space="preserve">to no </w:t>
                  </w:r>
                  <w:r w:rsidRPr="00C267F1">
                    <w:t>notice.</w:t>
                  </w:r>
                </w:p>
              </w:tc>
            </w:tr>
          </w:tbl>
          <w:p w14:paraId="16A74FC4" w14:textId="1C4AB6CB" w:rsidR="006866BE" w:rsidRPr="001D5327" w:rsidRDefault="006866BE" w:rsidP="005D3BFA">
            <w:pPr>
              <w:pStyle w:val="BodyText"/>
              <w:rPr>
                <w:rFonts w:cs="Calibri"/>
              </w:rPr>
            </w:pPr>
          </w:p>
        </w:tc>
        <w:tc>
          <w:tcPr>
            <w:tcW w:w="1360" w:type="dxa"/>
            <w:tcBorders>
              <w:top w:val="single" w:sz="4" w:space="0" w:color="auto"/>
              <w:bottom w:val="single" w:sz="4" w:space="0" w:color="auto"/>
            </w:tcBorders>
          </w:tcPr>
          <w:p w14:paraId="2BABC06F" w14:textId="77777777" w:rsidR="006866BE" w:rsidRDefault="006866BE" w:rsidP="005D3BFA">
            <w:pPr>
              <w:pStyle w:val="ListBullet"/>
              <w:numPr>
                <w:ilvl w:val="0"/>
                <w:numId w:val="0"/>
              </w:numPr>
              <w:ind w:left="360" w:hanging="360"/>
            </w:pPr>
            <w:r>
              <w:t>Auditor</w:t>
            </w:r>
          </w:p>
          <w:p w14:paraId="77023EEF" w14:textId="77777777" w:rsidR="006866BE" w:rsidRDefault="006866BE" w:rsidP="005D3BFA">
            <w:pPr>
              <w:pStyle w:val="ListBullet"/>
              <w:numPr>
                <w:ilvl w:val="0"/>
                <w:numId w:val="0"/>
              </w:numPr>
              <w:ind w:left="360" w:hanging="360"/>
            </w:pPr>
          </w:p>
        </w:tc>
      </w:tr>
      <w:tr w:rsidR="006866BE" w14:paraId="2D9E51B7" w14:textId="77777777" w:rsidTr="00A877AE">
        <w:trPr>
          <w:cantSplit/>
          <w:trHeight w:val="716"/>
        </w:trPr>
        <w:tc>
          <w:tcPr>
            <w:tcW w:w="737" w:type="dxa"/>
            <w:tcBorders>
              <w:top w:val="single" w:sz="4" w:space="0" w:color="auto"/>
              <w:bottom w:val="single" w:sz="4" w:space="0" w:color="auto"/>
            </w:tcBorders>
          </w:tcPr>
          <w:p w14:paraId="128419E2" w14:textId="77777777" w:rsidR="006866BE" w:rsidRDefault="006866BE" w:rsidP="005D3BFA">
            <w:pPr>
              <w:jc w:val="center"/>
            </w:pPr>
            <w:r>
              <w:t>2.</w:t>
            </w:r>
          </w:p>
        </w:tc>
        <w:tc>
          <w:tcPr>
            <w:tcW w:w="6918" w:type="dxa"/>
            <w:tcBorders>
              <w:top w:val="single" w:sz="4" w:space="0" w:color="auto"/>
              <w:bottom w:val="single" w:sz="4" w:space="0" w:color="auto"/>
            </w:tcBorders>
          </w:tcPr>
          <w:p w14:paraId="70E1AFCA" w14:textId="565029A8" w:rsidR="006866BE" w:rsidRDefault="006866BE" w:rsidP="005D3BFA">
            <w:pPr>
              <w:rPr>
                <w:rFonts w:cs="Calibri"/>
              </w:rPr>
            </w:pPr>
            <w:r>
              <w:rPr>
                <w:rFonts w:cs="Calibri"/>
              </w:rPr>
              <w:t xml:space="preserve">An assessment is conducted on documentation </w:t>
            </w:r>
            <w:r w:rsidRPr="004B5610">
              <w:rPr>
                <w:rFonts w:cs="Calibri"/>
              </w:rPr>
              <w:t xml:space="preserve">associated with the job functions being audited. </w:t>
            </w:r>
            <w:r>
              <w:rPr>
                <w:rFonts w:cs="Calibri"/>
              </w:rPr>
              <w:t xml:space="preserve">The assessment may be conducted as a desk audit prior to the audit commencing or during the audit. </w:t>
            </w:r>
            <w:r w:rsidRPr="004B5610">
              <w:rPr>
                <w:rFonts w:cs="Calibri"/>
              </w:rPr>
              <w:t>Documents may include, but are not limited to:</w:t>
            </w:r>
          </w:p>
          <w:p w14:paraId="1D21DD88" w14:textId="29C69CC7" w:rsidR="006866BE" w:rsidRDefault="006866BE" w:rsidP="00A877AE">
            <w:pPr>
              <w:pStyle w:val="ListBullet"/>
            </w:pPr>
            <w:r>
              <w:t>completed inspection records</w:t>
            </w:r>
          </w:p>
          <w:p w14:paraId="373C7BB4" w14:textId="77777777" w:rsidR="006866BE" w:rsidRDefault="006866BE" w:rsidP="00A877AE">
            <w:pPr>
              <w:pStyle w:val="ListBullet"/>
            </w:pPr>
            <w:r>
              <w:t>Request for Permits (RFPs)</w:t>
            </w:r>
          </w:p>
          <w:p w14:paraId="2662854E" w14:textId="1D45EF6B" w:rsidR="006866BE" w:rsidRPr="00C77C3C" w:rsidRDefault="006866BE" w:rsidP="00A877AE">
            <w:pPr>
              <w:pStyle w:val="ListBullet"/>
            </w:pPr>
            <w:r>
              <w:t>supporting documentation.</w:t>
            </w:r>
          </w:p>
        </w:tc>
        <w:tc>
          <w:tcPr>
            <w:tcW w:w="1360" w:type="dxa"/>
            <w:tcBorders>
              <w:top w:val="single" w:sz="4" w:space="0" w:color="auto"/>
              <w:bottom w:val="single" w:sz="4" w:space="0" w:color="auto"/>
            </w:tcBorders>
          </w:tcPr>
          <w:p w14:paraId="2CA0BDCE" w14:textId="2ACA8D18" w:rsidR="006866BE" w:rsidRDefault="006866BE" w:rsidP="005D3BFA">
            <w:pPr>
              <w:pStyle w:val="ListBullet"/>
              <w:numPr>
                <w:ilvl w:val="0"/>
                <w:numId w:val="0"/>
              </w:numPr>
              <w:ind w:left="360" w:hanging="360"/>
            </w:pPr>
            <w:r>
              <w:t>Auditor</w:t>
            </w:r>
          </w:p>
        </w:tc>
      </w:tr>
      <w:tr w:rsidR="006866BE" w14:paraId="142AA9F1" w14:textId="77777777" w:rsidTr="00A877AE">
        <w:trPr>
          <w:cantSplit/>
          <w:trHeight w:val="1545"/>
        </w:trPr>
        <w:tc>
          <w:tcPr>
            <w:tcW w:w="737" w:type="dxa"/>
            <w:tcBorders>
              <w:top w:val="single" w:sz="4" w:space="0" w:color="auto"/>
              <w:bottom w:val="single" w:sz="4" w:space="0" w:color="auto"/>
            </w:tcBorders>
          </w:tcPr>
          <w:p w14:paraId="2DB1B711" w14:textId="77777777" w:rsidR="006866BE" w:rsidRDefault="006866BE" w:rsidP="005D3BFA">
            <w:pPr>
              <w:jc w:val="center"/>
            </w:pPr>
            <w:r>
              <w:t>3.</w:t>
            </w:r>
          </w:p>
        </w:tc>
        <w:tc>
          <w:tcPr>
            <w:tcW w:w="6918" w:type="dxa"/>
            <w:tcBorders>
              <w:top w:val="single" w:sz="4" w:space="0" w:color="auto"/>
              <w:bottom w:val="single" w:sz="4" w:space="0" w:color="auto"/>
            </w:tcBorders>
          </w:tcPr>
          <w:p w14:paraId="15C8DBFF" w14:textId="3793A5F0" w:rsidR="006866BE" w:rsidRDefault="006866BE" w:rsidP="005D3BFA">
            <w:r>
              <w:rPr>
                <w:rFonts w:cs="Calibri"/>
              </w:rPr>
              <w:t xml:space="preserve">An entry meeting is conducted by the auditor with the AO prior to the commencement of the audit, that outlines the objectives, scope and process of the </w:t>
            </w:r>
            <w:r w:rsidRPr="003F056E">
              <w:rPr>
                <w:rFonts w:cs="Calibri"/>
              </w:rPr>
              <w:t xml:space="preserve">audit </w:t>
            </w:r>
            <w:r w:rsidRPr="003F056E">
              <w:t xml:space="preserve">and </w:t>
            </w:r>
            <w:r w:rsidRPr="004B5610">
              <w:t xml:space="preserve">to confirm the audit activities to be undertaken (for example, whether the audit is a compliance or demonstration </w:t>
            </w:r>
            <w:proofErr w:type="gramStart"/>
            <w:r w:rsidRPr="003F056E">
              <w:t>audit</w:t>
            </w:r>
            <w:proofErr w:type="gramEnd"/>
            <w:r w:rsidRPr="004B5610">
              <w:t xml:space="preserve"> and which job functions are included)</w:t>
            </w:r>
            <w:r w:rsidRPr="003F056E">
              <w:t>.</w:t>
            </w:r>
          </w:p>
          <w:p w14:paraId="31D962B2" w14:textId="77777777" w:rsidR="006866BE" w:rsidRPr="003F056E" w:rsidRDefault="006866BE" w:rsidP="005D3BFA">
            <w:pPr>
              <w:rPr>
                <w:rFonts w:cs="Calibri"/>
              </w:rPr>
            </w:pPr>
          </w:p>
        </w:tc>
        <w:tc>
          <w:tcPr>
            <w:tcW w:w="1360" w:type="dxa"/>
            <w:tcBorders>
              <w:top w:val="single" w:sz="4" w:space="0" w:color="auto"/>
              <w:bottom w:val="single" w:sz="4" w:space="0" w:color="auto"/>
            </w:tcBorders>
          </w:tcPr>
          <w:p w14:paraId="7BAC1BDB" w14:textId="77777777" w:rsidR="006866BE" w:rsidRDefault="006866BE" w:rsidP="005D3BFA">
            <w:pPr>
              <w:pStyle w:val="ListBullet"/>
            </w:pPr>
            <w:r>
              <w:t>AO</w:t>
            </w:r>
          </w:p>
          <w:p w14:paraId="14B58E8E" w14:textId="77777777" w:rsidR="006866BE" w:rsidRDefault="006866BE" w:rsidP="005D3BFA">
            <w:pPr>
              <w:pStyle w:val="ListBullet"/>
            </w:pPr>
            <w:r>
              <w:t xml:space="preserve">Auditor </w:t>
            </w:r>
          </w:p>
        </w:tc>
      </w:tr>
      <w:tr w:rsidR="006866BE" w14:paraId="3CBD776E" w14:textId="77777777" w:rsidTr="00A877AE">
        <w:trPr>
          <w:cantSplit/>
          <w:trHeight w:val="716"/>
        </w:trPr>
        <w:tc>
          <w:tcPr>
            <w:tcW w:w="737" w:type="dxa"/>
            <w:tcBorders>
              <w:top w:val="single" w:sz="4" w:space="0" w:color="auto"/>
              <w:bottom w:val="single" w:sz="4" w:space="0" w:color="auto"/>
            </w:tcBorders>
          </w:tcPr>
          <w:p w14:paraId="58CAC5C1" w14:textId="2FE99678" w:rsidR="006866BE" w:rsidRDefault="006866BE" w:rsidP="005D3BFA">
            <w:pPr>
              <w:jc w:val="center"/>
            </w:pPr>
            <w:r>
              <w:lastRenderedPageBreak/>
              <w:t>4.</w:t>
            </w:r>
          </w:p>
        </w:tc>
        <w:tc>
          <w:tcPr>
            <w:tcW w:w="6918" w:type="dxa"/>
            <w:tcBorders>
              <w:top w:val="single" w:sz="4" w:space="0" w:color="auto"/>
              <w:bottom w:val="single" w:sz="4" w:space="0" w:color="auto"/>
            </w:tcBorders>
          </w:tcPr>
          <w:p w14:paraId="6C643778" w14:textId="31290879" w:rsidR="006866BE" w:rsidRPr="0081017D" w:rsidRDefault="006866BE" w:rsidP="005D3BFA">
            <w:pPr>
              <w:rPr>
                <w:b/>
                <w:bCs/>
              </w:rPr>
            </w:pPr>
            <w:r>
              <w:t>The auditor</w:t>
            </w:r>
            <w:r w:rsidRPr="00FA4EBB">
              <w:t xml:space="preserve"> assess</w:t>
            </w:r>
            <w:r>
              <w:t>es the AO</w:t>
            </w:r>
            <w:r w:rsidRPr="00FA4EBB">
              <w:t xml:space="preserve"> against </w:t>
            </w:r>
            <w:r>
              <w:t xml:space="preserve">each </w:t>
            </w:r>
            <w:r w:rsidRPr="00FA4EBB">
              <w:t>relevant performance standard</w:t>
            </w:r>
            <w:r>
              <w:t xml:space="preserve"> sub-elements. </w:t>
            </w:r>
            <w:r>
              <w:rPr>
                <w:rFonts w:cs="Calibri"/>
              </w:rPr>
              <w:t>The AO provides the auditor with copies of any requested documentations as per the relevant performance standards.</w:t>
            </w:r>
          </w:p>
          <w:tbl>
            <w:tblPr>
              <w:tblpPr w:leftFromText="180" w:rightFromText="180" w:vertAnchor="text" w:horzAnchor="margin"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60"/>
            </w:tblGrid>
            <w:tr w:rsidR="006866BE" w:rsidRPr="003E0AAD" w14:paraId="08BC7432" w14:textId="77777777" w:rsidTr="00A877AE">
              <w:trPr>
                <w:cantSplit/>
                <w:tblHeader/>
              </w:trPr>
              <w:tc>
                <w:tcPr>
                  <w:tcW w:w="3114" w:type="dxa"/>
                  <w:tcBorders>
                    <w:right w:val="single" w:sz="4" w:space="0" w:color="auto"/>
                  </w:tcBorders>
                  <w:shd w:val="clear" w:color="auto" w:fill="D9D9D9" w:themeFill="background1" w:themeFillShade="D9"/>
                </w:tcPr>
                <w:p w14:paraId="5BB0EAF5" w14:textId="77777777" w:rsidR="006866BE" w:rsidRPr="00A877AE" w:rsidRDefault="006866BE" w:rsidP="005D3BFA">
                  <w:pPr>
                    <w:rPr>
                      <w:b/>
                    </w:rPr>
                  </w:pPr>
                  <w:r w:rsidRPr="00A877AE">
                    <w:rPr>
                      <w:b/>
                    </w:rPr>
                    <w:t>When the AO…</w:t>
                  </w:r>
                </w:p>
              </w:tc>
              <w:tc>
                <w:tcPr>
                  <w:tcW w:w="3260" w:type="dxa"/>
                  <w:tcBorders>
                    <w:left w:val="single" w:sz="4" w:space="0" w:color="auto"/>
                  </w:tcBorders>
                  <w:shd w:val="clear" w:color="auto" w:fill="D9D9D9" w:themeFill="background1" w:themeFillShade="D9"/>
                </w:tcPr>
                <w:p w14:paraId="2D32964B" w14:textId="77777777" w:rsidR="006866BE" w:rsidRPr="00A877AE" w:rsidRDefault="006866BE" w:rsidP="005D3BFA">
                  <w:pPr>
                    <w:rPr>
                      <w:b/>
                    </w:rPr>
                  </w:pPr>
                  <w:r w:rsidRPr="00A877AE">
                    <w:rPr>
                      <w:b/>
                    </w:rPr>
                    <w:t>Then…</w:t>
                  </w:r>
                </w:p>
              </w:tc>
            </w:tr>
            <w:tr w:rsidR="006866BE" w:rsidRPr="003E0AAD" w14:paraId="35084651" w14:textId="77777777" w:rsidTr="00A877AE">
              <w:tc>
                <w:tcPr>
                  <w:tcW w:w="3114" w:type="dxa"/>
                  <w:shd w:val="clear" w:color="auto" w:fill="auto"/>
                </w:tcPr>
                <w:p w14:paraId="40C25770" w14:textId="446A3DAA" w:rsidR="006866BE" w:rsidRPr="003E0AAD" w:rsidRDefault="006866BE" w:rsidP="005D3BFA">
                  <w:r w:rsidRPr="003E0AAD">
                    <w:t xml:space="preserve">meets the </w:t>
                  </w:r>
                  <w:r>
                    <w:t>performance standard sub-element</w:t>
                  </w:r>
                </w:p>
              </w:tc>
              <w:tc>
                <w:tcPr>
                  <w:tcW w:w="3260" w:type="dxa"/>
                  <w:shd w:val="clear" w:color="auto" w:fill="auto"/>
                </w:tcPr>
                <w:p w14:paraId="7AA14325" w14:textId="3FE5A4D2" w:rsidR="006866BE" w:rsidRPr="003E0AAD" w:rsidRDefault="006866BE" w:rsidP="005D3BFA">
                  <w:pPr>
                    <w:pStyle w:val="ListBullet"/>
                  </w:pPr>
                  <w:r w:rsidRPr="003E0AAD">
                    <w:t xml:space="preserve">the </w:t>
                  </w:r>
                  <w:r>
                    <w:t xml:space="preserve">sub-element is </w:t>
                  </w:r>
                  <w:r w:rsidRPr="003E0AAD">
                    <w:t>rated as ‘compliant’ (C)</w:t>
                  </w:r>
                </w:p>
                <w:p w14:paraId="02348CC0" w14:textId="2277153A" w:rsidR="006866BE" w:rsidRPr="003E0AAD" w:rsidRDefault="006866BE" w:rsidP="005D3BFA">
                  <w:pPr>
                    <w:pStyle w:val="ListBullet"/>
                  </w:pPr>
                  <w:r w:rsidRPr="003E0AAD">
                    <w:t>evidence is recorded that supports the rating</w:t>
                  </w:r>
                  <w:r>
                    <w:t>.</w:t>
                  </w:r>
                </w:p>
              </w:tc>
            </w:tr>
            <w:tr w:rsidR="006866BE" w:rsidRPr="003E0AAD" w14:paraId="63C56274" w14:textId="77777777" w:rsidTr="00A877AE">
              <w:tc>
                <w:tcPr>
                  <w:tcW w:w="3114" w:type="dxa"/>
                  <w:shd w:val="clear" w:color="auto" w:fill="auto"/>
                </w:tcPr>
                <w:p w14:paraId="197E5D7C" w14:textId="640BCF6C" w:rsidR="006866BE" w:rsidRPr="003E0AAD" w:rsidRDefault="006866BE" w:rsidP="005D3BFA">
                  <w:r w:rsidRPr="003E0AAD">
                    <w:t xml:space="preserve">does not meet the </w:t>
                  </w:r>
                  <w:r>
                    <w:t>performance standard sub-element</w:t>
                  </w:r>
                </w:p>
              </w:tc>
              <w:tc>
                <w:tcPr>
                  <w:tcW w:w="3260" w:type="dxa"/>
                  <w:shd w:val="clear" w:color="auto" w:fill="auto"/>
                </w:tcPr>
                <w:p w14:paraId="1FD5102D" w14:textId="34213F72" w:rsidR="006866BE" w:rsidRPr="003E0AAD" w:rsidRDefault="006866BE" w:rsidP="005D3BFA">
                  <w:pPr>
                    <w:pStyle w:val="ListBullet"/>
                  </w:pPr>
                  <w:r w:rsidRPr="003E0AAD">
                    <w:t>the</w:t>
                  </w:r>
                  <w:r>
                    <w:t xml:space="preserve"> relevant</w:t>
                  </w:r>
                  <w:r w:rsidRPr="003E0AAD">
                    <w:t xml:space="preserve"> </w:t>
                  </w:r>
                  <w:r>
                    <w:t>sub-element</w:t>
                  </w:r>
                  <w:r w:rsidRPr="003E0AAD">
                    <w:t xml:space="preserve"> is rated as ‘non-compliant’ (NC)</w:t>
                  </w:r>
                </w:p>
                <w:p w14:paraId="4BDA55AE" w14:textId="77777777" w:rsidR="006866BE" w:rsidRPr="003E0AAD" w:rsidRDefault="006866BE" w:rsidP="005D3BFA">
                  <w:pPr>
                    <w:pStyle w:val="ListBullet"/>
                  </w:pPr>
                  <w:r w:rsidRPr="003E0AAD">
                    <w:t>evidence is recorded that supports the non</w:t>
                  </w:r>
                  <w:r w:rsidRPr="003E0AAD">
                    <w:noBreakHyphen/>
                    <w:t>compliance</w:t>
                  </w:r>
                </w:p>
                <w:p w14:paraId="691B9F91" w14:textId="3F917673" w:rsidR="006866BE" w:rsidRPr="003E0AAD" w:rsidRDefault="006866BE" w:rsidP="005D3BFA">
                  <w:pPr>
                    <w:pStyle w:val="ListBullet"/>
                  </w:pPr>
                  <w:r w:rsidRPr="003E0AAD">
                    <w:t>a non-compliance rating is assigned</w:t>
                  </w:r>
                  <w:r>
                    <w:t xml:space="preserve"> by the auditor.</w:t>
                  </w:r>
                </w:p>
              </w:tc>
            </w:tr>
            <w:tr w:rsidR="006866BE" w:rsidRPr="003E0AAD" w14:paraId="715D128C" w14:textId="77777777" w:rsidTr="00A877AE">
              <w:tc>
                <w:tcPr>
                  <w:tcW w:w="3114" w:type="dxa"/>
                  <w:shd w:val="clear" w:color="auto" w:fill="auto"/>
                </w:tcPr>
                <w:p w14:paraId="21071B8E" w14:textId="1836D233" w:rsidR="006866BE" w:rsidRPr="003E0AAD" w:rsidRDefault="006866BE" w:rsidP="005D3BFA">
                  <w:r>
                    <w:t xml:space="preserve">is not appointed in a job function that relates to the performance standard (for example, </w:t>
                  </w:r>
                  <w:r w:rsidRPr="0084544D">
                    <w:rPr>
                      <w:rFonts w:cs="Calibri"/>
                    </w:rPr>
                    <w:t>a</w:t>
                  </w:r>
                  <w:r>
                    <w:rPr>
                      <w:rFonts w:cs="Calibri"/>
                    </w:rPr>
                    <w:t xml:space="preserve"> sub-</w:t>
                  </w:r>
                  <w:r w:rsidRPr="0084544D">
                    <w:rPr>
                      <w:rFonts w:cs="Calibri"/>
                    </w:rPr>
                    <w:t xml:space="preserve"> </w:t>
                  </w:r>
                  <w:r>
                    <w:rPr>
                      <w:rFonts w:cs="Calibri"/>
                    </w:rPr>
                    <w:t>element</w:t>
                  </w:r>
                  <w:r w:rsidRPr="0084544D">
                    <w:rPr>
                      <w:rFonts w:cs="Calibri"/>
                    </w:rPr>
                    <w:t xml:space="preserve"> </w:t>
                  </w:r>
                  <w:r>
                    <w:rPr>
                      <w:rFonts w:cs="Calibri"/>
                    </w:rPr>
                    <w:t>that</w:t>
                  </w:r>
                  <w:r w:rsidRPr="0084544D">
                    <w:rPr>
                      <w:rFonts w:cs="Calibri"/>
                    </w:rPr>
                    <w:t xml:space="preserve"> applies to the inspection of bulk vessels where an AO is not appointed for the inspection of bulk vessels</w:t>
                  </w:r>
                  <w:r>
                    <w:rPr>
                      <w:rFonts w:cs="Calibri"/>
                    </w:rPr>
                    <w:t>)</w:t>
                  </w:r>
                </w:p>
              </w:tc>
              <w:tc>
                <w:tcPr>
                  <w:tcW w:w="3260" w:type="dxa"/>
                  <w:shd w:val="clear" w:color="auto" w:fill="auto"/>
                </w:tcPr>
                <w:p w14:paraId="54E1B156" w14:textId="27D229C8" w:rsidR="006866BE" w:rsidRPr="003E0AAD" w:rsidRDefault="006866BE" w:rsidP="005D3BFA">
                  <w:pPr>
                    <w:pStyle w:val="ListBullet"/>
                  </w:pPr>
                  <w:r>
                    <w:t>the sub-element is rated as ‘not applicable’ (N/A)</w:t>
                  </w:r>
                </w:p>
              </w:tc>
            </w:tr>
          </w:tbl>
          <w:p w14:paraId="2412B616" w14:textId="77777777" w:rsidR="006866BE" w:rsidRDefault="006866BE" w:rsidP="005D3BFA">
            <w:pPr>
              <w:rPr>
                <w:rFonts w:cs="Calibri"/>
              </w:rPr>
            </w:pPr>
          </w:p>
        </w:tc>
        <w:tc>
          <w:tcPr>
            <w:tcW w:w="1360" w:type="dxa"/>
            <w:tcBorders>
              <w:top w:val="single" w:sz="4" w:space="0" w:color="auto"/>
              <w:bottom w:val="single" w:sz="4" w:space="0" w:color="auto"/>
            </w:tcBorders>
          </w:tcPr>
          <w:p w14:paraId="7CE01CCA" w14:textId="77777777" w:rsidR="006866BE" w:rsidRDefault="006866BE" w:rsidP="005D3BFA">
            <w:pPr>
              <w:rPr>
                <w:spacing w:val="-1"/>
              </w:rPr>
            </w:pPr>
            <w:r>
              <w:rPr>
                <w:spacing w:val="-1"/>
              </w:rPr>
              <w:t>Auditor</w:t>
            </w:r>
          </w:p>
        </w:tc>
      </w:tr>
      <w:tr w:rsidR="006866BE" w14:paraId="050D7AC0" w14:textId="77777777" w:rsidTr="00A877AE">
        <w:trPr>
          <w:cantSplit/>
          <w:trHeight w:val="70"/>
        </w:trPr>
        <w:tc>
          <w:tcPr>
            <w:tcW w:w="737" w:type="dxa"/>
            <w:tcBorders>
              <w:top w:val="single" w:sz="4" w:space="0" w:color="auto"/>
              <w:bottom w:val="single" w:sz="4" w:space="0" w:color="auto"/>
            </w:tcBorders>
          </w:tcPr>
          <w:p w14:paraId="4B9B8F27" w14:textId="153F23B0" w:rsidR="006866BE" w:rsidRDefault="006866BE" w:rsidP="005D3BFA">
            <w:pPr>
              <w:jc w:val="center"/>
            </w:pPr>
            <w:r>
              <w:lastRenderedPageBreak/>
              <w:t>5.</w:t>
            </w:r>
          </w:p>
        </w:tc>
        <w:tc>
          <w:tcPr>
            <w:tcW w:w="6918" w:type="dxa"/>
            <w:tcBorders>
              <w:top w:val="single" w:sz="4" w:space="0" w:color="auto"/>
              <w:bottom w:val="single" w:sz="4" w:space="0" w:color="auto"/>
            </w:tcBorders>
          </w:tcPr>
          <w:p w14:paraId="05BF5326" w14:textId="77777777" w:rsidR="006866BE" w:rsidRDefault="006866BE" w:rsidP="005D3BFA">
            <w:pPr>
              <w:rPr>
                <w:rFonts w:cs="Calibri"/>
              </w:rPr>
            </w:pPr>
            <w:r>
              <w:rPr>
                <w:rFonts w:cs="Calibri"/>
              </w:rPr>
              <w:t>An exit meeting is conducted by the auditor with the AO to present the audit findings including identified non-compliances and further actions required.</w:t>
            </w:r>
          </w:p>
          <w:p w14:paraId="5A43CED9" w14:textId="4DC69212" w:rsidR="006866BE" w:rsidRDefault="006866BE" w:rsidP="005D3BFA">
            <w:pPr>
              <w:rPr>
                <w:rFonts w:cs="Calibri"/>
              </w:rPr>
            </w:pPr>
            <w:r>
              <w:rPr>
                <w:rFonts w:cs="Calibri"/>
                <w:b/>
                <w:bCs/>
              </w:rPr>
              <w:t xml:space="preserve">Note: </w:t>
            </w:r>
            <w:r>
              <w:rPr>
                <w:rFonts w:cs="Calibri"/>
              </w:rPr>
              <w:t>Where several non-compliances are identified, the auditor can defer the issuance of non-compliances and associated ratings until further consideration has been sought by the AAB delegate.</w:t>
            </w:r>
          </w:p>
          <w:tbl>
            <w:tblPr>
              <w:tblStyle w:val="TableGrid"/>
              <w:tblW w:w="0" w:type="auto"/>
              <w:tblLook w:val="04A0" w:firstRow="1" w:lastRow="0" w:firstColumn="1" w:lastColumn="0" w:noHBand="0" w:noVBand="1"/>
            </w:tblPr>
            <w:tblGrid>
              <w:gridCol w:w="1423"/>
              <w:gridCol w:w="993"/>
              <w:gridCol w:w="4252"/>
            </w:tblGrid>
            <w:tr w:rsidR="006866BE" w14:paraId="59BEEE0E" w14:textId="77777777" w:rsidTr="005D3BFA">
              <w:tc>
                <w:tcPr>
                  <w:tcW w:w="1423" w:type="dxa"/>
                  <w:shd w:val="clear" w:color="auto" w:fill="D9D9D9" w:themeFill="background1" w:themeFillShade="D9"/>
                </w:tcPr>
                <w:p w14:paraId="766338DD" w14:textId="77777777" w:rsidR="006866BE" w:rsidRPr="00A877AE" w:rsidRDefault="006866BE" w:rsidP="005D3BFA">
                  <w:pPr>
                    <w:rPr>
                      <w:rFonts w:cs="Calibri"/>
                      <w:b/>
                      <w:bCs/>
                    </w:rPr>
                  </w:pPr>
                  <w:r w:rsidRPr="00A877AE">
                    <w:rPr>
                      <w:b/>
                      <w:bCs/>
                    </w:rPr>
                    <w:t>When non-compliances are…</w:t>
                  </w:r>
                </w:p>
              </w:tc>
              <w:tc>
                <w:tcPr>
                  <w:tcW w:w="993" w:type="dxa"/>
                  <w:shd w:val="clear" w:color="auto" w:fill="D9D9D9" w:themeFill="background1" w:themeFillShade="D9"/>
                </w:tcPr>
                <w:p w14:paraId="578974EA" w14:textId="77777777" w:rsidR="006866BE" w:rsidRPr="00A877AE" w:rsidRDefault="006866BE" w:rsidP="005D3BFA">
                  <w:pPr>
                    <w:rPr>
                      <w:rFonts w:cs="Calibri"/>
                      <w:b/>
                      <w:bCs/>
                    </w:rPr>
                  </w:pPr>
                  <w:r w:rsidRPr="00A877AE">
                    <w:rPr>
                      <w:rFonts w:cs="Calibri"/>
                      <w:b/>
                      <w:bCs/>
                    </w:rPr>
                    <w:t>And are rated as…</w:t>
                  </w:r>
                </w:p>
              </w:tc>
              <w:tc>
                <w:tcPr>
                  <w:tcW w:w="4252" w:type="dxa"/>
                  <w:shd w:val="clear" w:color="auto" w:fill="D9D9D9" w:themeFill="background1" w:themeFillShade="D9"/>
                </w:tcPr>
                <w:p w14:paraId="4F570DF2" w14:textId="77777777" w:rsidR="006866BE" w:rsidRPr="00A877AE" w:rsidRDefault="006866BE" w:rsidP="005D3BFA">
                  <w:pPr>
                    <w:rPr>
                      <w:rFonts w:cs="Calibri"/>
                      <w:b/>
                      <w:bCs/>
                    </w:rPr>
                  </w:pPr>
                  <w:r w:rsidRPr="00A877AE">
                    <w:rPr>
                      <w:rFonts w:cs="Calibri"/>
                      <w:b/>
                      <w:bCs/>
                    </w:rPr>
                    <w:t>Then…</w:t>
                  </w:r>
                </w:p>
              </w:tc>
            </w:tr>
            <w:tr w:rsidR="006866BE" w14:paraId="626D4121" w14:textId="77777777" w:rsidTr="00A877AE">
              <w:tc>
                <w:tcPr>
                  <w:tcW w:w="1423" w:type="dxa"/>
                </w:tcPr>
                <w:p w14:paraId="0CBF7391" w14:textId="77777777" w:rsidR="006866BE" w:rsidRDefault="006866BE" w:rsidP="005D3BFA">
                  <w:pPr>
                    <w:rPr>
                      <w:rFonts w:cs="Calibri"/>
                    </w:rPr>
                  </w:pPr>
                  <w:r>
                    <w:rPr>
                      <w:rFonts w:cs="Calibri"/>
                    </w:rPr>
                    <w:t>not identified</w:t>
                  </w:r>
                </w:p>
              </w:tc>
              <w:tc>
                <w:tcPr>
                  <w:tcW w:w="993" w:type="dxa"/>
                </w:tcPr>
                <w:p w14:paraId="27C14B68" w14:textId="77777777" w:rsidR="006866BE" w:rsidRDefault="006866BE" w:rsidP="005D3BFA">
                  <w:pPr>
                    <w:rPr>
                      <w:rFonts w:cs="Calibri"/>
                    </w:rPr>
                  </w:pPr>
                  <w:r>
                    <w:rPr>
                      <w:rFonts w:cs="Calibri"/>
                    </w:rPr>
                    <w:t>N/A</w:t>
                  </w:r>
                </w:p>
              </w:tc>
              <w:tc>
                <w:tcPr>
                  <w:tcW w:w="4252" w:type="dxa"/>
                </w:tcPr>
                <w:p w14:paraId="3D76A46E" w14:textId="77777777" w:rsidR="006866BE" w:rsidRDefault="006866BE" w:rsidP="005D3BFA">
                  <w:pPr>
                    <w:pStyle w:val="ListBullet"/>
                  </w:pPr>
                  <w:r>
                    <w:t xml:space="preserve">the AO is compliant </w:t>
                  </w:r>
                </w:p>
                <w:p w14:paraId="0B8EED07" w14:textId="77777777" w:rsidR="006866BE" w:rsidRDefault="006866BE" w:rsidP="005D3BFA">
                  <w:pPr>
                    <w:pStyle w:val="ListBullet"/>
                  </w:pPr>
                  <w:r>
                    <w:t xml:space="preserve">an audit report is issued to the AO within 10 business days </w:t>
                  </w:r>
                </w:p>
                <w:p w14:paraId="0527C996" w14:textId="77777777" w:rsidR="006866BE" w:rsidRPr="00A877AE" w:rsidRDefault="006866BE" w:rsidP="00A877AE">
                  <w:pPr>
                    <w:pStyle w:val="ListBullet"/>
                    <w:rPr>
                      <w:rFonts w:cs="Calibri"/>
                      <w:b/>
                      <w:bCs/>
                    </w:rPr>
                  </w:pPr>
                  <w:r w:rsidRPr="00A877AE">
                    <w:rPr>
                      <w:b/>
                      <w:bCs/>
                    </w:rPr>
                    <w:t>process ends here.</w:t>
                  </w:r>
                </w:p>
              </w:tc>
            </w:tr>
            <w:tr w:rsidR="006866BE" w14:paraId="2FA44D7E" w14:textId="77777777" w:rsidTr="00A877AE">
              <w:tc>
                <w:tcPr>
                  <w:tcW w:w="1423" w:type="dxa"/>
                  <w:vMerge w:val="restart"/>
                  <w:vAlign w:val="center"/>
                </w:tcPr>
                <w:p w14:paraId="14686D53" w14:textId="77777777" w:rsidR="006866BE" w:rsidRDefault="006866BE" w:rsidP="005D3BFA">
                  <w:pPr>
                    <w:rPr>
                      <w:rFonts w:cs="Calibri"/>
                    </w:rPr>
                  </w:pPr>
                  <w:r>
                    <w:rPr>
                      <w:rFonts w:cs="Calibri"/>
                    </w:rPr>
                    <w:t>identified</w:t>
                  </w:r>
                </w:p>
              </w:tc>
              <w:tc>
                <w:tcPr>
                  <w:tcW w:w="993" w:type="dxa"/>
                </w:tcPr>
                <w:p w14:paraId="0536D6EF" w14:textId="77777777" w:rsidR="006866BE" w:rsidRDefault="006866BE" w:rsidP="005D3BFA">
                  <w:pPr>
                    <w:rPr>
                      <w:rFonts w:cs="Calibri"/>
                    </w:rPr>
                  </w:pPr>
                  <w:r>
                    <w:rPr>
                      <w:rFonts w:cs="Calibri"/>
                    </w:rPr>
                    <w:t>major or minor</w:t>
                  </w:r>
                </w:p>
              </w:tc>
              <w:tc>
                <w:tcPr>
                  <w:tcW w:w="4252" w:type="dxa"/>
                </w:tcPr>
                <w:p w14:paraId="23E030C5" w14:textId="77777777" w:rsidR="006866BE" w:rsidRDefault="006866BE" w:rsidP="005D3BFA">
                  <w:pPr>
                    <w:pStyle w:val="ListBullet"/>
                  </w:pPr>
                  <w:r>
                    <w:t>the AO is not compliant</w:t>
                  </w:r>
                </w:p>
                <w:p w14:paraId="6ABBB3E8" w14:textId="77777777" w:rsidR="006866BE" w:rsidRDefault="006866BE" w:rsidP="005D3BFA">
                  <w:pPr>
                    <w:pStyle w:val="ListBullet"/>
                  </w:pPr>
                  <w:r w:rsidRPr="006568F1">
                    <w:t xml:space="preserve">a </w:t>
                  </w:r>
                  <w:r>
                    <w:t xml:space="preserve">non-compliance notice </w:t>
                  </w:r>
                  <w:r w:rsidRPr="006568F1">
                    <w:t>is issued</w:t>
                  </w:r>
                  <w:r>
                    <w:t xml:space="preserve"> to the AO</w:t>
                  </w:r>
                </w:p>
                <w:p w14:paraId="3DF1A9EB" w14:textId="77777777" w:rsidR="006866BE" w:rsidRDefault="006866BE" w:rsidP="005D3BFA">
                  <w:pPr>
                    <w:pStyle w:val="ListBullet"/>
                  </w:pPr>
                  <w:r>
                    <w:t>a</w:t>
                  </w:r>
                  <w:r w:rsidRPr="0033076E">
                    <w:t xml:space="preserve"> timeframe for </w:t>
                  </w:r>
                  <w:r>
                    <w:t>review of</w:t>
                  </w:r>
                  <w:r w:rsidRPr="0033076E">
                    <w:t xml:space="preserve"> </w:t>
                  </w:r>
                  <w:r>
                    <w:t>the</w:t>
                  </w:r>
                  <w:r w:rsidRPr="0033076E">
                    <w:t xml:space="preserve"> </w:t>
                  </w:r>
                  <w:r>
                    <w:t>non-compliance notice</w:t>
                  </w:r>
                  <w:r w:rsidRPr="0033076E">
                    <w:t xml:space="preserve"> </w:t>
                  </w:r>
                  <w:r>
                    <w:t>is given</w:t>
                  </w:r>
                </w:p>
                <w:p w14:paraId="7B105FA7" w14:textId="77777777" w:rsidR="006866BE" w:rsidRPr="003E0AAD" w:rsidRDefault="006866BE" w:rsidP="005D3BFA">
                  <w:pPr>
                    <w:pStyle w:val="ListBullet"/>
                  </w:pPr>
                  <w:r w:rsidRPr="003E0AAD">
                    <w:t>an assessment is made against the compliance matrix</w:t>
                  </w:r>
                  <w:r>
                    <w:t xml:space="preserve"> to determine the audit result</w:t>
                  </w:r>
                </w:p>
                <w:p w14:paraId="3E328E37" w14:textId="77777777" w:rsidR="006866BE" w:rsidRDefault="006866BE" w:rsidP="005D3BFA">
                  <w:pPr>
                    <w:pStyle w:val="ListBullet"/>
                  </w:pPr>
                  <w:r>
                    <w:t xml:space="preserve">an audit report is issued to the AO within 10 business days </w:t>
                  </w:r>
                </w:p>
                <w:p w14:paraId="3486BA42" w14:textId="77777777" w:rsidR="006866BE" w:rsidRPr="00A877AE" w:rsidRDefault="006866BE" w:rsidP="00A877AE">
                  <w:pPr>
                    <w:pStyle w:val="ListBullet"/>
                    <w:rPr>
                      <w:rFonts w:cs="Calibri"/>
                      <w:b/>
                      <w:bCs/>
                    </w:rPr>
                  </w:pPr>
                  <w:r w:rsidRPr="00A877AE">
                    <w:rPr>
                      <w:b/>
                      <w:bCs/>
                    </w:rPr>
                    <w:t>continue to Stage 6.</w:t>
                  </w:r>
                </w:p>
              </w:tc>
            </w:tr>
            <w:tr w:rsidR="006866BE" w14:paraId="58F20D42" w14:textId="77777777" w:rsidTr="00A877AE">
              <w:tc>
                <w:tcPr>
                  <w:tcW w:w="1423" w:type="dxa"/>
                  <w:vMerge/>
                </w:tcPr>
                <w:p w14:paraId="4D3DBA9B" w14:textId="77777777" w:rsidR="006866BE" w:rsidRDefault="006866BE" w:rsidP="005D3BFA">
                  <w:pPr>
                    <w:rPr>
                      <w:rFonts w:cs="Calibri"/>
                    </w:rPr>
                  </w:pPr>
                </w:p>
              </w:tc>
              <w:tc>
                <w:tcPr>
                  <w:tcW w:w="993" w:type="dxa"/>
                </w:tcPr>
                <w:p w14:paraId="542CB25C" w14:textId="77777777" w:rsidR="006866BE" w:rsidRDefault="006866BE" w:rsidP="005D3BFA">
                  <w:pPr>
                    <w:rPr>
                      <w:rFonts w:cs="Calibri"/>
                    </w:rPr>
                  </w:pPr>
                  <w:r>
                    <w:rPr>
                      <w:rFonts w:cs="Calibri"/>
                    </w:rPr>
                    <w:t>critical</w:t>
                  </w:r>
                </w:p>
              </w:tc>
              <w:tc>
                <w:tcPr>
                  <w:tcW w:w="4252" w:type="dxa"/>
                </w:tcPr>
                <w:p w14:paraId="51C35C65" w14:textId="77777777" w:rsidR="006866BE" w:rsidRDefault="006866BE" w:rsidP="005D3BFA">
                  <w:pPr>
                    <w:pStyle w:val="ListBullet"/>
                  </w:pPr>
                  <w:r>
                    <w:t>the AO is not compliant</w:t>
                  </w:r>
                </w:p>
                <w:p w14:paraId="4EBC7AE3" w14:textId="77777777" w:rsidR="006866BE" w:rsidRDefault="006866BE" w:rsidP="005D3BFA">
                  <w:pPr>
                    <w:pStyle w:val="ListBullet"/>
                  </w:pPr>
                  <w:r w:rsidRPr="006568F1">
                    <w:t xml:space="preserve">a </w:t>
                  </w:r>
                  <w:r>
                    <w:t xml:space="preserve">non-compliance notice </w:t>
                  </w:r>
                  <w:r w:rsidRPr="006568F1">
                    <w:t>is issued</w:t>
                  </w:r>
                  <w:r>
                    <w:t xml:space="preserve"> to the AO</w:t>
                  </w:r>
                </w:p>
                <w:p w14:paraId="2FC33B65" w14:textId="77777777" w:rsidR="006866BE" w:rsidRPr="006568F1" w:rsidRDefault="006866BE" w:rsidP="005D3BFA">
                  <w:pPr>
                    <w:pStyle w:val="ListBullet"/>
                  </w:pPr>
                  <w:r>
                    <w:t>an assessment is made against the compliance matrix to determine the audit result</w:t>
                  </w:r>
                </w:p>
                <w:p w14:paraId="6FCA5EDD" w14:textId="77777777" w:rsidR="006866BE" w:rsidRDefault="006866BE" w:rsidP="005D3BFA">
                  <w:pPr>
                    <w:pStyle w:val="ListBullet"/>
                  </w:pPr>
                  <w:r>
                    <w:t>an audit report is issued to the AO within 10 business days</w:t>
                  </w:r>
                </w:p>
                <w:p w14:paraId="41A647EF" w14:textId="77777777" w:rsidR="006866BE" w:rsidRPr="001D5327" w:rsidRDefault="006866BE" w:rsidP="005D3BFA">
                  <w:pPr>
                    <w:pStyle w:val="ListBullet"/>
                  </w:pPr>
                  <w:r>
                    <w:t>the non-compliance is referred to the AAB delegate by the auditor to</w:t>
                  </w:r>
                  <w:r w:rsidRPr="007F672A">
                    <w:t xml:space="preserve"> determine </w:t>
                  </w:r>
                  <w:r w:rsidRPr="001D5327">
                    <w:t xml:space="preserve">how to escalate </w:t>
                  </w:r>
                  <w:r>
                    <w:t xml:space="preserve">and review </w:t>
                  </w:r>
                  <w:r w:rsidRPr="001D5327">
                    <w:t xml:space="preserve">the </w:t>
                  </w:r>
                  <w:r>
                    <w:t>non-compliance</w:t>
                  </w:r>
                </w:p>
                <w:p w14:paraId="23227B36" w14:textId="77777777" w:rsidR="006866BE" w:rsidRPr="00F21373" w:rsidRDefault="006866BE" w:rsidP="005D3BFA">
                  <w:pPr>
                    <w:pStyle w:val="ListBullet"/>
                    <w:rPr>
                      <w:rFonts w:cs="Segoe UI"/>
                      <w:i/>
                      <w:color w:val="0000FF"/>
                      <w:u w:val="single"/>
                      <w:lang w:val="en"/>
                    </w:rPr>
                  </w:pPr>
                  <w:r w:rsidRPr="000941B1">
                    <w:rPr>
                      <w:rFonts w:cs="Segoe UI"/>
                      <w:b/>
                      <w:bCs/>
                      <w:color w:val="000000"/>
                      <w:lang w:val="en"/>
                    </w:rPr>
                    <w:t>refer to</w:t>
                  </w:r>
                  <w:r w:rsidRPr="003E0AAD">
                    <w:rPr>
                      <w:rFonts w:cs="Segoe UI"/>
                      <w:color w:val="000000"/>
                      <w:lang w:val="en"/>
                    </w:rPr>
                    <w:t xml:space="preserve"> ‘</w:t>
                  </w:r>
                  <w:r w:rsidRPr="0099511C">
                    <w:rPr>
                      <w:rFonts w:cs="Segoe UI"/>
                      <w:color w:val="000000"/>
                      <w:lang w:val="en"/>
                    </w:rPr>
                    <w:t xml:space="preserve">Variations, suspensions and revocations of </w:t>
                  </w:r>
                  <w:r w:rsidRPr="00F21373">
                    <w:rPr>
                      <w:rFonts w:cs="Segoe UI"/>
                      <w:color w:val="000000"/>
                      <w:lang w:val="en"/>
                    </w:rPr>
                    <w:t xml:space="preserve">appointment’ in the </w:t>
                  </w:r>
                  <w:hyperlink w:anchor="_Related_material" w:history="1">
                    <w:r>
                      <w:t>Exports Policy</w:t>
                    </w:r>
                    <w:r w:rsidRPr="00F21373">
                      <w:t xml:space="preserve">: </w:t>
                    </w:r>
                    <w:r w:rsidRPr="00FE0D9E">
                      <w:rPr>
                        <w:rStyle w:val="Hyperlink"/>
                        <w:i/>
                      </w:rPr>
                      <w:t xml:space="preserve">Management of third-party plant exports authorised officers </w:t>
                    </w:r>
                  </w:hyperlink>
                  <w:r w:rsidRPr="00F21373">
                    <w:rPr>
                      <w:rFonts w:cs="Segoe UI"/>
                      <w:i/>
                      <w:color w:val="000000"/>
                      <w:lang w:val="en"/>
                    </w:rPr>
                    <w:t xml:space="preserve"> </w:t>
                  </w:r>
                </w:p>
                <w:p w14:paraId="7CDD82DB" w14:textId="77777777" w:rsidR="006866BE" w:rsidRPr="00A877AE" w:rsidRDefault="006866BE" w:rsidP="00A877AE">
                  <w:pPr>
                    <w:pStyle w:val="ListBullet"/>
                    <w:rPr>
                      <w:rFonts w:cs="Calibri"/>
                      <w:b/>
                      <w:bCs/>
                    </w:rPr>
                  </w:pPr>
                  <w:r w:rsidRPr="00A877AE">
                    <w:rPr>
                      <w:b/>
                      <w:bCs/>
                    </w:rPr>
                    <w:t>process ends here.</w:t>
                  </w:r>
                </w:p>
              </w:tc>
            </w:tr>
          </w:tbl>
          <w:p w14:paraId="05CE071B" w14:textId="7DD0C686" w:rsidR="006866BE" w:rsidRPr="00890B51" w:rsidRDefault="006866BE" w:rsidP="005D3BFA"/>
        </w:tc>
        <w:tc>
          <w:tcPr>
            <w:tcW w:w="1360" w:type="dxa"/>
            <w:tcBorders>
              <w:top w:val="single" w:sz="4" w:space="0" w:color="auto"/>
              <w:bottom w:val="single" w:sz="4" w:space="0" w:color="auto"/>
            </w:tcBorders>
          </w:tcPr>
          <w:p w14:paraId="4BF340FE" w14:textId="77777777" w:rsidR="006866BE" w:rsidRDefault="006866BE" w:rsidP="005D3BFA">
            <w:pPr>
              <w:pStyle w:val="ListBullet"/>
            </w:pPr>
            <w:r>
              <w:t>AO</w:t>
            </w:r>
          </w:p>
          <w:p w14:paraId="4E11343A" w14:textId="77777777" w:rsidR="006866BE" w:rsidRPr="002524BE" w:rsidRDefault="006866BE" w:rsidP="005D3BFA">
            <w:pPr>
              <w:pStyle w:val="ListBullet"/>
            </w:pPr>
            <w:r>
              <w:t>Auditor</w:t>
            </w:r>
          </w:p>
        </w:tc>
      </w:tr>
      <w:tr w:rsidR="006866BE" w14:paraId="110073D3" w14:textId="77777777" w:rsidTr="00A877AE">
        <w:trPr>
          <w:cantSplit/>
          <w:trHeight w:val="750"/>
        </w:trPr>
        <w:tc>
          <w:tcPr>
            <w:tcW w:w="737" w:type="dxa"/>
            <w:tcBorders>
              <w:top w:val="single" w:sz="4" w:space="0" w:color="auto"/>
              <w:bottom w:val="single" w:sz="4" w:space="0" w:color="auto"/>
            </w:tcBorders>
          </w:tcPr>
          <w:p w14:paraId="712ADDE1" w14:textId="03169782" w:rsidR="006866BE" w:rsidRPr="00633E14" w:rsidRDefault="006866BE" w:rsidP="005D3BFA">
            <w:pPr>
              <w:jc w:val="center"/>
            </w:pPr>
            <w:r>
              <w:lastRenderedPageBreak/>
              <w:t>6.</w:t>
            </w:r>
          </w:p>
        </w:tc>
        <w:tc>
          <w:tcPr>
            <w:tcW w:w="6918" w:type="dxa"/>
            <w:tcBorders>
              <w:top w:val="single" w:sz="4" w:space="0" w:color="auto"/>
              <w:bottom w:val="single" w:sz="4" w:space="0" w:color="auto"/>
            </w:tcBorders>
          </w:tcPr>
          <w:p w14:paraId="148F018B" w14:textId="18FB5EF8" w:rsidR="006866BE" w:rsidRDefault="006866BE" w:rsidP="005D3BFA">
            <w:pPr>
              <w:rPr>
                <w:rFonts w:cs="Calibri"/>
              </w:rPr>
            </w:pPr>
            <w:r>
              <w:rPr>
                <w:rFonts w:cs="Calibri"/>
              </w:rPr>
              <w:t xml:space="preserve"> Evidence of compliance is provided to the auditor by the AO by the review date.</w:t>
            </w:r>
          </w:p>
        </w:tc>
        <w:tc>
          <w:tcPr>
            <w:tcW w:w="1360" w:type="dxa"/>
            <w:tcBorders>
              <w:top w:val="single" w:sz="4" w:space="0" w:color="auto"/>
              <w:bottom w:val="single" w:sz="4" w:space="0" w:color="auto"/>
            </w:tcBorders>
          </w:tcPr>
          <w:p w14:paraId="4D3AEE43" w14:textId="77777777" w:rsidR="006866BE" w:rsidRDefault="006866BE" w:rsidP="005D3BFA">
            <w:pPr>
              <w:rPr>
                <w:spacing w:val="-1"/>
              </w:rPr>
            </w:pPr>
            <w:r>
              <w:rPr>
                <w:spacing w:val="-1"/>
              </w:rPr>
              <w:t>AO</w:t>
            </w:r>
          </w:p>
          <w:p w14:paraId="68D36617" w14:textId="77777777" w:rsidR="006866BE" w:rsidRPr="00A56CA5" w:rsidRDefault="006866BE" w:rsidP="005D3BFA">
            <w:pPr>
              <w:rPr>
                <w:spacing w:val="-1"/>
              </w:rPr>
            </w:pPr>
          </w:p>
        </w:tc>
      </w:tr>
      <w:tr w:rsidR="006866BE" w14:paraId="778FC0E3" w14:textId="77777777" w:rsidTr="00A877AE">
        <w:trPr>
          <w:cantSplit/>
          <w:trHeight w:val="5727"/>
        </w:trPr>
        <w:tc>
          <w:tcPr>
            <w:tcW w:w="737" w:type="dxa"/>
            <w:tcBorders>
              <w:top w:val="single" w:sz="4" w:space="0" w:color="auto"/>
              <w:bottom w:val="single" w:sz="4" w:space="0" w:color="auto"/>
            </w:tcBorders>
          </w:tcPr>
          <w:p w14:paraId="5968159B" w14:textId="3A126435" w:rsidR="006866BE" w:rsidRDefault="006866BE" w:rsidP="005D3BFA">
            <w:pPr>
              <w:jc w:val="center"/>
            </w:pPr>
            <w:r>
              <w:t>7.</w:t>
            </w:r>
          </w:p>
        </w:tc>
        <w:tc>
          <w:tcPr>
            <w:tcW w:w="6918" w:type="dxa"/>
            <w:tcBorders>
              <w:top w:val="single" w:sz="4" w:space="0" w:color="auto"/>
              <w:bottom w:val="single" w:sz="4" w:space="0" w:color="auto"/>
            </w:tcBorders>
          </w:tcPr>
          <w:p w14:paraId="08CF33ED" w14:textId="1C60C50D" w:rsidR="006866BE" w:rsidRDefault="006866BE" w:rsidP="005D3BFA">
            <w:pPr>
              <w:rPr>
                <w:rFonts w:cs="Calibri"/>
              </w:rPr>
            </w:pPr>
            <w:r>
              <w:rPr>
                <w:rFonts w:cs="Calibri"/>
              </w:rPr>
              <w:t xml:space="preserve"> The non-compliance is reviewed by the auditor against the evidence provided by the AO.</w:t>
            </w:r>
          </w:p>
          <w:p w14:paraId="3FD72BF4" w14:textId="5F86617D" w:rsidR="006866BE" w:rsidRDefault="00247FBF" w:rsidP="005D3BFA">
            <w:pPr>
              <w:rPr>
                <w:rFonts w:cs="Calibri"/>
              </w:rPr>
            </w:pPr>
            <w:r>
              <w:rPr>
                <w:b/>
                <w:bCs/>
              </w:rPr>
              <w:t>Note:</w:t>
            </w:r>
            <w:r>
              <w:t xml:space="preserve"> Evidence may be gathered via a follow-up visit to the AO or, where appropriat</w:t>
            </w:r>
            <w:r w:rsidR="006866BE" w:rsidRPr="003E0AAD">
              <w:t xml:space="preserve">e, assessed and determined remotely (for example, the </w:t>
            </w:r>
            <w:r w:rsidR="006866BE">
              <w:t>AO</w:t>
            </w:r>
            <w:r w:rsidR="006866BE" w:rsidRPr="003E0AAD">
              <w:t xml:space="preserve"> may email evidence of their </w:t>
            </w:r>
            <w:r w:rsidR="006866BE">
              <w:t>rectification activities</w:t>
            </w:r>
            <w:r w:rsidR="006866BE" w:rsidRPr="003E0AAD">
              <w:t>).</w:t>
            </w:r>
          </w:p>
          <w:tbl>
            <w:tblPr>
              <w:tblpPr w:leftFromText="180" w:rightFromText="180" w:vertAnchor="text" w:horzAnchor="margin"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402"/>
            </w:tblGrid>
            <w:tr w:rsidR="006866BE" w14:paraId="402139AE" w14:textId="77777777" w:rsidTr="00A877AE">
              <w:trPr>
                <w:cantSplit/>
                <w:tblHeader/>
              </w:trPr>
              <w:tc>
                <w:tcPr>
                  <w:tcW w:w="3256" w:type="dxa"/>
                  <w:tcBorders>
                    <w:right w:val="single" w:sz="4" w:space="0" w:color="auto"/>
                  </w:tcBorders>
                  <w:shd w:val="clear" w:color="auto" w:fill="D9D9D9" w:themeFill="background1" w:themeFillShade="D9"/>
                </w:tcPr>
                <w:p w14:paraId="3CBE0536" w14:textId="77777777" w:rsidR="006866BE" w:rsidRPr="00A877AE" w:rsidRDefault="006866BE" w:rsidP="005D3BFA">
                  <w:pPr>
                    <w:pStyle w:val="Tableheadings"/>
                    <w:rPr>
                      <w:color w:val="auto"/>
                    </w:rPr>
                  </w:pPr>
                  <w:r w:rsidRPr="00A877AE">
                    <w:rPr>
                      <w:color w:val="auto"/>
                    </w:rPr>
                    <w:t>When the evidence provided is…</w:t>
                  </w:r>
                </w:p>
              </w:tc>
              <w:tc>
                <w:tcPr>
                  <w:tcW w:w="3402" w:type="dxa"/>
                  <w:tcBorders>
                    <w:left w:val="single" w:sz="4" w:space="0" w:color="auto"/>
                  </w:tcBorders>
                  <w:shd w:val="clear" w:color="auto" w:fill="D9D9D9" w:themeFill="background1" w:themeFillShade="D9"/>
                </w:tcPr>
                <w:p w14:paraId="60DAACBA" w14:textId="21D61434" w:rsidR="006866BE" w:rsidRPr="00A877AE" w:rsidRDefault="006866BE" w:rsidP="005D3BFA">
                  <w:pPr>
                    <w:pStyle w:val="Tableheadings"/>
                    <w:rPr>
                      <w:color w:val="auto"/>
                    </w:rPr>
                  </w:pPr>
                  <w:r w:rsidRPr="00A877AE">
                    <w:rPr>
                      <w:color w:val="auto"/>
                    </w:rPr>
                    <w:t>Then …</w:t>
                  </w:r>
                </w:p>
              </w:tc>
            </w:tr>
            <w:tr w:rsidR="006866BE" w14:paraId="4E42018E" w14:textId="77777777" w:rsidTr="00A877AE">
              <w:tc>
                <w:tcPr>
                  <w:tcW w:w="3256" w:type="dxa"/>
                  <w:shd w:val="clear" w:color="auto" w:fill="auto"/>
                </w:tcPr>
                <w:p w14:paraId="55AEA772" w14:textId="77777777" w:rsidR="006866BE" w:rsidRDefault="006866BE" w:rsidP="00A877AE">
                  <w:pPr>
                    <w:pStyle w:val="ListParagraph"/>
                    <w:numPr>
                      <w:ilvl w:val="0"/>
                      <w:numId w:val="96"/>
                    </w:numPr>
                  </w:pPr>
                  <w:r>
                    <w:t xml:space="preserve">satisfactory </w:t>
                  </w:r>
                </w:p>
                <w:p w14:paraId="285A9516" w14:textId="77777777" w:rsidR="006866BE" w:rsidRDefault="006866BE" w:rsidP="00A877AE">
                  <w:pPr>
                    <w:ind w:left="360"/>
                  </w:pPr>
                  <w:r>
                    <w:t xml:space="preserve">and </w:t>
                  </w:r>
                </w:p>
                <w:p w14:paraId="36162A36" w14:textId="77777777" w:rsidR="006866BE" w:rsidRDefault="006866BE" w:rsidP="00A877AE">
                  <w:pPr>
                    <w:pStyle w:val="ListBullet"/>
                  </w:pPr>
                  <w:r>
                    <w:t>provided within the required timeframe</w:t>
                  </w:r>
                </w:p>
              </w:tc>
              <w:tc>
                <w:tcPr>
                  <w:tcW w:w="3402" w:type="dxa"/>
                  <w:shd w:val="clear" w:color="auto" w:fill="auto"/>
                </w:tcPr>
                <w:p w14:paraId="0B5E1C75" w14:textId="6D38EE2B" w:rsidR="006866BE" w:rsidRDefault="006866BE" w:rsidP="005D3BFA">
                  <w:pPr>
                    <w:pStyle w:val="ListBullet"/>
                    <w:numPr>
                      <w:ilvl w:val="0"/>
                      <w:numId w:val="96"/>
                    </w:numPr>
                  </w:pPr>
                  <w:r>
                    <w:t>the AO is deemed compliant</w:t>
                  </w:r>
                </w:p>
                <w:p w14:paraId="347668E1" w14:textId="77777777" w:rsidR="006866BE" w:rsidRDefault="006866BE" w:rsidP="005D3BFA">
                  <w:pPr>
                    <w:pStyle w:val="ListBullet"/>
                    <w:numPr>
                      <w:ilvl w:val="0"/>
                      <w:numId w:val="96"/>
                    </w:numPr>
                  </w:pPr>
                  <w:r>
                    <w:t>t</w:t>
                  </w:r>
                  <w:r w:rsidRPr="00A669F7">
                    <w:t xml:space="preserve">he non-compliance notice is re-issued with a return to compliance result </w:t>
                  </w:r>
                </w:p>
                <w:p w14:paraId="3DA2584E" w14:textId="77777777" w:rsidR="006866BE" w:rsidRPr="00A877AE" w:rsidRDefault="006866BE" w:rsidP="005D3BFA">
                  <w:pPr>
                    <w:pStyle w:val="ListBullet"/>
                    <w:numPr>
                      <w:ilvl w:val="0"/>
                      <w:numId w:val="96"/>
                    </w:numPr>
                    <w:rPr>
                      <w:b/>
                      <w:bCs/>
                    </w:rPr>
                  </w:pPr>
                  <w:r w:rsidRPr="00A877AE">
                    <w:rPr>
                      <w:b/>
                      <w:bCs/>
                    </w:rPr>
                    <w:t>process ends here.</w:t>
                  </w:r>
                </w:p>
                <w:p w14:paraId="2FBBAF54" w14:textId="59151AB4" w:rsidR="006866BE" w:rsidRPr="002814B5" w:rsidRDefault="006866BE" w:rsidP="00A877AE">
                  <w:pPr>
                    <w:pStyle w:val="ListBullet"/>
                    <w:numPr>
                      <w:ilvl w:val="0"/>
                      <w:numId w:val="0"/>
                    </w:numPr>
                    <w:rPr>
                      <w:b/>
                    </w:rPr>
                  </w:pPr>
                </w:p>
              </w:tc>
            </w:tr>
            <w:tr w:rsidR="006866BE" w14:paraId="3F511D82" w14:textId="77777777" w:rsidTr="00A877AE">
              <w:tc>
                <w:tcPr>
                  <w:tcW w:w="3256" w:type="dxa"/>
                  <w:shd w:val="clear" w:color="auto" w:fill="auto"/>
                </w:tcPr>
                <w:p w14:paraId="55428ED5" w14:textId="77777777" w:rsidR="006866BE" w:rsidRDefault="006866BE" w:rsidP="005D3BFA">
                  <w:pPr>
                    <w:pStyle w:val="ListBullet"/>
                  </w:pPr>
                  <w:r>
                    <w:t xml:space="preserve">not satisfactory </w:t>
                  </w:r>
                </w:p>
                <w:p w14:paraId="756E70F2" w14:textId="77777777" w:rsidR="006866BE" w:rsidRDefault="006866BE" w:rsidP="00A877AE">
                  <w:pPr>
                    <w:pStyle w:val="ListBullet"/>
                    <w:numPr>
                      <w:ilvl w:val="0"/>
                      <w:numId w:val="0"/>
                    </w:numPr>
                    <w:ind w:left="360"/>
                  </w:pPr>
                  <w:r>
                    <w:t xml:space="preserve">or </w:t>
                  </w:r>
                </w:p>
                <w:p w14:paraId="28EFDF83" w14:textId="19AE4F93" w:rsidR="006866BE" w:rsidRDefault="006866BE" w:rsidP="005D3BFA">
                  <w:pPr>
                    <w:pStyle w:val="ListBullet"/>
                  </w:pPr>
                  <w:r>
                    <w:t>not provided within the required timeframe</w:t>
                  </w:r>
                </w:p>
              </w:tc>
              <w:tc>
                <w:tcPr>
                  <w:tcW w:w="3402" w:type="dxa"/>
                  <w:shd w:val="clear" w:color="auto" w:fill="auto"/>
                </w:tcPr>
                <w:p w14:paraId="155E7823" w14:textId="176EE9BD" w:rsidR="006866BE" w:rsidRDefault="006866BE" w:rsidP="005D3BFA">
                  <w:pPr>
                    <w:pStyle w:val="ListBullet"/>
                  </w:pPr>
                  <w:r w:rsidRPr="00A669F7">
                    <w:t>remains open</w:t>
                  </w:r>
                  <w:r>
                    <w:t xml:space="preserve"> with further action required</w:t>
                  </w:r>
                </w:p>
                <w:p w14:paraId="64339E7F" w14:textId="77777777" w:rsidR="006866BE" w:rsidRPr="00A669F7" w:rsidRDefault="006866BE" w:rsidP="00A877AE">
                  <w:pPr>
                    <w:pStyle w:val="ListBullet"/>
                    <w:numPr>
                      <w:ilvl w:val="0"/>
                      <w:numId w:val="0"/>
                    </w:numPr>
                  </w:pPr>
                  <w:r>
                    <w:t xml:space="preserve">       or</w:t>
                  </w:r>
                </w:p>
                <w:p w14:paraId="2B54486D" w14:textId="2EC371B7" w:rsidR="006866BE" w:rsidRPr="00D67D33" w:rsidRDefault="006866BE" w:rsidP="005D3BFA">
                  <w:pPr>
                    <w:pStyle w:val="ListBullet"/>
                    <w:rPr>
                      <w:b/>
                    </w:rPr>
                  </w:pPr>
                  <w:r w:rsidRPr="00D67D33">
                    <w:rPr>
                      <w:b/>
                    </w:rPr>
                    <w:t xml:space="preserve">continue to Stage </w:t>
                  </w:r>
                  <w:r>
                    <w:rPr>
                      <w:b/>
                    </w:rPr>
                    <w:t>8.</w:t>
                  </w:r>
                </w:p>
                <w:p w14:paraId="5B6B52B7" w14:textId="77777777" w:rsidR="006866BE" w:rsidRPr="00B740FE" w:rsidRDefault="006866BE" w:rsidP="005D3BFA"/>
              </w:tc>
            </w:tr>
          </w:tbl>
          <w:p w14:paraId="25E5D4B4" w14:textId="0B3B52F5" w:rsidR="006866BE" w:rsidRDefault="006866BE" w:rsidP="005D3BFA">
            <w:pPr>
              <w:rPr>
                <w:rFonts w:cs="Calibri"/>
              </w:rPr>
            </w:pPr>
          </w:p>
        </w:tc>
        <w:tc>
          <w:tcPr>
            <w:tcW w:w="1360" w:type="dxa"/>
            <w:tcBorders>
              <w:top w:val="single" w:sz="4" w:space="0" w:color="auto"/>
              <w:bottom w:val="single" w:sz="4" w:space="0" w:color="auto"/>
            </w:tcBorders>
          </w:tcPr>
          <w:p w14:paraId="7D1DB403" w14:textId="77777777" w:rsidR="006866BE" w:rsidRPr="00A56CA5" w:rsidRDefault="006866BE" w:rsidP="005D3BFA">
            <w:pPr>
              <w:rPr>
                <w:spacing w:val="-1"/>
              </w:rPr>
            </w:pPr>
            <w:r w:rsidRPr="00A56CA5">
              <w:rPr>
                <w:spacing w:val="-1"/>
              </w:rPr>
              <w:t>Auditor</w:t>
            </w:r>
          </w:p>
        </w:tc>
      </w:tr>
      <w:tr w:rsidR="006866BE" w14:paraId="7EC2FCF2" w14:textId="77777777" w:rsidTr="00A877AE">
        <w:trPr>
          <w:cantSplit/>
          <w:trHeight w:val="4578"/>
        </w:trPr>
        <w:tc>
          <w:tcPr>
            <w:tcW w:w="737" w:type="dxa"/>
            <w:tcBorders>
              <w:top w:val="single" w:sz="4" w:space="0" w:color="auto"/>
              <w:bottom w:val="single" w:sz="4" w:space="0" w:color="auto"/>
            </w:tcBorders>
          </w:tcPr>
          <w:p w14:paraId="60E7B096" w14:textId="7DEA2A96" w:rsidR="006866BE" w:rsidRDefault="006866BE" w:rsidP="005D3BFA">
            <w:pPr>
              <w:jc w:val="center"/>
            </w:pPr>
            <w:r>
              <w:t>8.</w:t>
            </w:r>
          </w:p>
        </w:tc>
        <w:tc>
          <w:tcPr>
            <w:tcW w:w="6918" w:type="dxa"/>
            <w:tcBorders>
              <w:top w:val="single" w:sz="4" w:space="0" w:color="auto"/>
              <w:bottom w:val="single" w:sz="4" w:space="0" w:color="auto"/>
            </w:tcBorders>
          </w:tcPr>
          <w:p w14:paraId="336E4887" w14:textId="4DECF708" w:rsidR="006866BE" w:rsidRDefault="006866BE" w:rsidP="005D3BFA">
            <w:pPr>
              <w:rPr>
                <w:rFonts w:cs="Calibri"/>
              </w:rPr>
            </w:pPr>
            <w:r w:rsidRPr="00A144EA">
              <w:rPr>
                <w:rFonts w:cs="Calibri"/>
              </w:rPr>
              <w:t xml:space="preserve">The auditor determines whether to grant an extension to </w:t>
            </w:r>
            <w:r>
              <w:rPr>
                <w:rFonts w:cs="Calibri"/>
              </w:rPr>
              <w:t>address</w:t>
            </w:r>
            <w:r w:rsidRPr="00A144EA">
              <w:rPr>
                <w:rFonts w:cs="Calibri"/>
              </w:rPr>
              <w:t xml:space="preserve"> the </w:t>
            </w:r>
            <w:r>
              <w:t>non-compliance notice</w:t>
            </w:r>
            <w:r w:rsidRPr="00A144EA">
              <w:rPr>
                <w:rFonts w:cs="Calibri"/>
              </w:rPr>
              <w:t>.</w:t>
            </w:r>
          </w:p>
          <w:tbl>
            <w:tblPr>
              <w:tblpPr w:leftFromText="180" w:rightFromText="180" w:vertAnchor="text" w:horzAnchor="margin"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3"/>
              <w:gridCol w:w="3961"/>
            </w:tblGrid>
            <w:tr w:rsidR="006866BE" w:rsidRPr="003E0AAD" w14:paraId="0377849F" w14:textId="77777777" w:rsidTr="00A877AE">
              <w:trPr>
                <w:cantSplit/>
                <w:tblHeader/>
              </w:trPr>
              <w:tc>
                <w:tcPr>
                  <w:tcW w:w="2413" w:type="dxa"/>
                  <w:tcBorders>
                    <w:right w:val="single" w:sz="4" w:space="0" w:color="auto"/>
                  </w:tcBorders>
                  <w:shd w:val="clear" w:color="auto" w:fill="D9D9D9" w:themeFill="background1" w:themeFillShade="D9"/>
                </w:tcPr>
                <w:p w14:paraId="28E13B4F" w14:textId="77777777" w:rsidR="006866BE" w:rsidRPr="00A877AE" w:rsidRDefault="006866BE" w:rsidP="005D3BFA">
                  <w:pPr>
                    <w:rPr>
                      <w:b/>
                    </w:rPr>
                  </w:pPr>
                  <w:r w:rsidRPr="00A877AE">
                    <w:rPr>
                      <w:b/>
                    </w:rPr>
                    <w:t>When an extension is…</w:t>
                  </w:r>
                </w:p>
              </w:tc>
              <w:tc>
                <w:tcPr>
                  <w:tcW w:w="3961" w:type="dxa"/>
                  <w:tcBorders>
                    <w:left w:val="single" w:sz="4" w:space="0" w:color="auto"/>
                  </w:tcBorders>
                  <w:shd w:val="clear" w:color="auto" w:fill="D9D9D9" w:themeFill="background1" w:themeFillShade="D9"/>
                </w:tcPr>
                <w:p w14:paraId="63AD1E7D" w14:textId="77777777" w:rsidR="006866BE" w:rsidRPr="00A877AE" w:rsidRDefault="006866BE" w:rsidP="005D3BFA">
                  <w:pPr>
                    <w:rPr>
                      <w:b/>
                    </w:rPr>
                  </w:pPr>
                  <w:r w:rsidRPr="00A877AE">
                    <w:rPr>
                      <w:b/>
                    </w:rPr>
                    <w:t>Then…</w:t>
                  </w:r>
                </w:p>
              </w:tc>
            </w:tr>
            <w:tr w:rsidR="006866BE" w:rsidRPr="003E0AAD" w14:paraId="71CFCD31" w14:textId="77777777" w:rsidTr="00A877AE">
              <w:tc>
                <w:tcPr>
                  <w:tcW w:w="2413" w:type="dxa"/>
                  <w:shd w:val="clear" w:color="auto" w:fill="auto"/>
                </w:tcPr>
                <w:p w14:paraId="1B2767C2" w14:textId="77777777" w:rsidR="006866BE" w:rsidRPr="003E0AAD" w:rsidRDefault="006866BE" w:rsidP="005D3BFA">
                  <w:r w:rsidRPr="003E0AAD">
                    <w:t>granted</w:t>
                  </w:r>
                </w:p>
              </w:tc>
              <w:tc>
                <w:tcPr>
                  <w:tcW w:w="3961" w:type="dxa"/>
                  <w:shd w:val="clear" w:color="auto" w:fill="auto"/>
                </w:tcPr>
                <w:p w14:paraId="51C44675" w14:textId="16CDBEFB" w:rsidR="006866BE" w:rsidRPr="003E0AAD" w:rsidRDefault="006866BE" w:rsidP="005D3BFA">
                  <w:r w:rsidRPr="003E0AAD">
                    <w:t xml:space="preserve">return </w:t>
                  </w:r>
                  <w:r w:rsidRPr="003D1D07">
                    <w:t xml:space="preserve">to </w:t>
                  </w:r>
                  <w:r w:rsidRPr="003D1D07">
                    <w:rPr>
                      <w:b/>
                    </w:rPr>
                    <w:t xml:space="preserve">Stage </w:t>
                  </w:r>
                  <w:r>
                    <w:rPr>
                      <w:b/>
                    </w:rPr>
                    <w:t>6</w:t>
                  </w:r>
                  <w:r w:rsidRPr="003D1D07">
                    <w:t>.</w:t>
                  </w:r>
                </w:p>
              </w:tc>
            </w:tr>
            <w:tr w:rsidR="006866BE" w:rsidRPr="003E0AAD" w14:paraId="44B50DEE" w14:textId="77777777" w:rsidTr="00A877AE">
              <w:tc>
                <w:tcPr>
                  <w:tcW w:w="2413" w:type="dxa"/>
                  <w:shd w:val="clear" w:color="auto" w:fill="auto"/>
                </w:tcPr>
                <w:p w14:paraId="4BFFD712" w14:textId="77777777" w:rsidR="006866BE" w:rsidRPr="003E0AAD" w:rsidRDefault="006866BE" w:rsidP="005D3BFA">
                  <w:pPr>
                    <w:spacing w:after="60"/>
                    <w:rPr>
                      <w:rFonts w:eastAsia="Times New Roman"/>
                      <w:szCs w:val="24"/>
                    </w:rPr>
                  </w:pPr>
                  <w:r w:rsidRPr="003E0AAD">
                    <w:rPr>
                      <w:rFonts w:eastAsia="Times New Roman"/>
                      <w:szCs w:val="24"/>
                    </w:rPr>
                    <w:t>not granted</w:t>
                  </w:r>
                </w:p>
                <w:p w14:paraId="30EABA90" w14:textId="77777777" w:rsidR="006866BE" w:rsidRPr="003E0AAD" w:rsidRDefault="006866BE" w:rsidP="005D3BFA"/>
                <w:p w14:paraId="3803E4CE" w14:textId="77777777" w:rsidR="006866BE" w:rsidRPr="003E0AAD" w:rsidRDefault="006866BE" w:rsidP="005D3BFA">
                  <w:pPr>
                    <w:ind w:left="360"/>
                    <w:rPr>
                      <w:rFonts w:eastAsia="Times New Roman"/>
                      <w:szCs w:val="24"/>
                    </w:rPr>
                  </w:pPr>
                </w:p>
              </w:tc>
              <w:tc>
                <w:tcPr>
                  <w:tcW w:w="3961" w:type="dxa"/>
                  <w:shd w:val="clear" w:color="auto" w:fill="auto"/>
                </w:tcPr>
                <w:p w14:paraId="086D790C" w14:textId="418FCC76" w:rsidR="006866BE" w:rsidRPr="00A877AE" w:rsidRDefault="006866BE" w:rsidP="005D3BFA">
                  <w:pPr>
                    <w:pStyle w:val="ListBullet"/>
                  </w:pPr>
                  <w:r w:rsidRPr="003E0AAD">
                    <w:t xml:space="preserve">it is referred to </w:t>
                  </w:r>
                  <w:r>
                    <w:t>the AAB delegate by the auditor</w:t>
                  </w:r>
                  <w:r w:rsidRPr="003E0AAD">
                    <w:t xml:space="preserve"> </w:t>
                  </w:r>
                  <w:r>
                    <w:t>to</w:t>
                  </w:r>
                  <w:r w:rsidRPr="003E0AAD">
                    <w:t xml:space="preserve"> determine </w:t>
                  </w:r>
                  <w:r w:rsidRPr="00A877AE">
                    <w:t>how to escalate the issue.</w:t>
                  </w:r>
                </w:p>
                <w:p w14:paraId="6AC97C67" w14:textId="7BEA589D" w:rsidR="006866BE" w:rsidRPr="00A877AE" w:rsidRDefault="006866BE" w:rsidP="005D3BFA">
                  <w:pPr>
                    <w:pStyle w:val="ListBullet"/>
                    <w:rPr>
                      <w:rFonts w:cs="Segoe UI"/>
                      <w:i/>
                      <w:color w:val="0000FF"/>
                      <w:u w:val="single"/>
                      <w:lang w:val="en"/>
                    </w:rPr>
                  </w:pPr>
                  <w:r w:rsidRPr="000941B1">
                    <w:rPr>
                      <w:rFonts w:cs="Segoe UI"/>
                      <w:b/>
                      <w:bCs/>
                      <w:color w:val="000000"/>
                      <w:lang w:val="en"/>
                    </w:rPr>
                    <w:t>refer to</w:t>
                  </w:r>
                  <w:r w:rsidRPr="003E0AAD">
                    <w:rPr>
                      <w:rFonts w:cs="Segoe UI"/>
                      <w:color w:val="000000"/>
                      <w:lang w:val="en"/>
                    </w:rPr>
                    <w:t xml:space="preserve"> ‘</w:t>
                  </w:r>
                  <w:r w:rsidRPr="0099511C">
                    <w:rPr>
                      <w:rFonts w:cs="Segoe UI"/>
                      <w:color w:val="000000"/>
                      <w:lang w:val="en"/>
                    </w:rPr>
                    <w:t xml:space="preserve">Variations, suspensions and revocations of </w:t>
                  </w:r>
                  <w:r w:rsidRPr="00F21373">
                    <w:rPr>
                      <w:rFonts w:cs="Segoe UI"/>
                      <w:color w:val="000000"/>
                      <w:lang w:val="en"/>
                    </w:rPr>
                    <w:t xml:space="preserve">appointment’ in the </w:t>
                  </w:r>
                  <w:hyperlink w:anchor="_Related_material" w:history="1">
                    <w:r w:rsidR="00FE0D9E">
                      <w:t>Exports Policy</w:t>
                    </w:r>
                    <w:r w:rsidR="00FE0D9E" w:rsidRPr="00F21373">
                      <w:t xml:space="preserve">: </w:t>
                    </w:r>
                    <w:r w:rsidR="00FE0D9E" w:rsidRPr="00FE0D9E">
                      <w:rPr>
                        <w:rStyle w:val="Hyperlink"/>
                        <w:i/>
                      </w:rPr>
                      <w:t xml:space="preserve">Management of third-party plant exports authorised officers </w:t>
                    </w:r>
                  </w:hyperlink>
                </w:p>
                <w:p w14:paraId="4EB65A5A" w14:textId="77777777" w:rsidR="006866BE" w:rsidRPr="00990159" w:rsidRDefault="006866BE" w:rsidP="005D3BFA">
                  <w:pPr>
                    <w:pStyle w:val="ListBullet"/>
                    <w:rPr>
                      <w:b/>
                      <w:bCs/>
                    </w:rPr>
                  </w:pPr>
                  <w:r w:rsidRPr="00990159">
                    <w:rPr>
                      <w:b/>
                      <w:bCs/>
                    </w:rPr>
                    <w:t>process ends here.</w:t>
                  </w:r>
                </w:p>
              </w:tc>
            </w:tr>
          </w:tbl>
          <w:p w14:paraId="70E43821" w14:textId="77777777" w:rsidR="006866BE" w:rsidRDefault="006866BE" w:rsidP="005D3BFA">
            <w:pPr>
              <w:rPr>
                <w:rFonts w:cs="Calibri"/>
              </w:rPr>
            </w:pPr>
          </w:p>
        </w:tc>
        <w:tc>
          <w:tcPr>
            <w:tcW w:w="1360" w:type="dxa"/>
            <w:tcBorders>
              <w:top w:val="single" w:sz="4" w:space="0" w:color="auto"/>
              <w:bottom w:val="single" w:sz="4" w:space="0" w:color="auto"/>
            </w:tcBorders>
          </w:tcPr>
          <w:p w14:paraId="7E4A2D91" w14:textId="77777777" w:rsidR="006866BE" w:rsidRPr="00A56CA5" w:rsidRDefault="006866BE" w:rsidP="005D3BFA">
            <w:pPr>
              <w:rPr>
                <w:spacing w:val="-1"/>
              </w:rPr>
            </w:pPr>
            <w:r>
              <w:rPr>
                <w:spacing w:val="-1"/>
              </w:rPr>
              <w:t>Auditor</w:t>
            </w:r>
          </w:p>
        </w:tc>
      </w:tr>
    </w:tbl>
    <w:p w14:paraId="196ED810" w14:textId="77777777" w:rsidR="006866BE" w:rsidRPr="00E663E9" w:rsidRDefault="006866BE" w:rsidP="006866BE"/>
    <w:p w14:paraId="7FB1C5FF" w14:textId="110FAC43" w:rsidR="006866BE" w:rsidRDefault="006866BE" w:rsidP="006866BE">
      <w:pPr>
        <w:pStyle w:val="BodyText"/>
      </w:pPr>
    </w:p>
    <w:p w14:paraId="6D2BD933" w14:textId="33B993B3" w:rsidR="006866BE" w:rsidRPr="001949F2" w:rsidRDefault="006866BE" w:rsidP="006866BE">
      <w:pPr>
        <w:pStyle w:val="BodyText"/>
      </w:pPr>
    </w:p>
    <w:p w14:paraId="5A3649F3" w14:textId="04254029" w:rsidR="006866BE" w:rsidRPr="00F87FC3" w:rsidRDefault="006866BE" w:rsidP="00A877AE">
      <w:pPr>
        <w:pStyle w:val="Heading4"/>
      </w:pPr>
      <w:bookmarkStart w:id="29" w:name="_4.6_Fees_and"/>
      <w:bookmarkStart w:id="30" w:name="_4.7_Performance_Standards"/>
      <w:bookmarkStart w:id="31" w:name="_Toc196211660"/>
      <w:bookmarkEnd w:id="29"/>
      <w:bookmarkEnd w:id="30"/>
      <w:r w:rsidRPr="00A877AE">
        <w:rPr>
          <w:rStyle w:val="Heading2Char"/>
          <w:b/>
          <w:bCs/>
        </w:rPr>
        <w:lastRenderedPageBreak/>
        <w:t>Non-compliance ratings</w:t>
      </w:r>
      <w:bookmarkEnd w:id="31"/>
      <w:r>
        <w:t xml:space="preserve"> </w:t>
      </w:r>
    </w:p>
    <w:p w14:paraId="52D892ED" w14:textId="20D70A90" w:rsidR="006866BE" w:rsidRPr="00EB1124" w:rsidRDefault="006866BE" w:rsidP="006866BE">
      <w:pPr>
        <w:spacing w:before="120"/>
      </w:pPr>
      <w:r w:rsidRPr="00EB1124">
        <w:t xml:space="preserve">Where an </w:t>
      </w:r>
      <w:r>
        <w:t>AO</w:t>
      </w:r>
      <w:r w:rsidRPr="00EB1124">
        <w:t xml:space="preserve"> is deemed non-compliant against a </w:t>
      </w:r>
      <w:r>
        <w:t>performance standard sub-element</w:t>
      </w:r>
      <w:r w:rsidRPr="00EB1124">
        <w:t xml:space="preserve"> the auditor </w:t>
      </w:r>
      <w:r>
        <w:t>must</w:t>
      </w:r>
      <w:r w:rsidRPr="00EB1124">
        <w:t xml:space="preserve"> select a non-compliance rating, considering the context and extent of the non-compliance and the definition of minor, major and critical. </w:t>
      </w:r>
    </w:p>
    <w:p w14:paraId="185E7E7B" w14:textId="6B34170C" w:rsidR="006866BE" w:rsidRPr="00F87FC3" w:rsidRDefault="006866BE" w:rsidP="00A877AE">
      <w:pPr>
        <w:pStyle w:val="Heading2"/>
      </w:pPr>
      <w:bookmarkStart w:id="32" w:name="_Toc196211661"/>
      <w:r>
        <w:t>Issuing Non-compliance Notices</w:t>
      </w:r>
      <w:bookmarkEnd w:id="32"/>
    </w:p>
    <w:p w14:paraId="7C26EB3A" w14:textId="2A725AD5" w:rsidR="006866BE" w:rsidRPr="00EB1124" w:rsidRDefault="006866BE" w:rsidP="006866BE">
      <w:pPr>
        <w:pStyle w:val="ListBullet"/>
      </w:pPr>
      <w:r w:rsidRPr="00EB1124">
        <w:t xml:space="preserve">If a non-compliance is detected during an audit, the auditor must issue a </w:t>
      </w:r>
      <w:r>
        <w:t>non-compliance notice</w:t>
      </w:r>
      <w:r w:rsidRPr="00EB1124">
        <w:t xml:space="preserve"> per </w:t>
      </w:r>
      <w:r>
        <w:t>performance standard sub-element</w:t>
      </w:r>
      <w:r w:rsidRPr="00EB1124">
        <w:t>.</w:t>
      </w:r>
    </w:p>
    <w:p w14:paraId="615C7FAC" w14:textId="5D50956F" w:rsidR="006866BE" w:rsidRPr="0033076E" w:rsidRDefault="006866BE" w:rsidP="00A877AE">
      <w:pPr>
        <w:pStyle w:val="ListBullet"/>
      </w:pPr>
      <w:r w:rsidRPr="0033076E">
        <w:t xml:space="preserve">A timeframe for </w:t>
      </w:r>
      <w:r>
        <w:t xml:space="preserve">reviewing </w:t>
      </w:r>
      <w:r w:rsidRPr="0033076E">
        <w:t xml:space="preserve">a </w:t>
      </w:r>
      <w:r>
        <w:t xml:space="preserve">non-compliance </w:t>
      </w:r>
      <w:r w:rsidRPr="0033076E">
        <w:t>must be specified by the auditor and be no longer than:</w:t>
      </w:r>
    </w:p>
    <w:p w14:paraId="349ACF76" w14:textId="7781BC41" w:rsidR="006866BE" w:rsidRPr="0033076E" w:rsidRDefault="006866BE" w:rsidP="00A877AE">
      <w:pPr>
        <w:pStyle w:val="ListBullet"/>
        <w:numPr>
          <w:ilvl w:val="0"/>
          <w:numId w:val="102"/>
        </w:numPr>
      </w:pPr>
      <w:r w:rsidRPr="0033076E">
        <w:t xml:space="preserve">28 calendar days for minor </w:t>
      </w:r>
      <w:r>
        <w:t>non-compliance</w:t>
      </w:r>
      <w:r w:rsidRPr="0033076E">
        <w:t>s</w:t>
      </w:r>
    </w:p>
    <w:p w14:paraId="3215C3E0" w14:textId="47201042" w:rsidR="006866BE" w:rsidRPr="0033076E" w:rsidRDefault="006866BE" w:rsidP="00A877AE">
      <w:pPr>
        <w:pStyle w:val="ListBullet"/>
        <w:numPr>
          <w:ilvl w:val="0"/>
          <w:numId w:val="102"/>
        </w:numPr>
      </w:pPr>
      <w:r w:rsidRPr="0033076E">
        <w:t xml:space="preserve">14 calendar days for major </w:t>
      </w:r>
      <w:r>
        <w:t>non-compliance</w:t>
      </w:r>
      <w:r w:rsidRPr="0033076E">
        <w:t>s</w:t>
      </w:r>
    </w:p>
    <w:p w14:paraId="08083255" w14:textId="341C9D8D" w:rsidR="006866BE" w:rsidRPr="0033076E" w:rsidRDefault="006866BE" w:rsidP="00A877AE">
      <w:pPr>
        <w:pStyle w:val="ListBullet"/>
        <w:numPr>
          <w:ilvl w:val="0"/>
          <w:numId w:val="102"/>
        </w:numPr>
      </w:pPr>
      <w:r w:rsidRPr="0033076E">
        <w:t xml:space="preserve">7 calendar days for critical </w:t>
      </w:r>
      <w:r>
        <w:t>non-compliance</w:t>
      </w:r>
      <w:r w:rsidRPr="0033076E">
        <w:t xml:space="preserve">s. </w:t>
      </w:r>
    </w:p>
    <w:p w14:paraId="3D7FA512" w14:textId="6CE19DD8" w:rsidR="006866BE" w:rsidRPr="0033076E" w:rsidRDefault="006866BE" w:rsidP="00A877AE">
      <w:pPr>
        <w:pStyle w:val="BodyText"/>
        <w:numPr>
          <w:ilvl w:val="0"/>
          <w:numId w:val="103"/>
        </w:numPr>
        <w:rPr>
          <w:rStyle w:val="ListBulletChar"/>
          <w:rFonts w:asciiTheme="minorHAnsi" w:eastAsiaTheme="majorEastAsia" w:hAnsiTheme="minorHAnsi" w:cstheme="minorHAnsi"/>
          <w:szCs w:val="22"/>
        </w:rPr>
      </w:pPr>
      <w:r w:rsidRPr="0033076E">
        <w:rPr>
          <w:rStyle w:val="ListBulletChar"/>
          <w:rFonts w:asciiTheme="minorHAnsi" w:eastAsiaTheme="majorEastAsia" w:hAnsiTheme="minorHAnsi" w:cstheme="minorHAnsi"/>
          <w:szCs w:val="22"/>
        </w:rPr>
        <w:t>Prior to the ‘</w:t>
      </w:r>
      <w:r>
        <w:rPr>
          <w:rStyle w:val="ListBulletChar"/>
          <w:rFonts w:asciiTheme="minorHAnsi" w:eastAsiaTheme="majorEastAsia" w:hAnsiTheme="minorHAnsi" w:cstheme="minorHAnsi"/>
          <w:szCs w:val="22"/>
        </w:rPr>
        <w:t>review date’</w:t>
      </w:r>
      <w:r w:rsidRPr="0033076E">
        <w:rPr>
          <w:rStyle w:val="ListBulletChar"/>
          <w:rFonts w:asciiTheme="minorHAnsi" w:eastAsiaTheme="majorEastAsia" w:hAnsiTheme="minorHAnsi" w:cstheme="minorHAnsi"/>
          <w:szCs w:val="22"/>
        </w:rPr>
        <w:t xml:space="preserve">, and at the request of the </w:t>
      </w:r>
      <w:r>
        <w:rPr>
          <w:rStyle w:val="ListBulletChar"/>
          <w:rFonts w:asciiTheme="minorHAnsi" w:eastAsiaTheme="majorEastAsia" w:hAnsiTheme="minorHAnsi" w:cstheme="minorHAnsi"/>
          <w:szCs w:val="22"/>
        </w:rPr>
        <w:t>AO</w:t>
      </w:r>
      <w:r w:rsidRPr="0033076E">
        <w:rPr>
          <w:rStyle w:val="ListBulletChar"/>
          <w:rFonts w:asciiTheme="minorHAnsi" w:eastAsiaTheme="majorEastAsia" w:hAnsiTheme="minorHAnsi" w:cstheme="minorHAnsi"/>
          <w:szCs w:val="22"/>
        </w:rPr>
        <w:t xml:space="preserve">, </w:t>
      </w:r>
      <w:r>
        <w:rPr>
          <w:rStyle w:val="ListBulletChar"/>
          <w:rFonts w:asciiTheme="minorHAnsi" w:eastAsiaTheme="majorEastAsia" w:hAnsiTheme="minorHAnsi" w:cstheme="minorHAnsi"/>
          <w:szCs w:val="22"/>
        </w:rPr>
        <w:t>the review date</w:t>
      </w:r>
      <w:r w:rsidRPr="0033076E">
        <w:rPr>
          <w:rStyle w:val="ListBulletChar"/>
          <w:rFonts w:asciiTheme="minorHAnsi" w:eastAsiaTheme="majorEastAsia" w:hAnsiTheme="minorHAnsi" w:cstheme="minorHAnsi"/>
          <w:szCs w:val="22"/>
        </w:rPr>
        <w:t xml:space="preserve"> </w:t>
      </w:r>
      <w:r>
        <w:rPr>
          <w:rStyle w:val="ListBulletChar"/>
          <w:rFonts w:asciiTheme="minorHAnsi" w:eastAsiaTheme="majorEastAsia" w:hAnsiTheme="minorHAnsi" w:cstheme="minorHAnsi"/>
          <w:szCs w:val="22"/>
        </w:rPr>
        <w:t xml:space="preserve">may </w:t>
      </w:r>
      <w:r w:rsidRPr="0033076E">
        <w:rPr>
          <w:rStyle w:val="ListBulletChar"/>
          <w:rFonts w:asciiTheme="minorHAnsi" w:eastAsiaTheme="majorEastAsia" w:hAnsiTheme="minorHAnsi" w:cstheme="minorHAnsi"/>
          <w:szCs w:val="22"/>
        </w:rPr>
        <w:t>be extended twice, each for a period equal to the original timeframe.</w:t>
      </w:r>
    </w:p>
    <w:p w14:paraId="64EC743C" w14:textId="26715218" w:rsidR="006866BE" w:rsidRPr="00EB1124" w:rsidRDefault="006866BE" w:rsidP="00A877AE">
      <w:pPr>
        <w:pStyle w:val="ListBullet"/>
        <w:numPr>
          <w:ilvl w:val="0"/>
          <w:numId w:val="0"/>
        </w:numPr>
        <w:ind w:left="360"/>
      </w:pPr>
      <w:bookmarkStart w:id="33" w:name="_Hlk181869820"/>
      <w:r w:rsidRPr="0033076E">
        <w:rPr>
          <w:b/>
          <w:bCs/>
        </w:rPr>
        <w:t xml:space="preserve">Important: </w:t>
      </w:r>
      <w:r w:rsidRPr="0033076E">
        <w:t xml:space="preserve">Requests for extension must be made in writing to </w:t>
      </w:r>
      <w:r w:rsidRPr="00A877AE">
        <w:t>AAB</w:t>
      </w:r>
      <w:r w:rsidRPr="0033076E">
        <w:t xml:space="preserve"> to the attention of the auditor who conducted the audit.</w:t>
      </w:r>
      <w:r w:rsidRPr="00EB1124">
        <w:t xml:space="preserve"> </w:t>
      </w:r>
    </w:p>
    <w:p w14:paraId="335233A8" w14:textId="77777777" w:rsidR="006866BE" w:rsidRDefault="006866BE" w:rsidP="006866BE">
      <w:pPr>
        <w:pStyle w:val="Heading3"/>
      </w:pPr>
      <w:bookmarkStart w:id="34" w:name="_5.3_Mandatory_Training"/>
      <w:bookmarkStart w:id="35" w:name="_5.4_Audit_Timeframes"/>
      <w:bookmarkStart w:id="36" w:name="_Toc196211662"/>
      <w:bookmarkEnd w:id="33"/>
      <w:bookmarkEnd w:id="34"/>
      <w:bookmarkEnd w:id="35"/>
      <w:r>
        <w:t>When a critical non-compliance is identified</w:t>
      </w:r>
      <w:bookmarkEnd w:id="36"/>
    </w:p>
    <w:p w14:paraId="73947511" w14:textId="3FF71928" w:rsidR="006866BE" w:rsidRDefault="006866BE" w:rsidP="00A877AE">
      <w:pPr>
        <w:pStyle w:val="ListBullet"/>
      </w:pPr>
      <w:r>
        <w:t xml:space="preserve">Where an auditor identifies a critical non-compliance, the Auditor refers the audit result and non-compliance notice to the AAB delegate, who will determine </w:t>
      </w:r>
      <w:r w:rsidRPr="006F16A5">
        <w:t xml:space="preserve">whether the matter </w:t>
      </w:r>
      <w:r w:rsidRPr="00A877AE">
        <w:t>is to be</w:t>
      </w:r>
      <w:r w:rsidRPr="006F16A5">
        <w:t xml:space="preserve"> referred</w:t>
      </w:r>
      <w:r>
        <w:t xml:space="preserve"> to the Plant Export</w:t>
      </w:r>
      <w:r w:rsidR="00FE0D9E">
        <w:t>s</w:t>
      </w:r>
      <w:r>
        <w:t xml:space="preserve"> Branch to decide on further action. Instances where the AAB delegate may refer the matter include where the:</w:t>
      </w:r>
    </w:p>
    <w:p w14:paraId="215C007E" w14:textId="77777777" w:rsidR="006866BE" w:rsidRDefault="006866BE" w:rsidP="00A877AE">
      <w:pPr>
        <w:pStyle w:val="ListBullet"/>
        <w:numPr>
          <w:ilvl w:val="0"/>
          <w:numId w:val="102"/>
        </w:numPr>
      </w:pPr>
      <w:r>
        <w:t>AO fails to meet their obligations under the plant export legislation (including avoiding audits)</w:t>
      </w:r>
    </w:p>
    <w:p w14:paraId="460E65B6" w14:textId="77777777" w:rsidR="006866BE" w:rsidRDefault="006866BE" w:rsidP="00A877AE">
      <w:pPr>
        <w:pStyle w:val="ListBullet"/>
        <w:numPr>
          <w:ilvl w:val="0"/>
          <w:numId w:val="102"/>
        </w:numPr>
      </w:pPr>
      <w:r>
        <w:t>AO has been intentionally non-compliant, fraudulent, or corrupt</w:t>
      </w:r>
    </w:p>
    <w:p w14:paraId="3160CD83" w14:textId="77777777" w:rsidR="006866BE" w:rsidRDefault="006866BE" w:rsidP="00A877AE">
      <w:pPr>
        <w:pStyle w:val="ListBullet"/>
        <w:numPr>
          <w:ilvl w:val="0"/>
          <w:numId w:val="102"/>
        </w:numPr>
      </w:pPr>
      <w:r>
        <w:t>AO has been repeatedly non-compliant in related incidents</w:t>
      </w:r>
    </w:p>
    <w:p w14:paraId="69B8DE9F" w14:textId="685676B2" w:rsidR="006866BE" w:rsidRPr="00444194" w:rsidRDefault="006866BE" w:rsidP="00A877AE">
      <w:pPr>
        <w:pStyle w:val="ListBullet"/>
        <w:numPr>
          <w:ilvl w:val="0"/>
          <w:numId w:val="102"/>
        </w:numPr>
      </w:pPr>
      <w:bookmarkStart w:id="37" w:name="_Hlk181870241"/>
      <w:r>
        <w:t>Failure to address non-compliance notices to the satisfaction of the auditor/AAB delegate.</w:t>
      </w:r>
    </w:p>
    <w:bookmarkEnd w:id="37"/>
    <w:p w14:paraId="74417744" w14:textId="6B0A89A6" w:rsidR="006866BE" w:rsidRDefault="006866BE" w:rsidP="00A877AE">
      <w:pPr>
        <w:pStyle w:val="ListBullet"/>
      </w:pPr>
      <w:r>
        <w:t>Future action to address the non-compliance and audit result is at the discretion of AAB delegate and Plant Export</w:t>
      </w:r>
      <w:r w:rsidR="00FE0D9E">
        <w:t>s</w:t>
      </w:r>
      <w:r>
        <w:t xml:space="preserve"> Branch, which may include, but is not limited to</w:t>
      </w:r>
    </w:p>
    <w:p w14:paraId="0E894F10" w14:textId="5751C2A7" w:rsidR="006866BE" w:rsidRPr="006924B3" w:rsidRDefault="006866BE" w:rsidP="00A877AE">
      <w:pPr>
        <w:pStyle w:val="ListBullet"/>
        <w:numPr>
          <w:ilvl w:val="0"/>
          <w:numId w:val="102"/>
        </w:numPr>
      </w:pPr>
      <w:r>
        <w:t>downgrading the non-compliance rating</w:t>
      </w:r>
    </w:p>
    <w:p w14:paraId="44AAC6E5" w14:textId="41A1869C" w:rsidR="006866BE" w:rsidRPr="006924B3" w:rsidRDefault="006866BE" w:rsidP="00A877AE">
      <w:pPr>
        <w:pStyle w:val="ListBullet"/>
        <w:numPr>
          <w:ilvl w:val="0"/>
          <w:numId w:val="102"/>
        </w:numPr>
      </w:pPr>
      <w:r>
        <w:t xml:space="preserve">imposing </w:t>
      </w:r>
      <w:r w:rsidRPr="006924B3">
        <w:t>a</w:t>
      </w:r>
      <w:r>
        <w:t>n increased</w:t>
      </w:r>
      <w:r w:rsidRPr="006924B3">
        <w:t xml:space="preserve"> timeframe for the AO’s next periodic </w:t>
      </w:r>
      <w:r>
        <w:t>audit</w:t>
      </w:r>
      <w:r w:rsidRPr="006924B3">
        <w:t xml:space="preserve"> </w:t>
      </w:r>
    </w:p>
    <w:p w14:paraId="669D0DDD" w14:textId="77777777" w:rsidR="006866BE" w:rsidRPr="006924B3" w:rsidRDefault="006866BE" w:rsidP="00A877AE">
      <w:pPr>
        <w:pStyle w:val="ListBullet"/>
        <w:numPr>
          <w:ilvl w:val="0"/>
          <w:numId w:val="102"/>
        </w:numPr>
      </w:pPr>
      <w:r w:rsidRPr="006924B3">
        <w:t xml:space="preserve">mandatory </w:t>
      </w:r>
      <w:r>
        <w:t>re-</w:t>
      </w:r>
      <w:r w:rsidRPr="006924B3">
        <w:t xml:space="preserve">training </w:t>
      </w:r>
      <w:r>
        <w:t>and a reassessment of competency</w:t>
      </w:r>
    </w:p>
    <w:p w14:paraId="3229CCD9" w14:textId="4390D407" w:rsidR="006866BE" w:rsidRPr="006924B3" w:rsidRDefault="006866BE" w:rsidP="00A877AE">
      <w:pPr>
        <w:pStyle w:val="ListBullet"/>
        <w:numPr>
          <w:ilvl w:val="0"/>
          <w:numId w:val="102"/>
        </w:numPr>
      </w:pPr>
      <w:r>
        <w:t>variation, suspension or revocation of an AO’s appointment by the delegate</w:t>
      </w:r>
      <w:r w:rsidR="00472984">
        <w:t>.</w:t>
      </w:r>
    </w:p>
    <w:p w14:paraId="28FA4A8C" w14:textId="4C73A50A" w:rsidR="006866BE" w:rsidRPr="00F87FC3" w:rsidRDefault="006866BE" w:rsidP="00A877AE">
      <w:pPr>
        <w:pStyle w:val="Heading4"/>
      </w:pPr>
      <w:bookmarkStart w:id="38" w:name="_Toc196211663"/>
      <w:r w:rsidRPr="008B51E2">
        <w:t>Mandatory Re-training</w:t>
      </w:r>
      <w:r>
        <w:t xml:space="preserve"> and reassessment of competency</w:t>
      </w:r>
      <w:bookmarkEnd w:id="38"/>
    </w:p>
    <w:p w14:paraId="250A9C40" w14:textId="6BCD2631" w:rsidR="006866BE" w:rsidRDefault="006866BE" w:rsidP="006866BE">
      <w:pPr>
        <w:pStyle w:val="BodyText"/>
      </w:pPr>
      <w:r>
        <w:t xml:space="preserve">Post-audit re-training and reassessment of competency may be conducted by a PEA following the issuance of a non-compliance notice, or where the </w:t>
      </w:r>
      <w:r w:rsidRPr="00792507">
        <w:t>Delegate</w:t>
      </w:r>
      <w:r>
        <w:t xml:space="preserve"> considers it appropriate</w:t>
      </w:r>
      <w:r w:rsidRPr="001F00F7">
        <w:t>.</w:t>
      </w:r>
      <w:r>
        <w:t xml:space="preserve"> </w:t>
      </w:r>
    </w:p>
    <w:p w14:paraId="2319105A" w14:textId="581467A6" w:rsidR="006866BE" w:rsidRDefault="006866BE" w:rsidP="00A877AE">
      <w:r>
        <w:rPr>
          <w:b/>
          <w:bCs/>
        </w:rPr>
        <w:t xml:space="preserve">Note: </w:t>
      </w:r>
      <w:r>
        <w:t xml:space="preserve">This training will focus directly on the non-compliance found at audit and </w:t>
      </w:r>
      <w:r w:rsidRPr="00DE2E25">
        <w:rPr>
          <w:lang w:val="en-GB"/>
        </w:rPr>
        <w:t>subject to fee for service</w:t>
      </w:r>
      <w:r w:rsidR="009D07E1">
        <w:rPr>
          <w:lang w:val="en-GB"/>
        </w:rPr>
        <w:t>,</w:t>
      </w:r>
      <w:r w:rsidR="009D07E1">
        <w:t xml:space="preserve"> </w:t>
      </w:r>
      <w:r>
        <w:t xml:space="preserve">see </w:t>
      </w:r>
      <w:r w:rsidRPr="007A5038">
        <w:rPr>
          <w:b/>
          <w:bCs/>
        </w:rPr>
        <w:t>section</w:t>
      </w:r>
      <w:r>
        <w:t xml:space="preserve"> </w:t>
      </w:r>
      <w:hyperlink w:anchor="_4.6_Fees_and" w:history="1">
        <w:r w:rsidRPr="009D07E1">
          <w:rPr>
            <w:rStyle w:val="Hyperlink"/>
          </w:rPr>
          <w:t>Fees and charges</w:t>
        </w:r>
      </w:hyperlink>
      <w:r>
        <w:t xml:space="preserve">. </w:t>
      </w:r>
    </w:p>
    <w:p w14:paraId="1C965319" w14:textId="40093D4C" w:rsidR="006866BE" w:rsidRPr="00A877AE" w:rsidRDefault="006866BE" w:rsidP="00A877AE">
      <w:pPr>
        <w:pStyle w:val="Heading2"/>
      </w:pPr>
      <w:bookmarkStart w:id="39" w:name="_Toc196211664"/>
      <w:r w:rsidRPr="00A877AE">
        <w:t>Audit result</w:t>
      </w:r>
      <w:bookmarkEnd w:id="39"/>
    </w:p>
    <w:p w14:paraId="4DFEAD7D" w14:textId="77777777" w:rsidR="006866BE" w:rsidRDefault="006866BE" w:rsidP="006866BE">
      <w:pPr>
        <w:pStyle w:val="BodyText"/>
      </w:pPr>
      <w:r>
        <w:t>An audit result must be determined at the end of each audit.</w:t>
      </w:r>
    </w:p>
    <w:p w14:paraId="76464953" w14:textId="77777777" w:rsidR="006866BE" w:rsidRPr="00EF04C6" w:rsidRDefault="006866BE" w:rsidP="006866BE">
      <w:pPr>
        <w:pStyle w:val="BodyText"/>
      </w:pPr>
      <w:r>
        <w:t>The following table shows how an audit result is determined from the number and type of non-compliances identified.</w:t>
      </w:r>
    </w:p>
    <w:tbl>
      <w:tblPr>
        <w:tblStyle w:val="TableGrid"/>
        <w:tblW w:w="5110" w:type="pct"/>
        <w:tblInd w:w="-147" w:type="dxa"/>
        <w:tblLayout w:type="fixed"/>
        <w:tblLook w:val="04A0" w:firstRow="1" w:lastRow="0" w:firstColumn="1" w:lastColumn="0" w:noHBand="0" w:noVBand="1"/>
      </w:tblPr>
      <w:tblGrid>
        <w:gridCol w:w="702"/>
        <w:gridCol w:w="568"/>
        <w:gridCol w:w="859"/>
        <w:gridCol w:w="1257"/>
        <w:gridCol w:w="1522"/>
        <w:gridCol w:w="1369"/>
        <w:gridCol w:w="1522"/>
        <w:gridCol w:w="1415"/>
      </w:tblGrid>
      <w:tr w:rsidR="006866BE" w:rsidRPr="00A85CF0" w14:paraId="693D2D04" w14:textId="77777777" w:rsidTr="00A877AE">
        <w:trPr>
          <w:trHeight w:val="737"/>
        </w:trPr>
        <w:tc>
          <w:tcPr>
            <w:tcW w:w="381" w:type="pct"/>
            <w:tcBorders>
              <w:top w:val="single" w:sz="4" w:space="0" w:color="auto"/>
              <w:left w:val="single" w:sz="4" w:space="0" w:color="auto"/>
              <w:bottom w:val="nil"/>
              <w:right w:val="nil"/>
            </w:tcBorders>
            <w:shd w:val="clear" w:color="auto" w:fill="D9D9D9" w:themeFill="background1" w:themeFillShade="D9"/>
          </w:tcPr>
          <w:p w14:paraId="6340709A" w14:textId="77777777" w:rsidR="006866BE" w:rsidRPr="00A85CF0" w:rsidRDefault="006866BE" w:rsidP="005D3BFA">
            <w:pPr>
              <w:rPr>
                <w:sz w:val="21"/>
                <w:szCs w:val="21"/>
              </w:rPr>
            </w:pPr>
            <w:bookmarkStart w:id="40" w:name="_Toc380478177"/>
            <w:bookmarkStart w:id="41" w:name="_Toc380478164"/>
            <w:bookmarkStart w:id="42" w:name="_Toc446076653"/>
          </w:p>
        </w:tc>
        <w:tc>
          <w:tcPr>
            <w:tcW w:w="774" w:type="pct"/>
            <w:gridSpan w:val="2"/>
            <w:tcBorders>
              <w:top w:val="single" w:sz="4" w:space="0" w:color="auto"/>
              <w:left w:val="nil"/>
              <w:bottom w:val="nil"/>
              <w:right w:val="single" w:sz="4" w:space="0" w:color="auto"/>
            </w:tcBorders>
            <w:shd w:val="clear" w:color="auto" w:fill="D9D9D9" w:themeFill="background1" w:themeFillShade="D9"/>
          </w:tcPr>
          <w:p w14:paraId="3A2CBE74" w14:textId="77777777" w:rsidR="006866BE" w:rsidRPr="00A85CF0" w:rsidRDefault="006866BE" w:rsidP="005D3BFA">
            <w:pPr>
              <w:rPr>
                <w:sz w:val="21"/>
                <w:szCs w:val="21"/>
              </w:rPr>
            </w:pPr>
          </w:p>
        </w:tc>
        <w:tc>
          <w:tcPr>
            <w:tcW w:w="3845" w:type="pct"/>
            <w:gridSpan w:val="5"/>
            <w:tcBorders>
              <w:top w:val="single" w:sz="4" w:space="0" w:color="auto"/>
              <w:left w:val="single" w:sz="4" w:space="0" w:color="auto"/>
              <w:bottom w:val="single" w:sz="4" w:space="0" w:color="FFFFFF"/>
            </w:tcBorders>
            <w:shd w:val="clear" w:color="auto" w:fill="D9D9D9" w:themeFill="background1" w:themeFillShade="D9"/>
            <w:vAlign w:val="center"/>
          </w:tcPr>
          <w:p w14:paraId="6193414E" w14:textId="4CF78D3F" w:rsidR="006866BE" w:rsidRPr="00A85CF0" w:rsidRDefault="006866BE" w:rsidP="005D3BFA">
            <w:pPr>
              <w:jc w:val="center"/>
              <w:rPr>
                <w:b/>
                <w:sz w:val="21"/>
                <w:szCs w:val="21"/>
              </w:rPr>
            </w:pPr>
            <w:r w:rsidRPr="00A85CF0">
              <w:rPr>
                <w:b/>
                <w:sz w:val="21"/>
                <w:szCs w:val="21"/>
              </w:rPr>
              <w:t xml:space="preserve">Number of minor </w:t>
            </w:r>
            <w:r w:rsidR="00762ACE">
              <w:rPr>
                <w:b/>
                <w:sz w:val="21"/>
                <w:szCs w:val="21"/>
              </w:rPr>
              <w:t>non-compliance notice</w:t>
            </w:r>
            <w:r w:rsidR="00762ACE" w:rsidRPr="00A85CF0">
              <w:rPr>
                <w:b/>
                <w:sz w:val="21"/>
                <w:szCs w:val="21"/>
              </w:rPr>
              <w:t xml:space="preserve">s </w:t>
            </w:r>
            <w:r w:rsidRPr="00A85CF0">
              <w:rPr>
                <w:b/>
                <w:sz w:val="21"/>
                <w:szCs w:val="21"/>
              </w:rPr>
              <w:t>issued</w:t>
            </w:r>
          </w:p>
        </w:tc>
      </w:tr>
      <w:tr w:rsidR="006866BE" w:rsidRPr="00A85CF0" w14:paraId="7CE7A6DC" w14:textId="77777777" w:rsidTr="00A877AE">
        <w:trPr>
          <w:trHeight w:val="737"/>
        </w:trPr>
        <w:tc>
          <w:tcPr>
            <w:tcW w:w="381" w:type="pct"/>
            <w:tcBorders>
              <w:top w:val="nil"/>
              <w:left w:val="single" w:sz="4" w:space="0" w:color="auto"/>
              <w:bottom w:val="single" w:sz="4" w:space="0" w:color="auto"/>
              <w:right w:val="nil"/>
            </w:tcBorders>
            <w:shd w:val="clear" w:color="auto" w:fill="D9D9D9" w:themeFill="background1" w:themeFillShade="D9"/>
          </w:tcPr>
          <w:p w14:paraId="6AF4F0EE" w14:textId="77777777" w:rsidR="006866BE" w:rsidRPr="00A85CF0" w:rsidRDefault="006866BE" w:rsidP="005D3BFA">
            <w:pPr>
              <w:rPr>
                <w:sz w:val="21"/>
                <w:szCs w:val="21"/>
              </w:rPr>
            </w:pPr>
          </w:p>
        </w:tc>
        <w:tc>
          <w:tcPr>
            <w:tcW w:w="774" w:type="pct"/>
            <w:gridSpan w:val="2"/>
            <w:tcBorders>
              <w:top w:val="nil"/>
              <w:left w:val="nil"/>
              <w:bottom w:val="single" w:sz="4" w:space="0" w:color="auto"/>
              <w:right w:val="single" w:sz="4" w:space="0" w:color="auto"/>
            </w:tcBorders>
            <w:shd w:val="clear" w:color="auto" w:fill="D9D9D9" w:themeFill="background1" w:themeFillShade="D9"/>
          </w:tcPr>
          <w:p w14:paraId="51CBCBAD" w14:textId="77777777" w:rsidR="006866BE" w:rsidRPr="00A85CF0" w:rsidRDefault="006866BE" w:rsidP="005D3BFA">
            <w:pPr>
              <w:rPr>
                <w:sz w:val="21"/>
                <w:szCs w:val="21"/>
              </w:rPr>
            </w:pPr>
          </w:p>
        </w:tc>
        <w:tc>
          <w:tcPr>
            <w:tcW w:w="682" w:type="pct"/>
            <w:tcBorders>
              <w:top w:val="single" w:sz="4" w:space="0" w:color="auto"/>
              <w:left w:val="single" w:sz="4" w:space="0" w:color="auto"/>
              <w:right w:val="single" w:sz="4" w:space="0" w:color="auto"/>
            </w:tcBorders>
            <w:shd w:val="clear" w:color="auto" w:fill="D9D9D9" w:themeFill="background1" w:themeFillShade="D9"/>
            <w:vAlign w:val="center"/>
          </w:tcPr>
          <w:p w14:paraId="1251975F" w14:textId="77777777" w:rsidR="006866BE" w:rsidRPr="00A85CF0" w:rsidRDefault="006866BE" w:rsidP="005D3BFA">
            <w:pPr>
              <w:jc w:val="center"/>
              <w:rPr>
                <w:b/>
                <w:sz w:val="21"/>
                <w:szCs w:val="21"/>
              </w:rPr>
            </w:pPr>
            <w:r w:rsidRPr="00A85CF0">
              <w:rPr>
                <w:b/>
                <w:sz w:val="21"/>
                <w:szCs w:val="21"/>
              </w:rPr>
              <w:t>0</w:t>
            </w:r>
          </w:p>
        </w:tc>
        <w:tc>
          <w:tcPr>
            <w:tcW w:w="826" w:type="pct"/>
            <w:tcBorders>
              <w:top w:val="single" w:sz="4" w:space="0" w:color="auto"/>
              <w:left w:val="single" w:sz="4" w:space="0" w:color="auto"/>
              <w:right w:val="single" w:sz="4" w:space="0" w:color="auto"/>
            </w:tcBorders>
            <w:shd w:val="clear" w:color="auto" w:fill="D9D9D9" w:themeFill="background1" w:themeFillShade="D9"/>
            <w:vAlign w:val="center"/>
          </w:tcPr>
          <w:p w14:paraId="5F28E416" w14:textId="77777777" w:rsidR="006866BE" w:rsidRPr="00A85CF0" w:rsidRDefault="006866BE" w:rsidP="005D3BFA">
            <w:pPr>
              <w:jc w:val="center"/>
              <w:rPr>
                <w:b/>
                <w:sz w:val="21"/>
                <w:szCs w:val="21"/>
              </w:rPr>
            </w:pPr>
            <w:r w:rsidRPr="00A85CF0">
              <w:rPr>
                <w:b/>
                <w:sz w:val="21"/>
                <w:szCs w:val="21"/>
              </w:rPr>
              <w:t>1</w:t>
            </w:r>
          </w:p>
        </w:tc>
        <w:tc>
          <w:tcPr>
            <w:tcW w:w="743" w:type="pct"/>
            <w:tcBorders>
              <w:top w:val="single" w:sz="4" w:space="0" w:color="auto"/>
              <w:left w:val="single" w:sz="4" w:space="0" w:color="auto"/>
              <w:right w:val="single" w:sz="4" w:space="0" w:color="auto"/>
            </w:tcBorders>
            <w:shd w:val="clear" w:color="auto" w:fill="D9D9D9" w:themeFill="background1" w:themeFillShade="D9"/>
            <w:vAlign w:val="center"/>
          </w:tcPr>
          <w:p w14:paraId="3EC31242" w14:textId="77777777" w:rsidR="006866BE" w:rsidRPr="00A85CF0" w:rsidRDefault="006866BE" w:rsidP="005D3BFA">
            <w:pPr>
              <w:jc w:val="center"/>
              <w:rPr>
                <w:b/>
                <w:sz w:val="21"/>
                <w:szCs w:val="21"/>
              </w:rPr>
            </w:pPr>
            <w:r w:rsidRPr="00A85CF0">
              <w:rPr>
                <w:b/>
                <w:sz w:val="21"/>
                <w:szCs w:val="21"/>
              </w:rPr>
              <w:t>2</w:t>
            </w:r>
          </w:p>
        </w:tc>
        <w:tc>
          <w:tcPr>
            <w:tcW w:w="826" w:type="pct"/>
            <w:tcBorders>
              <w:top w:val="single" w:sz="4" w:space="0" w:color="auto"/>
              <w:left w:val="single" w:sz="4" w:space="0" w:color="auto"/>
              <w:right w:val="single" w:sz="4" w:space="0" w:color="auto"/>
            </w:tcBorders>
            <w:shd w:val="clear" w:color="auto" w:fill="D9D9D9" w:themeFill="background1" w:themeFillShade="D9"/>
            <w:vAlign w:val="center"/>
          </w:tcPr>
          <w:p w14:paraId="5CA047E4" w14:textId="77777777" w:rsidR="006866BE" w:rsidRPr="00A85CF0" w:rsidRDefault="006866BE" w:rsidP="005D3BFA">
            <w:pPr>
              <w:jc w:val="center"/>
              <w:rPr>
                <w:b/>
                <w:sz w:val="21"/>
                <w:szCs w:val="21"/>
              </w:rPr>
            </w:pPr>
            <w:r w:rsidRPr="00A85CF0">
              <w:rPr>
                <w:b/>
                <w:sz w:val="21"/>
                <w:szCs w:val="21"/>
              </w:rPr>
              <w:t>3</w:t>
            </w:r>
          </w:p>
        </w:tc>
        <w:tc>
          <w:tcPr>
            <w:tcW w:w="768" w:type="pct"/>
            <w:tcBorders>
              <w:top w:val="single" w:sz="4" w:space="0" w:color="auto"/>
              <w:left w:val="single" w:sz="4" w:space="0" w:color="auto"/>
            </w:tcBorders>
            <w:shd w:val="clear" w:color="auto" w:fill="D9D9D9" w:themeFill="background1" w:themeFillShade="D9"/>
            <w:vAlign w:val="center"/>
          </w:tcPr>
          <w:p w14:paraId="0BF2CE79" w14:textId="77777777" w:rsidR="006866BE" w:rsidRPr="00A85CF0" w:rsidRDefault="006866BE" w:rsidP="005D3BFA">
            <w:pPr>
              <w:jc w:val="center"/>
              <w:rPr>
                <w:b/>
                <w:sz w:val="21"/>
                <w:szCs w:val="21"/>
              </w:rPr>
            </w:pPr>
            <w:r w:rsidRPr="00A85CF0">
              <w:rPr>
                <w:b/>
                <w:sz w:val="21"/>
                <w:szCs w:val="21"/>
              </w:rPr>
              <w:t>4</w:t>
            </w:r>
          </w:p>
        </w:tc>
      </w:tr>
      <w:tr w:rsidR="00450468" w:rsidRPr="00433A23" w14:paraId="2F388BED" w14:textId="77777777" w:rsidTr="00DA6E0F">
        <w:trPr>
          <w:cantSplit/>
          <w:trHeight w:val="737"/>
        </w:trPr>
        <w:tc>
          <w:tcPr>
            <w:tcW w:w="689" w:type="pct"/>
            <w:gridSpan w:val="2"/>
            <w:vMerge w:val="restart"/>
            <w:tcBorders>
              <w:top w:val="single" w:sz="4" w:space="0" w:color="FFFFFF"/>
              <w:right w:val="single" w:sz="4" w:space="0" w:color="auto"/>
            </w:tcBorders>
            <w:shd w:val="clear" w:color="auto" w:fill="D9D9D9" w:themeFill="background1" w:themeFillShade="D9"/>
            <w:textDirection w:val="btLr"/>
            <w:vAlign w:val="center"/>
          </w:tcPr>
          <w:p w14:paraId="5DF93AE2" w14:textId="4FF29B54" w:rsidR="00450468" w:rsidRPr="00433A23" w:rsidRDefault="00450468" w:rsidP="005D3BFA">
            <w:pPr>
              <w:ind w:left="113" w:right="113"/>
              <w:jc w:val="center"/>
              <w:rPr>
                <w:b/>
                <w:sz w:val="21"/>
                <w:szCs w:val="21"/>
              </w:rPr>
            </w:pPr>
            <w:r w:rsidRPr="00433A23">
              <w:rPr>
                <w:b/>
                <w:sz w:val="21"/>
                <w:szCs w:val="21"/>
              </w:rPr>
              <w:t xml:space="preserve">Number of major </w:t>
            </w:r>
            <w:r w:rsidR="00762ACE">
              <w:rPr>
                <w:b/>
                <w:sz w:val="21"/>
                <w:szCs w:val="21"/>
              </w:rPr>
              <w:t>non-compliance notices</w:t>
            </w:r>
            <w:r w:rsidR="00762ACE" w:rsidRPr="00433A23">
              <w:rPr>
                <w:b/>
                <w:sz w:val="21"/>
                <w:szCs w:val="21"/>
              </w:rPr>
              <w:t xml:space="preserve"> </w:t>
            </w:r>
            <w:r w:rsidRPr="00433A23">
              <w:rPr>
                <w:b/>
                <w:sz w:val="21"/>
                <w:szCs w:val="21"/>
              </w:rPr>
              <w:t>issued</w:t>
            </w:r>
          </w:p>
        </w:tc>
        <w:tc>
          <w:tcPr>
            <w:tcW w:w="466" w:type="pct"/>
            <w:tcBorders>
              <w:top w:val="single" w:sz="4" w:space="0" w:color="auto"/>
              <w:left w:val="single" w:sz="4" w:space="0" w:color="auto"/>
              <w:bottom w:val="single" w:sz="4" w:space="0" w:color="auto"/>
            </w:tcBorders>
            <w:shd w:val="clear" w:color="auto" w:fill="D9D9D9" w:themeFill="background1" w:themeFillShade="D9"/>
            <w:vAlign w:val="center"/>
          </w:tcPr>
          <w:p w14:paraId="3D54DEC5" w14:textId="77777777" w:rsidR="00450468" w:rsidRPr="00433A23" w:rsidRDefault="00450468" w:rsidP="005D3BFA">
            <w:pPr>
              <w:jc w:val="center"/>
              <w:rPr>
                <w:b/>
                <w:sz w:val="21"/>
                <w:szCs w:val="21"/>
              </w:rPr>
            </w:pPr>
            <w:r w:rsidRPr="00433A23">
              <w:rPr>
                <w:b/>
                <w:sz w:val="21"/>
                <w:szCs w:val="21"/>
              </w:rPr>
              <w:t>0</w:t>
            </w:r>
          </w:p>
        </w:tc>
        <w:tc>
          <w:tcPr>
            <w:tcW w:w="682" w:type="pct"/>
            <w:vAlign w:val="center"/>
          </w:tcPr>
          <w:p w14:paraId="7BF31044" w14:textId="77777777" w:rsidR="00450468" w:rsidRPr="00433A23" w:rsidRDefault="00450468" w:rsidP="005D3BFA">
            <w:r w:rsidRPr="00433A23">
              <w:t>Next audit in 12 months/ next season</w:t>
            </w:r>
          </w:p>
        </w:tc>
        <w:tc>
          <w:tcPr>
            <w:tcW w:w="826" w:type="pct"/>
            <w:vAlign w:val="center"/>
          </w:tcPr>
          <w:p w14:paraId="36C405B4" w14:textId="77777777" w:rsidR="00450468" w:rsidRPr="00433A23" w:rsidRDefault="00450468" w:rsidP="005D3BFA">
            <w:pPr>
              <w:jc w:val="center"/>
            </w:pPr>
            <w:r w:rsidRPr="00433A23">
              <w:t>Next audit in 12 months/ next season</w:t>
            </w:r>
          </w:p>
        </w:tc>
        <w:tc>
          <w:tcPr>
            <w:tcW w:w="743" w:type="pct"/>
            <w:vAlign w:val="center"/>
          </w:tcPr>
          <w:p w14:paraId="191B8DC1" w14:textId="77777777" w:rsidR="00450468" w:rsidRPr="00433A23" w:rsidRDefault="00450468" w:rsidP="005D3BFA">
            <w:pPr>
              <w:jc w:val="center"/>
            </w:pPr>
            <w:r w:rsidRPr="00433A23">
              <w:t>Next audit in 12 months/ next season</w:t>
            </w:r>
          </w:p>
        </w:tc>
        <w:tc>
          <w:tcPr>
            <w:tcW w:w="826" w:type="pct"/>
            <w:vAlign w:val="center"/>
          </w:tcPr>
          <w:p w14:paraId="5119E3E7" w14:textId="77777777" w:rsidR="00450468" w:rsidRPr="00433A23" w:rsidRDefault="00450468" w:rsidP="005D3BFA">
            <w:pPr>
              <w:jc w:val="center"/>
            </w:pPr>
            <w:r w:rsidRPr="00433A23">
              <w:t>Next audit in 6 months</w:t>
            </w:r>
          </w:p>
        </w:tc>
        <w:tc>
          <w:tcPr>
            <w:tcW w:w="768" w:type="pct"/>
            <w:vAlign w:val="center"/>
          </w:tcPr>
          <w:p w14:paraId="6948F6FF" w14:textId="77777777" w:rsidR="00450468" w:rsidRPr="00433A23" w:rsidRDefault="00450468" w:rsidP="005D3BFA">
            <w:pPr>
              <w:jc w:val="center"/>
            </w:pPr>
            <w:r w:rsidRPr="00433A23">
              <w:t>Next audit in 3 months</w:t>
            </w:r>
          </w:p>
        </w:tc>
      </w:tr>
      <w:tr w:rsidR="00450468" w:rsidRPr="00433A23" w14:paraId="52C5F5B2" w14:textId="77777777" w:rsidTr="00DA6E0F">
        <w:trPr>
          <w:cantSplit/>
          <w:trHeight w:val="737"/>
        </w:trPr>
        <w:tc>
          <w:tcPr>
            <w:tcW w:w="689" w:type="pct"/>
            <w:gridSpan w:val="2"/>
            <w:vMerge/>
            <w:tcBorders>
              <w:right w:val="single" w:sz="4" w:space="0" w:color="auto"/>
            </w:tcBorders>
            <w:shd w:val="clear" w:color="auto" w:fill="D9D9D9" w:themeFill="background1" w:themeFillShade="D9"/>
            <w:textDirection w:val="btLr"/>
            <w:vAlign w:val="center"/>
          </w:tcPr>
          <w:p w14:paraId="275CBD2B" w14:textId="77777777" w:rsidR="00450468" w:rsidRPr="00433A23" w:rsidRDefault="00450468" w:rsidP="005D3BFA">
            <w:pPr>
              <w:ind w:left="113" w:right="113"/>
              <w:jc w:val="center"/>
              <w:rPr>
                <w:b/>
                <w:sz w:val="21"/>
                <w:szCs w:val="21"/>
              </w:rPr>
            </w:pP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D1EBB2" w14:textId="77777777" w:rsidR="00450468" w:rsidRPr="00433A23" w:rsidRDefault="00450468" w:rsidP="005D3BFA">
            <w:pPr>
              <w:jc w:val="center"/>
              <w:rPr>
                <w:b/>
                <w:sz w:val="21"/>
                <w:szCs w:val="21"/>
              </w:rPr>
            </w:pPr>
            <w:r w:rsidRPr="00433A23">
              <w:rPr>
                <w:b/>
                <w:sz w:val="21"/>
                <w:szCs w:val="21"/>
              </w:rPr>
              <w:t>1</w:t>
            </w:r>
          </w:p>
        </w:tc>
        <w:tc>
          <w:tcPr>
            <w:tcW w:w="682" w:type="pct"/>
            <w:tcBorders>
              <w:left w:val="single" w:sz="4" w:space="0" w:color="auto"/>
            </w:tcBorders>
            <w:vAlign w:val="center"/>
          </w:tcPr>
          <w:p w14:paraId="2F4BD3AC" w14:textId="77777777" w:rsidR="00450468" w:rsidRPr="00433A23" w:rsidRDefault="00450468" w:rsidP="005D3BFA">
            <w:pPr>
              <w:jc w:val="center"/>
            </w:pPr>
            <w:r w:rsidRPr="00433A23">
              <w:t>Next audit in 6 months</w:t>
            </w:r>
          </w:p>
        </w:tc>
        <w:tc>
          <w:tcPr>
            <w:tcW w:w="826" w:type="pct"/>
            <w:vAlign w:val="center"/>
          </w:tcPr>
          <w:p w14:paraId="0B043651" w14:textId="77777777" w:rsidR="00450468" w:rsidRPr="00433A23" w:rsidRDefault="00450468" w:rsidP="005D3BFA">
            <w:pPr>
              <w:jc w:val="center"/>
            </w:pPr>
            <w:r w:rsidRPr="00433A23">
              <w:t>Next audit in 6 months</w:t>
            </w:r>
          </w:p>
        </w:tc>
        <w:tc>
          <w:tcPr>
            <w:tcW w:w="743" w:type="pct"/>
            <w:vAlign w:val="center"/>
          </w:tcPr>
          <w:p w14:paraId="3BA48A2F" w14:textId="77777777" w:rsidR="00450468" w:rsidRPr="00433A23" w:rsidRDefault="00450468" w:rsidP="005D3BFA">
            <w:pPr>
              <w:jc w:val="center"/>
            </w:pPr>
            <w:r w:rsidRPr="00433A23">
              <w:t>Next audit in 3 months</w:t>
            </w:r>
          </w:p>
        </w:tc>
        <w:tc>
          <w:tcPr>
            <w:tcW w:w="826" w:type="pct"/>
            <w:vAlign w:val="center"/>
          </w:tcPr>
          <w:p w14:paraId="3255EEDD" w14:textId="77777777" w:rsidR="00450468" w:rsidRPr="00433A23" w:rsidRDefault="00450468" w:rsidP="005D3BFA">
            <w:pPr>
              <w:jc w:val="center"/>
            </w:pPr>
            <w:r w:rsidRPr="00433A23">
              <w:t>Next audit in 3 months</w:t>
            </w:r>
          </w:p>
        </w:tc>
        <w:tc>
          <w:tcPr>
            <w:tcW w:w="768" w:type="pct"/>
            <w:vAlign w:val="center"/>
          </w:tcPr>
          <w:p w14:paraId="25B95A32" w14:textId="293DBF82" w:rsidR="00450468" w:rsidRPr="00433A23" w:rsidRDefault="00450468" w:rsidP="005D3BFA">
            <w:pPr>
              <w:jc w:val="center"/>
            </w:pPr>
            <w:r w:rsidRPr="00433A23">
              <w:t xml:space="preserve">Refer to </w:t>
            </w:r>
            <w:r>
              <w:t>AAB delegate</w:t>
            </w:r>
          </w:p>
        </w:tc>
      </w:tr>
      <w:tr w:rsidR="00450468" w:rsidRPr="00A85CF0" w14:paraId="6409A3D7" w14:textId="77777777" w:rsidTr="00DA6E0F">
        <w:trPr>
          <w:cantSplit/>
          <w:trHeight w:val="737"/>
        </w:trPr>
        <w:tc>
          <w:tcPr>
            <w:tcW w:w="689" w:type="pct"/>
            <w:gridSpan w:val="2"/>
            <w:vMerge/>
            <w:tcBorders>
              <w:right w:val="single" w:sz="4" w:space="0" w:color="auto"/>
            </w:tcBorders>
            <w:shd w:val="clear" w:color="auto" w:fill="D9D9D9" w:themeFill="background1" w:themeFillShade="D9"/>
            <w:textDirection w:val="btLr"/>
            <w:vAlign w:val="center"/>
          </w:tcPr>
          <w:p w14:paraId="0F6F9D16" w14:textId="77777777" w:rsidR="00450468" w:rsidRPr="00433A23" w:rsidRDefault="00450468" w:rsidP="005D3BFA">
            <w:pPr>
              <w:ind w:left="113" w:right="113"/>
              <w:jc w:val="center"/>
              <w:rPr>
                <w:b/>
                <w:sz w:val="21"/>
                <w:szCs w:val="21"/>
              </w:rPr>
            </w:pP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A0C4A" w14:textId="77777777" w:rsidR="00450468" w:rsidRPr="00433A23" w:rsidRDefault="00450468" w:rsidP="005D3BFA">
            <w:pPr>
              <w:jc w:val="center"/>
              <w:rPr>
                <w:b/>
                <w:sz w:val="21"/>
                <w:szCs w:val="21"/>
              </w:rPr>
            </w:pPr>
            <w:r w:rsidRPr="00433A23">
              <w:rPr>
                <w:b/>
                <w:sz w:val="21"/>
                <w:szCs w:val="21"/>
              </w:rPr>
              <w:t>2</w:t>
            </w:r>
          </w:p>
        </w:tc>
        <w:tc>
          <w:tcPr>
            <w:tcW w:w="682" w:type="pct"/>
            <w:tcBorders>
              <w:left w:val="single" w:sz="4" w:space="0" w:color="auto"/>
            </w:tcBorders>
            <w:vAlign w:val="center"/>
          </w:tcPr>
          <w:p w14:paraId="78E64EAB" w14:textId="77777777" w:rsidR="00450468" w:rsidRPr="00433A23" w:rsidRDefault="00450468" w:rsidP="005D3BFA">
            <w:pPr>
              <w:jc w:val="center"/>
            </w:pPr>
            <w:r w:rsidRPr="00433A23">
              <w:t>Next audit in 3 months</w:t>
            </w:r>
          </w:p>
        </w:tc>
        <w:tc>
          <w:tcPr>
            <w:tcW w:w="826" w:type="pct"/>
            <w:vAlign w:val="center"/>
          </w:tcPr>
          <w:p w14:paraId="3664E384" w14:textId="40E89779" w:rsidR="00450468" w:rsidRPr="00433A23" w:rsidRDefault="00450468" w:rsidP="005D3BFA">
            <w:pPr>
              <w:jc w:val="center"/>
            </w:pPr>
            <w:r w:rsidRPr="00433A23">
              <w:t xml:space="preserve">Refer to </w:t>
            </w:r>
            <w:r>
              <w:t>AAB delegate</w:t>
            </w:r>
          </w:p>
        </w:tc>
        <w:tc>
          <w:tcPr>
            <w:tcW w:w="743" w:type="pct"/>
            <w:vAlign w:val="center"/>
          </w:tcPr>
          <w:p w14:paraId="57792049" w14:textId="3607CE1B" w:rsidR="00450468" w:rsidRPr="00433A23" w:rsidRDefault="00450468" w:rsidP="005D3BFA">
            <w:pPr>
              <w:jc w:val="center"/>
            </w:pPr>
            <w:r w:rsidRPr="00433A23">
              <w:t xml:space="preserve">Refer to </w:t>
            </w:r>
            <w:r>
              <w:t>AAB delegate</w:t>
            </w:r>
          </w:p>
        </w:tc>
        <w:tc>
          <w:tcPr>
            <w:tcW w:w="826" w:type="pct"/>
            <w:vAlign w:val="center"/>
          </w:tcPr>
          <w:p w14:paraId="5CD8687C" w14:textId="647AB0C8" w:rsidR="00450468" w:rsidRPr="00433A23" w:rsidRDefault="00450468" w:rsidP="005D3BFA">
            <w:pPr>
              <w:jc w:val="center"/>
            </w:pPr>
            <w:r w:rsidRPr="00433A23">
              <w:t xml:space="preserve">Refer to </w:t>
            </w:r>
            <w:r>
              <w:t>AAB delegate</w:t>
            </w:r>
          </w:p>
        </w:tc>
        <w:tc>
          <w:tcPr>
            <w:tcW w:w="768" w:type="pct"/>
            <w:vAlign w:val="center"/>
          </w:tcPr>
          <w:p w14:paraId="752D4053" w14:textId="51DCD3BA" w:rsidR="00450468" w:rsidRPr="001D4DEC" w:rsidRDefault="00450468" w:rsidP="005D3BFA">
            <w:pPr>
              <w:jc w:val="center"/>
            </w:pPr>
            <w:r w:rsidRPr="00433A23">
              <w:t xml:space="preserve">Refer to </w:t>
            </w:r>
            <w:r>
              <w:t>AAB delegate</w:t>
            </w:r>
          </w:p>
        </w:tc>
      </w:tr>
    </w:tbl>
    <w:p w14:paraId="60DF5A54" w14:textId="20AD4EB8" w:rsidR="006866BE" w:rsidRDefault="006866BE" w:rsidP="006866BE">
      <w:pPr>
        <w:pStyle w:val="BodyText"/>
      </w:pPr>
      <w:bookmarkStart w:id="43" w:name="_Hlk181870643"/>
      <w:r w:rsidRPr="008348B4">
        <w:rPr>
          <w:b/>
          <w:bCs/>
        </w:rPr>
        <w:t>Note</w:t>
      </w:r>
      <w:r>
        <w:t>: Any combination of non-compliance notices that exceed those in the table will default in a referral to the AAB delegate to determine the next course of action.</w:t>
      </w:r>
    </w:p>
    <w:p w14:paraId="73991F94" w14:textId="191A8BA2" w:rsidR="006866BE" w:rsidRDefault="006866BE" w:rsidP="006866BE">
      <w:pPr>
        <w:pStyle w:val="BodyText"/>
      </w:pPr>
      <w:bookmarkStart w:id="44" w:name="_Hlk181870869"/>
      <w:r>
        <w:t xml:space="preserve">The audit result will determine the timeframe for the next periodic audit.  </w:t>
      </w:r>
      <w:r w:rsidRPr="00AC2685">
        <w:t xml:space="preserve">AOs who are issued </w:t>
      </w:r>
      <w:r>
        <w:t>non-compliance notice</w:t>
      </w:r>
      <w:r w:rsidRPr="00AC2685">
        <w:t xml:space="preserve">s may have the timeframe for their next periodic audit reduced from 12 months to 6 or 3 months. A reduced timeframe allows the department </w:t>
      </w:r>
      <w:r>
        <w:t xml:space="preserve">further </w:t>
      </w:r>
      <w:r w:rsidR="00FE0D9E">
        <w:t xml:space="preserve">to </w:t>
      </w:r>
      <w:r w:rsidRPr="00AC2685">
        <w:t>monitor the AO’s performance</w:t>
      </w:r>
      <w:r>
        <w:t xml:space="preserve"> </w:t>
      </w:r>
      <w:r w:rsidRPr="00AC2685">
        <w:t xml:space="preserve">and provide additional support to the AO. </w:t>
      </w:r>
      <w:r>
        <w:t>A</w:t>
      </w:r>
      <w:r w:rsidRPr="00AC2685">
        <w:t xml:space="preserve">udit timeframes of 3 or 6 months may require rescheduling to within the same season to accommodate protocol job functions, which are heavily seasonal dependent. </w:t>
      </w:r>
    </w:p>
    <w:p w14:paraId="153C86F1" w14:textId="2649FF8C" w:rsidR="006866BE" w:rsidRDefault="006866BE" w:rsidP="006866BE">
      <w:pPr>
        <w:pStyle w:val="Heading3"/>
      </w:pPr>
      <w:bookmarkStart w:id="45" w:name="_Toc196211665"/>
      <w:bookmarkEnd w:id="43"/>
      <w:bookmarkEnd w:id="44"/>
      <w:r>
        <w:t>Variation, Suspension or Revocation of Appointment by the department</w:t>
      </w:r>
      <w:bookmarkEnd w:id="45"/>
    </w:p>
    <w:p w14:paraId="2DEB6FA0" w14:textId="7991A318" w:rsidR="006866BE" w:rsidRDefault="006866BE" w:rsidP="006866BE">
      <w:pPr>
        <w:pStyle w:val="BodyText"/>
      </w:pPr>
      <w:r>
        <w:t xml:space="preserve">Non-compliance may constitute grounds for the variation, suspension or revocation of an AO’s appointment as outlined in the Exports policy: </w:t>
      </w:r>
      <w:hyperlink w:anchor="_6._Related_Materials" w:history="1">
        <w:r w:rsidRPr="001A693E">
          <w:rPr>
            <w:rStyle w:val="Hyperlink"/>
            <w:i/>
            <w:iCs/>
          </w:rPr>
          <w:t>Management of third-party plant exports authorised officers</w:t>
        </w:r>
        <w:r w:rsidRPr="001A693E">
          <w:rPr>
            <w:rStyle w:val="Hyperlink"/>
          </w:rPr>
          <w:t>.</w:t>
        </w:r>
      </w:hyperlink>
      <w:r>
        <w:t xml:space="preserve"> </w:t>
      </w:r>
      <w:bookmarkStart w:id="46" w:name="_5.6_Refer_to"/>
      <w:bookmarkStart w:id="47" w:name="_Toc380478179"/>
      <w:bookmarkEnd w:id="40"/>
      <w:bookmarkEnd w:id="46"/>
    </w:p>
    <w:p w14:paraId="209DDB71" w14:textId="77777777" w:rsidR="006866BE" w:rsidRDefault="006866BE" w:rsidP="00A877AE">
      <w:pPr>
        <w:pStyle w:val="Heading2"/>
      </w:pPr>
      <w:bookmarkStart w:id="48" w:name="_5.7_Variation,_Suspension"/>
      <w:bookmarkStart w:id="49" w:name="_Toc196211666"/>
      <w:bookmarkEnd w:id="47"/>
      <w:bookmarkEnd w:id="48"/>
      <w:r>
        <w:t>Non-compliance detected outside of an audit</w:t>
      </w:r>
      <w:bookmarkEnd w:id="49"/>
    </w:p>
    <w:p w14:paraId="6ACC88F5" w14:textId="1170D40B" w:rsidR="006866BE" w:rsidRDefault="006866BE" w:rsidP="00A877AE">
      <w:pPr>
        <w:pStyle w:val="BodyText"/>
      </w:pPr>
      <w:r>
        <w:t>Non-compliance may be detected outside of an audit by the following:</w:t>
      </w:r>
    </w:p>
    <w:p w14:paraId="43AF0BA6" w14:textId="308375AD" w:rsidR="006866BE" w:rsidRDefault="006866BE" w:rsidP="00A877AE">
      <w:pPr>
        <w:pStyle w:val="ListBullet"/>
      </w:pPr>
      <w:r>
        <w:t>non-compliance detected by an importing country</w:t>
      </w:r>
    </w:p>
    <w:p w14:paraId="2D5EC7D5" w14:textId="3E4632DB" w:rsidR="006866BE" w:rsidRDefault="006866BE" w:rsidP="00A877AE">
      <w:pPr>
        <w:pStyle w:val="ListBullet"/>
      </w:pPr>
      <w:r>
        <w:t>documentation issues detected by the department</w:t>
      </w:r>
    </w:p>
    <w:p w14:paraId="2D684E7F" w14:textId="6BA4EAF3" w:rsidR="006866BE" w:rsidRDefault="006866BE" w:rsidP="00A877AE">
      <w:pPr>
        <w:pStyle w:val="ListBullet"/>
      </w:pPr>
      <w:r>
        <w:t>reported non-compliance by a third-party or visiting department officer.</w:t>
      </w:r>
    </w:p>
    <w:p w14:paraId="15982911" w14:textId="66B3944B" w:rsidR="006866BE" w:rsidRPr="00385C4B" w:rsidRDefault="006866BE" w:rsidP="006866BE">
      <w:pPr>
        <w:rPr>
          <w:rFonts w:cs="Calibri"/>
        </w:rPr>
      </w:pPr>
      <w:r>
        <w:t xml:space="preserve">All non-compliances detected outside of an audit will be referred to the AAB delegate. The next course of action will be determined in consultation with Plant Exports Branch and will be reviewed on a case-by-case basis. </w:t>
      </w:r>
    </w:p>
    <w:p w14:paraId="096C3D3B" w14:textId="77777777" w:rsidR="006866BE" w:rsidRPr="001D6281" w:rsidRDefault="006866BE" w:rsidP="006866BE">
      <w:r w:rsidRPr="00A877AE">
        <w:rPr>
          <w:b/>
          <w:bCs/>
        </w:rPr>
        <w:t>Note:</w:t>
      </w:r>
      <w:r>
        <w:t xml:space="preserve"> Reports of deliberate non-compliance can be confidentially made to the department's Redline on 1800 803 006.</w:t>
      </w:r>
    </w:p>
    <w:p w14:paraId="46837F37" w14:textId="77777777" w:rsidR="006866BE" w:rsidRPr="003C2EC3" w:rsidRDefault="006866BE" w:rsidP="00A877AE">
      <w:pPr>
        <w:pStyle w:val="Heading2"/>
      </w:pPr>
      <w:bookmarkStart w:id="50" w:name="_Toc196211667"/>
      <w:bookmarkStart w:id="51" w:name="_Toc43812986"/>
      <w:bookmarkEnd w:id="41"/>
      <w:r w:rsidRPr="003C2EC3">
        <w:t>Fees and Charges</w:t>
      </w:r>
      <w:bookmarkEnd w:id="50"/>
    </w:p>
    <w:p w14:paraId="3DB446E2" w14:textId="77777777" w:rsidR="006866BE" w:rsidRPr="003E0AAD" w:rsidRDefault="006866BE" w:rsidP="006866BE">
      <w:pPr>
        <w:pStyle w:val="BodyText"/>
      </w:pPr>
      <w:r w:rsidRPr="003E0AAD">
        <w:t xml:space="preserve">All activities associated with audits are subject to a fee-for-service rate. These activities include preparation and post audit activities and activities in response to </w:t>
      </w:r>
      <w:r>
        <w:t>non-compliance notice</w:t>
      </w:r>
      <w:r w:rsidRPr="003E0AAD">
        <w:t>s. Where an announced audit is cancelled, charges may still apply.</w:t>
      </w:r>
    </w:p>
    <w:p w14:paraId="48102724" w14:textId="77777777" w:rsidR="006866BE" w:rsidRDefault="006866BE" w:rsidP="006866BE">
      <w:pPr>
        <w:pStyle w:val="BodyText"/>
      </w:pPr>
      <w:r w:rsidRPr="003E0AAD">
        <w:rPr>
          <w:b/>
        </w:rPr>
        <w:lastRenderedPageBreak/>
        <w:t>Note</w:t>
      </w:r>
      <w:r w:rsidRPr="003E0AAD">
        <w:t xml:space="preserve">: Information about the fee-for-service rate for audits is available in the department’s </w:t>
      </w:r>
      <w:hyperlink w:anchor="_Related_material_1" w:history="1">
        <w:r w:rsidRPr="00450468">
          <w:rPr>
            <w:rStyle w:val="Hyperlink"/>
          </w:rPr>
          <w:t>Charging Guidelines</w:t>
        </w:r>
      </w:hyperlink>
      <w:r w:rsidRPr="003E0AAD">
        <w:t>.</w:t>
      </w:r>
    </w:p>
    <w:p w14:paraId="2EBA5E28" w14:textId="77777777" w:rsidR="006866BE" w:rsidRDefault="006866BE" w:rsidP="006866BE">
      <w:pPr>
        <w:pStyle w:val="Heading2"/>
      </w:pPr>
      <w:bookmarkStart w:id="52" w:name="_Toc196211668"/>
      <w:r>
        <w:t>Record keeping</w:t>
      </w:r>
      <w:bookmarkEnd w:id="51"/>
      <w:bookmarkEnd w:id="52"/>
    </w:p>
    <w:p w14:paraId="3EBAE259" w14:textId="78DF48F4" w:rsidR="006866BE" w:rsidRPr="003C2EC3" w:rsidRDefault="006866BE" w:rsidP="006866BE">
      <w:pPr>
        <w:pStyle w:val="BodyText"/>
        <w:rPr>
          <w:rFonts w:eastAsiaTheme="majorEastAsia" w:cstheme="majorBidi"/>
          <w:b/>
          <w:bCs/>
          <w:sz w:val="26"/>
        </w:rPr>
      </w:pPr>
      <w:r>
        <w:t>The AOs and the department must retain documentation in relation to audits for a period of at least 2 years.</w:t>
      </w:r>
    </w:p>
    <w:p w14:paraId="228A448E" w14:textId="77777777" w:rsidR="006866BE" w:rsidRDefault="006866BE" w:rsidP="006866BE">
      <w:pPr>
        <w:pStyle w:val="Heading2"/>
      </w:pPr>
      <w:bookmarkStart w:id="53" w:name="_6._Related_Materials"/>
      <w:bookmarkStart w:id="54" w:name="_Related_Materials"/>
      <w:bookmarkStart w:id="55" w:name="_67._RelatedELATED_MaterialsATERIALS"/>
      <w:bookmarkStart w:id="56" w:name="_Related_Material"/>
      <w:bookmarkStart w:id="57" w:name="_Toc196211669"/>
      <w:bookmarkEnd w:id="53"/>
      <w:bookmarkEnd w:id="54"/>
      <w:bookmarkEnd w:id="55"/>
      <w:bookmarkEnd w:id="56"/>
      <w:r>
        <w:t>Related Material</w:t>
      </w:r>
      <w:bookmarkEnd w:id="57"/>
    </w:p>
    <w:p w14:paraId="2D74B55B" w14:textId="77777777" w:rsidR="006866BE" w:rsidRDefault="006866BE" w:rsidP="006866BE">
      <w:r>
        <w:t>The following related material is available on the department’s website:</w:t>
      </w:r>
    </w:p>
    <w:p w14:paraId="715E3F9E" w14:textId="77777777" w:rsidR="006866BE" w:rsidRDefault="006866BE" w:rsidP="006866BE">
      <w:pPr>
        <w:pStyle w:val="ListParagraph"/>
        <w:numPr>
          <w:ilvl w:val="0"/>
          <w:numId w:val="79"/>
        </w:numPr>
      </w:pPr>
      <w:hyperlink r:id="rId12" w:history="1">
        <w:r w:rsidRPr="00581F99">
          <w:rPr>
            <w:rStyle w:val="Hyperlink"/>
          </w:rPr>
          <w:t>Plant and Plant Products Authorised Officers webpage</w:t>
        </w:r>
      </w:hyperlink>
    </w:p>
    <w:p w14:paraId="47BB8F40" w14:textId="4E598FF9" w:rsidR="006866BE" w:rsidRPr="00A877AE" w:rsidRDefault="006866BE" w:rsidP="006866BE">
      <w:pPr>
        <w:pStyle w:val="ListParagraph"/>
        <w:numPr>
          <w:ilvl w:val="0"/>
          <w:numId w:val="79"/>
        </w:numPr>
        <w:rPr>
          <w:rStyle w:val="Hyperlink"/>
        </w:rPr>
      </w:pPr>
      <w:r>
        <w:rPr>
          <w:rStyle w:val="Hyperlink"/>
        </w:rPr>
        <w:fldChar w:fldCharType="begin"/>
      </w:r>
      <w:r>
        <w:rPr>
          <w:rStyle w:val="Hyperlink"/>
        </w:rPr>
        <w:instrText>HYPERLINK "https://www.agriculture.gov.au/fees/charging-guidelines"</w:instrText>
      </w:r>
      <w:r>
        <w:rPr>
          <w:rStyle w:val="Hyperlink"/>
        </w:rPr>
      </w:r>
      <w:r>
        <w:rPr>
          <w:rStyle w:val="Hyperlink"/>
        </w:rPr>
        <w:fldChar w:fldCharType="separate"/>
      </w:r>
      <w:r w:rsidRPr="00660FAE">
        <w:rPr>
          <w:rStyle w:val="Hyperlink"/>
        </w:rPr>
        <w:t>Department of Agriculture, Fisheries and Forestry Charging Guidelines</w:t>
      </w:r>
    </w:p>
    <w:p w14:paraId="01737806" w14:textId="5CF534E6" w:rsidR="006866BE" w:rsidRPr="00A877AE" w:rsidRDefault="006866BE" w:rsidP="006866BE">
      <w:pPr>
        <w:pStyle w:val="ListParagraph"/>
        <w:numPr>
          <w:ilvl w:val="0"/>
          <w:numId w:val="79"/>
        </w:numPr>
        <w:rPr>
          <w:rStyle w:val="Hyperlink"/>
          <w:color w:val="auto"/>
          <w:u w:val="none"/>
        </w:rPr>
      </w:pPr>
      <w:r>
        <w:rPr>
          <w:rStyle w:val="Hyperlink"/>
        </w:rPr>
        <w:fldChar w:fldCharType="end"/>
      </w:r>
      <w:hyperlink r:id="rId13" w:history="1">
        <w:r w:rsidRPr="00E6754F">
          <w:rPr>
            <w:rStyle w:val="Hyperlink"/>
          </w:rPr>
          <w:t>Compliance Case Management System (CCMS)</w:t>
        </w:r>
      </w:hyperlink>
    </w:p>
    <w:p w14:paraId="45D035A0" w14:textId="5141F51B" w:rsidR="006866BE" w:rsidRPr="007A5038" w:rsidRDefault="006866BE" w:rsidP="00A877AE">
      <w:pPr>
        <w:pStyle w:val="ListParagraph"/>
        <w:numPr>
          <w:ilvl w:val="0"/>
          <w:numId w:val="79"/>
        </w:numPr>
      </w:pPr>
      <w:r>
        <w:t xml:space="preserve">Exports work instruction: </w:t>
      </w:r>
      <w:r w:rsidRPr="007A5038">
        <w:rPr>
          <w:i/>
          <w:iCs/>
        </w:rPr>
        <w:t>Writing audit reports</w:t>
      </w:r>
    </w:p>
    <w:p w14:paraId="5FA624D9" w14:textId="394837E5" w:rsidR="006866BE" w:rsidRDefault="006866BE" w:rsidP="006866BE">
      <w:pPr>
        <w:pStyle w:val="ListParagraph"/>
        <w:numPr>
          <w:ilvl w:val="0"/>
          <w:numId w:val="79"/>
        </w:numPr>
      </w:pPr>
      <w:r>
        <w:t>Exports policy</w:t>
      </w:r>
      <w:r w:rsidR="00450468">
        <w:t>:</w:t>
      </w:r>
      <w:r>
        <w:t xml:space="preserve"> </w:t>
      </w:r>
      <w:hyperlink r:id="rId14" w:history="1">
        <w:r w:rsidRPr="0021473B">
          <w:rPr>
            <w:rStyle w:val="Hyperlink"/>
            <w:i/>
            <w:iCs/>
          </w:rPr>
          <w:t>Management of third-party plant exports authorised officers</w:t>
        </w:r>
      </w:hyperlink>
    </w:p>
    <w:p w14:paraId="03E08974" w14:textId="77777777" w:rsidR="006866BE" w:rsidRPr="007A5038" w:rsidRDefault="006866BE" w:rsidP="006866BE">
      <w:pPr>
        <w:pStyle w:val="ListParagraph"/>
        <w:numPr>
          <w:ilvl w:val="0"/>
          <w:numId w:val="79"/>
        </w:numPr>
        <w:spacing w:after="0"/>
      </w:pPr>
      <w:hyperlink r:id="rId15" w:anchor="accredited-properties" w:history="1">
        <w:r w:rsidRPr="007A5038">
          <w:rPr>
            <w:rStyle w:val="Hyperlink"/>
          </w:rPr>
          <w:t>Plant Export Operations Manual</w:t>
        </w:r>
      </w:hyperlink>
      <w:r w:rsidRPr="007A5038">
        <w:t>:</w:t>
      </w:r>
    </w:p>
    <w:p w14:paraId="5805DAD7" w14:textId="12A5138A" w:rsidR="006866BE" w:rsidRPr="00A877AE" w:rsidRDefault="00697883" w:rsidP="006866BE">
      <w:pPr>
        <w:pStyle w:val="ListBullet"/>
        <w:numPr>
          <w:ilvl w:val="0"/>
          <w:numId w:val="90"/>
        </w:numPr>
        <w:ind w:left="709"/>
      </w:pPr>
      <w:r>
        <w:t>Departmental p</w:t>
      </w:r>
      <w:r w:rsidR="00472984">
        <w:t>olicy</w:t>
      </w:r>
      <w:r w:rsidR="006866BE" w:rsidRPr="007A5038">
        <w:t xml:space="preserve">: </w:t>
      </w:r>
      <w:r w:rsidR="006866BE" w:rsidRPr="007A5038">
        <w:rPr>
          <w:i/>
          <w:iCs/>
        </w:rPr>
        <w:t>Audit of plant export operations</w:t>
      </w:r>
    </w:p>
    <w:p w14:paraId="4189169A" w14:textId="265EDC96" w:rsidR="006866BE" w:rsidRPr="007A5038" w:rsidRDefault="006866BE" w:rsidP="006866BE">
      <w:pPr>
        <w:pStyle w:val="ListBullet"/>
        <w:numPr>
          <w:ilvl w:val="0"/>
          <w:numId w:val="90"/>
        </w:numPr>
        <w:ind w:left="709"/>
      </w:pPr>
      <w:r>
        <w:t>Exports r</w:t>
      </w:r>
      <w:r w:rsidRPr="007A5038">
        <w:t xml:space="preserve">eference: </w:t>
      </w:r>
      <w:r w:rsidRPr="007A5038">
        <w:rPr>
          <w:i/>
          <w:iCs/>
        </w:rPr>
        <w:t>User guide - Plant exports compliance, approval and running records user guide</w:t>
      </w:r>
    </w:p>
    <w:p w14:paraId="4334E14B" w14:textId="20412236" w:rsidR="006866BE" w:rsidRPr="007A5038" w:rsidRDefault="006866BE" w:rsidP="006866BE">
      <w:pPr>
        <w:pStyle w:val="ListBullet"/>
        <w:numPr>
          <w:ilvl w:val="0"/>
          <w:numId w:val="90"/>
        </w:numPr>
        <w:ind w:left="709"/>
      </w:pPr>
      <w:r>
        <w:t>Exports</w:t>
      </w:r>
      <w:r w:rsidRPr="007A5038">
        <w:t xml:space="preserve"> </w:t>
      </w:r>
      <w:r>
        <w:t>r</w:t>
      </w:r>
      <w:r w:rsidRPr="007A5038">
        <w:t xml:space="preserve">eference: </w:t>
      </w:r>
      <w:r w:rsidRPr="007A5038">
        <w:rPr>
          <w:i/>
          <w:iCs/>
        </w:rPr>
        <w:t>Table of authorised officer job functions</w:t>
      </w:r>
    </w:p>
    <w:p w14:paraId="5EB3E1CC" w14:textId="7DCA4289" w:rsidR="006866BE" w:rsidRPr="007A5038" w:rsidRDefault="006866BE" w:rsidP="006866BE">
      <w:pPr>
        <w:pStyle w:val="ListBullet"/>
        <w:numPr>
          <w:ilvl w:val="0"/>
          <w:numId w:val="90"/>
        </w:numPr>
        <w:ind w:left="709"/>
      </w:pPr>
      <w:r>
        <w:t>Exports</w:t>
      </w:r>
      <w:r w:rsidRPr="007A5038">
        <w:t xml:space="preserve"> </w:t>
      </w:r>
      <w:r>
        <w:t>r</w:t>
      </w:r>
      <w:r w:rsidRPr="007A5038">
        <w:t xml:space="preserve">eference: </w:t>
      </w:r>
      <w:r w:rsidRPr="007A5038">
        <w:rPr>
          <w:i/>
          <w:iCs/>
        </w:rPr>
        <w:t>Table of horticulture protocol markets</w:t>
      </w:r>
      <w:r w:rsidRPr="007A5038">
        <w:t>​</w:t>
      </w:r>
    </w:p>
    <w:p w14:paraId="35EA2A00" w14:textId="53678891" w:rsidR="006866BE" w:rsidRPr="007A5038" w:rsidRDefault="006866BE" w:rsidP="006866BE">
      <w:pPr>
        <w:pStyle w:val="ListBullet"/>
        <w:numPr>
          <w:ilvl w:val="0"/>
          <w:numId w:val="90"/>
        </w:numPr>
        <w:ind w:left="709"/>
      </w:pPr>
      <w:r>
        <w:t>Exports</w:t>
      </w:r>
      <w:r w:rsidRPr="007A5038">
        <w:t xml:space="preserve"> </w:t>
      </w:r>
      <w:r>
        <w:t>process instruction</w:t>
      </w:r>
      <w:r w:rsidRPr="007A5038">
        <w:t xml:space="preserve">: </w:t>
      </w:r>
      <w:r w:rsidRPr="007A5038">
        <w:rPr>
          <w:i/>
          <w:iCs/>
        </w:rPr>
        <w:t>Inspection of horticulture for export</w:t>
      </w:r>
      <w:r w:rsidRPr="007A5038">
        <w:t xml:space="preserve"> </w:t>
      </w:r>
    </w:p>
    <w:p w14:paraId="735A0223" w14:textId="45EEF3D3" w:rsidR="006866BE" w:rsidRDefault="006866BE" w:rsidP="006866BE">
      <w:pPr>
        <w:pStyle w:val="ListBullet"/>
        <w:numPr>
          <w:ilvl w:val="0"/>
          <w:numId w:val="90"/>
        </w:numPr>
        <w:ind w:left="709"/>
      </w:pPr>
      <w:r>
        <w:t xml:space="preserve">Exports process instruction: </w:t>
      </w:r>
      <w:r w:rsidRPr="007A5038">
        <w:rPr>
          <w:i/>
          <w:iCs/>
        </w:rPr>
        <w:t>Inspection of prescribed grain and plant products</w:t>
      </w:r>
      <w:r>
        <w:t xml:space="preserve"> </w:t>
      </w:r>
    </w:p>
    <w:p w14:paraId="5F10E522" w14:textId="7B0CB4A0" w:rsidR="006866BE" w:rsidRDefault="006866BE" w:rsidP="006866BE">
      <w:pPr>
        <w:pStyle w:val="ListBullet"/>
        <w:numPr>
          <w:ilvl w:val="0"/>
          <w:numId w:val="90"/>
        </w:numPr>
        <w:ind w:left="709"/>
      </w:pPr>
      <w:r>
        <w:t xml:space="preserve">Exports process instruction: </w:t>
      </w:r>
      <w:r w:rsidRPr="007A5038">
        <w:rPr>
          <w:i/>
          <w:iCs/>
        </w:rPr>
        <w:t xml:space="preserve">Inspection of hay and straw for export </w:t>
      </w:r>
    </w:p>
    <w:p w14:paraId="26334343" w14:textId="317A4933" w:rsidR="006866BE" w:rsidRPr="007A5038" w:rsidRDefault="006866BE" w:rsidP="006866BE">
      <w:pPr>
        <w:pStyle w:val="ListBullet"/>
        <w:numPr>
          <w:ilvl w:val="0"/>
          <w:numId w:val="90"/>
        </w:numPr>
        <w:ind w:left="709"/>
      </w:pPr>
      <w:r>
        <w:t xml:space="preserve">Exports process instruction: </w:t>
      </w:r>
      <w:r w:rsidRPr="007A5038">
        <w:rPr>
          <w:i/>
          <w:iCs/>
        </w:rPr>
        <w:t>Inspection of forest products</w:t>
      </w:r>
    </w:p>
    <w:p w14:paraId="17A82920" w14:textId="3B56F2BC" w:rsidR="006866BE" w:rsidRDefault="006866BE" w:rsidP="006866BE">
      <w:pPr>
        <w:pStyle w:val="ListBullet"/>
        <w:numPr>
          <w:ilvl w:val="0"/>
          <w:numId w:val="90"/>
        </w:numPr>
        <w:ind w:left="709"/>
      </w:pPr>
      <w:r>
        <w:t xml:space="preserve">Exports reference: </w:t>
      </w:r>
      <w:r w:rsidRPr="007A5038">
        <w:rPr>
          <w:i/>
          <w:iCs/>
        </w:rPr>
        <w:t>Authorised officer performance standards</w:t>
      </w:r>
      <w:r>
        <w:t xml:space="preserve">. </w:t>
      </w:r>
    </w:p>
    <w:p w14:paraId="293E648D" w14:textId="77777777" w:rsidR="006866BE" w:rsidRPr="00E45DB3" w:rsidRDefault="006866BE" w:rsidP="006866BE">
      <w:pPr>
        <w:pStyle w:val="BodyText"/>
      </w:pPr>
      <w:r>
        <w:t xml:space="preserve">WHS </w:t>
      </w:r>
      <w:r w:rsidRPr="000266B5">
        <w:t>material</w:t>
      </w:r>
      <w:r>
        <w:t xml:space="preserve"> </w:t>
      </w:r>
      <w:r w:rsidRPr="00E45DB3">
        <w:t xml:space="preserve">is available on the </w:t>
      </w:r>
      <w:hyperlink r:id="rId16" w:history="1">
        <w:r w:rsidRPr="00CB1E7F">
          <w:rPr>
            <w:rStyle w:val="Hyperlink"/>
          </w:rPr>
          <w:t>Instructional Material Library</w:t>
        </w:r>
      </w:hyperlink>
      <w:r>
        <w:t xml:space="preserve"> </w:t>
      </w:r>
      <w:r w:rsidRPr="00E45DB3">
        <w:t>for departmental AOs</w:t>
      </w:r>
      <w:r>
        <w:t>.</w:t>
      </w:r>
    </w:p>
    <w:p w14:paraId="59A44A57" w14:textId="77777777" w:rsidR="006866BE" w:rsidRPr="00E815AF" w:rsidRDefault="006866BE" w:rsidP="006866BE">
      <w:pPr>
        <w:pStyle w:val="Heading2"/>
      </w:pPr>
      <w:bookmarkStart w:id="58" w:name="_Toc26360969"/>
      <w:bookmarkStart w:id="59" w:name="_Toc196211670"/>
      <w:r w:rsidRPr="00E815AF">
        <w:t>Contact information</w:t>
      </w:r>
      <w:bookmarkEnd w:id="58"/>
      <w:bookmarkEnd w:id="59"/>
    </w:p>
    <w:p w14:paraId="0EC4D2A3" w14:textId="62B4C3F3" w:rsidR="006866BE" w:rsidRPr="00FA18EE" w:rsidRDefault="006866BE" w:rsidP="006866BE">
      <w:pPr>
        <w:pStyle w:val="ListBullet"/>
        <w:numPr>
          <w:ilvl w:val="0"/>
          <w:numId w:val="94"/>
        </w:numPr>
        <w:rPr>
          <w:rStyle w:val="Hyperlink"/>
          <w:color w:val="auto"/>
          <w:u w:val="none"/>
        </w:rPr>
      </w:pPr>
      <w:r w:rsidRPr="00282CA5">
        <w:t xml:space="preserve">Audit and Assurance </w:t>
      </w:r>
      <w:r>
        <w:t>Branch</w:t>
      </w:r>
      <w:r w:rsidRPr="00282CA5">
        <w:t xml:space="preserve">: </w:t>
      </w:r>
      <w:hyperlink r:id="rId17" w:history="1">
        <w:r w:rsidRPr="00B8380A">
          <w:rPr>
            <w:rStyle w:val="Hyperlink"/>
          </w:rPr>
          <w:t>AuditServices@aff.gov.au</w:t>
        </w:r>
      </w:hyperlink>
    </w:p>
    <w:p w14:paraId="2FD16153" w14:textId="77777777" w:rsidR="006866BE" w:rsidRDefault="006866BE" w:rsidP="006866BE">
      <w:pPr>
        <w:pStyle w:val="ListBullet"/>
        <w:numPr>
          <w:ilvl w:val="0"/>
          <w:numId w:val="94"/>
        </w:numPr>
      </w:pPr>
      <w:r w:rsidRPr="003E0AAD">
        <w:t xml:space="preserve">Business Systems Program: </w:t>
      </w:r>
      <w:hyperlink r:id="rId18" w:history="1">
        <w:r w:rsidRPr="000F5CAE">
          <w:rPr>
            <w:rStyle w:val="Hyperlink"/>
          </w:rPr>
          <w:t>PlantExportsFinanceandAssurance@aff.gov.au</w:t>
        </w:r>
      </w:hyperlink>
      <w:r w:rsidRPr="003E0AAD">
        <w:t xml:space="preserve"> </w:t>
      </w:r>
    </w:p>
    <w:p w14:paraId="0E8F8A24" w14:textId="77777777" w:rsidR="006866BE" w:rsidRPr="003E0AAD" w:rsidRDefault="006866BE" w:rsidP="006866BE">
      <w:pPr>
        <w:pStyle w:val="ListBullet"/>
        <w:numPr>
          <w:ilvl w:val="0"/>
          <w:numId w:val="94"/>
        </w:numPr>
      </w:pPr>
      <w:r>
        <w:t xml:space="preserve">Authorised Officer Program: </w:t>
      </w:r>
      <w:hyperlink r:id="rId19" w:tgtFrame="_blank" w:tooltip="mailto:plantexporttraining@aff.gov.au" w:history="1">
        <w:r>
          <w:rPr>
            <w:rStyle w:val="Hyperlink"/>
          </w:rPr>
          <w:t>PlantExportTraining@aff.gov.au</w:t>
        </w:r>
      </w:hyperlink>
    </w:p>
    <w:p w14:paraId="33B34A84" w14:textId="77777777" w:rsidR="006866BE" w:rsidRPr="003E0AAD" w:rsidRDefault="006866BE" w:rsidP="006866BE">
      <w:pPr>
        <w:pStyle w:val="ListBullet"/>
        <w:numPr>
          <w:ilvl w:val="0"/>
          <w:numId w:val="94"/>
        </w:numPr>
      </w:pPr>
      <w:r w:rsidRPr="003E0AAD">
        <w:t xml:space="preserve">Grain Exports Program: </w:t>
      </w:r>
      <w:hyperlink r:id="rId20" w:history="1">
        <w:r w:rsidRPr="001E5A7B">
          <w:rPr>
            <w:rStyle w:val="Hyperlink"/>
          </w:rPr>
          <w:t>Grain.Export@aff.gov.au</w:t>
        </w:r>
      </w:hyperlink>
    </w:p>
    <w:p w14:paraId="003E6FB7" w14:textId="77777777" w:rsidR="006866BE" w:rsidRPr="003E0AAD" w:rsidRDefault="006866BE" w:rsidP="006866BE">
      <w:pPr>
        <w:pStyle w:val="ListBullet"/>
        <w:numPr>
          <w:ilvl w:val="0"/>
          <w:numId w:val="94"/>
        </w:numPr>
      </w:pPr>
      <w:r w:rsidRPr="003E0AAD">
        <w:t xml:space="preserve">Horticulture Exports Program: </w:t>
      </w:r>
      <w:hyperlink r:id="rId21" w:history="1">
        <w:r w:rsidRPr="001E5A7B">
          <w:rPr>
            <w:rStyle w:val="Hyperlink"/>
          </w:rPr>
          <w:t>HorticultureExports@aff.gov.au</w:t>
        </w:r>
      </w:hyperlink>
    </w:p>
    <w:p w14:paraId="76507713" w14:textId="77777777" w:rsidR="006866BE" w:rsidRPr="003E0AAD" w:rsidRDefault="006866BE" w:rsidP="006866BE">
      <w:pPr>
        <w:pStyle w:val="ListBullet"/>
        <w:numPr>
          <w:ilvl w:val="0"/>
          <w:numId w:val="94"/>
        </w:numPr>
      </w:pPr>
      <w:r w:rsidRPr="003E0AAD">
        <w:t>Redline: 1800 803 006</w:t>
      </w:r>
    </w:p>
    <w:p w14:paraId="07F50B91" w14:textId="4BCE2F6C" w:rsidR="006866BE" w:rsidRDefault="006866BE" w:rsidP="006866BE">
      <w:pPr>
        <w:rPr>
          <w:rStyle w:val="Hyperlink"/>
          <w:highlight w:val="yellow"/>
        </w:rPr>
      </w:pPr>
    </w:p>
    <w:p w14:paraId="10A1B979" w14:textId="77777777" w:rsidR="00450468" w:rsidRDefault="00450468" w:rsidP="00450468">
      <w:pPr>
        <w:rPr>
          <w:rStyle w:val="Hyperlink"/>
          <w:highlight w:val="yellow"/>
        </w:rPr>
      </w:pPr>
    </w:p>
    <w:p w14:paraId="750F5354" w14:textId="77777777" w:rsidR="00450468" w:rsidRDefault="00450468" w:rsidP="00450468">
      <w:pPr>
        <w:rPr>
          <w:rStyle w:val="Hyperlink"/>
          <w:highlight w:val="yellow"/>
        </w:rPr>
      </w:pPr>
    </w:p>
    <w:p w14:paraId="5EE53553" w14:textId="77777777" w:rsidR="00FE0D9E" w:rsidRDefault="00FE0D9E" w:rsidP="00450468">
      <w:pPr>
        <w:rPr>
          <w:rStyle w:val="Hyperlink"/>
          <w:highlight w:val="yellow"/>
        </w:rPr>
      </w:pPr>
    </w:p>
    <w:p w14:paraId="54519D33" w14:textId="77777777" w:rsidR="00FE0D9E" w:rsidRDefault="00FE0D9E" w:rsidP="00450468">
      <w:pPr>
        <w:rPr>
          <w:rStyle w:val="Hyperlink"/>
          <w:highlight w:val="yellow"/>
        </w:rPr>
      </w:pPr>
    </w:p>
    <w:p w14:paraId="180C66FB" w14:textId="77777777" w:rsidR="00FE0D9E" w:rsidRDefault="00FE0D9E" w:rsidP="00450468">
      <w:pPr>
        <w:rPr>
          <w:rStyle w:val="Hyperlink"/>
          <w:highlight w:val="yellow"/>
        </w:rPr>
      </w:pPr>
    </w:p>
    <w:p w14:paraId="1AA1852D" w14:textId="77777777" w:rsidR="00FE0D9E" w:rsidRDefault="00FE0D9E" w:rsidP="00450468">
      <w:pPr>
        <w:rPr>
          <w:rStyle w:val="Hyperlink"/>
          <w:highlight w:val="yellow"/>
        </w:rPr>
      </w:pPr>
    </w:p>
    <w:p w14:paraId="1FF742CC" w14:textId="77777777" w:rsidR="00450468" w:rsidRDefault="00450468" w:rsidP="00450468">
      <w:pPr>
        <w:rPr>
          <w:rStyle w:val="Hyperlink"/>
          <w:highlight w:val="yellow"/>
        </w:rPr>
      </w:pPr>
    </w:p>
    <w:p w14:paraId="730DE493" w14:textId="77777777" w:rsidR="006866BE" w:rsidRPr="00A877AE" w:rsidRDefault="006866BE" w:rsidP="00A877AE">
      <w:pPr>
        <w:rPr>
          <w:sz w:val="28"/>
          <w:szCs w:val="28"/>
        </w:rPr>
      </w:pPr>
      <w:r w:rsidRPr="00A877AE">
        <w:rPr>
          <w:b/>
          <w:bCs/>
          <w:sz w:val="28"/>
          <w:szCs w:val="28"/>
        </w:rPr>
        <w:lastRenderedPageBreak/>
        <w:t>Document information</w:t>
      </w:r>
      <w:bookmarkEnd w:id="42"/>
    </w:p>
    <w:p w14:paraId="7706D5E8" w14:textId="77777777" w:rsidR="006866BE" w:rsidRDefault="006866BE" w:rsidP="006866BE">
      <w:pPr>
        <w:pStyle w:val="BodyText"/>
      </w:pPr>
      <w:r w:rsidRPr="003C5AE3">
        <w:t>The following table contains administrative metadata.</w:t>
      </w:r>
      <w:bookmarkStart w:id="60" w:name="_Toc446076654"/>
    </w:p>
    <w:tbl>
      <w:tblPr>
        <w:tblStyle w:val="TableGrid"/>
        <w:tblW w:w="901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Description w:val="Document information"/>
      </w:tblPr>
      <w:tblGrid>
        <w:gridCol w:w="2268"/>
        <w:gridCol w:w="6746"/>
      </w:tblGrid>
      <w:tr w:rsidR="006866BE" w:rsidRPr="00AB3E94" w14:paraId="3D4317FB" w14:textId="77777777" w:rsidTr="005D3BFA">
        <w:trPr>
          <w:tblHeader/>
        </w:trPr>
        <w:tc>
          <w:tcPr>
            <w:tcW w:w="2268" w:type="dxa"/>
            <w:shd w:val="clear" w:color="auto" w:fill="D9D9D9" w:themeFill="background1" w:themeFillShade="D9"/>
          </w:tcPr>
          <w:p w14:paraId="5C4924E2" w14:textId="602F3C6C" w:rsidR="006866BE" w:rsidRPr="00AB3E94" w:rsidRDefault="00A877AE" w:rsidP="005D3BFA">
            <w:pPr>
              <w:pStyle w:val="BodyText"/>
              <w:rPr>
                <w:b/>
              </w:rPr>
            </w:pPr>
            <w:bookmarkStart w:id="61" w:name="_Hlk187226047"/>
            <w:r w:rsidRPr="00AB3E94">
              <w:rPr>
                <w:b/>
              </w:rPr>
              <w:t>Instructional Material Library document ID</w:t>
            </w:r>
          </w:p>
        </w:tc>
        <w:tc>
          <w:tcPr>
            <w:tcW w:w="6746" w:type="dxa"/>
            <w:shd w:val="clear" w:color="auto" w:fill="FFFFFF" w:themeFill="background1"/>
          </w:tcPr>
          <w:p w14:paraId="7D18D8D3" w14:textId="3662E130" w:rsidR="006866BE" w:rsidRPr="00AB3E94" w:rsidRDefault="00A877AE" w:rsidP="005D3BFA">
            <w:pPr>
              <w:rPr>
                <w:rFonts w:eastAsia="Times New Roman"/>
                <w:bCs/>
                <w:szCs w:val="24"/>
              </w:rPr>
            </w:pPr>
            <w:r>
              <w:rPr>
                <w:rFonts w:eastAsia="Times New Roman"/>
                <w:bCs/>
                <w:szCs w:val="24"/>
              </w:rPr>
              <w:t>IMLS-9-7665</w:t>
            </w:r>
          </w:p>
        </w:tc>
      </w:tr>
      <w:tr w:rsidR="006866BE" w:rsidRPr="00AB3E94" w14:paraId="1ADE4CB4" w14:textId="77777777" w:rsidTr="005D3BFA">
        <w:trPr>
          <w:tblHeader/>
        </w:trPr>
        <w:tc>
          <w:tcPr>
            <w:tcW w:w="2268" w:type="dxa"/>
            <w:shd w:val="clear" w:color="auto" w:fill="D9D9D9" w:themeFill="background1" w:themeFillShade="D9"/>
          </w:tcPr>
          <w:p w14:paraId="51FBBF71" w14:textId="77777777" w:rsidR="006866BE" w:rsidRPr="00AB3E94" w:rsidRDefault="006866BE" w:rsidP="005D3BFA">
            <w:pPr>
              <w:pStyle w:val="BodyText"/>
              <w:rPr>
                <w:b/>
              </w:rPr>
            </w:pPr>
            <w:r w:rsidRPr="00AB3E94">
              <w:rPr>
                <w:b/>
              </w:rPr>
              <w:t>Instructional material owner</w:t>
            </w:r>
          </w:p>
        </w:tc>
        <w:tc>
          <w:tcPr>
            <w:tcW w:w="6746" w:type="dxa"/>
            <w:shd w:val="clear" w:color="auto" w:fill="FFFFFF" w:themeFill="background1"/>
          </w:tcPr>
          <w:p w14:paraId="41EC21ED" w14:textId="6A7ED4AF" w:rsidR="006866BE" w:rsidRPr="00AB3E94" w:rsidRDefault="006866BE" w:rsidP="005D3BFA">
            <w:pPr>
              <w:rPr>
                <w:rFonts w:eastAsia="Times New Roman"/>
                <w:bCs/>
                <w:szCs w:val="24"/>
              </w:rPr>
            </w:pPr>
            <w:r w:rsidRPr="00AB3E94">
              <w:rPr>
                <w:rFonts w:eastAsia="Times New Roman"/>
                <w:bCs/>
                <w:szCs w:val="24"/>
              </w:rPr>
              <w:t xml:space="preserve">Director, </w:t>
            </w:r>
            <w:r w:rsidR="00A877AE">
              <w:rPr>
                <w:rFonts w:eastAsia="Times New Roman"/>
                <w:bCs/>
                <w:szCs w:val="24"/>
              </w:rPr>
              <w:t>Business System Program</w:t>
            </w:r>
          </w:p>
        </w:tc>
      </w:tr>
      <w:tr w:rsidR="006866BE" w:rsidRPr="00AB3E94" w14:paraId="54BCFBC3" w14:textId="77777777" w:rsidTr="005D3BFA">
        <w:trPr>
          <w:tblHeader/>
        </w:trPr>
        <w:tc>
          <w:tcPr>
            <w:tcW w:w="2268" w:type="dxa"/>
            <w:shd w:val="clear" w:color="auto" w:fill="D9D9D9" w:themeFill="background1" w:themeFillShade="D9"/>
          </w:tcPr>
          <w:p w14:paraId="5D31536E" w14:textId="77777777" w:rsidR="006866BE" w:rsidRPr="00AB3E94" w:rsidRDefault="006866BE" w:rsidP="005D3BFA">
            <w:pPr>
              <w:pStyle w:val="BodyText"/>
              <w:rPr>
                <w:b/>
              </w:rPr>
            </w:pPr>
            <w:r w:rsidRPr="00AB3E94">
              <w:rPr>
                <w:b/>
              </w:rPr>
              <w:t>Risk rating</w:t>
            </w:r>
          </w:p>
        </w:tc>
        <w:tc>
          <w:tcPr>
            <w:tcW w:w="6746" w:type="dxa"/>
            <w:shd w:val="clear" w:color="auto" w:fill="FFFFFF" w:themeFill="background1"/>
          </w:tcPr>
          <w:p w14:paraId="485A8C16" w14:textId="1B6DD123" w:rsidR="006866BE" w:rsidRPr="00AB3E94" w:rsidRDefault="006866BE" w:rsidP="005D3BFA">
            <w:pPr>
              <w:pStyle w:val="BodyText"/>
              <w:rPr>
                <w:bCs/>
              </w:rPr>
            </w:pPr>
            <w:r w:rsidRPr="00AB3E94">
              <w:rPr>
                <w:bCs/>
              </w:rPr>
              <w:t>Medium</w:t>
            </w:r>
          </w:p>
        </w:tc>
      </w:tr>
      <w:tr w:rsidR="006866BE" w:rsidRPr="00AB3E94" w14:paraId="1AB64C57" w14:textId="77777777" w:rsidTr="005D3BFA">
        <w:tc>
          <w:tcPr>
            <w:tcW w:w="2268" w:type="dxa"/>
            <w:shd w:val="clear" w:color="auto" w:fill="D9D9D9" w:themeFill="background1" w:themeFillShade="D9"/>
          </w:tcPr>
          <w:p w14:paraId="71134486" w14:textId="77777777" w:rsidR="006866BE" w:rsidRPr="00AB3E94" w:rsidRDefault="006866BE" w:rsidP="005D3BFA">
            <w:pPr>
              <w:pStyle w:val="BodyText"/>
              <w:rPr>
                <w:b/>
                <w:bCs/>
              </w:rPr>
            </w:pPr>
            <w:r w:rsidRPr="00AB3E94">
              <w:rPr>
                <w:b/>
                <w:bCs/>
              </w:rPr>
              <w:t>Review period</w:t>
            </w:r>
          </w:p>
        </w:tc>
        <w:tc>
          <w:tcPr>
            <w:tcW w:w="6746" w:type="dxa"/>
          </w:tcPr>
          <w:p w14:paraId="0B38BCF9" w14:textId="0ECA2875" w:rsidR="006866BE" w:rsidRPr="00AB3E94" w:rsidRDefault="006866BE" w:rsidP="005D3BFA">
            <w:pPr>
              <w:pStyle w:val="BodyText"/>
            </w:pPr>
            <w:r w:rsidRPr="00AB3E94">
              <w:t xml:space="preserve">Due for review within </w:t>
            </w:r>
            <w:r w:rsidR="00A877AE">
              <w:t>3</w:t>
            </w:r>
            <w:r w:rsidRPr="00AB3E94">
              <w:t xml:space="preserve"> years of the most recent approved date.</w:t>
            </w:r>
          </w:p>
        </w:tc>
      </w:tr>
      <w:bookmarkEnd w:id="61"/>
    </w:tbl>
    <w:p w14:paraId="5E9B5BB4" w14:textId="77777777" w:rsidR="006866BE" w:rsidRDefault="006866BE" w:rsidP="006866BE">
      <w:pPr>
        <w:pStyle w:val="BodyText"/>
      </w:pPr>
    </w:p>
    <w:p w14:paraId="37D37B4F" w14:textId="77777777" w:rsidR="006866BE" w:rsidRPr="00A877AE" w:rsidRDefault="006866BE" w:rsidP="00A877AE">
      <w:pPr>
        <w:rPr>
          <w:sz w:val="28"/>
          <w:szCs w:val="28"/>
        </w:rPr>
      </w:pPr>
      <w:r w:rsidRPr="00A877AE">
        <w:rPr>
          <w:b/>
          <w:bCs/>
          <w:sz w:val="28"/>
          <w:szCs w:val="28"/>
        </w:rPr>
        <w:t>Version history</w:t>
      </w:r>
      <w:bookmarkEnd w:id="60"/>
    </w:p>
    <w:p w14:paraId="472E5772" w14:textId="77777777" w:rsidR="006866BE" w:rsidRDefault="006866BE" w:rsidP="006866BE">
      <w:pPr>
        <w:pStyle w:val="BodyText"/>
      </w:pPr>
      <w:r>
        <w:t>The following table details the published date and amendment details for this document.</w:t>
      </w:r>
    </w:p>
    <w:tbl>
      <w:tblPr>
        <w:tblW w:w="0" w:type="auto"/>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Description w:val="Version history"/>
      </w:tblPr>
      <w:tblGrid>
        <w:gridCol w:w="952"/>
        <w:gridCol w:w="1316"/>
        <w:gridCol w:w="1418"/>
        <w:gridCol w:w="1701"/>
        <w:gridCol w:w="3634"/>
      </w:tblGrid>
      <w:tr w:rsidR="006866BE" w14:paraId="7AEB6C0A" w14:textId="77777777" w:rsidTr="00450468">
        <w:trPr>
          <w:cantSplit/>
          <w:tblHeader/>
        </w:trPr>
        <w:tc>
          <w:tcPr>
            <w:tcW w:w="952" w:type="dxa"/>
            <w:shd w:val="clear" w:color="auto" w:fill="D9D9D9" w:themeFill="background1" w:themeFillShade="D9"/>
          </w:tcPr>
          <w:p w14:paraId="57DD90C5" w14:textId="77777777" w:rsidR="006866BE" w:rsidRPr="00A877AE" w:rsidRDefault="006866BE" w:rsidP="005D3BFA">
            <w:pPr>
              <w:pStyle w:val="Tableheadings"/>
              <w:keepNext/>
              <w:keepLines/>
              <w:rPr>
                <w:color w:val="auto"/>
              </w:rPr>
            </w:pPr>
            <w:bookmarkStart w:id="62" w:name="_Hlk150942015"/>
            <w:r w:rsidRPr="00A877AE">
              <w:rPr>
                <w:color w:val="auto"/>
              </w:rPr>
              <w:t>Version</w:t>
            </w:r>
          </w:p>
        </w:tc>
        <w:tc>
          <w:tcPr>
            <w:tcW w:w="1316" w:type="dxa"/>
            <w:shd w:val="clear" w:color="auto" w:fill="D9D9D9" w:themeFill="background1" w:themeFillShade="D9"/>
          </w:tcPr>
          <w:p w14:paraId="6A07C608" w14:textId="77777777" w:rsidR="006866BE" w:rsidRPr="00A877AE" w:rsidRDefault="006866BE" w:rsidP="005D3BFA">
            <w:pPr>
              <w:pStyle w:val="Tableheadings"/>
              <w:keepNext/>
              <w:keepLines/>
              <w:rPr>
                <w:color w:val="auto"/>
              </w:rPr>
            </w:pPr>
            <w:r w:rsidRPr="00A877AE">
              <w:rPr>
                <w:color w:val="auto"/>
              </w:rPr>
              <w:t>Date published</w:t>
            </w:r>
          </w:p>
        </w:tc>
        <w:tc>
          <w:tcPr>
            <w:tcW w:w="1418" w:type="dxa"/>
            <w:shd w:val="clear" w:color="auto" w:fill="D9D9D9" w:themeFill="background1" w:themeFillShade="D9"/>
          </w:tcPr>
          <w:p w14:paraId="47451366" w14:textId="77777777" w:rsidR="006866BE" w:rsidRPr="00A877AE" w:rsidRDefault="006866BE" w:rsidP="005D3BFA">
            <w:pPr>
              <w:pStyle w:val="Tableheadings"/>
              <w:keepNext/>
              <w:keepLines/>
              <w:rPr>
                <w:color w:val="auto"/>
              </w:rPr>
            </w:pPr>
            <w:r w:rsidRPr="00A877AE">
              <w:rPr>
                <w:color w:val="auto"/>
              </w:rPr>
              <w:t>Date last approved</w:t>
            </w:r>
          </w:p>
        </w:tc>
        <w:tc>
          <w:tcPr>
            <w:tcW w:w="1701" w:type="dxa"/>
            <w:shd w:val="clear" w:color="auto" w:fill="D9D9D9" w:themeFill="background1" w:themeFillShade="D9"/>
          </w:tcPr>
          <w:p w14:paraId="4005F883" w14:textId="77777777" w:rsidR="006866BE" w:rsidRPr="00A877AE" w:rsidRDefault="006866BE" w:rsidP="005D3BFA">
            <w:pPr>
              <w:pStyle w:val="Tableheadings"/>
              <w:keepNext/>
              <w:keepLines/>
              <w:rPr>
                <w:color w:val="auto"/>
              </w:rPr>
            </w:pPr>
            <w:r w:rsidRPr="00A877AE">
              <w:rPr>
                <w:color w:val="auto"/>
              </w:rPr>
              <w:t>Review type</w:t>
            </w:r>
          </w:p>
        </w:tc>
        <w:tc>
          <w:tcPr>
            <w:tcW w:w="3634" w:type="dxa"/>
            <w:shd w:val="clear" w:color="auto" w:fill="D9D9D9" w:themeFill="background1" w:themeFillShade="D9"/>
          </w:tcPr>
          <w:p w14:paraId="401B85DE" w14:textId="77777777" w:rsidR="006866BE" w:rsidRPr="00A877AE" w:rsidRDefault="006866BE" w:rsidP="005D3BFA">
            <w:pPr>
              <w:pStyle w:val="Tableheadings"/>
              <w:keepNext/>
              <w:keepLines/>
              <w:rPr>
                <w:color w:val="auto"/>
              </w:rPr>
            </w:pPr>
            <w:r w:rsidRPr="00A877AE">
              <w:rPr>
                <w:color w:val="auto"/>
              </w:rPr>
              <w:t>Summary of review</w:t>
            </w:r>
          </w:p>
        </w:tc>
      </w:tr>
      <w:tr w:rsidR="006866BE" w14:paraId="3E29C821" w14:textId="77777777" w:rsidTr="00450468">
        <w:trPr>
          <w:cantSplit/>
        </w:trPr>
        <w:tc>
          <w:tcPr>
            <w:tcW w:w="952" w:type="dxa"/>
          </w:tcPr>
          <w:p w14:paraId="349CA608" w14:textId="77777777" w:rsidR="006866BE" w:rsidRDefault="006866BE" w:rsidP="005D3BFA">
            <w:pPr>
              <w:keepNext/>
              <w:keepLines/>
              <w:jc w:val="center"/>
            </w:pPr>
            <w:r>
              <w:t>1.0</w:t>
            </w:r>
          </w:p>
        </w:tc>
        <w:tc>
          <w:tcPr>
            <w:tcW w:w="1316" w:type="dxa"/>
          </w:tcPr>
          <w:p w14:paraId="789A580B" w14:textId="77777777" w:rsidR="006866BE" w:rsidRDefault="006866BE" w:rsidP="005D3BFA">
            <w:pPr>
              <w:keepNext/>
              <w:keepLines/>
            </w:pPr>
            <w:r>
              <w:t>28/03/2021</w:t>
            </w:r>
          </w:p>
        </w:tc>
        <w:tc>
          <w:tcPr>
            <w:tcW w:w="1418" w:type="dxa"/>
          </w:tcPr>
          <w:p w14:paraId="5430A7B7" w14:textId="77777777" w:rsidR="006866BE" w:rsidRDefault="006866BE" w:rsidP="005D3BFA">
            <w:pPr>
              <w:keepNext/>
              <w:keepLines/>
            </w:pPr>
            <w:r>
              <w:t>28/03/2021</w:t>
            </w:r>
          </w:p>
        </w:tc>
        <w:tc>
          <w:tcPr>
            <w:tcW w:w="1701" w:type="dxa"/>
          </w:tcPr>
          <w:p w14:paraId="699EEBEC" w14:textId="77777777" w:rsidR="006866BE" w:rsidRPr="001F6D72" w:rsidRDefault="006866BE" w:rsidP="005D3BFA">
            <w:pPr>
              <w:keepNext/>
              <w:keepLines/>
            </w:pPr>
            <w:r>
              <w:t>New document</w:t>
            </w:r>
          </w:p>
        </w:tc>
        <w:tc>
          <w:tcPr>
            <w:tcW w:w="3634" w:type="dxa"/>
          </w:tcPr>
          <w:p w14:paraId="10CDB1C7" w14:textId="77777777" w:rsidR="006866BE" w:rsidRPr="005E468A" w:rsidRDefault="006866BE" w:rsidP="005D3BFA">
            <w:pPr>
              <w:keepNext/>
              <w:keepLines/>
              <w:rPr>
                <w:highlight w:val="yellow"/>
              </w:rPr>
            </w:pPr>
            <w:r>
              <w:t>First publication of this guideline.</w:t>
            </w:r>
          </w:p>
        </w:tc>
      </w:tr>
      <w:tr w:rsidR="006866BE" w14:paraId="4C8BEB55" w14:textId="77777777" w:rsidTr="00450468">
        <w:trPr>
          <w:cantSplit/>
        </w:trPr>
        <w:tc>
          <w:tcPr>
            <w:tcW w:w="952" w:type="dxa"/>
          </w:tcPr>
          <w:p w14:paraId="63EF739A" w14:textId="738D06CC" w:rsidR="006866BE" w:rsidRDefault="00000000" w:rsidP="005D3BFA">
            <w:pPr>
              <w:keepNext/>
              <w:keepLines/>
              <w:jc w:val="center"/>
            </w:pPr>
            <w:sdt>
              <w:sdtPr>
                <w:alias w:val="Revision Number"/>
                <w:tag w:val="RevisionNumber"/>
                <w:id w:val="-557314390"/>
                <w:placeholder>
                  <w:docPart w:val="17152423F7DF459BB0F3BE64FFF131E3"/>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Content>
                <w:r w:rsidR="00247FBF">
                  <w:t>2</w:t>
                </w:r>
              </w:sdtContent>
            </w:sdt>
          </w:p>
        </w:tc>
        <w:sdt>
          <w:sdtPr>
            <w:alias w:val="Date published"/>
            <w:tag w:val="DatePublished"/>
            <w:id w:val="-866455229"/>
            <w:placeholder>
              <w:docPart w:val="3BDDB50259C54054960FC84BB8F43437"/>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5-04-22T00:00:00Z">
              <w:dateFormat w:val="d/MM/yyyy"/>
              <w:lid w:val="en-AU"/>
              <w:storeMappedDataAs w:val="dateTime"/>
              <w:calendar w:val="gregorian"/>
            </w:date>
          </w:sdtPr>
          <w:sdtContent>
            <w:tc>
              <w:tcPr>
                <w:tcW w:w="1316" w:type="dxa"/>
              </w:tcPr>
              <w:p w14:paraId="7432BE13" w14:textId="3521A005" w:rsidR="006866BE" w:rsidRDefault="00A877AE" w:rsidP="005D3BFA">
                <w:pPr>
                  <w:keepNext/>
                  <w:keepLines/>
                </w:pPr>
                <w:r>
                  <w:t>22/04/2025</w:t>
                </w:r>
              </w:p>
            </w:tc>
          </w:sdtContent>
        </w:sdt>
        <w:sdt>
          <w:sdtPr>
            <w:alias w:val="Last Approver Review Date"/>
            <w:tag w:val="LastApproverReviewDate"/>
            <w:id w:val="-1856486223"/>
            <w:placeholder>
              <w:docPart w:val="9D7E098CA9E1466D8A9717281962FB1A"/>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LastApproverReviewDate[1]" w:storeItemID="{EE117B81-2598-4DDA-96CD-7BD580AB5354}"/>
            <w:date w:fullDate="2025-04-22T00:00:00Z">
              <w:dateFormat w:val="d/MM/yyyy"/>
              <w:lid w:val="en-AU"/>
              <w:storeMappedDataAs w:val="dateTime"/>
              <w:calendar w:val="gregorian"/>
            </w:date>
          </w:sdtPr>
          <w:sdtContent>
            <w:tc>
              <w:tcPr>
                <w:tcW w:w="1418" w:type="dxa"/>
              </w:tcPr>
              <w:p w14:paraId="59B2C4A7" w14:textId="36F96ED8" w:rsidR="006866BE" w:rsidRDefault="00A877AE" w:rsidP="005D3BFA">
                <w:pPr>
                  <w:keepNext/>
                  <w:keepLines/>
                </w:pPr>
                <w:r>
                  <w:t>22/04/2025</w:t>
                </w:r>
              </w:p>
            </w:tc>
          </w:sdtContent>
        </w:sdt>
        <w:tc>
          <w:tcPr>
            <w:tcW w:w="1701" w:type="dxa"/>
          </w:tcPr>
          <w:p w14:paraId="3A2F2E48" w14:textId="77777777" w:rsidR="006866BE" w:rsidRDefault="006866BE" w:rsidP="005D3BFA">
            <w:pPr>
              <w:keepNext/>
              <w:keepLines/>
            </w:pPr>
            <w:r>
              <w:t>Major changes</w:t>
            </w:r>
          </w:p>
        </w:tc>
        <w:tc>
          <w:tcPr>
            <w:tcW w:w="3634" w:type="dxa"/>
          </w:tcPr>
          <w:p w14:paraId="3F0F6469" w14:textId="6D874D8A" w:rsidR="006866BE" w:rsidRPr="001F6D72" w:rsidRDefault="006866BE" w:rsidP="005D3BFA">
            <w:r>
              <w:t xml:space="preserve">Major update to align with </w:t>
            </w:r>
            <w:r w:rsidR="006D64C7">
              <w:t>registered establishment</w:t>
            </w:r>
            <w:r>
              <w:t xml:space="preserve"> and </w:t>
            </w:r>
            <w:r w:rsidR="006D64C7">
              <w:t>accredited property audit</w:t>
            </w:r>
            <w:r>
              <w:t xml:space="preserve"> policies.</w:t>
            </w:r>
          </w:p>
        </w:tc>
      </w:tr>
      <w:bookmarkEnd w:id="62"/>
    </w:tbl>
    <w:p w14:paraId="2ECFF7E4" w14:textId="77777777" w:rsidR="006866BE" w:rsidRDefault="006866BE" w:rsidP="006866BE">
      <w:pPr>
        <w:pStyle w:val="BodyText"/>
      </w:pPr>
    </w:p>
    <w:p w14:paraId="7B65C1C3" w14:textId="77777777" w:rsidR="006866BE" w:rsidRDefault="006866BE" w:rsidP="006866BE">
      <w:pPr>
        <w:spacing w:before="0" w:after="0"/>
        <w:rPr>
          <w:rFonts w:eastAsia="Times New Roman"/>
          <w:szCs w:val="24"/>
        </w:rPr>
      </w:pPr>
      <w:r>
        <w:br w:type="page"/>
      </w:r>
    </w:p>
    <w:p w14:paraId="09C7512D" w14:textId="77777777" w:rsidR="006866BE" w:rsidRPr="00D82670" w:rsidRDefault="006866BE" w:rsidP="006866BE">
      <w:pPr>
        <w:pStyle w:val="Heading2"/>
      </w:pPr>
      <w:bookmarkStart w:id="63" w:name="_Toc196211671"/>
      <w:r>
        <w:lastRenderedPageBreak/>
        <w:t>Appendix A: Definitions</w:t>
      </w:r>
      <w:bookmarkEnd w:id="63"/>
    </w:p>
    <w:p w14:paraId="3E81DE39" w14:textId="77777777" w:rsidR="006866BE" w:rsidRDefault="006866BE" w:rsidP="006866BE">
      <w:r>
        <w:t>Below is a table of terms and definitions used within this document.</w:t>
      </w:r>
    </w:p>
    <w:tbl>
      <w:tblPr>
        <w:tblStyle w:val="TableGrid"/>
        <w:tblW w:w="9209" w:type="dxa"/>
        <w:tblLook w:val="04A0" w:firstRow="1" w:lastRow="0" w:firstColumn="1" w:lastColumn="0" w:noHBand="0" w:noVBand="1"/>
      </w:tblPr>
      <w:tblGrid>
        <w:gridCol w:w="2830"/>
        <w:gridCol w:w="6379"/>
      </w:tblGrid>
      <w:tr w:rsidR="006866BE" w14:paraId="7651EC19" w14:textId="77777777" w:rsidTr="005D3BFA">
        <w:trPr>
          <w:tblHeader/>
        </w:trPr>
        <w:tc>
          <w:tcPr>
            <w:tcW w:w="2830" w:type="dxa"/>
            <w:tcBorders>
              <w:right w:val="single" w:sz="4" w:space="0" w:color="auto"/>
            </w:tcBorders>
            <w:shd w:val="clear" w:color="auto" w:fill="D9D9D9" w:themeFill="background1" w:themeFillShade="D9"/>
          </w:tcPr>
          <w:p w14:paraId="1737175D" w14:textId="77777777" w:rsidR="006866BE" w:rsidRPr="00AB66CC" w:rsidRDefault="006866BE" w:rsidP="005D3BFA">
            <w:pPr>
              <w:rPr>
                <w:b/>
              </w:rPr>
            </w:pPr>
            <w:r w:rsidRPr="00AB66CC">
              <w:rPr>
                <w:b/>
              </w:rPr>
              <w:t>Term</w:t>
            </w:r>
          </w:p>
        </w:tc>
        <w:tc>
          <w:tcPr>
            <w:tcW w:w="6379" w:type="dxa"/>
            <w:tcBorders>
              <w:left w:val="single" w:sz="4" w:space="0" w:color="auto"/>
            </w:tcBorders>
            <w:shd w:val="clear" w:color="auto" w:fill="D9D9D9" w:themeFill="background1" w:themeFillShade="D9"/>
          </w:tcPr>
          <w:p w14:paraId="3787F86B" w14:textId="77777777" w:rsidR="006866BE" w:rsidRPr="00AB66CC" w:rsidRDefault="006866BE" w:rsidP="005D3BFA">
            <w:pPr>
              <w:rPr>
                <w:b/>
              </w:rPr>
            </w:pPr>
            <w:r w:rsidRPr="00AB66CC">
              <w:rPr>
                <w:b/>
              </w:rPr>
              <w:t>Definition</w:t>
            </w:r>
          </w:p>
        </w:tc>
      </w:tr>
      <w:tr w:rsidR="006866BE" w14:paraId="58A39438" w14:textId="77777777" w:rsidTr="005D3BFA">
        <w:tc>
          <w:tcPr>
            <w:tcW w:w="2830" w:type="dxa"/>
          </w:tcPr>
          <w:p w14:paraId="3FDB6302" w14:textId="77777777" w:rsidR="006866BE" w:rsidRDefault="006866BE" w:rsidP="005D3BFA">
            <w:r>
              <w:t xml:space="preserve">Active </w:t>
            </w:r>
          </w:p>
        </w:tc>
        <w:tc>
          <w:tcPr>
            <w:tcW w:w="6379" w:type="dxa"/>
          </w:tcPr>
          <w:p w14:paraId="5E721B2B" w14:textId="77777777" w:rsidR="006866BE" w:rsidRDefault="006866BE" w:rsidP="005D3BFA">
            <w:r>
              <w:t>An appointed AO who has conducted at least one export activity in their appointed job functions in the last 12 months.</w:t>
            </w:r>
          </w:p>
          <w:p w14:paraId="5A89197C" w14:textId="77777777" w:rsidR="006866BE" w:rsidRDefault="006866BE" w:rsidP="005D3BFA">
            <w:r>
              <w:rPr>
                <w:b/>
                <w:bCs/>
              </w:rPr>
              <w:t xml:space="preserve">Note: </w:t>
            </w:r>
            <w:r>
              <w:t xml:space="preserve">An AO </w:t>
            </w:r>
            <w:r w:rsidRPr="00F70551">
              <w:t xml:space="preserve">may be inactive in a particular job function or job </w:t>
            </w:r>
            <w:proofErr w:type="gramStart"/>
            <w:r w:rsidRPr="00F70551">
              <w:t>functions, but</w:t>
            </w:r>
            <w:proofErr w:type="gramEnd"/>
            <w:r w:rsidRPr="00F70551">
              <w:t xml:space="preserve"> still be active in others.  </w:t>
            </w:r>
          </w:p>
        </w:tc>
      </w:tr>
      <w:tr w:rsidR="006866BE" w14:paraId="22BAB677" w14:textId="77777777" w:rsidTr="005D3BFA">
        <w:tc>
          <w:tcPr>
            <w:tcW w:w="2830" w:type="dxa"/>
          </w:tcPr>
          <w:p w14:paraId="167A10F2" w14:textId="77777777" w:rsidR="006866BE" w:rsidRDefault="006866BE" w:rsidP="005D3BFA">
            <w:r>
              <w:t>Announced audit</w:t>
            </w:r>
          </w:p>
        </w:tc>
        <w:tc>
          <w:tcPr>
            <w:tcW w:w="6379" w:type="dxa"/>
          </w:tcPr>
          <w:p w14:paraId="63E8DD44" w14:textId="77777777" w:rsidR="006866BE" w:rsidRDefault="006866BE" w:rsidP="005D3BFA">
            <w:pPr>
              <w:pStyle w:val="Default"/>
            </w:pPr>
            <w:r>
              <w:rPr>
                <w:sz w:val="22"/>
                <w:szCs w:val="22"/>
              </w:rPr>
              <w:t xml:space="preserve">An audit that is arranged in advance with the auditee. </w:t>
            </w:r>
          </w:p>
          <w:p w14:paraId="777D733C" w14:textId="77777777" w:rsidR="006866BE" w:rsidRDefault="006866BE" w:rsidP="005D3BFA"/>
        </w:tc>
      </w:tr>
      <w:tr w:rsidR="006866BE" w14:paraId="3B2CB728" w14:textId="77777777" w:rsidTr="005D3BFA">
        <w:tc>
          <w:tcPr>
            <w:tcW w:w="2830" w:type="dxa"/>
          </w:tcPr>
          <w:p w14:paraId="6FF6BBD5" w14:textId="77777777" w:rsidR="006866BE" w:rsidRDefault="006866BE" w:rsidP="005D3BFA">
            <w:r>
              <w:t>Auditor</w:t>
            </w:r>
          </w:p>
        </w:tc>
        <w:tc>
          <w:tcPr>
            <w:tcW w:w="6379" w:type="dxa"/>
          </w:tcPr>
          <w:p w14:paraId="6790DAF4" w14:textId="77777777" w:rsidR="006866BE" w:rsidRDefault="006866BE" w:rsidP="005D3BFA">
            <w:r w:rsidRPr="009C3B1F">
              <w:t>A</w:t>
            </w:r>
            <w:r>
              <w:t xml:space="preserve"> Department of Agriculture, Fisheries and Forestry officer</w:t>
            </w:r>
            <w:r w:rsidRPr="009C3B1F">
              <w:t xml:space="preserve"> whose functions and powers include conducting an audit under Part 1 of Chapter 9 of the </w:t>
            </w:r>
            <w:r w:rsidRPr="009C3B1F">
              <w:rPr>
                <w:i/>
              </w:rPr>
              <w:t>Export Control Act 2020</w:t>
            </w:r>
            <w:r w:rsidRPr="009C3B1F">
              <w:t>.</w:t>
            </w:r>
          </w:p>
        </w:tc>
      </w:tr>
      <w:tr w:rsidR="006866BE" w14:paraId="2BCCEA30" w14:textId="77777777" w:rsidTr="005D3BFA">
        <w:tc>
          <w:tcPr>
            <w:tcW w:w="2830" w:type="dxa"/>
          </w:tcPr>
          <w:p w14:paraId="3D7B3E51" w14:textId="77777777" w:rsidR="006866BE" w:rsidRDefault="006866BE" w:rsidP="005D3BFA">
            <w:r>
              <w:t>Audit schedule</w:t>
            </w:r>
          </w:p>
        </w:tc>
        <w:tc>
          <w:tcPr>
            <w:tcW w:w="6379" w:type="dxa"/>
          </w:tcPr>
          <w:p w14:paraId="3C127986" w14:textId="77777777" w:rsidR="006866BE" w:rsidRDefault="006866BE" w:rsidP="005D3BFA">
            <w:r>
              <w:t>The frequency with which an AO is audited by a departmental auditor.</w:t>
            </w:r>
          </w:p>
        </w:tc>
      </w:tr>
      <w:tr w:rsidR="006866BE" w14:paraId="6129AF35" w14:textId="77777777" w:rsidTr="005D3BFA">
        <w:tc>
          <w:tcPr>
            <w:tcW w:w="2830" w:type="dxa"/>
          </w:tcPr>
          <w:p w14:paraId="6F410B7A" w14:textId="77777777" w:rsidR="006866BE" w:rsidRDefault="006866BE" w:rsidP="005D3BFA">
            <w:r>
              <w:t>Authorised Officer (AO)</w:t>
            </w:r>
          </w:p>
        </w:tc>
        <w:tc>
          <w:tcPr>
            <w:tcW w:w="6379" w:type="dxa"/>
          </w:tcPr>
          <w:p w14:paraId="2D623192" w14:textId="77777777" w:rsidR="006866BE" w:rsidRPr="009C3B1F" w:rsidRDefault="006866BE" w:rsidP="005D3BFA">
            <w:r w:rsidRPr="009C3B1F">
              <w:t xml:space="preserve">A person authorised under section 291 of the </w:t>
            </w:r>
            <w:r w:rsidRPr="009C3B1F">
              <w:rPr>
                <w:i/>
              </w:rPr>
              <w:t>Export Control Act 2020</w:t>
            </w:r>
            <w:r w:rsidRPr="009C3B1F">
              <w:t xml:space="preserve"> to be an </w:t>
            </w:r>
            <w:r>
              <w:t>AO</w:t>
            </w:r>
            <w:r w:rsidRPr="009C3B1F">
              <w:t xml:space="preserve">. The </w:t>
            </w:r>
            <w:r>
              <w:t>AO</w:t>
            </w:r>
            <w:r w:rsidRPr="009C3B1F">
              <w:t xml:space="preserve"> may exercise powers and functions conferred on them through an instrument of </w:t>
            </w:r>
            <w:r>
              <w:t>appointment</w:t>
            </w:r>
            <w:r w:rsidRPr="009C3B1F">
              <w:t>.</w:t>
            </w:r>
          </w:p>
          <w:p w14:paraId="2B147765" w14:textId="77777777" w:rsidR="006866BE" w:rsidRPr="009C3B1F" w:rsidRDefault="006866BE" w:rsidP="005D3BFA">
            <w:r w:rsidRPr="009C3B1F">
              <w:rPr>
                <w:b/>
                <w:bCs/>
              </w:rPr>
              <w:t>Note:</w:t>
            </w:r>
            <w:r w:rsidRPr="009C3B1F">
              <w:t xml:space="preserve"> An </w:t>
            </w:r>
            <w:r>
              <w:t>AO</w:t>
            </w:r>
            <w:r w:rsidRPr="009C3B1F">
              <w:t xml:space="preserve"> may be a Commonwealth, State or Territory government officer, or third-party individual. Examples of third-party individuals include, but are not limited to:</w:t>
            </w:r>
          </w:p>
          <w:p w14:paraId="4B3530DD" w14:textId="77777777" w:rsidR="006866BE" w:rsidRPr="009C3B1F" w:rsidRDefault="006866BE" w:rsidP="005D3BFA">
            <w:pPr>
              <w:pStyle w:val="ListBullet"/>
            </w:pPr>
            <w:r w:rsidRPr="009C3B1F">
              <w:t>employees of registered establishments</w:t>
            </w:r>
          </w:p>
          <w:p w14:paraId="52A05996" w14:textId="77777777" w:rsidR="006866BE" w:rsidRPr="009C3B1F" w:rsidRDefault="006866BE" w:rsidP="005D3BFA">
            <w:pPr>
              <w:pStyle w:val="ListBullet"/>
            </w:pPr>
            <w:r w:rsidRPr="009C3B1F">
              <w:t>employees of an exporter</w:t>
            </w:r>
          </w:p>
          <w:p w14:paraId="6C99BE62" w14:textId="77777777" w:rsidR="006866BE" w:rsidRPr="00862216" w:rsidRDefault="006866BE" w:rsidP="005D3BFA">
            <w:pPr>
              <w:pStyle w:val="ListBullet"/>
            </w:pPr>
            <w:r w:rsidRPr="009C3B1F">
              <w:t>self-employed individuals/sole traders.</w:t>
            </w:r>
          </w:p>
        </w:tc>
      </w:tr>
      <w:tr w:rsidR="006866BE" w14:paraId="1EDB90AC" w14:textId="77777777" w:rsidTr="005D3BFA">
        <w:tc>
          <w:tcPr>
            <w:tcW w:w="2830" w:type="dxa"/>
          </w:tcPr>
          <w:p w14:paraId="17337CF7" w14:textId="77777777" w:rsidR="006866BE" w:rsidRDefault="006866BE" w:rsidP="005D3BFA">
            <w:r>
              <w:t>Compliant</w:t>
            </w:r>
          </w:p>
        </w:tc>
        <w:tc>
          <w:tcPr>
            <w:tcW w:w="6379" w:type="dxa"/>
          </w:tcPr>
          <w:p w14:paraId="2D4DDB1C" w14:textId="77777777" w:rsidR="006866BE" w:rsidRDefault="006866BE" w:rsidP="005D3BFA">
            <w:r>
              <w:t>Meeting a requirement.</w:t>
            </w:r>
          </w:p>
        </w:tc>
      </w:tr>
      <w:tr w:rsidR="006866BE" w14:paraId="21E75EAE" w14:textId="77777777" w:rsidTr="005D3BFA">
        <w:tc>
          <w:tcPr>
            <w:tcW w:w="2830" w:type="dxa"/>
          </w:tcPr>
          <w:p w14:paraId="6849E59B" w14:textId="77777777" w:rsidR="006866BE" w:rsidRDefault="006866BE" w:rsidP="005D3BFA">
            <w:r>
              <w:t>Compliance audit</w:t>
            </w:r>
          </w:p>
        </w:tc>
        <w:tc>
          <w:tcPr>
            <w:tcW w:w="6379" w:type="dxa"/>
          </w:tcPr>
          <w:p w14:paraId="75FA6451" w14:textId="77777777" w:rsidR="006866BE" w:rsidRDefault="006866BE" w:rsidP="005D3BFA">
            <w:r>
              <w:t xml:space="preserve">An audit of an AO </w:t>
            </w:r>
            <w:r w:rsidDel="00005C74">
              <w:t xml:space="preserve">which </w:t>
            </w:r>
            <w:r>
              <w:t>relies primarily on documentation completed by the AO</w:t>
            </w:r>
            <w:r w:rsidDel="00005C74">
              <w:t>s</w:t>
            </w:r>
            <w:r>
              <w:t xml:space="preserve"> as the basis for determining compliance with legislative and departmental requirements. The AO is interviewed by the departmental auditor in respect to this documentation, during which time the AO’s export activities are discussed.</w:t>
            </w:r>
          </w:p>
        </w:tc>
      </w:tr>
      <w:tr w:rsidR="006866BE" w14:paraId="6CAA0784" w14:textId="77777777" w:rsidTr="005D3BFA">
        <w:tc>
          <w:tcPr>
            <w:tcW w:w="2830" w:type="dxa"/>
          </w:tcPr>
          <w:p w14:paraId="4427F860" w14:textId="77777777" w:rsidR="006866BE" w:rsidRDefault="006866BE" w:rsidP="005D3BFA">
            <w:r>
              <w:t>Critical non-compliance rating</w:t>
            </w:r>
          </w:p>
        </w:tc>
        <w:tc>
          <w:tcPr>
            <w:tcW w:w="6379" w:type="dxa"/>
          </w:tcPr>
          <w:p w14:paraId="4C70596F" w14:textId="77777777" w:rsidR="006866BE" w:rsidRPr="003E0AAD" w:rsidRDefault="006866BE" w:rsidP="005D3BFA">
            <w:r w:rsidRPr="003E0AAD">
              <w:t xml:space="preserve">When there is: </w:t>
            </w:r>
          </w:p>
          <w:p w14:paraId="0D23DA02" w14:textId="77777777" w:rsidR="006866BE" w:rsidRPr="003E0AAD" w:rsidRDefault="006866BE" w:rsidP="005D3BFA">
            <w:pPr>
              <w:pStyle w:val="ListBullet"/>
            </w:pPr>
            <w:r w:rsidRPr="00314B7D">
              <w:t>action</w:t>
            </w:r>
            <w:r w:rsidRPr="003E0AAD">
              <w:t>, inaction or contravention of department requirements that</w:t>
            </w:r>
          </w:p>
          <w:p w14:paraId="336F3AAC" w14:textId="77777777" w:rsidR="006866BE" w:rsidRPr="003E0AAD" w:rsidRDefault="006866BE" w:rsidP="005D3BFA">
            <w:pPr>
              <w:pStyle w:val="ListBullet"/>
              <w:numPr>
                <w:ilvl w:val="0"/>
                <w:numId w:val="95"/>
              </w:numPr>
              <w:ind w:left="750"/>
            </w:pPr>
            <w:r w:rsidRPr="003E0AAD">
              <w:t xml:space="preserve">would be reasonably expected to result in the phytosanitary status of goods being compromised, or </w:t>
            </w:r>
          </w:p>
          <w:p w14:paraId="4D2A97F3" w14:textId="77777777" w:rsidR="006866BE" w:rsidRPr="003E0AAD" w:rsidRDefault="006866BE" w:rsidP="005D3BFA">
            <w:pPr>
              <w:pStyle w:val="ListBullet"/>
              <w:numPr>
                <w:ilvl w:val="0"/>
                <w:numId w:val="95"/>
              </w:numPr>
              <w:ind w:left="750"/>
            </w:pPr>
            <w:r w:rsidRPr="003E0AAD">
              <w:t xml:space="preserve">results in a breach of the </w:t>
            </w:r>
            <w:r w:rsidRPr="003E0AAD">
              <w:rPr>
                <w:i/>
              </w:rPr>
              <w:t>Export Control Act</w:t>
            </w:r>
            <w:r w:rsidRPr="003E0AAD">
              <w:t xml:space="preserve"> </w:t>
            </w:r>
            <w:r w:rsidRPr="003E0AAD">
              <w:rPr>
                <w:i/>
              </w:rPr>
              <w:t xml:space="preserve">2020 </w:t>
            </w:r>
            <w:r w:rsidRPr="00EE604A">
              <w:t>or the Export Control (Plants and Plant Products) Rules 2021</w:t>
            </w:r>
            <w:r w:rsidRPr="003E0AAD">
              <w:t>.</w:t>
            </w:r>
          </w:p>
          <w:p w14:paraId="76141958" w14:textId="77777777" w:rsidR="006866BE" w:rsidRPr="003E0AAD" w:rsidRDefault="006866BE" w:rsidP="005D3BFA">
            <w:pPr>
              <w:pStyle w:val="ListBullet"/>
            </w:pPr>
            <w:r w:rsidRPr="003E0AAD">
              <w:t>a deliberate failure to comply with legislative requirements</w:t>
            </w:r>
          </w:p>
          <w:p w14:paraId="7C1D3D86" w14:textId="77777777" w:rsidR="006866BE" w:rsidRPr="003E0AAD" w:rsidRDefault="006866BE" w:rsidP="005D3BFA">
            <w:pPr>
              <w:pStyle w:val="ListBullet"/>
            </w:pPr>
            <w:r w:rsidRPr="003E0AAD">
              <w:t>a deliberate failure to follow a legal direction</w:t>
            </w:r>
            <w:r>
              <w:t xml:space="preserve"> of a departmental officer</w:t>
            </w:r>
            <w:r w:rsidRPr="003E0AAD">
              <w:t>.</w:t>
            </w:r>
          </w:p>
          <w:p w14:paraId="08CE47ED" w14:textId="77777777" w:rsidR="006866BE" w:rsidRDefault="006866BE" w:rsidP="005D3BFA">
            <w:r w:rsidRPr="003E0AAD">
              <w:rPr>
                <w:b/>
              </w:rPr>
              <w:t>Note:</w:t>
            </w:r>
            <w:r w:rsidRPr="003E0AAD">
              <w:t xml:space="preserve"> Critical non-compliances may lead to </w:t>
            </w:r>
            <w:r>
              <w:t xml:space="preserve">variation, </w:t>
            </w:r>
            <w:r w:rsidRPr="003E0AAD">
              <w:t>suspension</w:t>
            </w:r>
            <w:r>
              <w:t xml:space="preserve"> </w:t>
            </w:r>
            <w:proofErr w:type="gramStart"/>
            <w:r>
              <w:t>or</w:t>
            </w:r>
            <w:r w:rsidRPr="003E0AAD">
              <w:t>,</w:t>
            </w:r>
            <w:proofErr w:type="gramEnd"/>
            <w:r w:rsidRPr="003E0AAD">
              <w:t xml:space="preserve"> revocation</w:t>
            </w:r>
            <w:r>
              <w:t xml:space="preserve"> of an AO’s authorisation</w:t>
            </w:r>
            <w:r w:rsidRPr="003E0AAD">
              <w:t xml:space="preserve"> or crimina</w:t>
            </w:r>
            <w:r>
              <w:t>l</w:t>
            </w:r>
            <w:r w:rsidRPr="003E0AAD">
              <w:t xml:space="preserve"> prosecution.</w:t>
            </w:r>
          </w:p>
        </w:tc>
      </w:tr>
      <w:tr w:rsidR="006866BE" w14:paraId="2457CDDB" w14:textId="77777777" w:rsidTr="005D3BFA">
        <w:tc>
          <w:tcPr>
            <w:tcW w:w="2830" w:type="dxa"/>
          </w:tcPr>
          <w:p w14:paraId="51EF4A8A" w14:textId="77777777" w:rsidR="006866BE" w:rsidRDefault="006866BE" w:rsidP="005D3BFA">
            <w:r>
              <w:lastRenderedPageBreak/>
              <w:t>Delegate or sub-delegate</w:t>
            </w:r>
          </w:p>
        </w:tc>
        <w:tc>
          <w:tcPr>
            <w:tcW w:w="6379" w:type="dxa"/>
          </w:tcPr>
          <w:p w14:paraId="640B6613" w14:textId="77777777" w:rsidR="006866BE" w:rsidRDefault="006866BE" w:rsidP="005D3BFA">
            <w:r w:rsidRPr="007A5038">
              <w:rPr>
                <w:rFonts w:cs="Calibri"/>
              </w:rPr>
              <w:t>A person who has been delegated or sub-delegated a power or function of the Secretary (typical</w:t>
            </w:r>
            <w:r>
              <w:rPr>
                <w:rFonts w:cs="Calibri"/>
              </w:rPr>
              <w:t>ly</w:t>
            </w:r>
            <w:r w:rsidRPr="007A5038">
              <w:rPr>
                <w:rFonts w:cs="Calibri"/>
              </w:rPr>
              <w:t xml:space="preserve"> a power or function under the </w:t>
            </w:r>
            <w:r w:rsidRPr="007A5038">
              <w:rPr>
                <w:rFonts w:cs="Calibri"/>
                <w:i/>
              </w:rPr>
              <w:t>Export Control Act 2020</w:t>
            </w:r>
            <w:r w:rsidRPr="007A5038">
              <w:rPr>
                <w:rFonts w:cs="Calibri"/>
              </w:rPr>
              <w:t>). The delegation must be in writing and be signed by the Secretary (or the Secretary’s delegate).</w:t>
            </w:r>
          </w:p>
        </w:tc>
      </w:tr>
      <w:tr w:rsidR="006866BE" w14:paraId="203D42CC" w14:textId="77777777" w:rsidTr="005D3BFA">
        <w:tc>
          <w:tcPr>
            <w:tcW w:w="2830" w:type="dxa"/>
          </w:tcPr>
          <w:p w14:paraId="57811410" w14:textId="77777777" w:rsidR="006866BE" w:rsidRDefault="006866BE" w:rsidP="005D3BFA">
            <w:r>
              <w:t>Demonstration audit</w:t>
            </w:r>
          </w:p>
        </w:tc>
        <w:tc>
          <w:tcPr>
            <w:tcW w:w="6379" w:type="dxa"/>
          </w:tcPr>
          <w:p w14:paraId="0DEB8AEC" w14:textId="77777777" w:rsidR="006866BE" w:rsidRDefault="006866BE" w:rsidP="005D3BFA">
            <w:r>
              <w:t xml:space="preserve">An audit of an AO </w:t>
            </w:r>
            <w:r w:rsidDel="002F1E0D">
              <w:t xml:space="preserve">which </w:t>
            </w:r>
            <w:r>
              <w:t xml:space="preserve">relies primarily on an observation of activities, in addition to documentation completed by the AO, as the basis for determining the AO’s compliance with legislative and departmental requirements. The AO is interviewed by the departmental auditor in respect to the observation and </w:t>
            </w:r>
            <w:r w:rsidDel="002F1E0D">
              <w:t xml:space="preserve">this </w:t>
            </w:r>
            <w:r>
              <w:t>documentation, during which time the AO’s export activities are discussed.</w:t>
            </w:r>
          </w:p>
        </w:tc>
      </w:tr>
      <w:tr w:rsidR="006866BE" w14:paraId="32E495D5" w14:textId="77777777" w:rsidTr="005D3BFA">
        <w:tc>
          <w:tcPr>
            <w:tcW w:w="2830" w:type="dxa"/>
          </w:tcPr>
          <w:p w14:paraId="69385563" w14:textId="77777777" w:rsidR="006866BE" w:rsidRDefault="006866BE" w:rsidP="005D3BFA">
            <w:r>
              <w:rPr>
                <w:lang w:val="en-US"/>
              </w:rPr>
              <w:t>Elements</w:t>
            </w:r>
          </w:p>
        </w:tc>
        <w:tc>
          <w:tcPr>
            <w:tcW w:w="6379" w:type="dxa"/>
          </w:tcPr>
          <w:p w14:paraId="3130A988" w14:textId="77777777" w:rsidR="006866BE" w:rsidRDefault="006866BE" w:rsidP="005D3BFA">
            <w:r w:rsidRPr="001C48C9">
              <w:t>Performance standards are organised into a set of ‘</w:t>
            </w:r>
            <w:proofErr w:type="gramStart"/>
            <w:r w:rsidRPr="001C48C9">
              <w:t>elements’</w:t>
            </w:r>
            <w:proofErr w:type="gramEnd"/>
            <w:r w:rsidRPr="001C48C9">
              <w:t xml:space="preserve"> and sub-elements. </w:t>
            </w:r>
            <w:r w:rsidRPr="001C48C9">
              <w:rPr>
                <w:lang w:val="en-US"/>
              </w:rPr>
              <w:t>The element represents the performance standard.</w:t>
            </w:r>
          </w:p>
        </w:tc>
      </w:tr>
      <w:tr w:rsidR="006866BE" w14:paraId="2F5308A6" w14:textId="77777777" w:rsidTr="005D3BFA">
        <w:tc>
          <w:tcPr>
            <w:tcW w:w="2830" w:type="dxa"/>
          </w:tcPr>
          <w:p w14:paraId="0654D48A" w14:textId="77777777" w:rsidR="006866BE" w:rsidRDefault="006866BE" w:rsidP="005D3BFA">
            <w:r>
              <w:t>Further action required</w:t>
            </w:r>
          </w:p>
        </w:tc>
        <w:tc>
          <w:tcPr>
            <w:tcW w:w="6379" w:type="dxa"/>
          </w:tcPr>
          <w:p w14:paraId="7F6A6288" w14:textId="77777777" w:rsidR="006866BE" w:rsidRDefault="006866BE" w:rsidP="005D3BFA">
            <w:r w:rsidRPr="003E0AAD">
              <w:t xml:space="preserve">Where a </w:t>
            </w:r>
            <w:r>
              <w:t>non-compliance notice</w:t>
            </w:r>
            <w:r w:rsidRPr="003E0AAD">
              <w:t xml:space="preserve"> has been </w:t>
            </w:r>
            <w:proofErr w:type="gramStart"/>
            <w:r w:rsidRPr="003E0AAD">
              <w:t>issued</w:t>
            </w:r>
            <w:proofErr w:type="gramEnd"/>
            <w:r w:rsidRPr="003E0AAD">
              <w:t xml:space="preserve"> </w:t>
            </w:r>
            <w:r>
              <w:t>and</w:t>
            </w:r>
            <w:r w:rsidRPr="003E0AAD">
              <w:t xml:space="preserve"> insufficient evidence has been provided to demonstrate effective corrective action has been taken</w:t>
            </w:r>
            <w:r>
              <w:t>.</w:t>
            </w:r>
          </w:p>
        </w:tc>
      </w:tr>
      <w:tr w:rsidR="006866BE" w14:paraId="1E328207" w14:textId="77777777" w:rsidTr="005D3BFA">
        <w:tc>
          <w:tcPr>
            <w:tcW w:w="2830" w:type="dxa"/>
          </w:tcPr>
          <w:p w14:paraId="1F7F8AEB" w14:textId="77777777" w:rsidR="006866BE" w:rsidRDefault="006866BE" w:rsidP="005D3BFA">
            <w:r>
              <w:t>Inactive</w:t>
            </w:r>
          </w:p>
        </w:tc>
        <w:tc>
          <w:tcPr>
            <w:tcW w:w="6379" w:type="dxa"/>
          </w:tcPr>
          <w:p w14:paraId="7B011F33" w14:textId="77777777" w:rsidR="006866BE" w:rsidRDefault="006866BE" w:rsidP="005D3BFA">
            <w:r>
              <w:t>An appointed AO who has not conducted at least one export activity in any of their appointed job functions in 12 months or more.</w:t>
            </w:r>
          </w:p>
          <w:p w14:paraId="7516F2D1" w14:textId="77777777" w:rsidR="006866BE" w:rsidRDefault="006866BE" w:rsidP="005D3BFA">
            <w:r>
              <w:rPr>
                <w:b/>
                <w:bCs/>
              </w:rPr>
              <w:t xml:space="preserve">Note: </w:t>
            </w:r>
            <w:r>
              <w:t xml:space="preserve">An inactive AO: </w:t>
            </w:r>
          </w:p>
          <w:p w14:paraId="0C6E2F8B" w14:textId="77777777" w:rsidR="006866BE" w:rsidRPr="009C7D36" w:rsidRDefault="006866BE" w:rsidP="005D3BFA">
            <w:pPr>
              <w:pStyle w:val="ListBullet"/>
              <w:ind w:left="284" w:hanging="284"/>
            </w:pPr>
            <w:r>
              <w:t xml:space="preserve">is still </w:t>
            </w:r>
            <w:r w:rsidRPr="009C7D36">
              <w:t xml:space="preserve">appointed under section 291 of the </w:t>
            </w:r>
            <w:r w:rsidRPr="005F0AFA">
              <w:rPr>
                <w:i/>
                <w:iCs/>
              </w:rPr>
              <w:t>Export Control Act 2020</w:t>
            </w:r>
            <w:r w:rsidRPr="009C7D36">
              <w:t xml:space="preserve">.  </w:t>
            </w:r>
          </w:p>
          <w:p w14:paraId="7A22A575" w14:textId="77777777" w:rsidR="006866BE" w:rsidRDefault="006866BE" w:rsidP="005D3BFA">
            <w:pPr>
              <w:pStyle w:val="ListBullet"/>
            </w:pPr>
            <w:r w:rsidRPr="009C7D36">
              <w:t>may be inactive</w:t>
            </w:r>
            <w:r w:rsidRPr="00F70551">
              <w:t xml:space="preserve"> in a particular job function or job </w:t>
            </w:r>
            <w:proofErr w:type="gramStart"/>
            <w:r w:rsidRPr="00F70551">
              <w:t>functions, but</w:t>
            </w:r>
            <w:proofErr w:type="gramEnd"/>
            <w:r w:rsidRPr="00F70551">
              <w:t xml:space="preserve"> still be active in others.  </w:t>
            </w:r>
          </w:p>
        </w:tc>
      </w:tr>
      <w:tr w:rsidR="006866BE" w14:paraId="73119E6C" w14:textId="77777777" w:rsidTr="005D3BFA">
        <w:tc>
          <w:tcPr>
            <w:tcW w:w="2830" w:type="dxa"/>
          </w:tcPr>
          <w:p w14:paraId="12B2F839" w14:textId="77777777" w:rsidR="006866BE" w:rsidRDefault="006866BE" w:rsidP="005D3BFA">
            <w:pPr>
              <w:rPr>
                <w:lang w:val="en-US"/>
              </w:rPr>
            </w:pPr>
            <w:r>
              <w:t>Instrument of appointment</w:t>
            </w:r>
          </w:p>
        </w:tc>
        <w:tc>
          <w:tcPr>
            <w:tcW w:w="6379" w:type="dxa"/>
          </w:tcPr>
          <w:p w14:paraId="76E96697" w14:textId="77777777" w:rsidR="006866BE" w:rsidRPr="003E0AAD" w:rsidRDefault="006866BE" w:rsidP="005D3BFA">
            <w:pPr>
              <w:rPr>
                <w:lang w:val="en-US"/>
              </w:rPr>
            </w:pPr>
            <w:r w:rsidRPr="00C0406D">
              <w:t>This do</w:t>
            </w:r>
            <w:r>
              <w:t>cument authorises a person to be an AO</w:t>
            </w:r>
            <w:r w:rsidRPr="00C0406D">
              <w:t xml:space="preserve"> under the </w:t>
            </w:r>
            <w:r w:rsidRPr="00774FF8">
              <w:rPr>
                <w:i/>
              </w:rPr>
              <w:t xml:space="preserve">Export Control Act </w:t>
            </w:r>
            <w:r>
              <w:rPr>
                <w:i/>
              </w:rPr>
              <w:t>2020</w:t>
            </w:r>
            <w:r w:rsidRPr="00C0406D">
              <w:t xml:space="preserve"> and provides them with the necessary powers under the </w:t>
            </w:r>
            <w:r>
              <w:rPr>
                <w:i/>
                <w:iCs/>
              </w:rPr>
              <w:t xml:space="preserve">Export Control Act 2020 </w:t>
            </w:r>
            <w:r>
              <w:t>and Export Control (Plants and Plant Products) Rules 2021</w:t>
            </w:r>
            <w:r w:rsidRPr="00774FF8">
              <w:t xml:space="preserve"> </w:t>
            </w:r>
            <w:r w:rsidRPr="00C0406D">
              <w:t>to undertake the ta</w:t>
            </w:r>
            <w:r>
              <w:t xml:space="preserve">sks required of them as an AO. The instrument of appointment may also subdelegate powers of the Secretary under the </w:t>
            </w:r>
            <w:r>
              <w:rPr>
                <w:i/>
                <w:iCs/>
              </w:rPr>
              <w:t xml:space="preserve">Export Control Act 2020 </w:t>
            </w:r>
            <w:r>
              <w:t>and Export Control (Plants and Plant Products) Rules 2021 to the AO.</w:t>
            </w:r>
          </w:p>
        </w:tc>
      </w:tr>
      <w:tr w:rsidR="006866BE" w14:paraId="6DBB433C" w14:textId="77777777" w:rsidTr="005D3BFA">
        <w:tc>
          <w:tcPr>
            <w:tcW w:w="2830" w:type="dxa"/>
          </w:tcPr>
          <w:p w14:paraId="05F780E9" w14:textId="77777777" w:rsidR="006866BE" w:rsidRDefault="006866BE" w:rsidP="005D3BFA">
            <w:r w:rsidRPr="003E0AAD">
              <w:t>Major non-compliance rating</w:t>
            </w:r>
          </w:p>
        </w:tc>
        <w:tc>
          <w:tcPr>
            <w:tcW w:w="6379" w:type="dxa"/>
          </w:tcPr>
          <w:p w14:paraId="03191EE0" w14:textId="77777777" w:rsidR="006866BE" w:rsidRDefault="006866BE" w:rsidP="005D3BFA">
            <w:pPr>
              <w:rPr>
                <w:rFonts w:asciiTheme="minorHAnsi" w:hAnsiTheme="minorHAnsi" w:cstheme="minorHAnsi"/>
              </w:rPr>
            </w:pPr>
            <w:r w:rsidRPr="003E0AAD">
              <w:rPr>
                <w:rFonts w:asciiTheme="minorHAnsi" w:hAnsiTheme="minorHAnsi" w:cstheme="minorHAnsi"/>
              </w:rPr>
              <w:t xml:space="preserve">When there is action, inaction or contravention of departmental requirements that </w:t>
            </w:r>
          </w:p>
          <w:p w14:paraId="75C21BA3" w14:textId="77777777" w:rsidR="006866BE" w:rsidRDefault="006866BE" w:rsidP="005D3BFA">
            <w:pPr>
              <w:pStyle w:val="ListBullet"/>
            </w:pPr>
            <w:r w:rsidRPr="003E0AAD">
              <w:t>results in a situation that may lead to the phytosanitary status of prescribed goods to be compromised</w:t>
            </w:r>
            <w:r>
              <w:t xml:space="preserve"> </w:t>
            </w:r>
          </w:p>
          <w:p w14:paraId="32AB3920" w14:textId="77777777" w:rsidR="006866BE" w:rsidRDefault="006866BE" w:rsidP="005D3BFA">
            <w:pPr>
              <w:pStyle w:val="ListBullet"/>
            </w:pPr>
            <w:r w:rsidRPr="003E0AAD">
              <w:t xml:space="preserve">may lead to </w:t>
            </w:r>
            <w:r>
              <w:t xml:space="preserve">the </w:t>
            </w:r>
            <w:r w:rsidRPr="003E0AAD">
              <w:t xml:space="preserve">export of prescribed goods that are not </w:t>
            </w:r>
            <w:r w:rsidRPr="00F5294B">
              <w:t>export compliant.</w:t>
            </w:r>
          </w:p>
        </w:tc>
      </w:tr>
      <w:tr w:rsidR="006866BE" w14:paraId="7F2ED910" w14:textId="77777777" w:rsidTr="005D3BFA">
        <w:tc>
          <w:tcPr>
            <w:tcW w:w="2830" w:type="dxa"/>
          </w:tcPr>
          <w:p w14:paraId="440F40FE" w14:textId="77777777" w:rsidR="006866BE" w:rsidRDefault="006866BE" w:rsidP="005D3BFA">
            <w:r>
              <w:t>Minor non-compliance rating</w:t>
            </w:r>
          </w:p>
        </w:tc>
        <w:tc>
          <w:tcPr>
            <w:tcW w:w="6379" w:type="dxa"/>
          </w:tcPr>
          <w:p w14:paraId="183D3534" w14:textId="77777777" w:rsidR="006866BE" w:rsidRPr="00AE261A" w:rsidRDefault="006866BE" w:rsidP="005D3BFA">
            <w:r w:rsidRPr="003E0AAD">
              <w:rPr>
                <w:lang w:val="en-US"/>
              </w:rPr>
              <w:t xml:space="preserve">When there is </w:t>
            </w:r>
            <w:r w:rsidRPr="003E0AAD">
              <w:t>action, inaction or contravention of departmental requirements that results in a situation that may compromise the integrity of systems</w:t>
            </w:r>
            <w:r>
              <w:t xml:space="preserve"> or</w:t>
            </w:r>
            <w:r w:rsidRPr="003E0AAD" w:rsidDel="006430BC">
              <w:t>,</w:t>
            </w:r>
            <w:r w:rsidRPr="003E0AAD">
              <w:t xml:space="preserve"> processes</w:t>
            </w:r>
            <w:r w:rsidRPr="003E0AAD" w:rsidDel="006430BC">
              <w:t xml:space="preserve"> </w:t>
            </w:r>
            <w:r w:rsidRPr="003E0AAD">
              <w:t>that are designed to maintain phytosanitary status of prescribed goods.</w:t>
            </w:r>
          </w:p>
        </w:tc>
      </w:tr>
      <w:tr w:rsidR="006866BE" w14:paraId="6554BDDB" w14:textId="77777777" w:rsidTr="005D3BFA">
        <w:tc>
          <w:tcPr>
            <w:tcW w:w="2830" w:type="dxa"/>
          </w:tcPr>
          <w:p w14:paraId="434A3E76" w14:textId="77777777" w:rsidR="006866BE" w:rsidRDefault="006866BE" w:rsidP="005D3BFA">
            <w:r>
              <w:t>No further action required</w:t>
            </w:r>
          </w:p>
        </w:tc>
        <w:tc>
          <w:tcPr>
            <w:tcW w:w="6379" w:type="dxa"/>
          </w:tcPr>
          <w:p w14:paraId="124B1441" w14:textId="77777777" w:rsidR="006866BE" w:rsidRPr="00C0406D" w:rsidRDefault="006866BE" w:rsidP="005D3BFA">
            <w:pPr>
              <w:pStyle w:val="BodyText"/>
            </w:pPr>
            <w:r w:rsidRPr="005F0AFA">
              <w:t xml:space="preserve">Where a non-compliance notice has been </w:t>
            </w:r>
            <w:proofErr w:type="gramStart"/>
            <w:r w:rsidRPr="005F0AFA">
              <w:t>issued</w:t>
            </w:r>
            <w:proofErr w:type="gramEnd"/>
            <w:r w:rsidRPr="005F0AFA">
              <w:t xml:space="preserve"> and sufficient evidence has been provided to demonstrate effective corrective action has been taken</w:t>
            </w:r>
            <w:r>
              <w:t>.</w:t>
            </w:r>
            <w:r w:rsidRPr="003E0AAD" w:rsidDel="00AF0739">
              <w:rPr>
                <w:lang w:val="en-US"/>
              </w:rPr>
              <w:t xml:space="preserve"> </w:t>
            </w:r>
          </w:p>
        </w:tc>
      </w:tr>
      <w:tr w:rsidR="006866BE" w14:paraId="562464EC" w14:textId="77777777" w:rsidTr="005D3BFA">
        <w:tc>
          <w:tcPr>
            <w:tcW w:w="2830" w:type="dxa"/>
          </w:tcPr>
          <w:p w14:paraId="7F0455E5" w14:textId="77777777" w:rsidR="006866BE" w:rsidRDefault="006866BE" w:rsidP="005D3BFA">
            <w:r>
              <w:lastRenderedPageBreak/>
              <w:t xml:space="preserve">Non-compliance notice </w:t>
            </w:r>
          </w:p>
        </w:tc>
        <w:tc>
          <w:tcPr>
            <w:tcW w:w="6379" w:type="dxa"/>
          </w:tcPr>
          <w:p w14:paraId="64601C23" w14:textId="77777777" w:rsidR="006866BE" w:rsidRDefault="006866BE" w:rsidP="005D3BFA">
            <w:pPr>
              <w:rPr>
                <w:lang w:val="en-US"/>
              </w:rPr>
            </w:pPr>
            <w:r w:rsidRPr="003E0AAD">
              <w:t>A formal notice from the department requesting the cause of non-compliance with requirements to be eliminated, with the objective of preventing reoccurrence.</w:t>
            </w:r>
          </w:p>
        </w:tc>
      </w:tr>
      <w:tr w:rsidR="006866BE" w14:paraId="1442D9F9" w14:textId="77777777" w:rsidTr="005D3BFA">
        <w:tc>
          <w:tcPr>
            <w:tcW w:w="2830" w:type="dxa"/>
          </w:tcPr>
          <w:p w14:paraId="4D409563" w14:textId="77777777" w:rsidR="006866BE" w:rsidRDefault="006866BE" w:rsidP="005D3BFA">
            <w:r w:rsidRPr="003E0AAD">
              <w:rPr>
                <w:lang w:val="en-US"/>
              </w:rPr>
              <w:t>Non-compliance rating</w:t>
            </w:r>
          </w:p>
        </w:tc>
        <w:tc>
          <w:tcPr>
            <w:tcW w:w="6379" w:type="dxa"/>
          </w:tcPr>
          <w:p w14:paraId="41AFE722" w14:textId="77777777" w:rsidR="006866BE" w:rsidRDefault="006866BE" w:rsidP="005D3BFA">
            <w:pPr>
              <w:rPr>
                <w:lang w:val="en-US"/>
              </w:rPr>
            </w:pPr>
            <w:r w:rsidRPr="003E0AAD">
              <w:t xml:space="preserve">Ratings of minor, major and critical applied to a non-compliance to indicate the degree of seriousness. </w:t>
            </w:r>
          </w:p>
        </w:tc>
      </w:tr>
      <w:tr w:rsidR="006866BE" w14:paraId="05DB5CD8" w14:textId="77777777" w:rsidTr="005D3BFA">
        <w:tc>
          <w:tcPr>
            <w:tcW w:w="2830" w:type="dxa"/>
          </w:tcPr>
          <w:p w14:paraId="63B0D808" w14:textId="77777777" w:rsidR="006866BE" w:rsidRPr="003E0AAD" w:rsidRDefault="006866BE" w:rsidP="005D3BFA">
            <w:pPr>
              <w:rPr>
                <w:lang w:val="en-US"/>
              </w:rPr>
            </w:pPr>
            <w:r>
              <w:t>Non-compliant</w:t>
            </w:r>
          </w:p>
        </w:tc>
        <w:tc>
          <w:tcPr>
            <w:tcW w:w="6379" w:type="dxa"/>
          </w:tcPr>
          <w:p w14:paraId="125C9C0D" w14:textId="77777777" w:rsidR="006866BE" w:rsidRPr="003E0AAD" w:rsidRDefault="006866BE" w:rsidP="005D3BFA">
            <w:r>
              <w:rPr>
                <w:lang w:val="en-US"/>
              </w:rPr>
              <w:t>Not meeting a requirement.</w:t>
            </w:r>
          </w:p>
        </w:tc>
      </w:tr>
      <w:tr w:rsidR="006866BE" w14:paraId="440B2B64" w14:textId="77777777" w:rsidTr="005D3BFA">
        <w:tc>
          <w:tcPr>
            <w:tcW w:w="2830" w:type="dxa"/>
          </w:tcPr>
          <w:p w14:paraId="4B856DD6" w14:textId="77777777" w:rsidR="006866BE" w:rsidRDefault="006866BE" w:rsidP="005D3BFA">
            <w:r>
              <w:t>Not applicable</w:t>
            </w:r>
          </w:p>
        </w:tc>
        <w:tc>
          <w:tcPr>
            <w:tcW w:w="6379" w:type="dxa"/>
          </w:tcPr>
          <w:p w14:paraId="58D37A64" w14:textId="77777777" w:rsidR="006866BE" w:rsidRPr="003E0AAD" w:rsidRDefault="006866BE" w:rsidP="005D3BFA">
            <w:pPr>
              <w:rPr>
                <w:lang w:val="en-US"/>
              </w:rPr>
            </w:pPr>
            <w:r w:rsidRPr="003E0AAD">
              <w:t xml:space="preserve">Not assessed for compliance as it is not relevant to </w:t>
            </w:r>
            <w:r w:rsidRPr="003E0AAD" w:rsidDel="00A0177C">
              <w:t xml:space="preserve">the </w:t>
            </w:r>
            <w:r>
              <w:t>AO</w:t>
            </w:r>
            <w:r w:rsidRPr="003E0AAD" w:rsidDel="00A0177C">
              <w:t xml:space="preserve"> or is not within </w:t>
            </w:r>
            <w:r w:rsidRPr="003E0AAD">
              <w:t xml:space="preserve">the scope of the audit. </w:t>
            </w:r>
          </w:p>
        </w:tc>
      </w:tr>
      <w:tr w:rsidR="006866BE" w14:paraId="0F09152A" w14:textId="77777777" w:rsidTr="005D3BFA">
        <w:tc>
          <w:tcPr>
            <w:tcW w:w="2830" w:type="dxa"/>
          </w:tcPr>
          <w:p w14:paraId="7B8C65BB" w14:textId="77777777" w:rsidR="006866BE" w:rsidRDefault="006866BE" w:rsidP="005D3BFA">
            <w:r>
              <w:t>Performance standards</w:t>
            </w:r>
          </w:p>
        </w:tc>
        <w:tc>
          <w:tcPr>
            <w:tcW w:w="6379" w:type="dxa"/>
          </w:tcPr>
          <w:p w14:paraId="54279EEF" w14:textId="77777777" w:rsidR="006866BE" w:rsidRPr="003E0AAD" w:rsidRDefault="006866BE" w:rsidP="005D3BFA">
            <w:pPr>
              <w:pStyle w:val="Default"/>
            </w:pPr>
            <w:r>
              <w:rPr>
                <w:sz w:val="22"/>
                <w:szCs w:val="22"/>
              </w:rPr>
              <w:t xml:space="preserve">A benchmark derived from legislation and departmental requirements against which actual performance of third parties is measured. </w:t>
            </w:r>
          </w:p>
        </w:tc>
      </w:tr>
      <w:tr w:rsidR="006866BE" w14:paraId="30602B16" w14:textId="77777777" w:rsidTr="005D3BFA">
        <w:tc>
          <w:tcPr>
            <w:tcW w:w="2830" w:type="dxa"/>
          </w:tcPr>
          <w:p w14:paraId="6A7D93AB" w14:textId="77777777" w:rsidR="006866BE" w:rsidRPr="003E0AAD" w:rsidRDefault="006866BE" w:rsidP="005D3BFA">
            <w:pPr>
              <w:rPr>
                <w:lang w:val="en-US"/>
              </w:rPr>
            </w:pPr>
            <w:r>
              <w:t>Periodic audit</w:t>
            </w:r>
          </w:p>
        </w:tc>
        <w:tc>
          <w:tcPr>
            <w:tcW w:w="6379" w:type="dxa"/>
          </w:tcPr>
          <w:p w14:paraId="6E96F5CA" w14:textId="77777777" w:rsidR="006866BE" w:rsidRPr="003E0AAD" w:rsidRDefault="006866BE" w:rsidP="005D3BFA">
            <w:r>
              <w:t>A scheduled audit (announced or unannounced) of an AO against the relevant requirements, conducted at a frequency based on performance.</w:t>
            </w:r>
          </w:p>
        </w:tc>
      </w:tr>
      <w:tr w:rsidR="006866BE" w14:paraId="7A6ED243" w14:textId="77777777" w:rsidTr="005D3BFA">
        <w:tc>
          <w:tcPr>
            <w:tcW w:w="2830" w:type="dxa"/>
          </w:tcPr>
          <w:p w14:paraId="7461C9A0" w14:textId="77777777" w:rsidR="006866BE" w:rsidRPr="003E0AAD" w:rsidRDefault="006866BE" w:rsidP="005D3BFA">
            <w:r>
              <w:t>Plant Export Assessor</w:t>
            </w:r>
          </w:p>
        </w:tc>
        <w:tc>
          <w:tcPr>
            <w:tcW w:w="6379" w:type="dxa"/>
          </w:tcPr>
          <w:p w14:paraId="6680E8C6" w14:textId="77777777" w:rsidR="006866BE" w:rsidRPr="003E0AAD" w:rsidRDefault="006866BE" w:rsidP="005D3BFA">
            <w:r>
              <w:rPr>
                <w:rFonts w:cs="Calibri"/>
              </w:rPr>
              <w:t xml:space="preserve">A regionally based department officer with a Certificate IV in Training and Assessment, diploma or </w:t>
            </w:r>
            <w:proofErr w:type="gramStart"/>
            <w:r>
              <w:rPr>
                <w:rFonts w:cs="Calibri"/>
              </w:rPr>
              <w:t>higher level</w:t>
            </w:r>
            <w:proofErr w:type="gramEnd"/>
            <w:r>
              <w:rPr>
                <w:rFonts w:cs="Calibri"/>
              </w:rPr>
              <w:t xml:space="preserve"> qualification in adult education, responsible for training and assessing AOs and AO candidates.</w:t>
            </w:r>
          </w:p>
        </w:tc>
      </w:tr>
      <w:tr w:rsidR="006866BE" w14:paraId="6660B45A" w14:textId="77777777" w:rsidTr="005D3BFA">
        <w:tc>
          <w:tcPr>
            <w:tcW w:w="2830" w:type="dxa"/>
          </w:tcPr>
          <w:p w14:paraId="0885487B" w14:textId="77777777" w:rsidR="006866BE" w:rsidRDefault="006866BE" w:rsidP="005D3BFA">
            <w:r>
              <w:t>Protocol job function</w:t>
            </w:r>
          </w:p>
        </w:tc>
        <w:tc>
          <w:tcPr>
            <w:tcW w:w="6379" w:type="dxa"/>
          </w:tcPr>
          <w:p w14:paraId="7C3A5F23" w14:textId="77777777" w:rsidR="006866BE" w:rsidRPr="00C0406D" w:rsidRDefault="006866BE" w:rsidP="005D3BFA">
            <w:r>
              <w:t>AO job functions required to conduct export activities for commodities to protocol markets.</w:t>
            </w:r>
          </w:p>
        </w:tc>
      </w:tr>
      <w:tr w:rsidR="006866BE" w14:paraId="4DD9BC45" w14:textId="77777777" w:rsidTr="005D3BFA">
        <w:tc>
          <w:tcPr>
            <w:tcW w:w="2830" w:type="dxa"/>
          </w:tcPr>
          <w:p w14:paraId="26F3DD9A" w14:textId="77777777" w:rsidR="006866BE" w:rsidRDefault="006866BE" w:rsidP="005D3BFA">
            <w:r>
              <w:t xml:space="preserve">Protocol </w:t>
            </w:r>
          </w:p>
        </w:tc>
        <w:tc>
          <w:tcPr>
            <w:tcW w:w="6379" w:type="dxa"/>
          </w:tcPr>
          <w:p w14:paraId="74892EEA" w14:textId="77777777" w:rsidR="006866BE" w:rsidRDefault="006866BE" w:rsidP="005D3BFA">
            <w:r>
              <w:rPr>
                <w:rFonts w:cs="Calibri"/>
              </w:rPr>
              <w:t>A government-to-government document that specifies import requirements and is bilaterally agreed to by Australia and the importing country authority.</w:t>
            </w:r>
          </w:p>
        </w:tc>
      </w:tr>
      <w:tr w:rsidR="006866BE" w14:paraId="4552FBF1" w14:textId="77777777" w:rsidTr="005D3BFA">
        <w:tc>
          <w:tcPr>
            <w:tcW w:w="2830" w:type="dxa"/>
          </w:tcPr>
          <w:p w14:paraId="3518873F" w14:textId="77777777" w:rsidR="006866BE" w:rsidRDefault="006866BE" w:rsidP="005D3BFA">
            <w:r w:rsidRPr="00451BF4">
              <w:t>Scope</w:t>
            </w:r>
          </w:p>
        </w:tc>
        <w:tc>
          <w:tcPr>
            <w:tcW w:w="6379" w:type="dxa"/>
          </w:tcPr>
          <w:p w14:paraId="0909501C" w14:textId="77777777" w:rsidR="006866BE" w:rsidRDefault="006866BE" w:rsidP="005D3BFA">
            <w:pPr>
              <w:rPr>
                <w:rFonts w:cs="Calibri"/>
              </w:rPr>
            </w:pPr>
            <w:r w:rsidRPr="00451BF4">
              <w:t>Sets out the job functions, or parts thereof that will be assessed during the audit.</w:t>
            </w:r>
          </w:p>
        </w:tc>
      </w:tr>
      <w:tr w:rsidR="006866BE" w14:paraId="559208E0" w14:textId="77777777" w:rsidTr="005D3BFA">
        <w:tc>
          <w:tcPr>
            <w:tcW w:w="2830" w:type="dxa"/>
          </w:tcPr>
          <w:p w14:paraId="1B98281E" w14:textId="77777777" w:rsidR="006866BE" w:rsidRDefault="006866BE" w:rsidP="005D3BFA">
            <w:r>
              <w:t>Serious and Urgent</w:t>
            </w:r>
          </w:p>
        </w:tc>
        <w:tc>
          <w:tcPr>
            <w:tcW w:w="6379" w:type="dxa"/>
          </w:tcPr>
          <w:p w14:paraId="3747B907" w14:textId="77777777" w:rsidR="006866BE" w:rsidRDefault="006866BE" w:rsidP="005D3BFA">
            <w:r w:rsidRPr="003E0AAD">
              <w:t>A category which is used to immediately impose an administrative sanction or consequence to a</w:t>
            </w:r>
            <w:r>
              <w:t>n AO</w:t>
            </w:r>
            <w:r w:rsidRPr="003E0AAD">
              <w:t xml:space="preserve"> where the Secretary reasonably believes that the current </w:t>
            </w:r>
            <w:r>
              <w:t>appointment</w:t>
            </w:r>
            <w:r w:rsidRPr="003E0AAD">
              <w:t xml:space="preserve"> of </w:t>
            </w:r>
            <w:r>
              <w:t>an AO</w:t>
            </w:r>
            <w:r w:rsidRPr="003E0AAD">
              <w:t xml:space="preserve"> may adversely affect trade if there is any delay to the administrative sanction or consequence being taken.</w:t>
            </w:r>
          </w:p>
        </w:tc>
      </w:tr>
      <w:tr w:rsidR="006866BE" w14:paraId="2290F26F" w14:textId="77777777" w:rsidTr="005D3BFA">
        <w:trPr>
          <w:cantSplit/>
        </w:trPr>
        <w:tc>
          <w:tcPr>
            <w:tcW w:w="2830" w:type="dxa"/>
          </w:tcPr>
          <w:p w14:paraId="5E6B5037" w14:textId="77777777" w:rsidR="006866BE" w:rsidRDefault="006866BE" w:rsidP="005D3BFA">
            <w:r>
              <w:t>Sub-elements</w:t>
            </w:r>
          </w:p>
        </w:tc>
        <w:tc>
          <w:tcPr>
            <w:tcW w:w="6379" w:type="dxa"/>
          </w:tcPr>
          <w:p w14:paraId="55F13BD3" w14:textId="77777777" w:rsidR="006866BE" w:rsidRPr="00E94A08" w:rsidRDefault="006866BE" w:rsidP="005D3BFA">
            <w:r w:rsidRPr="003E56DA">
              <w:t>Elements are further arranged into ‘sub-elements’. Some or all sub-elements must be covered during an audit</w:t>
            </w:r>
            <w:r>
              <w:t>.</w:t>
            </w:r>
          </w:p>
        </w:tc>
      </w:tr>
      <w:tr w:rsidR="006866BE" w14:paraId="4E3BEEAA" w14:textId="77777777" w:rsidTr="005D3BFA">
        <w:trPr>
          <w:cantSplit/>
        </w:trPr>
        <w:tc>
          <w:tcPr>
            <w:tcW w:w="2830" w:type="dxa"/>
          </w:tcPr>
          <w:p w14:paraId="2DB14B91" w14:textId="77777777" w:rsidR="006866BE" w:rsidRPr="00451BF4" w:rsidRDefault="006866BE" w:rsidP="005D3BFA">
            <w:r>
              <w:t>Unannounced audit</w:t>
            </w:r>
          </w:p>
        </w:tc>
        <w:tc>
          <w:tcPr>
            <w:tcW w:w="6379" w:type="dxa"/>
          </w:tcPr>
          <w:p w14:paraId="05ACB8D8" w14:textId="77777777" w:rsidR="006866BE" w:rsidRPr="00451BF4" w:rsidRDefault="006866BE" w:rsidP="005D3BFA">
            <w:r>
              <w:rPr>
                <w:rFonts w:cs="Calibri"/>
              </w:rPr>
              <w:t>An audit that is carried out without providing advance notice to the auditee.</w:t>
            </w:r>
          </w:p>
        </w:tc>
      </w:tr>
    </w:tbl>
    <w:p w14:paraId="6C3FD270" w14:textId="77777777" w:rsidR="006866BE" w:rsidRDefault="006866BE" w:rsidP="006866BE">
      <w:pPr>
        <w:pStyle w:val="BodyText"/>
      </w:pPr>
    </w:p>
    <w:p w14:paraId="0962E9B0" w14:textId="77777777" w:rsidR="006866BE" w:rsidRPr="00306DD9" w:rsidRDefault="006866BE" w:rsidP="006866BE">
      <w:pPr>
        <w:pStyle w:val="BodyText"/>
      </w:pPr>
      <w:r>
        <w:tab/>
      </w:r>
    </w:p>
    <w:p w14:paraId="32ABBE2F" w14:textId="77777777" w:rsidR="006866BE" w:rsidRPr="00166C4D" w:rsidRDefault="006866BE" w:rsidP="006866BE"/>
    <w:p w14:paraId="320A3293" w14:textId="433A362D" w:rsidR="00C426B5" w:rsidRPr="006866BE" w:rsidRDefault="00C426B5" w:rsidP="006866BE"/>
    <w:sectPr w:rsidR="00C426B5" w:rsidRPr="006866BE">
      <w:headerReference w:type="even" r:id="rId22"/>
      <w:headerReference w:type="default" r:id="rId23"/>
      <w:footerReference w:type="even" r:id="rId24"/>
      <w:footerReference w:type="default" r:id="rId25"/>
      <w:headerReference w:type="first" r:id="rId26"/>
      <w:footerReference w:type="first" r:id="rId27"/>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EFC8B" w14:textId="77777777" w:rsidR="0079521C" w:rsidRDefault="0079521C">
      <w:pPr>
        <w:spacing w:after="0"/>
      </w:pPr>
      <w:r>
        <w:separator/>
      </w:r>
    </w:p>
    <w:p w14:paraId="1D3B122D" w14:textId="77777777" w:rsidR="0079521C" w:rsidRDefault="0079521C"/>
  </w:endnote>
  <w:endnote w:type="continuationSeparator" w:id="0">
    <w:p w14:paraId="55DC5F26" w14:textId="77777777" w:rsidR="0079521C" w:rsidRDefault="0079521C">
      <w:pPr>
        <w:spacing w:after="0"/>
      </w:pPr>
      <w:r>
        <w:continuationSeparator/>
      </w:r>
    </w:p>
    <w:p w14:paraId="023B20EE" w14:textId="77777777" w:rsidR="0079521C" w:rsidRDefault="0079521C"/>
  </w:endnote>
  <w:endnote w:type="continuationNotice" w:id="1">
    <w:p w14:paraId="713ACABF" w14:textId="77777777" w:rsidR="0079521C" w:rsidRDefault="007952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w:altName w:val="Segoe UI Historic"/>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3138" w14:textId="51E2C320" w:rsidR="00166C4D" w:rsidRDefault="00166C4D">
    <w:pPr>
      <w:pStyle w:val="Footer"/>
    </w:pPr>
    <w:r>
      <w:rPr>
        <w:noProof/>
      </w:rPr>
      <mc:AlternateContent>
        <mc:Choice Requires="wps">
          <w:drawing>
            <wp:anchor distT="0" distB="0" distL="0" distR="0" simplePos="0" relativeHeight="251658244" behindDoc="0" locked="0" layoutInCell="1" allowOverlap="1" wp14:anchorId="03647CFE" wp14:editId="356D1F03">
              <wp:simplePos x="635" y="635"/>
              <wp:positionH relativeFrom="page">
                <wp:align>center</wp:align>
              </wp:positionH>
              <wp:positionV relativeFrom="page">
                <wp:align>bottom</wp:align>
              </wp:positionV>
              <wp:extent cx="551815" cy="414655"/>
              <wp:effectExtent l="0" t="0" r="635" b="0"/>
              <wp:wrapNone/>
              <wp:docPr id="13856945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298BD358" w14:textId="7437B06E" w:rsidR="00166C4D" w:rsidRPr="00166C4D" w:rsidRDefault="00166C4D" w:rsidP="00166C4D">
                          <w:pPr>
                            <w:spacing w:after="0"/>
                            <w:rPr>
                              <w:rFonts w:cs="Calibri"/>
                              <w:noProof/>
                              <w:color w:val="FF0000"/>
                              <w:sz w:val="24"/>
                              <w:szCs w:val="24"/>
                            </w:rPr>
                          </w:pPr>
                          <w:r w:rsidRPr="00166C4D">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647CFE" id="_x0000_t202" coordsize="21600,21600" o:spt="202" path="m,l,21600r21600,l21600,xe">
              <v:stroke joinstyle="miter"/>
              <v:path gradientshapeok="t" o:connecttype="rect"/>
            </v:shapetype>
            <v:shape id="Text Box 5" o:spid="_x0000_s1028" type="#_x0000_t202" alt="OFFICIAL" style="position:absolute;margin-left:0;margin-top:0;width:43.45pt;height:32.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bCuOtw4CAAAc&#10;BAAADgAAAAAAAAAAAAAAAAAuAgAAZHJzL2Uyb0RvYy54bWxQSwECLQAUAAYACAAAACEAKMXpYNsA&#10;AAADAQAADwAAAAAAAAAAAAAAAABoBAAAZHJzL2Rvd25yZXYueG1sUEsFBgAAAAAEAAQA8wAAAHAF&#10;AAAAAA==&#10;" filled="f" stroked="f">
              <v:textbox style="mso-fit-shape-to-text:t" inset="0,0,0,15pt">
                <w:txbxContent>
                  <w:p w14:paraId="298BD358" w14:textId="7437B06E" w:rsidR="00166C4D" w:rsidRPr="00166C4D" w:rsidRDefault="00166C4D" w:rsidP="00166C4D">
                    <w:pPr>
                      <w:spacing w:after="0"/>
                      <w:rPr>
                        <w:rFonts w:cs="Calibri"/>
                        <w:noProof/>
                        <w:color w:val="FF0000"/>
                        <w:sz w:val="24"/>
                        <w:szCs w:val="24"/>
                      </w:rPr>
                    </w:pPr>
                    <w:r w:rsidRPr="00166C4D">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5525" w14:textId="74DEA25F" w:rsidR="00E752F4" w:rsidRDefault="00166C4D">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noProof/>
        <w:sz w:val="15"/>
        <w:szCs w:val="15"/>
      </w:rPr>
      <mc:AlternateContent>
        <mc:Choice Requires="wps">
          <w:drawing>
            <wp:anchor distT="0" distB="0" distL="0" distR="0" simplePos="0" relativeHeight="251658245" behindDoc="0" locked="0" layoutInCell="1" allowOverlap="1" wp14:anchorId="6496A67D" wp14:editId="7EFAFA1B">
              <wp:simplePos x="914400" y="9915525"/>
              <wp:positionH relativeFrom="page">
                <wp:align>center</wp:align>
              </wp:positionH>
              <wp:positionV relativeFrom="page">
                <wp:align>bottom</wp:align>
              </wp:positionV>
              <wp:extent cx="551815" cy="414655"/>
              <wp:effectExtent l="0" t="0" r="635" b="0"/>
              <wp:wrapNone/>
              <wp:docPr id="127231966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5A62CDD7" w14:textId="1B7F8B06" w:rsidR="00166C4D" w:rsidRPr="00166C4D" w:rsidRDefault="00166C4D" w:rsidP="00166C4D">
                          <w:pPr>
                            <w:spacing w:after="0"/>
                            <w:rPr>
                              <w:rFonts w:cs="Calibri"/>
                              <w:noProof/>
                              <w:color w:val="FF0000"/>
                              <w:sz w:val="24"/>
                              <w:szCs w:val="24"/>
                            </w:rPr>
                          </w:pPr>
                          <w:r w:rsidRPr="00166C4D">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96A67D"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2.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yKDgIAABwEAAAOAAAAZHJzL2Uyb0RvYy54bWysU8Fu2zAMvQ/YPwi6L7a7umi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uri+KcuIkl0uW+fDVwGaRKOmDreSyGKH&#10;tQ9j6pQSaxlYdUqlzSjzmwMxoye7dBitMGwH0jU1/Tx1v4XmiEM5GPftLV91WHrNfHhhDheMc6Bo&#10;wzMeUkFfUzhZlLTgfvzNH/ORd4xS0qNgampQ0ZSobwb3EbU1GW4ytsko7vIyx7jZ6wdAGRb4IixP&#10;JnpdUJMpHeg3lPMyFsIQMxzL1XQ7mQ9hVC4+By6Wy5SEMrIsrM3G8ggd6Ypcvg5vzNkT4QE39QST&#10;mlj1jvcxN970drkPyH5aSqR2JPLEOEowrfX0XKLGf/1PWZdHvfgJ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AZQ8ig4CAAAc&#10;BAAADgAAAAAAAAAAAAAAAAAuAgAAZHJzL2Uyb0RvYy54bWxQSwECLQAUAAYACAAAACEAKMXpYNsA&#10;AAADAQAADwAAAAAAAAAAAAAAAABoBAAAZHJzL2Rvd25yZXYueG1sUEsFBgAAAAAEAAQA8wAAAHAF&#10;AAAAAA==&#10;" filled="f" stroked="f">
              <v:textbox style="mso-fit-shape-to-text:t" inset="0,0,0,15pt">
                <w:txbxContent>
                  <w:p w14:paraId="5A62CDD7" w14:textId="1B7F8B06" w:rsidR="00166C4D" w:rsidRPr="00166C4D" w:rsidRDefault="00166C4D" w:rsidP="00166C4D">
                    <w:pPr>
                      <w:spacing w:after="0"/>
                      <w:rPr>
                        <w:rFonts w:cs="Calibri"/>
                        <w:noProof/>
                        <w:color w:val="FF0000"/>
                        <w:sz w:val="24"/>
                        <w:szCs w:val="24"/>
                      </w:rPr>
                    </w:pPr>
                    <w:r w:rsidRPr="00166C4D">
                      <w:rPr>
                        <w:rFonts w:cs="Calibri"/>
                        <w:noProof/>
                        <w:color w:val="FF0000"/>
                        <w:sz w:val="24"/>
                        <w:szCs w:val="24"/>
                      </w:rPr>
                      <w:t>OFFICIAL</w:t>
                    </w:r>
                  </w:p>
                </w:txbxContent>
              </v:textbox>
              <w10:wrap anchorx="page" anchory="page"/>
            </v:shape>
          </w:pict>
        </mc:Fallback>
      </mc:AlternateContent>
    </w:r>
    <w:r w:rsidR="00E752F4">
      <w:rPr>
        <w:sz w:val="15"/>
        <w:szCs w:val="15"/>
      </w:rPr>
      <w:t>This is a CONTROLLED document. Any documents appearing in paper form are not controlled and should be checked against the IML version prior to use.</w:t>
    </w:r>
  </w:p>
  <w:p w14:paraId="3D885D35" w14:textId="3EE0DB81" w:rsidR="00E752F4" w:rsidRDefault="00000000">
    <w:pPr>
      <w:pStyle w:val="Footer"/>
      <w:tabs>
        <w:tab w:val="clear" w:pos="4513"/>
        <w:tab w:val="clear" w:pos="9026"/>
        <w:tab w:val="right" w:pos="9356"/>
      </w:tabs>
      <w:ind w:left="-567" w:right="-330"/>
      <w:rPr>
        <w:i/>
      </w:rPr>
    </w:pPr>
    <w:sdt>
      <w:sdtPr>
        <w:rPr>
          <w:i/>
        </w:rPr>
        <w:alias w:val="Title"/>
        <w:tag w:val=""/>
        <w:id w:val="-981309319"/>
        <w:placeholder>
          <w:docPart w:val="649A56916B454112862F08F8A3C77AA7"/>
        </w:placeholder>
        <w:dataBinding w:prefixMappings="xmlns:ns0='http://purl.org/dc/elements/1.1/' xmlns:ns1='http://schemas.openxmlformats.org/package/2006/metadata/core-properties' " w:xpath="/ns1:coreProperties[1]/ns0:title[1]" w:storeItemID="{6C3C8BC8-F283-45AE-878A-BAB7291924A1}"/>
        <w:text/>
      </w:sdtPr>
      <w:sdtContent>
        <w:r w:rsidR="00E752F4">
          <w:rPr>
            <w:i/>
          </w:rPr>
          <w:t>Audit of Plant Export Authorised Officers</w:t>
        </w:r>
      </w:sdtContent>
    </w:sdt>
    <w:r w:rsidR="00E752F4">
      <w:rPr>
        <w:i/>
      </w:rPr>
      <w:tab/>
    </w:r>
    <w:r w:rsidR="00E752F4">
      <w:t xml:space="preserve">Version no.: </w:t>
    </w:r>
    <w:sdt>
      <w:sdtPr>
        <w:alias w:val="Revision Number"/>
        <w:tag w:val="RevisionNumber"/>
        <w:id w:val="-371153797"/>
        <w:placeholder>
          <w:docPart w:val="CD420D300931443BB6D0ABC6F1625731"/>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Content>
        <w:r w:rsidR="00247FBF">
          <w:t>2</w:t>
        </w:r>
      </w:sdtContent>
    </w:sdt>
  </w:p>
  <w:p w14:paraId="336CA255" w14:textId="5CAF8695" w:rsidR="00E752F4" w:rsidRDefault="00E752F4" w:rsidP="001C139F">
    <w:pPr>
      <w:pStyle w:val="Footer"/>
      <w:tabs>
        <w:tab w:val="clear" w:pos="9026"/>
        <w:tab w:val="right" w:pos="9356"/>
      </w:tabs>
      <w:ind w:left="-567" w:right="-330"/>
    </w:pPr>
    <w:r>
      <w:t xml:space="preserve">Date published: </w:t>
    </w:r>
    <w:sdt>
      <w:sdtPr>
        <w:rPr>
          <w:szCs w:val="18"/>
        </w:rPr>
        <w:alias w:val="Date Published"/>
        <w:tag w:val="DatePublished"/>
        <w:id w:val="-1711644930"/>
        <w:placeholder>
          <w:docPart w:val="FA287AD330044128936CE84F0DCFD75A"/>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5-04-22T00:00:00Z">
          <w:dateFormat w:val="d/MM/yyyy"/>
          <w:lid w:val="en-AU"/>
          <w:storeMappedDataAs w:val="dateTime"/>
          <w:calendar w:val="gregorian"/>
        </w:date>
      </w:sdtPr>
      <w:sdtContent>
        <w:r w:rsidR="00A877AE">
          <w:rPr>
            <w:szCs w:val="18"/>
          </w:rPr>
          <w:t>22/04/2025</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10</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10</w:t>
    </w:r>
    <w:r>
      <w:rPr>
        <w:szCs w:val="18"/>
      </w:rPr>
      <w:fldChar w:fldCharType="end"/>
    </w:r>
  </w:p>
  <w:p w14:paraId="699C55D1" w14:textId="77777777" w:rsidR="00E752F4" w:rsidRDefault="00E752F4">
    <w:pPr>
      <w:pStyle w:val="Footer"/>
      <w:tabs>
        <w:tab w:val="clear" w:pos="9026"/>
        <w:tab w:val="right" w:pos="9356"/>
      </w:tabs>
      <w:ind w:left="-567"/>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6698" w14:textId="5DCD793B" w:rsidR="00E752F4" w:rsidRDefault="00166C4D">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noProof/>
        <w:sz w:val="15"/>
        <w:szCs w:val="15"/>
      </w:rPr>
      <mc:AlternateContent>
        <mc:Choice Requires="wps">
          <w:drawing>
            <wp:anchor distT="0" distB="0" distL="0" distR="0" simplePos="0" relativeHeight="251658243" behindDoc="0" locked="0" layoutInCell="1" allowOverlap="1" wp14:anchorId="2EB0B8DB" wp14:editId="6E3A2911">
              <wp:simplePos x="635" y="635"/>
              <wp:positionH relativeFrom="page">
                <wp:align>center</wp:align>
              </wp:positionH>
              <wp:positionV relativeFrom="page">
                <wp:align>bottom</wp:align>
              </wp:positionV>
              <wp:extent cx="551815" cy="414655"/>
              <wp:effectExtent l="0" t="0" r="635" b="0"/>
              <wp:wrapNone/>
              <wp:docPr id="21699218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4726DD41" w14:textId="3902DB5C" w:rsidR="00166C4D" w:rsidRPr="00166C4D" w:rsidRDefault="00166C4D" w:rsidP="00166C4D">
                          <w:pPr>
                            <w:spacing w:after="0"/>
                            <w:rPr>
                              <w:rFonts w:cs="Calibri"/>
                              <w:noProof/>
                              <w:color w:val="FF0000"/>
                              <w:sz w:val="24"/>
                              <w:szCs w:val="24"/>
                            </w:rPr>
                          </w:pPr>
                          <w:r w:rsidRPr="00166C4D">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B0B8DB"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2.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" filled="f" stroked="f">
              <v:textbox style="mso-fit-shape-to-text:t" inset="0,0,0,15pt">
                <w:txbxContent>
                  <w:p w14:paraId="4726DD41" w14:textId="3902DB5C" w:rsidR="00166C4D" w:rsidRPr="00166C4D" w:rsidRDefault="00166C4D" w:rsidP="00166C4D">
                    <w:pPr>
                      <w:spacing w:after="0"/>
                      <w:rPr>
                        <w:rFonts w:cs="Calibri"/>
                        <w:noProof/>
                        <w:color w:val="FF0000"/>
                        <w:sz w:val="24"/>
                        <w:szCs w:val="24"/>
                      </w:rPr>
                    </w:pPr>
                    <w:r w:rsidRPr="00166C4D">
                      <w:rPr>
                        <w:rFonts w:cs="Calibri"/>
                        <w:noProof/>
                        <w:color w:val="FF0000"/>
                        <w:sz w:val="24"/>
                        <w:szCs w:val="24"/>
                      </w:rPr>
                      <w:t>OFFICIAL</w:t>
                    </w:r>
                  </w:p>
                </w:txbxContent>
              </v:textbox>
              <w10:wrap anchorx="page" anchory="page"/>
            </v:shape>
          </w:pict>
        </mc:Fallback>
      </mc:AlternateContent>
    </w:r>
    <w:r w:rsidR="00E752F4">
      <w:rPr>
        <w:sz w:val="15"/>
        <w:szCs w:val="15"/>
      </w:rPr>
      <w:t>This is a CONTROLLED document. Any documents appearing in paper form are not controlled and should be checked against the IML version prior to use.</w:t>
    </w:r>
  </w:p>
  <w:p w14:paraId="05EEB668" w14:textId="77777777" w:rsidR="00E752F4" w:rsidRDefault="00E752F4">
    <w:pPr>
      <w:pStyle w:val="Footer"/>
      <w:tabs>
        <w:tab w:val="clear" w:pos="9026"/>
        <w:tab w:val="right" w:pos="9356"/>
      </w:tabs>
      <w:ind w:left="-567"/>
      <w:rPr>
        <w:b/>
      </w:rPr>
    </w:pPr>
    <w:r>
      <w:rPr>
        <w:b/>
      </w:rPr>
      <w:t>Classification Type</w:t>
    </w:r>
  </w:p>
  <w:p w14:paraId="31D85773" w14:textId="77777777" w:rsidR="00E752F4" w:rsidRDefault="00E752F4">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539F9BEF" w14:textId="77777777" w:rsidR="00E752F4" w:rsidRDefault="00E75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A3984" w14:textId="77777777" w:rsidR="0079521C" w:rsidRDefault="0079521C">
      <w:pPr>
        <w:spacing w:after="0"/>
      </w:pPr>
      <w:r>
        <w:separator/>
      </w:r>
    </w:p>
    <w:p w14:paraId="70BD51D8" w14:textId="77777777" w:rsidR="0079521C" w:rsidRDefault="0079521C"/>
  </w:footnote>
  <w:footnote w:type="continuationSeparator" w:id="0">
    <w:p w14:paraId="6DDF4479" w14:textId="77777777" w:rsidR="0079521C" w:rsidRDefault="0079521C">
      <w:pPr>
        <w:spacing w:after="0"/>
      </w:pPr>
      <w:r>
        <w:continuationSeparator/>
      </w:r>
    </w:p>
    <w:p w14:paraId="2952D82F" w14:textId="77777777" w:rsidR="0079521C" w:rsidRDefault="0079521C"/>
  </w:footnote>
  <w:footnote w:type="continuationNotice" w:id="1">
    <w:p w14:paraId="2704E2DB" w14:textId="77777777" w:rsidR="0079521C" w:rsidRDefault="0079521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ECB7" w14:textId="63B86A53" w:rsidR="00166C4D" w:rsidRDefault="00166C4D">
    <w:pPr>
      <w:pStyle w:val="Header"/>
    </w:pPr>
    <w:r>
      <w:rPr>
        <w:noProof/>
      </w:rPr>
      <mc:AlternateContent>
        <mc:Choice Requires="wps">
          <w:drawing>
            <wp:anchor distT="0" distB="0" distL="0" distR="0" simplePos="0" relativeHeight="251658241" behindDoc="0" locked="0" layoutInCell="1" allowOverlap="1" wp14:anchorId="34D3E3F8" wp14:editId="1227F50A">
              <wp:simplePos x="635" y="635"/>
              <wp:positionH relativeFrom="page">
                <wp:align>center</wp:align>
              </wp:positionH>
              <wp:positionV relativeFrom="page">
                <wp:align>top</wp:align>
              </wp:positionV>
              <wp:extent cx="551815" cy="414655"/>
              <wp:effectExtent l="0" t="0" r="635" b="4445"/>
              <wp:wrapNone/>
              <wp:docPr id="96788018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F6CE871" w14:textId="101E4126" w:rsidR="00166C4D" w:rsidRPr="00166C4D" w:rsidRDefault="00166C4D" w:rsidP="00166C4D">
                          <w:pPr>
                            <w:spacing w:after="0"/>
                            <w:rPr>
                              <w:rFonts w:cs="Calibri"/>
                              <w:noProof/>
                              <w:color w:val="FF0000"/>
                              <w:sz w:val="24"/>
                              <w:szCs w:val="24"/>
                            </w:rPr>
                          </w:pPr>
                          <w:r w:rsidRPr="00166C4D">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D3E3F8" id="_x0000_t202" coordsize="21600,21600" o:spt="202" path="m,l,21600r21600,l21600,xe">
              <v:stroke joinstyle="miter"/>
              <v:path gradientshapeok="t" o:connecttype="rect"/>
            </v:shapetype>
            <v:shape id="Text Box 2" o:spid="_x0000_s1026" type="#_x0000_t202" alt="OFFICIAL" style="position:absolute;margin-left:0;margin-top:0;width:43.45pt;height:32.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Tn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fQdXF9U5Y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" filled="f" stroked="f">
              <v:textbox style="mso-fit-shape-to-text:t" inset="0,15pt,0,0">
                <w:txbxContent>
                  <w:p w14:paraId="7F6CE871" w14:textId="101E4126" w:rsidR="00166C4D" w:rsidRPr="00166C4D" w:rsidRDefault="00166C4D" w:rsidP="00166C4D">
                    <w:pPr>
                      <w:spacing w:after="0"/>
                      <w:rPr>
                        <w:rFonts w:cs="Calibri"/>
                        <w:noProof/>
                        <w:color w:val="FF0000"/>
                        <w:sz w:val="24"/>
                        <w:szCs w:val="24"/>
                      </w:rPr>
                    </w:pPr>
                    <w:r w:rsidRPr="00166C4D">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05A1" w14:textId="2526DB8A" w:rsidR="00777451" w:rsidRDefault="00777451" w:rsidP="005F0AFA">
    <w:pPr>
      <w:pStyle w:val="Header"/>
      <w:jc w:val="right"/>
      <w:rPr>
        <w:szCs w:val="18"/>
        <w:lang w:val="en-US" w:eastAsia="zh-TW"/>
      </w:rPr>
    </w:pPr>
    <w:r>
      <w:rPr>
        <w:szCs w:val="18"/>
        <w:lang w:val="en-US" w:eastAsia="zh-TW"/>
      </w:rPr>
      <w:t>Document ID</w:t>
    </w:r>
    <w:r w:rsidR="00A877AE">
      <w:rPr>
        <w:szCs w:val="18"/>
        <w:lang w:val="en-US" w:eastAsia="zh-TW"/>
      </w:rPr>
      <w:t>: IMLS-9-7665</w:t>
    </w:r>
  </w:p>
  <w:p w14:paraId="27CCB01B" w14:textId="67E7B052" w:rsidR="00166C4D" w:rsidRDefault="00777451">
    <w:pPr>
      <w:pStyle w:val="Header"/>
    </w:pPr>
    <w:r>
      <w:rPr>
        <w:szCs w:val="18"/>
        <w:lang w:val="en-US" w:eastAsia="zh-TW"/>
      </w:rPr>
      <w:tab/>
    </w:r>
    <w:r>
      <w:rPr>
        <w:szCs w:val="18"/>
        <w:lang w:val="en-US" w:eastAsia="zh-TW"/>
      </w:rPr>
      <w:tab/>
      <w:t>Risk rating: Medium</w:t>
    </w:r>
    <w:r>
      <w:rPr>
        <w:noProof/>
      </w:rPr>
      <w:t xml:space="preserve"> </w:t>
    </w:r>
    <w:r w:rsidR="00166C4D">
      <w:rPr>
        <w:noProof/>
      </w:rPr>
      <mc:AlternateContent>
        <mc:Choice Requires="wps">
          <w:drawing>
            <wp:anchor distT="0" distB="0" distL="0" distR="0" simplePos="0" relativeHeight="251658242" behindDoc="0" locked="0" layoutInCell="1" allowOverlap="1" wp14:anchorId="1525D606" wp14:editId="4E9876E0">
              <wp:simplePos x="914400" y="266700"/>
              <wp:positionH relativeFrom="page">
                <wp:align>center</wp:align>
              </wp:positionH>
              <wp:positionV relativeFrom="page">
                <wp:align>top</wp:align>
              </wp:positionV>
              <wp:extent cx="551815" cy="414655"/>
              <wp:effectExtent l="0" t="0" r="635" b="4445"/>
              <wp:wrapNone/>
              <wp:docPr id="19583143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438D0285" w14:textId="13A676C5" w:rsidR="00166C4D" w:rsidRPr="00166C4D" w:rsidRDefault="00166C4D" w:rsidP="00166C4D">
                          <w:pPr>
                            <w:spacing w:after="0"/>
                            <w:rPr>
                              <w:rFonts w:cs="Calibri"/>
                              <w:noProof/>
                              <w:color w:val="FF0000"/>
                              <w:sz w:val="24"/>
                              <w:szCs w:val="24"/>
                            </w:rPr>
                          </w:pPr>
                          <w:r w:rsidRPr="00166C4D">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25D606" id="_x0000_t202" coordsize="21600,21600" o:spt="202" path="m,l,21600r21600,l21600,xe">
              <v:stroke joinstyle="miter"/>
              <v:path gradientshapeok="t" o:connecttype="rect"/>
            </v:shapetype>
            <v:shape id="Text Box 3" o:spid="_x0000_s1027" type="#_x0000_t202" alt="OFFICIAL" style="position:absolute;margin-left:0;margin-top:0;width:43.45pt;height:32.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" filled="f" stroked="f">
              <v:textbox style="mso-fit-shape-to-text:t" inset="0,15pt,0,0">
                <w:txbxContent>
                  <w:p w14:paraId="438D0285" w14:textId="13A676C5" w:rsidR="00166C4D" w:rsidRPr="00166C4D" w:rsidRDefault="00166C4D" w:rsidP="00166C4D">
                    <w:pPr>
                      <w:spacing w:after="0"/>
                      <w:rPr>
                        <w:rFonts w:cs="Calibri"/>
                        <w:noProof/>
                        <w:color w:val="FF0000"/>
                        <w:sz w:val="24"/>
                        <w:szCs w:val="24"/>
                      </w:rPr>
                    </w:pPr>
                    <w:r w:rsidRPr="00166C4D">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5210" w14:textId="30AAE3C8" w:rsidR="00166C4D" w:rsidRDefault="00166C4D">
    <w:pPr>
      <w:pStyle w:val="Header"/>
    </w:pPr>
    <w:r>
      <w:rPr>
        <w:noProof/>
      </w:rPr>
      <mc:AlternateContent>
        <mc:Choice Requires="wps">
          <w:drawing>
            <wp:anchor distT="0" distB="0" distL="0" distR="0" simplePos="0" relativeHeight="251658240" behindDoc="0" locked="0" layoutInCell="1" allowOverlap="1" wp14:anchorId="26F13BEF" wp14:editId="13780ED1">
              <wp:simplePos x="635" y="635"/>
              <wp:positionH relativeFrom="page">
                <wp:align>center</wp:align>
              </wp:positionH>
              <wp:positionV relativeFrom="page">
                <wp:align>top</wp:align>
              </wp:positionV>
              <wp:extent cx="551815" cy="414655"/>
              <wp:effectExtent l="0" t="0" r="635" b="4445"/>
              <wp:wrapNone/>
              <wp:docPr id="150308408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4D072E61" w14:textId="278B2298" w:rsidR="00166C4D" w:rsidRPr="00166C4D" w:rsidRDefault="00166C4D" w:rsidP="00166C4D">
                          <w:pPr>
                            <w:spacing w:after="0"/>
                            <w:rPr>
                              <w:rFonts w:cs="Calibri"/>
                              <w:noProof/>
                              <w:color w:val="FF0000"/>
                              <w:sz w:val="24"/>
                              <w:szCs w:val="24"/>
                            </w:rPr>
                          </w:pPr>
                          <w:r w:rsidRPr="00166C4D">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F13BEF" id="_x0000_t202" coordsize="21600,21600" o:spt="202" path="m,l,21600r21600,l21600,xe">
              <v:stroke joinstyle="miter"/>
              <v:path gradientshapeok="t" o:connecttype="rect"/>
            </v:shapetype>
            <v:shape id="Text Box 1" o:spid="_x0000_s1030" type="#_x0000_t202" alt="OFFICIAL" style="position:absolute;margin-left:0;margin-top:0;width:43.45pt;height:32.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" filled="f" stroked="f">
              <v:textbox style="mso-fit-shape-to-text:t" inset="0,15pt,0,0">
                <w:txbxContent>
                  <w:p w14:paraId="4D072E61" w14:textId="278B2298" w:rsidR="00166C4D" w:rsidRPr="00166C4D" w:rsidRDefault="00166C4D" w:rsidP="00166C4D">
                    <w:pPr>
                      <w:spacing w:after="0"/>
                      <w:rPr>
                        <w:rFonts w:cs="Calibri"/>
                        <w:noProof/>
                        <w:color w:val="FF0000"/>
                        <w:sz w:val="24"/>
                        <w:szCs w:val="24"/>
                      </w:rPr>
                    </w:pPr>
                    <w:r w:rsidRPr="00166C4D">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7086296"/>
    <w:lvl w:ilvl="0">
      <w:start w:val="1"/>
      <w:numFmt w:val="bullet"/>
      <w:pStyle w:val="ListBullet"/>
      <w:lvlText w:val=""/>
      <w:lvlJc w:val="left"/>
      <w:pPr>
        <w:ind w:left="360" w:hanging="360"/>
      </w:pPr>
      <w:rPr>
        <w:rFonts w:ascii="Symbol" w:hAnsi="Symbol" w:hint="default"/>
        <w:color w:val="auto"/>
      </w:rPr>
    </w:lvl>
  </w:abstractNum>
  <w:abstractNum w:abstractNumId="1" w15:restartNumberingAfterBreak="0">
    <w:nsid w:val="0157062D"/>
    <w:multiLevelType w:val="hybridMultilevel"/>
    <w:tmpl w:val="EC9A6772"/>
    <w:lvl w:ilvl="0" w:tplc="19703C6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510A9E"/>
    <w:multiLevelType w:val="hybridMultilevel"/>
    <w:tmpl w:val="E95C1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D138A6"/>
    <w:multiLevelType w:val="hybridMultilevel"/>
    <w:tmpl w:val="74AE9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5F4512"/>
    <w:multiLevelType w:val="hybridMultilevel"/>
    <w:tmpl w:val="1A2E9CB0"/>
    <w:lvl w:ilvl="0" w:tplc="ECEEE8B0">
      <w:start w:val="1"/>
      <w:numFmt w:val="bullet"/>
      <w:lvlText w:val="o"/>
      <w:lvlJc w:val="left"/>
      <w:pPr>
        <w:ind w:left="360" w:hanging="360"/>
      </w:pPr>
      <w:rPr>
        <w:rFonts w:ascii="Courier New" w:hAnsi="Courier New" w:cs="Courier New" w:hint="default"/>
      </w:rPr>
    </w:lvl>
    <w:lvl w:ilvl="1" w:tplc="523EA2E6" w:tentative="1">
      <w:start w:val="1"/>
      <w:numFmt w:val="bullet"/>
      <w:lvlText w:val="o"/>
      <w:lvlJc w:val="left"/>
      <w:pPr>
        <w:ind w:left="1080" w:hanging="360"/>
      </w:pPr>
      <w:rPr>
        <w:rFonts w:ascii="Courier New" w:hAnsi="Courier New" w:cs="Courier New" w:hint="default"/>
      </w:rPr>
    </w:lvl>
    <w:lvl w:ilvl="2" w:tplc="CE761AC8" w:tentative="1">
      <w:start w:val="1"/>
      <w:numFmt w:val="bullet"/>
      <w:lvlText w:val=""/>
      <w:lvlJc w:val="left"/>
      <w:pPr>
        <w:ind w:left="1800" w:hanging="360"/>
      </w:pPr>
      <w:rPr>
        <w:rFonts w:ascii="Wingdings" w:hAnsi="Wingdings" w:hint="default"/>
      </w:rPr>
    </w:lvl>
    <w:lvl w:ilvl="3" w:tplc="D19E1618" w:tentative="1">
      <w:start w:val="1"/>
      <w:numFmt w:val="bullet"/>
      <w:lvlText w:val=""/>
      <w:lvlJc w:val="left"/>
      <w:pPr>
        <w:ind w:left="2520" w:hanging="360"/>
      </w:pPr>
      <w:rPr>
        <w:rFonts w:ascii="Symbol" w:hAnsi="Symbol" w:hint="default"/>
      </w:rPr>
    </w:lvl>
    <w:lvl w:ilvl="4" w:tplc="E3A4C1CC" w:tentative="1">
      <w:start w:val="1"/>
      <w:numFmt w:val="bullet"/>
      <w:lvlText w:val="o"/>
      <w:lvlJc w:val="left"/>
      <w:pPr>
        <w:ind w:left="3240" w:hanging="360"/>
      </w:pPr>
      <w:rPr>
        <w:rFonts w:ascii="Courier New" w:hAnsi="Courier New" w:cs="Courier New" w:hint="default"/>
      </w:rPr>
    </w:lvl>
    <w:lvl w:ilvl="5" w:tplc="5484D542" w:tentative="1">
      <w:start w:val="1"/>
      <w:numFmt w:val="bullet"/>
      <w:lvlText w:val=""/>
      <w:lvlJc w:val="left"/>
      <w:pPr>
        <w:ind w:left="3960" w:hanging="360"/>
      </w:pPr>
      <w:rPr>
        <w:rFonts w:ascii="Wingdings" w:hAnsi="Wingdings" w:hint="default"/>
      </w:rPr>
    </w:lvl>
    <w:lvl w:ilvl="6" w:tplc="ED0EF416" w:tentative="1">
      <w:start w:val="1"/>
      <w:numFmt w:val="bullet"/>
      <w:lvlText w:val=""/>
      <w:lvlJc w:val="left"/>
      <w:pPr>
        <w:ind w:left="4680" w:hanging="360"/>
      </w:pPr>
      <w:rPr>
        <w:rFonts w:ascii="Symbol" w:hAnsi="Symbol" w:hint="default"/>
      </w:rPr>
    </w:lvl>
    <w:lvl w:ilvl="7" w:tplc="A636D200" w:tentative="1">
      <w:start w:val="1"/>
      <w:numFmt w:val="bullet"/>
      <w:lvlText w:val="o"/>
      <w:lvlJc w:val="left"/>
      <w:pPr>
        <w:ind w:left="5400" w:hanging="360"/>
      </w:pPr>
      <w:rPr>
        <w:rFonts w:ascii="Courier New" w:hAnsi="Courier New" w:cs="Courier New" w:hint="default"/>
      </w:rPr>
    </w:lvl>
    <w:lvl w:ilvl="8" w:tplc="E36E8246" w:tentative="1">
      <w:start w:val="1"/>
      <w:numFmt w:val="bullet"/>
      <w:lvlText w:val=""/>
      <w:lvlJc w:val="left"/>
      <w:pPr>
        <w:ind w:left="6120" w:hanging="360"/>
      </w:pPr>
      <w:rPr>
        <w:rFonts w:ascii="Wingdings" w:hAnsi="Wingdings" w:hint="default"/>
      </w:rPr>
    </w:lvl>
  </w:abstractNum>
  <w:abstractNum w:abstractNumId="5" w15:restartNumberingAfterBreak="0">
    <w:nsid w:val="05D616BA"/>
    <w:multiLevelType w:val="hybridMultilevel"/>
    <w:tmpl w:val="501A6F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7F0EA9"/>
    <w:multiLevelType w:val="hybridMultilevel"/>
    <w:tmpl w:val="821846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117479"/>
    <w:multiLevelType w:val="hybridMultilevel"/>
    <w:tmpl w:val="53728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E54493"/>
    <w:multiLevelType w:val="hybridMultilevel"/>
    <w:tmpl w:val="FB86E41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F851EBA"/>
    <w:multiLevelType w:val="hybridMultilevel"/>
    <w:tmpl w:val="1A4E6BF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35E3723"/>
    <w:multiLevelType w:val="hybridMultilevel"/>
    <w:tmpl w:val="83C80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B10FF4"/>
    <w:multiLevelType w:val="hybridMultilevel"/>
    <w:tmpl w:val="6EECE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FE1C31"/>
    <w:multiLevelType w:val="hybridMultilevel"/>
    <w:tmpl w:val="98569AF8"/>
    <w:lvl w:ilvl="0" w:tplc="0C09000F">
      <w:start w:val="1"/>
      <w:numFmt w:val="decimal"/>
      <w:lvlText w:val="%1."/>
      <w:lvlJc w:val="left"/>
      <w:pPr>
        <w:ind w:left="715" w:hanging="360"/>
      </w:pPr>
    </w:lvl>
    <w:lvl w:ilvl="1" w:tplc="0C090019" w:tentative="1">
      <w:start w:val="1"/>
      <w:numFmt w:val="lowerLetter"/>
      <w:lvlText w:val="%2."/>
      <w:lvlJc w:val="left"/>
      <w:pPr>
        <w:ind w:left="1435" w:hanging="360"/>
      </w:pPr>
    </w:lvl>
    <w:lvl w:ilvl="2" w:tplc="0C09001B" w:tentative="1">
      <w:start w:val="1"/>
      <w:numFmt w:val="lowerRoman"/>
      <w:lvlText w:val="%3."/>
      <w:lvlJc w:val="right"/>
      <w:pPr>
        <w:ind w:left="2155" w:hanging="180"/>
      </w:pPr>
    </w:lvl>
    <w:lvl w:ilvl="3" w:tplc="0C09000F" w:tentative="1">
      <w:start w:val="1"/>
      <w:numFmt w:val="decimal"/>
      <w:lvlText w:val="%4."/>
      <w:lvlJc w:val="left"/>
      <w:pPr>
        <w:ind w:left="2875" w:hanging="360"/>
      </w:pPr>
    </w:lvl>
    <w:lvl w:ilvl="4" w:tplc="0C090019" w:tentative="1">
      <w:start w:val="1"/>
      <w:numFmt w:val="lowerLetter"/>
      <w:lvlText w:val="%5."/>
      <w:lvlJc w:val="left"/>
      <w:pPr>
        <w:ind w:left="3595" w:hanging="360"/>
      </w:pPr>
    </w:lvl>
    <w:lvl w:ilvl="5" w:tplc="0C09001B" w:tentative="1">
      <w:start w:val="1"/>
      <w:numFmt w:val="lowerRoman"/>
      <w:lvlText w:val="%6."/>
      <w:lvlJc w:val="right"/>
      <w:pPr>
        <w:ind w:left="4315" w:hanging="180"/>
      </w:pPr>
    </w:lvl>
    <w:lvl w:ilvl="6" w:tplc="0C09000F" w:tentative="1">
      <w:start w:val="1"/>
      <w:numFmt w:val="decimal"/>
      <w:lvlText w:val="%7."/>
      <w:lvlJc w:val="left"/>
      <w:pPr>
        <w:ind w:left="5035" w:hanging="360"/>
      </w:pPr>
    </w:lvl>
    <w:lvl w:ilvl="7" w:tplc="0C090019" w:tentative="1">
      <w:start w:val="1"/>
      <w:numFmt w:val="lowerLetter"/>
      <w:lvlText w:val="%8."/>
      <w:lvlJc w:val="left"/>
      <w:pPr>
        <w:ind w:left="5755" w:hanging="360"/>
      </w:pPr>
    </w:lvl>
    <w:lvl w:ilvl="8" w:tplc="0C09001B" w:tentative="1">
      <w:start w:val="1"/>
      <w:numFmt w:val="lowerRoman"/>
      <w:lvlText w:val="%9."/>
      <w:lvlJc w:val="right"/>
      <w:pPr>
        <w:ind w:left="6475" w:hanging="180"/>
      </w:pPr>
    </w:lvl>
  </w:abstractNum>
  <w:abstractNum w:abstractNumId="14" w15:restartNumberingAfterBreak="0">
    <w:nsid w:val="15516761"/>
    <w:multiLevelType w:val="hybridMultilevel"/>
    <w:tmpl w:val="9D30A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9F26C8"/>
    <w:multiLevelType w:val="hybridMultilevel"/>
    <w:tmpl w:val="109C8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107DD6"/>
    <w:multiLevelType w:val="multilevel"/>
    <w:tmpl w:val="9F6C6D70"/>
    <w:lvl w:ilvl="0">
      <w:start w:val="1"/>
      <w:numFmt w:val="bullet"/>
      <w:lvlText w:val=""/>
      <w:lvlJc w:val="left"/>
      <w:pPr>
        <w:ind w:left="390" w:hanging="390"/>
      </w:pPr>
      <w:rPr>
        <w:rFonts w:ascii="Symbol" w:hAnsi="Symbol"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189C435B"/>
    <w:multiLevelType w:val="multilevel"/>
    <w:tmpl w:val="97DEB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B801AD"/>
    <w:multiLevelType w:val="hybridMultilevel"/>
    <w:tmpl w:val="F5D2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516733"/>
    <w:multiLevelType w:val="hybridMultilevel"/>
    <w:tmpl w:val="E17AA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4B44B0"/>
    <w:multiLevelType w:val="hybridMultilevel"/>
    <w:tmpl w:val="CDB2D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5243F1"/>
    <w:multiLevelType w:val="hybridMultilevel"/>
    <w:tmpl w:val="F03AA70C"/>
    <w:lvl w:ilvl="0" w:tplc="67EE9CA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D15BB6"/>
    <w:multiLevelType w:val="hybridMultilevel"/>
    <w:tmpl w:val="3DAA1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10910B5"/>
    <w:multiLevelType w:val="hybridMultilevel"/>
    <w:tmpl w:val="27C86C6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11F4DD6"/>
    <w:multiLevelType w:val="hybridMultilevel"/>
    <w:tmpl w:val="88140A0E"/>
    <w:lvl w:ilvl="0" w:tplc="40AC6EAC">
      <w:start w:val="1"/>
      <w:numFmt w:val="bullet"/>
      <w:lvlText w:val="•"/>
      <w:lvlJc w:val="left"/>
      <w:pPr>
        <w:tabs>
          <w:tab w:val="num" w:pos="720"/>
        </w:tabs>
        <w:ind w:left="720" w:hanging="360"/>
      </w:pPr>
      <w:rPr>
        <w:rFonts w:ascii="Arial" w:hAnsi="Arial" w:cs="Times New Roman" w:hint="default"/>
      </w:rPr>
    </w:lvl>
    <w:lvl w:ilvl="1" w:tplc="4F64225A">
      <w:start w:val="1497"/>
      <w:numFmt w:val="bullet"/>
      <w:lvlText w:val="–"/>
      <w:lvlJc w:val="left"/>
      <w:pPr>
        <w:tabs>
          <w:tab w:val="num" w:pos="1440"/>
        </w:tabs>
        <w:ind w:left="1440" w:hanging="360"/>
      </w:pPr>
      <w:rPr>
        <w:rFonts w:ascii="Arial" w:hAnsi="Arial" w:cs="Times New Roman" w:hint="default"/>
      </w:rPr>
    </w:lvl>
    <w:lvl w:ilvl="2" w:tplc="51605CF2">
      <w:start w:val="1497"/>
      <w:numFmt w:val="bullet"/>
      <w:lvlText w:val="•"/>
      <w:lvlJc w:val="left"/>
      <w:pPr>
        <w:tabs>
          <w:tab w:val="num" w:pos="2160"/>
        </w:tabs>
        <w:ind w:left="2160" w:hanging="360"/>
      </w:pPr>
      <w:rPr>
        <w:rFonts w:ascii="Arial" w:hAnsi="Arial" w:cs="Times New Roman" w:hint="default"/>
      </w:rPr>
    </w:lvl>
    <w:lvl w:ilvl="3" w:tplc="025E1ED0">
      <w:start w:val="1"/>
      <w:numFmt w:val="decimal"/>
      <w:lvlText w:val="%4."/>
      <w:lvlJc w:val="left"/>
      <w:pPr>
        <w:tabs>
          <w:tab w:val="num" w:pos="2880"/>
        </w:tabs>
        <w:ind w:left="2880" w:hanging="360"/>
      </w:pPr>
    </w:lvl>
    <w:lvl w:ilvl="4" w:tplc="7B501F48">
      <w:start w:val="1"/>
      <w:numFmt w:val="decimal"/>
      <w:lvlText w:val="%5."/>
      <w:lvlJc w:val="left"/>
      <w:pPr>
        <w:tabs>
          <w:tab w:val="num" w:pos="3600"/>
        </w:tabs>
        <w:ind w:left="3600" w:hanging="360"/>
      </w:pPr>
    </w:lvl>
    <w:lvl w:ilvl="5" w:tplc="7B18BDB4">
      <w:start w:val="1"/>
      <w:numFmt w:val="decimal"/>
      <w:lvlText w:val="%6."/>
      <w:lvlJc w:val="left"/>
      <w:pPr>
        <w:tabs>
          <w:tab w:val="num" w:pos="4320"/>
        </w:tabs>
        <w:ind w:left="4320" w:hanging="360"/>
      </w:pPr>
    </w:lvl>
    <w:lvl w:ilvl="6" w:tplc="1AA4480A">
      <w:start w:val="1"/>
      <w:numFmt w:val="decimal"/>
      <w:lvlText w:val="%7."/>
      <w:lvlJc w:val="left"/>
      <w:pPr>
        <w:tabs>
          <w:tab w:val="num" w:pos="5040"/>
        </w:tabs>
        <w:ind w:left="5040" w:hanging="360"/>
      </w:pPr>
    </w:lvl>
    <w:lvl w:ilvl="7" w:tplc="00D42538">
      <w:start w:val="1"/>
      <w:numFmt w:val="decimal"/>
      <w:lvlText w:val="%8."/>
      <w:lvlJc w:val="left"/>
      <w:pPr>
        <w:tabs>
          <w:tab w:val="num" w:pos="5760"/>
        </w:tabs>
        <w:ind w:left="5760" w:hanging="360"/>
      </w:pPr>
    </w:lvl>
    <w:lvl w:ilvl="8" w:tplc="27D0B99C">
      <w:start w:val="1"/>
      <w:numFmt w:val="decimal"/>
      <w:lvlText w:val="%9."/>
      <w:lvlJc w:val="left"/>
      <w:pPr>
        <w:tabs>
          <w:tab w:val="num" w:pos="6480"/>
        </w:tabs>
        <w:ind w:left="6480" w:hanging="360"/>
      </w:pPr>
    </w:lvl>
  </w:abstractNum>
  <w:abstractNum w:abstractNumId="25" w15:restartNumberingAfterBreak="0">
    <w:nsid w:val="21626CD5"/>
    <w:multiLevelType w:val="hybridMultilevel"/>
    <w:tmpl w:val="CDE448E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15:restartNumberingAfterBreak="0">
    <w:nsid w:val="218D437E"/>
    <w:multiLevelType w:val="hybridMultilevel"/>
    <w:tmpl w:val="4550A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7115E8C"/>
    <w:multiLevelType w:val="hybridMultilevel"/>
    <w:tmpl w:val="EE5A9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7B62DB9"/>
    <w:multiLevelType w:val="hybridMultilevel"/>
    <w:tmpl w:val="821846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88111AB"/>
    <w:multiLevelType w:val="hybridMultilevel"/>
    <w:tmpl w:val="F3441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C1D1A69"/>
    <w:multiLevelType w:val="hybridMultilevel"/>
    <w:tmpl w:val="DD801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D775C90"/>
    <w:multiLevelType w:val="hybridMultilevel"/>
    <w:tmpl w:val="9A368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E55324E"/>
    <w:multiLevelType w:val="hybridMultilevel"/>
    <w:tmpl w:val="47D63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F36644F"/>
    <w:multiLevelType w:val="hybridMultilevel"/>
    <w:tmpl w:val="A03A3AE6"/>
    <w:lvl w:ilvl="0" w:tplc="2926E82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1F84056"/>
    <w:multiLevelType w:val="hybridMultilevel"/>
    <w:tmpl w:val="22E62C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4607A51"/>
    <w:multiLevelType w:val="hybridMultilevel"/>
    <w:tmpl w:val="962CA1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66451D5"/>
    <w:multiLevelType w:val="hybridMultilevel"/>
    <w:tmpl w:val="18EEB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82C2D03"/>
    <w:multiLevelType w:val="hybridMultilevel"/>
    <w:tmpl w:val="6F347D9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98A1A76"/>
    <w:multiLevelType w:val="hybridMultilevel"/>
    <w:tmpl w:val="8BE8E372"/>
    <w:lvl w:ilvl="0" w:tplc="241A7C0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A046328"/>
    <w:multiLevelType w:val="hybridMultilevel"/>
    <w:tmpl w:val="68B08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B835856"/>
    <w:multiLevelType w:val="hybridMultilevel"/>
    <w:tmpl w:val="63682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C5B2A1E"/>
    <w:multiLevelType w:val="hybridMultilevel"/>
    <w:tmpl w:val="E81C3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C775969"/>
    <w:multiLevelType w:val="hybridMultilevel"/>
    <w:tmpl w:val="25BA982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D0C2361"/>
    <w:multiLevelType w:val="hybridMultilevel"/>
    <w:tmpl w:val="FD567C26"/>
    <w:lvl w:ilvl="0" w:tplc="0C090001">
      <w:start w:val="1"/>
      <w:numFmt w:val="bullet"/>
      <w:lvlText w:val=""/>
      <w:lvlJc w:val="left"/>
      <w:pPr>
        <w:ind w:left="715" w:hanging="360"/>
      </w:pPr>
      <w:rPr>
        <w:rFonts w:ascii="Symbol" w:hAnsi="Symbol" w:hint="default"/>
      </w:rPr>
    </w:lvl>
    <w:lvl w:ilvl="1" w:tplc="0C090003">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50" w15:restartNumberingAfterBreak="0">
    <w:nsid w:val="3F98687B"/>
    <w:multiLevelType w:val="hybridMultilevel"/>
    <w:tmpl w:val="1548B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FA15557"/>
    <w:multiLevelType w:val="hybridMultilevel"/>
    <w:tmpl w:val="58A2C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FC36F8B"/>
    <w:multiLevelType w:val="hybridMultilevel"/>
    <w:tmpl w:val="E3AAB6B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1173ED0"/>
    <w:multiLevelType w:val="multilevel"/>
    <w:tmpl w:val="4E8A54A0"/>
    <w:lvl w:ilvl="0">
      <w:start w:val="1"/>
      <w:numFmt w:val="decimal"/>
      <w:lvlText w:val="%1."/>
      <w:lvlJc w:val="left"/>
      <w:pPr>
        <w:tabs>
          <w:tab w:val="num" w:pos="720"/>
        </w:tabs>
        <w:ind w:left="720" w:hanging="720"/>
      </w:pPr>
      <w:rPr>
        <w:rFonts w:hint="default"/>
        <w:sz w:val="24"/>
        <w:szCs w:val="24"/>
      </w:rPr>
    </w:lvl>
    <w:lvl w:ilvl="1">
      <w:start w:val="1"/>
      <w:numFmt w:val="decimal"/>
      <w:lvlText w:val="%1.%2"/>
      <w:lvlJc w:val="left"/>
      <w:pPr>
        <w:tabs>
          <w:tab w:val="num" w:pos="720"/>
        </w:tabs>
        <w:ind w:left="720" w:hanging="720"/>
      </w:pPr>
      <w:rPr>
        <w:rFonts w:hint="default"/>
      </w:rPr>
    </w:lvl>
    <w:lvl w:ilvl="2">
      <w:start w:val="2"/>
      <w:numFmt w:val="lowerLetter"/>
      <w:lvlText w:val="(%3)"/>
      <w:lvlJc w:val="left"/>
      <w:pPr>
        <w:tabs>
          <w:tab w:val="num" w:pos="1429"/>
        </w:tabs>
        <w:ind w:left="1429" w:hanging="720"/>
      </w:pPr>
      <w:rPr>
        <w:rFonts w:ascii="Calibri" w:hAnsi="Calibri" w:hint="default"/>
        <w:b w:val="0"/>
        <w:sz w:val="24"/>
        <w:szCs w:val="24"/>
      </w:rPr>
    </w:lvl>
    <w:lvl w:ilvl="3">
      <w:start w:val="2"/>
      <w:numFmt w:val="lowerLetter"/>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42AB571F"/>
    <w:multiLevelType w:val="hybridMultilevel"/>
    <w:tmpl w:val="6F9E5DC0"/>
    <w:lvl w:ilvl="0" w:tplc="215AF778">
      <w:start w:val="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3B96480"/>
    <w:multiLevelType w:val="hybridMultilevel"/>
    <w:tmpl w:val="EE2CC5C2"/>
    <w:lvl w:ilvl="0" w:tplc="3F02B4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4122D32"/>
    <w:multiLevelType w:val="hybridMultilevel"/>
    <w:tmpl w:val="38487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8" w15:restartNumberingAfterBreak="0">
    <w:nsid w:val="46EA2F77"/>
    <w:multiLevelType w:val="hybridMultilevel"/>
    <w:tmpl w:val="5CACB31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9" w15:restartNumberingAfterBreak="0">
    <w:nsid w:val="47C06310"/>
    <w:multiLevelType w:val="hybridMultilevel"/>
    <w:tmpl w:val="F58A4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861019A"/>
    <w:multiLevelType w:val="hybridMultilevel"/>
    <w:tmpl w:val="B83431B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9AD30A1"/>
    <w:multiLevelType w:val="hybridMultilevel"/>
    <w:tmpl w:val="37DE98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A2C2F08"/>
    <w:multiLevelType w:val="hybridMultilevel"/>
    <w:tmpl w:val="08F2AFF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D5A4394"/>
    <w:multiLevelType w:val="hybridMultilevel"/>
    <w:tmpl w:val="6BB2FA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E1702E9"/>
    <w:multiLevelType w:val="hybridMultilevel"/>
    <w:tmpl w:val="B24C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E945851"/>
    <w:multiLevelType w:val="hybridMultilevel"/>
    <w:tmpl w:val="4FBEB2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014438C"/>
    <w:multiLevelType w:val="hybridMultilevel"/>
    <w:tmpl w:val="441A1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3047574"/>
    <w:multiLevelType w:val="multilevel"/>
    <w:tmpl w:val="7130B3B2"/>
    <w:lvl w:ilvl="0">
      <w:start w:val="1"/>
      <w:numFmt w:val="decimal"/>
      <w:pStyle w:val="Level1"/>
      <w:lvlText w:val="%1."/>
      <w:lvlJc w:val="left"/>
      <w:pPr>
        <w:tabs>
          <w:tab w:val="num" w:pos="720"/>
        </w:tabs>
        <w:ind w:left="720" w:hanging="360"/>
      </w:pPr>
    </w:lvl>
    <w:lvl w:ilvl="1" w:tentative="1">
      <w:start w:val="1"/>
      <w:numFmt w:val="decimal"/>
      <w:pStyle w:val="Level11"/>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pStyle w:val="Levela"/>
      <w:lvlText w:val="%4."/>
      <w:lvlJc w:val="left"/>
      <w:pPr>
        <w:tabs>
          <w:tab w:val="num" w:pos="2880"/>
        </w:tabs>
        <w:ind w:left="2880" w:hanging="360"/>
      </w:pPr>
    </w:lvl>
    <w:lvl w:ilvl="4" w:tentative="1">
      <w:start w:val="1"/>
      <w:numFmt w:val="decimal"/>
      <w:pStyle w:val="Leveli"/>
      <w:lvlText w:val="%5."/>
      <w:lvlJc w:val="left"/>
      <w:pPr>
        <w:tabs>
          <w:tab w:val="num" w:pos="3600"/>
        </w:tabs>
        <w:ind w:left="3600" w:hanging="360"/>
      </w:pPr>
    </w:lvl>
    <w:lvl w:ilvl="5" w:tentative="1">
      <w:start w:val="1"/>
      <w:numFmt w:val="decimal"/>
      <w:pStyle w:val="LevelA0"/>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3081FAC"/>
    <w:multiLevelType w:val="hybridMultilevel"/>
    <w:tmpl w:val="92ECD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538265E6"/>
    <w:multiLevelType w:val="hybridMultilevel"/>
    <w:tmpl w:val="807C7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6484A90"/>
    <w:multiLevelType w:val="hybridMultilevel"/>
    <w:tmpl w:val="5956C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65C3F36"/>
    <w:multiLevelType w:val="hybridMultilevel"/>
    <w:tmpl w:val="98569AF8"/>
    <w:lvl w:ilvl="0" w:tplc="0C09000F">
      <w:start w:val="1"/>
      <w:numFmt w:val="decimal"/>
      <w:lvlText w:val="%1."/>
      <w:lvlJc w:val="left"/>
      <w:pPr>
        <w:ind w:left="715" w:hanging="360"/>
      </w:pPr>
    </w:lvl>
    <w:lvl w:ilvl="1" w:tplc="0C090019" w:tentative="1">
      <w:start w:val="1"/>
      <w:numFmt w:val="lowerLetter"/>
      <w:lvlText w:val="%2."/>
      <w:lvlJc w:val="left"/>
      <w:pPr>
        <w:ind w:left="1435" w:hanging="360"/>
      </w:pPr>
    </w:lvl>
    <w:lvl w:ilvl="2" w:tplc="0C09001B" w:tentative="1">
      <w:start w:val="1"/>
      <w:numFmt w:val="lowerRoman"/>
      <w:lvlText w:val="%3."/>
      <w:lvlJc w:val="right"/>
      <w:pPr>
        <w:ind w:left="2155" w:hanging="180"/>
      </w:pPr>
    </w:lvl>
    <w:lvl w:ilvl="3" w:tplc="0C09000F" w:tentative="1">
      <w:start w:val="1"/>
      <w:numFmt w:val="decimal"/>
      <w:lvlText w:val="%4."/>
      <w:lvlJc w:val="left"/>
      <w:pPr>
        <w:ind w:left="2875" w:hanging="360"/>
      </w:pPr>
    </w:lvl>
    <w:lvl w:ilvl="4" w:tplc="0C090019" w:tentative="1">
      <w:start w:val="1"/>
      <w:numFmt w:val="lowerLetter"/>
      <w:lvlText w:val="%5."/>
      <w:lvlJc w:val="left"/>
      <w:pPr>
        <w:ind w:left="3595" w:hanging="360"/>
      </w:pPr>
    </w:lvl>
    <w:lvl w:ilvl="5" w:tplc="0C09001B" w:tentative="1">
      <w:start w:val="1"/>
      <w:numFmt w:val="lowerRoman"/>
      <w:lvlText w:val="%6."/>
      <w:lvlJc w:val="right"/>
      <w:pPr>
        <w:ind w:left="4315" w:hanging="180"/>
      </w:pPr>
    </w:lvl>
    <w:lvl w:ilvl="6" w:tplc="0C09000F" w:tentative="1">
      <w:start w:val="1"/>
      <w:numFmt w:val="decimal"/>
      <w:lvlText w:val="%7."/>
      <w:lvlJc w:val="left"/>
      <w:pPr>
        <w:ind w:left="5035" w:hanging="360"/>
      </w:pPr>
    </w:lvl>
    <w:lvl w:ilvl="7" w:tplc="0C090019" w:tentative="1">
      <w:start w:val="1"/>
      <w:numFmt w:val="lowerLetter"/>
      <w:lvlText w:val="%8."/>
      <w:lvlJc w:val="left"/>
      <w:pPr>
        <w:ind w:left="5755" w:hanging="360"/>
      </w:pPr>
    </w:lvl>
    <w:lvl w:ilvl="8" w:tplc="0C09001B" w:tentative="1">
      <w:start w:val="1"/>
      <w:numFmt w:val="lowerRoman"/>
      <w:lvlText w:val="%9."/>
      <w:lvlJc w:val="right"/>
      <w:pPr>
        <w:ind w:left="6475" w:hanging="180"/>
      </w:pPr>
    </w:lvl>
  </w:abstractNum>
  <w:abstractNum w:abstractNumId="73" w15:restartNumberingAfterBreak="0">
    <w:nsid w:val="56716920"/>
    <w:multiLevelType w:val="hybridMultilevel"/>
    <w:tmpl w:val="71B2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68B5F86"/>
    <w:multiLevelType w:val="hybridMultilevel"/>
    <w:tmpl w:val="BA724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7A10329"/>
    <w:multiLevelType w:val="hybridMultilevel"/>
    <w:tmpl w:val="D11CDD8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6" w15:restartNumberingAfterBreak="0">
    <w:nsid w:val="58B15024"/>
    <w:multiLevelType w:val="hybridMultilevel"/>
    <w:tmpl w:val="CBBC7966"/>
    <w:lvl w:ilvl="0" w:tplc="0590C85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7" w15:restartNumberingAfterBreak="0">
    <w:nsid w:val="59460855"/>
    <w:multiLevelType w:val="hybridMultilevel"/>
    <w:tmpl w:val="88128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B300CF3"/>
    <w:multiLevelType w:val="hybridMultilevel"/>
    <w:tmpl w:val="FCA8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C6D16BB"/>
    <w:multiLevelType w:val="hybridMultilevel"/>
    <w:tmpl w:val="5E6A8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CA57CB1"/>
    <w:multiLevelType w:val="hybridMultilevel"/>
    <w:tmpl w:val="D416E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D7F28A3"/>
    <w:multiLevelType w:val="hybridMultilevel"/>
    <w:tmpl w:val="75604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E430B80"/>
    <w:multiLevelType w:val="hybridMultilevel"/>
    <w:tmpl w:val="C1D21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FB571F8"/>
    <w:multiLevelType w:val="multilevel"/>
    <w:tmpl w:val="F2BCB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3DD585F"/>
    <w:multiLevelType w:val="hybridMultilevel"/>
    <w:tmpl w:val="3D50985C"/>
    <w:lvl w:ilvl="0" w:tplc="0C09000F">
      <w:start w:val="1"/>
      <w:numFmt w:val="decimal"/>
      <w:lvlText w:val="%1."/>
      <w:lvlJc w:val="left"/>
      <w:pPr>
        <w:ind w:left="360" w:hanging="360"/>
      </w:pPr>
      <w:rPr>
        <w:rFonts w:hint="default"/>
      </w:rPr>
    </w:lvl>
    <w:lvl w:ilvl="1" w:tplc="7624D2B4">
      <w:start w:val="1"/>
      <w:numFmt w:val="decimal"/>
      <w:lvlText w:val="1.%2"/>
      <w:lvlJc w:val="left"/>
      <w:pPr>
        <w:ind w:left="1080" w:hanging="360"/>
      </w:pPr>
      <w:rPr>
        <w:rFonts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70A43A5"/>
    <w:multiLevelType w:val="hybridMultilevel"/>
    <w:tmpl w:val="B240D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79462B5"/>
    <w:multiLevelType w:val="hybridMultilevel"/>
    <w:tmpl w:val="2C04EE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7" w15:restartNumberingAfterBreak="0">
    <w:nsid w:val="682930E1"/>
    <w:multiLevelType w:val="multilevel"/>
    <w:tmpl w:val="CAFE28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796C47"/>
    <w:multiLevelType w:val="hybridMultilevel"/>
    <w:tmpl w:val="53322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E731341"/>
    <w:multiLevelType w:val="hybridMultilevel"/>
    <w:tmpl w:val="B0FEA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FAC6C46"/>
    <w:multiLevelType w:val="hybridMultilevel"/>
    <w:tmpl w:val="EE828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31D02E4"/>
    <w:multiLevelType w:val="hybridMultilevel"/>
    <w:tmpl w:val="0A0CB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3333FCE"/>
    <w:multiLevelType w:val="hybridMultilevel"/>
    <w:tmpl w:val="0406C8CC"/>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94"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3F4169"/>
    <w:multiLevelType w:val="hybridMultilevel"/>
    <w:tmpl w:val="244278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75505930"/>
    <w:multiLevelType w:val="hybridMultilevel"/>
    <w:tmpl w:val="B970A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6F205DC"/>
    <w:multiLevelType w:val="hybridMultilevel"/>
    <w:tmpl w:val="2EC23330"/>
    <w:lvl w:ilvl="0" w:tplc="3EEE80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8" w15:restartNumberingAfterBreak="0">
    <w:nsid w:val="77FF54D4"/>
    <w:multiLevelType w:val="hybridMultilevel"/>
    <w:tmpl w:val="18E45820"/>
    <w:lvl w:ilvl="0" w:tplc="AB8A6FE4">
      <w:start w:val="4"/>
      <w:numFmt w:val="bullet"/>
      <w:lvlText w:val="-"/>
      <w:lvlJc w:val="left"/>
      <w:pPr>
        <w:ind w:left="720" w:hanging="360"/>
      </w:pPr>
      <w:rPr>
        <w:rFonts w:ascii="Calibri" w:eastAsiaTheme="minorHAnsi" w:hAnsi="Calibri" w:cstheme="minorBid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8605424"/>
    <w:multiLevelType w:val="hybridMultilevel"/>
    <w:tmpl w:val="3F18CA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D020C7C"/>
    <w:multiLevelType w:val="hybridMultilevel"/>
    <w:tmpl w:val="46C8E4F4"/>
    <w:lvl w:ilvl="0" w:tplc="0C090019">
      <w:start w:val="1"/>
      <w:numFmt w:val="lowerLetter"/>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2" w15:restartNumberingAfterBreak="0">
    <w:nsid w:val="7D545EDB"/>
    <w:multiLevelType w:val="hybridMultilevel"/>
    <w:tmpl w:val="82DEF0B4"/>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num w:numId="1" w16cid:durableId="1997100386">
    <w:abstractNumId w:val="6"/>
  </w:num>
  <w:num w:numId="2" w16cid:durableId="1029797661">
    <w:abstractNumId w:val="57"/>
  </w:num>
  <w:num w:numId="3" w16cid:durableId="1442719280">
    <w:abstractNumId w:val="28"/>
  </w:num>
  <w:num w:numId="4" w16cid:durableId="830869489">
    <w:abstractNumId w:val="89"/>
  </w:num>
  <w:num w:numId="5" w16cid:durableId="1547721727">
    <w:abstractNumId w:val="0"/>
  </w:num>
  <w:num w:numId="6" w16cid:durableId="573322259">
    <w:abstractNumId w:val="89"/>
  </w:num>
  <w:num w:numId="7" w16cid:durableId="1843157308">
    <w:abstractNumId w:val="100"/>
  </w:num>
  <w:num w:numId="8" w16cid:durableId="866796590">
    <w:abstractNumId w:val="35"/>
  </w:num>
  <w:num w:numId="9" w16cid:durableId="605693858">
    <w:abstractNumId w:val="27"/>
  </w:num>
  <w:num w:numId="10" w16cid:durableId="1942954583">
    <w:abstractNumId w:val="40"/>
  </w:num>
  <w:num w:numId="11" w16cid:durableId="700787509">
    <w:abstractNumId w:val="94"/>
  </w:num>
  <w:num w:numId="12" w16cid:durableId="34817595">
    <w:abstractNumId w:val="29"/>
  </w:num>
  <w:num w:numId="13" w16cid:durableId="1890068105">
    <w:abstractNumId w:val="38"/>
  </w:num>
  <w:num w:numId="14" w16cid:durableId="2121871237">
    <w:abstractNumId w:val="61"/>
  </w:num>
  <w:num w:numId="15" w16cid:durableId="1082946134">
    <w:abstractNumId w:val="83"/>
  </w:num>
  <w:num w:numId="16" w16cid:durableId="2030136951">
    <w:abstractNumId w:val="68"/>
  </w:num>
  <w:num w:numId="17" w16cid:durableId="1272205271">
    <w:abstractNumId w:val="44"/>
  </w:num>
  <w:num w:numId="18" w16cid:durableId="216818268">
    <w:abstractNumId w:val="91"/>
  </w:num>
  <w:num w:numId="19" w16cid:durableId="1596859171">
    <w:abstractNumId w:val="25"/>
  </w:num>
  <w:num w:numId="20" w16cid:durableId="52125878">
    <w:abstractNumId w:val="30"/>
  </w:num>
  <w:num w:numId="21" w16cid:durableId="1097949042">
    <w:abstractNumId w:val="74"/>
  </w:num>
  <w:num w:numId="22" w16cid:durableId="261764079">
    <w:abstractNumId w:val="32"/>
  </w:num>
  <w:num w:numId="23" w16cid:durableId="184909140">
    <w:abstractNumId w:val="12"/>
  </w:num>
  <w:num w:numId="24" w16cid:durableId="184562387">
    <w:abstractNumId w:val="22"/>
  </w:num>
  <w:num w:numId="25" w16cid:durableId="822625735">
    <w:abstractNumId w:val="19"/>
  </w:num>
  <w:num w:numId="26" w16cid:durableId="46955997">
    <w:abstractNumId w:val="73"/>
  </w:num>
  <w:num w:numId="27" w16cid:durableId="406847573">
    <w:abstractNumId w:val="65"/>
  </w:num>
  <w:num w:numId="28" w16cid:durableId="505051725">
    <w:abstractNumId w:val="71"/>
  </w:num>
  <w:num w:numId="29" w16cid:durableId="2134668742">
    <w:abstractNumId w:val="56"/>
  </w:num>
  <w:num w:numId="30" w16cid:durableId="650015534">
    <w:abstractNumId w:val="33"/>
  </w:num>
  <w:num w:numId="31" w16cid:durableId="1700202061">
    <w:abstractNumId w:val="96"/>
  </w:num>
  <w:num w:numId="32" w16cid:durableId="769395076">
    <w:abstractNumId w:val="15"/>
  </w:num>
  <w:num w:numId="33" w16cid:durableId="2021470669">
    <w:abstractNumId w:val="11"/>
  </w:num>
  <w:num w:numId="34" w16cid:durableId="1562322623">
    <w:abstractNumId w:val="70"/>
  </w:num>
  <w:num w:numId="35" w16cid:durableId="1620333763">
    <w:abstractNumId w:val="67"/>
  </w:num>
  <w:num w:numId="36" w16cid:durableId="1068118298">
    <w:abstractNumId w:val="20"/>
  </w:num>
  <w:num w:numId="37" w16cid:durableId="724255938">
    <w:abstractNumId w:val="50"/>
  </w:num>
  <w:num w:numId="38" w16cid:durableId="786895359">
    <w:abstractNumId w:val="78"/>
  </w:num>
  <w:num w:numId="39" w16cid:durableId="2010787318">
    <w:abstractNumId w:val="23"/>
  </w:num>
  <w:num w:numId="40" w16cid:durableId="1317494485">
    <w:abstractNumId w:val="18"/>
  </w:num>
  <w:num w:numId="41" w16cid:durableId="12270698">
    <w:abstractNumId w:val="55"/>
  </w:num>
  <w:num w:numId="42" w16cid:durableId="128713120">
    <w:abstractNumId w:val="53"/>
  </w:num>
  <w:num w:numId="43" w16cid:durableId="1720663371">
    <w:abstractNumId w:val="48"/>
  </w:num>
  <w:num w:numId="44" w16cid:durableId="813176377">
    <w:abstractNumId w:val="88"/>
  </w:num>
  <w:num w:numId="45" w16cid:durableId="1913658553">
    <w:abstractNumId w:val="80"/>
  </w:num>
  <w:num w:numId="46" w16cid:durableId="2059818460">
    <w:abstractNumId w:val="42"/>
  </w:num>
  <w:num w:numId="47" w16cid:durableId="1748069394">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0370409">
    <w:abstractNumId w:val="45"/>
  </w:num>
  <w:num w:numId="49" w16cid:durableId="871918256">
    <w:abstractNumId w:val="84"/>
  </w:num>
  <w:num w:numId="50" w16cid:durableId="729307792">
    <w:abstractNumId w:val="86"/>
  </w:num>
  <w:num w:numId="51" w16cid:durableId="152181471">
    <w:abstractNumId w:val="97"/>
  </w:num>
  <w:num w:numId="52" w16cid:durableId="1251425062">
    <w:abstractNumId w:val="10"/>
  </w:num>
  <w:num w:numId="53" w16cid:durableId="20205257">
    <w:abstractNumId w:val="75"/>
  </w:num>
  <w:num w:numId="54" w16cid:durableId="723990154">
    <w:abstractNumId w:val="76"/>
  </w:num>
  <w:num w:numId="55" w16cid:durableId="1869247147">
    <w:abstractNumId w:val="79"/>
  </w:num>
  <w:num w:numId="56" w16cid:durableId="2134706408">
    <w:abstractNumId w:val="13"/>
  </w:num>
  <w:num w:numId="57" w16cid:durableId="1481800166">
    <w:abstractNumId w:val="49"/>
  </w:num>
  <w:num w:numId="58" w16cid:durableId="1193497844">
    <w:abstractNumId w:val="72"/>
  </w:num>
  <w:num w:numId="59" w16cid:durableId="853298604">
    <w:abstractNumId w:val="46"/>
  </w:num>
  <w:num w:numId="60" w16cid:durableId="694500100">
    <w:abstractNumId w:val="52"/>
  </w:num>
  <w:num w:numId="61" w16cid:durableId="117341689">
    <w:abstractNumId w:val="58"/>
  </w:num>
  <w:num w:numId="62" w16cid:durableId="1889993396">
    <w:abstractNumId w:val="51"/>
  </w:num>
  <w:num w:numId="63" w16cid:durableId="1222057734">
    <w:abstractNumId w:val="93"/>
  </w:num>
  <w:num w:numId="64" w16cid:durableId="2143843420">
    <w:abstractNumId w:val="8"/>
  </w:num>
  <w:num w:numId="65" w16cid:durableId="1373077080">
    <w:abstractNumId w:val="17"/>
  </w:num>
  <w:num w:numId="66" w16cid:durableId="1823813995">
    <w:abstractNumId w:val="102"/>
  </w:num>
  <w:num w:numId="67" w16cid:durableId="150685922">
    <w:abstractNumId w:val="36"/>
  </w:num>
  <w:num w:numId="68" w16cid:durableId="1003315271">
    <w:abstractNumId w:val="82"/>
  </w:num>
  <w:num w:numId="69" w16cid:durableId="1722945182">
    <w:abstractNumId w:val="92"/>
  </w:num>
  <w:num w:numId="70" w16cid:durableId="851333919">
    <w:abstractNumId w:val="85"/>
  </w:num>
  <w:num w:numId="71" w16cid:durableId="840465676">
    <w:abstractNumId w:val="59"/>
  </w:num>
  <w:num w:numId="72" w16cid:durableId="1952130540">
    <w:abstractNumId w:val="81"/>
  </w:num>
  <w:num w:numId="73" w16cid:durableId="1519271222">
    <w:abstractNumId w:val="2"/>
  </w:num>
  <w:num w:numId="74" w16cid:durableId="1242912242">
    <w:abstractNumId w:val="54"/>
  </w:num>
  <w:num w:numId="75" w16cid:durableId="595139692">
    <w:abstractNumId w:val="31"/>
  </w:num>
  <w:num w:numId="76" w16cid:durableId="1773088344">
    <w:abstractNumId w:val="7"/>
  </w:num>
  <w:num w:numId="77" w16cid:durableId="1895045365">
    <w:abstractNumId w:val="64"/>
  </w:num>
  <w:num w:numId="78" w16cid:durableId="1343095000">
    <w:abstractNumId w:val="98"/>
  </w:num>
  <w:num w:numId="79" w16cid:durableId="738988435">
    <w:abstractNumId w:val="1"/>
  </w:num>
  <w:num w:numId="80" w16cid:durableId="907572690">
    <w:abstractNumId w:val="95"/>
  </w:num>
  <w:num w:numId="81" w16cid:durableId="1357468724">
    <w:abstractNumId w:val="14"/>
  </w:num>
  <w:num w:numId="82" w16cid:durableId="2026705363">
    <w:abstractNumId w:val="34"/>
  </w:num>
  <w:num w:numId="83" w16cid:durableId="661853554">
    <w:abstractNumId w:val="3"/>
  </w:num>
  <w:num w:numId="84" w16cid:durableId="134497560">
    <w:abstractNumId w:val="77"/>
  </w:num>
  <w:num w:numId="85" w16cid:durableId="1856993891">
    <w:abstractNumId w:val="99"/>
  </w:num>
  <w:num w:numId="86" w16cid:durableId="1830754020">
    <w:abstractNumId w:val="47"/>
  </w:num>
  <w:num w:numId="87" w16cid:durableId="1493791520">
    <w:abstractNumId w:val="37"/>
  </w:num>
  <w:num w:numId="88" w16cid:durableId="498035914">
    <w:abstractNumId w:val="5"/>
  </w:num>
  <w:num w:numId="89" w16cid:durableId="1212425406">
    <w:abstractNumId w:val="66"/>
  </w:num>
  <w:num w:numId="90" w16cid:durableId="386152475">
    <w:abstractNumId w:val="9"/>
  </w:num>
  <w:num w:numId="91" w16cid:durableId="2018651130">
    <w:abstractNumId w:val="43"/>
  </w:num>
  <w:num w:numId="92" w16cid:durableId="1039938250">
    <w:abstractNumId w:val="16"/>
  </w:num>
  <w:num w:numId="93" w16cid:durableId="769205398">
    <w:abstractNumId w:val="41"/>
  </w:num>
  <w:num w:numId="94" w16cid:durableId="674651311">
    <w:abstractNumId w:val="21"/>
  </w:num>
  <w:num w:numId="95" w16cid:durableId="281696204">
    <w:abstractNumId w:val="63"/>
  </w:num>
  <w:num w:numId="96" w16cid:durableId="111022642">
    <w:abstractNumId w:val="39"/>
  </w:num>
  <w:num w:numId="97" w16cid:durableId="813060699">
    <w:abstractNumId w:val="26"/>
  </w:num>
  <w:num w:numId="98" w16cid:durableId="1851412610">
    <w:abstractNumId w:val="69"/>
  </w:num>
  <w:num w:numId="99" w16cid:durableId="1304778065">
    <w:abstractNumId w:val="4"/>
  </w:num>
  <w:num w:numId="100" w16cid:durableId="674966720">
    <w:abstractNumId w:val="90"/>
  </w:num>
  <w:num w:numId="101" w16cid:durableId="611594250">
    <w:abstractNumId w:val="101"/>
  </w:num>
  <w:num w:numId="102" w16cid:durableId="196353130">
    <w:abstractNumId w:val="62"/>
  </w:num>
  <w:num w:numId="103" w16cid:durableId="657149922">
    <w:abstractNumId w:val="60"/>
  </w:num>
  <w:num w:numId="104" w16cid:durableId="1725132663">
    <w:abstractNumId w:val="8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0C15"/>
    <w:rsid w:val="00005C74"/>
    <w:rsid w:val="00007DB3"/>
    <w:rsid w:val="00015C49"/>
    <w:rsid w:val="00020275"/>
    <w:rsid w:val="00025548"/>
    <w:rsid w:val="000266B5"/>
    <w:rsid w:val="00032259"/>
    <w:rsid w:val="00033FDD"/>
    <w:rsid w:val="00035A53"/>
    <w:rsid w:val="000366BF"/>
    <w:rsid w:val="000543D9"/>
    <w:rsid w:val="00055CEB"/>
    <w:rsid w:val="00056C91"/>
    <w:rsid w:val="00057777"/>
    <w:rsid w:val="0006527A"/>
    <w:rsid w:val="00070EAC"/>
    <w:rsid w:val="0007275C"/>
    <w:rsid w:val="0007583E"/>
    <w:rsid w:val="00076A10"/>
    <w:rsid w:val="0008483C"/>
    <w:rsid w:val="00084E07"/>
    <w:rsid w:val="00085015"/>
    <w:rsid w:val="0008516F"/>
    <w:rsid w:val="00085596"/>
    <w:rsid w:val="000860D9"/>
    <w:rsid w:val="0009112F"/>
    <w:rsid w:val="00095827"/>
    <w:rsid w:val="00096D14"/>
    <w:rsid w:val="000A128C"/>
    <w:rsid w:val="000A1604"/>
    <w:rsid w:val="000B11DF"/>
    <w:rsid w:val="000C1B23"/>
    <w:rsid w:val="000C45C0"/>
    <w:rsid w:val="000C6BE0"/>
    <w:rsid w:val="000C717D"/>
    <w:rsid w:val="000C75EE"/>
    <w:rsid w:val="000D4657"/>
    <w:rsid w:val="000E07AB"/>
    <w:rsid w:val="000E1175"/>
    <w:rsid w:val="000E2307"/>
    <w:rsid w:val="000E637B"/>
    <w:rsid w:val="000F03A0"/>
    <w:rsid w:val="00104532"/>
    <w:rsid w:val="0011144A"/>
    <w:rsid w:val="00115DC1"/>
    <w:rsid w:val="00115F5B"/>
    <w:rsid w:val="001359D2"/>
    <w:rsid w:val="00137BC7"/>
    <w:rsid w:val="001400E8"/>
    <w:rsid w:val="00140D18"/>
    <w:rsid w:val="00142ABA"/>
    <w:rsid w:val="00142CFD"/>
    <w:rsid w:val="00154BE9"/>
    <w:rsid w:val="00155B02"/>
    <w:rsid w:val="00163ECE"/>
    <w:rsid w:val="00165039"/>
    <w:rsid w:val="00166C4D"/>
    <w:rsid w:val="00167F7A"/>
    <w:rsid w:val="00173BB3"/>
    <w:rsid w:val="00176237"/>
    <w:rsid w:val="00177251"/>
    <w:rsid w:val="00182A43"/>
    <w:rsid w:val="001850A5"/>
    <w:rsid w:val="00187A1A"/>
    <w:rsid w:val="00191696"/>
    <w:rsid w:val="00193784"/>
    <w:rsid w:val="00194653"/>
    <w:rsid w:val="001A2B1B"/>
    <w:rsid w:val="001A46BF"/>
    <w:rsid w:val="001A693E"/>
    <w:rsid w:val="001B787F"/>
    <w:rsid w:val="001C139F"/>
    <w:rsid w:val="001C3A48"/>
    <w:rsid w:val="001C48C9"/>
    <w:rsid w:val="001D0898"/>
    <w:rsid w:val="001D2509"/>
    <w:rsid w:val="001D2C1D"/>
    <w:rsid w:val="001D3359"/>
    <w:rsid w:val="001D3A37"/>
    <w:rsid w:val="001D4D55"/>
    <w:rsid w:val="001D68F3"/>
    <w:rsid w:val="001E02FF"/>
    <w:rsid w:val="001E62E3"/>
    <w:rsid w:val="001F00F7"/>
    <w:rsid w:val="001F1731"/>
    <w:rsid w:val="001F31B2"/>
    <w:rsid w:val="002003DC"/>
    <w:rsid w:val="00210E09"/>
    <w:rsid w:val="0021565E"/>
    <w:rsid w:val="0021661F"/>
    <w:rsid w:val="002166D2"/>
    <w:rsid w:val="00230176"/>
    <w:rsid w:val="00230716"/>
    <w:rsid w:val="00232714"/>
    <w:rsid w:val="002423E8"/>
    <w:rsid w:val="002440C6"/>
    <w:rsid w:val="00247FBF"/>
    <w:rsid w:val="002651B7"/>
    <w:rsid w:val="00270ECC"/>
    <w:rsid w:val="002724E5"/>
    <w:rsid w:val="00272FB1"/>
    <w:rsid w:val="00277BDF"/>
    <w:rsid w:val="00280B6C"/>
    <w:rsid w:val="00281003"/>
    <w:rsid w:val="00281921"/>
    <w:rsid w:val="0029397E"/>
    <w:rsid w:val="00296227"/>
    <w:rsid w:val="002A032C"/>
    <w:rsid w:val="002A3D3B"/>
    <w:rsid w:val="002A78C7"/>
    <w:rsid w:val="002A79DC"/>
    <w:rsid w:val="002B4216"/>
    <w:rsid w:val="002B675F"/>
    <w:rsid w:val="002C202D"/>
    <w:rsid w:val="002C28EB"/>
    <w:rsid w:val="002C5D75"/>
    <w:rsid w:val="002C5EE8"/>
    <w:rsid w:val="002C6B1E"/>
    <w:rsid w:val="002C6B3E"/>
    <w:rsid w:val="002D2D1D"/>
    <w:rsid w:val="002D3125"/>
    <w:rsid w:val="002D5587"/>
    <w:rsid w:val="002E48AC"/>
    <w:rsid w:val="002F1E0D"/>
    <w:rsid w:val="002F4E54"/>
    <w:rsid w:val="002F52F8"/>
    <w:rsid w:val="002F586B"/>
    <w:rsid w:val="00303E27"/>
    <w:rsid w:val="00306DD9"/>
    <w:rsid w:val="00312897"/>
    <w:rsid w:val="00312F2A"/>
    <w:rsid w:val="00315697"/>
    <w:rsid w:val="003179BA"/>
    <w:rsid w:val="003237F2"/>
    <w:rsid w:val="00327E50"/>
    <w:rsid w:val="00336A90"/>
    <w:rsid w:val="00337264"/>
    <w:rsid w:val="003451C3"/>
    <w:rsid w:val="0035023C"/>
    <w:rsid w:val="0035062A"/>
    <w:rsid w:val="003542FC"/>
    <w:rsid w:val="00354D61"/>
    <w:rsid w:val="00360D0A"/>
    <w:rsid w:val="00371701"/>
    <w:rsid w:val="00373ADD"/>
    <w:rsid w:val="00376852"/>
    <w:rsid w:val="00376CE5"/>
    <w:rsid w:val="003770E0"/>
    <w:rsid w:val="003859AE"/>
    <w:rsid w:val="00386235"/>
    <w:rsid w:val="003907CB"/>
    <w:rsid w:val="0039358C"/>
    <w:rsid w:val="00396057"/>
    <w:rsid w:val="0039776A"/>
    <w:rsid w:val="003A263F"/>
    <w:rsid w:val="003B33EF"/>
    <w:rsid w:val="003B5010"/>
    <w:rsid w:val="003C179C"/>
    <w:rsid w:val="003C424F"/>
    <w:rsid w:val="003C57BA"/>
    <w:rsid w:val="003C5DD7"/>
    <w:rsid w:val="003D76D1"/>
    <w:rsid w:val="004010B9"/>
    <w:rsid w:val="00401E67"/>
    <w:rsid w:val="00403AD6"/>
    <w:rsid w:val="00405F88"/>
    <w:rsid w:val="004138F6"/>
    <w:rsid w:val="00430AEE"/>
    <w:rsid w:val="00436D2B"/>
    <w:rsid w:val="0044590C"/>
    <w:rsid w:val="004477DE"/>
    <w:rsid w:val="00450468"/>
    <w:rsid w:val="00451053"/>
    <w:rsid w:val="004518D1"/>
    <w:rsid w:val="00452575"/>
    <w:rsid w:val="0045483A"/>
    <w:rsid w:val="0045516B"/>
    <w:rsid w:val="00455771"/>
    <w:rsid w:val="00460D71"/>
    <w:rsid w:val="0047224B"/>
    <w:rsid w:val="00472984"/>
    <w:rsid w:val="00481044"/>
    <w:rsid w:val="0048450E"/>
    <w:rsid w:val="004868BB"/>
    <w:rsid w:val="00491A60"/>
    <w:rsid w:val="00491DEE"/>
    <w:rsid w:val="0049502B"/>
    <w:rsid w:val="00496995"/>
    <w:rsid w:val="004A15D8"/>
    <w:rsid w:val="004A34B9"/>
    <w:rsid w:val="004B7955"/>
    <w:rsid w:val="004C1766"/>
    <w:rsid w:val="004C6838"/>
    <w:rsid w:val="004D2AEC"/>
    <w:rsid w:val="004D3D33"/>
    <w:rsid w:val="004D4B91"/>
    <w:rsid w:val="004D6D37"/>
    <w:rsid w:val="004E1C83"/>
    <w:rsid w:val="004E1E0B"/>
    <w:rsid w:val="004F0EEC"/>
    <w:rsid w:val="005032CC"/>
    <w:rsid w:val="00511C9A"/>
    <w:rsid w:val="0051215A"/>
    <w:rsid w:val="00512D4E"/>
    <w:rsid w:val="00515768"/>
    <w:rsid w:val="0052689B"/>
    <w:rsid w:val="0053276A"/>
    <w:rsid w:val="00532BC8"/>
    <w:rsid w:val="00532C44"/>
    <w:rsid w:val="0054428F"/>
    <w:rsid w:val="00545B2C"/>
    <w:rsid w:val="00545F95"/>
    <w:rsid w:val="0054733B"/>
    <w:rsid w:val="00560A62"/>
    <w:rsid w:val="005628A1"/>
    <w:rsid w:val="00564206"/>
    <w:rsid w:val="0056607D"/>
    <w:rsid w:val="00567E0E"/>
    <w:rsid w:val="00572C9C"/>
    <w:rsid w:val="00572E49"/>
    <w:rsid w:val="00575C6A"/>
    <w:rsid w:val="00580297"/>
    <w:rsid w:val="00581F99"/>
    <w:rsid w:val="00590B39"/>
    <w:rsid w:val="00596971"/>
    <w:rsid w:val="005975C2"/>
    <w:rsid w:val="005A2FF6"/>
    <w:rsid w:val="005A38EF"/>
    <w:rsid w:val="005B59EF"/>
    <w:rsid w:val="005B70D2"/>
    <w:rsid w:val="005C5654"/>
    <w:rsid w:val="005C6E66"/>
    <w:rsid w:val="005D7966"/>
    <w:rsid w:val="005E1D55"/>
    <w:rsid w:val="005E468A"/>
    <w:rsid w:val="005E7E8F"/>
    <w:rsid w:val="005F1718"/>
    <w:rsid w:val="005F5419"/>
    <w:rsid w:val="005F5656"/>
    <w:rsid w:val="005F75BB"/>
    <w:rsid w:val="0060100B"/>
    <w:rsid w:val="006033B5"/>
    <w:rsid w:val="00607444"/>
    <w:rsid w:val="0061435C"/>
    <w:rsid w:val="00617AE2"/>
    <w:rsid w:val="006247C2"/>
    <w:rsid w:val="00633B0D"/>
    <w:rsid w:val="00634116"/>
    <w:rsid w:val="006347F0"/>
    <w:rsid w:val="00634AE4"/>
    <w:rsid w:val="00641424"/>
    <w:rsid w:val="006430BC"/>
    <w:rsid w:val="006430CA"/>
    <w:rsid w:val="00644130"/>
    <w:rsid w:val="00644E34"/>
    <w:rsid w:val="00650841"/>
    <w:rsid w:val="0065155D"/>
    <w:rsid w:val="006519D4"/>
    <w:rsid w:val="006559B6"/>
    <w:rsid w:val="006614DC"/>
    <w:rsid w:val="00674FBC"/>
    <w:rsid w:val="006773A0"/>
    <w:rsid w:val="006866BE"/>
    <w:rsid w:val="00697883"/>
    <w:rsid w:val="006A4EFC"/>
    <w:rsid w:val="006B0C24"/>
    <w:rsid w:val="006B59E8"/>
    <w:rsid w:val="006C1D9A"/>
    <w:rsid w:val="006D014D"/>
    <w:rsid w:val="006D1032"/>
    <w:rsid w:val="006D64C7"/>
    <w:rsid w:val="006F16A5"/>
    <w:rsid w:val="00700088"/>
    <w:rsid w:val="00700C79"/>
    <w:rsid w:val="00701C2B"/>
    <w:rsid w:val="00705BCC"/>
    <w:rsid w:val="00714997"/>
    <w:rsid w:val="00717F9A"/>
    <w:rsid w:val="00723196"/>
    <w:rsid w:val="007273C2"/>
    <w:rsid w:val="00727E00"/>
    <w:rsid w:val="00730472"/>
    <w:rsid w:val="00733EE9"/>
    <w:rsid w:val="00735DD3"/>
    <w:rsid w:val="007430CC"/>
    <w:rsid w:val="00746ECA"/>
    <w:rsid w:val="007527C6"/>
    <w:rsid w:val="0076080E"/>
    <w:rsid w:val="00762ACE"/>
    <w:rsid w:val="007644A1"/>
    <w:rsid w:val="0076735D"/>
    <w:rsid w:val="00770B32"/>
    <w:rsid w:val="00771712"/>
    <w:rsid w:val="00774CCE"/>
    <w:rsid w:val="00777451"/>
    <w:rsid w:val="0078081F"/>
    <w:rsid w:val="007852A1"/>
    <w:rsid w:val="00785E0A"/>
    <w:rsid w:val="00794C68"/>
    <w:rsid w:val="0079521C"/>
    <w:rsid w:val="007965A8"/>
    <w:rsid w:val="007A5038"/>
    <w:rsid w:val="007C1F19"/>
    <w:rsid w:val="007C76B2"/>
    <w:rsid w:val="007D068B"/>
    <w:rsid w:val="007D0E63"/>
    <w:rsid w:val="007D2D02"/>
    <w:rsid w:val="007D3834"/>
    <w:rsid w:val="007E213F"/>
    <w:rsid w:val="007E233B"/>
    <w:rsid w:val="007E5FE7"/>
    <w:rsid w:val="007F2BE3"/>
    <w:rsid w:val="007F427A"/>
    <w:rsid w:val="007F75CD"/>
    <w:rsid w:val="008013A0"/>
    <w:rsid w:val="008019A8"/>
    <w:rsid w:val="008117E6"/>
    <w:rsid w:val="0081701E"/>
    <w:rsid w:val="00817092"/>
    <w:rsid w:val="00827CE5"/>
    <w:rsid w:val="00834F1A"/>
    <w:rsid w:val="0083751F"/>
    <w:rsid w:val="00837C26"/>
    <w:rsid w:val="00841D57"/>
    <w:rsid w:val="008465E8"/>
    <w:rsid w:val="00846B3B"/>
    <w:rsid w:val="008522E7"/>
    <w:rsid w:val="008619DB"/>
    <w:rsid w:val="0086351E"/>
    <w:rsid w:val="0086381E"/>
    <w:rsid w:val="00864512"/>
    <w:rsid w:val="00864639"/>
    <w:rsid w:val="00872087"/>
    <w:rsid w:val="00880098"/>
    <w:rsid w:val="00881BCD"/>
    <w:rsid w:val="0089122C"/>
    <w:rsid w:val="00895133"/>
    <w:rsid w:val="008A0296"/>
    <w:rsid w:val="008A069F"/>
    <w:rsid w:val="008A4808"/>
    <w:rsid w:val="008B1A83"/>
    <w:rsid w:val="008B51E2"/>
    <w:rsid w:val="008C2082"/>
    <w:rsid w:val="008D29FB"/>
    <w:rsid w:val="008D5FF1"/>
    <w:rsid w:val="008E0508"/>
    <w:rsid w:val="008E49BA"/>
    <w:rsid w:val="008F044B"/>
    <w:rsid w:val="008F13C1"/>
    <w:rsid w:val="008F2150"/>
    <w:rsid w:val="008F71E6"/>
    <w:rsid w:val="00900307"/>
    <w:rsid w:val="00914E35"/>
    <w:rsid w:val="00923A3A"/>
    <w:rsid w:val="009257E5"/>
    <w:rsid w:val="00930EAF"/>
    <w:rsid w:val="00931717"/>
    <w:rsid w:val="00932497"/>
    <w:rsid w:val="009377F1"/>
    <w:rsid w:val="009448C1"/>
    <w:rsid w:val="0094657E"/>
    <w:rsid w:val="00961861"/>
    <w:rsid w:val="00963CB0"/>
    <w:rsid w:val="00963D21"/>
    <w:rsid w:val="00964FBF"/>
    <w:rsid w:val="00976403"/>
    <w:rsid w:val="00984A08"/>
    <w:rsid w:val="00984DAD"/>
    <w:rsid w:val="00996206"/>
    <w:rsid w:val="009A666E"/>
    <w:rsid w:val="009B1226"/>
    <w:rsid w:val="009B48F8"/>
    <w:rsid w:val="009C1293"/>
    <w:rsid w:val="009C3B1F"/>
    <w:rsid w:val="009C6B37"/>
    <w:rsid w:val="009C7D36"/>
    <w:rsid w:val="009D07E1"/>
    <w:rsid w:val="009D5AE7"/>
    <w:rsid w:val="009D7BF3"/>
    <w:rsid w:val="009E3199"/>
    <w:rsid w:val="009E6E7D"/>
    <w:rsid w:val="009F4138"/>
    <w:rsid w:val="00A0177C"/>
    <w:rsid w:val="00A06071"/>
    <w:rsid w:val="00A06902"/>
    <w:rsid w:val="00A12770"/>
    <w:rsid w:val="00A12C49"/>
    <w:rsid w:val="00A16DC1"/>
    <w:rsid w:val="00A2196D"/>
    <w:rsid w:val="00A22034"/>
    <w:rsid w:val="00A26FB2"/>
    <w:rsid w:val="00A27E04"/>
    <w:rsid w:val="00A31428"/>
    <w:rsid w:val="00A35881"/>
    <w:rsid w:val="00A36ED4"/>
    <w:rsid w:val="00A50043"/>
    <w:rsid w:val="00A57C5F"/>
    <w:rsid w:val="00A57FC6"/>
    <w:rsid w:val="00A6427C"/>
    <w:rsid w:val="00A6439B"/>
    <w:rsid w:val="00A669F7"/>
    <w:rsid w:val="00A712B0"/>
    <w:rsid w:val="00A729F1"/>
    <w:rsid w:val="00A75D46"/>
    <w:rsid w:val="00A837DB"/>
    <w:rsid w:val="00A877AE"/>
    <w:rsid w:val="00A92A40"/>
    <w:rsid w:val="00A96DA7"/>
    <w:rsid w:val="00AA0205"/>
    <w:rsid w:val="00AA0797"/>
    <w:rsid w:val="00AA100D"/>
    <w:rsid w:val="00AA4E24"/>
    <w:rsid w:val="00AB1E57"/>
    <w:rsid w:val="00AB31C8"/>
    <w:rsid w:val="00AB3E94"/>
    <w:rsid w:val="00AB3EA7"/>
    <w:rsid w:val="00AB66CC"/>
    <w:rsid w:val="00AC161B"/>
    <w:rsid w:val="00AC24E2"/>
    <w:rsid w:val="00AC3B2F"/>
    <w:rsid w:val="00AC57CC"/>
    <w:rsid w:val="00AD3211"/>
    <w:rsid w:val="00AD3352"/>
    <w:rsid w:val="00AD5AD8"/>
    <w:rsid w:val="00AE2184"/>
    <w:rsid w:val="00AE5FD1"/>
    <w:rsid w:val="00AE6751"/>
    <w:rsid w:val="00AE7A94"/>
    <w:rsid w:val="00B00436"/>
    <w:rsid w:val="00B02E59"/>
    <w:rsid w:val="00B03690"/>
    <w:rsid w:val="00B03D7A"/>
    <w:rsid w:val="00B0406E"/>
    <w:rsid w:val="00B13C02"/>
    <w:rsid w:val="00B1410E"/>
    <w:rsid w:val="00B15145"/>
    <w:rsid w:val="00B27CB3"/>
    <w:rsid w:val="00B36600"/>
    <w:rsid w:val="00B36997"/>
    <w:rsid w:val="00B37339"/>
    <w:rsid w:val="00B405DD"/>
    <w:rsid w:val="00B50B9C"/>
    <w:rsid w:val="00B5473E"/>
    <w:rsid w:val="00B570B2"/>
    <w:rsid w:val="00B65A9D"/>
    <w:rsid w:val="00B7095B"/>
    <w:rsid w:val="00B80694"/>
    <w:rsid w:val="00B810F0"/>
    <w:rsid w:val="00B834A7"/>
    <w:rsid w:val="00B83D09"/>
    <w:rsid w:val="00B85317"/>
    <w:rsid w:val="00B87673"/>
    <w:rsid w:val="00B94E5E"/>
    <w:rsid w:val="00B950A2"/>
    <w:rsid w:val="00BA3CE5"/>
    <w:rsid w:val="00BA40B5"/>
    <w:rsid w:val="00BB115B"/>
    <w:rsid w:val="00BB122B"/>
    <w:rsid w:val="00BB1D49"/>
    <w:rsid w:val="00BC031D"/>
    <w:rsid w:val="00BD6254"/>
    <w:rsid w:val="00BD6355"/>
    <w:rsid w:val="00BE0729"/>
    <w:rsid w:val="00BE6A93"/>
    <w:rsid w:val="00BF0061"/>
    <w:rsid w:val="00BF1661"/>
    <w:rsid w:val="00BF1A09"/>
    <w:rsid w:val="00BF4B49"/>
    <w:rsid w:val="00BF7EC5"/>
    <w:rsid w:val="00C03201"/>
    <w:rsid w:val="00C04683"/>
    <w:rsid w:val="00C14635"/>
    <w:rsid w:val="00C1624C"/>
    <w:rsid w:val="00C23680"/>
    <w:rsid w:val="00C25E48"/>
    <w:rsid w:val="00C27206"/>
    <w:rsid w:val="00C302B6"/>
    <w:rsid w:val="00C35E5C"/>
    <w:rsid w:val="00C41158"/>
    <w:rsid w:val="00C41924"/>
    <w:rsid w:val="00C426B5"/>
    <w:rsid w:val="00C519AE"/>
    <w:rsid w:val="00C55A27"/>
    <w:rsid w:val="00C56995"/>
    <w:rsid w:val="00C678E4"/>
    <w:rsid w:val="00C7107B"/>
    <w:rsid w:val="00C71591"/>
    <w:rsid w:val="00C72AB8"/>
    <w:rsid w:val="00C7355C"/>
    <w:rsid w:val="00C766F2"/>
    <w:rsid w:val="00C81B02"/>
    <w:rsid w:val="00C9132D"/>
    <w:rsid w:val="00C95AD0"/>
    <w:rsid w:val="00C97379"/>
    <w:rsid w:val="00CA1714"/>
    <w:rsid w:val="00CA366E"/>
    <w:rsid w:val="00CB66C8"/>
    <w:rsid w:val="00CC0A6E"/>
    <w:rsid w:val="00CC430E"/>
    <w:rsid w:val="00CE1128"/>
    <w:rsid w:val="00CE149A"/>
    <w:rsid w:val="00CF0106"/>
    <w:rsid w:val="00CF563A"/>
    <w:rsid w:val="00CF64AA"/>
    <w:rsid w:val="00D005D3"/>
    <w:rsid w:val="00D03148"/>
    <w:rsid w:val="00D050F3"/>
    <w:rsid w:val="00D22953"/>
    <w:rsid w:val="00D24760"/>
    <w:rsid w:val="00D2664E"/>
    <w:rsid w:val="00D30C78"/>
    <w:rsid w:val="00D33FFF"/>
    <w:rsid w:val="00D36101"/>
    <w:rsid w:val="00D40E65"/>
    <w:rsid w:val="00D42536"/>
    <w:rsid w:val="00D43EF8"/>
    <w:rsid w:val="00D45BE0"/>
    <w:rsid w:val="00D464F5"/>
    <w:rsid w:val="00D465EB"/>
    <w:rsid w:val="00D46869"/>
    <w:rsid w:val="00D502EC"/>
    <w:rsid w:val="00D626FE"/>
    <w:rsid w:val="00D673F6"/>
    <w:rsid w:val="00D67A81"/>
    <w:rsid w:val="00D753AF"/>
    <w:rsid w:val="00D767CF"/>
    <w:rsid w:val="00D81AE6"/>
    <w:rsid w:val="00D85866"/>
    <w:rsid w:val="00D90DF8"/>
    <w:rsid w:val="00D94A73"/>
    <w:rsid w:val="00D96558"/>
    <w:rsid w:val="00D96E97"/>
    <w:rsid w:val="00DA0414"/>
    <w:rsid w:val="00DB2626"/>
    <w:rsid w:val="00DB55F0"/>
    <w:rsid w:val="00DB68AA"/>
    <w:rsid w:val="00DC24A9"/>
    <w:rsid w:val="00DC7734"/>
    <w:rsid w:val="00DD1A24"/>
    <w:rsid w:val="00DD1A64"/>
    <w:rsid w:val="00DD40A1"/>
    <w:rsid w:val="00DD7BBE"/>
    <w:rsid w:val="00DE6B4E"/>
    <w:rsid w:val="00DE7C43"/>
    <w:rsid w:val="00DE7CF4"/>
    <w:rsid w:val="00E0019C"/>
    <w:rsid w:val="00E0440B"/>
    <w:rsid w:val="00E10055"/>
    <w:rsid w:val="00E1154D"/>
    <w:rsid w:val="00E20C10"/>
    <w:rsid w:val="00E300C6"/>
    <w:rsid w:val="00E347A9"/>
    <w:rsid w:val="00E40F42"/>
    <w:rsid w:val="00E43668"/>
    <w:rsid w:val="00E43F1F"/>
    <w:rsid w:val="00E53A0B"/>
    <w:rsid w:val="00E55791"/>
    <w:rsid w:val="00E61F5D"/>
    <w:rsid w:val="00E62E33"/>
    <w:rsid w:val="00E701B2"/>
    <w:rsid w:val="00E71AF7"/>
    <w:rsid w:val="00E739C0"/>
    <w:rsid w:val="00E74257"/>
    <w:rsid w:val="00E752F4"/>
    <w:rsid w:val="00E75508"/>
    <w:rsid w:val="00E80E17"/>
    <w:rsid w:val="00E80E24"/>
    <w:rsid w:val="00E86467"/>
    <w:rsid w:val="00E91ED1"/>
    <w:rsid w:val="00E924CC"/>
    <w:rsid w:val="00E93274"/>
    <w:rsid w:val="00EA62B0"/>
    <w:rsid w:val="00EB471C"/>
    <w:rsid w:val="00EC151A"/>
    <w:rsid w:val="00EC30E9"/>
    <w:rsid w:val="00EC5E0B"/>
    <w:rsid w:val="00ED725D"/>
    <w:rsid w:val="00ED73BE"/>
    <w:rsid w:val="00EE03F8"/>
    <w:rsid w:val="00EE2C65"/>
    <w:rsid w:val="00EE52E5"/>
    <w:rsid w:val="00EE6CD9"/>
    <w:rsid w:val="00EF0818"/>
    <w:rsid w:val="00EF3A98"/>
    <w:rsid w:val="00F05465"/>
    <w:rsid w:val="00F07738"/>
    <w:rsid w:val="00F1092A"/>
    <w:rsid w:val="00F14420"/>
    <w:rsid w:val="00F157F7"/>
    <w:rsid w:val="00F16EB9"/>
    <w:rsid w:val="00F20BDB"/>
    <w:rsid w:val="00F21151"/>
    <w:rsid w:val="00F27AC9"/>
    <w:rsid w:val="00F30C16"/>
    <w:rsid w:val="00F36CDF"/>
    <w:rsid w:val="00F40602"/>
    <w:rsid w:val="00F410C3"/>
    <w:rsid w:val="00F46564"/>
    <w:rsid w:val="00F52997"/>
    <w:rsid w:val="00F52BEE"/>
    <w:rsid w:val="00F564D5"/>
    <w:rsid w:val="00F664B3"/>
    <w:rsid w:val="00F72664"/>
    <w:rsid w:val="00F807D6"/>
    <w:rsid w:val="00F81197"/>
    <w:rsid w:val="00F81BCA"/>
    <w:rsid w:val="00F828F8"/>
    <w:rsid w:val="00F85AEC"/>
    <w:rsid w:val="00F8621C"/>
    <w:rsid w:val="00F941C8"/>
    <w:rsid w:val="00FA0C2C"/>
    <w:rsid w:val="00FA31B5"/>
    <w:rsid w:val="00FA4EBB"/>
    <w:rsid w:val="00FB01E0"/>
    <w:rsid w:val="00FB2D72"/>
    <w:rsid w:val="00FB52BD"/>
    <w:rsid w:val="00FB7E31"/>
    <w:rsid w:val="00FC21EA"/>
    <w:rsid w:val="00FC6BA6"/>
    <w:rsid w:val="00FD0ED2"/>
    <w:rsid w:val="00FD51E7"/>
    <w:rsid w:val="00FE01E0"/>
    <w:rsid w:val="00FE0D9E"/>
    <w:rsid w:val="00FE0DB2"/>
    <w:rsid w:val="00FE6A19"/>
    <w:rsid w:val="00FE7CF5"/>
    <w:rsid w:val="00FE7F18"/>
    <w:rsid w:val="00FF4147"/>
    <w:rsid w:val="00FF6A0A"/>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4EFC5"/>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167F7A"/>
    <w:pPr>
      <w:spacing w:before="60" w:after="120"/>
    </w:pPr>
    <w:rPr>
      <w:sz w:val="22"/>
      <w:szCs w:val="22"/>
      <w:lang w:eastAsia="en-US"/>
    </w:r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rsid w:val="00650841"/>
    <w:pPr>
      <w:keepNext/>
      <w:keepLines/>
      <w:spacing w:before="120"/>
      <w:outlineLvl w:val="2"/>
    </w:pPr>
    <w:rPr>
      <w:rFonts w:eastAsia="Times New Roman"/>
      <w:b/>
      <w:bCs/>
      <w:sz w:val="26"/>
    </w:rPr>
  </w:style>
  <w:style w:type="paragraph" w:styleId="Heading4">
    <w:name w:val="heading 4"/>
    <w:basedOn w:val="Normal"/>
    <w:next w:val="Normal"/>
    <w:link w:val="Heading4Char"/>
    <w:uiPriority w:val="9"/>
    <w:unhideWhenUsed/>
    <w:qFormat/>
    <w:rsid w:val="00650841"/>
    <w:pPr>
      <w:keepNext/>
      <w:keepLines/>
      <w:spacing w:before="120"/>
      <w:outlineLvl w:val="3"/>
    </w:pPr>
    <w:rPr>
      <w:rFonts w:eastAsia="Times New Roman"/>
      <w:b/>
      <w:bCs/>
      <w:iCs/>
      <w:color w:val="000000"/>
    </w:rPr>
  </w:style>
  <w:style w:type="paragraph" w:styleId="Heading5">
    <w:name w:val="heading 5"/>
    <w:basedOn w:val="Normal"/>
    <w:next w:val="Normal"/>
    <w:link w:val="Heading5Char"/>
    <w:uiPriority w:val="9"/>
    <w:unhideWhenUsed/>
    <w:qFormat/>
    <w:rsid w:val="00650841"/>
    <w:pPr>
      <w:keepNext/>
      <w:keepLines/>
      <w:spacing w:before="12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sid w:val="00650841"/>
    <w:rPr>
      <w:rFonts w:eastAsia="Times New Roman"/>
      <w:b/>
      <w:bCs/>
      <w:sz w:val="26"/>
      <w:szCs w:val="22"/>
      <w:lang w:eastAsia="en-US"/>
    </w:rPr>
  </w:style>
  <w:style w:type="character" w:customStyle="1" w:styleId="Heading4Char">
    <w:name w:val="Heading 4 Char"/>
    <w:link w:val="Heading4"/>
    <w:uiPriority w:val="9"/>
    <w:rsid w:val="00650841"/>
    <w:rPr>
      <w:rFonts w:eastAsia="Times New Roman"/>
      <w:b/>
      <w:bCs/>
      <w:iCs/>
      <w:color w:val="000000"/>
      <w:sz w:val="22"/>
      <w:szCs w:val="22"/>
      <w:lang w:eastAsia="en-US"/>
    </w:rPr>
  </w:style>
  <w:style w:type="character" w:customStyle="1" w:styleId="Heading5Char">
    <w:name w:val="Heading 5 Char"/>
    <w:link w:val="Heading5"/>
    <w:uiPriority w:val="9"/>
    <w:rsid w:val="00650841"/>
    <w:rPr>
      <w:rFonts w:ascii="Cambria" w:eastAsia="Times New Roman" w:hAnsi="Cambria"/>
      <w:color w:val="243F60"/>
      <w:sz w:val="22"/>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qFormat/>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306DD9"/>
    <w:pPr>
      <w:tabs>
        <w:tab w:val="left" w:pos="426"/>
        <w:tab w:val="right" w:leader="dot" w:pos="9016"/>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DD9"/>
    <w:pPr>
      <w:tabs>
        <w:tab w:val="center" w:pos="4513"/>
        <w:tab w:val="right" w:pos="9026"/>
      </w:tabs>
      <w:spacing w:after="0"/>
    </w:pPr>
    <w:rPr>
      <w:sz w:val="18"/>
    </w:rPr>
  </w:style>
  <w:style w:type="character" w:customStyle="1" w:styleId="HeaderChar">
    <w:name w:val="Header Char"/>
    <w:basedOn w:val="DefaultParagraphFont"/>
    <w:link w:val="Header"/>
    <w:uiPriority w:val="99"/>
    <w:rsid w:val="00306DD9"/>
    <w:rPr>
      <w:sz w:val="18"/>
      <w:szCs w:val="22"/>
      <w:lang w:eastAsia="en-US"/>
    </w:rPr>
  </w:style>
  <w:style w:type="paragraph" w:styleId="Footer">
    <w:name w:val="footer"/>
    <w:basedOn w:val="Normal"/>
    <w:link w:val="FooterChar"/>
    <w:uiPriority w:val="99"/>
    <w:unhideWhenUsed/>
    <w:rsid w:val="00306DD9"/>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306DD9"/>
    <w:rPr>
      <w:sz w:val="18"/>
      <w:szCs w:val="22"/>
      <w:lang w:eastAsia="en-US"/>
    </w:rPr>
  </w:style>
  <w:style w:type="paragraph" w:customStyle="1" w:styleId="Bulletlist-Indented">
    <w:name w:val="Bullet list - Indented"/>
    <w:basedOn w:val="Normal"/>
    <w:link w:val="Bulletlist-IndentedChar"/>
    <w:rsid w:val="00D90DF8"/>
    <w:pPr>
      <w:numPr>
        <w:ilvl w:val="2"/>
        <w:numId w:val="3"/>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color w:val="404A29"/>
      <w:sz w:val="28"/>
    </w:rPr>
  </w:style>
  <w:style w:type="character" w:styleId="Hyperlink">
    <w:name w:val="Hyperlink"/>
    <w:uiPriority w:val="99"/>
    <w:unhideWhenUsed/>
    <w:qFormat/>
    <w:rsid w:val="00076A10"/>
    <w:rPr>
      <w:color w:val="4472C4" w:themeColor="accent5"/>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07275C"/>
    <w:pPr>
      <w:spacing w:before="120" w:after="120"/>
    </w:pPr>
    <w:rPr>
      <w:rFonts w:eastAsia="Times New Roman"/>
      <w:sz w:val="22"/>
      <w:szCs w:val="24"/>
      <w:lang w:eastAsia="en-US"/>
    </w:rPr>
  </w:style>
  <w:style w:type="character" w:customStyle="1" w:styleId="BodyTextChar">
    <w:name w:val="Body Text Char"/>
    <w:link w:val="BodyText"/>
    <w:rsid w:val="0007275C"/>
    <w:rPr>
      <w:rFonts w:eastAsia="Times New Roman"/>
      <w:sz w:val="22"/>
      <w:szCs w:val="24"/>
      <w:lang w:eastAsia="en-US"/>
    </w:rPr>
  </w:style>
  <w:style w:type="paragraph" w:styleId="ListBullet">
    <w:name w:val="List Bullet"/>
    <w:basedOn w:val="BodyText"/>
    <w:link w:val="ListBulletChar"/>
    <w:uiPriority w:val="7"/>
    <w:qFormat/>
    <w:rsid w:val="002003DC"/>
    <w:pPr>
      <w:numPr>
        <w:numId w:val="5"/>
      </w:numPr>
      <w:spacing w:before="60" w:after="60"/>
    </w:pPr>
  </w:style>
  <w:style w:type="paragraph" w:customStyle="1" w:styleId="DocumentType-Guideline">
    <w:name w:val="Document Type - Guideline"/>
    <w:basedOn w:val="Normal"/>
    <w:link w:val="DocumentType-GuidelineChar"/>
    <w:rsid w:val="00167F7A"/>
    <w:pPr>
      <w:widowControl w:val="0"/>
      <w:shd w:val="clear" w:color="auto" w:fill="6A7F10"/>
      <w:tabs>
        <w:tab w:val="center" w:pos="4465"/>
      </w:tabs>
      <w:spacing w:before="240" w:after="60"/>
      <w:jc w:val="center"/>
    </w:pPr>
    <w:rPr>
      <w:rFonts w:ascii="Cambria" w:eastAsia="Times New Roman" w:hAnsi="Cambria"/>
      <w:b/>
      <w:color w:val="FFFFFF"/>
      <w:sz w:val="48"/>
      <w:szCs w:val="20"/>
      <w:shd w:val="clear" w:color="auto" w:fill="6A7F10"/>
    </w:rPr>
  </w:style>
  <w:style w:type="character" w:customStyle="1" w:styleId="DocumentType-GuidelineChar">
    <w:name w:val="Document Type - Guideline Char"/>
    <w:link w:val="DocumentType-Guideline"/>
    <w:rPr>
      <w:rFonts w:ascii="Cambria" w:eastAsia="Times New Roman" w:hAnsi="Cambria" w:cs="Times New Roman"/>
      <w:b w:val="0"/>
      <w:color w:val="FFFFFF"/>
      <w:sz w:val="48"/>
      <w:szCs w:val="20"/>
      <w:shd w:val="clear" w:color="auto" w:fill="6A7F10"/>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uiPriority w:val="7"/>
    <w:rsid w:val="002003DC"/>
    <w:rPr>
      <w:rFonts w:eastAsia="Times New Roman"/>
      <w:sz w:val="22"/>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306DD9"/>
    <w:pPr>
      <w:tabs>
        <w:tab w:val="right" w:leader="dot" w:pos="9016"/>
      </w:tabs>
      <w:spacing w:after="60"/>
      <w:ind w:left="220"/>
    </w:pPr>
    <w:rPr>
      <w:noProof/>
    </w:rPr>
  </w:style>
  <w:style w:type="paragraph" w:styleId="TOC3">
    <w:name w:val="toc 3"/>
    <w:basedOn w:val="Normal"/>
    <w:next w:val="Normal"/>
    <w:autoRedefine/>
    <w:uiPriority w:val="39"/>
    <w:unhideWhenUsed/>
    <w:rsid w:val="00306DD9"/>
    <w:pPr>
      <w:tabs>
        <w:tab w:val="right" w:leader="dot" w:pos="9016"/>
      </w:tabs>
      <w:spacing w:after="60"/>
      <w:ind w:left="440"/>
    </w:pPr>
    <w:rPr>
      <w:noProof/>
    </w:rPr>
  </w:style>
  <w:style w:type="character" w:styleId="PlaceholderText">
    <w:name w:val="Placeholder Text"/>
    <w:basedOn w:val="DefaultParagraphFont"/>
    <w:uiPriority w:val="99"/>
    <w:semiHidden/>
    <w:rsid w:val="007E233B"/>
    <w:rPr>
      <w:color w:val="808080"/>
    </w:rPr>
  </w:style>
  <w:style w:type="character" w:styleId="Strong">
    <w:name w:val="Strong"/>
    <w:basedOn w:val="DefaultParagraphFont"/>
    <w:uiPriority w:val="22"/>
    <w:qFormat/>
    <w:rsid w:val="00D85866"/>
    <w:rPr>
      <w:b/>
      <w:bCs/>
    </w:rPr>
  </w:style>
  <w:style w:type="paragraph" w:styleId="ListParagraph">
    <w:name w:val="List Paragraph"/>
    <w:basedOn w:val="Normal"/>
    <w:uiPriority w:val="34"/>
    <w:qFormat/>
    <w:rsid w:val="00D85866"/>
    <w:pPr>
      <w:spacing w:before="0" w:after="200" w:line="276" w:lineRule="auto"/>
      <w:ind w:left="720"/>
      <w:contextualSpacing/>
    </w:pPr>
    <w:rPr>
      <w:rFonts w:asciiTheme="minorHAnsi" w:eastAsiaTheme="minorHAnsi" w:hAnsiTheme="minorHAnsi" w:cstheme="minorBidi"/>
    </w:rPr>
  </w:style>
  <w:style w:type="table" w:customStyle="1" w:styleId="MediumShading11">
    <w:name w:val="Medium Shading 11"/>
    <w:basedOn w:val="TableNormal"/>
    <w:uiPriority w:val="63"/>
    <w:rsid w:val="00D85866"/>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Level1">
    <w:name w:val="Level 1."/>
    <w:basedOn w:val="Normal"/>
    <w:next w:val="Normal"/>
    <w:rsid w:val="00D85866"/>
    <w:pPr>
      <w:numPr>
        <w:numId w:val="16"/>
      </w:numPr>
      <w:spacing w:before="200" w:after="0" w:line="240" w:lineRule="atLeast"/>
      <w:ind w:hanging="720"/>
      <w:outlineLvl w:val="0"/>
    </w:pPr>
    <w:rPr>
      <w:rFonts w:ascii="Arial" w:eastAsia="SimSun" w:hAnsi="Arial"/>
      <w:sz w:val="20"/>
      <w:szCs w:val="20"/>
      <w:lang w:eastAsia="zh-CN"/>
    </w:rPr>
  </w:style>
  <w:style w:type="paragraph" w:customStyle="1" w:styleId="Level11">
    <w:name w:val="Level 1.1"/>
    <w:basedOn w:val="Normal"/>
    <w:next w:val="Normal"/>
    <w:rsid w:val="00D85866"/>
    <w:pPr>
      <w:numPr>
        <w:ilvl w:val="1"/>
        <w:numId w:val="16"/>
      </w:numPr>
      <w:tabs>
        <w:tab w:val="clear" w:pos="1440"/>
        <w:tab w:val="num" w:pos="720"/>
      </w:tabs>
      <w:spacing w:before="200" w:after="0" w:line="240" w:lineRule="atLeast"/>
      <w:ind w:left="720" w:hanging="720"/>
      <w:outlineLvl w:val="1"/>
    </w:pPr>
    <w:rPr>
      <w:rFonts w:ascii="Arial" w:eastAsia="SimSun" w:hAnsi="Arial"/>
      <w:sz w:val="20"/>
      <w:szCs w:val="20"/>
      <w:lang w:eastAsia="zh-CN"/>
    </w:rPr>
  </w:style>
  <w:style w:type="paragraph" w:customStyle="1" w:styleId="Levela">
    <w:name w:val="Level (a)"/>
    <w:basedOn w:val="Normal"/>
    <w:next w:val="Normal"/>
    <w:rsid w:val="00D85866"/>
    <w:pPr>
      <w:numPr>
        <w:ilvl w:val="3"/>
        <w:numId w:val="16"/>
      </w:numPr>
      <w:tabs>
        <w:tab w:val="clear" w:pos="2880"/>
        <w:tab w:val="num" w:pos="2160"/>
      </w:tabs>
      <w:spacing w:before="200" w:after="0" w:line="240" w:lineRule="atLeast"/>
      <w:ind w:left="2160" w:hanging="720"/>
      <w:outlineLvl w:val="2"/>
    </w:pPr>
    <w:rPr>
      <w:rFonts w:ascii="Arial" w:eastAsia="SimSun" w:hAnsi="Arial"/>
      <w:sz w:val="20"/>
      <w:szCs w:val="20"/>
      <w:lang w:eastAsia="zh-CN"/>
    </w:rPr>
  </w:style>
  <w:style w:type="paragraph" w:customStyle="1" w:styleId="Leveli">
    <w:name w:val="Level (i)"/>
    <w:basedOn w:val="Normal"/>
    <w:next w:val="Normal"/>
    <w:rsid w:val="00D85866"/>
    <w:pPr>
      <w:numPr>
        <w:ilvl w:val="4"/>
        <w:numId w:val="16"/>
      </w:numPr>
      <w:tabs>
        <w:tab w:val="clear" w:pos="3600"/>
        <w:tab w:val="num" w:pos="2880"/>
      </w:tabs>
      <w:spacing w:before="200" w:after="0" w:line="240" w:lineRule="atLeast"/>
      <w:ind w:left="2880" w:hanging="720"/>
      <w:outlineLvl w:val="3"/>
    </w:pPr>
    <w:rPr>
      <w:rFonts w:ascii="Arial" w:eastAsia="SimSun" w:hAnsi="Arial"/>
      <w:sz w:val="20"/>
      <w:szCs w:val="20"/>
      <w:lang w:eastAsia="zh-CN"/>
    </w:rPr>
  </w:style>
  <w:style w:type="paragraph" w:customStyle="1" w:styleId="LevelA0">
    <w:name w:val="Level(A)"/>
    <w:basedOn w:val="Normal"/>
    <w:next w:val="Normal"/>
    <w:rsid w:val="00D85866"/>
    <w:pPr>
      <w:numPr>
        <w:ilvl w:val="5"/>
        <w:numId w:val="16"/>
      </w:numPr>
      <w:tabs>
        <w:tab w:val="clear" w:pos="4320"/>
        <w:tab w:val="num" w:pos="3600"/>
      </w:tabs>
      <w:spacing w:before="200" w:after="0" w:line="240" w:lineRule="atLeast"/>
      <w:ind w:left="3600" w:hanging="720"/>
      <w:outlineLvl w:val="4"/>
    </w:pPr>
    <w:rPr>
      <w:rFonts w:ascii="Arial" w:eastAsia="SimSun" w:hAnsi="Arial"/>
      <w:sz w:val="20"/>
      <w:szCs w:val="20"/>
      <w:lang w:eastAsia="zh-CN"/>
    </w:rPr>
  </w:style>
  <w:style w:type="paragraph" w:customStyle="1" w:styleId="BodyWI">
    <w:name w:val="BodyWI"/>
    <w:basedOn w:val="Normal"/>
    <w:rsid w:val="00D85866"/>
    <w:pPr>
      <w:keepLines/>
      <w:spacing w:before="80" w:after="40"/>
      <w:ind w:left="709"/>
    </w:pPr>
    <w:rPr>
      <w:rFonts w:ascii="Palatino" w:eastAsia="Times New Roman" w:hAnsi="Palatino"/>
      <w:color w:val="000080"/>
      <w:spacing w:val="-6"/>
      <w:szCs w:val="20"/>
    </w:rPr>
  </w:style>
  <w:style w:type="paragraph" w:styleId="Revision">
    <w:name w:val="Revision"/>
    <w:hidden/>
    <w:uiPriority w:val="99"/>
    <w:semiHidden/>
    <w:rsid w:val="00D85866"/>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85866"/>
    <w:pPr>
      <w:spacing w:before="100" w:beforeAutospacing="1" w:after="100" w:afterAutospacing="1"/>
    </w:pPr>
    <w:rPr>
      <w:rFonts w:ascii="Times New Roman" w:eastAsia="Times New Roman" w:hAnsi="Times New Roman"/>
      <w:sz w:val="24"/>
      <w:szCs w:val="24"/>
      <w:lang w:eastAsia="en-AU"/>
    </w:rPr>
  </w:style>
  <w:style w:type="paragraph" w:customStyle="1" w:styleId="acthead5">
    <w:name w:val="acthead5"/>
    <w:basedOn w:val="Normal"/>
    <w:rsid w:val="00D85866"/>
    <w:pPr>
      <w:spacing w:before="100" w:beforeAutospacing="1" w:after="100" w:afterAutospacing="1"/>
    </w:pPr>
    <w:rPr>
      <w:rFonts w:ascii="Times New Roman" w:eastAsia="Times New Roman" w:hAnsi="Times New Roman"/>
      <w:sz w:val="24"/>
      <w:szCs w:val="24"/>
      <w:lang w:eastAsia="en-AU"/>
    </w:rPr>
  </w:style>
  <w:style w:type="character" w:customStyle="1" w:styleId="charsectno">
    <w:name w:val="charsectno"/>
    <w:basedOn w:val="DefaultParagraphFont"/>
    <w:rsid w:val="00D85866"/>
  </w:style>
  <w:style w:type="paragraph" w:customStyle="1" w:styleId="subsection">
    <w:name w:val="subsection"/>
    <w:basedOn w:val="Normal"/>
    <w:rsid w:val="00D85866"/>
    <w:pPr>
      <w:spacing w:before="100" w:beforeAutospacing="1" w:after="100" w:afterAutospacing="1"/>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564206"/>
    <w:rPr>
      <w:color w:val="605E5C"/>
      <w:shd w:val="clear" w:color="auto" w:fill="E1DFDD"/>
    </w:rPr>
  </w:style>
  <w:style w:type="character" w:customStyle="1" w:styleId="ui-provider">
    <w:name w:val="ui-provider"/>
    <w:basedOn w:val="DefaultParagraphFont"/>
    <w:rsid w:val="00166C4D"/>
  </w:style>
  <w:style w:type="paragraph" w:customStyle="1" w:styleId="Default">
    <w:name w:val="Default"/>
    <w:rsid w:val="0060100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001422579">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3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powerapps.com/play/e/05b9e2c2-20a1-e5a5-9757-7d3d9c3c1fc2/a/1f15ba46-06d1-4ae9-a4dd-f56256d20320?tenantId=2be67eb7-400c-4b3f-a5a1-1258c0da0696" TargetMode="External"/><Relationship Id="rId18" Type="http://schemas.openxmlformats.org/officeDocument/2006/relationships/hyperlink" Target="mailto:PlantExportsFinanceandAssurance@aff.gov.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HorticultureExports@aff.gov.au" TargetMode="External"/><Relationship Id="rId7" Type="http://schemas.openxmlformats.org/officeDocument/2006/relationships/settings" Target="settings.xml"/><Relationship Id="rId12" Type="http://schemas.openxmlformats.org/officeDocument/2006/relationships/hyperlink" Target="https://www.agriculture.gov.auhttps:/www.agriculture.gov.au/export/controlled-goods/plants-plant-products/ao/export/controlled-goods/plants-plant-products/ao/request-for-plant-exports-inspection-appointmenthttps:/www.agriculture.gov.au/export/controlled-goods/plants-plant-products/ao/request-for-plant-exports-inspection-appointment" TargetMode="External"/><Relationship Id="rId17" Type="http://schemas.openxmlformats.org/officeDocument/2006/relationships/hyperlink" Target="mailto:AuditServices@aff.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iml.agdaff.gov.au/Pages/Home.aspx" TargetMode="External"/><Relationship Id="rId20" Type="http://schemas.openxmlformats.org/officeDocument/2006/relationships/hyperlink" Target="mailto:Grain.Export@aff.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griculture.gov.au/export/controlled-goods/plants-plant-products/plantexportsmanua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lantExportTraining@aff.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sites/default/files/documents/management-of-third-party-plant-exports-authorised-officer.pdf"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9A56916B454112862F08F8A3C77AA7"/>
        <w:category>
          <w:name w:val="General"/>
          <w:gallery w:val="placeholder"/>
        </w:category>
        <w:types>
          <w:type w:val="bbPlcHdr"/>
        </w:types>
        <w:behaviors>
          <w:behavior w:val="content"/>
        </w:behaviors>
        <w:guid w:val="{DB21598E-2B19-4983-AC49-F6C2983E614A}"/>
      </w:docPartPr>
      <w:docPartBody>
        <w:p w:rsidR="00762551" w:rsidRDefault="009C4C22" w:rsidP="009C4C22">
          <w:pPr>
            <w:pStyle w:val="649A56916B454112862F08F8A3C77AA7"/>
          </w:pPr>
          <w:r w:rsidRPr="000B2434">
            <w:rPr>
              <w:rStyle w:val="PlaceholderText"/>
            </w:rPr>
            <w:t>[Document ID Value]</w:t>
          </w:r>
        </w:p>
      </w:docPartBody>
    </w:docPart>
    <w:docPart>
      <w:docPartPr>
        <w:name w:val="CD420D300931443BB6D0ABC6F1625731"/>
        <w:category>
          <w:name w:val="General"/>
          <w:gallery w:val="placeholder"/>
        </w:category>
        <w:types>
          <w:type w:val="bbPlcHdr"/>
        </w:types>
        <w:behaviors>
          <w:behavior w:val="content"/>
        </w:behaviors>
        <w:guid w:val="{88E0BE20-013C-496D-A4E6-086CE12ADBB5}"/>
      </w:docPartPr>
      <w:docPartBody>
        <w:p w:rsidR="00762551" w:rsidRDefault="009C4C22" w:rsidP="009C4C22">
          <w:pPr>
            <w:pStyle w:val="CD420D300931443BB6D0ABC6F1625731"/>
          </w:pPr>
          <w:r w:rsidRPr="00FA0201">
            <w:rPr>
              <w:rStyle w:val="PlaceholderText"/>
            </w:rPr>
            <w:t>[Revision Number]</w:t>
          </w:r>
        </w:p>
      </w:docPartBody>
    </w:docPart>
    <w:docPart>
      <w:docPartPr>
        <w:name w:val="FA287AD330044128936CE84F0DCFD75A"/>
        <w:category>
          <w:name w:val="General"/>
          <w:gallery w:val="placeholder"/>
        </w:category>
        <w:types>
          <w:type w:val="bbPlcHdr"/>
        </w:types>
        <w:behaviors>
          <w:behavior w:val="content"/>
        </w:behaviors>
        <w:guid w:val="{6D1B0CC6-9EFC-4815-8C9E-044380151743}"/>
      </w:docPartPr>
      <w:docPartBody>
        <w:p w:rsidR="00762551" w:rsidRDefault="009C4C22" w:rsidP="009C4C22">
          <w:pPr>
            <w:pStyle w:val="FA287AD330044128936CE84F0DCFD75A"/>
          </w:pPr>
          <w:r w:rsidRPr="00DA3119">
            <w:rPr>
              <w:rStyle w:val="PlaceholderText"/>
            </w:rPr>
            <w:t>[Date published]</w:t>
          </w:r>
        </w:p>
      </w:docPartBody>
    </w:docPart>
    <w:docPart>
      <w:docPartPr>
        <w:name w:val="17152423F7DF459BB0F3BE64FFF131E3"/>
        <w:category>
          <w:name w:val="General"/>
          <w:gallery w:val="placeholder"/>
        </w:category>
        <w:types>
          <w:type w:val="bbPlcHdr"/>
        </w:types>
        <w:behaviors>
          <w:behavior w:val="content"/>
        </w:behaviors>
        <w:guid w:val="{6D1E3F84-B917-4886-9027-2754DF15620A}"/>
      </w:docPartPr>
      <w:docPartBody>
        <w:p w:rsidR="00161163" w:rsidRDefault="00161163" w:rsidP="00161163">
          <w:pPr>
            <w:pStyle w:val="17152423F7DF459BB0F3BE64FFF131E3"/>
          </w:pPr>
          <w:r w:rsidRPr="00FA0201">
            <w:rPr>
              <w:rStyle w:val="PlaceholderText"/>
            </w:rPr>
            <w:t>[Revision Number]</w:t>
          </w:r>
        </w:p>
      </w:docPartBody>
    </w:docPart>
    <w:docPart>
      <w:docPartPr>
        <w:name w:val="3BDDB50259C54054960FC84BB8F43437"/>
        <w:category>
          <w:name w:val="General"/>
          <w:gallery w:val="placeholder"/>
        </w:category>
        <w:types>
          <w:type w:val="bbPlcHdr"/>
        </w:types>
        <w:behaviors>
          <w:behavior w:val="content"/>
        </w:behaviors>
        <w:guid w:val="{E0F330FE-386E-4BB9-B98C-AF59CDC3A5C8}"/>
      </w:docPartPr>
      <w:docPartBody>
        <w:p w:rsidR="00161163" w:rsidRDefault="00161163" w:rsidP="00161163">
          <w:pPr>
            <w:pStyle w:val="3BDDB50259C54054960FC84BB8F43437"/>
          </w:pPr>
          <w:r w:rsidRPr="0039358C">
            <w:rPr>
              <w:rStyle w:val="PlaceholderText"/>
            </w:rPr>
            <w:t>[Date published]</w:t>
          </w:r>
        </w:p>
      </w:docPartBody>
    </w:docPart>
    <w:docPart>
      <w:docPartPr>
        <w:name w:val="9D7E098CA9E1466D8A9717281962FB1A"/>
        <w:category>
          <w:name w:val="General"/>
          <w:gallery w:val="placeholder"/>
        </w:category>
        <w:types>
          <w:type w:val="bbPlcHdr"/>
        </w:types>
        <w:behaviors>
          <w:behavior w:val="content"/>
        </w:behaviors>
        <w:guid w:val="{B505F24E-A8F9-45EB-83CC-679E255C62B1}"/>
      </w:docPartPr>
      <w:docPartBody>
        <w:p w:rsidR="00161163" w:rsidRDefault="00161163" w:rsidP="00161163">
          <w:pPr>
            <w:pStyle w:val="9D7E098CA9E1466D8A9717281962FB1A"/>
          </w:pPr>
          <w:r w:rsidRPr="003D0375">
            <w:rPr>
              <w:rStyle w:val="PlaceholderText"/>
            </w:rPr>
            <w:t>[Last Approver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w:altName w:val="Segoe UI Historic"/>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F2D"/>
    <w:rsid w:val="0007583E"/>
    <w:rsid w:val="000860D9"/>
    <w:rsid w:val="0009100E"/>
    <w:rsid w:val="000C6BE0"/>
    <w:rsid w:val="000C6FCB"/>
    <w:rsid w:val="000D505D"/>
    <w:rsid w:val="000E1175"/>
    <w:rsid w:val="000E7916"/>
    <w:rsid w:val="00161163"/>
    <w:rsid w:val="00164AA1"/>
    <w:rsid w:val="001722C6"/>
    <w:rsid w:val="00176237"/>
    <w:rsid w:val="00193784"/>
    <w:rsid w:val="001B745B"/>
    <w:rsid w:val="001D14E2"/>
    <w:rsid w:val="001E3738"/>
    <w:rsid w:val="001F4A2B"/>
    <w:rsid w:val="00226B1D"/>
    <w:rsid w:val="002401A2"/>
    <w:rsid w:val="002477A1"/>
    <w:rsid w:val="002651B7"/>
    <w:rsid w:val="00265605"/>
    <w:rsid w:val="00270ECC"/>
    <w:rsid w:val="00276C06"/>
    <w:rsid w:val="00284D72"/>
    <w:rsid w:val="002A032C"/>
    <w:rsid w:val="002B7F64"/>
    <w:rsid w:val="00315697"/>
    <w:rsid w:val="0035062A"/>
    <w:rsid w:val="0036575B"/>
    <w:rsid w:val="00376852"/>
    <w:rsid w:val="003770E0"/>
    <w:rsid w:val="00383B68"/>
    <w:rsid w:val="003A0C25"/>
    <w:rsid w:val="003A749B"/>
    <w:rsid w:val="003D7501"/>
    <w:rsid w:val="004152C9"/>
    <w:rsid w:val="004A34B9"/>
    <w:rsid w:val="0052562A"/>
    <w:rsid w:val="00532BC8"/>
    <w:rsid w:val="00560A62"/>
    <w:rsid w:val="0056607D"/>
    <w:rsid w:val="005A362D"/>
    <w:rsid w:val="00633B0D"/>
    <w:rsid w:val="006B59E8"/>
    <w:rsid w:val="00723196"/>
    <w:rsid w:val="007477B6"/>
    <w:rsid w:val="00762551"/>
    <w:rsid w:val="0078081F"/>
    <w:rsid w:val="007C1F19"/>
    <w:rsid w:val="007F2BE3"/>
    <w:rsid w:val="008117E6"/>
    <w:rsid w:val="00841D57"/>
    <w:rsid w:val="0089122C"/>
    <w:rsid w:val="008A069F"/>
    <w:rsid w:val="008C325E"/>
    <w:rsid w:val="00930EAF"/>
    <w:rsid w:val="009A61D0"/>
    <w:rsid w:val="009B3AD4"/>
    <w:rsid w:val="009C4C22"/>
    <w:rsid w:val="009E1575"/>
    <w:rsid w:val="009F6912"/>
    <w:rsid w:val="00A06902"/>
    <w:rsid w:val="00A26FB2"/>
    <w:rsid w:val="00A57C5F"/>
    <w:rsid w:val="00A6439B"/>
    <w:rsid w:val="00A96DA7"/>
    <w:rsid w:val="00AA55F7"/>
    <w:rsid w:val="00AC3B2F"/>
    <w:rsid w:val="00B612E4"/>
    <w:rsid w:val="00BC7BC7"/>
    <w:rsid w:val="00BD090A"/>
    <w:rsid w:val="00BD6254"/>
    <w:rsid w:val="00BE6A93"/>
    <w:rsid w:val="00C1624C"/>
    <w:rsid w:val="00C35E5C"/>
    <w:rsid w:val="00C56995"/>
    <w:rsid w:val="00C95AD0"/>
    <w:rsid w:val="00CC3287"/>
    <w:rsid w:val="00CD1283"/>
    <w:rsid w:val="00D40E65"/>
    <w:rsid w:val="00D47D04"/>
    <w:rsid w:val="00D67A81"/>
    <w:rsid w:val="00D83616"/>
    <w:rsid w:val="00D912F2"/>
    <w:rsid w:val="00DA29CA"/>
    <w:rsid w:val="00DA77DD"/>
    <w:rsid w:val="00DB68AA"/>
    <w:rsid w:val="00DD1A64"/>
    <w:rsid w:val="00DD7CC3"/>
    <w:rsid w:val="00DF3F2D"/>
    <w:rsid w:val="00E0575D"/>
    <w:rsid w:val="00E607EF"/>
    <w:rsid w:val="00E74257"/>
    <w:rsid w:val="00E80E24"/>
    <w:rsid w:val="00E813E7"/>
    <w:rsid w:val="00F1092A"/>
    <w:rsid w:val="00F149DE"/>
    <w:rsid w:val="00F30C16"/>
    <w:rsid w:val="00F410C3"/>
    <w:rsid w:val="00FA31B5"/>
    <w:rsid w:val="00FD51E7"/>
    <w:rsid w:val="00FD7235"/>
    <w:rsid w:val="00FF1609"/>
    <w:rsid w:val="00FF7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2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163"/>
    <w:rPr>
      <w:color w:val="808080"/>
    </w:rPr>
  </w:style>
  <w:style w:type="paragraph" w:customStyle="1" w:styleId="649A56916B454112862F08F8A3C77AA7">
    <w:name w:val="649A56916B454112862F08F8A3C77AA7"/>
    <w:rsid w:val="009C4C22"/>
  </w:style>
  <w:style w:type="paragraph" w:customStyle="1" w:styleId="CD420D300931443BB6D0ABC6F1625731">
    <w:name w:val="CD420D300931443BB6D0ABC6F1625731"/>
    <w:rsid w:val="009C4C22"/>
  </w:style>
  <w:style w:type="paragraph" w:customStyle="1" w:styleId="FA287AD330044128936CE84F0DCFD75A">
    <w:name w:val="FA287AD330044128936CE84F0DCFD75A"/>
    <w:rsid w:val="009C4C22"/>
  </w:style>
  <w:style w:type="paragraph" w:customStyle="1" w:styleId="17152423F7DF459BB0F3BE64FFF131E3">
    <w:name w:val="17152423F7DF459BB0F3BE64FFF131E3"/>
    <w:rsid w:val="00161163"/>
    <w:pPr>
      <w:spacing w:line="278" w:lineRule="auto"/>
    </w:pPr>
    <w:rPr>
      <w:kern w:val="2"/>
      <w:sz w:val="24"/>
      <w:szCs w:val="24"/>
      <w14:ligatures w14:val="standardContextual"/>
    </w:rPr>
  </w:style>
  <w:style w:type="paragraph" w:customStyle="1" w:styleId="3BDDB50259C54054960FC84BB8F43437">
    <w:name w:val="3BDDB50259C54054960FC84BB8F43437"/>
    <w:rsid w:val="00161163"/>
    <w:pPr>
      <w:spacing w:line="278" w:lineRule="auto"/>
    </w:pPr>
    <w:rPr>
      <w:kern w:val="2"/>
      <w:sz w:val="24"/>
      <w:szCs w:val="24"/>
      <w14:ligatures w14:val="standardContextual"/>
    </w:rPr>
  </w:style>
  <w:style w:type="paragraph" w:customStyle="1" w:styleId="9D7E098CA9E1466D8A9717281962FB1A">
    <w:name w:val="9D7E098CA9E1466D8A9717281962FB1A"/>
    <w:rsid w:val="0016116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42133-AF93-4689-93C3-F7704769F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17B81-2598-4DDA-96CD-7BD580AB5354}">
  <ds:schemaRefs>
    <ds:schemaRef ds:uri="http://schemas.microsoft.com/office/2006/metadata/properties"/>
    <ds:schemaRef ds:uri="http://schemas.microsoft.com/office/infopath/2007/PartnerControls"/>
    <ds:schemaRef ds:uri="81c01dc6-2c49-4730-b140-874c95cac377"/>
    <ds:schemaRef ds:uri="2b53c995-2120-4bc0-8922-c25044d37f65"/>
  </ds:schemaRefs>
</ds:datastoreItem>
</file>

<file path=customXml/itemProps3.xml><?xml version="1.0" encoding="utf-8"?>
<ds:datastoreItem xmlns:ds="http://schemas.openxmlformats.org/officeDocument/2006/customXml" ds:itemID="{D1C8C9B7-0FEB-43E8-98F8-7C97FF335E21}">
  <ds:schemaRefs>
    <ds:schemaRef ds:uri="http://schemas.microsoft.com/sharepoint/v3/contenttype/forms"/>
  </ds:schemaRefs>
</ds:datastoreItem>
</file>

<file path=customXml/itemProps4.xml><?xml version="1.0" encoding="utf-8"?>
<ds:datastoreItem xmlns:ds="http://schemas.openxmlformats.org/officeDocument/2006/customXml" ds:itemID="{3388EFF7-9431-4E1E-B607-AB80BB79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4716</Words>
  <Characters>26886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Audit of Plant Export Authorised Officers</vt:lpstr>
    </vt:vector>
  </TitlesOfParts>
  <Company/>
  <LinksUpToDate>false</LinksUpToDate>
  <CharactersWithSpaces>31539</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of Plant Export Authorised Officers</dc:title>
  <dc:subject/>
  <dc:creator>Department of Agriculture, Fisheries and Forestry</dc:creator>
  <cp:keywords/>
  <dc:description/>
  <cp:revision>6</cp:revision>
  <cp:lastPrinted>2025-04-22T02:42:00Z</cp:lastPrinted>
  <dcterms:created xsi:type="dcterms:W3CDTF">2025-04-22T02:42:00Z</dcterms:created>
  <dcterms:modified xsi:type="dcterms:W3CDTF">2025-04-24T04:50:00Z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0x0101008991DB94C8E2E14F9D69CDF9B52A3286</vt:lpwstr>
  </property>
  <property fmtid="{D5CDD505-2E9C-101B-9397-08002B2CF9AE}" pid="5" name="_dlc_DocIdItemGuid">
    <vt:lpwstr>3345e24c-a603-431f-96f9-055bffdc9e93</vt:lpwstr>
  </property>
  <property fmtid="{D5CDD505-2E9C-101B-9397-08002B2CF9AE}" pid="6" name="Entity">
    <vt:lpwstr>6;#Department of Agriculture|5ab835ac-4b11-4ce4-b610-333d04e5f48f</vt:lpwstr>
  </property>
  <property fmtid="{D5CDD505-2E9C-101B-9397-08002B2CF9AE}" pid="7" name="CDMSDocumentType">
    <vt:lpwstr>114;#2.1 Guideline|4e4f7563-6bfd-49eb-b4c6-189a0f865257</vt:lpwstr>
  </property>
  <property fmtid="{D5CDD505-2E9C-101B-9397-08002B2CF9AE}" pid="8" name="Function1">
    <vt:lpwstr>740;#General functionality|bcf8de22-5ba7-46f9-b57a-76966ab34541</vt:lpwstr>
  </property>
  <property fmtid="{D5CDD505-2E9C-101B-9397-08002B2CF9AE}" pid="9" name="BusinessService">
    <vt:lpwstr/>
  </property>
  <property fmtid="{D5CDD505-2E9C-101B-9397-08002B2CF9AE}" pid="10" name="Legislation">
    <vt:lpwstr/>
  </property>
  <property fmtid="{D5CDD505-2E9C-101B-9397-08002B2CF9AE}" pid="11" name="Activities">
    <vt:lpwstr>434;#Authorised officer|ff8c0f54-ad4e-4a3c-b768-a7c181fcc93a</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Dual FAS approval">
    <vt:bool>false</vt:bool>
  </property>
  <property fmtid="{D5CDD505-2E9C-101B-9397-08002B2CF9AE}" pid="15" name="Section">
    <vt:lpwstr>870;#Business Systems Program|9139a30c-ce81-4dfd-9657-4a83e15cb9cb</vt:lpwstr>
  </property>
  <property fmtid="{D5CDD505-2E9C-101B-9397-08002B2CF9AE}" pid="16" name="Branch">
    <vt:lpwstr>845;#Plant Export Operations|49af6338-80ee-4dde-8d87-ab0f74deea08</vt:lpwstr>
  </property>
  <property fmtid="{D5CDD505-2E9C-101B-9397-08002B2CF9AE}" pid="17" name="Division">
    <vt:lpwstr>1151;#Plant and Live Animal Exports|628e55a5-e0e0-4278-90b3-fe613f05f08c</vt:lpwstr>
  </property>
  <property fmtid="{D5CDD505-2E9C-101B-9397-08002B2CF9AE}" pid="18" name="WorkflowCreationPath">
    <vt:lpwstr>680f5786-0236-4809-a685-d604790e1d93;cb241e9c-d163-4bad-ac14-fccbcc53445e;</vt:lpwstr>
  </property>
  <property fmtid="{D5CDD505-2E9C-101B-9397-08002B2CF9AE}" pid="19" name="GUID">
    <vt:lpwstr>74f6a82c-a5d3-4be5-a5ce-033f2c7ff95f</vt:lpwstr>
  </property>
  <property fmtid="{D5CDD505-2E9C-101B-9397-08002B2CF9AE}" pid="20" name="WorkflowChangePath">
    <vt:lpwstr>73e5787b-99bf-4b26-b94b-1666ab266ef0,78;73e5787b-99bf-4b26-b94b-1666ab266ef0,80;4998d2f3-db9c-4ea0-be32-dbbb2ec7efd3,82;4998d2f3-db9c-4ea0-be32-dbbb2ec7efd3,84;4998d2f3-db9c-4ea0-be32-dbbb2ec7efd3,84;4998d2f3-db9c-4ea0-be32-dbbb2ec7efd3,86;4998d2f3-db9c-42df48210-3ab9-4c61-80f8-5fa1083c3cce,114;2df48210-3ab9-4c61-80f8-5fa1083c3cce,114;2df48210-3ab9-4c61-80f8-5fa1083c3cce,116;2df48210-3ab9-4c61-80f8-5fa1083c3cce,118;2df48210-3ab9-4c61-80f8-5fa1083c3cce,118;beb1ecaa-bff8-43a7-9f05-e67177c0e5a3,134;beb1ecaa-bff8-43a7-9f05-e67177c0e5a3,450;93c87db2-e4e6-4bd0-99f3-833c9903e140,518;93c87db2-e4e6-4bd0-99f3-833c9903e140,522;93c87db2-e4e6-4bd0-99f3-833c9903e140,522;93c87db2-e4e6-4bd0-99f3-833c9903e140,524;93c87db2-e4e6-4bd0-99f3-833c9903e140,530;93c87db2-e4e6-4bd0-99f3-833c9903e140,532;93c87db2-e4e6-4bd0-99f3-833c9903e140,532;93c87db2-e4e6-4bd0-99f3-833c9903e140,534;93c87db2-e4e6-4bd0-99f3-833c9903e140,542;44204d69-6808-4ac9-b4f9-c16f44a25b07,546;44204d69-6808-4ac9-b4f9-c16f44a25b07,552;</vt:lpwstr>
  </property>
  <property fmtid="{D5CDD505-2E9C-101B-9397-08002B2CF9AE}" pid="21" name="ClassificationContentMarkingHeaderShapeIds">
    <vt:lpwstr>59973e30,39b0adfa,74b98177</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cef09b6,5298052b,4bd60eae</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933d8be6-3c40-4052-87a2-9c2adcba8759_Enabled">
    <vt:lpwstr>true</vt:lpwstr>
  </property>
  <property fmtid="{D5CDD505-2E9C-101B-9397-08002B2CF9AE}" pid="28" name="MSIP_Label_933d8be6-3c40-4052-87a2-9c2adcba8759_SetDate">
    <vt:lpwstr>2024-10-16T23:44:26Z</vt:lpwstr>
  </property>
  <property fmtid="{D5CDD505-2E9C-101B-9397-08002B2CF9AE}" pid="29" name="MSIP_Label_933d8be6-3c40-4052-87a2-9c2adcba8759_Method">
    <vt:lpwstr>Privileged</vt:lpwstr>
  </property>
  <property fmtid="{D5CDD505-2E9C-101B-9397-08002B2CF9AE}" pid="30" name="MSIP_Label_933d8be6-3c40-4052-87a2-9c2adcba8759_Name">
    <vt:lpwstr>OFFICIAL</vt:lpwstr>
  </property>
  <property fmtid="{D5CDD505-2E9C-101B-9397-08002B2CF9AE}" pid="31" name="MSIP_Label_933d8be6-3c40-4052-87a2-9c2adcba8759_SiteId">
    <vt:lpwstr>2be67eb7-400c-4b3f-a5a1-1258c0da0696</vt:lpwstr>
  </property>
  <property fmtid="{D5CDD505-2E9C-101B-9397-08002B2CF9AE}" pid="32" name="MSIP_Label_933d8be6-3c40-4052-87a2-9c2adcba8759_ActionId">
    <vt:lpwstr>24ba2bea-a981-450f-b284-6efc4861627e</vt:lpwstr>
  </property>
  <property fmtid="{D5CDD505-2E9C-101B-9397-08002B2CF9AE}" pid="33" name="MSIP_Label_933d8be6-3c40-4052-87a2-9c2adcba8759_ContentBits">
    <vt:lpwstr>3</vt:lpwstr>
  </property>
  <property fmtid="{D5CDD505-2E9C-101B-9397-08002B2CF9AE}" pid="34" name="MediaServiceImageTags">
    <vt:lpwstr/>
  </property>
</Properties>
</file>