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54" w:rsidRDefault="001E6054" w:rsidP="00932861">
      <w:r>
        <w:rPr>
          <w:noProof/>
          <w:lang w:eastAsia="en-AU"/>
        </w:rPr>
        <w:drawing>
          <wp:anchor distT="0" distB="0" distL="114300" distR="114300" simplePos="0" relativeHeight="251660288" behindDoc="0" locked="0" layoutInCell="1" allowOverlap="1">
            <wp:simplePos x="0" y="0"/>
            <wp:positionH relativeFrom="column">
              <wp:posOffset>-395605</wp:posOffset>
            </wp:positionH>
            <wp:positionV relativeFrom="paragraph">
              <wp:posOffset>-405130</wp:posOffset>
            </wp:positionV>
            <wp:extent cx="3133725" cy="952500"/>
            <wp:effectExtent l="0" t="0" r="0" b="0"/>
            <wp:wrapNone/>
            <wp:docPr id="2" name="Picture 2" descr="\\pvac01file02\user$\A04108\Profile\Desktop\Dept-the-Environment-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2\user$\A04108\Profile\Desktop\Dept-the-Environment-inline.png"/>
                    <pic:cNvPicPr>
                      <a:picLocks noChangeAspect="1" noChangeArrowheads="1"/>
                    </pic:cNvPicPr>
                  </pic:nvPicPr>
                  <pic:blipFill>
                    <a:blip r:embed="rId11" cstate="print"/>
                    <a:srcRect/>
                    <a:stretch>
                      <a:fillRect/>
                    </a:stretch>
                  </pic:blipFill>
                  <pic:spPr bwMode="auto">
                    <a:xfrm>
                      <a:off x="0" y="0"/>
                      <a:ext cx="3133725" cy="952500"/>
                    </a:xfrm>
                    <a:prstGeom prst="rect">
                      <a:avLst/>
                    </a:prstGeom>
                    <a:noFill/>
                    <a:ln w="9525">
                      <a:noFill/>
                      <a:miter lim="800000"/>
                      <a:headEnd/>
                      <a:tailEnd/>
                    </a:ln>
                  </pic:spPr>
                </pic:pic>
              </a:graphicData>
            </a:graphic>
          </wp:anchor>
        </w:drawing>
      </w:r>
      <w:proofErr w:type="gramStart"/>
      <w:r w:rsidR="00A473E3">
        <w:t>c</w:t>
      </w:r>
      <w:proofErr w:type="gramEnd"/>
    </w:p>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Pr="001E6054" w:rsidRDefault="001E6054" w:rsidP="001E6054"/>
    <w:p w:rsidR="001E6054" w:rsidRDefault="001E6054" w:rsidP="001E6054"/>
    <w:p w:rsidR="006B14DB" w:rsidRDefault="001E6054" w:rsidP="001E6054">
      <w:pPr>
        <w:tabs>
          <w:tab w:val="left" w:pos="1950"/>
        </w:tabs>
        <w:jc w:val="center"/>
        <w:rPr>
          <w:sz w:val="28"/>
          <w:szCs w:val="28"/>
        </w:rPr>
      </w:pPr>
      <w:r w:rsidRPr="001E6054">
        <w:rPr>
          <w:sz w:val="28"/>
          <w:szCs w:val="28"/>
        </w:rPr>
        <w:t>COST RECOVERY IMP</w:t>
      </w:r>
      <w:r w:rsidR="003F4D60">
        <w:rPr>
          <w:sz w:val="28"/>
          <w:szCs w:val="28"/>
        </w:rPr>
        <w:t>ACT</w:t>
      </w:r>
      <w:r w:rsidRPr="001E6054">
        <w:rPr>
          <w:sz w:val="28"/>
          <w:szCs w:val="28"/>
        </w:rPr>
        <w:t xml:space="preserve"> STATEMENT</w:t>
      </w:r>
    </w:p>
    <w:p w:rsidR="001E6054" w:rsidRDefault="001E6054" w:rsidP="001E6054">
      <w:pPr>
        <w:tabs>
          <w:tab w:val="left" w:pos="1950"/>
        </w:tabs>
        <w:jc w:val="center"/>
        <w:rPr>
          <w:b/>
          <w:sz w:val="28"/>
          <w:szCs w:val="28"/>
        </w:rPr>
      </w:pPr>
      <w:r>
        <w:rPr>
          <w:b/>
          <w:sz w:val="28"/>
          <w:szCs w:val="28"/>
        </w:rPr>
        <w:t xml:space="preserve">COST RECOVERY </w:t>
      </w:r>
      <w:r w:rsidR="007976B5">
        <w:rPr>
          <w:b/>
          <w:sz w:val="28"/>
          <w:szCs w:val="28"/>
        </w:rPr>
        <w:t xml:space="preserve">FOR ENVIRONMENTAL ASSESSMENTS </w:t>
      </w:r>
      <w:r>
        <w:rPr>
          <w:b/>
          <w:sz w:val="28"/>
          <w:szCs w:val="28"/>
        </w:rPr>
        <w:t xml:space="preserve">UNDER THE </w:t>
      </w:r>
      <w:r w:rsidRPr="00694AEB">
        <w:rPr>
          <w:b/>
          <w:i/>
          <w:sz w:val="28"/>
          <w:szCs w:val="28"/>
        </w:rPr>
        <w:t>ENVIRONMENT PROTECTION AND BIODIVERSITY CONSERVATION ACT</w:t>
      </w:r>
      <w:r>
        <w:rPr>
          <w:b/>
          <w:sz w:val="28"/>
          <w:szCs w:val="28"/>
        </w:rPr>
        <w:t xml:space="preserve"> 1999</w:t>
      </w:r>
    </w:p>
    <w:p w:rsidR="00E35ADB" w:rsidRDefault="00E35ADB" w:rsidP="001E6054">
      <w:pPr>
        <w:tabs>
          <w:tab w:val="left" w:pos="1950"/>
        </w:tabs>
        <w:jc w:val="center"/>
        <w:rPr>
          <w:b/>
          <w:sz w:val="28"/>
          <w:szCs w:val="28"/>
        </w:rPr>
      </w:pPr>
    </w:p>
    <w:p w:rsidR="00E35ADB" w:rsidRDefault="007976B5" w:rsidP="001E6054">
      <w:pPr>
        <w:tabs>
          <w:tab w:val="left" w:pos="1950"/>
        </w:tabs>
        <w:jc w:val="center"/>
        <w:rPr>
          <w:b/>
          <w:sz w:val="28"/>
          <w:szCs w:val="28"/>
        </w:rPr>
      </w:pPr>
      <w:r>
        <w:rPr>
          <w:b/>
          <w:sz w:val="28"/>
          <w:szCs w:val="28"/>
        </w:rPr>
        <w:t>July 2014 – June 2015</w:t>
      </w: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Pr="00D42A9F" w:rsidRDefault="003E68DF" w:rsidP="001E6054">
      <w:pPr>
        <w:tabs>
          <w:tab w:val="left" w:pos="1950"/>
        </w:tabs>
        <w:jc w:val="center"/>
        <w:rPr>
          <w:b/>
          <w:sz w:val="20"/>
          <w:szCs w:val="20"/>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3E68DF" w:rsidRDefault="003E68DF" w:rsidP="001E6054">
      <w:pPr>
        <w:tabs>
          <w:tab w:val="left" w:pos="1950"/>
        </w:tabs>
        <w:jc w:val="center"/>
        <w:rPr>
          <w:b/>
          <w:sz w:val="28"/>
          <w:szCs w:val="28"/>
        </w:rPr>
      </w:pPr>
    </w:p>
    <w:p w:rsidR="00C205F0" w:rsidRDefault="00C205F0">
      <w:pPr>
        <w:spacing w:after="0" w:line="240" w:lineRule="auto"/>
        <w:sectPr w:rsidR="00C205F0" w:rsidSect="000005C0">
          <w:headerReference w:type="even" r:id="rId12"/>
          <w:headerReference w:type="default"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pPr>
    </w:p>
    <w:sdt>
      <w:sdtPr>
        <w:rPr>
          <w:rFonts w:eastAsia="Calibri" w:cs="Times New Roman"/>
          <w:b w:val="0"/>
          <w:bCs w:val="0"/>
          <w:iCs w:val="0"/>
          <w:color w:val="auto"/>
          <w:lang w:val="en-AU"/>
        </w:rPr>
        <w:id w:val="-1783338213"/>
        <w:docPartObj>
          <w:docPartGallery w:val="Table of Contents"/>
          <w:docPartUnique/>
        </w:docPartObj>
      </w:sdtPr>
      <w:sdtEndPr>
        <w:rPr>
          <w:noProof/>
        </w:rPr>
      </w:sdtEndPr>
      <w:sdtContent>
        <w:p w:rsidR="00394D9E" w:rsidRDefault="00394D9E">
          <w:pPr>
            <w:pStyle w:val="TOCHeading"/>
          </w:pPr>
          <w:r>
            <w:t>Table of Contents</w:t>
          </w:r>
        </w:p>
        <w:p w:rsidR="00730914" w:rsidRDefault="00D30427">
          <w:pPr>
            <w:pStyle w:val="TOC1"/>
            <w:rPr>
              <w:rFonts w:asciiTheme="minorHAnsi" w:eastAsiaTheme="minorEastAsia" w:hAnsiTheme="minorHAnsi" w:cstheme="minorBidi"/>
              <w:noProof/>
              <w:color w:val="auto"/>
              <w:sz w:val="22"/>
              <w:szCs w:val="22"/>
              <w:lang w:eastAsia="en-AU"/>
            </w:rPr>
          </w:pPr>
          <w:r w:rsidRPr="00D30427">
            <w:fldChar w:fldCharType="begin"/>
          </w:r>
          <w:r w:rsidR="00394D9E">
            <w:instrText xml:space="preserve"> TOC \o "1-3" \h \z \u </w:instrText>
          </w:r>
          <w:r w:rsidRPr="00D30427">
            <w:fldChar w:fldCharType="separate"/>
          </w:r>
          <w:hyperlink w:anchor="_Toc391541553" w:history="1">
            <w:r w:rsidR="00730914" w:rsidRPr="001A7AC1">
              <w:rPr>
                <w:rStyle w:val="Hyperlink"/>
                <w:noProof/>
              </w:rPr>
              <w:t>1</w:t>
            </w:r>
            <w:r w:rsidR="00730914">
              <w:rPr>
                <w:rFonts w:asciiTheme="minorHAnsi" w:eastAsiaTheme="minorEastAsia" w:hAnsiTheme="minorHAnsi" w:cstheme="minorBidi"/>
                <w:noProof/>
                <w:color w:val="auto"/>
                <w:sz w:val="22"/>
                <w:szCs w:val="22"/>
                <w:lang w:eastAsia="en-AU"/>
              </w:rPr>
              <w:tab/>
            </w:r>
            <w:r w:rsidR="00730914" w:rsidRPr="001A7AC1">
              <w:rPr>
                <w:rStyle w:val="Hyperlink"/>
                <w:noProof/>
              </w:rPr>
              <w:t>INTRODUCTION</w:t>
            </w:r>
            <w:r w:rsidR="00730914">
              <w:rPr>
                <w:noProof/>
                <w:webHidden/>
              </w:rPr>
              <w:tab/>
            </w:r>
            <w:r>
              <w:rPr>
                <w:noProof/>
                <w:webHidden/>
              </w:rPr>
              <w:fldChar w:fldCharType="begin"/>
            </w:r>
            <w:r w:rsidR="00730914">
              <w:rPr>
                <w:noProof/>
                <w:webHidden/>
              </w:rPr>
              <w:instrText xml:space="preserve"> PAGEREF _Toc391541553 \h </w:instrText>
            </w:r>
            <w:r>
              <w:rPr>
                <w:noProof/>
                <w:webHidden/>
              </w:rPr>
            </w:r>
            <w:r>
              <w:rPr>
                <w:noProof/>
                <w:webHidden/>
              </w:rPr>
              <w:fldChar w:fldCharType="separate"/>
            </w:r>
            <w:r w:rsidR="001D521C">
              <w:rPr>
                <w:noProof/>
                <w:webHidden/>
              </w:rPr>
              <w:t>1</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554" w:history="1">
            <w:r w:rsidR="00730914" w:rsidRPr="001A7AC1">
              <w:rPr>
                <w:rStyle w:val="Hyperlink"/>
                <w:noProof/>
              </w:rPr>
              <w:t>1.1</w:t>
            </w:r>
            <w:r w:rsidR="00730914">
              <w:rPr>
                <w:rFonts w:asciiTheme="minorHAnsi" w:eastAsiaTheme="minorEastAsia" w:hAnsiTheme="minorHAnsi" w:cstheme="minorBidi"/>
                <w:i w:val="0"/>
                <w:noProof/>
                <w:szCs w:val="22"/>
                <w:lang w:eastAsia="en-AU"/>
              </w:rPr>
              <w:tab/>
            </w:r>
            <w:r w:rsidR="00730914" w:rsidRPr="001A7AC1">
              <w:rPr>
                <w:rStyle w:val="Hyperlink"/>
                <w:noProof/>
              </w:rPr>
              <w:t>Purpose of a cost recovery impact statement</w:t>
            </w:r>
            <w:r w:rsidR="00730914">
              <w:rPr>
                <w:noProof/>
                <w:webHidden/>
              </w:rPr>
              <w:tab/>
            </w:r>
            <w:r>
              <w:rPr>
                <w:noProof/>
                <w:webHidden/>
              </w:rPr>
              <w:fldChar w:fldCharType="begin"/>
            </w:r>
            <w:r w:rsidR="00730914">
              <w:rPr>
                <w:noProof/>
                <w:webHidden/>
              </w:rPr>
              <w:instrText xml:space="preserve"> PAGEREF _Toc391541554 \h </w:instrText>
            </w:r>
            <w:r>
              <w:rPr>
                <w:noProof/>
                <w:webHidden/>
              </w:rPr>
            </w:r>
            <w:r>
              <w:rPr>
                <w:noProof/>
                <w:webHidden/>
              </w:rPr>
              <w:fldChar w:fldCharType="separate"/>
            </w:r>
            <w:r w:rsidR="001D521C">
              <w:rPr>
                <w:noProof/>
                <w:webHidden/>
              </w:rPr>
              <w:t>1</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555" w:history="1">
            <w:r w:rsidR="00730914" w:rsidRPr="001A7AC1">
              <w:rPr>
                <w:rStyle w:val="Hyperlink"/>
                <w:noProof/>
              </w:rPr>
              <w:t>1.2</w:t>
            </w:r>
            <w:r w:rsidR="00730914">
              <w:rPr>
                <w:rFonts w:asciiTheme="minorHAnsi" w:eastAsiaTheme="minorEastAsia" w:hAnsiTheme="minorHAnsi" w:cstheme="minorBidi"/>
                <w:i w:val="0"/>
                <w:noProof/>
                <w:szCs w:val="22"/>
                <w:lang w:eastAsia="en-AU"/>
              </w:rPr>
              <w:tab/>
            </w:r>
            <w:r w:rsidR="00730914" w:rsidRPr="001A7AC1">
              <w:rPr>
                <w:rStyle w:val="Hyperlink"/>
                <w:noProof/>
              </w:rPr>
              <w:t>Description of the activity</w:t>
            </w:r>
            <w:r w:rsidR="00730914">
              <w:rPr>
                <w:noProof/>
                <w:webHidden/>
              </w:rPr>
              <w:tab/>
            </w:r>
            <w:r>
              <w:rPr>
                <w:noProof/>
                <w:webHidden/>
              </w:rPr>
              <w:fldChar w:fldCharType="begin"/>
            </w:r>
            <w:r w:rsidR="00730914">
              <w:rPr>
                <w:noProof/>
                <w:webHidden/>
              </w:rPr>
              <w:instrText xml:space="preserve"> PAGEREF _Toc391541555 \h </w:instrText>
            </w:r>
            <w:r>
              <w:rPr>
                <w:noProof/>
                <w:webHidden/>
              </w:rPr>
            </w:r>
            <w:r>
              <w:rPr>
                <w:noProof/>
                <w:webHidden/>
              </w:rPr>
              <w:fldChar w:fldCharType="separate"/>
            </w:r>
            <w:r w:rsidR="001D521C">
              <w:rPr>
                <w:noProof/>
                <w:webHidden/>
              </w:rPr>
              <w:t>1</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56" w:history="1">
            <w:r w:rsidR="00730914" w:rsidRPr="001A7AC1">
              <w:rPr>
                <w:rStyle w:val="Hyperlink"/>
                <w:noProof/>
              </w:rPr>
              <w:t>1.2.1</w:t>
            </w:r>
            <w:r w:rsidR="00730914">
              <w:rPr>
                <w:rFonts w:asciiTheme="minorHAnsi" w:hAnsiTheme="minorHAnsi"/>
                <w:noProof/>
              </w:rPr>
              <w:tab/>
            </w:r>
            <w:r w:rsidR="00730914" w:rsidRPr="001A7AC1">
              <w:rPr>
                <w:rStyle w:val="Hyperlink"/>
                <w:noProof/>
              </w:rPr>
              <w:t>Design of cost recovery arrangements</w:t>
            </w:r>
            <w:r w:rsidR="00730914">
              <w:rPr>
                <w:noProof/>
                <w:webHidden/>
              </w:rPr>
              <w:tab/>
            </w:r>
            <w:r>
              <w:rPr>
                <w:noProof/>
                <w:webHidden/>
              </w:rPr>
              <w:fldChar w:fldCharType="begin"/>
            </w:r>
            <w:r w:rsidR="00730914">
              <w:rPr>
                <w:noProof/>
                <w:webHidden/>
              </w:rPr>
              <w:instrText xml:space="preserve"> PAGEREF _Toc391541556 \h </w:instrText>
            </w:r>
            <w:r>
              <w:rPr>
                <w:noProof/>
                <w:webHidden/>
              </w:rPr>
            </w:r>
            <w:r>
              <w:rPr>
                <w:noProof/>
                <w:webHidden/>
              </w:rPr>
              <w:fldChar w:fldCharType="separate"/>
            </w:r>
            <w:r w:rsidR="001D521C">
              <w:rPr>
                <w:noProof/>
                <w:webHidden/>
              </w:rPr>
              <w:t>2</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57" w:history="1">
            <w:r w:rsidR="00730914" w:rsidRPr="001A7AC1">
              <w:rPr>
                <w:rStyle w:val="Hyperlink"/>
                <w:noProof/>
              </w:rPr>
              <w:t>1.2.2</w:t>
            </w:r>
            <w:r w:rsidR="00730914">
              <w:rPr>
                <w:rFonts w:asciiTheme="minorHAnsi" w:hAnsiTheme="minorHAnsi"/>
                <w:noProof/>
              </w:rPr>
              <w:tab/>
            </w:r>
            <w:r w:rsidR="00730914" w:rsidRPr="001A7AC1">
              <w:rPr>
                <w:rStyle w:val="Hyperlink"/>
                <w:noProof/>
              </w:rPr>
              <w:t>Who pays the fees</w:t>
            </w:r>
            <w:r w:rsidR="00730914">
              <w:rPr>
                <w:noProof/>
                <w:webHidden/>
              </w:rPr>
              <w:tab/>
            </w:r>
            <w:r>
              <w:rPr>
                <w:noProof/>
                <w:webHidden/>
              </w:rPr>
              <w:fldChar w:fldCharType="begin"/>
            </w:r>
            <w:r w:rsidR="00730914">
              <w:rPr>
                <w:noProof/>
                <w:webHidden/>
              </w:rPr>
              <w:instrText xml:space="preserve"> PAGEREF _Toc391541557 \h </w:instrText>
            </w:r>
            <w:r>
              <w:rPr>
                <w:noProof/>
                <w:webHidden/>
              </w:rPr>
            </w:r>
            <w:r>
              <w:rPr>
                <w:noProof/>
                <w:webHidden/>
              </w:rPr>
              <w:fldChar w:fldCharType="separate"/>
            </w:r>
            <w:r w:rsidR="001D521C">
              <w:rPr>
                <w:noProof/>
                <w:webHidden/>
              </w:rPr>
              <w:t>3</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58" w:history="1">
            <w:r w:rsidR="00730914" w:rsidRPr="001A7AC1">
              <w:rPr>
                <w:rStyle w:val="Hyperlink"/>
                <w:noProof/>
              </w:rPr>
              <w:t>1.2.3</w:t>
            </w:r>
            <w:r w:rsidR="00730914">
              <w:rPr>
                <w:rFonts w:asciiTheme="minorHAnsi" w:hAnsiTheme="minorHAnsi"/>
                <w:noProof/>
              </w:rPr>
              <w:tab/>
            </w:r>
            <w:r w:rsidR="00730914" w:rsidRPr="001A7AC1">
              <w:rPr>
                <w:rStyle w:val="Hyperlink"/>
                <w:noProof/>
              </w:rPr>
              <w:t>Inter/intra governmental charging</w:t>
            </w:r>
            <w:r w:rsidR="00730914">
              <w:rPr>
                <w:noProof/>
                <w:webHidden/>
              </w:rPr>
              <w:tab/>
            </w:r>
            <w:r>
              <w:rPr>
                <w:noProof/>
                <w:webHidden/>
              </w:rPr>
              <w:fldChar w:fldCharType="begin"/>
            </w:r>
            <w:r w:rsidR="00730914">
              <w:rPr>
                <w:noProof/>
                <w:webHidden/>
              </w:rPr>
              <w:instrText xml:space="preserve"> PAGEREF _Toc391541558 \h </w:instrText>
            </w:r>
            <w:r>
              <w:rPr>
                <w:noProof/>
                <w:webHidden/>
              </w:rPr>
            </w:r>
            <w:r>
              <w:rPr>
                <w:noProof/>
                <w:webHidden/>
              </w:rPr>
              <w:fldChar w:fldCharType="separate"/>
            </w:r>
            <w:r w:rsidR="001D521C">
              <w:rPr>
                <w:noProof/>
                <w:webHidden/>
              </w:rPr>
              <w:t>3</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559" w:history="1">
            <w:r w:rsidR="00730914" w:rsidRPr="001A7AC1">
              <w:rPr>
                <w:rStyle w:val="Hyperlink"/>
                <w:noProof/>
              </w:rPr>
              <w:t>1.3</w:t>
            </w:r>
            <w:r w:rsidR="00730914">
              <w:rPr>
                <w:rFonts w:asciiTheme="minorHAnsi" w:eastAsiaTheme="minorEastAsia" w:hAnsiTheme="minorHAnsi" w:cstheme="minorBidi"/>
                <w:i w:val="0"/>
                <w:noProof/>
                <w:szCs w:val="22"/>
                <w:lang w:eastAsia="en-AU"/>
              </w:rPr>
              <w:tab/>
            </w:r>
            <w:r w:rsidR="00730914" w:rsidRPr="001A7AC1">
              <w:rPr>
                <w:rStyle w:val="Hyperlink"/>
                <w:noProof/>
              </w:rPr>
              <w:t>Background to cost recovery under the Environment Protection and Biodiversity Conservation Act 1999 (Cth)</w:t>
            </w:r>
            <w:r w:rsidR="00730914">
              <w:rPr>
                <w:noProof/>
                <w:webHidden/>
              </w:rPr>
              <w:tab/>
            </w:r>
            <w:r>
              <w:rPr>
                <w:noProof/>
                <w:webHidden/>
              </w:rPr>
              <w:fldChar w:fldCharType="begin"/>
            </w:r>
            <w:r w:rsidR="00730914">
              <w:rPr>
                <w:noProof/>
                <w:webHidden/>
              </w:rPr>
              <w:instrText xml:space="preserve"> PAGEREF _Toc391541559 \h </w:instrText>
            </w:r>
            <w:r>
              <w:rPr>
                <w:noProof/>
                <w:webHidden/>
              </w:rPr>
            </w:r>
            <w:r>
              <w:rPr>
                <w:noProof/>
                <w:webHidden/>
              </w:rPr>
              <w:fldChar w:fldCharType="separate"/>
            </w:r>
            <w:r w:rsidR="001D521C">
              <w:rPr>
                <w:noProof/>
                <w:webHidden/>
              </w:rPr>
              <w:t>3</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560" w:history="1">
            <w:r w:rsidR="00730914" w:rsidRPr="001A7AC1">
              <w:rPr>
                <w:rStyle w:val="Hyperlink"/>
                <w:noProof/>
              </w:rPr>
              <w:t>1.4</w:t>
            </w:r>
            <w:r w:rsidR="00730914">
              <w:rPr>
                <w:rFonts w:asciiTheme="minorHAnsi" w:eastAsiaTheme="minorEastAsia" w:hAnsiTheme="minorHAnsi" w:cstheme="minorBidi"/>
                <w:i w:val="0"/>
                <w:noProof/>
                <w:szCs w:val="22"/>
                <w:lang w:eastAsia="en-AU"/>
              </w:rPr>
              <w:tab/>
            </w:r>
            <w:r w:rsidR="00730914" w:rsidRPr="001A7AC1">
              <w:rPr>
                <w:rStyle w:val="Hyperlink"/>
                <w:noProof/>
              </w:rPr>
              <w:t>Australian Government Cost Recovery Guidelines</w:t>
            </w:r>
            <w:r w:rsidR="00730914">
              <w:rPr>
                <w:noProof/>
                <w:webHidden/>
              </w:rPr>
              <w:tab/>
            </w:r>
            <w:r>
              <w:rPr>
                <w:noProof/>
                <w:webHidden/>
              </w:rPr>
              <w:fldChar w:fldCharType="begin"/>
            </w:r>
            <w:r w:rsidR="00730914">
              <w:rPr>
                <w:noProof/>
                <w:webHidden/>
              </w:rPr>
              <w:instrText xml:space="preserve"> PAGEREF _Toc391541560 \h </w:instrText>
            </w:r>
            <w:r>
              <w:rPr>
                <w:noProof/>
                <w:webHidden/>
              </w:rPr>
            </w:r>
            <w:r>
              <w:rPr>
                <w:noProof/>
                <w:webHidden/>
              </w:rPr>
              <w:fldChar w:fldCharType="separate"/>
            </w:r>
            <w:r w:rsidR="001D521C">
              <w:rPr>
                <w:noProof/>
                <w:webHidden/>
              </w:rPr>
              <w:t>4</w:t>
            </w:r>
            <w:r>
              <w:rPr>
                <w:noProof/>
                <w:webHidden/>
              </w:rPr>
              <w:fldChar w:fldCharType="end"/>
            </w:r>
          </w:hyperlink>
        </w:p>
        <w:p w:rsidR="00730914" w:rsidRDefault="00D30427">
          <w:pPr>
            <w:pStyle w:val="TOC1"/>
            <w:rPr>
              <w:rFonts w:asciiTheme="minorHAnsi" w:eastAsiaTheme="minorEastAsia" w:hAnsiTheme="minorHAnsi" w:cstheme="minorBidi"/>
              <w:noProof/>
              <w:color w:val="auto"/>
              <w:sz w:val="22"/>
              <w:szCs w:val="22"/>
              <w:lang w:eastAsia="en-AU"/>
            </w:rPr>
          </w:pPr>
          <w:hyperlink w:anchor="_Toc391541561" w:history="1">
            <w:r w:rsidR="00730914" w:rsidRPr="001A7AC1">
              <w:rPr>
                <w:rStyle w:val="Hyperlink"/>
                <w:noProof/>
              </w:rPr>
              <w:t>2</w:t>
            </w:r>
            <w:r w:rsidR="00730914">
              <w:rPr>
                <w:rFonts w:asciiTheme="minorHAnsi" w:eastAsiaTheme="minorEastAsia" w:hAnsiTheme="minorHAnsi" w:cstheme="minorBidi"/>
                <w:noProof/>
                <w:color w:val="auto"/>
                <w:sz w:val="22"/>
                <w:szCs w:val="22"/>
                <w:lang w:eastAsia="en-AU"/>
              </w:rPr>
              <w:tab/>
            </w:r>
            <w:r w:rsidR="00730914" w:rsidRPr="001A7AC1">
              <w:rPr>
                <w:rStyle w:val="Hyperlink"/>
                <w:noProof/>
              </w:rPr>
              <w:t>POLICY AND STATUTORY AUTHORITY TO RECOVER</w:t>
            </w:r>
            <w:r w:rsidR="00730914">
              <w:rPr>
                <w:noProof/>
                <w:webHidden/>
              </w:rPr>
              <w:tab/>
            </w:r>
            <w:r>
              <w:rPr>
                <w:noProof/>
                <w:webHidden/>
              </w:rPr>
              <w:fldChar w:fldCharType="begin"/>
            </w:r>
            <w:r w:rsidR="00730914">
              <w:rPr>
                <w:noProof/>
                <w:webHidden/>
              </w:rPr>
              <w:instrText xml:space="preserve"> PAGEREF _Toc391541561 \h </w:instrText>
            </w:r>
            <w:r>
              <w:rPr>
                <w:noProof/>
                <w:webHidden/>
              </w:rPr>
            </w:r>
            <w:r>
              <w:rPr>
                <w:noProof/>
                <w:webHidden/>
              </w:rPr>
              <w:fldChar w:fldCharType="separate"/>
            </w:r>
            <w:r w:rsidR="001D521C">
              <w:rPr>
                <w:noProof/>
                <w:webHidden/>
              </w:rPr>
              <w:t>6</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562" w:history="1">
            <w:r w:rsidR="00730914" w:rsidRPr="001A7AC1">
              <w:rPr>
                <w:rStyle w:val="Hyperlink"/>
                <w:noProof/>
              </w:rPr>
              <w:t>2.1</w:t>
            </w:r>
            <w:r w:rsidR="00730914">
              <w:rPr>
                <w:rFonts w:asciiTheme="minorHAnsi" w:eastAsiaTheme="minorEastAsia" w:hAnsiTheme="minorHAnsi" w:cstheme="minorBidi"/>
                <w:i w:val="0"/>
                <w:noProof/>
                <w:szCs w:val="22"/>
                <w:lang w:eastAsia="en-AU"/>
              </w:rPr>
              <w:tab/>
            </w:r>
            <w:r w:rsidR="00730914" w:rsidRPr="001A7AC1">
              <w:rPr>
                <w:rStyle w:val="Hyperlink"/>
                <w:noProof/>
              </w:rPr>
              <w:t>Government Policy and Statutory Authority to cost recover environmental impact assessments</w:t>
            </w:r>
            <w:r w:rsidR="00730914">
              <w:rPr>
                <w:noProof/>
                <w:webHidden/>
              </w:rPr>
              <w:tab/>
            </w:r>
            <w:r>
              <w:rPr>
                <w:noProof/>
                <w:webHidden/>
              </w:rPr>
              <w:fldChar w:fldCharType="begin"/>
            </w:r>
            <w:r w:rsidR="00730914">
              <w:rPr>
                <w:noProof/>
                <w:webHidden/>
              </w:rPr>
              <w:instrText xml:space="preserve"> PAGEREF _Toc391541562 \h </w:instrText>
            </w:r>
            <w:r>
              <w:rPr>
                <w:noProof/>
                <w:webHidden/>
              </w:rPr>
            </w:r>
            <w:r>
              <w:rPr>
                <w:noProof/>
                <w:webHidden/>
              </w:rPr>
              <w:fldChar w:fldCharType="separate"/>
            </w:r>
            <w:r w:rsidR="001D521C">
              <w:rPr>
                <w:noProof/>
                <w:webHidden/>
              </w:rPr>
              <w:t>6</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63" w:history="1">
            <w:r w:rsidR="00730914" w:rsidRPr="001A7AC1">
              <w:rPr>
                <w:rStyle w:val="Hyperlink"/>
                <w:noProof/>
              </w:rPr>
              <w:t>2.1.1</w:t>
            </w:r>
            <w:r w:rsidR="00730914">
              <w:rPr>
                <w:rFonts w:asciiTheme="minorHAnsi" w:hAnsiTheme="minorHAnsi"/>
                <w:noProof/>
              </w:rPr>
              <w:tab/>
            </w:r>
            <w:r w:rsidR="00730914" w:rsidRPr="001A7AC1">
              <w:rPr>
                <w:rStyle w:val="Hyperlink"/>
                <w:noProof/>
              </w:rPr>
              <w:t>Government policy approval to cost recover environmental impact assessments</w:t>
            </w:r>
            <w:r w:rsidR="00730914">
              <w:rPr>
                <w:noProof/>
                <w:webHidden/>
              </w:rPr>
              <w:tab/>
            </w:r>
            <w:r>
              <w:rPr>
                <w:noProof/>
                <w:webHidden/>
              </w:rPr>
              <w:fldChar w:fldCharType="begin"/>
            </w:r>
            <w:r w:rsidR="00730914">
              <w:rPr>
                <w:noProof/>
                <w:webHidden/>
              </w:rPr>
              <w:instrText xml:space="preserve"> PAGEREF _Toc391541563 \h </w:instrText>
            </w:r>
            <w:r>
              <w:rPr>
                <w:noProof/>
                <w:webHidden/>
              </w:rPr>
            </w:r>
            <w:r>
              <w:rPr>
                <w:noProof/>
                <w:webHidden/>
              </w:rPr>
              <w:fldChar w:fldCharType="separate"/>
            </w:r>
            <w:r w:rsidR="001D521C">
              <w:rPr>
                <w:noProof/>
                <w:webHidden/>
              </w:rPr>
              <w:t>6</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64" w:history="1">
            <w:r w:rsidR="00730914" w:rsidRPr="001A7AC1">
              <w:rPr>
                <w:rStyle w:val="Hyperlink"/>
                <w:noProof/>
              </w:rPr>
              <w:t>2.1.2</w:t>
            </w:r>
            <w:r w:rsidR="00730914">
              <w:rPr>
                <w:rFonts w:asciiTheme="minorHAnsi" w:hAnsiTheme="minorHAnsi"/>
                <w:noProof/>
              </w:rPr>
              <w:tab/>
            </w:r>
            <w:r w:rsidR="00730914" w:rsidRPr="001A7AC1">
              <w:rPr>
                <w:rStyle w:val="Hyperlink"/>
                <w:noProof/>
              </w:rPr>
              <w:t>Statutory authority to impose cost recovery charges</w:t>
            </w:r>
            <w:r w:rsidR="00730914">
              <w:rPr>
                <w:noProof/>
                <w:webHidden/>
              </w:rPr>
              <w:tab/>
            </w:r>
            <w:r>
              <w:rPr>
                <w:noProof/>
                <w:webHidden/>
              </w:rPr>
              <w:fldChar w:fldCharType="begin"/>
            </w:r>
            <w:r w:rsidR="00730914">
              <w:rPr>
                <w:noProof/>
                <w:webHidden/>
              </w:rPr>
              <w:instrText xml:space="preserve"> PAGEREF _Toc391541564 \h </w:instrText>
            </w:r>
            <w:r>
              <w:rPr>
                <w:noProof/>
                <w:webHidden/>
              </w:rPr>
            </w:r>
            <w:r>
              <w:rPr>
                <w:noProof/>
                <w:webHidden/>
              </w:rPr>
              <w:fldChar w:fldCharType="separate"/>
            </w:r>
            <w:r w:rsidR="001D521C">
              <w:rPr>
                <w:noProof/>
                <w:webHidden/>
              </w:rPr>
              <w:t>6</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65" w:history="1">
            <w:r w:rsidR="00730914" w:rsidRPr="001A7AC1">
              <w:rPr>
                <w:rStyle w:val="Hyperlink"/>
                <w:noProof/>
              </w:rPr>
              <w:t>2.1.3</w:t>
            </w:r>
            <w:r w:rsidR="00730914">
              <w:rPr>
                <w:rFonts w:asciiTheme="minorHAnsi" w:hAnsiTheme="minorHAnsi"/>
                <w:noProof/>
              </w:rPr>
              <w:tab/>
            </w:r>
            <w:r w:rsidR="00730914" w:rsidRPr="001A7AC1">
              <w:rPr>
                <w:rStyle w:val="Hyperlink"/>
                <w:noProof/>
              </w:rPr>
              <w:t>Basis of charging – fee or levy</w:t>
            </w:r>
            <w:r w:rsidR="00730914">
              <w:rPr>
                <w:noProof/>
                <w:webHidden/>
              </w:rPr>
              <w:tab/>
            </w:r>
            <w:r>
              <w:rPr>
                <w:noProof/>
                <w:webHidden/>
              </w:rPr>
              <w:fldChar w:fldCharType="begin"/>
            </w:r>
            <w:r w:rsidR="00730914">
              <w:rPr>
                <w:noProof/>
                <w:webHidden/>
              </w:rPr>
              <w:instrText xml:space="preserve"> PAGEREF _Toc391541565 \h </w:instrText>
            </w:r>
            <w:r>
              <w:rPr>
                <w:noProof/>
                <w:webHidden/>
              </w:rPr>
            </w:r>
            <w:r>
              <w:rPr>
                <w:noProof/>
                <w:webHidden/>
              </w:rPr>
              <w:fldChar w:fldCharType="separate"/>
            </w:r>
            <w:r w:rsidR="001D521C">
              <w:rPr>
                <w:noProof/>
                <w:webHidden/>
              </w:rPr>
              <w:t>6</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66" w:history="1">
            <w:r w:rsidR="00730914" w:rsidRPr="001A7AC1">
              <w:rPr>
                <w:rStyle w:val="Hyperlink"/>
                <w:noProof/>
              </w:rPr>
              <w:t>2.1.4</w:t>
            </w:r>
            <w:r w:rsidR="00730914">
              <w:rPr>
                <w:rFonts w:asciiTheme="minorHAnsi" w:hAnsiTheme="minorHAnsi"/>
                <w:noProof/>
              </w:rPr>
              <w:tab/>
            </w:r>
            <w:r w:rsidR="00730914" w:rsidRPr="001A7AC1">
              <w:rPr>
                <w:rStyle w:val="Hyperlink"/>
                <w:noProof/>
              </w:rPr>
              <w:t>Commencement of charging for environmental impact assessments</w:t>
            </w:r>
            <w:r w:rsidR="00730914">
              <w:rPr>
                <w:noProof/>
                <w:webHidden/>
              </w:rPr>
              <w:tab/>
            </w:r>
            <w:r>
              <w:rPr>
                <w:noProof/>
                <w:webHidden/>
              </w:rPr>
              <w:fldChar w:fldCharType="begin"/>
            </w:r>
            <w:r w:rsidR="00730914">
              <w:rPr>
                <w:noProof/>
                <w:webHidden/>
              </w:rPr>
              <w:instrText xml:space="preserve"> PAGEREF _Toc391541566 \h </w:instrText>
            </w:r>
            <w:r>
              <w:rPr>
                <w:noProof/>
                <w:webHidden/>
              </w:rPr>
            </w:r>
            <w:r>
              <w:rPr>
                <w:noProof/>
                <w:webHidden/>
              </w:rPr>
              <w:fldChar w:fldCharType="separate"/>
            </w:r>
            <w:r w:rsidR="001D521C">
              <w:rPr>
                <w:noProof/>
                <w:webHidden/>
              </w:rPr>
              <w:t>7</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67" w:history="1">
            <w:r w:rsidR="00730914" w:rsidRPr="001A7AC1">
              <w:rPr>
                <w:rStyle w:val="Hyperlink"/>
                <w:noProof/>
              </w:rPr>
              <w:t>2.1.5</w:t>
            </w:r>
            <w:r w:rsidR="00730914">
              <w:rPr>
                <w:rFonts w:asciiTheme="minorHAnsi" w:hAnsiTheme="minorHAnsi"/>
                <w:noProof/>
              </w:rPr>
              <w:tab/>
            </w:r>
            <w:r w:rsidR="00730914" w:rsidRPr="001A7AC1">
              <w:rPr>
                <w:rStyle w:val="Hyperlink"/>
                <w:noProof/>
              </w:rPr>
              <w:t>Users and stakeholders (environmental impact assessments)</w:t>
            </w:r>
            <w:r w:rsidR="00730914">
              <w:rPr>
                <w:noProof/>
                <w:webHidden/>
              </w:rPr>
              <w:tab/>
            </w:r>
            <w:r>
              <w:rPr>
                <w:noProof/>
                <w:webHidden/>
              </w:rPr>
              <w:fldChar w:fldCharType="begin"/>
            </w:r>
            <w:r w:rsidR="00730914">
              <w:rPr>
                <w:noProof/>
                <w:webHidden/>
              </w:rPr>
              <w:instrText xml:space="preserve"> PAGEREF _Toc391541567 \h </w:instrText>
            </w:r>
            <w:r>
              <w:rPr>
                <w:noProof/>
                <w:webHidden/>
              </w:rPr>
            </w:r>
            <w:r>
              <w:rPr>
                <w:noProof/>
                <w:webHidden/>
              </w:rPr>
              <w:fldChar w:fldCharType="separate"/>
            </w:r>
            <w:r w:rsidR="001D521C">
              <w:rPr>
                <w:noProof/>
                <w:webHidden/>
              </w:rPr>
              <w:t>7</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568" w:history="1">
            <w:r w:rsidR="00730914" w:rsidRPr="001A7AC1">
              <w:rPr>
                <w:rStyle w:val="Hyperlink"/>
                <w:noProof/>
              </w:rPr>
              <w:t>2.2</w:t>
            </w:r>
            <w:r w:rsidR="00730914">
              <w:rPr>
                <w:rFonts w:asciiTheme="minorHAnsi" w:eastAsiaTheme="minorEastAsia" w:hAnsiTheme="minorHAnsi" w:cstheme="minorBidi"/>
                <w:i w:val="0"/>
                <w:noProof/>
                <w:szCs w:val="22"/>
                <w:lang w:eastAsia="en-AU"/>
              </w:rPr>
              <w:tab/>
            </w:r>
            <w:r w:rsidR="00730914" w:rsidRPr="001A7AC1">
              <w:rPr>
                <w:rStyle w:val="Hyperlink"/>
                <w:noProof/>
              </w:rPr>
              <w:t>Government Policy and Statutory Authority to cost recover Strategic Assessments</w:t>
            </w:r>
            <w:r w:rsidR="00730914">
              <w:rPr>
                <w:noProof/>
                <w:webHidden/>
              </w:rPr>
              <w:tab/>
            </w:r>
            <w:r>
              <w:rPr>
                <w:noProof/>
                <w:webHidden/>
              </w:rPr>
              <w:fldChar w:fldCharType="begin"/>
            </w:r>
            <w:r w:rsidR="00730914">
              <w:rPr>
                <w:noProof/>
                <w:webHidden/>
              </w:rPr>
              <w:instrText xml:space="preserve"> PAGEREF _Toc391541568 \h </w:instrText>
            </w:r>
            <w:r>
              <w:rPr>
                <w:noProof/>
                <w:webHidden/>
              </w:rPr>
            </w:r>
            <w:r>
              <w:rPr>
                <w:noProof/>
                <w:webHidden/>
              </w:rPr>
              <w:fldChar w:fldCharType="separate"/>
            </w:r>
            <w:r w:rsidR="001D521C">
              <w:rPr>
                <w:noProof/>
                <w:webHidden/>
              </w:rPr>
              <w:t>8</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69" w:history="1">
            <w:r w:rsidR="00730914" w:rsidRPr="001A7AC1">
              <w:rPr>
                <w:rStyle w:val="Hyperlink"/>
                <w:noProof/>
                <w:lang w:val="en-US"/>
              </w:rPr>
              <w:t>2.2.1</w:t>
            </w:r>
            <w:r w:rsidR="00730914">
              <w:rPr>
                <w:rFonts w:asciiTheme="minorHAnsi" w:hAnsiTheme="minorHAnsi"/>
                <w:noProof/>
              </w:rPr>
              <w:tab/>
            </w:r>
            <w:r w:rsidR="00730914" w:rsidRPr="001A7AC1">
              <w:rPr>
                <w:rStyle w:val="Hyperlink"/>
                <w:noProof/>
              </w:rPr>
              <w:t>Policy rationale for strategic assessments</w:t>
            </w:r>
            <w:r w:rsidR="00730914">
              <w:rPr>
                <w:noProof/>
                <w:webHidden/>
              </w:rPr>
              <w:tab/>
            </w:r>
            <w:r>
              <w:rPr>
                <w:noProof/>
                <w:webHidden/>
              </w:rPr>
              <w:fldChar w:fldCharType="begin"/>
            </w:r>
            <w:r w:rsidR="00730914">
              <w:rPr>
                <w:noProof/>
                <w:webHidden/>
              </w:rPr>
              <w:instrText xml:space="preserve"> PAGEREF _Toc391541569 \h </w:instrText>
            </w:r>
            <w:r>
              <w:rPr>
                <w:noProof/>
                <w:webHidden/>
              </w:rPr>
            </w:r>
            <w:r>
              <w:rPr>
                <w:noProof/>
                <w:webHidden/>
              </w:rPr>
              <w:fldChar w:fldCharType="separate"/>
            </w:r>
            <w:r w:rsidR="001D521C">
              <w:rPr>
                <w:noProof/>
                <w:webHidden/>
              </w:rPr>
              <w:t>8</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70" w:history="1">
            <w:r w:rsidR="00730914" w:rsidRPr="001A7AC1">
              <w:rPr>
                <w:rStyle w:val="Hyperlink"/>
                <w:noProof/>
              </w:rPr>
              <w:t>2.2.2</w:t>
            </w:r>
            <w:r w:rsidR="00730914">
              <w:rPr>
                <w:rFonts w:asciiTheme="minorHAnsi" w:hAnsiTheme="minorHAnsi"/>
                <w:noProof/>
              </w:rPr>
              <w:tab/>
            </w:r>
            <w:r w:rsidR="00730914" w:rsidRPr="001A7AC1">
              <w:rPr>
                <w:rStyle w:val="Hyperlink"/>
                <w:noProof/>
              </w:rPr>
              <w:t>Statutory authority to impose cost recovery charges</w:t>
            </w:r>
            <w:r w:rsidR="00730914">
              <w:rPr>
                <w:noProof/>
                <w:webHidden/>
              </w:rPr>
              <w:tab/>
            </w:r>
            <w:r>
              <w:rPr>
                <w:noProof/>
                <w:webHidden/>
              </w:rPr>
              <w:fldChar w:fldCharType="begin"/>
            </w:r>
            <w:r w:rsidR="00730914">
              <w:rPr>
                <w:noProof/>
                <w:webHidden/>
              </w:rPr>
              <w:instrText xml:space="preserve"> PAGEREF _Toc391541570 \h </w:instrText>
            </w:r>
            <w:r>
              <w:rPr>
                <w:noProof/>
                <w:webHidden/>
              </w:rPr>
            </w:r>
            <w:r>
              <w:rPr>
                <w:noProof/>
                <w:webHidden/>
              </w:rPr>
              <w:fldChar w:fldCharType="separate"/>
            </w:r>
            <w:r w:rsidR="001D521C">
              <w:rPr>
                <w:noProof/>
                <w:webHidden/>
              </w:rPr>
              <w:t>9</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71" w:history="1">
            <w:r w:rsidR="00730914" w:rsidRPr="001A7AC1">
              <w:rPr>
                <w:rStyle w:val="Hyperlink"/>
                <w:noProof/>
              </w:rPr>
              <w:t>2.2.3</w:t>
            </w:r>
            <w:r w:rsidR="00730914">
              <w:rPr>
                <w:rFonts w:asciiTheme="minorHAnsi" w:hAnsiTheme="minorHAnsi"/>
                <w:noProof/>
              </w:rPr>
              <w:tab/>
            </w:r>
            <w:r w:rsidR="00730914" w:rsidRPr="001A7AC1">
              <w:rPr>
                <w:rStyle w:val="Hyperlink"/>
                <w:noProof/>
              </w:rPr>
              <w:t>Legal requirements for the imposition of charges for strategic assessments</w:t>
            </w:r>
            <w:r w:rsidR="00730914">
              <w:rPr>
                <w:noProof/>
                <w:webHidden/>
              </w:rPr>
              <w:tab/>
            </w:r>
            <w:r>
              <w:rPr>
                <w:noProof/>
                <w:webHidden/>
              </w:rPr>
              <w:fldChar w:fldCharType="begin"/>
            </w:r>
            <w:r w:rsidR="00730914">
              <w:rPr>
                <w:noProof/>
                <w:webHidden/>
              </w:rPr>
              <w:instrText xml:space="preserve"> PAGEREF _Toc391541571 \h </w:instrText>
            </w:r>
            <w:r>
              <w:rPr>
                <w:noProof/>
                <w:webHidden/>
              </w:rPr>
            </w:r>
            <w:r>
              <w:rPr>
                <w:noProof/>
                <w:webHidden/>
              </w:rPr>
              <w:fldChar w:fldCharType="separate"/>
            </w:r>
            <w:r w:rsidR="001D521C">
              <w:rPr>
                <w:noProof/>
                <w:webHidden/>
              </w:rPr>
              <w:t>9</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72" w:history="1">
            <w:r w:rsidR="00730914" w:rsidRPr="001A7AC1">
              <w:rPr>
                <w:rStyle w:val="Hyperlink"/>
                <w:noProof/>
              </w:rPr>
              <w:t>2.2.4</w:t>
            </w:r>
            <w:r w:rsidR="00730914">
              <w:rPr>
                <w:rFonts w:asciiTheme="minorHAnsi" w:hAnsiTheme="minorHAnsi"/>
                <w:noProof/>
              </w:rPr>
              <w:tab/>
            </w:r>
            <w:r w:rsidR="00730914" w:rsidRPr="001A7AC1">
              <w:rPr>
                <w:rStyle w:val="Hyperlink"/>
                <w:noProof/>
              </w:rPr>
              <w:t>Commencement of charging for strategic assessments</w:t>
            </w:r>
            <w:r w:rsidR="00730914">
              <w:rPr>
                <w:noProof/>
                <w:webHidden/>
              </w:rPr>
              <w:tab/>
            </w:r>
            <w:r>
              <w:rPr>
                <w:noProof/>
                <w:webHidden/>
              </w:rPr>
              <w:fldChar w:fldCharType="begin"/>
            </w:r>
            <w:r w:rsidR="00730914">
              <w:rPr>
                <w:noProof/>
                <w:webHidden/>
              </w:rPr>
              <w:instrText xml:space="preserve"> PAGEREF _Toc391541572 \h </w:instrText>
            </w:r>
            <w:r>
              <w:rPr>
                <w:noProof/>
                <w:webHidden/>
              </w:rPr>
            </w:r>
            <w:r>
              <w:rPr>
                <w:noProof/>
                <w:webHidden/>
              </w:rPr>
              <w:fldChar w:fldCharType="separate"/>
            </w:r>
            <w:r w:rsidR="001D521C">
              <w:rPr>
                <w:noProof/>
                <w:webHidden/>
              </w:rPr>
              <w:t>9</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73" w:history="1">
            <w:r w:rsidR="00730914" w:rsidRPr="001A7AC1">
              <w:rPr>
                <w:rStyle w:val="Hyperlink"/>
                <w:noProof/>
              </w:rPr>
              <w:t>2.2.5</w:t>
            </w:r>
            <w:r w:rsidR="00730914">
              <w:rPr>
                <w:rFonts w:asciiTheme="minorHAnsi" w:hAnsiTheme="minorHAnsi"/>
                <w:noProof/>
              </w:rPr>
              <w:tab/>
            </w:r>
            <w:r w:rsidR="00730914" w:rsidRPr="001A7AC1">
              <w:rPr>
                <w:rStyle w:val="Hyperlink"/>
                <w:noProof/>
              </w:rPr>
              <w:t>Users and stakeholders (strategic assessments)</w:t>
            </w:r>
            <w:r w:rsidR="00730914">
              <w:rPr>
                <w:noProof/>
                <w:webHidden/>
              </w:rPr>
              <w:tab/>
            </w:r>
            <w:r>
              <w:rPr>
                <w:noProof/>
                <w:webHidden/>
              </w:rPr>
              <w:fldChar w:fldCharType="begin"/>
            </w:r>
            <w:r w:rsidR="00730914">
              <w:rPr>
                <w:noProof/>
                <w:webHidden/>
              </w:rPr>
              <w:instrText xml:space="preserve"> PAGEREF _Toc391541573 \h </w:instrText>
            </w:r>
            <w:r>
              <w:rPr>
                <w:noProof/>
                <w:webHidden/>
              </w:rPr>
            </w:r>
            <w:r>
              <w:rPr>
                <w:noProof/>
                <w:webHidden/>
              </w:rPr>
              <w:fldChar w:fldCharType="separate"/>
            </w:r>
            <w:r w:rsidR="001D521C">
              <w:rPr>
                <w:noProof/>
                <w:webHidden/>
              </w:rPr>
              <w:t>9</w:t>
            </w:r>
            <w:r>
              <w:rPr>
                <w:noProof/>
                <w:webHidden/>
              </w:rPr>
              <w:fldChar w:fldCharType="end"/>
            </w:r>
          </w:hyperlink>
        </w:p>
        <w:p w:rsidR="00730914" w:rsidRDefault="00D30427">
          <w:pPr>
            <w:pStyle w:val="TOC1"/>
            <w:rPr>
              <w:rFonts w:asciiTheme="minorHAnsi" w:eastAsiaTheme="minorEastAsia" w:hAnsiTheme="minorHAnsi" w:cstheme="minorBidi"/>
              <w:noProof/>
              <w:color w:val="auto"/>
              <w:sz w:val="22"/>
              <w:szCs w:val="22"/>
              <w:lang w:eastAsia="en-AU"/>
            </w:rPr>
          </w:pPr>
          <w:hyperlink w:anchor="_Toc391541574" w:history="1">
            <w:r w:rsidR="00730914" w:rsidRPr="001A7AC1">
              <w:rPr>
                <w:rStyle w:val="Hyperlink"/>
                <w:noProof/>
              </w:rPr>
              <w:t>3</w:t>
            </w:r>
            <w:r w:rsidR="00730914">
              <w:rPr>
                <w:rFonts w:asciiTheme="minorHAnsi" w:eastAsiaTheme="minorEastAsia" w:hAnsiTheme="minorHAnsi" w:cstheme="minorBidi"/>
                <w:noProof/>
                <w:color w:val="auto"/>
                <w:sz w:val="22"/>
                <w:szCs w:val="22"/>
                <w:lang w:eastAsia="en-AU"/>
              </w:rPr>
              <w:tab/>
            </w:r>
            <w:r w:rsidR="00730914" w:rsidRPr="001A7AC1">
              <w:rPr>
                <w:rStyle w:val="Hyperlink"/>
                <w:noProof/>
              </w:rPr>
              <w:t>COST RECOVERY MODEL</w:t>
            </w:r>
            <w:r w:rsidR="00730914">
              <w:rPr>
                <w:noProof/>
                <w:webHidden/>
              </w:rPr>
              <w:tab/>
            </w:r>
            <w:r>
              <w:rPr>
                <w:noProof/>
                <w:webHidden/>
              </w:rPr>
              <w:fldChar w:fldCharType="begin"/>
            </w:r>
            <w:r w:rsidR="00730914">
              <w:rPr>
                <w:noProof/>
                <w:webHidden/>
              </w:rPr>
              <w:instrText xml:space="preserve"> PAGEREF _Toc391541574 \h </w:instrText>
            </w:r>
            <w:r>
              <w:rPr>
                <w:noProof/>
                <w:webHidden/>
              </w:rPr>
            </w:r>
            <w:r>
              <w:rPr>
                <w:noProof/>
                <w:webHidden/>
              </w:rPr>
              <w:fldChar w:fldCharType="separate"/>
            </w:r>
            <w:r w:rsidR="001D521C">
              <w:rPr>
                <w:noProof/>
                <w:webHidden/>
              </w:rPr>
              <w:t>10</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575" w:history="1">
            <w:r w:rsidR="00730914" w:rsidRPr="001A7AC1">
              <w:rPr>
                <w:rStyle w:val="Hyperlink"/>
                <w:noProof/>
              </w:rPr>
              <w:t>3.1</w:t>
            </w:r>
            <w:r w:rsidR="00730914">
              <w:rPr>
                <w:rFonts w:asciiTheme="minorHAnsi" w:eastAsiaTheme="minorEastAsia" w:hAnsiTheme="minorHAnsi" w:cstheme="minorBidi"/>
                <w:i w:val="0"/>
                <w:noProof/>
                <w:szCs w:val="22"/>
                <w:lang w:eastAsia="en-AU"/>
              </w:rPr>
              <w:tab/>
            </w:r>
            <w:r w:rsidR="00730914" w:rsidRPr="001A7AC1">
              <w:rPr>
                <w:rStyle w:val="Hyperlink"/>
                <w:noProof/>
              </w:rPr>
              <w:t>Outputs of the activity – environmental impact assessments</w:t>
            </w:r>
            <w:r w:rsidR="00730914">
              <w:rPr>
                <w:noProof/>
                <w:webHidden/>
              </w:rPr>
              <w:tab/>
            </w:r>
            <w:r>
              <w:rPr>
                <w:noProof/>
                <w:webHidden/>
              </w:rPr>
              <w:fldChar w:fldCharType="begin"/>
            </w:r>
            <w:r w:rsidR="00730914">
              <w:rPr>
                <w:noProof/>
                <w:webHidden/>
              </w:rPr>
              <w:instrText xml:space="preserve"> PAGEREF _Toc391541575 \h </w:instrText>
            </w:r>
            <w:r>
              <w:rPr>
                <w:noProof/>
                <w:webHidden/>
              </w:rPr>
            </w:r>
            <w:r>
              <w:rPr>
                <w:noProof/>
                <w:webHidden/>
              </w:rPr>
              <w:fldChar w:fldCharType="separate"/>
            </w:r>
            <w:r w:rsidR="001D521C">
              <w:rPr>
                <w:noProof/>
                <w:webHidden/>
              </w:rPr>
              <w:t>11</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76" w:history="1">
            <w:r w:rsidR="00730914" w:rsidRPr="001A7AC1">
              <w:rPr>
                <w:rStyle w:val="Hyperlink"/>
                <w:noProof/>
              </w:rPr>
              <w:t>3.1.1</w:t>
            </w:r>
            <w:r w:rsidR="00730914">
              <w:rPr>
                <w:rFonts w:asciiTheme="minorHAnsi" w:hAnsiTheme="minorHAnsi"/>
                <w:noProof/>
              </w:rPr>
              <w:tab/>
            </w:r>
            <w:r w:rsidR="00730914" w:rsidRPr="001A7AC1">
              <w:rPr>
                <w:rStyle w:val="Hyperlink"/>
                <w:noProof/>
              </w:rPr>
              <w:t>Description of activity - environmental impact assessments</w:t>
            </w:r>
            <w:r w:rsidR="00730914">
              <w:rPr>
                <w:noProof/>
                <w:webHidden/>
              </w:rPr>
              <w:tab/>
            </w:r>
            <w:r>
              <w:rPr>
                <w:noProof/>
                <w:webHidden/>
              </w:rPr>
              <w:fldChar w:fldCharType="begin"/>
            </w:r>
            <w:r w:rsidR="00730914">
              <w:rPr>
                <w:noProof/>
                <w:webHidden/>
              </w:rPr>
              <w:instrText xml:space="preserve"> PAGEREF _Toc391541576 \h </w:instrText>
            </w:r>
            <w:r>
              <w:rPr>
                <w:noProof/>
                <w:webHidden/>
              </w:rPr>
            </w:r>
            <w:r>
              <w:rPr>
                <w:noProof/>
                <w:webHidden/>
              </w:rPr>
              <w:fldChar w:fldCharType="separate"/>
            </w:r>
            <w:r w:rsidR="001D521C">
              <w:rPr>
                <w:noProof/>
                <w:webHidden/>
              </w:rPr>
              <w:t>11</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77" w:history="1">
            <w:r w:rsidR="00730914" w:rsidRPr="001A7AC1">
              <w:rPr>
                <w:rStyle w:val="Hyperlink"/>
                <w:noProof/>
                <w:lang w:val="en-US"/>
              </w:rPr>
              <w:t>3.1.2</w:t>
            </w:r>
            <w:r w:rsidR="00730914">
              <w:rPr>
                <w:rFonts w:asciiTheme="minorHAnsi" w:hAnsiTheme="minorHAnsi"/>
                <w:noProof/>
              </w:rPr>
              <w:tab/>
            </w:r>
            <w:r w:rsidR="00730914" w:rsidRPr="001A7AC1">
              <w:rPr>
                <w:rStyle w:val="Hyperlink"/>
                <w:noProof/>
                <w:lang w:val="en-US"/>
              </w:rPr>
              <w:t>Model assumptions - environmental impact assessments</w:t>
            </w:r>
            <w:r w:rsidR="00730914">
              <w:rPr>
                <w:noProof/>
                <w:webHidden/>
              </w:rPr>
              <w:tab/>
            </w:r>
            <w:r>
              <w:rPr>
                <w:noProof/>
                <w:webHidden/>
              </w:rPr>
              <w:fldChar w:fldCharType="begin"/>
            </w:r>
            <w:r w:rsidR="00730914">
              <w:rPr>
                <w:noProof/>
                <w:webHidden/>
              </w:rPr>
              <w:instrText xml:space="preserve"> PAGEREF _Toc391541577 \h </w:instrText>
            </w:r>
            <w:r>
              <w:rPr>
                <w:noProof/>
                <w:webHidden/>
              </w:rPr>
            </w:r>
            <w:r>
              <w:rPr>
                <w:noProof/>
                <w:webHidden/>
              </w:rPr>
              <w:fldChar w:fldCharType="separate"/>
            </w:r>
            <w:r w:rsidR="001D521C">
              <w:rPr>
                <w:noProof/>
                <w:webHidden/>
              </w:rPr>
              <w:t>12</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578" w:history="1">
            <w:r w:rsidR="00730914" w:rsidRPr="001A7AC1">
              <w:rPr>
                <w:rStyle w:val="Hyperlink"/>
                <w:noProof/>
              </w:rPr>
              <w:t>3.2</w:t>
            </w:r>
            <w:r w:rsidR="00730914">
              <w:rPr>
                <w:rFonts w:asciiTheme="minorHAnsi" w:eastAsiaTheme="minorEastAsia" w:hAnsiTheme="minorHAnsi" w:cstheme="minorBidi"/>
                <w:i w:val="0"/>
                <w:noProof/>
                <w:szCs w:val="22"/>
                <w:lang w:eastAsia="en-AU"/>
              </w:rPr>
              <w:tab/>
            </w:r>
            <w:r w:rsidR="00730914" w:rsidRPr="001A7AC1">
              <w:rPr>
                <w:rStyle w:val="Hyperlink"/>
                <w:noProof/>
              </w:rPr>
              <w:t>Efficient costs - environmental impact assessments</w:t>
            </w:r>
            <w:r w:rsidR="00730914">
              <w:rPr>
                <w:noProof/>
                <w:webHidden/>
              </w:rPr>
              <w:tab/>
            </w:r>
            <w:r>
              <w:rPr>
                <w:noProof/>
                <w:webHidden/>
              </w:rPr>
              <w:fldChar w:fldCharType="begin"/>
            </w:r>
            <w:r w:rsidR="00730914">
              <w:rPr>
                <w:noProof/>
                <w:webHidden/>
              </w:rPr>
              <w:instrText xml:space="preserve"> PAGEREF _Toc391541578 \h </w:instrText>
            </w:r>
            <w:r>
              <w:rPr>
                <w:noProof/>
                <w:webHidden/>
              </w:rPr>
            </w:r>
            <w:r>
              <w:rPr>
                <w:noProof/>
                <w:webHidden/>
              </w:rPr>
              <w:fldChar w:fldCharType="separate"/>
            </w:r>
            <w:r w:rsidR="001D521C">
              <w:rPr>
                <w:noProof/>
                <w:webHidden/>
              </w:rPr>
              <w:t>12</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79" w:history="1">
            <w:r w:rsidR="00730914" w:rsidRPr="001A7AC1">
              <w:rPr>
                <w:rStyle w:val="Hyperlink"/>
                <w:noProof/>
                <w:lang w:val="en-US"/>
              </w:rPr>
              <w:t>3.2.1</w:t>
            </w:r>
            <w:r w:rsidR="00730914">
              <w:rPr>
                <w:rFonts w:asciiTheme="minorHAnsi" w:hAnsiTheme="minorHAnsi"/>
                <w:noProof/>
              </w:rPr>
              <w:tab/>
            </w:r>
            <w:r w:rsidR="00730914" w:rsidRPr="001A7AC1">
              <w:rPr>
                <w:rStyle w:val="Hyperlink"/>
                <w:noProof/>
                <w:lang w:val="en-US"/>
              </w:rPr>
              <w:t>Base costs</w:t>
            </w:r>
            <w:r w:rsidR="00730914">
              <w:rPr>
                <w:noProof/>
                <w:webHidden/>
              </w:rPr>
              <w:tab/>
            </w:r>
            <w:r>
              <w:rPr>
                <w:noProof/>
                <w:webHidden/>
              </w:rPr>
              <w:fldChar w:fldCharType="begin"/>
            </w:r>
            <w:r w:rsidR="00730914">
              <w:rPr>
                <w:noProof/>
                <w:webHidden/>
              </w:rPr>
              <w:instrText xml:space="preserve"> PAGEREF _Toc391541579 \h </w:instrText>
            </w:r>
            <w:r>
              <w:rPr>
                <w:noProof/>
                <w:webHidden/>
              </w:rPr>
            </w:r>
            <w:r>
              <w:rPr>
                <w:noProof/>
                <w:webHidden/>
              </w:rPr>
              <w:fldChar w:fldCharType="separate"/>
            </w:r>
            <w:r w:rsidR="001D521C">
              <w:rPr>
                <w:noProof/>
                <w:webHidden/>
              </w:rPr>
              <w:t>12</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80" w:history="1">
            <w:r w:rsidR="00730914" w:rsidRPr="001A7AC1">
              <w:rPr>
                <w:rStyle w:val="Hyperlink"/>
                <w:noProof/>
              </w:rPr>
              <w:t>3.2.2</w:t>
            </w:r>
            <w:r w:rsidR="00730914">
              <w:rPr>
                <w:rFonts w:asciiTheme="minorHAnsi" w:hAnsiTheme="minorHAnsi"/>
                <w:noProof/>
              </w:rPr>
              <w:tab/>
            </w:r>
            <w:r w:rsidR="00730914" w:rsidRPr="001A7AC1">
              <w:rPr>
                <w:rStyle w:val="Hyperlink"/>
                <w:noProof/>
              </w:rPr>
              <w:t>Complexity costs</w:t>
            </w:r>
            <w:r w:rsidR="00730914">
              <w:rPr>
                <w:noProof/>
                <w:webHidden/>
              </w:rPr>
              <w:tab/>
            </w:r>
            <w:r>
              <w:rPr>
                <w:noProof/>
                <w:webHidden/>
              </w:rPr>
              <w:fldChar w:fldCharType="begin"/>
            </w:r>
            <w:r w:rsidR="00730914">
              <w:rPr>
                <w:noProof/>
                <w:webHidden/>
              </w:rPr>
              <w:instrText xml:space="preserve"> PAGEREF _Toc391541580 \h </w:instrText>
            </w:r>
            <w:r>
              <w:rPr>
                <w:noProof/>
                <w:webHidden/>
              </w:rPr>
            </w:r>
            <w:r>
              <w:rPr>
                <w:noProof/>
                <w:webHidden/>
              </w:rPr>
              <w:fldChar w:fldCharType="separate"/>
            </w:r>
            <w:r w:rsidR="001D521C">
              <w:rPr>
                <w:noProof/>
                <w:webHidden/>
              </w:rPr>
              <w:t>15</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581" w:history="1">
            <w:r w:rsidR="00730914" w:rsidRPr="001A7AC1">
              <w:rPr>
                <w:rStyle w:val="Hyperlink"/>
                <w:noProof/>
              </w:rPr>
              <w:t>3.3</w:t>
            </w:r>
            <w:r w:rsidR="00730914">
              <w:rPr>
                <w:rFonts w:asciiTheme="minorHAnsi" w:eastAsiaTheme="minorEastAsia" w:hAnsiTheme="minorHAnsi" w:cstheme="minorBidi"/>
                <w:i w:val="0"/>
                <w:noProof/>
                <w:szCs w:val="22"/>
                <w:lang w:eastAsia="en-AU"/>
              </w:rPr>
              <w:tab/>
            </w:r>
            <w:r w:rsidR="00730914" w:rsidRPr="001A7AC1">
              <w:rPr>
                <w:rStyle w:val="Hyperlink"/>
                <w:noProof/>
              </w:rPr>
              <w:t>Charges for the activity – environmental impact assessments</w:t>
            </w:r>
            <w:r w:rsidR="00730914">
              <w:rPr>
                <w:noProof/>
                <w:webHidden/>
              </w:rPr>
              <w:tab/>
            </w:r>
            <w:r>
              <w:rPr>
                <w:noProof/>
                <w:webHidden/>
              </w:rPr>
              <w:fldChar w:fldCharType="begin"/>
            </w:r>
            <w:r w:rsidR="00730914">
              <w:rPr>
                <w:noProof/>
                <w:webHidden/>
              </w:rPr>
              <w:instrText xml:space="preserve"> PAGEREF _Toc391541581 \h </w:instrText>
            </w:r>
            <w:r>
              <w:rPr>
                <w:noProof/>
                <w:webHidden/>
              </w:rPr>
            </w:r>
            <w:r>
              <w:rPr>
                <w:noProof/>
                <w:webHidden/>
              </w:rPr>
              <w:fldChar w:fldCharType="separate"/>
            </w:r>
            <w:r w:rsidR="001D521C">
              <w:rPr>
                <w:noProof/>
                <w:webHidden/>
              </w:rPr>
              <w:t>21</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82" w:history="1">
            <w:r w:rsidR="00730914" w:rsidRPr="001A7AC1">
              <w:rPr>
                <w:rStyle w:val="Hyperlink"/>
                <w:noProof/>
              </w:rPr>
              <w:t>3.3.1</w:t>
            </w:r>
            <w:r w:rsidR="00730914">
              <w:rPr>
                <w:rFonts w:asciiTheme="minorHAnsi" w:hAnsiTheme="minorHAnsi"/>
                <w:noProof/>
              </w:rPr>
              <w:tab/>
            </w:r>
            <w:r w:rsidR="00730914" w:rsidRPr="001A7AC1">
              <w:rPr>
                <w:rStyle w:val="Hyperlink"/>
                <w:noProof/>
              </w:rPr>
              <w:t>Schedule of fees and charges for environmental impact assessment</w:t>
            </w:r>
            <w:r w:rsidR="00730914">
              <w:rPr>
                <w:noProof/>
                <w:webHidden/>
              </w:rPr>
              <w:tab/>
            </w:r>
            <w:r>
              <w:rPr>
                <w:noProof/>
                <w:webHidden/>
              </w:rPr>
              <w:fldChar w:fldCharType="begin"/>
            </w:r>
            <w:r w:rsidR="00730914">
              <w:rPr>
                <w:noProof/>
                <w:webHidden/>
              </w:rPr>
              <w:instrText xml:space="preserve"> PAGEREF _Toc391541582 \h </w:instrText>
            </w:r>
            <w:r>
              <w:rPr>
                <w:noProof/>
                <w:webHidden/>
              </w:rPr>
            </w:r>
            <w:r>
              <w:rPr>
                <w:noProof/>
                <w:webHidden/>
              </w:rPr>
              <w:fldChar w:fldCharType="separate"/>
            </w:r>
            <w:r w:rsidR="001D521C">
              <w:rPr>
                <w:noProof/>
                <w:webHidden/>
              </w:rPr>
              <w:t>21</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83" w:history="1">
            <w:r w:rsidR="00730914" w:rsidRPr="001A7AC1">
              <w:rPr>
                <w:rStyle w:val="Hyperlink"/>
                <w:noProof/>
              </w:rPr>
              <w:t>3.3.2</w:t>
            </w:r>
            <w:r w:rsidR="00730914">
              <w:rPr>
                <w:rFonts w:asciiTheme="minorHAnsi" w:hAnsiTheme="minorHAnsi"/>
                <w:noProof/>
              </w:rPr>
              <w:tab/>
            </w:r>
            <w:r w:rsidR="00730914" w:rsidRPr="001A7AC1">
              <w:rPr>
                <w:rStyle w:val="Hyperlink"/>
                <w:noProof/>
              </w:rPr>
              <w:t>Referrals</w:t>
            </w:r>
            <w:r w:rsidR="00730914">
              <w:rPr>
                <w:noProof/>
                <w:webHidden/>
              </w:rPr>
              <w:tab/>
            </w:r>
            <w:r>
              <w:rPr>
                <w:noProof/>
                <w:webHidden/>
              </w:rPr>
              <w:fldChar w:fldCharType="begin"/>
            </w:r>
            <w:r w:rsidR="00730914">
              <w:rPr>
                <w:noProof/>
                <w:webHidden/>
              </w:rPr>
              <w:instrText xml:space="preserve"> PAGEREF _Toc391541583 \h </w:instrText>
            </w:r>
            <w:r>
              <w:rPr>
                <w:noProof/>
                <w:webHidden/>
              </w:rPr>
            </w:r>
            <w:r>
              <w:rPr>
                <w:noProof/>
                <w:webHidden/>
              </w:rPr>
              <w:fldChar w:fldCharType="separate"/>
            </w:r>
            <w:r w:rsidR="001D521C">
              <w:rPr>
                <w:noProof/>
                <w:webHidden/>
              </w:rPr>
              <w:t>22</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84" w:history="1">
            <w:r w:rsidR="00730914" w:rsidRPr="001A7AC1">
              <w:rPr>
                <w:rStyle w:val="Hyperlink"/>
                <w:noProof/>
              </w:rPr>
              <w:t>3.3.3</w:t>
            </w:r>
            <w:r w:rsidR="00730914">
              <w:rPr>
                <w:rFonts w:asciiTheme="minorHAnsi" w:hAnsiTheme="minorHAnsi"/>
                <w:noProof/>
              </w:rPr>
              <w:tab/>
            </w:r>
            <w:r w:rsidR="00730914" w:rsidRPr="001A7AC1">
              <w:rPr>
                <w:rStyle w:val="Hyperlink"/>
                <w:noProof/>
              </w:rPr>
              <w:t>Assessment processes</w:t>
            </w:r>
            <w:r w:rsidR="00730914">
              <w:rPr>
                <w:noProof/>
                <w:webHidden/>
              </w:rPr>
              <w:tab/>
            </w:r>
            <w:r>
              <w:rPr>
                <w:noProof/>
                <w:webHidden/>
              </w:rPr>
              <w:fldChar w:fldCharType="begin"/>
            </w:r>
            <w:r w:rsidR="00730914">
              <w:rPr>
                <w:noProof/>
                <w:webHidden/>
              </w:rPr>
              <w:instrText xml:space="preserve"> PAGEREF _Toc391541584 \h </w:instrText>
            </w:r>
            <w:r>
              <w:rPr>
                <w:noProof/>
                <w:webHidden/>
              </w:rPr>
            </w:r>
            <w:r>
              <w:rPr>
                <w:noProof/>
                <w:webHidden/>
              </w:rPr>
              <w:fldChar w:fldCharType="separate"/>
            </w:r>
            <w:r w:rsidR="001D521C">
              <w:rPr>
                <w:noProof/>
                <w:webHidden/>
              </w:rPr>
              <w:t>23</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85" w:history="1">
            <w:r w:rsidR="00730914" w:rsidRPr="001A7AC1">
              <w:rPr>
                <w:rStyle w:val="Hyperlink"/>
                <w:noProof/>
              </w:rPr>
              <w:t>3.3.4</w:t>
            </w:r>
            <w:r w:rsidR="00730914">
              <w:rPr>
                <w:rFonts w:asciiTheme="minorHAnsi" w:hAnsiTheme="minorHAnsi"/>
                <w:noProof/>
              </w:rPr>
              <w:tab/>
            </w:r>
            <w:r w:rsidR="00730914" w:rsidRPr="001A7AC1">
              <w:rPr>
                <w:rStyle w:val="Hyperlink"/>
                <w:noProof/>
              </w:rPr>
              <w:t>Assessment on referral information</w:t>
            </w:r>
            <w:r w:rsidR="00730914">
              <w:rPr>
                <w:noProof/>
                <w:webHidden/>
              </w:rPr>
              <w:tab/>
            </w:r>
            <w:r>
              <w:rPr>
                <w:noProof/>
                <w:webHidden/>
              </w:rPr>
              <w:fldChar w:fldCharType="begin"/>
            </w:r>
            <w:r w:rsidR="00730914">
              <w:rPr>
                <w:noProof/>
                <w:webHidden/>
              </w:rPr>
              <w:instrText xml:space="preserve"> PAGEREF _Toc391541585 \h </w:instrText>
            </w:r>
            <w:r>
              <w:rPr>
                <w:noProof/>
                <w:webHidden/>
              </w:rPr>
            </w:r>
            <w:r>
              <w:rPr>
                <w:noProof/>
                <w:webHidden/>
              </w:rPr>
              <w:fldChar w:fldCharType="separate"/>
            </w:r>
            <w:r w:rsidR="001D521C">
              <w:rPr>
                <w:noProof/>
                <w:webHidden/>
              </w:rPr>
              <w:t>24</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86" w:history="1">
            <w:r w:rsidR="00730914" w:rsidRPr="001A7AC1">
              <w:rPr>
                <w:rStyle w:val="Hyperlink"/>
                <w:noProof/>
              </w:rPr>
              <w:t>3.3.5</w:t>
            </w:r>
            <w:r w:rsidR="00730914">
              <w:rPr>
                <w:rFonts w:asciiTheme="minorHAnsi" w:hAnsiTheme="minorHAnsi"/>
                <w:noProof/>
              </w:rPr>
              <w:tab/>
            </w:r>
            <w:r w:rsidR="00730914" w:rsidRPr="001A7AC1">
              <w:rPr>
                <w:rStyle w:val="Hyperlink"/>
                <w:noProof/>
              </w:rPr>
              <w:t>Assessment on preliminary documentation</w:t>
            </w:r>
            <w:r w:rsidR="00730914">
              <w:rPr>
                <w:noProof/>
                <w:webHidden/>
              </w:rPr>
              <w:tab/>
            </w:r>
            <w:r>
              <w:rPr>
                <w:noProof/>
                <w:webHidden/>
              </w:rPr>
              <w:fldChar w:fldCharType="begin"/>
            </w:r>
            <w:r w:rsidR="00730914">
              <w:rPr>
                <w:noProof/>
                <w:webHidden/>
              </w:rPr>
              <w:instrText xml:space="preserve"> PAGEREF _Toc391541586 \h </w:instrText>
            </w:r>
            <w:r>
              <w:rPr>
                <w:noProof/>
                <w:webHidden/>
              </w:rPr>
            </w:r>
            <w:r>
              <w:rPr>
                <w:noProof/>
                <w:webHidden/>
              </w:rPr>
              <w:fldChar w:fldCharType="separate"/>
            </w:r>
            <w:r w:rsidR="001D521C">
              <w:rPr>
                <w:noProof/>
                <w:webHidden/>
              </w:rPr>
              <w:t>28</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87" w:history="1">
            <w:r w:rsidR="00730914" w:rsidRPr="001A7AC1">
              <w:rPr>
                <w:rStyle w:val="Hyperlink"/>
                <w:noProof/>
              </w:rPr>
              <w:t>3.3.6</w:t>
            </w:r>
            <w:r w:rsidR="00730914">
              <w:rPr>
                <w:rFonts w:asciiTheme="minorHAnsi" w:hAnsiTheme="minorHAnsi"/>
                <w:noProof/>
              </w:rPr>
              <w:tab/>
            </w:r>
            <w:r w:rsidR="00730914" w:rsidRPr="001A7AC1">
              <w:rPr>
                <w:rStyle w:val="Hyperlink"/>
                <w:noProof/>
              </w:rPr>
              <w:t>Public Environmental Report / Environmental Impact Statement</w:t>
            </w:r>
            <w:r w:rsidR="00730914">
              <w:rPr>
                <w:noProof/>
                <w:webHidden/>
              </w:rPr>
              <w:tab/>
            </w:r>
            <w:r>
              <w:rPr>
                <w:noProof/>
                <w:webHidden/>
              </w:rPr>
              <w:fldChar w:fldCharType="begin"/>
            </w:r>
            <w:r w:rsidR="00730914">
              <w:rPr>
                <w:noProof/>
                <w:webHidden/>
              </w:rPr>
              <w:instrText xml:space="preserve"> PAGEREF _Toc391541587 \h </w:instrText>
            </w:r>
            <w:r>
              <w:rPr>
                <w:noProof/>
                <w:webHidden/>
              </w:rPr>
            </w:r>
            <w:r>
              <w:rPr>
                <w:noProof/>
                <w:webHidden/>
              </w:rPr>
              <w:fldChar w:fldCharType="separate"/>
            </w:r>
            <w:r w:rsidR="001D521C">
              <w:rPr>
                <w:noProof/>
                <w:webHidden/>
              </w:rPr>
              <w:t>33</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88" w:history="1">
            <w:r w:rsidR="00730914" w:rsidRPr="001A7AC1">
              <w:rPr>
                <w:rStyle w:val="Hyperlink"/>
                <w:noProof/>
              </w:rPr>
              <w:t>3.3.7</w:t>
            </w:r>
            <w:r w:rsidR="00730914">
              <w:rPr>
                <w:rFonts w:asciiTheme="minorHAnsi" w:hAnsiTheme="minorHAnsi"/>
                <w:noProof/>
              </w:rPr>
              <w:tab/>
            </w:r>
            <w:r w:rsidR="00730914" w:rsidRPr="001A7AC1">
              <w:rPr>
                <w:rStyle w:val="Hyperlink"/>
                <w:noProof/>
              </w:rPr>
              <w:t>Assessment bilateral agreement/Accredited assessment</w:t>
            </w:r>
            <w:r w:rsidR="00730914">
              <w:rPr>
                <w:noProof/>
                <w:webHidden/>
              </w:rPr>
              <w:tab/>
            </w:r>
            <w:r>
              <w:rPr>
                <w:noProof/>
                <w:webHidden/>
              </w:rPr>
              <w:fldChar w:fldCharType="begin"/>
            </w:r>
            <w:r w:rsidR="00730914">
              <w:rPr>
                <w:noProof/>
                <w:webHidden/>
              </w:rPr>
              <w:instrText xml:space="preserve"> PAGEREF _Toc391541588 \h </w:instrText>
            </w:r>
            <w:r>
              <w:rPr>
                <w:noProof/>
                <w:webHidden/>
              </w:rPr>
            </w:r>
            <w:r>
              <w:rPr>
                <w:noProof/>
                <w:webHidden/>
              </w:rPr>
              <w:fldChar w:fldCharType="separate"/>
            </w:r>
            <w:r w:rsidR="001D521C">
              <w:rPr>
                <w:noProof/>
                <w:webHidden/>
              </w:rPr>
              <w:t>38</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89" w:history="1">
            <w:r w:rsidR="00730914" w:rsidRPr="001A7AC1">
              <w:rPr>
                <w:rStyle w:val="Hyperlink"/>
                <w:noProof/>
              </w:rPr>
              <w:t>3.3.8</w:t>
            </w:r>
            <w:r w:rsidR="00730914">
              <w:rPr>
                <w:rFonts w:asciiTheme="minorHAnsi" w:hAnsiTheme="minorHAnsi"/>
                <w:noProof/>
              </w:rPr>
              <w:tab/>
            </w:r>
            <w:r w:rsidR="00730914" w:rsidRPr="001A7AC1">
              <w:rPr>
                <w:rStyle w:val="Hyperlink"/>
                <w:noProof/>
              </w:rPr>
              <w:t>Public inquiry</w:t>
            </w:r>
            <w:r w:rsidR="00730914">
              <w:rPr>
                <w:noProof/>
                <w:webHidden/>
              </w:rPr>
              <w:tab/>
            </w:r>
            <w:r>
              <w:rPr>
                <w:noProof/>
                <w:webHidden/>
              </w:rPr>
              <w:fldChar w:fldCharType="begin"/>
            </w:r>
            <w:r w:rsidR="00730914">
              <w:rPr>
                <w:noProof/>
                <w:webHidden/>
              </w:rPr>
              <w:instrText xml:space="preserve"> PAGEREF _Toc391541589 \h </w:instrText>
            </w:r>
            <w:r>
              <w:rPr>
                <w:noProof/>
                <w:webHidden/>
              </w:rPr>
            </w:r>
            <w:r>
              <w:rPr>
                <w:noProof/>
                <w:webHidden/>
              </w:rPr>
              <w:fldChar w:fldCharType="separate"/>
            </w:r>
            <w:r w:rsidR="001D521C">
              <w:rPr>
                <w:noProof/>
                <w:webHidden/>
              </w:rPr>
              <w:t>43</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90" w:history="1">
            <w:r w:rsidR="00730914" w:rsidRPr="001A7AC1">
              <w:rPr>
                <w:rStyle w:val="Hyperlink"/>
                <w:noProof/>
              </w:rPr>
              <w:t>3.3.9</w:t>
            </w:r>
            <w:r w:rsidR="00730914">
              <w:rPr>
                <w:rFonts w:asciiTheme="minorHAnsi" w:hAnsiTheme="minorHAnsi"/>
                <w:noProof/>
              </w:rPr>
              <w:tab/>
            </w:r>
            <w:r w:rsidR="00730914" w:rsidRPr="001A7AC1">
              <w:rPr>
                <w:rStyle w:val="Hyperlink"/>
                <w:noProof/>
              </w:rPr>
              <w:t>Action management plan (post approval)</w:t>
            </w:r>
            <w:r w:rsidR="00730914">
              <w:rPr>
                <w:noProof/>
                <w:webHidden/>
              </w:rPr>
              <w:tab/>
            </w:r>
            <w:r>
              <w:rPr>
                <w:noProof/>
                <w:webHidden/>
              </w:rPr>
              <w:fldChar w:fldCharType="begin"/>
            </w:r>
            <w:r w:rsidR="00730914">
              <w:rPr>
                <w:noProof/>
                <w:webHidden/>
              </w:rPr>
              <w:instrText xml:space="preserve"> PAGEREF _Toc391541590 \h </w:instrText>
            </w:r>
            <w:r>
              <w:rPr>
                <w:noProof/>
                <w:webHidden/>
              </w:rPr>
            </w:r>
            <w:r>
              <w:rPr>
                <w:noProof/>
                <w:webHidden/>
              </w:rPr>
              <w:fldChar w:fldCharType="separate"/>
            </w:r>
            <w:r w:rsidR="001D521C">
              <w:rPr>
                <w:noProof/>
                <w:webHidden/>
              </w:rPr>
              <w:t>44</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91" w:history="1">
            <w:r w:rsidR="00730914" w:rsidRPr="001A7AC1">
              <w:rPr>
                <w:rStyle w:val="Hyperlink"/>
                <w:noProof/>
              </w:rPr>
              <w:t>3.3.10</w:t>
            </w:r>
            <w:r w:rsidR="00730914">
              <w:rPr>
                <w:rFonts w:asciiTheme="minorHAnsi" w:hAnsiTheme="minorHAnsi"/>
                <w:noProof/>
              </w:rPr>
              <w:tab/>
            </w:r>
            <w:r w:rsidR="00730914" w:rsidRPr="001A7AC1">
              <w:rPr>
                <w:rStyle w:val="Hyperlink"/>
                <w:noProof/>
              </w:rPr>
              <w:t>Contingent activities</w:t>
            </w:r>
            <w:r w:rsidR="00730914">
              <w:rPr>
                <w:noProof/>
                <w:webHidden/>
              </w:rPr>
              <w:tab/>
            </w:r>
            <w:r>
              <w:rPr>
                <w:noProof/>
                <w:webHidden/>
              </w:rPr>
              <w:fldChar w:fldCharType="begin"/>
            </w:r>
            <w:r w:rsidR="00730914">
              <w:rPr>
                <w:noProof/>
                <w:webHidden/>
              </w:rPr>
              <w:instrText xml:space="preserve"> PAGEREF _Toc391541591 \h </w:instrText>
            </w:r>
            <w:r>
              <w:rPr>
                <w:noProof/>
                <w:webHidden/>
              </w:rPr>
            </w:r>
            <w:r>
              <w:rPr>
                <w:noProof/>
                <w:webHidden/>
              </w:rPr>
              <w:fldChar w:fldCharType="separate"/>
            </w:r>
            <w:r w:rsidR="001D521C">
              <w:rPr>
                <w:noProof/>
                <w:webHidden/>
              </w:rPr>
              <w:t>45</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92" w:history="1">
            <w:r w:rsidR="00730914" w:rsidRPr="001A7AC1">
              <w:rPr>
                <w:rStyle w:val="Hyperlink"/>
                <w:noProof/>
              </w:rPr>
              <w:t>3.3.11</w:t>
            </w:r>
            <w:r w:rsidR="00730914">
              <w:rPr>
                <w:rFonts w:asciiTheme="minorHAnsi" w:hAnsiTheme="minorHAnsi"/>
                <w:noProof/>
              </w:rPr>
              <w:tab/>
            </w:r>
            <w:r w:rsidR="00730914" w:rsidRPr="001A7AC1">
              <w:rPr>
                <w:rStyle w:val="Hyperlink"/>
                <w:noProof/>
              </w:rPr>
              <w:t>Changes in cost base</w:t>
            </w:r>
            <w:r w:rsidR="00730914">
              <w:rPr>
                <w:noProof/>
                <w:webHidden/>
              </w:rPr>
              <w:tab/>
            </w:r>
            <w:r>
              <w:rPr>
                <w:noProof/>
                <w:webHidden/>
              </w:rPr>
              <w:fldChar w:fldCharType="begin"/>
            </w:r>
            <w:r w:rsidR="00730914">
              <w:rPr>
                <w:noProof/>
                <w:webHidden/>
              </w:rPr>
              <w:instrText xml:space="preserve"> PAGEREF _Toc391541592 \h </w:instrText>
            </w:r>
            <w:r>
              <w:rPr>
                <w:noProof/>
                <w:webHidden/>
              </w:rPr>
            </w:r>
            <w:r>
              <w:rPr>
                <w:noProof/>
                <w:webHidden/>
              </w:rPr>
              <w:fldChar w:fldCharType="separate"/>
            </w:r>
            <w:r w:rsidR="001D521C">
              <w:rPr>
                <w:noProof/>
                <w:webHidden/>
              </w:rPr>
              <w:t>49</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93" w:history="1">
            <w:r w:rsidR="00730914" w:rsidRPr="001A7AC1">
              <w:rPr>
                <w:rStyle w:val="Hyperlink"/>
                <w:noProof/>
              </w:rPr>
              <w:t>3.3.12</w:t>
            </w:r>
            <w:r w:rsidR="00730914">
              <w:rPr>
                <w:rFonts w:asciiTheme="minorHAnsi" w:hAnsiTheme="minorHAnsi"/>
                <w:noProof/>
              </w:rPr>
              <w:tab/>
            </w:r>
            <w:r w:rsidR="00730914" w:rsidRPr="001A7AC1">
              <w:rPr>
                <w:rStyle w:val="Hyperlink"/>
                <w:noProof/>
              </w:rPr>
              <w:t>Volume and/or demand assumptions</w:t>
            </w:r>
            <w:r w:rsidR="00730914">
              <w:rPr>
                <w:noProof/>
                <w:webHidden/>
              </w:rPr>
              <w:tab/>
            </w:r>
            <w:r>
              <w:rPr>
                <w:noProof/>
                <w:webHidden/>
              </w:rPr>
              <w:fldChar w:fldCharType="begin"/>
            </w:r>
            <w:r w:rsidR="00730914">
              <w:rPr>
                <w:noProof/>
                <w:webHidden/>
              </w:rPr>
              <w:instrText xml:space="preserve"> PAGEREF _Toc391541593 \h </w:instrText>
            </w:r>
            <w:r>
              <w:rPr>
                <w:noProof/>
                <w:webHidden/>
              </w:rPr>
            </w:r>
            <w:r>
              <w:rPr>
                <w:noProof/>
                <w:webHidden/>
              </w:rPr>
              <w:fldChar w:fldCharType="separate"/>
            </w:r>
            <w:r w:rsidR="001D521C">
              <w:rPr>
                <w:noProof/>
                <w:webHidden/>
              </w:rPr>
              <w:t>49</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94" w:history="1">
            <w:r w:rsidR="00730914" w:rsidRPr="001A7AC1">
              <w:rPr>
                <w:rStyle w:val="Hyperlink"/>
                <w:noProof/>
              </w:rPr>
              <w:t>3.3.13</w:t>
            </w:r>
            <w:r w:rsidR="00730914">
              <w:rPr>
                <w:rFonts w:asciiTheme="minorHAnsi" w:hAnsiTheme="minorHAnsi"/>
                <w:noProof/>
              </w:rPr>
              <w:tab/>
            </w:r>
            <w:r w:rsidR="00730914" w:rsidRPr="001A7AC1">
              <w:rPr>
                <w:rStyle w:val="Hyperlink"/>
                <w:noProof/>
              </w:rPr>
              <w:t>Exemptions (environmental impact assessments)</w:t>
            </w:r>
            <w:r w:rsidR="00730914">
              <w:rPr>
                <w:noProof/>
                <w:webHidden/>
              </w:rPr>
              <w:tab/>
            </w:r>
            <w:r>
              <w:rPr>
                <w:noProof/>
                <w:webHidden/>
              </w:rPr>
              <w:fldChar w:fldCharType="begin"/>
            </w:r>
            <w:r w:rsidR="00730914">
              <w:rPr>
                <w:noProof/>
                <w:webHidden/>
              </w:rPr>
              <w:instrText xml:space="preserve"> PAGEREF _Toc391541594 \h </w:instrText>
            </w:r>
            <w:r>
              <w:rPr>
                <w:noProof/>
                <w:webHidden/>
              </w:rPr>
            </w:r>
            <w:r>
              <w:rPr>
                <w:noProof/>
                <w:webHidden/>
              </w:rPr>
              <w:fldChar w:fldCharType="separate"/>
            </w:r>
            <w:r w:rsidR="001D521C">
              <w:rPr>
                <w:noProof/>
                <w:webHidden/>
              </w:rPr>
              <w:t>52</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95" w:history="1">
            <w:r w:rsidR="00730914" w:rsidRPr="001A7AC1">
              <w:rPr>
                <w:rStyle w:val="Hyperlink"/>
                <w:noProof/>
              </w:rPr>
              <w:t>3.3.14</w:t>
            </w:r>
            <w:r w:rsidR="00730914">
              <w:rPr>
                <w:rFonts w:asciiTheme="minorHAnsi" w:hAnsiTheme="minorHAnsi"/>
                <w:noProof/>
              </w:rPr>
              <w:tab/>
            </w:r>
            <w:r w:rsidR="00730914" w:rsidRPr="001A7AC1">
              <w:rPr>
                <w:rStyle w:val="Hyperlink"/>
                <w:noProof/>
              </w:rPr>
              <w:t>Waivers</w:t>
            </w:r>
            <w:r w:rsidR="00730914">
              <w:rPr>
                <w:noProof/>
                <w:webHidden/>
              </w:rPr>
              <w:tab/>
            </w:r>
            <w:r>
              <w:rPr>
                <w:noProof/>
                <w:webHidden/>
              </w:rPr>
              <w:fldChar w:fldCharType="begin"/>
            </w:r>
            <w:r w:rsidR="00730914">
              <w:rPr>
                <w:noProof/>
                <w:webHidden/>
              </w:rPr>
              <w:instrText xml:space="preserve"> PAGEREF _Toc391541595 \h </w:instrText>
            </w:r>
            <w:r>
              <w:rPr>
                <w:noProof/>
                <w:webHidden/>
              </w:rPr>
            </w:r>
            <w:r>
              <w:rPr>
                <w:noProof/>
                <w:webHidden/>
              </w:rPr>
              <w:fldChar w:fldCharType="separate"/>
            </w:r>
            <w:r w:rsidR="001D521C">
              <w:rPr>
                <w:noProof/>
                <w:webHidden/>
              </w:rPr>
              <w:t>53</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96" w:history="1">
            <w:r w:rsidR="00730914" w:rsidRPr="001A7AC1">
              <w:rPr>
                <w:rStyle w:val="Hyperlink"/>
                <w:noProof/>
              </w:rPr>
              <w:t>3.3.15</w:t>
            </w:r>
            <w:r w:rsidR="00730914">
              <w:rPr>
                <w:rFonts w:asciiTheme="minorHAnsi" w:hAnsiTheme="minorHAnsi"/>
                <w:noProof/>
              </w:rPr>
              <w:tab/>
            </w:r>
            <w:r w:rsidR="00730914" w:rsidRPr="001A7AC1">
              <w:rPr>
                <w:rStyle w:val="Hyperlink"/>
                <w:noProof/>
              </w:rPr>
              <w:t>Waiver application process</w:t>
            </w:r>
            <w:r w:rsidR="00730914">
              <w:rPr>
                <w:noProof/>
                <w:webHidden/>
              </w:rPr>
              <w:tab/>
            </w:r>
            <w:r>
              <w:rPr>
                <w:noProof/>
                <w:webHidden/>
              </w:rPr>
              <w:fldChar w:fldCharType="begin"/>
            </w:r>
            <w:r w:rsidR="00730914">
              <w:rPr>
                <w:noProof/>
                <w:webHidden/>
              </w:rPr>
              <w:instrText xml:space="preserve"> PAGEREF _Toc391541596 \h </w:instrText>
            </w:r>
            <w:r>
              <w:rPr>
                <w:noProof/>
                <w:webHidden/>
              </w:rPr>
            </w:r>
            <w:r>
              <w:rPr>
                <w:noProof/>
                <w:webHidden/>
              </w:rPr>
              <w:fldChar w:fldCharType="separate"/>
            </w:r>
            <w:r w:rsidR="001D521C">
              <w:rPr>
                <w:noProof/>
                <w:webHidden/>
              </w:rPr>
              <w:t>54</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97" w:history="1">
            <w:r w:rsidR="00730914" w:rsidRPr="001A7AC1">
              <w:rPr>
                <w:rStyle w:val="Hyperlink"/>
                <w:noProof/>
              </w:rPr>
              <w:t>3.3.16</w:t>
            </w:r>
            <w:r w:rsidR="00730914">
              <w:rPr>
                <w:rFonts w:asciiTheme="minorHAnsi" w:hAnsiTheme="minorHAnsi"/>
                <w:noProof/>
              </w:rPr>
              <w:tab/>
            </w:r>
            <w:r w:rsidR="00730914" w:rsidRPr="001A7AC1">
              <w:rPr>
                <w:rStyle w:val="Hyperlink"/>
                <w:noProof/>
              </w:rPr>
              <w:t>Refunds</w:t>
            </w:r>
            <w:r w:rsidR="00730914">
              <w:rPr>
                <w:noProof/>
                <w:webHidden/>
              </w:rPr>
              <w:tab/>
            </w:r>
            <w:r>
              <w:rPr>
                <w:noProof/>
                <w:webHidden/>
              </w:rPr>
              <w:fldChar w:fldCharType="begin"/>
            </w:r>
            <w:r w:rsidR="00730914">
              <w:rPr>
                <w:noProof/>
                <w:webHidden/>
              </w:rPr>
              <w:instrText xml:space="preserve"> PAGEREF _Toc391541597 \h </w:instrText>
            </w:r>
            <w:r>
              <w:rPr>
                <w:noProof/>
                <w:webHidden/>
              </w:rPr>
            </w:r>
            <w:r>
              <w:rPr>
                <w:noProof/>
                <w:webHidden/>
              </w:rPr>
              <w:fldChar w:fldCharType="separate"/>
            </w:r>
            <w:r w:rsidR="001D521C">
              <w:rPr>
                <w:noProof/>
                <w:webHidden/>
              </w:rPr>
              <w:t>54</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598" w:history="1">
            <w:r w:rsidR="00730914" w:rsidRPr="001A7AC1">
              <w:rPr>
                <w:rStyle w:val="Hyperlink"/>
                <w:noProof/>
              </w:rPr>
              <w:t>3.3.17</w:t>
            </w:r>
            <w:r w:rsidR="00730914">
              <w:rPr>
                <w:rFonts w:asciiTheme="minorHAnsi" w:hAnsiTheme="minorHAnsi"/>
                <w:noProof/>
              </w:rPr>
              <w:tab/>
            </w:r>
            <w:r w:rsidR="00730914" w:rsidRPr="001A7AC1">
              <w:rPr>
                <w:rStyle w:val="Hyperlink"/>
                <w:noProof/>
              </w:rPr>
              <w:t>Reconsideration of fees</w:t>
            </w:r>
            <w:r w:rsidR="00730914">
              <w:rPr>
                <w:noProof/>
                <w:webHidden/>
              </w:rPr>
              <w:tab/>
            </w:r>
            <w:r>
              <w:rPr>
                <w:noProof/>
                <w:webHidden/>
              </w:rPr>
              <w:fldChar w:fldCharType="begin"/>
            </w:r>
            <w:r w:rsidR="00730914">
              <w:rPr>
                <w:noProof/>
                <w:webHidden/>
              </w:rPr>
              <w:instrText xml:space="preserve"> PAGEREF _Toc391541598 \h </w:instrText>
            </w:r>
            <w:r>
              <w:rPr>
                <w:noProof/>
                <w:webHidden/>
              </w:rPr>
            </w:r>
            <w:r>
              <w:rPr>
                <w:noProof/>
                <w:webHidden/>
              </w:rPr>
              <w:fldChar w:fldCharType="separate"/>
            </w:r>
            <w:r w:rsidR="001D521C">
              <w:rPr>
                <w:noProof/>
                <w:webHidden/>
              </w:rPr>
              <w:t>54</w:t>
            </w:r>
            <w:r>
              <w:rPr>
                <w:noProof/>
                <w:webHidden/>
              </w:rPr>
              <w:fldChar w:fldCharType="end"/>
            </w:r>
          </w:hyperlink>
        </w:p>
        <w:p w:rsidR="00730914" w:rsidRDefault="00D30427">
          <w:pPr>
            <w:pStyle w:val="TOC1"/>
            <w:rPr>
              <w:rFonts w:asciiTheme="minorHAnsi" w:eastAsiaTheme="minorEastAsia" w:hAnsiTheme="minorHAnsi" w:cstheme="minorBidi"/>
              <w:noProof/>
              <w:color w:val="auto"/>
              <w:sz w:val="22"/>
              <w:szCs w:val="22"/>
              <w:lang w:eastAsia="en-AU"/>
            </w:rPr>
          </w:pPr>
          <w:hyperlink w:anchor="_Toc391541599" w:history="1">
            <w:r w:rsidR="00730914" w:rsidRPr="001A7AC1">
              <w:rPr>
                <w:rStyle w:val="Hyperlink"/>
                <w:noProof/>
              </w:rPr>
              <w:t>4</w:t>
            </w:r>
            <w:r w:rsidR="00730914">
              <w:rPr>
                <w:rFonts w:asciiTheme="minorHAnsi" w:eastAsiaTheme="minorEastAsia" w:hAnsiTheme="minorHAnsi" w:cstheme="minorBidi"/>
                <w:noProof/>
                <w:color w:val="auto"/>
                <w:sz w:val="22"/>
                <w:szCs w:val="22"/>
                <w:lang w:eastAsia="en-AU"/>
              </w:rPr>
              <w:tab/>
            </w:r>
            <w:r w:rsidR="00730914" w:rsidRPr="001A7AC1">
              <w:rPr>
                <w:rStyle w:val="Hyperlink"/>
                <w:noProof/>
              </w:rPr>
              <w:t>STRATEGIC ASSESSMENTS</w:t>
            </w:r>
            <w:r w:rsidR="00730914">
              <w:rPr>
                <w:noProof/>
                <w:webHidden/>
              </w:rPr>
              <w:tab/>
            </w:r>
            <w:r>
              <w:rPr>
                <w:noProof/>
                <w:webHidden/>
              </w:rPr>
              <w:fldChar w:fldCharType="begin"/>
            </w:r>
            <w:r w:rsidR="00730914">
              <w:rPr>
                <w:noProof/>
                <w:webHidden/>
              </w:rPr>
              <w:instrText xml:space="preserve"> PAGEREF _Toc391541599 \h </w:instrText>
            </w:r>
            <w:r>
              <w:rPr>
                <w:noProof/>
                <w:webHidden/>
              </w:rPr>
            </w:r>
            <w:r>
              <w:rPr>
                <w:noProof/>
                <w:webHidden/>
              </w:rPr>
              <w:fldChar w:fldCharType="separate"/>
            </w:r>
            <w:r w:rsidR="001D521C">
              <w:rPr>
                <w:noProof/>
                <w:webHidden/>
              </w:rPr>
              <w:t>55</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600" w:history="1">
            <w:r w:rsidR="00730914" w:rsidRPr="001A7AC1">
              <w:rPr>
                <w:rStyle w:val="Hyperlink"/>
                <w:noProof/>
              </w:rPr>
              <w:t>4.1</w:t>
            </w:r>
            <w:r w:rsidR="00730914">
              <w:rPr>
                <w:rFonts w:asciiTheme="minorHAnsi" w:eastAsiaTheme="minorEastAsia" w:hAnsiTheme="minorHAnsi" w:cstheme="minorBidi"/>
                <w:i w:val="0"/>
                <w:noProof/>
                <w:szCs w:val="22"/>
                <w:lang w:eastAsia="en-AU"/>
              </w:rPr>
              <w:tab/>
            </w:r>
            <w:r w:rsidR="00730914" w:rsidRPr="001A7AC1">
              <w:rPr>
                <w:rStyle w:val="Hyperlink"/>
                <w:noProof/>
              </w:rPr>
              <w:t>Outputs of the activity – Strategic Assessments</w:t>
            </w:r>
            <w:r w:rsidR="00730914">
              <w:rPr>
                <w:noProof/>
                <w:webHidden/>
              </w:rPr>
              <w:tab/>
            </w:r>
            <w:r>
              <w:rPr>
                <w:noProof/>
                <w:webHidden/>
              </w:rPr>
              <w:fldChar w:fldCharType="begin"/>
            </w:r>
            <w:r w:rsidR="00730914">
              <w:rPr>
                <w:noProof/>
                <w:webHidden/>
              </w:rPr>
              <w:instrText xml:space="preserve"> PAGEREF _Toc391541600 \h </w:instrText>
            </w:r>
            <w:r>
              <w:rPr>
                <w:noProof/>
                <w:webHidden/>
              </w:rPr>
            </w:r>
            <w:r>
              <w:rPr>
                <w:noProof/>
                <w:webHidden/>
              </w:rPr>
              <w:fldChar w:fldCharType="separate"/>
            </w:r>
            <w:r w:rsidR="001D521C">
              <w:rPr>
                <w:noProof/>
                <w:webHidden/>
              </w:rPr>
              <w:t>55</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01" w:history="1">
            <w:r w:rsidR="00730914" w:rsidRPr="001A7AC1">
              <w:rPr>
                <w:rStyle w:val="Hyperlink"/>
                <w:noProof/>
                <w:lang w:val="en-US"/>
              </w:rPr>
              <w:t>4.1.1</w:t>
            </w:r>
            <w:r w:rsidR="00730914">
              <w:rPr>
                <w:rFonts w:asciiTheme="minorHAnsi" w:hAnsiTheme="minorHAnsi"/>
                <w:noProof/>
              </w:rPr>
              <w:tab/>
            </w:r>
            <w:r w:rsidR="00730914" w:rsidRPr="001A7AC1">
              <w:rPr>
                <w:rStyle w:val="Hyperlink"/>
                <w:noProof/>
                <w:lang w:val="en-US"/>
              </w:rPr>
              <w:t>Description of activity – Strategic assessments</w:t>
            </w:r>
            <w:r w:rsidR="00730914">
              <w:rPr>
                <w:noProof/>
                <w:webHidden/>
              </w:rPr>
              <w:tab/>
            </w:r>
            <w:r>
              <w:rPr>
                <w:noProof/>
                <w:webHidden/>
              </w:rPr>
              <w:fldChar w:fldCharType="begin"/>
            </w:r>
            <w:r w:rsidR="00730914">
              <w:rPr>
                <w:noProof/>
                <w:webHidden/>
              </w:rPr>
              <w:instrText xml:space="preserve"> PAGEREF _Toc391541601 \h </w:instrText>
            </w:r>
            <w:r>
              <w:rPr>
                <w:noProof/>
                <w:webHidden/>
              </w:rPr>
            </w:r>
            <w:r>
              <w:rPr>
                <w:noProof/>
                <w:webHidden/>
              </w:rPr>
              <w:fldChar w:fldCharType="separate"/>
            </w:r>
            <w:r w:rsidR="001D521C">
              <w:rPr>
                <w:noProof/>
                <w:webHidden/>
              </w:rPr>
              <w:t>55</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02" w:history="1">
            <w:r w:rsidR="00730914" w:rsidRPr="001A7AC1">
              <w:rPr>
                <w:rStyle w:val="Hyperlink"/>
                <w:noProof/>
              </w:rPr>
              <w:t>4.1.2</w:t>
            </w:r>
            <w:r w:rsidR="00730914">
              <w:rPr>
                <w:rFonts w:asciiTheme="minorHAnsi" w:hAnsiTheme="minorHAnsi"/>
                <w:noProof/>
              </w:rPr>
              <w:tab/>
            </w:r>
            <w:r w:rsidR="00730914" w:rsidRPr="001A7AC1">
              <w:rPr>
                <w:rStyle w:val="Hyperlink"/>
                <w:noProof/>
              </w:rPr>
              <w:t>Budget funded strategic assessments</w:t>
            </w:r>
            <w:r w:rsidR="00730914">
              <w:rPr>
                <w:noProof/>
                <w:webHidden/>
              </w:rPr>
              <w:tab/>
            </w:r>
            <w:r>
              <w:rPr>
                <w:noProof/>
                <w:webHidden/>
              </w:rPr>
              <w:fldChar w:fldCharType="begin"/>
            </w:r>
            <w:r w:rsidR="00730914">
              <w:rPr>
                <w:noProof/>
                <w:webHidden/>
              </w:rPr>
              <w:instrText xml:space="preserve"> PAGEREF _Toc391541602 \h </w:instrText>
            </w:r>
            <w:r>
              <w:rPr>
                <w:noProof/>
                <w:webHidden/>
              </w:rPr>
            </w:r>
            <w:r>
              <w:rPr>
                <w:noProof/>
                <w:webHidden/>
              </w:rPr>
              <w:fldChar w:fldCharType="separate"/>
            </w:r>
            <w:r w:rsidR="001D521C">
              <w:rPr>
                <w:noProof/>
                <w:webHidden/>
              </w:rPr>
              <w:t>56</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03" w:history="1">
            <w:r w:rsidR="00730914" w:rsidRPr="001A7AC1">
              <w:rPr>
                <w:rStyle w:val="Hyperlink"/>
                <w:noProof/>
              </w:rPr>
              <w:t>4.1.3</w:t>
            </w:r>
            <w:r w:rsidR="00730914">
              <w:rPr>
                <w:rFonts w:asciiTheme="minorHAnsi" w:hAnsiTheme="minorHAnsi"/>
                <w:noProof/>
              </w:rPr>
              <w:tab/>
            </w:r>
            <w:r w:rsidR="00730914" w:rsidRPr="001A7AC1">
              <w:rPr>
                <w:rStyle w:val="Hyperlink"/>
                <w:noProof/>
              </w:rPr>
              <w:t>Cost recovered strategic assessments</w:t>
            </w:r>
            <w:r w:rsidR="00730914">
              <w:rPr>
                <w:noProof/>
                <w:webHidden/>
              </w:rPr>
              <w:tab/>
            </w:r>
            <w:r>
              <w:rPr>
                <w:noProof/>
                <w:webHidden/>
              </w:rPr>
              <w:fldChar w:fldCharType="begin"/>
            </w:r>
            <w:r w:rsidR="00730914">
              <w:rPr>
                <w:noProof/>
                <w:webHidden/>
              </w:rPr>
              <w:instrText xml:space="preserve"> PAGEREF _Toc391541603 \h </w:instrText>
            </w:r>
            <w:r>
              <w:rPr>
                <w:noProof/>
                <w:webHidden/>
              </w:rPr>
            </w:r>
            <w:r>
              <w:rPr>
                <w:noProof/>
                <w:webHidden/>
              </w:rPr>
              <w:fldChar w:fldCharType="separate"/>
            </w:r>
            <w:r w:rsidR="001D521C">
              <w:rPr>
                <w:noProof/>
                <w:webHidden/>
              </w:rPr>
              <w:t>56</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604" w:history="1">
            <w:r w:rsidR="00730914" w:rsidRPr="001A7AC1">
              <w:rPr>
                <w:rStyle w:val="Hyperlink"/>
                <w:noProof/>
              </w:rPr>
              <w:t>4.2</w:t>
            </w:r>
            <w:r w:rsidR="00730914">
              <w:rPr>
                <w:rFonts w:asciiTheme="minorHAnsi" w:eastAsiaTheme="minorEastAsia" w:hAnsiTheme="minorHAnsi" w:cstheme="minorBidi"/>
                <w:i w:val="0"/>
                <w:noProof/>
                <w:szCs w:val="22"/>
                <w:lang w:eastAsia="en-AU"/>
              </w:rPr>
              <w:tab/>
            </w:r>
            <w:r w:rsidR="00730914" w:rsidRPr="001A7AC1">
              <w:rPr>
                <w:rStyle w:val="Hyperlink"/>
                <w:noProof/>
              </w:rPr>
              <w:t>Efficient costs – Strategic assessments</w:t>
            </w:r>
            <w:r w:rsidR="00730914">
              <w:rPr>
                <w:noProof/>
                <w:webHidden/>
              </w:rPr>
              <w:tab/>
            </w:r>
            <w:r>
              <w:rPr>
                <w:noProof/>
                <w:webHidden/>
              </w:rPr>
              <w:fldChar w:fldCharType="begin"/>
            </w:r>
            <w:r w:rsidR="00730914">
              <w:rPr>
                <w:noProof/>
                <w:webHidden/>
              </w:rPr>
              <w:instrText xml:space="preserve"> PAGEREF _Toc391541604 \h </w:instrText>
            </w:r>
            <w:r>
              <w:rPr>
                <w:noProof/>
                <w:webHidden/>
              </w:rPr>
            </w:r>
            <w:r>
              <w:rPr>
                <w:noProof/>
                <w:webHidden/>
              </w:rPr>
              <w:fldChar w:fldCharType="separate"/>
            </w:r>
            <w:r w:rsidR="001D521C">
              <w:rPr>
                <w:noProof/>
                <w:webHidden/>
              </w:rPr>
              <w:t>57</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05" w:history="1">
            <w:r w:rsidR="00730914" w:rsidRPr="001A7AC1">
              <w:rPr>
                <w:rStyle w:val="Hyperlink"/>
                <w:noProof/>
              </w:rPr>
              <w:t>4.2.1</w:t>
            </w:r>
            <w:r w:rsidR="00730914">
              <w:rPr>
                <w:rFonts w:asciiTheme="minorHAnsi" w:hAnsiTheme="minorHAnsi"/>
                <w:noProof/>
              </w:rPr>
              <w:tab/>
            </w:r>
            <w:r w:rsidR="00730914" w:rsidRPr="001A7AC1">
              <w:rPr>
                <w:rStyle w:val="Hyperlink"/>
                <w:noProof/>
              </w:rPr>
              <w:t>Cost components</w:t>
            </w:r>
            <w:r w:rsidR="00730914">
              <w:rPr>
                <w:noProof/>
                <w:webHidden/>
              </w:rPr>
              <w:tab/>
            </w:r>
            <w:r>
              <w:rPr>
                <w:noProof/>
                <w:webHidden/>
              </w:rPr>
              <w:fldChar w:fldCharType="begin"/>
            </w:r>
            <w:r w:rsidR="00730914">
              <w:rPr>
                <w:noProof/>
                <w:webHidden/>
              </w:rPr>
              <w:instrText xml:space="preserve"> PAGEREF _Toc391541605 \h </w:instrText>
            </w:r>
            <w:r>
              <w:rPr>
                <w:noProof/>
                <w:webHidden/>
              </w:rPr>
            </w:r>
            <w:r>
              <w:rPr>
                <w:noProof/>
                <w:webHidden/>
              </w:rPr>
              <w:fldChar w:fldCharType="separate"/>
            </w:r>
            <w:r w:rsidR="001D521C">
              <w:rPr>
                <w:noProof/>
                <w:webHidden/>
              </w:rPr>
              <w:t>59</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06" w:history="1">
            <w:r w:rsidR="00730914" w:rsidRPr="001A7AC1">
              <w:rPr>
                <w:rStyle w:val="Hyperlink"/>
                <w:noProof/>
              </w:rPr>
              <w:t>4.2.2</w:t>
            </w:r>
            <w:r w:rsidR="00730914">
              <w:rPr>
                <w:rFonts w:asciiTheme="minorHAnsi" w:hAnsiTheme="minorHAnsi"/>
                <w:noProof/>
              </w:rPr>
              <w:tab/>
            </w:r>
            <w:r w:rsidR="00730914" w:rsidRPr="001A7AC1">
              <w:rPr>
                <w:rStyle w:val="Hyperlink"/>
                <w:noProof/>
              </w:rPr>
              <w:t>Base costs</w:t>
            </w:r>
            <w:r w:rsidR="00730914">
              <w:rPr>
                <w:noProof/>
                <w:webHidden/>
              </w:rPr>
              <w:tab/>
            </w:r>
            <w:r>
              <w:rPr>
                <w:noProof/>
                <w:webHidden/>
              </w:rPr>
              <w:fldChar w:fldCharType="begin"/>
            </w:r>
            <w:r w:rsidR="00730914">
              <w:rPr>
                <w:noProof/>
                <w:webHidden/>
              </w:rPr>
              <w:instrText xml:space="preserve"> PAGEREF _Toc391541606 \h </w:instrText>
            </w:r>
            <w:r>
              <w:rPr>
                <w:noProof/>
                <w:webHidden/>
              </w:rPr>
            </w:r>
            <w:r>
              <w:rPr>
                <w:noProof/>
                <w:webHidden/>
              </w:rPr>
              <w:fldChar w:fldCharType="separate"/>
            </w:r>
            <w:r w:rsidR="001D521C">
              <w:rPr>
                <w:noProof/>
                <w:webHidden/>
              </w:rPr>
              <w:t>59</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607" w:history="1">
            <w:r w:rsidR="00730914" w:rsidRPr="001A7AC1">
              <w:rPr>
                <w:rStyle w:val="Hyperlink"/>
                <w:noProof/>
              </w:rPr>
              <w:t>4.3</w:t>
            </w:r>
            <w:r w:rsidR="00730914">
              <w:rPr>
                <w:rFonts w:asciiTheme="minorHAnsi" w:eastAsiaTheme="minorEastAsia" w:hAnsiTheme="minorHAnsi" w:cstheme="minorBidi"/>
                <w:i w:val="0"/>
                <w:noProof/>
                <w:szCs w:val="22"/>
                <w:lang w:eastAsia="en-AU"/>
              </w:rPr>
              <w:tab/>
            </w:r>
            <w:r w:rsidR="00730914" w:rsidRPr="001A7AC1">
              <w:rPr>
                <w:rStyle w:val="Hyperlink"/>
                <w:noProof/>
              </w:rPr>
              <w:t>Charges for the activity</w:t>
            </w:r>
            <w:r w:rsidR="00730914">
              <w:rPr>
                <w:noProof/>
                <w:webHidden/>
              </w:rPr>
              <w:tab/>
            </w:r>
            <w:r>
              <w:rPr>
                <w:noProof/>
                <w:webHidden/>
              </w:rPr>
              <w:fldChar w:fldCharType="begin"/>
            </w:r>
            <w:r w:rsidR="00730914">
              <w:rPr>
                <w:noProof/>
                <w:webHidden/>
              </w:rPr>
              <w:instrText xml:space="preserve"> PAGEREF _Toc391541607 \h </w:instrText>
            </w:r>
            <w:r>
              <w:rPr>
                <w:noProof/>
                <w:webHidden/>
              </w:rPr>
            </w:r>
            <w:r>
              <w:rPr>
                <w:noProof/>
                <w:webHidden/>
              </w:rPr>
              <w:fldChar w:fldCharType="separate"/>
            </w:r>
            <w:r w:rsidR="001D521C">
              <w:rPr>
                <w:noProof/>
                <w:webHidden/>
              </w:rPr>
              <w:t>60</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08" w:history="1">
            <w:r w:rsidR="00730914" w:rsidRPr="001A7AC1">
              <w:rPr>
                <w:rStyle w:val="Hyperlink"/>
                <w:noProof/>
              </w:rPr>
              <w:t>4.3.1</w:t>
            </w:r>
            <w:r w:rsidR="00730914">
              <w:rPr>
                <w:rFonts w:asciiTheme="minorHAnsi" w:hAnsiTheme="minorHAnsi"/>
                <w:noProof/>
              </w:rPr>
              <w:tab/>
            </w:r>
            <w:r w:rsidR="00730914" w:rsidRPr="001A7AC1">
              <w:rPr>
                <w:rStyle w:val="Hyperlink"/>
                <w:noProof/>
              </w:rPr>
              <w:t>Schedule of fees and charges</w:t>
            </w:r>
            <w:r w:rsidR="00730914">
              <w:rPr>
                <w:noProof/>
                <w:webHidden/>
              </w:rPr>
              <w:tab/>
            </w:r>
            <w:r>
              <w:rPr>
                <w:noProof/>
                <w:webHidden/>
              </w:rPr>
              <w:fldChar w:fldCharType="begin"/>
            </w:r>
            <w:r w:rsidR="00730914">
              <w:rPr>
                <w:noProof/>
                <w:webHidden/>
              </w:rPr>
              <w:instrText xml:space="preserve"> PAGEREF _Toc391541608 \h </w:instrText>
            </w:r>
            <w:r>
              <w:rPr>
                <w:noProof/>
                <w:webHidden/>
              </w:rPr>
            </w:r>
            <w:r>
              <w:rPr>
                <w:noProof/>
                <w:webHidden/>
              </w:rPr>
              <w:fldChar w:fldCharType="separate"/>
            </w:r>
            <w:r w:rsidR="001D521C">
              <w:rPr>
                <w:noProof/>
                <w:webHidden/>
              </w:rPr>
              <w:t>60</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09" w:history="1">
            <w:r w:rsidR="00730914" w:rsidRPr="001A7AC1">
              <w:rPr>
                <w:rStyle w:val="Hyperlink"/>
                <w:noProof/>
              </w:rPr>
              <w:t>4.3.2</w:t>
            </w:r>
            <w:r w:rsidR="00730914">
              <w:rPr>
                <w:rFonts w:asciiTheme="minorHAnsi" w:hAnsiTheme="minorHAnsi"/>
                <w:noProof/>
              </w:rPr>
              <w:tab/>
            </w:r>
            <w:r w:rsidR="00730914" w:rsidRPr="001A7AC1">
              <w:rPr>
                <w:rStyle w:val="Hyperlink"/>
                <w:noProof/>
              </w:rPr>
              <w:t>Changes in cost base</w:t>
            </w:r>
            <w:r w:rsidR="00730914">
              <w:rPr>
                <w:noProof/>
                <w:webHidden/>
              </w:rPr>
              <w:tab/>
            </w:r>
            <w:r>
              <w:rPr>
                <w:noProof/>
                <w:webHidden/>
              </w:rPr>
              <w:fldChar w:fldCharType="begin"/>
            </w:r>
            <w:r w:rsidR="00730914">
              <w:rPr>
                <w:noProof/>
                <w:webHidden/>
              </w:rPr>
              <w:instrText xml:space="preserve"> PAGEREF _Toc391541609 \h </w:instrText>
            </w:r>
            <w:r>
              <w:rPr>
                <w:noProof/>
                <w:webHidden/>
              </w:rPr>
            </w:r>
            <w:r>
              <w:rPr>
                <w:noProof/>
                <w:webHidden/>
              </w:rPr>
              <w:fldChar w:fldCharType="separate"/>
            </w:r>
            <w:r w:rsidR="001D521C">
              <w:rPr>
                <w:noProof/>
                <w:webHidden/>
              </w:rPr>
              <w:t>62</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10" w:history="1">
            <w:r w:rsidR="00730914" w:rsidRPr="001A7AC1">
              <w:rPr>
                <w:rStyle w:val="Hyperlink"/>
                <w:noProof/>
              </w:rPr>
              <w:t>4.3.3</w:t>
            </w:r>
            <w:r w:rsidR="00730914">
              <w:rPr>
                <w:rFonts w:asciiTheme="minorHAnsi" w:hAnsiTheme="minorHAnsi"/>
                <w:noProof/>
              </w:rPr>
              <w:tab/>
            </w:r>
            <w:r w:rsidR="00730914" w:rsidRPr="001A7AC1">
              <w:rPr>
                <w:rStyle w:val="Hyperlink"/>
                <w:noProof/>
              </w:rPr>
              <w:t>Volume and/or demand assumptions</w:t>
            </w:r>
            <w:r w:rsidR="00730914">
              <w:rPr>
                <w:noProof/>
                <w:webHidden/>
              </w:rPr>
              <w:tab/>
            </w:r>
            <w:r>
              <w:rPr>
                <w:noProof/>
                <w:webHidden/>
              </w:rPr>
              <w:fldChar w:fldCharType="begin"/>
            </w:r>
            <w:r w:rsidR="00730914">
              <w:rPr>
                <w:noProof/>
                <w:webHidden/>
              </w:rPr>
              <w:instrText xml:space="preserve"> PAGEREF _Toc391541610 \h </w:instrText>
            </w:r>
            <w:r>
              <w:rPr>
                <w:noProof/>
                <w:webHidden/>
              </w:rPr>
            </w:r>
            <w:r>
              <w:rPr>
                <w:noProof/>
                <w:webHidden/>
              </w:rPr>
              <w:fldChar w:fldCharType="separate"/>
            </w:r>
            <w:r w:rsidR="001D521C">
              <w:rPr>
                <w:noProof/>
                <w:webHidden/>
              </w:rPr>
              <w:t>62</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11" w:history="1">
            <w:r w:rsidR="00730914" w:rsidRPr="001A7AC1">
              <w:rPr>
                <w:rStyle w:val="Hyperlink"/>
                <w:noProof/>
              </w:rPr>
              <w:t>4.3.4</w:t>
            </w:r>
            <w:r w:rsidR="00730914">
              <w:rPr>
                <w:rFonts w:asciiTheme="minorHAnsi" w:hAnsiTheme="minorHAnsi"/>
                <w:noProof/>
              </w:rPr>
              <w:tab/>
            </w:r>
            <w:r w:rsidR="00730914" w:rsidRPr="001A7AC1">
              <w:rPr>
                <w:rStyle w:val="Hyperlink"/>
                <w:noProof/>
              </w:rPr>
              <w:t>Exemptions, refunds and waivers (strategic assessments)</w:t>
            </w:r>
            <w:r w:rsidR="00730914">
              <w:rPr>
                <w:noProof/>
                <w:webHidden/>
              </w:rPr>
              <w:tab/>
            </w:r>
            <w:r>
              <w:rPr>
                <w:noProof/>
                <w:webHidden/>
              </w:rPr>
              <w:fldChar w:fldCharType="begin"/>
            </w:r>
            <w:r w:rsidR="00730914">
              <w:rPr>
                <w:noProof/>
                <w:webHidden/>
              </w:rPr>
              <w:instrText xml:space="preserve"> PAGEREF _Toc391541611 \h </w:instrText>
            </w:r>
            <w:r>
              <w:rPr>
                <w:noProof/>
                <w:webHidden/>
              </w:rPr>
            </w:r>
            <w:r>
              <w:rPr>
                <w:noProof/>
                <w:webHidden/>
              </w:rPr>
              <w:fldChar w:fldCharType="separate"/>
            </w:r>
            <w:r w:rsidR="001D521C">
              <w:rPr>
                <w:noProof/>
                <w:webHidden/>
              </w:rPr>
              <w:t>62</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12" w:history="1">
            <w:r w:rsidR="00730914" w:rsidRPr="001A7AC1">
              <w:rPr>
                <w:rStyle w:val="Hyperlink"/>
                <w:noProof/>
              </w:rPr>
              <w:t>4.3.5</w:t>
            </w:r>
            <w:r w:rsidR="00730914">
              <w:rPr>
                <w:rFonts w:asciiTheme="minorHAnsi" w:hAnsiTheme="minorHAnsi"/>
                <w:noProof/>
              </w:rPr>
              <w:tab/>
            </w:r>
            <w:r w:rsidR="00730914" w:rsidRPr="001A7AC1">
              <w:rPr>
                <w:rStyle w:val="Hyperlink"/>
                <w:noProof/>
              </w:rPr>
              <w:t>Reconsiderations</w:t>
            </w:r>
            <w:r w:rsidR="00730914">
              <w:rPr>
                <w:noProof/>
                <w:webHidden/>
              </w:rPr>
              <w:tab/>
            </w:r>
            <w:r>
              <w:rPr>
                <w:noProof/>
                <w:webHidden/>
              </w:rPr>
              <w:fldChar w:fldCharType="begin"/>
            </w:r>
            <w:r w:rsidR="00730914">
              <w:rPr>
                <w:noProof/>
                <w:webHidden/>
              </w:rPr>
              <w:instrText xml:space="preserve"> PAGEREF _Toc391541612 \h </w:instrText>
            </w:r>
            <w:r>
              <w:rPr>
                <w:noProof/>
                <w:webHidden/>
              </w:rPr>
            </w:r>
            <w:r>
              <w:rPr>
                <w:noProof/>
                <w:webHidden/>
              </w:rPr>
              <w:fldChar w:fldCharType="separate"/>
            </w:r>
            <w:r w:rsidR="001D521C">
              <w:rPr>
                <w:noProof/>
                <w:webHidden/>
              </w:rPr>
              <w:t>62</w:t>
            </w:r>
            <w:r>
              <w:rPr>
                <w:noProof/>
                <w:webHidden/>
              </w:rPr>
              <w:fldChar w:fldCharType="end"/>
            </w:r>
          </w:hyperlink>
        </w:p>
        <w:p w:rsidR="00730914" w:rsidRDefault="00D30427">
          <w:pPr>
            <w:pStyle w:val="TOC1"/>
            <w:rPr>
              <w:rFonts w:asciiTheme="minorHAnsi" w:eastAsiaTheme="minorEastAsia" w:hAnsiTheme="minorHAnsi" w:cstheme="minorBidi"/>
              <w:noProof/>
              <w:color w:val="auto"/>
              <w:sz w:val="22"/>
              <w:szCs w:val="22"/>
              <w:lang w:eastAsia="en-AU"/>
            </w:rPr>
          </w:pPr>
          <w:hyperlink w:anchor="_Toc391541613" w:history="1">
            <w:r w:rsidR="00730914" w:rsidRPr="001A7AC1">
              <w:rPr>
                <w:rStyle w:val="Hyperlink"/>
                <w:noProof/>
              </w:rPr>
              <w:t>5</w:t>
            </w:r>
            <w:r w:rsidR="00730914">
              <w:rPr>
                <w:rFonts w:asciiTheme="minorHAnsi" w:eastAsiaTheme="minorEastAsia" w:hAnsiTheme="minorHAnsi" w:cstheme="minorBidi"/>
                <w:noProof/>
                <w:color w:val="auto"/>
                <w:sz w:val="22"/>
                <w:szCs w:val="22"/>
                <w:lang w:eastAsia="en-AU"/>
              </w:rPr>
              <w:tab/>
            </w:r>
            <w:r w:rsidR="00730914" w:rsidRPr="001A7AC1">
              <w:rPr>
                <w:rStyle w:val="Hyperlink"/>
                <w:noProof/>
              </w:rPr>
              <w:t>RISK ASSESSMENT</w:t>
            </w:r>
            <w:r w:rsidR="00730914">
              <w:rPr>
                <w:noProof/>
                <w:webHidden/>
              </w:rPr>
              <w:tab/>
            </w:r>
            <w:r>
              <w:rPr>
                <w:noProof/>
                <w:webHidden/>
              </w:rPr>
              <w:fldChar w:fldCharType="begin"/>
            </w:r>
            <w:r w:rsidR="00730914">
              <w:rPr>
                <w:noProof/>
                <w:webHidden/>
              </w:rPr>
              <w:instrText xml:space="preserve"> PAGEREF _Toc391541613 \h </w:instrText>
            </w:r>
            <w:r>
              <w:rPr>
                <w:noProof/>
                <w:webHidden/>
              </w:rPr>
            </w:r>
            <w:r>
              <w:rPr>
                <w:noProof/>
                <w:webHidden/>
              </w:rPr>
              <w:fldChar w:fldCharType="separate"/>
            </w:r>
            <w:r w:rsidR="001D521C">
              <w:rPr>
                <w:noProof/>
                <w:webHidden/>
              </w:rPr>
              <w:t>66</w:t>
            </w:r>
            <w:r>
              <w:rPr>
                <w:noProof/>
                <w:webHidden/>
              </w:rPr>
              <w:fldChar w:fldCharType="end"/>
            </w:r>
          </w:hyperlink>
        </w:p>
        <w:p w:rsidR="00730914" w:rsidRDefault="00D30427">
          <w:pPr>
            <w:pStyle w:val="TOC1"/>
            <w:rPr>
              <w:rFonts w:asciiTheme="minorHAnsi" w:eastAsiaTheme="minorEastAsia" w:hAnsiTheme="minorHAnsi" w:cstheme="minorBidi"/>
              <w:noProof/>
              <w:color w:val="auto"/>
              <w:sz w:val="22"/>
              <w:szCs w:val="22"/>
              <w:lang w:eastAsia="en-AU"/>
            </w:rPr>
          </w:pPr>
          <w:hyperlink w:anchor="_Toc391541614" w:history="1">
            <w:r w:rsidR="00730914" w:rsidRPr="001A7AC1">
              <w:rPr>
                <w:rStyle w:val="Hyperlink"/>
                <w:noProof/>
              </w:rPr>
              <w:t>6</w:t>
            </w:r>
            <w:r w:rsidR="00730914">
              <w:rPr>
                <w:rFonts w:asciiTheme="minorHAnsi" w:eastAsiaTheme="minorEastAsia" w:hAnsiTheme="minorHAnsi" w:cstheme="minorBidi"/>
                <w:noProof/>
                <w:color w:val="auto"/>
                <w:sz w:val="22"/>
                <w:szCs w:val="22"/>
                <w:lang w:eastAsia="en-AU"/>
              </w:rPr>
              <w:tab/>
            </w:r>
            <w:r w:rsidR="00730914" w:rsidRPr="001A7AC1">
              <w:rPr>
                <w:rStyle w:val="Hyperlink"/>
                <w:noProof/>
              </w:rPr>
              <w:t>STAKEHOLDER ENGAGEMENT</w:t>
            </w:r>
            <w:r w:rsidR="00730914">
              <w:rPr>
                <w:noProof/>
                <w:webHidden/>
              </w:rPr>
              <w:tab/>
            </w:r>
            <w:r>
              <w:rPr>
                <w:noProof/>
                <w:webHidden/>
              </w:rPr>
              <w:fldChar w:fldCharType="begin"/>
            </w:r>
            <w:r w:rsidR="00730914">
              <w:rPr>
                <w:noProof/>
                <w:webHidden/>
              </w:rPr>
              <w:instrText xml:space="preserve"> PAGEREF _Toc391541614 \h </w:instrText>
            </w:r>
            <w:r>
              <w:rPr>
                <w:noProof/>
                <w:webHidden/>
              </w:rPr>
            </w:r>
            <w:r>
              <w:rPr>
                <w:noProof/>
                <w:webHidden/>
              </w:rPr>
              <w:fldChar w:fldCharType="separate"/>
            </w:r>
            <w:r w:rsidR="001D521C">
              <w:rPr>
                <w:noProof/>
                <w:webHidden/>
              </w:rPr>
              <w:t>67</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615" w:history="1">
            <w:r w:rsidR="00730914" w:rsidRPr="001A7AC1">
              <w:rPr>
                <w:rStyle w:val="Hyperlink"/>
                <w:noProof/>
              </w:rPr>
              <w:t>6.1</w:t>
            </w:r>
            <w:r w:rsidR="00730914">
              <w:rPr>
                <w:rFonts w:asciiTheme="minorHAnsi" w:eastAsiaTheme="minorEastAsia" w:hAnsiTheme="minorHAnsi" w:cstheme="minorBidi"/>
                <w:i w:val="0"/>
                <w:noProof/>
                <w:szCs w:val="22"/>
                <w:lang w:eastAsia="en-AU"/>
              </w:rPr>
              <w:tab/>
            </w:r>
            <w:r w:rsidR="00730914" w:rsidRPr="001A7AC1">
              <w:rPr>
                <w:rStyle w:val="Hyperlink"/>
                <w:noProof/>
              </w:rPr>
              <w:t>Information provided on 2014 implementation of cost recovery arrangements</w:t>
            </w:r>
            <w:r w:rsidR="00730914">
              <w:rPr>
                <w:noProof/>
                <w:webHidden/>
              </w:rPr>
              <w:tab/>
            </w:r>
            <w:r>
              <w:rPr>
                <w:noProof/>
                <w:webHidden/>
              </w:rPr>
              <w:fldChar w:fldCharType="begin"/>
            </w:r>
            <w:r w:rsidR="00730914">
              <w:rPr>
                <w:noProof/>
                <w:webHidden/>
              </w:rPr>
              <w:instrText xml:space="preserve"> PAGEREF _Toc391541615 \h </w:instrText>
            </w:r>
            <w:r>
              <w:rPr>
                <w:noProof/>
                <w:webHidden/>
              </w:rPr>
            </w:r>
            <w:r>
              <w:rPr>
                <w:noProof/>
                <w:webHidden/>
              </w:rPr>
              <w:fldChar w:fldCharType="separate"/>
            </w:r>
            <w:r w:rsidR="001D521C">
              <w:rPr>
                <w:noProof/>
                <w:webHidden/>
              </w:rPr>
              <w:t>67</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616" w:history="1">
            <w:r w:rsidR="00730914" w:rsidRPr="001A7AC1">
              <w:rPr>
                <w:rStyle w:val="Hyperlink"/>
                <w:noProof/>
              </w:rPr>
              <w:t>6.2</w:t>
            </w:r>
            <w:r w:rsidR="00730914">
              <w:rPr>
                <w:rFonts w:asciiTheme="minorHAnsi" w:eastAsiaTheme="minorEastAsia" w:hAnsiTheme="minorHAnsi" w:cstheme="minorBidi"/>
                <w:i w:val="0"/>
                <w:noProof/>
                <w:szCs w:val="22"/>
                <w:lang w:eastAsia="en-AU"/>
              </w:rPr>
              <w:tab/>
            </w:r>
            <w:r w:rsidR="00730914" w:rsidRPr="001A7AC1">
              <w:rPr>
                <w:rStyle w:val="Hyperlink"/>
                <w:noProof/>
              </w:rPr>
              <w:t>How the final CRIS addresses issues raised in stakeholder consultation</w:t>
            </w:r>
            <w:r w:rsidR="00730914">
              <w:rPr>
                <w:noProof/>
                <w:webHidden/>
              </w:rPr>
              <w:tab/>
            </w:r>
            <w:r>
              <w:rPr>
                <w:noProof/>
                <w:webHidden/>
              </w:rPr>
              <w:fldChar w:fldCharType="begin"/>
            </w:r>
            <w:r w:rsidR="00730914">
              <w:rPr>
                <w:noProof/>
                <w:webHidden/>
              </w:rPr>
              <w:instrText xml:space="preserve"> PAGEREF _Toc391541616 \h </w:instrText>
            </w:r>
            <w:r>
              <w:rPr>
                <w:noProof/>
                <w:webHidden/>
              </w:rPr>
            </w:r>
            <w:r>
              <w:rPr>
                <w:noProof/>
                <w:webHidden/>
              </w:rPr>
              <w:fldChar w:fldCharType="separate"/>
            </w:r>
            <w:r w:rsidR="001D521C">
              <w:rPr>
                <w:noProof/>
                <w:webHidden/>
              </w:rPr>
              <w:t>67</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17" w:history="1">
            <w:r w:rsidR="00730914" w:rsidRPr="001A7AC1">
              <w:rPr>
                <w:rStyle w:val="Hyperlink"/>
                <w:noProof/>
              </w:rPr>
              <w:t>6.2.1</w:t>
            </w:r>
            <w:r w:rsidR="00730914">
              <w:rPr>
                <w:rFonts w:asciiTheme="minorHAnsi" w:hAnsiTheme="minorHAnsi"/>
                <w:noProof/>
              </w:rPr>
              <w:tab/>
            </w:r>
            <w:r w:rsidR="00730914" w:rsidRPr="001A7AC1">
              <w:rPr>
                <w:rStyle w:val="Hyperlink"/>
                <w:noProof/>
              </w:rPr>
              <w:t>2011 Consultation paper</w:t>
            </w:r>
            <w:r w:rsidR="00730914">
              <w:rPr>
                <w:noProof/>
                <w:webHidden/>
              </w:rPr>
              <w:tab/>
            </w:r>
            <w:r>
              <w:rPr>
                <w:noProof/>
                <w:webHidden/>
              </w:rPr>
              <w:fldChar w:fldCharType="begin"/>
            </w:r>
            <w:r w:rsidR="00730914">
              <w:rPr>
                <w:noProof/>
                <w:webHidden/>
              </w:rPr>
              <w:instrText xml:space="preserve"> PAGEREF _Toc391541617 \h </w:instrText>
            </w:r>
            <w:r>
              <w:rPr>
                <w:noProof/>
                <w:webHidden/>
              </w:rPr>
            </w:r>
            <w:r>
              <w:rPr>
                <w:noProof/>
                <w:webHidden/>
              </w:rPr>
              <w:fldChar w:fldCharType="separate"/>
            </w:r>
            <w:r w:rsidR="001D521C">
              <w:rPr>
                <w:noProof/>
                <w:webHidden/>
              </w:rPr>
              <w:t>67</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18" w:history="1">
            <w:r w:rsidR="00730914" w:rsidRPr="001A7AC1">
              <w:rPr>
                <w:rStyle w:val="Hyperlink"/>
                <w:noProof/>
              </w:rPr>
              <w:t>6.2.2</w:t>
            </w:r>
            <w:r w:rsidR="00730914">
              <w:rPr>
                <w:rFonts w:asciiTheme="minorHAnsi" w:hAnsiTheme="minorHAnsi"/>
                <w:noProof/>
              </w:rPr>
              <w:tab/>
            </w:r>
            <w:r w:rsidR="00730914" w:rsidRPr="001A7AC1">
              <w:rPr>
                <w:rStyle w:val="Hyperlink"/>
                <w:noProof/>
              </w:rPr>
              <w:t>Draft Cost Recovery Impact Statement 2012</w:t>
            </w:r>
            <w:r w:rsidR="00730914">
              <w:rPr>
                <w:noProof/>
                <w:webHidden/>
              </w:rPr>
              <w:tab/>
            </w:r>
            <w:r>
              <w:rPr>
                <w:noProof/>
                <w:webHidden/>
              </w:rPr>
              <w:fldChar w:fldCharType="begin"/>
            </w:r>
            <w:r w:rsidR="00730914">
              <w:rPr>
                <w:noProof/>
                <w:webHidden/>
              </w:rPr>
              <w:instrText xml:space="preserve"> PAGEREF _Toc391541618 \h </w:instrText>
            </w:r>
            <w:r>
              <w:rPr>
                <w:noProof/>
                <w:webHidden/>
              </w:rPr>
            </w:r>
            <w:r>
              <w:rPr>
                <w:noProof/>
                <w:webHidden/>
              </w:rPr>
              <w:fldChar w:fldCharType="separate"/>
            </w:r>
            <w:r w:rsidR="001D521C">
              <w:rPr>
                <w:noProof/>
                <w:webHidden/>
              </w:rPr>
              <w:t>68</w:t>
            </w:r>
            <w:r>
              <w:rPr>
                <w:noProof/>
                <w:webHidden/>
              </w:rPr>
              <w:fldChar w:fldCharType="end"/>
            </w:r>
          </w:hyperlink>
        </w:p>
        <w:p w:rsidR="00730914" w:rsidRDefault="00D30427">
          <w:pPr>
            <w:pStyle w:val="TOC1"/>
            <w:rPr>
              <w:rFonts w:asciiTheme="minorHAnsi" w:eastAsiaTheme="minorEastAsia" w:hAnsiTheme="minorHAnsi" w:cstheme="minorBidi"/>
              <w:noProof/>
              <w:color w:val="auto"/>
              <w:sz w:val="22"/>
              <w:szCs w:val="22"/>
              <w:lang w:eastAsia="en-AU"/>
            </w:rPr>
          </w:pPr>
          <w:hyperlink w:anchor="_Toc391541619" w:history="1">
            <w:r w:rsidR="00730914" w:rsidRPr="001A7AC1">
              <w:rPr>
                <w:rStyle w:val="Hyperlink"/>
                <w:noProof/>
              </w:rPr>
              <w:t>7</w:t>
            </w:r>
            <w:r w:rsidR="00730914">
              <w:rPr>
                <w:rFonts w:asciiTheme="minorHAnsi" w:eastAsiaTheme="minorEastAsia" w:hAnsiTheme="minorHAnsi" w:cstheme="minorBidi"/>
                <w:noProof/>
                <w:color w:val="auto"/>
                <w:sz w:val="22"/>
                <w:szCs w:val="22"/>
                <w:lang w:eastAsia="en-AU"/>
              </w:rPr>
              <w:tab/>
            </w:r>
            <w:r w:rsidR="00730914" w:rsidRPr="001A7AC1">
              <w:rPr>
                <w:rStyle w:val="Hyperlink"/>
                <w:noProof/>
              </w:rPr>
              <w:t>FINANCIAL ESTIMATES</w:t>
            </w:r>
            <w:r w:rsidR="00730914">
              <w:rPr>
                <w:noProof/>
                <w:webHidden/>
              </w:rPr>
              <w:tab/>
            </w:r>
            <w:r>
              <w:rPr>
                <w:noProof/>
                <w:webHidden/>
              </w:rPr>
              <w:fldChar w:fldCharType="begin"/>
            </w:r>
            <w:r w:rsidR="00730914">
              <w:rPr>
                <w:noProof/>
                <w:webHidden/>
              </w:rPr>
              <w:instrText xml:space="preserve"> PAGEREF _Toc391541619 \h </w:instrText>
            </w:r>
            <w:r>
              <w:rPr>
                <w:noProof/>
                <w:webHidden/>
              </w:rPr>
            </w:r>
            <w:r>
              <w:rPr>
                <w:noProof/>
                <w:webHidden/>
              </w:rPr>
              <w:fldChar w:fldCharType="separate"/>
            </w:r>
            <w:r w:rsidR="001D521C">
              <w:rPr>
                <w:noProof/>
                <w:webHidden/>
              </w:rPr>
              <w:t>70</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620" w:history="1">
            <w:r w:rsidR="00730914" w:rsidRPr="001A7AC1">
              <w:rPr>
                <w:rStyle w:val="Hyperlink"/>
                <w:noProof/>
              </w:rPr>
              <w:t>7.1</w:t>
            </w:r>
            <w:r w:rsidR="00730914">
              <w:rPr>
                <w:rFonts w:asciiTheme="minorHAnsi" w:eastAsiaTheme="minorEastAsia" w:hAnsiTheme="minorHAnsi" w:cstheme="minorBidi"/>
                <w:i w:val="0"/>
                <w:noProof/>
                <w:szCs w:val="22"/>
                <w:lang w:eastAsia="en-AU"/>
              </w:rPr>
              <w:tab/>
            </w:r>
            <w:r w:rsidR="00730914" w:rsidRPr="001A7AC1">
              <w:rPr>
                <w:rStyle w:val="Hyperlink"/>
                <w:noProof/>
              </w:rPr>
              <w:t>Projected revenue and expenses</w:t>
            </w:r>
            <w:r w:rsidR="00730914">
              <w:rPr>
                <w:noProof/>
                <w:webHidden/>
              </w:rPr>
              <w:tab/>
            </w:r>
            <w:r>
              <w:rPr>
                <w:noProof/>
                <w:webHidden/>
              </w:rPr>
              <w:fldChar w:fldCharType="begin"/>
            </w:r>
            <w:r w:rsidR="00730914">
              <w:rPr>
                <w:noProof/>
                <w:webHidden/>
              </w:rPr>
              <w:instrText xml:space="preserve"> PAGEREF _Toc391541620 \h </w:instrText>
            </w:r>
            <w:r>
              <w:rPr>
                <w:noProof/>
                <w:webHidden/>
              </w:rPr>
            </w:r>
            <w:r>
              <w:rPr>
                <w:noProof/>
                <w:webHidden/>
              </w:rPr>
              <w:fldChar w:fldCharType="separate"/>
            </w:r>
            <w:r w:rsidR="001D521C">
              <w:rPr>
                <w:noProof/>
                <w:webHidden/>
              </w:rPr>
              <w:t>70</w:t>
            </w:r>
            <w:r>
              <w:rPr>
                <w:noProof/>
                <w:webHidden/>
              </w:rPr>
              <w:fldChar w:fldCharType="end"/>
            </w:r>
          </w:hyperlink>
        </w:p>
        <w:p w:rsidR="00730914" w:rsidRDefault="00D30427">
          <w:pPr>
            <w:pStyle w:val="TOC1"/>
            <w:rPr>
              <w:rFonts w:asciiTheme="minorHAnsi" w:eastAsiaTheme="minorEastAsia" w:hAnsiTheme="minorHAnsi" w:cstheme="minorBidi"/>
              <w:noProof/>
              <w:color w:val="auto"/>
              <w:sz w:val="22"/>
              <w:szCs w:val="22"/>
              <w:lang w:eastAsia="en-AU"/>
            </w:rPr>
          </w:pPr>
          <w:hyperlink w:anchor="_Toc391541621" w:history="1">
            <w:r w:rsidR="00730914" w:rsidRPr="001A7AC1">
              <w:rPr>
                <w:rStyle w:val="Hyperlink"/>
                <w:noProof/>
              </w:rPr>
              <w:t>8</w:t>
            </w:r>
            <w:r w:rsidR="00730914">
              <w:rPr>
                <w:rFonts w:asciiTheme="minorHAnsi" w:eastAsiaTheme="minorEastAsia" w:hAnsiTheme="minorHAnsi" w:cstheme="minorBidi"/>
                <w:noProof/>
                <w:color w:val="auto"/>
                <w:sz w:val="22"/>
                <w:szCs w:val="22"/>
                <w:lang w:eastAsia="en-AU"/>
              </w:rPr>
              <w:tab/>
            </w:r>
            <w:r w:rsidR="00730914" w:rsidRPr="001A7AC1">
              <w:rPr>
                <w:rStyle w:val="Hyperlink"/>
                <w:noProof/>
              </w:rPr>
              <w:t>FINANCIAL PERFORMANCE</w:t>
            </w:r>
            <w:r w:rsidR="00730914">
              <w:rPr>
                <w:noProof/>
                <w:webHidden/>
              </w:rPr>
              <w:tab/>
            </w:r>
            <w:r>
              <w:rPr>
                <w:noProof/>
                <w:webHidden/>
              </w:rPr>
              <w:fldChar w:fldCharType="begin"/>
            </w:r>
            <w:r w:rsidR="00730914">
              <w:rPr>
                <w:noProof/>
                <w:webHidden/>
              </w:rPr>
              <w:instrText xml:space="preserve"> PAGEREF _Toc391541621 \h </w:instrText>
            </w:r>
            <w:r>
              <w:rPr>
                <w:noProof/>
                <w:webHidden/>
              </w:rPr>
            </w:r>
            <w:r>
              <w:rPr>
                <w:noProof/>
                <w:webHidden/>
              </w:rPr>
              <w:fldChar w:fldCharType="separate"/>
            </w:r>
            <w:r w:rsidR="001D521C">
              <w:rPr>
                <w:noProof/>
                <w:webHidden/>
              </w:rPr>
              <w:t>77</w:t>
            </w:r>
            <w:r>
              <w:rPr>
                <w:noProof/>
                <w:webHidden/>
              </w:rPr>
              <w:fldChar w:fldCharType="end"/>
            </w:r>
          </w:hyperlink>
        </w:p>
        <w:p w:rsidR="00730914" w:rsidRDefault="00D30427">
          <w:pPr>
            <w:pStyle w:val="TOC1"/>
            <w:rPr>
              <w:rFonts w:asciiTheme="minorHAnsi" w:eastAsiaTheme="minorEastAsia" w:hAnsiTheme="minorHAnsi" w:cstheme="minorBidi"/>
              <w:noProof/>
              <w:color w:val="auto"/>
              <w:sz w:val="22"/>
              <w:szCs w:val="22"/>
              <w:lang w:eastAsia="en-AU"/>
            </w:rPr>
          </w:pPr>
          <w:hyperlink w:anchor="_Toc391541622" w:history="1">
            <w:r w:rsidR="00730914" w:rsidRPr="001A7AC1">
              <w:rPr>
                <w:rStyle w:val="Hyperlink"/>
                <w:noProof/>
              </w:rPr>
              <w:t>9</w:t>
            </w:r>
            <w:r w:rsidR="00730914">
              <w:rPr>
                <w:rFonts w:asciiTheme="minorHAnsi" w:eastAsiaTheme="minorEastAsia" w:hAnsiTheme="minorHAnsi" w:cstheme="minorBidi"/>
                <w:noProof/>
                <w:color w:val="auto"/>
                <w:sz w:val="22"/>
                <w:szCs w:val="22"/>
                <w:lang w:eastAsia="en-AU"/>
              </w:rPr>
              <w:tab/>
            </w:r>
            <w:r w:rsidR="00730914" w:rsidRPr="001A7AC1">
              <w:rPr>
                <w:rStyle w:val="Hyperlink"/>
                <w:noProof/>
              </w:rPr>
              <w:t>NON- FINANCIAL PERFORMANCE</w:t>
            </w:r>
            <w:r w:rsidR="00730914">
              <w:rPr>
                <w:noProof/>
                <w:webHidden/>
              </w:rPr>
              <w:tab/>
            </w:r>
            <w:r>
              <w:rPr>
                <w:noProof/>
                <w:webHidden/>
              </w:rPr>
              <w:fldChar w:fldCharType="begin"/>
            </w:r>
            <w:r w:rsidR="00730914">
              <w:rPr>
                <w:noProof/>
                <w:webHidden/>
              </w:rPr>
              <w:instrText xml:space="preserve"> PAGEREF _Toc391541622 \h </w:instrText>
            </w:r>
            <w:r>
              <w:rPr>
                <w:noProof/>
                <w:webHidden/>
              </w:rPr>
            </w:r>
            <w:r>
              <w:rPr>
                <w:noProof/>
                <w:webHidden/>
              </w:rPr>
              <w:fldChar w:fldCharType="separate"/>
            </w:r>
            <w:r w:rsidR="001D521C">
              <w:rPr>
                <w:noProof/>
                <w:webHidden/>
              </w:rPr>
              <w:t>78</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623" w:history="1">
            <w:r w:rsidR="00730914" w:rsidRPr="001A7AC1">
              <w:rPr>
                <w:rStyle w:val="Hyperlink"/>
                <w:noProof/>
              </w:rPr>
              <w:t>9.1</w:t>
            </w:r>
            <w:r w:rsidR="00730914">
              <w:rPr>
                <w:rFonts w:asciiTheme="minorHAnsi" w:eastAsiaTheme="minorEastAsia" w:hAnsiTheme="minorHAnsi" w:cstheme="minorBidi"/>
                <w:i w:val="0"/>
                <w:noProof/>
                <w:szCs w:val="22"/>
                <w:lang w:eastAsia="en-AU"/>
              </w:rPr>
              <w:tab/>
            </w:r>
            <w:r w:rsidR="00730914" w:rsidRPr="001A7AC1">
              <w:rPr>
                <w:rStyle w:val="Hyperlink"/>
                <w:noProof/>
              </w:rPr>
              <w:t>Non-financial performance indicators</w:t>
            </w:r>
            <w:r w:rsidR="00730914">
              <w:rPr>
                <w:noProof/>
                <w:webHidden/>
              </w:rPr>
              <w:tab/>
            </w:r>
            <w:r>
              <w:rPr>
                <w:noProof/>
                <w:webHidden/>
              </w:rPr>
              <w:fldChar w:fldCharType="begin"/>
            </w:r>
            <w:r w:rsidR="00730914">
              <w:rPr>
                <w:noProof/>
                <w:webHidden/>
              </w:rPr>
              <w:instrText xml:space="preserve"> PAGEREF _Toc391541623 \h </w:instrText>
            </w:r>
            <w:r>
              <w:rPr>
                <w:noProof/>
                <w:webHidden/>
              </w:rPr>
            </w:r>
            <w:r>
              <w:rPr>
                <w:noProof/>
                <w:webHidden/>
              </w:rPr>
              <w:fldChar w:fldCharType="separate"/>
            </w:r>
            <w:r w:rsidR="001D521C">
              <w:rPr>
                <w:noProof/>
                <w:webHidden/>
              </w:rPr>
              <w:t>78</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24" w:history="1">
            <w:r w:rsidR="00730914" w:rsidRPr="001A7AC1">
              <w:rPr>
                <w:rStyle w:val="Hyperlink"/>
                <w:noProof/>
              </w:rPr>
              <w:t>9.1.1</w:t>
            </w:r>
            <w:r w:rsidR="00730914">
              <w:rPr>
                <w:rFonts w:asciiTheme="minorHAnsi" w:hAnsiTheme="minorHAnsi"/>
                <w:noProof/>
              </w:rPr>
              <w:tab/>
            </w:r>
            <w:r w:rsidR="00730914" w:rsidRPr="001A7AC1">
              <w:rPr>
                <w:rStyle w:val="Hyperlink"/>
                <w:noProof/>
              </w:rPr>
              <w:t>Compliance with statutory timeframes</w:t>
            </w:r>
            <w:r w:rsidR="00730914">
              <w:rPr>
                <w:noProof/>
                <w:webHidden/>
              </w:rPr>
              <w:tab/>
            </w:r>
            <w:r>
              <w:rPr>
                <w:noProof/>
                <w:webHidden/>
              </w:rPr>
              <w:fldChar w:fldCharType="begin"/>
            </w:r>
            <w:r w:rsidR="00730914">
              <w:rPr>
                <w:noProof/>
                <w:webHidden/>
              </w:rPr>
              <w:instrText xml:space="preserve"> PAGEREF _Toc391541624 \h </w:instrText>
            </w:r>
            <w:r>
              <w:rPr>
                <w:noProof/>
                <w:webHidden/>
              </w:rPr>
            </w:r>
            <w:r>
              <w:rPr>
                <w:noProof/>
                <w:webHidden/>
              </w:rPr>
              <w:fldChar w:fldCharType="separate"/>
            </w:r>
            <w:r w:rsidR="001D521C">
              <w:rPr>
                <w:noProof/>
                <w:webHidden/>
              </w:rPr>
              <w:t>78</w:t>
            </w:r>
            <w:r>
              <w:rPr>
                <w:noProof/>
                <w:webHidden/>
              </w:rPr>
              <w:fldChar w:fldCharType="end"/>
            </w:r>
          </w:hyperlink>
        </w:p>
        <w:p w:rsidR="00730914" w:rsidRDefault="00D30427">
          <w:pPr>
            <w:pStyle w:val="TOC3"/>
            <w:tabs>
              <w:tab w:val="left" w:pos="1320"/>
              <w:tab w:val="right" w:leader="dot" w:pos="9202"/>
            </w:tabs>
            <w:rPr>
              <w:rFonts w:asciiTheme="minorHAnsi" w:hAnsiTheme="minorHAnsi"/>
              <w:noProof/>
            </w:rPr>
          </w:pPr>
          <w:hyperlink w:anchor="_Toc391541625" w:history="1">
            <w:r w:rsidR="00730914" w:rsidRPr="001A7AC1">
              <w:rPr>
                <w:rStyle w:val="Hyperlink"/>
                <w:noProof/>
              </w:rPr>
              <w:t>9.1.2</w:t>
            </w:r>
            <w:r w:rsidR="00730914">
              <w:rPr>
                <w:rFonts w:asciiTheme="minorHAnsi" w:hAnsiTheme="minorHAnsi"/>
                <w:noProof/>
              </w:rPr>
              <w:tab/>
            </w:r>
            <w:r w:rsidR="00730914" w:rsidRPr="001A7AC1">
              <w:rPr>
                <w:rStyle w:val="Hyperlink"/>
                <w:noProof/>
              </w:rPr>
              <w:t>Time taken to complete an assessment</w:t>
            </w:r>
            <w:r w:rsidR="00730914">
              <w:rPr>
                <w:noProof/>
                <w:webHidden/>
              </w:rPr>
              <w:tab/>
            </w:r>
            <w:r>
              <w:rPr>
                <w:noProof/>
                <w:webHidden/>
              </w:rPr>
              <w:fldChar w:fldCharType="begin"/>
            </w:r>
            <w:r w:rsidR="00730914">
              <w:rPr>
                <w:noProof/>
                <w:webHidden/>
              </w:rPr>
              <w:instrText xml:space="preserve"> PAGEREF _Toc391541625 \h </w:instrText>
            </w:r>
            <w:r>
              <w:rPr>
                <w:noProof/>
                <w:webHidden/>
              </w:rPr>
            </w:r>
            <w:r>
              <w:rPr>
                <w:noProof/>
                <w:webHidden/>
              </w:rPr>
              <w:fldChar w:fldCharType="separate"/>
            </w:r>
            <w:r w:rsidR="001D521C">
              <w:rPr>
                <w:noProof/>
                <w:webHidden/>
              </w:rPr>
              <w:t>79</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626" w:history="1">
            <w:r w:rsidR="00730914" w:rsidRPr="001A7AC1">
              <w:rPr>
                <w:rStyle w:val="Hyperlink"/>
                <w:noProof/>
              </w:rPr>
              <w:t>9.2</w:t>
            </w:r>
            <w:r w:rsidR="00730914">
              <w:rPr>
                <w:rFonts w:asciiTheme="minorHAnsi" w:eastAsiaTheme="minorEastAsia" w:hAnsiTheme="minorHAnsi" w:cstheme="minorBidi"/>
                <w:i w:val="0"/>
                <w:noProof/>
                <w:szCs w:val="22"/>
                <w:lang w:eastAsia="en-AU"/>
              </w:rPr>
              <w:tab/>
            </w:r>
            <w:r w:rsidR="00730914" w:rsidRPr="001A7AC1">
              <w:rPr>
                <w:rStyle w:val="Hyperlink"/>
                <w:noProof/>
              </w:rPr>
              <w:t>Monitoring mechanisms</w:t>
            </w:r>
            <w:r w:rsidR="00730914">
              <w:rPr>
                <w:noProof/>
                <w:webHidden/>
              </w:rPr>
              <w:tab/>
            </w:r>
            <w:r>
              <w:rPr>
                <w:noProof/>
                <w:webHidden/>
              </w:rPr>
              <w:fldChar w:fldCharType="begin"/>
            </w:r>
            <w:r w:rsidR="00730914">
              <w:rPr>
                <w:noProof/>
                <w:webHidden/>
              </w:rPr>
              <w:instrText xml:space="preserve"> PAGEREF _Toc391541626 \h </w:instrText>
            </w:r>
            <w:r>
              <w:rPr>
                <w:noProof/>
                <w:webHidden/>
              </w:rPr>
            </w:r>
            <w:r>
              <w:rPr>
                <w:noProof/>
                <w:webHidden/>
              </w:rPr>
              <w:fldChar w:fldCharType="separate"/>
            </w:r>
            <w:r w:rsidR="001D521C">
              <w:rPr>
                <w:noProof/>
                <w:webHidden/>
              </w:rPr>
              <w:t>80</w:t>
            </w:r>
            <w:r>
              <w:rPr>
                <w:noProof/>
                <w:webHidden/>
              </w:rPr>
              <w:fldChar w:fldCharType="end"/>
            </w:r>
          </w:hyperlink>
        </w:p>
        <w:p w:rsidR="00730914" w:rsidRDefault="00D30427">
          <w:pPr>
            <w:pStyle w:val="TOC2"/>
            <w:tabs>
              <w:tab w:val="left" w:pos="880"/>
              <w:tab w:val="right" w:leader="dot" w:pos="9202"/>
            </w:tabs>
            <w:rPr>
              <w:rFonts w:asciiTheme="minorHAnsi" w:eastAsiaTheme="minorEastAsia" w:hAnsiTheme="minorHAnsi" w:cstheme="minorBidi"/>
              <w:i w:val="0"/>
              <w:noProof/>
              <w:szCs w:val="22"/>
              <w:lang w:eastAsia="en-AU"/>
            </w:rPr>
          </w:pPr>
          <w:hyperlink w:anchor="_Toc391541627" w:history="1">
            <w:r w:rsidR="00730914" w:rsidRPr="001A7AC1">
              <w:rPr>
                <w:rStyle w:val="Hyperlink"/>
                <w:noProof/>
              </w:rPr>
              <w:t>9.3</w:t>
            </w:r>
            <w:r w:rsidR="00730914">
              <w:rPr>
                <w:rFonts w:asciiTheme="minorHAnsi" w:eastAsiaTheme="minorEastAsia" w:hAnsiTheme="minorHAnsi" w:cstheme="minorBidi"/>
                <w:i w:val="0"/>
                <w:noProof/>
                <w:szCs w:val="22"/>
                <w:lang w:eastAsia="en-AU"/>
              </w:rPr>
              <w:tab/>
            </w:r>
            <w:r w:rsidR="00730914" w:rsidRPr="001A7AC1">
              <w:rPr>
                <w:rStyle w:val="Hyperlink"/>
                <w:noProof/>
              </w:rPr>
              <w:t>Review of CRIS</w:t>
            </w:r>
            <w:r w:rsidR="00730914">
              <w:rPr>
                <w:noProof/>
                <w:webHidden/>
              </w:rPr>
              <w:tab/>
            </w:r>
            <w:r>
              <w:rPr>
                <w:noProof/>
                <w:webHidden/>
              </w:rPr>
              <w:fldChar w:fldCharType="begin"/>
            </w:r>
            <w:r w:rsidR="00730914">
              <w:rPr>
                <w:noProof/>
                <w:webHidden/>
              </w:rPr>
              <w:instrText xml:space="preserve"> PAGEREF _Toc391541627 \h </w:instrText>
            </w:r>
            <w:r>
              <w:rPr>
                <w:noProof/>
                <w:webHidden/>
              </w:rPr>
            </w:r>
            <w:r>
              <w:rPr>
                <w:noProof/>
                <w:webHidden/>
              </w:rPr>
              <w:fldChar w:fldCharType="separate"/>
            </w:r>
            <w:r w:rsidR="001D521C">
              <w:rPr>
                <w:noProof/>
                <w:webHidden/>
              </w:rPr>
              <w:t>80</w:t>
            </w:r>
            <w:r>
              <w:rPr>
                <w:noProof/>
                <w:webHidden/>
              </w:rPr>
              <w:fldChar w:fldCharType="end"/>
            </w:r>
          </w:hyperlink>
        </w:p>
        <w:p w:rsidR="00730914" w:rsidRDefault="00D30427">
          <w:pPr>
            <w:pStyle w:val="TOC1"/>
            <w:rPr>
              <w:rFonts w:asciiTheme="minorHAnsi" w:eastAsiaTheme="minorEastAsia" w:hAnsiTheme="minorHAnsi" w:cstheme="minorBidi"/>
              <w:noProof/>
              <w:color w:val="auto"/>
              <w:sz w:val="22"/>
              <w:szCs w:val="22"/>
              <w:lang w:eastAsia="en-AU"/>
            </w:rPr>
          </w:pPr>
          <w:hyperlink w:anchor="_Toc391541628" w:history="1">
            <w:r w:rsidR="00730914" w:rsidRPr="001A7AC1">
              <w:rPr>
                <w:rStyle w:val="Hyperlink"/>
                <w:noProof/>
              </w:rPr>
              <w:t>10</w:t>
            </w:r>
            <w:r w:rsidR="00730914">
              <w:rPr>
                <w:rFonts w:asciiTheme="minorHAnsi" w:eastAsiaTheme="minorEastAsia" w:hAnsiTheme="minorHAnsi" w:cstheme="minorBidi"/>
                <w:noProof/>
                <w:color w:val="auto"/>
                <w:sz w:val="22"/>
                <w:szCs w:val="22"/>
                <w:lang w:eastAsia="en-AU"/>
              </w:rPr>
              <w:tab/>
            </w:r>
            <w:r w:rsidR="00730914" w:rsidRPr="001A7AC1">
              <w:rPr>
                <w:rStyle w:val="Hyperlink"/>
                <w:noProof/>
              </w:rPr>
              <w:t>KEY FORWARD DATES AND EVENTS</w:t>
            </w:r>
            <w:r w:rsidR="00730914">
              <w:rPr>
                <w:noProof/>
                <w:webHidden/>
              </w:rPr>
              <w:tab/>
            </w:r>
            <w:r>
              <w:rPr>
                <w:noProof/>
                <w:webHidden/>
              </w:rPr>
              <w:fldChar w:fldCharType="begin"/>
            </w:r>
            <w:r w:rsidR="00730914">
              <w:rPr>
                <w:noProof/>
                <w:webHidden/>
              </w:rPr>
              <w:instrText xml:space="preserve"> PAGEREF _Toc391541628 \h </w:instrText>
            </w:r>
            <w:r>
              <w:rPr>
                <w:noProof/>
                <w:webHidden/>
              </w:rPr>
            </w:r>
            <w:r>
              <w:rPr>
                <w:noProof/>
                <w:webHidden/>
              </w:rPr>
              <w:fldChar w:fldCharType="separate"/>
            </w:r>
            <w:r w:rsidR="001D521C">
              <w:rPr>
                <w:noProof/>
                <w:webHidden/>
              </w:rPr>
              <w:t>81</w:t>
            </w:r>
            <w:r>
              <w:rPr>
                <w:noProof/>
                <w:webHidden/>
              </w:rPr>
              <w:fldChar w:fldCharType="end"/>
            </w:r>
          </w:hyperlink>
        </w:p>
        <w:p w:rsidR="00730914" w:rsidRDefault="00D30427">
          <w:pPr>
            <w:pStyle w:val="TOC1"/>
            <w:rPr>
              <w:rFonts w:asciiTheme="minorHAnsi" w:eastAsiaTheme="minorEastAsia" w:hAnsiTheme="minorHAnsi" w:cstheme="minorBidi"/>
              <w:noProof/>
              <w:color w:val="auto"/>
              <w:sz w:val="22"/>
              <w:szCs w:val="22"/>
              <w:lang w:eastAsia="en-AU"/>
            </w:rPr>
          </w:pPr>
          <w:hyperlink w:anchor="_Toc391541629" w:history="1">
            <w:r w:rsidR="00730914" w:rsidRPr="001A7AC1">
              <w:rPr>
                <w:rStyle w:val="Hyperlink"/>
                <w:noProof/>
                <w:lang w:val="en-US"/>
              </w:rPr>
              <w:t>11</w:t>
            </w:r>
            <w:r w:rsidR="00730914">
              <w:rPr>
                <w:rFonts w:asciiTheme="minorHAnsi" w:eastAsiaTheme="minorEastAsia" w:hAnsiTheme="minorHAnsi" w:cstheme="minorBidi"/>
                <w:noProof/>
                <w:color w:val="auto"/>
                <w:sz w:val="22"/>
                <w:szCs w:val="22"/>
                <w:lang w:eastAsia="en-AU"/>
              </w:rPr>
              <w:tab/>
            </w:r>
            <w:r w:rsidR="00730914" w:rsidRPr="001A7AC1">
              <w:rPr>
                <w:rStyle w:val="Hyperlink"/>
                <w:noProof/>
                <w:lang w:val="en-US"/>
              </w:rPr>
              <w:t>CRIS APPROVAL AND CHANGE REGISTER</w:t>
            </w:r>
            <w:r w:rsidR="00730914">
              <w:rPr>
                <w:noProof/>
                <w:webHidden/>
              </w:rPr>
              <w:tab/>
            </w:r>
            <w:r>
              <w:rPr>
                <w:noProof/>
                <w:webHidden/>
              </w:rPr>
              <w:fldChar w:fldCharType="begin"/>
            </w:r>
            <w:r w:rsidR="00730914">
              <w:rPr>
                <w:noProof/>
                <w:webHidden/>
              </w:rPr>
              <w:instrText xml:space="preserve"> PAGEREF _Toc391541629 \h </w:instrText>
            </w:r>
            <w:r>
              <w:rPr>
                <w:noProof/>
                <w:webHidden/>
              </w:rPr>
            </w:r>
            <w:r>
              <w:rPr>
                <w:noProof/>
                <w:webHidden/>
              </w:rPr>
              <w:fldChar w:fldCharType="separate"/>
            </w:r>
            <w:r w:rsidR="001D521C">
              <w:rPr>
                <w:noProof/>
                <w:webHidden/>
              </w:rPr>
              <w:t>82</w:t>
            </w:r>
            <w:r>
              <w:rPr>
                <w:noProof/>
                <w:webHidden/>
              </w:rPr>
              <w:fldChar w:fldCharType="end"/>
            </w:r>
          </w:hyperlink>
        </w:p>
        <w:p w:rsidR="00394D9E" w:rsidRDefault="00D30427">
          <w:r>
            <w:rPr>
              <w:b/>
              <w:bCs/>
              <w:noProof/>
            </w:rPr>
            <w:fldChar w:fldCharType="end"/>
          </w:r>
        </w:p>
      </w:sdtContent>
    </w:sdt>
    <w:p w:rsidR="000B573E" w:rsidRDefault="000064E1">
      <w:pPr>
        <w:pStyle w:val="TOAHeading"/>
      </w:pPr>
      <w:r>
        <w:t>Table of Figures</w:t>
      </w:r>
    </w:p>
    <w:p w:rsidR="00730914" w:rsidRDefault="00D30427">
      <w:pPr>
        <w:pStyle w:val="TableofFigures"/>
        <w:tabs>
          <w:tab w:val="right" w:leader="dot" w:pos="9202"/>
        </w:tabs>
        <w:rPr>
          <w:rFonts w:eastAsiaTheme="minorEastAsia" w:cstheme="minorBidi"/>
          <w:i w:val="0"/>
          <w:iCs w:val="0"/>
          <w:noProof/>
          <w:sz w:val="22"/>
          <w:szCs w:val="22"/>
          <w:lang w:eastAsia="en-AU"/>
        </w:rPr>
      </w:pPr>
      <w:r w:rsidRPr="00D30427">
        <w:fldChar w:fldCharType="begin"/>
      </w:r>
      <w:r w:rsidR="00254EF1">
        <w:instrText xml:space="preserve"> TOC \h \z \c "Figure" </w:instrText>
      </w:r>
      <w:r w:rsidRPr="00D30427">
        <w:fldChar w:fldCharType="separate"/>
      </w:r>
      <w:hyperlink w:anchor="_Toc391541630" w:history="1">
        <w:r w:rsidR="00730914" w:rsidRPr="00F369F1">
          <w:rPr>
            <w:rStyle w:val="Hyperlink"/>
            <w:noProof/>
          </w:rPr>
          <w:t>Figure 1. The EPBC Act cost recovery charging model</w:t>
        </w:r>
        <w:r w:rsidR="00730914">
          <w:rPr>
            <w:noProof/>
            <w:webHidden/>
          </w:rPr>
          <w:tab/>
        </w:r>
        <w:r>
          <w:rPr>
            <w:noProof/>
            <w:webHidden/>
          </w:rPr>
          <w:fldChar w:fldCharType="begin"/>
        </w:r>
        <w:r w:rsidR="00730914">
          <w:rPr>
            <w:noProof/>
            <w:webHidden/>
          </w:rPr>
          <w:instrText xml:space="preserve"> PAGEREF _Toc391541630 \h </w:instrText>
        </w:r>
        <w:r>
          <w:rPr>
            <w:noProof/>
            <w:webHidden/>
          </w:rPr>
        </w:r>
        <w:r>
          <w:rPr>
            <w:noProof/>
            <w:webHidden/>
          </w:rPr>
          <w:fldChar w:fldCharType="separate"/>
        </w:r>
        <w:r w:rsidR="001D521C">
          <w:rPr>
            <w:noProof/>
            <w:webHidden/>
          </w:rPr>
          <w:t>7</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31" w:history="1">
        <w:r w:rsidR="00730914" w:rsidRPr="00F369F1">
          <w:rPr>
            <w:rStyle w:val="Hyperlink"/>
            <w:noProof/>
          </w:rPr>
          <w:t>Figure 2. Referrals under the EPBC Act categorised by industry from 1 July 2007 and 30 June 2012. A total of 2119 referrals were received during this period.</w:t>
        </w:r>
        <w:r w:rsidR="00730914">
          <w:rPr>
            <w:noProof/>
            <w:webHidden/>
          </w:rPr>
          <w:tab/>
        </w:r>
        <w:r>
          <w:rPr>
            <w:noProof/>
            <w:webHidden/>
          </w:rPr>
          <w:fldChar w:fldCharType="begin"/>
        </w:r>
        <w:r w:rsidR="00730914">
          <w:rPr>
            <w:noProof/>
            <w:webHidden/>
          </w:rPr>
          <w:instrText xml:space="preserve"> PAGEREF _Toc391541631 \h </w:instrText>
        </w:r>
        <w:r>
          <w:rPr>
            <w:noProof/>
            <w:webHidden/>
          </w:rPr>
        </w:r>
        <w:r>
          <w:rPr>
            <w:noProof/>
            <w:webHidden/>
          </w:rPr>
          <w:fldChar w:fldCharType="separate"/>
        </w:r>
        <w:r w:rsidR="001D521C">
          <w:rPr>
            <w:noProof/>
            <w:webHidden/>
          </w:rPr>
          <w:t>8</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32" w:history="1">
        <w:r w:rsidR="00730914" w:rsidRPr="00F369F1">
          <w:rPr>
            <w:rStyle w:val="Hyperlink"/>
            <w:noProof/>
          </w:rPr>
          <w:t>Figure 3. Overview of the environmental impact assessment process under national environmental law, including the assessment approach options.</w:t>
        </w:r>
        <w:r w:rsidR="00730914">
          <w:rPr>
            <w:noProof/>
            <w:webHidden/>
          </w:rPr>
          <w:tab/>
        </w:r>
        <w:r>
          <w:rPr>
            <w:noProof/>
            <w:webHidden/>
          </w:rPr>
          <w:fldChar w:fldCharType="begin"/>
        </w:r>
        <w:r w:rsidR="00730914">
          <w:rPr>
            <w:noProof/>
            <w:webHidden/>
          </w:rPr>
          <w:instrText xml:space="preserve"> PAGEREF _Toc391541632 \h </w:instrText>
        </w:r>
        <w:r>
          <w:rPr>
            <w:noProof/>
            <w:webHidden/>
          </w:rPr>
        </w:r>
        <w:r>
          <w:rPr>
            <w:noProof/>
            <w:webHidden/>
          </w:rPr>
          <w:fldChar w:fldCharType="separate"/>
        </w:r>
        <w:r w:rsidR="001D521C">
          <w:rPr>
            <w:noProof/>
            <w:webHidden/>
          </w:rPr>
          <w:t>10</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33" w:history="1">
        <w:r w:rsidR="00730914" w:rsidRPr="00F369F1">
          <w:rPr>
            <w:rStyle w:val="Hyperlink"/>
            <w:noProof/>
          </w:rPr>
          <w:t>Figure 4. Point values for listed threatened species and ecological communities.</w:t>
        </w:r>
        <w:r w:rsidR="00730914">
          <w:rPr>
            <w:noProof/>
            <w:webHidden/>
          </w:rPr>
          <w:tab/>
        </w:r>
        <w:r>
          <w:rPr>
            <w:noProof/>
            <w:webHidden/>
          </w:rPr>
          <w:fldChar w:fldCharType="begin"/>
        </w:r>
        <w:r w:rsidR="00730914">
          <w:rPr>
            <w:noProof/>
            <w:webHidden/>
          </w:rPr>
          <w:instrText xml:space="preserve"> PAGEREF _Toc391541633 \h </w:instrText>
        </w:r>
        <w:r>
          <w:rPr>
            <w:noProof/>
            <w:webHidden/>
          </w:rPr>
        </w:r>
        <w:r>
          <w:rPr>
            <w:noProof/>
            <w:webHidden/>
          </w:rPr>
          <w:fldChar w:fldCharType="separate"/>
        </w:r>
        <w:r w:rsidR="001D521C">
          <w:rPr>
            <w:noProof/>
            <w:webHidden/>
          </w:rPr>
          <w:t>20</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34" w:history="1">
        <w:r w:rsidR="00730914" w:rsidRPr="00F369F1">
          <w:rPr>
            <w:rStyle w:val="Hyperlink"/>
            <w:noProof/>
          </w:rPr>
          <w:t>Figure 5. Fees per number of categories for listed migratory species.</w:t>
        </w:r>
        <w:r w:rsidR="00730914">
          <w:rPr>
            <w:noProof/>
            <w:webHidden/>
          </w:rPr>
          <w:tab/>
        </w:r>
        <w:r>
          <w:rPr>
            <w:noProof/>
            <w:webHidden/>
          </w:rPr>
          <w:fldChar w:fldCharType="begin"/>
        </w:r>
        <w:r w:rsidR="00730914">
          <w:rPr>
            <w:noProof/>
            <w:webHidden/>
          </w:rPr>
          <w:instrText xml:space="preserve"> PAGEREF _Toc391541634 \h </w:instrText>
        </w:r>
        <w:r>
          <w:rPr>
            <w:noProof/>
            <w:webHidden/>
          </w:rPr>
        </w:r>
        <w:r>
          <w:rPr>
            <w:noProof/>
            <w:webHidden/>
          </w:rPr>
          <w:fldChar w:fldCharType="separate"/>
        </w:r>
        <w:r w:rsidR="001D521C">
          <w:rPr>
            <w:noProof/>
            <w:webHidden/>
          </w:rPr>
          <w:t>20</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35" w:history="1">
        <w:r w:rsidR="00730914" w:rsidRPr="00F369F1">
          <w:rPr>
            <w:rStyle w:val="Hyperlink"/>
            <w:noProof/>
          </w:rPr>
          <w:t>Figure 6. The EPBC Act cost recovery charging model for environmental impact assessments.</w:t>
        </w:r>
        <w:r w:rsidR="00730914">
          <w:rPr>
            <w:noProof/>
            <w:webHidden/>
          </w:rPr>
          <w:tab/>
        </w:r>
        <w:r>
          <w:rPr>
            <w:noProof/>
            <w:webHidden/>
          </w:rPr>
          <w:fldChar w:fldCharType="begin"/>
        </w:r>
        <w:r w:rsidR="00730914">
          <w:rPr>
            <w:noProof/>
            <w:webHidden/>
          </w:rPr>
          <w:instrText xml:space="preserve"> PAGEREF _Toc391541635 \h </w:instrText>
        </w:r>
        <w:r>
          <w:rPr>
            <w:noProof/>
            <w:webHidden/>
          </w:rPr>
        </w:r>
        <w:r>
          <w:rPr>
            <w:noProof/>
            <w:webHidden/>
          </w:rPr>
          <w:fldChar w:fldCharType="separate"/>
        </w:r>
        <w:r w:rsidR="001D521C">
          <w:rPr>
            <w:noProof/>
            <w:webHidden/>
          </w:rPr>
          <w:t>21</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36" w:history="1">
        <w:r w:rsidR="00730914" w:rsidRPr="00F369F1">
          <w:rPr>
            <w:rStyle w:val="Hyperlink"/>
            <w:noProof/>
          </w:rPr>
          <w:t>Figure 7. The standard referral process for environmental impact assessment</w:t>
        </w:r>
        <w:r w:rsidR="00730914">
          <w:rPr>
            <w:noProof/>
            <w:webHidden/>
          </w:rPr>
          <w:tab/>
        </w:r>
        <w:r>
          <w:rPr>
            <w:noProof/>
            <w:webHidden/>
          </w:rPr>
          <w:fldChar w:fldCharType="begin"/>
        </w:r>
        <w:r w:rsidR="00730914">
          <w:rPr>
            <w:noProof/>
            <w:webHidden/>
          </w:rPr>
          <w:instrText xml:space="preserve"> PAGEREF _Toc391541636 \h </w:instrText>
        </w:r>
        <w:r>
          <w:rPr>
            <w:noProof/>
            <w:webHidden/>
          </w:rPr>
        </w:r>
        <w:r>
          <w:rPr>
            <w:noProof/>
            <w:webHidden/>
          </w:rPr>
          <w:fldChar w:fldCharType="separate"/>
        </w:r>
        <w:r w:rsidR="001D521C">
          <w:rPr>
            <w:noProof/>
            <w:webHidden/>
          </w:rPr>
          <w:t>22</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37" w:history="1">
        <w:r w:rsidR="00730914" w:rsidRPr="00F369F1">
          <w:rPr>
            <w:rStyle w:val="Hyperlink"/>
            <w:noProof/>
          </w:rPr>
          <w:t>Figure 8. The standard assessment processes for environmental impact assessment</w:t>
        </w:r>
        <w:r w:rsidR="00730914">
          <w:rPr>
            <w:noProof/>
            <w:webHidden/>
          </w:rPr>
          <w:tab/>
        </w:r>
        <w:r>
          <w:rPr>
            <w:noProof/>
            <w:webHidden/>
          </w:rPr>
          <w:fldChar w:fldCharType="begin"/>
        </w:r>
        <w:r w:rsidR="00730914">
          <w:rPr>
            <w:noProof/>
            <w:webHidden/>
          </w:rPr>
          <w:instrText xml:space="preserve"> PAGEREF _Toc391541637 \h </w:instrText>
        </w:r>
        <w:r>
          <w:rPr>
            <w:noProof/>
            <w:webHidden/>
          </w:rPr>
        </w:r>
        <w:r>
          <w:rPr>
            <w:noProof/>
            <w:webHidden/>
          </w:rPr>
          <w:fldChar w:fldCharType="separate"/>
        </w:r>
        <w:r w:rsidR="001D521C">
          <w:rPr>
            <w:noProof/>
            <w:webHidden/>
          </w:rPr>
          <w:t>23</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38" w:history="1">
        <w:r w:rsidR="00730914" w:rsidRPr="00F369F1">
          <w:rPr>
            <w:rStyle w:val="Hyperlink"/>
            <w:noProof/>
          </w:rPr>
          <w:t>Figure 9. Fee stages flow chart for assessment on referral information.</w:t>
        </w:r>
        <w:r w:rsidR="00730914">
          <w:rPr>
            <w:noProof/>
            <w:webHidden/>
          </w:rPr>
          <w:tab/>
        </w:r>
        <w:r>
          <w:rPr>
            <w:noProof/>
            <w:webHidden/>
          </w:rPr>
          <w:fldChar w:fldCharType="begin"/>
        </w:r>
        <w:r w:rsidR="00730914">
          <w:rPr>
            <w:noProof/>
            <w:webHidden/>
          </w:rPr>
          <w:instrText xml:space="preserve"> PAGEREF _Toc391541638 \h </w:instrText>
        </w:r>
        <w:r>
          <w:rPr>
            <w:noProof/>
            <w:webHidden/>
          </w:rPr>
        </w:r>
        <w:r>
          <w:rPr>
            <w:noProof/>
            <w:webHidden/>
          </w:rPr>
          <w:fldChar w:fldCharType="separate"/>
        </w:r>
        <w:r w:rsidR="001D521C">
          <w:rPr>
            <w:noProof/>
            <w:webHidden/>
          </w:rPr>
          <w:t>26</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39" w:history="1">
        <w:r w:rsidR="00730914" w:rsidRPr="00F369F1">
          <w:rPr>
            <w:rStyle w:val="Hyperlink"/>
            <w:noProof/>
          </w:rPr>
          <w:t>Figure 10. Fee stages flow chart for preliminary documentation.</w:t>
        </w:r>
        <w:r w:rsidR="00730914">
          <w:rPr>
            <w:noProof/>
            <w:webHidden/>
          </w:rPr>
          <w:tab/>
        </w:r>
        <w:r>
          <w:rPr>
            <w:noProof/>
            <w:webHidden/>
          </w:rPr>
          <w:fldChar w:fldCharType="begin"/>
        </w:r>
        <w:r w:rsidR="00730914">
          <w:rPr>
            <w:noProof/>
            <w:webHidden/>
          </w:rPr>
          <w:instrText xml:space="preserve"> PAGEREF _Toc391541639 \h </w:instrText>
        </w:r>
        <w:r>
          <w:rPr>
            <w:noProof/>
            <w:webHidden/>
          </w:rPr>
        </w:r>
        <w:r>
          <w:rPr>
            <w:noProof/>
            <w:webHidden/>
          </w:rPr>
          <w:fldChar w:fldCharType="separate"/>
        </w:r>
        <w:r w:rsidR="001D521C">
          <w:rPr>
            <w:noProof/>
            <w:webHidden/>
          </w:rPr>
          <w:t>30</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40" w:history="1">
        <w:r w:rsidR="00730914" w:rsidRPr="00F369F1">
          <w:rPr>
            <w:rStyle w:val="Hyperlink"/>
            <w:noProof/>
          </w:rPr>
          <w:t>Figure 11. Fee stages flowchart for public environmental report and environmental impact statement process.</w:t>
        </w:r>
        <w:r w:rsidR="00730914">
          <w:rPr>
            <w:noProof/>
            <w:webHidden/>
          </w:rPr>
          <w:tab/>
        </w:r>
        <w:r>
          <w:rPr>
            <w:noProof/>
            <w:webHidden/>
          </w:rPr>
          <w:fldChar w:fldCharType="begin"/>
        </w:r>
        <w:r w:rsidR="00730914">
          <w:rPr>
            <w:noProof/>
            <w:webHidden/>
          </w:rPr>
          <w:instrText xml:space="preserve"> PAGEREF _Toc391541640 \h </w:instrText>
        </w:r>
        <w:r>
          <w:rPr>
            <w:noProof/>
            <w:webHidden/>
          </w:rPr>
        </w:r>
        <w:r>
          <w:rPr>
            <w:noProof/>
            <w:webHidden/>
          </w:rPr>
          <w:fldChar w:fldCharType="separate"/>
        </w:r>
        <w:r w:rsidR="001D521C">
          <w:rPr>
            <w:noProof/>
            <w:webHidden/>
          </w:rPr>
          <w:t>35</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41" w:history="1">
        <w:r w:rsidR="00730914" w:rsidRPr="00F369F1">
          <w:rPr>
            <w:rStyle w:val="Hyperlink"/>
            <w:noProof/>
          </w:rPr>
          <w:t>Figure 12: Fee stages flowchart for bilateral or accredited assessment process.</w:t>
        </w:r>
        <w:r w:rsidR="00730914">
          <w:rPr>
            <w:noProof/>
            <w:webHidden/>
          </w:rPr>
          <w:tab/>
        </w:r>
        <w:r>
          <w:rPr>
            <w:noProof/>
            <w:webHidden/>
          </w:rPr>
          <w:fldChar w:fldCharType="begin"/>
        </w:r>
        <w:r w:rsidR="00730914">
          <w:rPr>
            <w:noProof/>
            <w:webHidden/>
          </w:rPr>
          <w:instrText xml:space="preserve"> PAGEREF _Toc391541641 \h </w:instrText>
        </w:r>
        <w:r>
          <w:rPr>
            <w:noProof/>
            <w:webHidden/>
          </w:rPr>
        </w:r>
        <w:r>
          <w:rPr>
            <w:noProof/>
            <w:webHidden/>
          </w:rPr>
          <w:fldChar w:fldCharType="separate"/>
        </w:r>
        <w:r w:rsidR="001D521C">
          <w:rPr>
            <w:noProof/>
            <w:webHidden/>
          </w:rPr>
          <w:t>40</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42" w:history="1">
        <w:r w:rsidR="00730914" w:rsidRPr="00F369F1">
          <w:rPr>
            <w:rStyle w:val="Hyperlink"/>
            <w:noProof/>
          </w:rPr>
          <w:t>Figure 13. Strategic assessments process.</w:t>
        </w:r>
        <w:r w:rsidR="00730914">
          <w:rPr>
            <w:noProof/>
            <w:webHidden/>
          </w:rPr>
          <w:tab/>
        </w:r>
        <w:r>
          <w:rPr>
            <w:noProof/>
            <w:webHidden/>
          </w:rPr>
          <w:fldChar w:fldCharType="begin"/>
        </w:r>
        <w:r w:rsidR="00730914">
          <w:rPr>
            <w:noProof/>
            <w:webHidden/>
          </w:rPr>
          <w:instrText xml:space="preserve"> PAGEREF _Toc391541642 \h </w:instrText>
        </w:r>
        <w:r>
          <w:rPr>
            <w:noProof/>
            <w:webHidden/>
          </w:rPr>
        </w:r>
        <w:r>
          <w:rPr>
            <w:noProof/>
            <w:webHidden/>
          </w:rPr>
          <w:fldChar w:fldCharType="separate"/>
        </w:r>
        <w:r w:rsidR="001D521C">
          <w:rPr>
            <w:noProof/>
            <w:webHidden/>
          </w:rPr>
          <w:t>55</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43" w:history="1">
        <w:r w:rsidR="00730914" w:rsidRPr="00F369F1">
          <w:rPr>
            <w:rStyle w:val="Hyperlink"/>
            <w:noProof/>
          </w:rPr>
          <w:t>Figure 14. Summary of Strategic assessment process for cost recovery</w:t>
        </w:r>
        <w:r w:rsidR="00730914">
          <w:rPr>
            <w:noProof/>
            <w:webHidden/>
          </w:rPr>
          <w:tab/>
        </w:r>
        <w:r>
          <w:rPr>
            <w:noProof/>
            <w:webHidden/>
          </w:rPr>
          <w:fldChar w:fldCharType="begin"/>
        </w:r>
        <w:r w:rsidR="00730914">
          <w:rPr>
            <w:noProof/>
            <w:webHidden/>
          </w:rPr>
          <w:instrText xml:space="preserve"> PAGEREF _Toc391541643 \h </w:instrText>
        </w:r>
        <w:r>
          <w:rPr>
            <w:noProof/>
            <w:webHidden/>
          </w:rPr>
        </w:r>
        <w:r>
          <w:rPr>
            <w:noProof/>
            <w:webHidden/>
          </w:rPr>
          <w:fldChar w:fldCharType="separate"/>
        </w:r>
        <w:r w:rsidR="001D521C">
          <w:rPr>
            <w:noProof/>
            <w:webHidden/>
          </w:rPr>
          <w:t>59</w:t>
        </w:r>
        <w:r>
          <w:rPr>
            <w:noProof/>
            <w:webHidden/>
          </w:rPr>
          <w:fldChar w:fldCharType="end"/>
        </w:r>
      </w:hyperlink>
    </w:p>
    <w:p w:rsidR="00730914" w:rsidRDefault="00D30427">
      <w:pPr>
        <w:pStyle w:val="TableofFigures"/>
        <w:tabs>
          <w:tab w:val="right" w:leader="dot" w:pos="9202"/>
        </w:tabs>
        <w:rPr>
          <w:rFonts w:eastAsiaTheme="minorEastAsia" w:cstheme="minorBidi"/>
          <w:i w:val="0"/>
          <w:iCs w:val="0"/>
          <w:noProof/>
          <w:sz w:val="22"/>
          <w:szCs w:val="22"/>
          <w:lang w:eastAsia="en-AU"/>
        </w:rPr>
      </w:pPr>
      <w:hyperlink w:anchor="_Toc391541644" w:history="1">
        <w:r w:rsidR="00730914" w:rsidRPr="00F369F1">
          <w:rPr>
            <w:rStyle w:val="Hyperlink"/>
            <w:noProof/>
          </w:rPr>
          <w:t>Figure 15. Average of calendar days from referral to approval: 2000 - 2013</w:t>
        </w:r>
        <w:r w:rsidR="00730914">
          <w:rPr>
            <w:noProof/>
            <w:webHidden/>
          </w:rPr>
          <w:tab/>
        </w:r>
        <w:r>
          <w:rPr>
            <w:noProof/>
            <w:webHidden/>
          </w:rPr>
          <w:fldChar w:fldCharType="begin"/>
        </w:r>
        <w:r w:rsidR="00730914">
          <w:rPr>
            <w:noProof/>
            <w:webHidden/>
          </w:rPr>
          <w:instrText xml:space="preserve"> PAGEREF _Toc391541644 \h </w:instrText>
        </w:r>
        <w:r>
          <w:rPr>
            <w:noProof/>
            <w:webHidden/>
          </w:rPr>
        </w:r>
        <w:r>
          <w:rPr>
            <w:noProof/>
            <w:webHidden/>
          </w:rPr>
          <w:fldChar w:fldCharType="separate"/>
        </w:r>
        <w:r w:rsidR="001D521C">
          <w:rPr>
            <w:noProof/>
            <w:webHidden/>
          </w:rPr>
          <w:t>79</w:t>
        </w:r>
        <w:r>
          <w:rPr>
            <w:noProof/>
            <w:webHidden/>
          </w:rPr>
          <w:fldChar w:fldCharType="end"/>
        </w:r>
      </w:hyperlink>
    </w:p>
    <w:p w:rsidR="00254EF1" w:rsidRDefault="00D30427">
      <w:pPr>
        <w:spacing w:after="0" w:line="240" w:lineRule="auto"/>
      </w:pPr>
      <w:r>
        <w:fldChar w:fldCharType="end"/>
      </w:r>
    </w:p>
    <w:p w:rsidR="00730914" w:rsidRDefault="00D30427">
      <w:pPr>
        <w:pStyle w:val="TableofFigures"/>
        <w:tabs>
          <w:tab w:val="right" w:leader="underscore" w:pos="9202"/>
        </w:tabs>
        <w:rPr>
          <w:rFonts w:eastAsiaTheme="minorEastAsia" w:cstheme="minorBidi"/>
          <w:i w:val="0"/>
          <w:iCs w:val="0"/>
          <w:noProof/>
          <w:sz w:val="22"/>
          <w:szCs w:val="22"/>
          <w:lang w:eastAsia="en-AU"/>
        </w:rPr>
      </w:pPr>
      <w:r w:rsidRPr="00D30427">
        <w:fldChar w:fldCharType="begin"/>
      </w:r>
      <w:r w:rsidR="00254EF1">
        <w:instrText xml:space="preserve"> TOC \h \z \c "Table" </w:instrText>
      </w:r>
      <w:r w:rsidRPr="00D30427">
        <w:fldChar w:fldCharType="separate"/>
      </w:r>
      <w:hyperlink w:anchor="_Toc391541645" w:history="1">
        <w:r w:rsidR="00730914" w:rsidRPr="00B24605">
          <w:rPr>
            <w:rStyle w:val="Hyperlink"/>
            <w:noProof/>
          </w:rPr>
          <w:t>Table 1. Summary of base costs for environmental impact assessment activities.</w:t>
        </w:r>
        <w:r w:rsidR="00730914">
          <w:rPr>
            <w:noProof/>
            <w:webHidden/>
          </w:rPr>
          <w:tab/>
        </w:r>
        <w:r>
          <w:rPr>
            <w:noProof/>
            <w:webHidden/>
          </w:rPr>
          <w:fldChar w:fldCharType="begin"/>
        </w:r>
        <w:r w:rsidR="00730914">
          <w:rPr>
            <w:noProof/>
            <w:webHidden/>
          </w:rPr>
          <w:instrText xml:space="preserve"> PAGEREF _Toc391541645 \h </w:instrText>
        </w:r>
        <w:r>
          <w:rPr>
            <w:noProof/>
            <w:webHidden/>
          </w:rPr>
        </w:r>
        <w:r>
          <w:rPr>
            <w:noProof/>
            <w:webHidden/>
          </w:rPr>
          <w:fldChar w:fldCharType="separate"/>
        </w:r>
        <w:r w:rsidR="001D521C">
          <w:rPr>
            <w:noProof/>
            <w:webHidden/>
          </w:rPr>
          <w:t>13</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46" w:history="1">
        <w:r w:rsidR="00730914" w:rsidRPr="00B24605">
          <w:rPr>
            <w:rStyle w:val="Hyperlink"/>
            <w:noProof/>
          </w:rPr>
          <w:t>Table 2. Complexity drivers.</w:t>
        </w:r>
        <w:r w:rsidR="00730914">
          <w:rPr>
            <w:noProof/>
            <w:webHidden/>
          </w:rPr>
          <w:tab/>
        </w:r>
        <w:r>
          <w:rPr>
            <w:noProof/>
            <w:webHidden/>
          </w:rPr>
          <w:fldChar w:fldCharType="begin"/>
        </w:r>
        <w:r w:rsidR="00730914">
          <w:rPr>
            <w:noProof/>
            <w:webHidden/>
          </w:rPr>
          <w:instrText xml:space="preserve"> PAGEREF _Toc391541646 \h </w:instrText>
        </w:r>
        <w:r>
          <w:rPr>
            <w:noProof/>
            <w:webHidden/>
          </w:rPr>
        </w:r>
        <w:r>
          <w:rPr>
            <w:noProof/>
            <w:webHidden/>
          </w:rPr>
          <w:fldChar w:fldCharType="separate"/>
        </w:r>
        <w:r w:rsidR="001D521C">
          <w:rPr>
            <w:noProof/>
            <w:webHidden/>
          </w:rPr>
          <w:t>15</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47" w:history="1">
        <w:r w:rsidR="00730914" w:rsidRPr="00B24605">
          <w:rPr>
            <w:rStyle w:val="Hyperlink"/>
            <w:noProof/>
          </w:rPr>
          <w:t>Table 3. Summary of referral costs.</w:t>
        </w:r>
        <w:r w:rsidR="00730914">
          <w:rPr>
            <w:noProof/>
            <w:webHidden/>
          </w:rPr>
          <w:tab/>
        </w:r>
        <w:r>
          <w:rPr>
            <w:noProof/>
            <w:webHidden/>
          </w:rPr>
          <w:fldChar w:fldCharType="begin"/>
        </w:r>
        <w:r w:rsidR="00730914">
          <w:rPr>
            <w:noProof/>
            <w:webHidden/>
          </w:rPr>
          <w:instrText xml:space="preserve"> PAGEREF _Toc391541647 \h </w:instrText>
        </w:r>
        <w:r>
          <w:rPr>
            <w:noProof/>
            <w:webHidden/>
          </w:rPr>
        </w:r>
        <w:r>
          <w:rPr>
            <w:noProof/>
            <w:webHidden/>
          </w:rPr>
          <w:fldChar w:fldCharType="separate"/>
        </w:r>
        <w:r w:rsidR="001D521C">
          <w:rPr>
            <w:noProof/>
            <w:webHidden/>
          </w:rPr>
          <w:t>23</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48" w:history="1">
        <w:r w:rsidR="00730914" w:rsidRPr="00B24605">
          <w:rPr>
            <w:rStyle w:val="Hyperlink"/>
            <w:noProof/>
          </w:rPr>
          <w:t>Table 4. Summary of assessment on referral information costs.</w:t>
        </w:r>
        <w:r w:rsidR="00730914">
          <w:rPr>
            <w:noProof/>
            <w:webHidden/>
          </w:rPr>
          <w:tab/>
        </w:r>
        <w:r>
          <w:rPr>
            <w:noProof/>
            <w:webHidden/>
          </w:rPr>
          <w:fldChar w:fldCharType="begin"/>
        </w:r>
        <w:r w:rsidR="00730914">
          <w:rPr>
            <w:noProof/>
            <w:webHidden/>
          </w:rPr>
          <w:instrText xml:space="preserve"> PAGEREF _Toc391541648 \h </w:instrText>
        </w:r>
        <w:r>
          <w:rPr>
            <w:noProof/>
            <w:webHidden/>
          </w:rPr>
        </w:r>
        <w:r>
          <w:rPr>
            <w:noProof/>
            <w:webHidden/>
          </w:rPr>
          <w:fldChar w:fldCharType="separate"/>
        </w:r>
        <w:r w:rsidR="001D521C">
          <w:rPr>
            <w:noProof/>
            <w:webHidden/>
          </w:rPr>
          <w:t>24</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49" w:history="1">
        <w:r w:rsidR="00730914" w:rsidRPr="00B24605">
          <w:rPr>
            <w:rStyle w:val="Hyperlink"/>
            <w:noProof/>
          </w:rPr>
          <w:t>Table 5. Summary of Base costs (A) for assessment on referral information costs.</w:t>
        </w:r>
        <w:r w:rsidR="00730914">
          <w:rPr>
            <w:noProof/>
            <w:webHidden/>
          </w:rPr>
          <w:tab/>
        </w:r>
        <w:r>
          <w:rPr>
            <w:noProof/>
            <w:webHidden/>
          </w:rPr>
          <w:fldChar w:fldCharType="begin"/>
        </w:r>
        <w:r w:rsidR="00730914">
          <w:rPr>
            <w:noProof/>
            <w:webHidden/>
          </w:rPr>
          <w:instrText xml:space="preserve"> PAGEREF _Toc391541649 \h </w:instrText>
        </w:r>
        <w:r>
          <w:rPr>
            <w:noProof/>
            <w:webHidden/>
          </w:rPr>
        </w:r>
        <w:r>
          <w:rPr>
            <w:noProof/>
            <w:webHidden/>
          </w:rPr>
          <w:fldChar w:fldCharType="separate"/>
        </w:r>
        <w:r w:rsidR="001D521C">
          <w:rPr>
            <w:noProof/>
            <w:webHidden/>
          </w:rPr>
          <w:t>25</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50" w:history="1">
        <w:r w:rsidR="00730914" w:rsidRPr="00B24605">
          <w:rPr>
            <w:rStyle w:val="Hyperlink"/>
            <w:noProof/>
          </w:rPr>
          <w:t>Table 6. Summary of preliminary documentation costs.</w:t>
        </w:r>
        <w:r w:rsidR="00730914">
          <w:rPr>
            <w:noProof/>
            <w:webHidden/>
          </w:rPr>
          <w:tab/>
        </w:r>
        <w:r>
          <w:rPr>
            <w:noProof/>
            <w:webHidden/>
          </w:rPr>
          <w:fldChar w:fldCharType="begin"/>
        </w:r>
        <w:r w:rsidR="00730914">
          <w:rPr>
            <w:noProof/>
            <w:webHidden/>
          </w:rPr>
          <w:instrText xml:space="preserve"> PAGEREF _Toc391541650 \h </w:instrText>
        </w:r>
        <w:r>
          <w:rPr>
            <w:noProof/>
            <w:webHidden/>
          </w:rPr>
        </w:r>
        <w:r>
          <w:rPr>
            <w:noProof/>
            <w:webHidden/>
          </w:rPr>
          <w:fldChar w:fldCharType="separate"/>
        </w:r>
        <w:r w:rsidR="001D521C">
          <w:rPr>
            <w:noProof/>
            <w:webHidden/>
          </w:rPr>
          <w:t>28</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51" w:history="1">
        <w:r w:rsidR="00730914" w:rsidRPr="00B24605">
          <w:rPr>
            <w:rStyle w:val="Hyperlink"/>
            <w:noProof/>
          </w:rPr>
          <w:t>Table 7. Summary of Base costs (A) for preliminary documentation.</w:t>
        </w:r>
        <w:r w:rsidR="00730914">
          <w:rPr>
            <w:noProof/>
            <w:webHidden/>
          </w:rPr>
          <w:tab/>
        </w:r>
        <w:r>
          <w:rPr>
            <w:noProof/>
            <w:webHidden/>
          </w:rPr>
          <w:fldChar w:fldCharType="begin"/>
        </w:r>
        <w:r w:rsidR="00730914">
          <w:rPr>
            <w:noProof/>
            <w:webHidden/>
          </w:rPr>
          <w:instrText xml:space="preserve"> PAGEREF _Toc391541651 \h </w:instrText>
        </w:r>
        <w:r>
          <w:rPr>
            <w:noProof/>
            <w:webHidden/>
          </w:rPr>
        </w:r>
        <w:r>
          <w:rPr>
            <w:noProof/>
            <w:webHidden/>
          </w:rPr>
          <w:fldChar w:fldCharType="separate"/>
        </w:r>
        <w:r w:rsidR="001D521C">
          <w:rPr>
            <w:noProof/>
            <w:webHidden/>
          </w:rPr>
          <w:t>29</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52" w:history="1">
        <w:r w:rsidR="00730914" w:rsidRPr="00B24605">
          <w:rPr>
            <w:rStyle w:val="Hyperlink"/>
            <w:noProof/>
          </w:rPr>
          <w:t>Table 8. Summary of public environmental report and environmental impact statement costs.</w:t>
        </w:r>
        <w:r w:rsidR="00730914">
          <w:rPr>
            <w:noProof/>
            <w:webHidden/>
          </w:rPr>
          <w:tab/>
        </w:r>
        <w:r>
          <w:rPr>
            <w:noProof/>
            <w:webHidden/>
          </w:rPr>
          <w:fldChar w:fldCharType="begin"/>
        </w:r>
        <w:r w:rsidR="00730914">
          <w:rPr>
            <w:noProof/>
            <w:webHidden/>
          </w:rPr>
          <w:instrText xml:space="preserve"> PAGEREF _Toc391541652 \h </w:instrText>
        </w:r>
        <w:r>
          <w:rPr>
            <w:noProof/>
            <w:webHidden/>
          </w:rPr>
        </w:r>
        <w:r>
          <w:rPr>
            <w:noProof/>
            <w:webHidden/>
          </w:rPr>
          <w:fldChar w:fldCharType="separate"/>
        </w:r>
        <w:r w:rsidR="001D521C">
          <w:rPr>
            <w:noProof/>
            <w:webHidden/>
          </w:rPr>
          <w:t>33</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53" w:history="1">
        <w:r w:rsidR="00730914" w:rsidRPr="00B24605">
          <w:rPr>
            <w:rStyle w:val="Hyperlink"/>
            <w:noProof/>
          </w:rPr>
          <w:t>Table 9. Summary of Base costs (A) for public environmental report/environmental impact statement.</w:t>
        </w:r>
        <w:r w:rsidR="00730914">
          <w:rPr>
            <w:noProof/>
            <w:webHidden/>
          </w:rPr>
          <w:tab/>
        </w:r>
        <w:r>
          <w:rPr>
            <w:noProof/>
            <w:webHidden/>
          </w:rPr>
          <w:fldChar w:fldCharType="begin"/>
        </w:r>
        <w:r w:rsidR="00730914">
          <w:rPr>
            <w:noProof/>
            <w:webHidden/>
          </w:rPr>
          <w:instrText xml:space="preserve"> PAGEREF _Toc391541653 \h </w:instrText>
        </w:r>
        <w:r>
          <w:rPr>
            <w:noProof/>
            <w:webHidden/>
          </w:rPr>
        </w:r>
        <w:r>
          <w:rPr>
            <w:noProof/>
            <w:webHidden/>
          </w:rPr>
          <w:fldChar w:fldCharType="separate"/>
        </w:r>
        <w:r w:rsidR="001D521C">
          <w:rPr>
            <w:noProof/>
            <w:webHidden/>
          </w:rPr>
          <w:t>34</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54" w:history="1">
        <w:r w:rsidR="00730914" w:rsidRPr="00B24605">
          <w:rPr>
            <w:rStyle w:val="Hyperlink"/>
            <w:noProof/>
          </w:rPr>
          <w:t>Table 10. Summary of bilateral agreement / accredited assessment costs.</w:t>
        </w:r>
        <w:r w:rsidR="00730914">
          <w:rPr>
            <w:noProof/>
            <w:webHidden/>
          </w:rPr>
          <w:tab/>
        </w:r>
        <w:r>
          <w:rPr>
            <w:noProof/>
            <w:webHidden/>
          </w:rPr>
          <w:fldChar w:fldCharType="begin"/>
        </w:r>
        <w:r w:rsidR="00730914">
          <w:rPr>
            <w:noProof/>
            <w:webHidden/>
          </w:rPr>
          <w:instrText xml:space="preserve"> PAGEREF _Toc391541654 \h </w:instrText>
        </w:r>
        <w:r>
          <w:rPr>
            <w:noProof/>
            <w:webHidden/>
          </w:rPr>
        </w:r>
        <w:r>
          <w:rPr>
            <w:noProof/>
            <w:webHidden/>
          </w:rPr>
          <w:fldChar w:fldCharType="separate"/>
        </w:r>
        <w:r w:rsidR="001D521C">
          <w:rPr>
            <w:noProof/>
            <w:webHidden/>
          </w:rPr>
          <w:t>39</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55" w:history="1">
        <w:r w:rsidR="00730914" w:rsidRPr="00B24605">
          <w:rPr>
            <w:rStyle w:val="Hyperlink"/>
            <w:noProof/>
          </w:rPr>
          <w:t>Table 11. Summary of Base costs (A) for bilateral agreement / accredited assessment.</w:t>
        </w:r>
        <w:r w:rsidR="00730914">
          <w:rPr>
            <w:noProof/>
            <w:webHidden/>
          </w:rPr>
          <w:tab/>
        </w:r>
        <w:r>
          <w:rPr>
            <w:noProof/>
            <w:webHidden/>
          </w:rPr>
          <w:fldChar w:fldCharType="begin"/>
        </w:r>
        <w:r w:rsidR="00730914">
          <w:rPr>
            <w:noProof/>
            <w:webHidden/>
          </w:rPr>
          <w:instrText xml:space="preserve"> PAGEREF _Toc391541655 \h </w:instrText>
        </w:r>
        <w:r>
          <w:rPr>
            <w:noProof/>
            <w:webHidden/>
          </w:rPr>
        </w:r>
        <w:r>
          <w:rPr>
            <w:noProof/>
            <w:webHidden/>
          </w:rPr>
          <w:fldChar w:fldCharType="separate"/>
        </w:r>
        <w:r w:rsidR="001D521C">
          <w:rPr>
            <w:noProof/>
            <w:webHidden/>
          </w:rPr>
          <w:t>39</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56" w:history="1">
        <w:r w:rsidR="00730914" w:rsidRPr="00B24605">
          <w:rPr>
            <w:rStyle w:val="Hyperlink"/>
            <w:noProof/>
          </w:rPr>
          <w:t>Table 12. Summary of action management plan assessment costs.</w:t>
        </w:r>
        <w:r w:rsidR="00730914">
          <w:rPr>
            <w:noProof/>
            <w:webHidden/>
          </w:rPr>
          <w:tab/>
        </w:r>
        <w:r>
          <w:rPr>
            <w:noProof/>
            <w:webHidden/>
          </w:rPr>
          <w:fldChar w:fldCharType="begin"/>
        </w:r>
        <w:r w:rsidR="00730914">
          <w:rPr>
            <w:noProof/>
            <w:webHidden/>
          </w:rPr>
          <w:instrText xml:space="preserve"> PAGEREF _Toc391541656 \h </w:instrText>
        </w:r>
        <w:r>
          <w:rPr>
            <w:noProof/>
            <w:webHidden/>
          </w:rPr>
        </w:r>
        <w:r>
          <w:rPr>
            <w:noProof/>
            <w:webHidden/>
          </w:rPr>
          <w:fldChar w:fldCharType="separate"/>
        </w:r>
        <w:r w:rsidR="001D521C">
          <w:rPr>
            <w:noProof/>
            <w:webHidden/>
          </w:rPr>
          <w:t>44</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57" w:history="1">
        <w:r w:rsidR="00730914" w:rsidRPr="00B24605">
          <w:rPr>
            <w:rStyle w:val="Hyperlink"/>
            <w:noProof/>
          </w:rPr>
          <w:t>Table 13. Summary of contingent activity costs.</w:t>
        </w:r>
        <w:r w:rsidR="00730914">
          <w:rPr>
            <w:noProof/>
            <w:webHidden/>
          </w:rPr>
          <w:tab/>
        </w:r>
        <w:r>
          <w:rPr>
            <w:noProof/>
            <w:webHidden/>
          </w:rPr>
          <w:fldChar w:fldCharType="begin"/>
        </w:r>
        <w:r w:rsidR="00730914">
          <w:rPr>
            <w:noProof/>
            <w:webHidden/>
          </w:rPr>
          <w:instrText xml:space="preserve"> PAGEREF _Toc391541657 \h </w:instrText>
        </w:r>
        <w:r>
          <w:rPr>
            <w:noProof/>
            <w:webHidden/>
          </w:rPr>
        </w:r>
        <w:r>
          <w:rPr>
            <w:noProof/>
            <w:webHidden/>
          </w:rPr>
          <w:fldChar w:fldCharType="separate"/>
        </w:r>
        <w:r w:rsidR="001D521C">
          <w:rPr>
            <w:noProof/>
            <w:webHidden/>
          </w:rPr>
          <w:t>47</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58" w:history="1">
        <w:r w:rsidR="00730914" w:rsidRPr="00B24605">
          <w:rPr>
            <w:rStyle w:val="Hyperlink"/>
            <w:noProof/>
          </w:rPr>
          <w:t>Table 14. Summary of Base costs (A) for contingent activities.</w:t>
        </w:r>
        <w:r w:rsidR="00730914">
          <w:rPr>
            <w:noProof/>
            <w:webHidden/>
          </w:rPr>
          <w:tab/>
        </w:r>
        <w:r>
          <w:rPr>
            <w:noProof/>
            <w:webHidden/>
          </w:rPr>
          <w:fldChar w:fldCharType="begin"/>
        </w:r>
        <w:r w:rsidR="00730914">
          <w:rPr>
            <w:noProof/>
            <w:webHidden/>
          </w:rPr>
          <w:instrText xml:space="preserve"> PAGEREF _Toc391541658 \h </w:instrText>
        </w:r>
        <w:r>
          <w:rPr>
            <w:noProof/>
            <w:webHidden/>
          </w:rPr>
        </w:r>
        <w:r>
          <w:rPr>
            <w:noProof/>
            <w:webHidden/>
          </w:rPr>
          <w:fldChar w:fldCharType="separate"/>
        </w:r>
        <w:r w:rsidR="001D521C">
          <w:rPr>
            <w:noProof/>
            <w:webHidden/>
          </w:rPr>
          <w:t>48</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59" w:history="1">
        <w:r w:rsidR="00730914" w:rsidRPr="00B24605">
          <w:rPr>
            <w:rStyle w:val="Hyperlink"/>
            <w:noProof/>
          </w:rPr>
          <w:t>Table 15. Referrals – estimated activity volume.</w:t>
        </w:r>
        <w:r w:rsidR="00730914">
          <w:rPr>
            <w:noProof/>
            <w:webHidden/>
          </w:rPr>
          <w:tab/>
        </w:r>
        <w:r>
          <w:rPr>
            <w:noProof/>
            <w:webHidden/>
          </w:rPr>
          <w:fldChar w:fldCharType="begin"/>
        </w:r>
        <w:r w:rsidR="00730914">
          <w:rPr>
            <w:noProof/>
            <w:webHidden/>
          </w:rPr>
          <w:instrText xml:space="preserve"> PAGEREF _Toc391541659 \h </w:instrText>
        </w:r>
        <w:r>
          <w:rPr>
            <w:noProof/>
            <w:webHidden/>
          </w:rPr>
        </w:r>
        <w:r>
          <w:rPr>
            <w:noProof/>
            <w:webHidden/>
          </w:rPr>
          <w:fldChar w:fldCharType="separate"/>
        </w:r>
        <w:r w:rsidR="001D521C">
          <w:rPr>
            <w:noProof/>
            <w:webHidden/>
          </w:rPr>
          <w:t>49</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60" w:history="1">
        <w:r w:rsidR="00730914" w:rsidRPr="00B24605">
          <w:rPr>
            <w:rStyle w:val="Hyperlink"/>
            <w:noProof/>
          </w:rPr>
          <w:t>Table 16. Assessments – estimated activity volume.</w:t>
        </w:r>
        <w:r w:rsidR="00730914">
          <w:rPr>
            <w:noProof/>
            <w:webHidden/>
          </w:rPr>
          <w:tab/>
        </w:r>
        <w:r>
          <w:rPr>
            <w:noProof/>
            <w:webHidden/>
          </w:rPr>
          <w:fldChar w:fldCharType="begin"/>
        </w:r>
        <w:r w:rsidR="00730914">
          <w:rPr>
            <w:noProof/>
            <w:webHidden/>
          </w:rPr>
          <w:instrText xml:space="preserve"> PAGEREF _Toc391541660 \h </w:instrText>
        </w:r>
        <w:r>
          <w:rPr>
            <w:noProof/>
            <w:webHidden/>
          </w:rPr>
        </w:r>
        <w:r>
          <w:rPr>
            <w:noProof/>
            <w:webHidden/>
          </w:rPr>
          <w:fldChar w:fldCharType="separate"/>
        </w:r>
        <w:r w:rsidR="001D521C">
          <w:rPr>
            <w:noProof/>
            <w:webHidden/>
          </w:rPr>
          <w:t>50</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61" w:history="1">
        <w:r w:rsidR="00730914" w:rsidRPr="00B24605">
          <w:rPr>
            <w:rStyle w:val="Hyperlink"/>
            <w:noProof/>
          </w:rPr>
          <w:t>Table 17. Post approval action management plans – estimated activity volume.</w:t>
        </w:r>
        <w:r w:rsidR="00730914">
          <w:rPr>
            <w:noProof/>
            <w:webHidden/>
          </w:rPr>
          <w:tab/>
        </w:r>
        <w:r>
          <w:rPr>
            <w:noProof/>
            <w:webHidden/>
          </w:rPr>
          <w:fldChar w:fldCharType="begin"/>
        </w:r>
        <w:r w:rsidR="00730914">
          <w:rPr>
            <w:noProof/>
            <w:webHidden/>
          </w:rPr>
          <w:instrText xml:space="preserve"> PAGEREF _Toc391541661 \h </w:instrText>
        </w:r>
        <w:r>
          <w:rPr>
            <w:noProof/>
            <w:webHidden/>
          </w:rPr>
        </w:r>
        <w:r>
          <w:rPr>
            <w:noProof/>
            <w:webHidden/>
          </w:rPr>
          <w:fldChar w:fldCharType="separate"/>
        </w:r>
        <w:r w:rsidR="001D521C">
          <w:rPr>
            <w:noProof/>
            <w:webHidden/>
          </w:rPr>
          <w:t>51</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62" w:history="1">
        <w:r w:rsidR="00730914" w:rsidRPr="00B24605">
          <w:rPr>
            <w:rStyle w:val="Hyperlink"/>
            <w:noProof/>
          </w:rPr>
          <w:t>Table 18. Contingent fees – estimated activity volume.</w:t>
        </w:r>
        <w:r w:rsidR="00730914">
          <w:rPr>
            <w:noProof/>
            <w:webHidden/>
          </w:rPr>
          <w:tab/>
        </w:r>
        <w:r>
          <w:rPr>
            <w:noProof/>
            <w:webHidden/>
          </w:rPr>
          <w:fldChar w:fldCharType="begin"/>
        </w:r>
        <w:r w:rsidR="00730914">
          <w:rPr>
            <w:noProof/>
            <w:webHidden/>
          </w:rPr>
          <w:instrText xml:space="preserve"> PAGEREF _Toc391541662 \h </w:instrText>
        </w:r>
        <w:r>
          <w:rPr>
            <w:noProof/>
            <w:webHidden/>
          </w:rPr>
        </w:r>
        <w:r>
          <w:rPr>
            <w:noProof/>
            <w:webHidden/>
          </w:rPr>
          <w:fldChar w:fldCharType="separate"/>
        </w:r>
        <w:r w:rsidR="001D521C">
          <w:rPr>
            <w:noProof/>
            <w:webHidden/>
          </w:rPr>
          <w:t>52</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63" w:history="1">
        <w:r w:rsidR="00730914" w:rsidRPr="00B24605">
          <w:rPr>
            <w:rStyle w:val="Hyperlink"/>
            <w:noProof/>
          </w:rPr>
          <w:t>Table 19. Referrals (expenses and revenue summary)</w:t>
        </w:r>
        <w:r w:rsidR="00730914">
          <w:rPr>
            <w:noProof/>
            <w:webHidden/>
          </w:rPr>
          <w:tab/>
        </w:r>
        <w:r>
          <w:rPr>
            <w:noProof/>
            <w:webHidden/>
          </w:rPr>
          <w:fldChar w:fldCharType="begin"/>
        </w:r>
        <w:r w:rsidR="00730914">
          <w:rPr>
            <w:noProof/>
            <w:webHidden/>
          </w:rPr>
          <w:instrText xml:space="preserve"> PAGEREF _Toc391541663 \h </w:instrText>
        </w:r>
        <w:r>
          <w:rPr>
            <w:noProof/>
            <w:webHidden/>
          </w:rPr>
        </w:r>
        <w:r>
          <w:rPr>
            <w:noProof/>
            <w:webHidden/>
          </w:rPr>
          <w:fldChar w:fldCharType="separate"/>
        </w:r>
        <w:r w:rsidR="001D521C">
          <w:rPr>
            <w:noProof/>
            <w:webHidden/>
          </w:rPr>
          <w:t>70</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64" w:history="1">
        <w:r w:rsidR="00730914" w:rsidRPr="00B24605">
          <w:rPr>
            <w:rStyle w:val="Hyperlink"/>
            <w:noProof/>
          </w:rPr>
          <w:t>Table 20. Assessment activities (expenses and revenue summary)</w:t>
        </w:r>
        <w:r w:rsidR="00730914">
          <w:rPr>
            <w:noProof/>
            <w:webHidden/>
          </w:rPr>
          <w:tab/>
        </w:r>
        <w:r>
          <w:rPr>
            <w:noProof/>
            <w:webHidden/>
          </w:rPr>
          <w:fldChar w:fldCharType="begin"/>
        </w:r>
        <w:r w:rsidR="00730914">
          <w:rPr>
            <w:noProof/>
            <w:webHidden/>
          </w:rPr>
          <w:instrText xml:space="preserve"> PAGEREF _Toc391541664 \h </w:instrText>
        </w:r>
        <w:r>
          <w:rPr>
            <w:noProof/>
            <w:webHidden/>
          </w:rPr>
        </w:r>
        <w:r>
          <w:rPr>
            <w:noProof/>
            <w:webHidden/>
          </w:rPr>
          <w:fldChar w:fldCharType="separate"/>
        </w:r>
        <w:r w:rsidR="001D521C">
          <w:rPr>
            <w:noProof/>
            <w:webHidden/>
          </w:rPr>
          <w:t>71</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65" w:history="1">
        <w:r w:rsidR="00730914" w:rsidRPr="00B24605">
          <w:rPr>
            <w:rStyle w:val="Hyperlink"/>
            <w:noProof/>
          </w:rPr>
          <w:t>Table 21. Post approval action management plans (expenses and revenue summary)</w:t>
        </w:r>
        <w:r w:rsidR="00730914">
          <w:rPr>
            <w:noProof/>
            <w:webHidden/>
          </w:rPr>
          <w:tab/>
        </w:r>
        <w:r>
          <w:rPr>
            <w:noProof/>
            <w:webHidden/>
          </w:rPr>
          <w:fldChar w:fldCharType="begin"/>
        </w:r>
        <w:r w:rsidR="00730914">
          <w:rPr>
            <w:noProof/>
            <w:webHidden/>
          </w:rPr>
          <w:instrText xml:space="preserve"> PAGEREF _Toc391541665 \h </w:instrText>
        </w:r>
        <w:r>
          <w:rPr>
            <w:noProof/>
            <w:webHidden/>
          </w:rPr>
        </w:r>
        <w:r>
          <w:rPr>
            <w:noProof/>
            <w:webHidden/>
          </w:rPr>
          <w:fldChar w:fldCharType="separate"/>
        </w:r>
        <w:r w:rsidR="001D521C">
          <w:rPr>
            <w:noProof/>
            <w:webHidden/>
          </w:rPr>
          <w:t>74</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66" w:history="1">
        <w:r w:rsidR="00730914" w:rsidRPr="00B24605">
          <w:rPr>
            <w:rStyle w:val="Hyperlink"/>
            <w:noProof/>
          </w:rPr>
          <w:t>Table 22. Contingent fees (expenses and revenue summary)</w:t>
        </w:r>
        <w:r w:rsidR="00730914">
          <w:rPr>
            <w:noProof/>
            <w:webHidden/>
          </w:rPr>
          <w:tab/>
        </w:r>
        <w:r>
          <w:rPr>
            <w:noProof/>
            <w:webHidden/>
          </w:rPr>
          <w:fldChar w:fldCharType="begin"/>
        </w:r>
        <w:r w:rsidR="00730914">
          <w:rPr>
            <w:noProof/>
            <w:webHidden/>
          </w:rPr>
          <w:instrText xml:space="preserve"> PAGEREF _Toc391541666 \h </w:instrText>
        </w:r>
        <w:r>
          <w:rPr>
            <w:noProof/>
            <w:webHidden/>
          </w:rPr>
        </w:r>
        <w:r>
          <w:rPr>
            <w:noProof/>
            <w:webHidden/>
          </w:rPr>
          <w:fldChar w:fldCharType="separate"/>
        </w:r>
        <w:r w:rsidR="001D521C">
          <w:rPr>
            <w:noProof/>
            <w:webHidden/>
          </w:rPr>
          <w:t>75</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67" w:history="1">
        <w:r w:rsidR="00730914" w:rsidRPr="00B24605">
          <w:rPr>
            <w:rStyle w:val="Hyperlink"/>
            <w:noProof/>
          </w:rPr>
          <w:t>Table 23. Total environmental impact assessments, post approval action management plans and contingent fees (expenses and revenue summary)</w:t>
        </w:r>
        <w:r w:rsidR="00730914">
          <w:rPr>
            <w:noProof/>
            <w:webHidden/>
          </w:rPr>
          <w:tab/>
        </w:r>
        <w:r>
          <w:rPr>
            <w:noProof/>
            <w:webHidden/>
          </w:rPr>
          <w:fldChar w:fldCharType="begin"/>
        </w:r>
        <w:r w:rsidR="00730914">
          <w:rPr>
            <w:noProof/>
            <w:webHidden/>
          </w:rPr>
          <w:instrText xml:space="preserve"> PAGEREF _Toc391541667 \h </w:instrText>
        </w:r>
        <w:r>
          <w:rPr>
            <w:noProof/>
            <w:webHidden/>
          </w:rPr>
        </w:r>
        <w:r>
          <w:rPr>
            <w:noProof/>
            <w:webHidden/>
          </w:rPr>
          <w:fldChar w:fldCharType="separate"/>
        </w:r>
        <w:r w:rsidR="001D521C">
          <w:rPr>
            <w:noProof/>
            <w:webHidden/>
          </w:rPr>
          <w:t>76</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68" w:history="1">
        <w:r w:rsidR="00730914" w:rsidRPr="00B24605">
          <w:rPr>
            <w:rStyle w:val="Hyperlink"/>
            <w:noProof/>
          </w:rPr>
          <w:t>Table 24. Non-financial performance indicators</w:t>
        </w:r>
        <w:r w:rsidR="00730914">
          <w:rPr>
            <w:noProof/>
            <w:webHidden/>
          </w:rPr>
          <w:tab/>
        </w:r>
        <w:r>
          <w:rPr>
            <w:noProof/>
            <w:webHidden/>
          </w:rPr>
          <w:fldChar w:fldCharType="begin"/>
        </w:r>
        <w:r w:rsidR="00730914">
          <w:rPr>
            <w:noProof/>
            <w:webHidden/>
          </w:rPr>
          <w:instrText xml:space="preserve"> PAGEREF _Toc391541668 \h </w:instrText>
        </w:r>
        <w:r>
          <w:rPr>
            <w:noProof/>
            <w:webHidden/>
          </w:rPr>
        </w:r>
        <w:r>
          <w:rPr>
            <w:noProof/>
            <w:webHidden/>
          </w:rPr>
          <w:fldChar w:fldCharType="separate"/>
        </w:r>
        <w:r w:rsidR="001D521C">
          <w:rPr>
            <w:noProof/>
            <w:webHidden/>
          </w:rPr>
          <w:t>79</w:t>
        </w:r>
        <w:r>
          <w:rPr>
            <w:noProof/>
            <w:webHidden/>
          </w:rPr>
          <w:fldChar w:fldCharType="end"/>
        </w:r>
      </w:hyperlink>
    </w:p>
    <w:p w:rsidR="00730914" w:rsidRDefault="00D30427">
      <w:pPr>
        <w:pStyle w:val="TableofFigures"/>
        <w:tabs>
          <w:tab w:val="right" w:leader="underscore" w:pos="9202"/>
        </w:tabs>
        <w:rPr>
          <w:rFonts w:eastAsiaTheme="minorEastAsia" w:cstheme="minorBidi"/>
          <w:i w:val="0"/>
          <w:iCs w:val="0"/>
          <w:noProof/>
          <w:sz w:val="22"/>
          <w:szCs w:val="22"/>
          <w:lang w:eastAsia="en-AU"/>
        </w:rPr>
      </w:pPr>
      <w:hyperlink w:anchor="_Toc391541669" w:history="1">
        <w:r w:rsidR="00730914" w:rsidRPr="00B24605">
          <w:rPr>
            <w:rStyle w:val="Hyperlink"/>
            <w:noProof/>
          </w:rPr>
          <w:t>Table 25. Number of calendar days from referral to approval</w:t>
        </w:r>
        <w:r w:rsidR="00730914">
          <w:rPr>
            <w:noProof/>
            <w:webHidden/>
          </w:rPr>
          <w:tab/>
        </w:r>
        <w:r>
          <w:rPr>
            <w:noProof/>
            <w:webHidden/>
          </w:rPr>
          <w:fldChar w:fldCharType="begin"/>
        </w:r>
        <w:r w:rsidR="00730914">
          <w:rPr>
            <w:noProof/>
            <w:webHidden/>
          </w:rPr>
          <w:instrText xml:space="preserve"> PAGEREF _Toc391541669 \h </w:instrText>
        </w:r>
        <w:r>
          <w:rPr>
            <w:noProof/>
            <w:webHidden/>
          </w:rPr>
        </w:r>
        <w:r>
          <w:rPr>
            <w:noProof/>
            <w:webHidden/>
          </w:rPr>
          <w:fldChar w:fldCharType="separate"/>
        </w:r>
        <w:r w:rsidR="001D521C">
          <w:rPr>
            <w:noProof/>
            <w:webHidden/>
          </w:rPr>
          <w:t>79</w:t>
        </w:r>
        <w:r>
          <w:rPr>
            <w:noProof/>
            <w:webHidden/>
          </w:rPr>
          <w:fldChar w:fldCharType="end"/>
        </w:r>
      </w:hyperlink>
    </w:p>
    <w:p w:rsidR="008226F4" w:rsidRDefault="00D30427">
      <w:pPr>
        <w:spacing w:after="0" w:line="240" w:lineRule="auto"/>
        <w:rPr>
          <w:rFonts w:cs="Arial"/>
          <w:b/>
        </w:rPr>
      </w:pPr>
      <w:r>
        <w:fldChar w:fldCharType="end"/>
      </w:r>
      <w:r w:rsidR="008226F4">
        <w:br w:type="page"/>
      </w:r>
    </w:p>
    <w:p w:rsidR="000B573E" w:rsidRDefault="00DC7EAF">
      <w:pPr>
        <w:pStyle w:val="TOCHeading"/>
      </w:pPr>
      <w:r w:rsidRPr="008F227E">
        <w:lastRenderedPageBreak/>
        <w:t>GLOSSARY</w:t>
      </w:r>
    </w:p>
    <w:p w:rsidR="00DC7EAF" w:rsidRPr="00C65E52" w:rsidRDefault="00DC7EAF" w:rsidP="00DC7EAF">
      <w:pPr>
        <w:rPr>
          <w:lang w:val="en-US"/>
        </w:rPr>
      </w:pPr>
      <w:r>
        <w:rPr>
          <w:lang w:val="en-US"/>
        </w:rPr>
        <w:t>The following list is a summary of commonly used words and acronyms within this document</w:t>
      </w:r>
      <w:r w:rsidR="002778CE">
        <w:rPr>
          <w:lang w:val="en-US"/>
        </w:rPr>
        <w:t>.</w:t>
      </w:r>
    </w:p>
    <w:tbl>
      <w:tblPr>
        <w:tblStyle w:val="TableGrid"/>
        <w:tblW w:w="0" w:type="auto"/>
        <w:tblLook w:val="04A0"/>
      </w:tblPr>
      <w:tblGrid>
        <w:gridCol w:w="2198"/>
        <w:gridCol w:w="7045"/>
      </w:tblGrid>
      <w:tr w:rsidR="00A217C5" w:rsidTr="00355D85">
        <w:trPr>
          <w:cnfStyle w:val="100000000000"/>
        </w:trPr>
        <w:tc>
          <w:tcPr>
            <w:tcW w:w="2198" w:type="dxa"/>
          </w:tcPr>
          <w:p w:rsidR="00A217C5" w:rsidRDefault="00A217C5" w:rsidP="00B64DB5">
            <w:pPr>
              <w:spacing w:before="120" w:after="120"/>
              <w:rPr>
                <w:b/>
                <w:lang w:val="en-US"/>
              </w:rPr>
            </w:pPr>
            <w:r>
              <w:rPr>
                <w:b/>
                <w:lang w:val="en-US"/>
              </w:rPr>
              <w:t>Applicant</w:t>
            </w:r>
          </w:p>
        </w:tc>
        <w:tc>
          <w:tcPr>
            <w:tcW w:w="7045" w:type="dxa"/>
          </w:tcPr>
          <w:p w:rsidR="00F17119" w:rsidRDefault="002778CE">
            <w:pPr>
              <w:spacing w:before="120" w:after="120"/>
              <w:rPr>
                <w:lang w:val="en-US"/>
              </w:rPr>
            </w:pPr>
            <w:r>
              <w:rPr>
                <w:lang w:val="en-US"/>
              </w:rPr>
              <w:t>Refers to both t</w:t>
            </w:r>
            <w:r w:rsidR="00A217C5">
              <w:rPr>
                <w:lang w:val="en-US"/>
              </w:rPr>
              <w:t xml:space="preserve">he ‘person proposing to take the action’ </w:t>
            </w:r>
            <w:r w:rsidR="00D53CEB">
              <w:rPr>
                <w:lang w:val="en-US"/>
              </w:rPr>
              <w:t xml:space="preserve">for an environmental impact assessment </w:t>
            </w:r>
            <w:r>
              <w:rPr>
                <w:lang w:val="en-US"/>
              </w:rPr>
              <w:t>and</w:t>
            </w:r>
            <w:r w:rsidR="00D53CEB">
              <w:t xml:space="preserve"> the ‘person responsible for the adoption or implementation of a policy, plan or program’ for a strategic assessment</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The Cost Recovery Guidelines</w:t>
            </w:r>
          </w:p>
        </w:tc>
        <w:tc>
          <w:tcPr>
            <w:tcW w:w="7045" w:type="dxa"/>
          </w:tcPr>
          <w:p w:rsidR="00A217C5" w:rsidRPr="00C65E52" w:rsidRDefault="00A217C5" w:rsidP="00355D85">
            <w:pPr>
              <w:spacing w:before="120" w:after="120"/>
              <w:rPr>
                <w:lang w:val="en-US"/>
              </w:rPr>
            </w:pPr>
            <w:r w:rsidRPr="00C65E52">
              <w:rPr>
                <w:lang w:val="en-US"/>
              </w:rPr>
              <w:t>Australian Government document outlining the principles and criteria for cost recovery activities</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t>CA</w:t>
            </w:r>
          </w:p>
        </w:tc>
        <w:tc>
          <w:tcPr>
            <w:tcW w:w="7045" w:type="dxa"/>
          </w:tcPr>
          <w:p w:rsidR="00A217C5" w:rsidRPr="00C65E52" w:rsidRDefault="00A217C5" w:rsidP="00355D85">
            <w:pPr>
              <w:spacing w:before="120" w:after="120"/>
              <w:rPr>
                <w:lang w:val="en-US"/>
              </w:rPr>
            </w:pPr>
            <w:r w:rsidRPr="00C65E52">
              <w:rPr>
                <w:lang w:val="en-US"/>
              </w:rPr>
              <w:t>Controlled Action</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CITES</w:t>
            </w:r>
          </w:p>
        </w:tc>
        <w:tc>
          <w:tcPr>
            <w:tcW w:w="7045" w:type="dxa"/>
          </w:tcPr>
          <w:p w:rsidR="00A217C5" w:rsidRPr="00C65E52" w:rsidRDefault="00A217C5" w:rsidP="00355D85">
            <w:pPr>
              <w:spacing w:before="120" w:after="120"/>
              <w:rPr>
                <w:lang w:val="en-US"/>
              </w:rPr>
            </w:pPr>
            <w:r w:rsidRPr="00C65E52">
              <w:rPr>
                <w:lang w:val="en-US"/>
              </w:rPr>
              <w:t>Convention on International Trade in Endangered Species of Wild Flora and Fauna</w:t>
            </w:r>
          </w:p>
        </w:tc>
      </w:tr>
      <w:tr w:rsidR="00F101D0" w:rsidTr="00355D85">
        <w:trPr>
          <w:cnfStyle w:val="000000010000"/>
        </w:trPr>
        <w:tc>
          <w:tcPr>
            <w:tcW w:w="2198" w:type="dxa"/>
          </w:tcPr>
          <w:p w:rsidR="00F101D0" w:rsidRDefault="00F101D0" w:rsidP="00355D85">
            <w:pPr>
              <w:spacing w:before="120" w:after="120"/>
              <w:rPr>
                <w:b/>
                <w:lang w:val="en-US"/>
              </w:rPr>
            </w:pPr>
            <w:r>
              <w:rPr>
                <w:b/>
                <w:lang w:val="en-US"/>
              </w:rPr>
              <w:t>Class of Actions</w:t>
            </w:r>
          </w:p>
        </w:tc>
        <w:tc>
          <w:tcPr>
            <w:tcW w:w="7045" w:type="dxa"/>
          </w:tcPr>
          <w:p w:rsidR="00F101D0" w:rsidRPr="00C65E52" w:rsidRDefault="007D3C2B" w:rsidP="007D3C2B">
            <w:pPr>
              <w:spacing w:before="120" w:after="120"/>
              <w:rPr>
                <w:lang w:val="en-US"/>
              </w:rPr>
            </w:pPr>
            <w:r>
              <w:rPr>
                <w:lang w:val="en-US"/>
              </w:rPr>
              <w:t>A description of a group of actions that can be subject to a particular decision under the EPBC Act, for instance, a class of actions that is exempt from a Part 9 approval because it meets requirements under a bilateral agreement or a strategic assessment approval</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CRIS</w:t>
            </w:r>
          </w:p>
        </w:tc>
        <w:tc>
          <w:tcPr>
            <w:tcW w:w="7045" w:type="dxa"/>
          </w:tcPr>
          <w:p w:rsidR="00A217C5" w:rsidRPr="00C65E52" w:rsidRDefault="00A217C5" w:rsidP="002404DD">
            <w:pPr>
              <w:spacing w:before="120" w:after="120"/>
              <w:rPr>
                <w:lang w:val="en-US"/>
              </w:rPr>
            </w:pPr>
            <w:r w:rsidRPr="00C65E52">
              <w:rPr>
                <w:lang w:val="en-US"/>
              </w:rPr>
              <w:t xml:space="preserve">Cost Recovery </w:t>
            </w:r>
            <w:r>
              <w:rPr>
                <w:lang w:val="en-US"/>
              </w:rPr>
              <w:t>Imp</w:t>
            </w:r>
            <w:r w:rsidR="002404DD">
              <w:rPr>
                <w:lang w:val="en-US"/>
              </w:rPr>
              <w:t>act</w:t>
            </w:r>
            <w:r w:rsidRPr="00C65E52">
              <w:rPr>
                <w:lang w:val="en-US"/>
              </w:rPr>
              <w:t xml:space="preserve"> Statement</w:t>
            </w:r>
            <w:r>
              <w:rPr>
                <w:lang w:val="en-US"/>
              </w:rPr>
              <w:t xml:space="preserve"> </w:t>
            </w:r>
          </w:p>
        </w:tc>
      </w:tr>
      <w:tr w:rsidR="00A217C5" w:rsidTr="00355D85">
        <w:trPr>
          <w:cnfStyle w:val="000000010000"/>
        </w:trPr>
        <w:tc>
          <w:tcPr>
            <w:tcW w:w="2198" w:type="dxa"/>
          </w:tcPr>
          <w:p w:rsidR="00A217C5" w:rsidRDefault="00A217C5" w:rsidP="00355D85">
            <w:pPr>
              <w:spacing w:before="120" w:after="120"/>
              <w:rPr>
                <w:b/>
                <w:lang w:val="en-US"/>
              </w:rPr>
            </w:pPr>
            <w:r w:rsidRPr="001D5FB9">
              <w:rPr>
                <w:b/>
                <w:lang w:val="en-US"/>
              </w:rPr>
              <w:t>Direct costs</w:t>
            </w:r>
          </w:p>
        </w:tc>
        <w:tc>
          <w:tcPr>
            <w:tcW w:w="7045" w:type="dxa"/>
          </w:tcPr>
          <w:p w:rsidR="00A217C5" w:rsidRPr="00C65E52" w:rsidRDefault="00A217C5" w:rsidP="00931B14">
            <w:pPr>
              <w:spacing w:before="120" w:after="120"/>
              <w:rPr>
                <w:lang w:val="en-US"/>
              </w:rPr>
            </w:pPr>
            <w:r w:rsidRPr="00C65E52">
              <w:t xml:space="preserve">Those costs that can directly and unequivocally be attributed to </w:t>
            </w:r>
            <w:r w:rsidR="00931B14">
              <w:t xml:space="preserve">making </w:t>
            </w:r>
            <w:r w:rsidRPr="00C65E52">
              <w:t>a product</w:t>
            </w:r>
            <w:r w:rsidR="00931B14">
              <w:t xml:space="preserve"> or delivering a service</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EPBC Act</w:t>
            </w:r>
          </w:p>
        </w:tc>
        <w:tc>
          <w:tcPr>
            <w:tcW w:w="7045" w:type="dxa"/>
          </w:tcPr>
          <w:p w:rsidR="00A217C5" w:rsidRPr="00C65E52" w:rsidRDefault="00A217C5" w:rsidP="00355D85">
            <w:pPr>
              <w:spacing w:before="120" w:after="120"/>
              <w:rPr>
                <w:lang w:val="en-US"/>
              </w:rPr>
            </w:pPr>
            <w:r w:rsidRPr="00C65E52">
              <w:rPr>
                <w:i/>
                <w:lang w:val="en-US"/>
              </w:rPr>
              <w:t>Environment Protection and Biodiversity Conservation Act 1999</w:t>
            </w:r>
            <w:r w:rsidR="00FB7661">
              <w:rPr>
                <w:i/>
                <w:lang w:val="en-US"/>
              </w:rPr>
              <w:t xml:space="preserve"> (</w:t>
            </w:r>
            <w:proofErr w:type="spellStart"/>
            <w:r w:rsidR="00FB7661">
              <w:rPr>
                <w:i/>
                <w:lang w:val="en-US"/>
              </w:rPr>
              <w:t>Cth</w:t>
            </w:r>
            <w:proofErr w:type="spellEnd"/>
            <w:r w:rsidR="00FB7661">
              <w:rPr>
                <w:i/>
                <w:lang w:val="en-US"/>
              </w:rPr>
              <w:t>)</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t>Fee Point</w:t>
            </w:r>
          </w:p>
        </w:tc>
        <w:tc>
          <w:tcPr>
            <w:tcW w:w="7045" w:type="dxa"/>
          </w:tcPr>
          <w:p w:rsidR="00A217C5" w:rsidRPr="00C65E52" w:rsidRDefault="00A217C5" w:rsidP="00355D85">
            <w:pPr>
              <w:spacing w:before="120" w:after="120"/>
              <w:rPr>
                <w:lang w:val="en-US"/>
              </w:rPr>
            </w:pPr>
            <w:r w:rsidRPr="00C65E52">
              <w:rPr>
                <w:lang w:val="en-US"/>
              </w:rPr>
              <w:t>The point in the assessment or application process that a fee is charged</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Indirect costs</w:t>
            </w:r>
          </w:p>
        </w:tc>
        <w:tc>
          <w:tcPr>
            <w:tcW w:w="7045" w:type="dxa"/>
          </w:tcPr>
          <w:p w:rsidR="00A217C5" w:rsidRPr="00C65E52" w:rsidRDefault="002778CE" w:rsidP="002778CE">
            <w:pPr>
              <w:spacing w:before="120" w:after="120"/>
              <w:rPr>
                <w:lang w:val="en-US"/>
              </w:rPr>
            </w:pPr>
            <w:r>
              <w:t>C</w:t>
            </w:r>
            <w:r w:rsidR="00A217C5" w:rsidRPr="00C65E52">
              <w:t xml:space="preserve">osts that are not directly attributable to </w:t>
            </w:r>
            <w:r w:rsidR="00931B14">
              <w:t xml:space="preserve">making </w:t>
            </w:r>
            <w:r w:rsidR="00A217C5" w:rsidRPr="00C65E52">
              <w:t>a product</w:t>
            </w:r>
            <w:r w:rsidR="00931B14">
              <w:t xml:space="preserve"> or delivering a service</w:t>
            </w:r>
            <w:r>
              <w:t>, o</w:t>
            </w:r>
            <w:r w:rsidR="00A217C5" w:rsidRPr="00C65E52">
              <w:t xml:space="preserve">ften referred to as </w:t>
            </w:r>
            <w:r>
              <w:t>‘</w:t>
            </w:r>
            <w:r w:rsidR="00A217C5" w:rsidRPr="00C65E52">
              <w:t>overheads</w:t>
            </w:r>
            <w:r>
              <w:t>’</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t>NCA</w:t>
            </w:r>
          </w:p>
        </w:tc>
        <w:tc>
          <w:tcPr>
            <w:tcW w:w="7045" w:type="dxa"/>
          </w:tcPr>
          <w:p w:rsidR="00A217C5" w:rsidRPr="00C65E52" w:rsidRDefault="00A217C5" w:rsidP="00355D85">
            <w:pPr>
              <w:spacing w:before="120" w:after="120"/>
              <w:rPr>
                <w:lang w:val="en-US"/>
              </w:rPr>
            </w:pPr>
            <w:r w:rsidRPr="00C65E52">
              <w:rPr>
                <w:lang w:val="en-US"/>
              </w:rPr>
              <w:t>Not a Controlled Action</w:t>
            </w:r>
          </w:p>
        </w:tc>
      </w:tr>
      <w:tr w:rsidR="00A217C5" w:rsidTr="00AA0B16">
        <w:trPr>
          <w:cnfStyle w:val="000000100000"/>
          <w:cantSplit/>
        </w:trPr>
        <w:tc>
          <w:tcPr>
            <w:tcW w:w="2198" w:type="dxa"/>
          </w:tcPr>
          <w:p w:rsidR="00A217C5" w:rsidRDefault="00A217C5" w:rsidP="00355D85">
            <w:pPr>
              <w:spacing w:before="120" w:after="120"/>
              <w:rPr>
                <w:b/>
                <w:lang w:val="en-US"/>
              </w:rPr>
            </w:pPr>
            <w:r>
              <w:rPr>
                <w:b/>
                <w:lang w:val="en-US"/>
              </w:rPr>
              <w:t>NCA/PM</w:t>
            </w:r>
          </w:p>
        </w:tc>
        <w:tc>
          <w:tcPr>
            <w:tcW w:w="7045" w:type="dxa"/>
          </w:tcPr>
          <w:p w:rsidR="00A217C5" w:rsidRPr="00C65E52" w:rsidRDefault="00A217C5" w:rsidP="00355D85">
            <w:pPr>
              <w:spacing w:before="120" w:after="120"/>
              <w:rPr>
                <w:lang w:val="en-US"/>
              </w:rPr>
            </w:pPr>
            <w:r w:rsidRPr="00C65E52">
              <w:rPr>
                <w:lang w:val="en-US"/>
              </w:rPr>
              <w:t>Not a Controlled Action, provided the action is undertaken in a particular manner</w:t>
            </w:r>
          </w:p>
        </w:tc>
      </w:tr>
      <w:tr w:rsidR="008478A8" w:rsidTr="00355D85">
        <w:trPr>
          <w:cnfStyle w:val="000000010000"/>
        </w:trPr>
        <w:tc>
          <w:tcPr>
            <w:tcW w:w="2198" w:type="dxa"/>
          </w:tcPr>
          <w:p w:rsidR="008478A8" w:rsidRDefault="008478A8" w:rsidP="00355D85">
            <w:pPr>
              <w:spacing w:before="120" w:after="120"/>
              <w:rPr>
                <w:b/>
                <w:lang w:val="en-US"/>
              </w:rPr>
            </w:pPr>
            <w:r>
              <w:rPr>
                <w:b/>
                <w:lang w:val="en-US"/>
              </w:rPr>
              <w:t>Post approval</w:t>
            </w:r>
          </w:p>
        </w:tc>
        <w:tc>
          <w:tcPr>
            <w:tcW w:w="7045" w:type="dxa"/>
          </w:tcPr>
          <w:p w:rsidR="000B573E" w:rsidRDefault="00CA3ABF">
            <w:pPr>
              <w:pStyle w:val="Default"/>
              <w:rPr>
                <w:rFonts w:cs="Arial"/>
              </w:rPr>
            </w:pPr>
            <w:r w:rsidRPr="00CA3ABF">
              <w:rPr>
                <w:rFonts w:ascii="Arial" w:hAnsi="Arial" w:cs="Arial"/>
                <w:sz w:val="22"/>
                <w:szCs w:val="22"/>
              </w:rPr>
              <w:t xml:space="preserve">Functions that occur subsequent to an approval under </w:t>
            </w:r>
            <w:r w:rsidR="008478A8">
              <w:rPr>
                <w:rFonts w:ascii="Arial" w:hAnsi="Arial" w:cs="Arial"/>
                <w:sz w:val="22"/>
                <w:szCs w:val="22"/>
              </w:rPr>
              <w:t>Part 9 of Chapter 4 of the EPBC Act. e</w:t>
            </w:r>
            <w:r w:rsidRPr="00CA3ABF">
              <w:rPr>
                <w:rFonts w:ascii="Arial" w:hAnsi="Arial" w:cs="Arial"/>
                <w:sz w:val="22"/>
                <w:szCs w:val="22"/>
              </w:rPr>
              <w:t xml:space="preserve">.g. Assessment of </w:t>
            </w:r>
            <w:r w:rsidR="008478A8">
              <w:rPr>
                <w:rFonts w:ascii="Arial" w:hAnsi="Arial" w:cs="Arial"/>
                <w:sz w:val="22"/>
                <w:szCs w:val="22"/>
              </w:rPr>
              <w:t xml:space="preserve">post-approval action </w:t>
            </w:r>
            <w:r w:rsidRPr="00CA3ABF">
              <w:rPr>
                <w:rFonts w:ascii="Arial" w:hAnsi="Arial" w:cs="Arial"/>
                <w:sz w:val="22"/>
                <w:szCs w:val="22"/>
              </w:rPr>
              <w:t xml:space="preserve">management plans </w:t>
            </w:r>
          </w:p>
        </w:tc>
      </w:tr>
      <w:tr w:rsidR="00CF5DEA" w:rsidTr="00355D85">
        <w:trPr>
          <w:cnfStyle w:val="000000100000"/>
        </w:trPr>
        <w:tc>
          <w:tcPr>
            <w:tcW w:w="2198" w:type="dxa"/>
          </w:tcPr>
          <w:p w:rsidR="00CF5DEA" w:rsidRDefault="00C66C28" w:rsidP="00355D85">
            <w:pPr>
              <w:spacing w:before="120" w:after="120"/>
              <w:rPr>
                <w:b/>
                <w:lang w:val="en-US"/>
              </w:rPr>
            </w:pPr>
            <w:r>
              <w:rPr>
                <w:b/>
                <w:lang w:val="en-US"/>
              </w:rPr>
              <w:t>P</w:t>
            </w:r>
            <w:r w:rsidR="004E2198">
              <w:rPr>
                <w:b/>
                <w:lang w:val="en-US"/>
              </w:rPr>
              <w:t>olicy, plan or program</w:t>
            </w:r>
          </w:p>
        </w:tc>
        <w:tc>
          <w:tcPr>
            <w:tcW w:w="7045" w:type="dxa"/>
          </w:tcPr>
          <w:p w:rsidR="00CF5DEA" w:rsidRDefault="00CF5DEA" w:rsidP="00355D85">
            <w:pPr>
              <w:spacing w:before="120" w:after="120"/>
              <w:rPr>
                <w:iCs/>
              </w:rPr>
            </w:pPr>
            <w:r>
              <w:rPr>
                <w:iCs/>
              </w:rPr>
              <w:t>Policy, Plan or Program for a strategic assessment under Part 10 of the EPBC Act</w:t>
            </w:r>
          </w:p>
        </w:tc>
      </w:tr>
      <w:tr w:rsidR="00D33099" w:rsidTr="00492083">
        <w:trPr>
          <w:cnfStyle w:val="000000010000"/>
          <w:cantSplit/>
        </w:trPr>
        <w:tc>
          <w:tcPr>
            <w:tcW w:w="2198" w:type="dxa"/>
          </w:tcPr>
          <w:p w:rsidR="00D33099" w:rsidRDefault="00D33099" w:rsidP="00355D85">
            <w:pPr>
              <w:spacing w:before="120" w:after="120"/>
              <w:rPr>
                <w:b/>
                <w:lang w:val="en-US"/>
              </w:rPr>
            </w:pPr>
            <w:r>
              <w:rPr>
                <w:b/>
                <w:lang w:val="en-US"/>
              </w:rPr>
              <w:t>regulations</w:t>
            </w:r>
          </w:p>
        </w:tc>
        <w:tc>
          <w:tcPr>
            <w:tcW w:w="7045" w:type="dxa"/>
          </w:tcPr>
          <w:p w:rsidR="00D33099" w:rsidRPr="009447A5" w:rsidRDefault="00D33099">
            <w:pPr>
              <w:pStyle w:val="Default"/>
              <w:spacing w:after="200" w:line="276" w:lineRule="auto"/>
              <w:rPr>
                <w:rFonts w:ascii="Arial" w:hAnsi="Arial" w:cs="Arial"/>
                <w:sz w:val="22"/>
                <w:szCs w:val="22"/>
              </w:rPr>
            </w:pPr>
            <w:r w:rsidRPr="00B87931">
              <w:rPr>
                <w:rFonts w:ascii="Arial" w:hAnsi="Arial" w:cs="Arial"/>
                <w:sz w:val="22"/>
                <w:szCs w:val="22"/>
              </w:rPr>
              <w:t>Environment Protection and Biodiversity Conservation Regulations</w:t>
            </w:r>
            <w:r>
              <w:rPr>
                <w:rFonts w:ascii="Arial" w:hAnsi="Arial" w:cs="Arial"/>
                <w:sz w:val="22"/>
                <w:szCs w:val="22"/>
              </w:rPr>
              <w:t xml:space="preserve"> 2000</w:t>
            </w:r>
          </w:p>
        </w:tc>
      </w:tr>
      <w:tr w:rsidR="00DA32F4" w:rsidTr="00355D85">
        <w:trPr>
          <w:cnfStyle w:val="000000100000"/>
        </w:trPr>
        <w:tc>
          <w:tcPr>
            <w:tcW w:w="2198" w:type="dxa"/>
          </w:tcPr>
          <w:p w:rsidR="00DA32F4" w:rsidRDefault="00DA32F4" w:rsidP="00355D85">
            <w:pPr>
              <w:spacing w:before="120" w:after="120"/>
              <w:rPr>
                <w:b/>
                <w:lang w:val="en-US"/>
              </w:rPr>
            </w:pPr>
            <w:r>
              <w:rPr>
                <w:b/>
                <w:lang w:val="en-US"/>
              </w:rPr>
              <w:t>Stop clock</w:t>
            </w:r>
          </w:p>
        </w:tc>
        <w:tc>
          <w:tcPr>
            <w:tcW w:w="7045" w:type="dxa"/>
          </w:tcPr>
          <w:p w:rsidR="000B573E" w:rsidRDefault="00CA3ABF">
            <w:pPr>
              <w:pStyle w:val="Default"/>
              <w:rPr>
                <w:rFonts w:cs="Arial"/>
                <w:iCs/>
              </w:rPr>
            </w:pPr>
            <w:r w:rsidRPr="00CA3ABF">
              <w:rPr>
                <w:rFonts w:ascii="Arial" w:hAnsi="Arial" w:cs="Arial"/>
                <w:sz w:val="22"/>
                <w:szCs w:val="22"/>
              </w:rPr>
              <w:t xml:space="preserve">Suspension of the statutory timeframe of an EPBC Act referral or assessment by the Minister/delegate </w:t>
            </w:r>
          </w:p>
        </w:tc>
      </w:tr>
      <w:tr w:rsidR="00A217C5" w:rsidTr="00355D85">
        <w:trPr>
          <w:cnfStyle w:val="000000010000"/>
        </w:trPr>
        <w:tc>
          <w:tcPr>
            <w:tcW w:w="2198" w:type="dxa"/>
          </w:tcPr>
          <w:p w:rsidR="00A217C5" w:rsidRDefault="00A217C5" w:rsidP="00355D85">
            <w:pPr>
              <w:spacing w:before="120" w:after="120"/>
              <w:rPr>
                <w:b/>
                <w:lang w:val="en-US"/>
              </w:rPr>
            </w:pPr>
            <w:r>
              <w:rPr>
                <w:b/>
                <w:lang w:val="en-US"/>
              </w:rPr>
              <w:lastRenderedPageBreak/>
              <w:t>The Department</w:t>
            </w:r>
          </w:p>
        </w:tc>
        <w:tc>
          <w:tcPr>
            <w:tcW w:w="7045" w:type="dxa"/>
          </w:tcPr>
          <w:p w:rsidR="00A217C5" w:rsidRDefault="00A217C5" w:rsidP="00355D85">
            <w:pPr>
              <w:spacing w:before="120" w:after="120"/>
              <w:rPr>
                <w:lang w:val="en-US"/>
              </w:rPr>
            </w:pPr>
            <w:r>
              <w:rPr>
                <w:iCs/>
              </w:rPr>
              <w:t>The Department of</w:t>
            </w:r>
            <w:r w:rsidR="001C0989">
              <w:rPr>
                <w:iCs/>
              </w:rPr>
              <w:t xml:space="preserve"> the</w:t>
            </w:r>
            <w:r>
              <w:rPr>
                <w:iCs/>
              </w:rPr>
              <w:t xml:space="preserve"> Environment</w:t>
            </w:r>
          </w:p>
        </w:tc>
      </w:tr>
      <w:tr w:rsidR="00A217C5" w:rsidTr="00355D85">
        <w:trPr>
          <w:cnfStyle w:val="000000100000"/>
        </w:trPr>
        <w:tc>
          <w:tcPr>
            <w:tcW w:w="2198" w:type="dxa"/>
          </w:tcPr>
          <w:p w:rsidR="00A217C5" w:rsidRDefault="00A217C5" w:rsidP="00355D85">
            <w:pPr>
              <w:spacing w:before="120" w:after="120"/>
              <w:rPr>
                <w:b/>
                <w:lang w:val="en-US"/>
              </w:rPr>
            </w:pPr>
            <w:r>
              <w:rPr>
                <w:b/>
                <w:lang w:val="en-US"/>
              </w:rPr>
              <w:t>The Minister</w:t>
            </w:r>
          </w:p>
        </w:tc>
        <w:tc>
          <w:tcPr>
            <w:tcW w:w="7045" w:type="dxa"/>
          </w:tcPr>
          <w:p w:rsidR="00A217C5" w:rsidRDefault="00D33099" w:rsidP="00355D85">
            <w:pPr>
              <w:spacing w:before="120" w:after="120"/>
              <w:rPr>
                <w:iCs/>
              </w:rPr>
            </w:pPr>
            <w:r>
              <w:rPr>
                <w:iCs/>
              </w:rPr>
              <w:t xml:space="preserve">The </w:t>
            </w:r>
            <w:r w:rsidR="00A217C5">
              <w:rPr>
                <w:iCs/>
              </w:rPr>
              <w:t>Minister for the Environment</w:t>
            </w:r>
          </w:p>
        </w:tc>
      </w:tr>
    </w:tbl>
    <w:p w:rsidR="00DC7EAF" w:rsidRDefault="00DC7EAF" w:rsidP="00DC7EAF"/>
    <w:p w:rsidR="00B51CA5" w:rsidRDefault="00B51CA5" w:rsidP="00DC7EAF">
      <w:r>
        <w:rPr>
          <w:rFonts w:eastAsia="Times New Roman"/>
          <w:b/>
          <w:bCs/>
          <w:u w:val="single"/>
        </w:rPr>
        <w:t>Staffing classifications</w:t>
      </w:r>
    </w:p>
    <w:tbl>
      <w:tblPr>
        <w:tblW w:w="92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8081"/>
      </w:tblGrid>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APS 4 </w:t>
            </w:r>
          </w:p>
        </w:tc>
        <w:tc>
          <w:tcPr>
            <w:tcW w:w="0" w:type="auto"/>
            <w:tcMar>
              <w:top w:w="15" w:type="dxa"/>
              <w:left w:w="15" w:type="dxa"/>
              <w:bottom w:w="15" w:type="dxa"/>
              <w:right w:w="15" w:type="dxa"/>
            </w:tcMar>
            <w:vAlign w:val="center"/>
            <w:hideMark/>
          </w:tcPr>
          <w:p w:rsidR="00B51CA5" w:rsidRDefault="00B51CA5" w:rsidP="00B51CA5">
            <w:pPr>
              <w:spacing w:line="153" w:lineRule="atLeast"/>
              <w:rPr>
                <w:rFonts w:eastAsia="Times New Roman"/>
                <w:sz w:val="24"/>
                <w:szCs w:val="24"/>
              </w:rPr>
            </w:pPr>
            <w:r>
              <w:rPr>
                <w:rFonts w:eastAsia="Times New Roman"/>
              </w:rPr>
              <w:t xml:space="preserve">Assessment Officer / Project Officer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APS 5 / 6 </w:t>
            </w:r>
          </w:p>
        </w:tc>
        <w:tc>
          <w:tcPr>
            <w:tcW w:w="0" w:type="auto"/>
            <w:tcMar>
              <w:top w:w="15" w:type="dxa"/>
              <w:left w:w="15" w:type="dxa"/>
              <w:bottom w:w="15" w:type="dxa"/>
              <w:right w:w="15" w:type="dxa"/>
            </w:tcMar>
            <w:vAlign w:val="center"/>
            <w:hideMark/>
          </w:tcPr>
          <w:p w:rsidR="00B51CA5" w:rsidRDefault="00B51CA5" w:rsidP="00B51CA5">
            <w:pPr>
              <w:spacing w:line="153" w:lineRule="atLeast"/>
              <w:rPr>
                <w:rFonts w:eastAsia="Times New Roman"/>
                <w:sz w:val="24"/>
                <w:szCs w:val="24"/>
              </w:rPr>
            </w:pPr>
            <w:r>
              <w:rPr>
                <w:rFonts w:eastAsia="Times New Roman"/>
              </w:rPr>
              <w:t xml:space="preserve">Assessment Officer / Project Manager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EL 1 </w:t>
            </w:r>
          </w:p>
        </w:tc>
        <w:tc>
          <w:tcPr>
            <w:tcW w:w="0" w:type="auto"/>
            <w:tcMar>
              <w:top w:w="15" w:type="dxa"/>
              <w:left w:w="15" w:type="dxa"/>
              <w:bottom w:w="15" w:type="dxa"/>
              <w:right w:w="15" w:type="dxa"/>
            </w:tcMar>
            <w:vAlign w:val="center"/>
            <w:hideMark/>
          </w:tcPr>
          <w:p w:rsidR="00B51CA5" w:rsidRDefault="00B51CA5" w:rsidP="00B51CA5">
            <w:pPr>
              <w:spacing w:line="153" w:lineRule="atLeast"/>
              <w:rPr>
                <w:rFonts w:eastAsia="Times New Roman"/>
                <w:sz w:val="24"/>
                <w:szCs w:val="24"/>
              </w:rPr>
            </w:pPr>
            <w:r>
              <w:rPr>
                <w:rFonts w:eastAsia="Times New Roman"/>
              </w:rPr>
              <w:t xml:space="preserve">Assistant Director / Team Manager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EL 2 </w:t>
            </w:r>
          </w:p>
        </w:tc>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rPr>
              <w:t xml:space="preserve">Director / Section Manager </w:t>
            </w:r>
          </w:p>
        </w:tc>
      </w:tr>
      <w:tr w:rsidR="00B51CA5" w:rsidTr="002C25AF">
        <w:trPr>
          <w:trHeight w:val="153"/>
          <w:tblCellSpacing w:w="15" w:type="dxa"/>
        </w:trPr>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b/>
                <w:bCs/>
              </w:rPr>
              <w:t xml:space="preserve">SES 1 </w:t>
            </w:r>
          </w:p>
        </w:tc>
        <w:tc>
          <w:tcPr>
            <w:tcW w:w="0" w:type="auto"/>
            <w:tcMar>
              <w:top w:w="15" w:type="dxa"/>
              <w:left w:w="15" w:type="dxa"/>
              <w:bottom w:w="15" w:type="dxa"/>
              <w:right w:w="15" w:type="dxa"/>
            </w:tcMar>
            <w:vAlign w:val="center"/>
            <w:hideMark/>
          </w:tcPr>
          <w:p w:rsidR="00B51CA5" w:rsidRDefault="00B51CA5">
            <w:pPr>
              <w:spacing w:line="153" w:lineRule="atLeast"/>
              <w:rPr>
                <w:rFonts w:eastAsia="Times New Roman"/>
                <w:sz w:val="24"/>
                <w:szCs w:val="24"/>
              </w:rPr>
            </w:pPr>
            <w:r>
              <w:rPr>
                <w:rFonts w:eastAsia="Times New Roman"/>
              </w:rPr>
              <w:t xml:space="preserve">Assistant Secretary / Senior Executive Staff / Delegate of the Minister </w:t>
            </w:r>
          </w:p>
        </w:tc>
      </w:tr>
    </w:tbl>
    <w:p w:rsidR="00B51CA5" w:rsidRDefault="00B51CA5" w:rsidP="00B51CA5">
      <w:pPr>
        <w:rPr>
          <w:rFonts w:ascii="Calibri" w:eastAsia="Times New Roman" w:hAnsi="Calibri"/>
          <w:sz w:val="23"/>
          <w:szCs w:val="23"/>
        </w:rPr>
      </w:pPr>
      <w:r>
        <w:rPr>
          <w:rFonts w:ascii="Calibri" w:eastAsia="Times New Roman" w:hAnsi="Calibri"/>
          <w:color w:val="1F497D"/>
        </w:rPr>
        <w:t> </w:t>
      </w:r>
    </w:p>
    <w:p w:rsidR="008226F4" w:rsidRDefault="008226F4">
      <w:pPr>
        <w:spacing w:after="0" w:line="240" w:lineRule="auto"/>
        <w:rPr>
          <w:rFonts w:cs="Arial"/>
          <w:b/>
        </w:rPr>
      </w:pPr>
    </w:p>
    <w:p w:rsidR="00FF6E73" w:rsidRDefault="00FF6E73" w:rsidP="007A110B">
      <w:pPr>
        <w:pStyle w:val="Heading1"/>
        <w:sectPr w:rsidR="00FF6E73" w:rsidSect="000005C0">
          <w:headerReference w:type="even" r:id="rId17"/>
          <w:headerReference w:type="default" r:id="rId18"/>
          <w:footerReference w:type="default" r:id="rId19"/>
          <w:headerReference w:type="first" r:id="rId20"/>
          <w:pgSz w:w="11906" w:h="16838"/>
          <w:pgMar w:top="1418" w:right="1276" w:bottom="567" w:left="1418" w:header="425" w:footer="425" w:gutter="0"/>
          <w:pgNumType w:fmt="lowerRoman" w:start="1"/>
          <w:cols w:space="708"/>
          <w:docGrid w:linePitch="360"/>
        </w:sectPr>
      </w:pPr>
    </w:p>
    <w:p w:rsidR="00D33099" w:rsidRDefault="003E68DF">
      <w:pPr>
        <w:pStyle w:val="Heading1"/>
      </w:pPr>
      <w:bookmarkStart w:id="0" w:name="_Toc387064747"/>
      <w:bookmarkStart w:id="1" w:name="_Toc387064959"/>
      <w:bookmarkStart w:id="2" w:name="_Toc387065165"/>
      <w:bookmarkStart w:id="3" w:name="_Toc387065376"/>
      <w:bookmarkStart w:id="4" w:name="_Toc387065582"/>
      <w:bookmarkStart w:id="5" w:name="_Toc387065787"/>
      <w:bookmarkStart w:id="6" w:name="_Toc387065993"/>
      <w:bookmarkStart w:id="7" w:name="_Toc387066196"/>
      <w:bookmarkStart w:id="8" w:name="_Toc387069432"/>
      <w:bookmarkStart w:id="9" w:name="_Toc387069619"/>
      <w:bookmarkStart w:id="10" w:name="_Toc387069828"/>
      <w:bookmarkStart w:id="11" w:name="_Toc387070027"/>
      <w:bookmarkStart w:id="12" w:name="_Toc387072292"/>
      <w:bookmarkStart w:id="13" w:name="_Toc387072503"/>
      <w:bookmarkStart w:id="14" w:name="_Toc387392531"/>
      <w:bookmarkStart w:id="15" w:name="_Toc391541553"/>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BE02B0">
        <w:lastRenderedPageBreak/>
        <w:t>INTRODUCTION</w:t>
      </w:r>
      <w:bookmarkEnd w:id="15"/>
    </w:p>
    <w:p w:rsidR="00A56C4A" w:rsidRPr="00927AE3" w:rsidRDefault="00A56C4A" w:rsidP="00A56C4A">
      <w:pPr>
        <w:pStyle w:val="ListBullet"/>
        <w:numPr>
          <w:ilvl w:val="0"/>
          <w:numId w:val="0"/>
        </w:numPr>
        <w:rPr>
          <w:lang w:eastAsia="en-AU"/>
        </w:rPr>
      </w:pPr>
      <w:r w:rsidRPr="00927AE3">
        <w:rPr>
          <w:lang w:eastAsia="en-AU"/>
        </w:rPr>
        <w:t>The Australian Government is committed to creating a ‘one stop shop’ for environmental approvals, by accrediting state and territory environmental assessment and approval systems under national environment law. This will create a single approval process that satisfies both state and Commonwealth requirements, and ensures that high environmental standards are maintained.</w:t>
      </w:r>
      <w:r w:rsidRPr="00927AE3">
        <w:rPr>
          <w:rStyle w:val="FootnoteReference"/>
          <w:rFonts w:cs="Arial"/>
        </w:rPr>
        <w:footnoteReference w:id="1"/>
      </w:r>
      <w:r w:rsidRPr="00927AE3">
        <w:rPr>
          <w:lang w:eastAsia="en-AU"/>
        </w:rPr>
        <w:t xml:space="preserve"> </w:t>
      </w:r>
      <w:r w:rsidR="00927AE3" w:rsidRPr="00664BBF">
        <w:rPr>
          <w:lang w:eastAsia="en-AU"/>
        </w:rPr>
        <w:t xml:space="preserve">Projects assessed by the states or territories under an approval bilateral agreement will not be subject to cost recovery </w:t>
      </w:r>
      <w:r w:rsidR="007C71F7">
        <w:rPr>
          <w:lang w:eastAsia="en-AU"/>
        </w:rPr>
        <w:t>by the Commonwealth</w:t>
      </w:r>
      <w:r w:rsidR="00874BA3">
        <w:rPr>
          <w:lang w:eastAsia="en-AU"/>
        </w:rPr>
        <w:t>. A</w:t>
      </w:r>
      <w:r w:rsidR="007C71F7">
        <w:rPr>
          <w:lang w:eastAsia="en-AU"/>
        </w:rPr>
        <w:t xml:space="preserve"> st</w:t>
      </w:r>
      <w:r w:rsidR="00E61DA9">
        <w:rPr>
          <w:lang w:eastAsia="en-AU"/>
        </w:rPr>
        <w:t>ate or territory may undertake its</w:t>
      </w:r>
      <w:r w:rsidR="007C71F7">
        <w:rPr>
          <w:lang w:eastAsia="en-AU"/>
        </w:rPr>
        <w:t xml:space="preserve"> own cost recovery arrangements for </w:t>
      </w:r>
      <w:r w:rsidR="00874BA3">
        <w:rPr>
          <w:lang w:eastAsia="en-AU"/>
        </w:rPr>
        <w:t xml:space="preserve">these </w:t>
      </w:r>
      <w:r w:rsidR="007C71F7">
        <w:rPr>
          <w:lang w:eastAsia="en-AU"/>
        </w:rPr>
        <w:t xml:space="preserve">environmental assessments. </w:t>
      </w:r>
      <w:r w:rsidRPr="00664BBF">
        <w:rPr>
          <w:lang w:eastAsia="en-AU"/>
        </w:rPr>
        <w:t>Cost</w:t>
      </w:r>
      <w:r w:rsidRPr="00927AE3">
        <w:rPr>
          <w:lang w:eastAsia="en-AU"/>
        </w:rPr>
        <w:t xml:space="preserve"> recovery complements the Government’s commitment to streamlining environmental approvals under the ‘one stop shop’ by ensuring Commonwealth assessment activities are as efficient and effective as possible</w:t>
      </w:r>
      <w:r w:rsidR="00DD3675">
        <w:rPr>
          <w:lang w:eastAsia="en-AU"/>
        </w:rPr>
        <w:t>, and that the beneficiary pays for the services received</w:t>
      </w:r>
      <w:r w:rsidRPr="00927AE3">
        <w:rPr>
          <w:lang w:eastAsia="en-AU"/>
        </w:rPr>
        <w:t xml:space="preserve">. </w:t>
      </w:r>
    </w:p>
    <w:p w:rsidR="003E68DF" w:rsidRPr="00927AE3" w:rsidRDefault="00BE02B0" w:rsidP="00092B60">
      <w:pPr>
        <w:pStyle w:val="Heading2"/>
      </w:pPr>
      <w:bookmarkStart w:id="16" w:name="_Toc391541554"/>
      <w:r w:rsidRPr="00927AE3">
        <w:t>Purpose of a cost recovery imp</w:t>
      </w:r>
      <w:r w:rsidR="002404DD" w:rsidRPr="00927AE3">
        <w:t>act</w:t>
      </w:r>
      <w:r w:rsidRPr="00927AE3">
        <w:t xml:space="preserve"> statement</w:t>
      </w:r>
      <w:bookmarkEnd w:id="16"/>
    </w:p>
    <w:p w:rsidR="004F1938" w:rsidRPr="00927AE3" w:rsidRDefault="002778CE" w:rsidP="00B77A0D">
      <w:r w:rsidRPr="00927AE3">
        <w:t>T</w:t>
      </w:r>
      <w:r w:rsidR="00B77A0D" w:rsidRPr="00927AE3">
        <w:t xml:space="preserve">his </w:t>
      </w:r>
      <w:r w:rsidR="00730E67" w:rsidRPr="00927AE3">
        <w:t>CRIS</w:t>
      </w:r>
      <w:r w:rsidR="00B77A0D" w:rsidRPr="00927AE3">
        <w:t xml:space="preserve"> </w:t>
      </w:r>
      <w:r w:rsidRPr="00927AE3">
        <w:t>documents</w:t>
      </w:r>
      <w:r w:rsidR="00B77A0D" w:rsidRPr="00927AE3">
        <w:rPr>
          <w:iCs/>
        </w:rPr>
        <w:t xml:space="preserve"> </w:t>
      </w:r>
      <w:r w:rsidR="00CA1ADC" w:rsidRPr="00927AE3">
        <w:rPr>
          <w:iCs/>
        </w:rPr>
        <w:t xml:space="preserve">the </w:t>
      </w:r>
      <w:r w:rsidR="00B77A0D" w:rsidRPr="00927AE3">
        <w:rPr>
          <w:iCs/>
        </w:rPr>
        <w:t xml:space="preserve">cost recovery arrangements </w:t>
      </w:r>
      <w:r w:rsidR="00CA1ADC" w:rsidRPr="00927AE3">
        <w:rPr>
          <w:iCs/>
        </w:rPr>
        <w:t xml:space="preserve">that </w:t>
      </w:r>
      <w:r w:rsidR="00CF20A5" w:rsidRPr="00927AE3">
        <w:rPr>
          <w:iCs/>
        </w:rPr>
        <w:t xml:space="preserve">the Department of </w:t>
      </w:r>
      <w:r w:rsidR="00E61DA9">
        <w:rPr>
          <w:iCs/>
        </w:rPr>
        <w:t xml:space="preserve">the </w:t>
      </w:r>
      <w:r w:rsidR="00CF20A5" w:rsidRPr="00927AE3">
        <w:rPr>
          <w:iCs/>
        </w:rPr>
        <w:t xml:space="preserve">Environment </w:t>
      </w:r>
      <w:r w:rsidR="00E61DA9">
        <w:rPr>
          <w:iCs/>
        </w:rPr>
        <w:t>u</w:t>
      </w:r>
      <w:r w:rsidR="005863E6" w:rsidRPr="00927AE3">
        <w:rPr>
          <w:iCs/>
        </w:rPr>
        <w:t>ses</w:t>
      </w:r>
      <w:r w:rsidR="00CA1ADC" w:rsidRPr="00927AE3">
        <w:rPr>
          <w:iCs/>
        </w:rPr>
        <w:t xml:space="preserve"> </w:t>
      </w:r>
      <w:r w:rsidR="00B77A0D" w:rsidRPr="00927AE3">
        <w:rPr>
          <w:iCs/>
        </w:rPr>
        <w:t xml:space="preserve">for </w:t>
      </w:r>
      <w:r w:rsidR="00CF20A5" w:rsidRPr="00927AE3">
        <w:rPr>
          <w:iCs/>
        </w:rPr>
        <w:t>environmental assessments</w:t>
      </w:r>
      <w:r w:rsidR="00B77A0D" w:rsidRPr="00927AE3">
        <w:rPr>
          <w:iCs/>
        </w:rPr>
        <w:t xml:space="preserve"> under the </w:t>
      </w:r>
      <w:r w:rsidR="001824A5" w:rsidRPr="00927AE3">
        <w:rPr>
          <w:i/>
          <w:iCs/>
        </w:rPr>
        <w:t>Environment Protection and Biodiversity Conservation Act</w:t>
      </w:r>
      <w:r w:rsidR="00A56C4A" w:rsidRPr="00927AE3">
        <w:rPr>
          <w:iCs/>
        </w:rPr>
        <w:t xml:space="preserve"> 1999 (</w:t>
      </w:r>
      <w:proofErr w:type="spellStart"/>
      <w:r w:rsidR="00A56C4A" w:rsidRPr="00927AE3">
        <w:rPr>
          <w:iCs/>
        </w:rPr>
        <w:t>Cth</w:t>
      </w:r>
      <w:proofErr w:type="spellEnd"/>
      <w:r w:rsidR="00A56C4A" w:rsidRPr="00927AE3">
        <w:rPr>
          <w:iCs/>
        </w:rPr>
        <w:t>)</w:t>
      </w:r>
      <w:r w:rsidR="00730E67" w:rsidRPr="00927AE3">
        <w:rPr>
          <w:iCs/>
        </w:rPr>
        <w:t xml:space="preserve"> (EPBC Act)</w:t>
      </w:r>
      <w:r w:rsidR="00A56C4A" w:rsidRPr="00927AE3">
        <w:rPr>
          <w:iCs/>
        </w:rPr>
        <w:t xml:space="preserve">. </w:t>
      </w:r>
      <w:r w:rsidRPr="00927AE3">
        <w:rPr>
          <w:iCs/>
        </w:rPr>
        <w:t xml:space="preserve">Environmental assessments include both </w:t>
      </w:r>
      <w:r w:rsidR="00CF20A5" w:rsidRPr="00927AE3">
        <w:rPr>
          <w:iCs/>
        </w:rPr>
        <w:t>environmental impact assessments</w:t>
      </w:r>
      <w:r w:rsidRPr="00927AE3">
        <w:rPr>
          <w:iCs/>
        </w:rPr>
        <w:t xml:space="preserve"> of individual actions</w:t>
      </w:r>
      <w:r w:rsidR="00CF20A5" w:rsidRPr="00927AE3">
        <w:rPr>
          <w:iCs/>
        </w:rPr>
        <w:t xml:space="preserve"> and strategic assessments. </w:t>
      </w:r>
      <w:r w:rsidRPr="00927AE3">
        <w:rPr>
          <w:iCs/>
        </w:rPr>
        <w:t>This CRIS de</w:t>
      </w:r>
      <w:r w:rsidRPr="00927AE3">
        <w:t xml:space="preserve">monstrates that cost recovery under the EPBC Act for environmental assessments complies with the Australian Government Cost Recovery Guidelines. </w:t>
      </w:r>
    </w:p>
    <w:p w:rsidR="008C72BB" w:rsidRPr="00DD3510" w:rsidRDefault="00B77A0D" w:rsidP="00B77A0D">
      <w:r w:rsidRPr="00927AE3">
        <w:t xml:space="preserve">This CRIS </w:t>
      </w:r>
      <w:r w:rsidR="00F843BD" w:rsidRPr="00927AE3">
        <w:t>will be</w:t>
      </w:r>
      <w:r w:rsidR="00CF20A5" w:rsidRPr="00927AE3">
        <w:t xml:space="preserve"> updated on a regular basis </w:t>
      </w:r>
      <w:r w:rsidR="002778CE" w:rsidRPr="00927AE3">
        <w:t xml:space="preserve">following implementation of cost recovery </w:t>
      </w:r>
      <w:r w:rsidR="00CF20A5" w:rsidRPr="00927AE3">
        <w:t xml:space="preserve">to reflect </w:t>
      </w:r>
      <w:r w:rsidR="002778CE" w:rsidRPr="00927AE3">
        <w:t xml:space="preserve">any </w:t>
      </w:r>
      <w:r w:rsidR="00CF20A5" w:rsidRPr="00927AE3">
        <w:t xml:space="preserve">changes in the cost recovery model, financial status and performance of the activity. </w:t>
      </w:r>
      <w:r w:rsidR="00A9294E" w:rsidRPr="00927AE3">
        <w:t xml:space="preserve">The </w:t>
      </w:r>
      <w:r w:rsidR="00CF20A5" w:rsidRPr="00927AE3">
        <w:t>CRIS</w:t>
      </w:r>
      <w:r w:rsidR="00A9294E" w:rsidRPr="00927AE3">
        <w:t xml:space="preserve"> will be revised</w:t>
      </w:r>
      <w:r w:rsidR="00CF20A5" w:rsidRPr="00927AE3">
        <w:t xml:space="preserve"> </w:t>
      </w:r>
      <w:r w:rsidR="00590FF4" w:rsidRPr="00927AE3">
        <w:t>to account for the</w:t>
      </w:r>
      <w:r w:rsidR="00A9294E" w:rsidRPr="00927AE3">
        <w:t xml:space="preserve"> impact</w:t>
      </w:r>
      <w:r w:rsidR="00590FF4" w:rsidRPr="00927AE3">
        <w:t>s</w:t>
      </w:r>
      <w:r w:rsidR="00A9294E" w:rsidRPr="00927AE3">
        <w:t xml:space="preserve"> of the </w:t>
      </w:r>
      <w:r w:rsidR="00CF20A5" w:rsidRPr="00927AE3">
        <w:t xml:space="preserve">Australian Government’s </w:t>
      </w:r>
      <w:r w:rsidR="00FD779C" w:rsidRPr="00927AE3">
        <w:t xml:space="preserve">‘one stop shop’ </w:t>
      </w:r>
      <w:r w:rsidR="00A9294E" w:rsidRPr="00927AE3">
        <w:t xml:space="preserve">reforms </w:t>
      </w:r>
      <w:r w:rsidR="00CF20A5" w:rsidRPr="00927AE3">
        <w:t>to</w:t>
      </w:r>
      <w:r w:rsidR="004F1938" w:rsidRPr="00927AE3">
        <w:t xml:space="preserve"> streamline state and Commonwealth environmental assessment processes</w:t>
      </w:r>
      <w:r w:rsidR="002778CE" w:rsidRPr="00927AE3">
        <w:t xml:space="preserve"> once those streamlining measures are in place</w:t>
      </w:r>
      <w:r w:rsidR="001C5CA5" w:rsidRPr="00927AE3">
        <w:t>.</w:t>
      </w:r>
      <w:r w:rsidR="006E6C8E" w:rsidRPr="00927AE3">
        <w:t xml:space="preserve"> Through the </w:t>
      </w:r>
      <w:r w:rsidR="001736F2" w:rsidRPr="00927AE3">
        <w:t>‘</w:t>
      </w:r>
      <w:r w:rsidR="006E6C8E" w:rsidRPr="00927AE3">
        <w:t>one stop shop</w:t>
      </w:r>
      <w:r w:rsidR="001736F2" w:rsidRPr="00927AE3">
        <w:t>’</w:t>
      </w:r>
      <w:r w:rsidR="006E6C8E" w:rsidRPr="00927AE3">
        <w:t xml:space="preserve"> process, the Department is working with states and territories to streamline processes where the Commonwealth and states and territories work together on assessments. Therefore the CRIS will be revised to reflect efficiency gains made through the </w:t>
      </w:r>
      <w:r w:rsidR="001736F2" w:rsidRPr="00927AE3">
        <w:t>‘</w:t>
      </w:r>
      <w:r w:rsidR="006E6C8E" w:rsidRPr="00927AE3">
        <w:t>one stop shop</w:t>
      </w:r>
      <w:r w:rsidR="001736F2" w:rsidRPr="00927AE3">
        <w:t>’</w:t>
      </w:r>
      <w:r w:rsidR="006E6C8E" w:rsidRPr="00927AE3">
        <w:t xml:space="preserve"> negotiations.</w:t>
      </w:r>
    </w:p>
    <w:p w:rsidR="00F17119" w:rsidRDefault="002778CE">
      <w:r w:rsidRPr="00DD3510">
        <w:t>The Department released a</w:t>
      </w:r>
      <w:r w:rsidR="001C5CA5" w:rsidRPr="00DD3510">
        <w:t xml:space="preserve"> draft </w:t>
      </w:r>
      <w:r w:rsidR="006C7AC6" w:rsidRPr="00DD3510">
        <w:t>CRIS</w:t>
      </w:r>
      <w:r w:rsidR="001C5CA5" w:rsidRPr="00DD3510">
        <w:t xml:space="preserve"> for consultation in 2012 and the cost</w:t>
      </w:r>
      <w:r w:rsidR="003A7917">
        <w:t xml:space="preserve"> recovery model detailed in the final</w:t>
      </w:r>
      <w:r w:rsidR="001C5CA5">
        <w:t xml:space="preserve"> CRIS has taken into account the stakeholder comments </w:t>
      </w:r>
      <w:r>
        <w:t xml:space="preserve">received on the draft, for example </w:t>
      </w:r>
      <w:r w:rsidR="001C5CA5">
        <w:t>on matters such as exemptions and waivers of fees</w:t>
      </w:r>
      <w:r w:rsidR="001C5CA5" w:rsidRPr="00056D27">
        <w:t>.</w:t>
      </w:r>
      <w:r w:rsidR="006E6C8E">
        <w:t xml:space="preserve"> In particular, the CRIS now includes complexity fees to allow for the differentiation of fees on the basis of the complexity of the assessment. </w:t>
      </w:r>
      <w:r w:rsidR="001C5CA5">
        <w:t>Th</w:t>
      </w:r>
      <w:r>
        <w:t>e Department has also updated the</w:t>
      </w:r>
      <w:r w:rsidR="001C5CA5">
        <w:t xml:space="preserve"> </w:t>
      </w:r>
      <w:r w:rsidR="003A7917">
        <w:t xml:space="preserve">final </w:t>
      </w:r>
      <w:r w:rsidR="001C5CA5">
        <w:t xml:space="preserve">CRIS </w:t>
      </w:r>
      <w:r w:rsidR="005B7E23">
        <w:t xml:space="preserve">to </w:t>
      </w:r>
      <w:r w:rsidR="001C5CA5">
        <w:t>reflect minor technical changes</w:t>
      </w:r>
      <w:r w:rsidR="0014740B">
        <w:t xml:space="preserve"> to the model and changes in the broader policy context</w:t>
      </w:r>
      <w:r>
        <w:t>. This CRIS</w:t>
      </w:r>
      <w:r w:rsidR="005B7E23">
        <w:t xml:space="preserve"> </w:t>
      </w:r>
      <w:r w:rsidR="0014740B">
        <w:t>therefore relates to</w:t>
      </w:r>
      <w:r w:rsidR="005B7E23">
        <w:t xml:space="preserve"> cost recovery for</w:t>
      </w:r>
      <w:r w:rsidR="0014740B">
        <w:t xml:space="preserve"> </w:t>
      </w:r>
      <w:r w:rsidR="001C5CA5">
        <w:t>environmental impact assessments (Part 8 of the EPBC Act</w:t>
      </w:r>
      <w:r w:rsidR="0014740B">
        <w:t>)</w:t>
      </w:r>
      <w:r w:rsidR="008F17D2">
        <w:t>,</w:t>
      </w:r>
      <w:r w:rsidR="001C5CA5">
        <w:t xml:space="preserve"> strategic assessments (Part 10 of the EPBC Act), but not wildlife trade permits.</w:t>
      </w:r>
      <w:r w:rsidR="0014740B">
        <w:t xml:space="preserve"> </w:t>
      </w:r>
      <w:r w:rsidR="00D04F90">
        <w:t>C</w:t>
      </w:r>
      <w:r w:rsidR="00FD779C" w:rsidRPr="005D2DB5">
        <w:t xml:space="preserve">ost recovery </w:t>
      </w:r>
      <w:r w:rsidR="00AC63A1">
        <w:t>for these</w:t>
      </w:r>
      <w:r w:rsidR="00FD779C" w:rsidRPr="005D2DB5">
        <w:t xml:space="preserve"> wildlife trade activities </w:t>
      </w:r>
      <w:r w:rsidR="00AC63A1">
        <w:t xml:space="preserve">were finalised </w:t>
      </w:r>
      <w:r w:rsidR="00FD779C" w:rsidRPr="005D2DB5">
        <w:t xml:space="preserve">under </w:t>
      </w:r>
      <w:r w:rsidR="00AC63A1">
        <w:t>a separate Wildlife Trade Permit Cost Recovery Impact Statement</w:t>
      </w:r>
      <w:r w:rsidR="00AC63A1">
        <w:rPr>
          <w:rStyle w:val="FootnoteReference"/>
        </w:rPr>
        <w:footnoteReference w:id="2"/>
      </w:r>
      <w:r w:rsidR="00AC63A1">
        <w:t xml:space="preserve"> and commenced from 1 July 2013</w:t>
      </w:r>
      <w:r w:rsidR="00FD779C" w:rsidRPr="005D2DB5">
        <w:t>.</w:t>
      </w:r>
    </w:p>
    <w:p w:rsidR="001E5AFF" w:rsidRDefault="001E5AFF" w:rsidP="00092B60">
      <w:pPr>
        <w:pStyle w:val="Heading2"/>
      </w:pPr>
      <w:bookmarkStart w:id="17" w:name="_Toc391541555"/>
      <w:r>
        <w:t>Description of the activity</w:t>
      </w:r>
      <w:bookmarkEnd w:id="17"/>
    </w:p>
    <w:p w:rsidR="005442D2" w:rsidRDefault="0014740B" w:rsidP="00AC0DFB">
      <w:bookmarkStart w:id="18" w:name="_Toc343850243"/>
      <w:bookmarkStart w:id="19" w:name="_Toc343850846"/>
      <w:bookmarkStart w:id="20" w:name="_Toc343851441"/>
      <w:bookmarkStart w:id="21" w:name="_Toc343852033"/>
      <w:bookmarkStart w:id="22" w:name="_Toc343852616"/>
      <w:bookmarkStart w:id="23" w:name="_Toc343853197"/>
      <w:bookmarkStart w:id="24" w:name="_Toc343853779"/>
      <w:bookmarkStart w:id="25" w:name="_Toc343853172"/>
      <w:bookmarkStart w:id="26" w:name="_Toc343854835"/>
      <w:bookmarkStart w:id="27" w:name="_Toc343855411"/>
      <w:bookmarkStart w:id="28" w:name="_Toc343855983"/>
      <w:bookmarkStart w:id="29" w:name="_Toc343850244"/>
      <w:bookmarkStart w:id="30" w:name="_Toc344895136"/>
      <w:bookmarkStart w:id="31" w:name="_Toc346285311"/>
      <w:bookmarkEnd w:id="18"/>
      <w:bookmarkEnd w:id="19"/>
      <w:bookmarkEnd w:id="20"/>
      <w:bookmarkEnd w:id="21"/>
      <w:bookmarkEnd w:id="22"/>
      <w:bookmarkEnd w:id="23"/>
      <w:bookmarkEnd w:id="24"/>
      <w:bookmarkEnd w:id="25"/>
      <w:bookmarkEnd w:id="26"/>
      <w:bookmarkEnd w:id="27"/>
      <w:bookmarkEnd w:id="28"/>
      <w:r>
        <w:t>This CRIS relates to environmental assessments</w:t>
      </w:r>
      <w:r w:rsidR="00101310">
        <w:t xml:space="preserve"> under the EPBC Act</w:t>
      </w:r>
      <w:r w:rsidR="008D6D7E" w:rsidRPr="00C55FA1">
        <w:t xml:space="preserve">. </w:t>
      </w:r>
      <w:r>
        <w:t xml:space="preserve">The main purpose of </w:t>
      </w:r>
      <w:r w:rsidR="005442D2">
        <w:t>the Australian Government undertaking</w:t>
      </w:r>
      <w:r w:rsidR="00A21068">
        <w:t xml:space="preserve"> </w:t>
      </w:r>
      <w:r>
        <w:t>e</w:t>
      </w:r>
      <w:r w:rsidR="00AC0DFB">
        <w:t>nvironmental assessment</w:t>
      </w:r>
      <w:r>
        <w:t xml:space="preserve"> activities</w:t>
      </w:r>
      <w:r w:rsidR="00AC0DFB">
        <w:t xml:space="preserve"> </w:t>
      </w:r>
      <w:r>
        <w:t xml:space="preserve">is to </w:t>
      </w:r>
      <w:r w:rsidR="005442D2">
        <w:t xml:space="preserve">provide for the protection of matters of national environmental significance, the protection and </w:t>
      </w:r>
      <w:r w:rsidR="005442D2">
        <w:lastRenderedPageBreak/>
        <w:t>conservation of heritage, and to promote the conservation of biodiversity.</w:t>
      </w:r>
      <w:r w:rsidR="00AC0DFB">
        <w:t xml:space="preserve"> A number of assessment options are available under the </w:t>
      </w:r>
      <w:r w:rsidR="00B87931">
        <w:t xml:space="preserve">EPBC </w:t>
      </w:r>
      <w:r w:rsidR="00AC0DFB">
        <w:t xml:space="preserve">Act. The </w:t>
      </w:r>
      <w:r w:rsidR="004431AB">
        <w:t xml:space="preserve">Minister for the Environment (the </w:t>
      </w:r>
      <w:r w:rsidR="00AC0DFB">
        <w:t>Minister</w:t>
      </w:r>
      <w:r w:rsidR="004431AB">
        <w:t>)</w:t>
      </w:r>
      <w:r w:rsidR="00AC0DFB">
        <w:t xml:space="preserve"> decides which </w:t>
      </w:r>
      <w:r w:rsidR="00B35C5E">
        <w:t xml:space="preserve">method </w:t>
      </w:r>
      <w:r w:rsidR="00AC0DFB">
        <w:t xml:space="preserve">is the most appropriate, depending on the complexity of the </w:t>
      </w:r>
      <w:r w:rsidR="00941FD5">
        <w:t>proposed action</w:t>
      </w:r>
      <w:r w:rsidR="00AC0DFB">
        <w:t xml:space="preserve">, the scale and magnitude of potential and actual environmental impacts, the level of community interest, and public submissions received in relation to the referral of the action. </w:t>
      </w:r>
    </w:p>
    <w:p w:rsidR="00AC0DFB" w:rsidRDefault="00AC0DFB" w:rsidP="00AC0DFB">
      <w:r>
        <w:t xml:space="preserve">The </w:t>
      </w:r>
      <w:r w:rsidR="005442D2">
        <w:t>type</w:t>
      </w:r>
      <w:r w:rsidR="00555356">
        <w:t>s</w:t>
      </w:r>
      <w:r w:rsidR="005442D2">
        <w:t xml:space="preserve"> of environmental assessment provided for under the EPBC Act </w:t>
      </w:r>
      <w:r w:rsidR="00555356">
        <w:t xml:space="preserve">for individual proposed actions </w:t>
      </w:r>
      <w:r w:rsidR="005442D2">
        <w:t>are</w:t>
      </w:r>
      <w:r>
        <w:t>:</w:t>
      </w:r>
    </w:p>
    <w:p w:rsidR="00AC0DFB" w:rsidRDefault="00DB1E64" w:rsidP="008F17D2">
      <w:pPr>
        <w:pStyle w:val="ListBullet"/>
      </w:pPr>
      <w:r>
        <w:t>O</w:t>
      </w:r>
      <w:r w:rsidR="00AC0DFB">
        <w:t>n referral information</w:t>
      </w:r>
      <w:r w:rsidR="006E6C8E">
        <w:t>,</w:t>
      </w:r>
    </w:p>
    <w:p w:rsidR="00AC0DFB" w:rsidRDefault="00DB1E64" w:rsidP="008F17D2">
      <w:pPr>
        <w:pStyle w:val="ListBullet"/>
      </w:pPr>
      <w:r>
        <w:t>O</w:t>
      </w:r>
      <w:r w:rsidR="00AC0DFB">
        <w:t>n preliminary documentation</w:t>
      </w:r>
      <w:r w:rsidR="008F17D2">
        <w:t>,</w:t>
      </w:r>
    </w:p>
    <w:p w:rsidR="00AC0DFB" w:rsidRDefault="00DB1E64" w:rsidP="008F17D2">
      <w:pPr>
        <w:pStyle w:val="ListBullet"/>
      </w:pPr>
      <w:r>
        <w:t>B</w:t>
      </w:r>
      <w:r w:rsidR="00AC0DFB">
        <w:t>y public environment report</w:t>
      </w:r>
      <w:r w:rsidR="008F17D2">
        <w:t>,</w:t>
      </w:r>
    </w:p>
    <w:p w:rsidR="000B573E" w:rsidRDefault="00DB1E64">
      <w:pPr>
        <w:pStyle w:val="ListBullet"/>
      </w:pPr>
      <w:r>
        <w:t>B</w:t>
      </w:r>
      <w:r w:rsidR="00AC0DFB">
        <w:t>y environmental impact statement</w:t>
      </w:r>
      <w:r w:rsidR="008F17D2">
        <w:t>,</w:t>
      </w:r>
    </w:p>
    <w:p w:rsidR="000B573E" w:rsidRDefault="00DB1E64">
      <w:pPr>
        <w:pStyle w:val="ListBullet"/>
      </w:pPr>
      <w:r>
        <w:t>B</w:t>
      </w:r>
      <w:r w:rsidR="00AC0DFB">
        <w:t>y public inquiry</w:t>
      </w:r>
      <w:r w:rsidR="008F17D2">
        <w:t>,</w:t>
      </w:r>
      <w:r w:rsidR="00AC0DFB">
        <w:t xml:space="preserve"> or</w:t>
      </w:r>
    </w:p>
    <w:p w:rsidR="000B573E" w:rsidRDefault="00DB1E64">
      <w:pPr>
        <w:pStyle w:val="ListBullet"/>
      </w:pPr>
      <w:r>
        <w:t>U</w:t>
      </w:r>
      <w:r w:rsidR="005442D2">
        <w:t xml:space="preserve">nder a </w:t>
      </w:r>
      <w:r w:rsidR="0003360D" w:rsidRPr="0003360D">
        <w:t>bilateral agreement or accredited assessment process</w:t>
      </w:r>
      <w:r w:rsidR="0003360D">
        <w:t>.</w:t>
      </w:r>
    </w:p>
    <w:p w:rsidR="000B573E" w:rsidRDefault="00555356">
      <w:r>
        <w:t>In addition, Part 10 of t</w:t>
      </w:r>
      <w:r w:rsidR="005442D2">
        <w:t xml:space="preserve">he EPBC Act allows the Minister to conduct </w:t>
      </w:r>
      <w:r w:rsidR="009A6F80">
        <w:t>strategic assessments</w:t>
      </w:r>
      <w:r w:rsidR="00FD779C">
        <w:t xml:space="preserve"> and to grant approvals for</w:t>
      </w:r>
      <w:r w:rsidR="007A110B">
        <w:t xml:space="preserve"> a </w:t>
      </w:r>
      <w:r w:rsidR="009A6F80">
        <w:t>‘</w:t>
      </w:r>
      <w:r w:rsidR="007A110B">
        <w:t>class of actions</w:t>
      </w:r>
      <w:r w:rsidR="009A6F80">
        <w:t>’</w:t>
      </w:r>
      <w:r w:rsidR="007A110B">
        <w:t xml:space="preserve"> taken in accordance with a policy, plan or program endorsed by the Minister through a strategic assessment</w:t>
      </w:r>
      <w:r w:rsidR="005442D2">
        <w:t xml:space="preserve">. </w:t>
      </w:r>
      <w:r w:rsidR="005E2278" w:rsidRPr="005E2278">
        <w:t xml:space="preserve">Strategic assessments allow for a </w:t>
      </w:r>
      <w:r w:rsidR="00712D72">
        <w:t>‘landscape scale</w:t>
      </w:r>
      <w:r w:rsidR="00FD6900" w:rsidRPr="005E2278">
        <w:t xml:space="preserve">' </w:t>
      </w:r>
      <w:r w:rsidR="005E2278" w:rsidRPr="005E2278">
        <w:t>approach to assessing environmental impacts under a policy, plan or program</w:t>
      </w:r>
      <w:r w:rsidR="005442D2">
        <w:t>.</w:t>
      </w:r>
      <w:r w:rsidR="00712D72">
        <w:t xml:space="preserve"> </w:t>
      </w:r>
      <w:r w:rsidR="005442D2">
        <w:t xml:space="preserve">Strategic assessments </w:t>
      </w:r>
      <w:r w:rsidR="006E6C8E">
        <w:t xml:space="preserve">often </w:t>
      </w:r>
      <w:r w:rsidR="005442D2">
        <w:t>al</w:t>
      </w:r>
      <w:r w:rsidR="006E6C8E">
        <w:t xml:space="preserve">low more comprehensive </w:t>
      </w:r>
      <w:r w:rsidR="00712D72">
        <w:t>consideration of cumulative impacts of various actions on matters of national environmental significance</w:t>
      </w:r>
      <w:r w:rsidR="005442D2">
        <w:t xml:space="preserve"> in a single assessment</w:t>
      </w:r>
      <w:r w:rsidR="005E2278" w:rsidRPr="005E2278">
        <w:t xml:space="preserve">. </w:t>
      </w:r>
      <w:r w:rsidR="005442D2">
        <w:t>When conducting a strategic assessment,</w:t>
      </w:r>
      <w:r w:rsidR="005E2278" w:rsidRPr="005E2278">
        <w:t xml:space="preserve"> the Australian Government work</w:t>
      </w:r>
      <w:r w:rsidR="005442D2">
        <w:t>s</w:t>
      </w:r>
      <w:r w:rsidR="005E2278" w:rsidRPr="005E2278">
        <w:t xml:space="preserve"> closely with state </w:t>
      </w:r>
      <w:r w:rsidR="00570C70">
        <w:t>or</w:t>
      </w:r>
      <w:r w:rsidR="005E2278" w:rsidRPr="005E2278">
        <w:t xml:space="preserve"> territory governments</w:t>
      </w:r>
      <w:r w:rsidR="005442D2">
        <w:t>,</w:t>
      </w:r>
      <w:r w:rsidR="00FD6900">
        <w:t xml:space="preserve"> </w:t>
      </w:r>
      <w:r w:rsidR="000A4C68">
        <w:t>and</w:t>
      </w:r>
      <w:r w:rsidR="00570C70">
        <w:t>, where relevant,</w:t>
      </w:r>
      <w:r w:rsidR="00FD6900">
        <w:t xml:space="preserve"> private entities</w:t>
      </w:r>
      <w:r w:rsidR="005442D2">
        <w:t>,</w:t>
      </w:r>
      <w:r w:rsidR="005E2278" w:rsidRPr="005E2278">
        <w:t xml:space="preserve"> in the early stages of planning</w:t>
      </w:r>
      <w:r w:rsidR="005442D2">
        <w:t>.</w:t>
      </w:r>
      <w:r w:rsidR="005E2278" w:rsidRPr="005E2278">
        <w:t xml:space="preserve"> </w:t>
      </w:r>
      <w:r w:rsidR="005442D2">
        <w:t>This</w:t>
      </w:r>
      <w:r w:rsidR="005E2278" w:rsidRPr="005E2278">
        <w:t xml:space="preserve"> ensur</w:t>
      </w:r>
      <w:r w:rsidR="005442D2">
        <w:t xml:space="preserve">es that governments and businesses take </w:t>
      </w:r>
      <w:r w:rsidR="005E2278" w:rsidRPr="005E2278">
        <w:t xml:space="preserve">environmental issues, including matters of national environmental significance, </w:t>
      </w:r>
      <w:r w:rsidR="005442D2">
        <w:t>into account</w:t>
      </w:r>
      <w:r>
        <w:t xml:space="preserve"> in broader development strategies.</w:t>
      </w:r>
      <w:r w:rsidR="005442D2">
        <w:t xml:space="preserve"> </w:t>
      </w:r>
      <w:r w:rsidR="005E2278" w:rsidRPr="005E2278">
        <w:t xml:space="preserve">Actions </w:t>
      </w:r>
      <w:r w:rsidR="00941FD5">
        <w:t xml:space="preserve">taken under </w:t>
      </w:r>
      <w:r w:rsidR="00CB1779">
        <w:t xml:space="preserve">a </w:t>
      </w:r>
      <w:r w:rsidR="007A110B">
        <w:t>strategic</w:t>
      </w:r>
      <w:r w:rsidR="00941FD5">
        <w:t xml:space="preserve"> approval </w:t>
      </w:r>
      <w:r w:rsidR="005E2278" w:rsidRPr="005E2278">
        <w:t xml:space="preserve">in accordance with an endorsed policy, plan or program </w:t>
      </w:r>
      <w:r>
        <w:t>do</w:t>
      </w:r>
      <w:r w:rsidRPr="005E2278">
        <w:t xml:space="preserve"> </w:t>
      </w:r>
      <w:r w:rsidR="005E2278" w:rsidRPr="005E2278">
        <w:t>not require a separate referral and/or approval.</w:t>
      </w:r>
      <w:r w:rsidR="000D530D">
        <w:t xml:space="preserve"> </w:t>
      </w:r>
    </w:p>
    <w:p w:rsidR="00D33099" w:rsidRDefault="00137D1C">
      <w:r>
        <w:t>A f</w:t>
      </w:r>
      <w:r w:rsidR="008D6D7E" w:rsidRPr="00C55FA1">
        <w:t xml:space="preserve">ull description of </w:t>
      </w:r>
      <w:r w:rsidR="003D5086">
        <w:t>environmental impact assessments and strategic assessments are</w:t>
      </w:r>
      <w:r w:rsidR="00715B67">
        <w:t xml:space="preserve"> provided </w:t>
      </w:r>
      <w:r w:rsidR="00715B67" w:rsidRPr="00355D85">
        <w:t>in chapter</w:t>
      </w:r>
      <w:r w:rsidR="008D6D7E" w:rsidRPr="00355D85">
        <w:t xml:space="preserve"> </w:t>
      </w:r>
      <w:r w:rsidR="00D30427">
        <w:fldChar w:fldCharType="begin"/>
      </w:r>
      <w:r w:rsidR="006A0706">
        <w:instrText xml:space="preserve"> REF _Ref387066384 \r \h </w:instrText>
      </w:r>
      <w:r w:rsidR="00D30427">
        <w:fldChar w:fldCharType="separate"/>
      </w:r>
      <w:r w:rsidR="001D521C">
        <w:t>3</w:t>
      </w:r>
      <w:r w:rsidR="00D30427">
        <w:fldChar w:fldCharType="end"/>
      </w:r>
      <w:r w:rsidR="00715B67" w:rsidRPr="00355D85">
        <w:t xml:space="preserve"> </w:t>
      </w:r>
      <w:r w:rsidR="007E5AD0" w:rsidRPr="00355D85">
        <w:t xml:space="preserve">and </w:t>
      </w:r>
      <w:r w:rsidR="00D30427">
        <w:fldChar w:fldCharType="begin"/>
      </w:r>
      <w:r w:rsidR="006A0706">
        <w:instrText xml:space="preserve"> REF _Ref387066385 \r \h </w:instrText>
      </w:r>
      <w:r w:rsidR="00D30427">
        <w:fldChar w:fldCharType="separate"/>
      </w:r>
      <w:r w:rsidR="001D521C">
        <w:t>4</w:t>
      </w:r>
      <w:r w:rsidR="00D30427">
        <w:fldChar w:fldCharType="end"/>
      </w:r>
      <w:r w:rsidR="007E5AD0" w:rsidRPr="00355D85">
        <w:t xml:space="preserve"> </w:t>
      </w:r>
      <w:r w:rsidR="008D6D7E" w:rsidRPr="00355D85">
        <w:t xml:space="preserve">of this </w:t>
      </w:r>
      <w:r w:rsidR="00CF20A5" w:rsidRPr="00355D85">
        <w:t>CRIS</w:t>
      </w:r>
      <w:r w:rsidR="008D6D7E" w:rsidRPr="00C55FA1">
        <w:t xml:space="preserve">. </w:t>
      </w:r>
      <w:r w:rsidR="008D6D7E" w:rsidRPr="00FC12C4">
        <w:t xml:space="preserve">These </w:t>
      </w:r>
      <w:r w:rsidR="00555356">
        <w:t xml:space="preserve">environmental assessment </w:t>
      </w:r>
      <w:r w:rsidR="008D6D7E" w:rsidRPr="00FC12C4">
        <w:t xml:space="preserve">activities are </w:t>
      </w:r>
      <w:r w:rsidR="00555356">
        <w:t xml:space="preserve">suitable for cost recovery, consistent with the Cost Recovery Guidelines, because they meet the following criteria:  </w:t>
      </w:r>
    </w:p>
    <w:p w:rsidR="000B573E" w:rsidRDefault="00DB1E64">
      <w:pPr>
        <w:pStyle w:val="ListBullet"/>
      </w:pPr>
      <w:r>
        <w:t>T</w:t>
      </w:r>
      <w:r w:rsidR="008D6D7E" w:rsidRPr="00FC12C4">
        <w:t>he activities deliver a clear benefit for a particular beneficiary</w:t>
      </w:r>
      <w:r w:rsidR="008F17D2">
        <w:t>,</w:t>
      </w:r>
    </w:p>
    <w:p w:rsidR="000B573E" w:rsidRDefault="00DB1E64">
      <w:pPr>
        <w:pStyle w:val="ListBullet"/>
      </w:pPr>
      <w:r>
        <w:t>C</w:t>
      </w:r>
      <w:r w:rsidR="008D6D7E" w:rsidRPr="00FC12C4">
        <w:t xml:space="preserve">harging for these activities does not deliver a ‘free ride’ for other </w:t>
      </w:r>
      <w:r w:rsidR="002C13FF">
        <w:t>applicant</w:t>
      </w:r>
      <w:r w:rsidR="008D6D7E" w:rsidRPr="00FC12C4">
        <w:t>s</w:t>
      </w:r>
      <w:r w:rsidR="008F17D2">
        <w:t>,</w:t>
      </w:r>
    </w:p>
    <w:p w:rsidR="000B573E" w:rsidRDefault="00DB1E64">
      <w:pPr>
        <w:pStyle w:val="ListBullet"/>
      </w:pPr>
      <w:r>
        <w:t>C</w:t>
      </w:r>
      <w:r w:rsidR="008D6D7E" w:rsidRPr="00FC12C4">
        <w:t>harging for these activities is consistent with policy goals under the EPBC Act</w:t>
      </w:r>
      <w:r w:rsidR="008F17D2">
        <w:t>,</w:t>
      </w:r>
      <w:r w:rsidR="008D6D7E">
        <w:t xml:space="preserve"> and</w:t>
      </w:r>
    </w:p>
    <w:p w:rsidR="000B573E" w:rsidRDefault="00DB1E64">
      <w:pPr>
        <w:pStyle w:val="ListBullet"/>
      </w:pPr>
      <w:r>
        <w:t>I</w:t>
      </w:r>
      <w:r w:rsidR="008D6D7E" w:rsidRPr="00FC12C4">
        <w:t xml:space="preserve">t is efficient to implement cost recovery arrangements on a ‘fee for service’ basis, as the </w:t>
      </w:r>
      <w:r w:rsidR="00C16300">
        <w:t>Department</w:t>
      </w:r>
      <w:r w:rsidR="008D6D7E" w:rsidRPr="00FC12C4">
        <w:t xml:space="preserve"> </w:t>
      </w:r>
      <w:r w:rsidR="008D6D7E">
        <w:t xml:space="preserve">can determine costs of its services, attribute these costs to particular </w:t>
      </w:r>
      <w:r w:rsidR="002C13FF">
        <w:t>applicant</w:t>
      </w:r>
      <w:r w:rsidR="008D6D7E">
        <w:t>s and</w:t>
      </w:r>
      <w:r w:rsidR="008D6D7E" w:rsidRPr="00FC12C4">
        <w:t xml:space="preserve"> </w:t>
      </w:r>
      <w:r w:rsidR="008D6D7E">
        <w:t>recover them at</w:t>
      </w:r>
      <w:r w:rsidR="008D6D7E" w:rsidRPr="00FC12C4">
        <w:t xml:space="preserve"> </w:t>
      </w:r>
      <w:r w:rsidR="008D6D7E">
        <w:t>the</w:t>
      </w:r>
      <w:r w:rsidR="008D6D7E" w:rsidRPr="00FC12C4" w:rsidDel="008F163F">
        <w:t xml:space="preserve"> </w:t>
      </w:r>
      <w:r w:rsidR="008D6D7E" w:rsidRPr="00FC12C4">
        <w:t>statutory decision points</w:t>
      </w:r>
      <w:r w:rsidR="008D6D7E">
        <w:t>.</w:t>
      </w:r>
    </w:p>
    <w:p w:rsidR="00C53B97" w:rsidRDefault="00C53B97" w:rsidP="00F3067B">
      <w:pPr>
        <w:pStyle w:val="Heading3"/>
      </w:pPr>
      <w:bookmarkStart w:id="32" w:name="_Toc387064751"/>
      <w:bookmarkStart w:id="33" w:name="_Toc387064963"/>
      <w:bookmarkStart w:id="34" w:name="_Toc387065169"/>
      <w:bookmarkStart w:id="35" w:name="_Toc387065380"/>
      <w:bookmarkStart w:id="36" w:name="_Toc387065586"/>
      <w:bookmarkStart w:id="37" w:name="_Toc387065791"/>
      <w:bookmarkStart w:id="38" w:name="_Toc387065997"/>
      <w:bookmarkStart w:id="39" w:name="_Toc387066200"/>
      <w:bookmarkStart w:id="40" w:name="_Toc387069436"/>
      <w:bookmarkStart w:id="41" w:name="_Toc387069623"/>
      <w:bookmarkStart w:id="42" w:name="_Toc387069832"/>
      <w:bookmarkStart w:id="43" w:name="_Toc387070031"/>
      <w:bookmarkStart w:id="44" w:name="_Toc387072296"/>
      <w:bookmarkStart w:id="45" w:name="_Toc387072507"/>
      <w:bookmarkStart w:id="46" w:name="_Toc387392535"/>
      <w:bookmarkStart w:id="47" w:name="_Toc39154155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BC77A1">
        <w:t>De</w:t>
      </w:r>
      <w:r w:rsidRPr="00FC12C4">
        <w:t>sign of cost recovery arrangements</w:t>
      </w:r>
      <w:bookmarkEnd w:id="29"/>
      <w:bookmarkEnd w:id="30"/>
      <w:bookmarkEnd w:id="31"/>
      <w:bookmarkEnd w:id="47"/>
    </w:p>
    <w:p w:rsidR="00C53B97" w:rsidRPr="00FC12C4" w:rsidRDefault="00C53B97" w:rsidP="00C53B97">
      <w:pPr>
        <w:widowControl w:val="0"/>
        <w:autoSpaceDE w:val="0"/>
        <w:autoSpaceDN w:val="0"/>
        <w:adjustRightInd w:val="0"/>
      </w:pPr>
      <w:r w:rsidRPr="00FC12C4">
        <w:t xml:space="preserve">For each </w:t>
      </w:r>
      <w:r>
        <w:t xml:space="preserve">cost recovery arrangement documented in this </w:t>
      </w:r>
      <w:r w:rsidR="00CF20A5">
        <w:t>CRIS</w:t>
      </w:r>
      <w:r>
        <w:t xml:space="preserve">, </w:t>
      </w:r>
      <w:r w:rsidRPr="00FC12C4">
        <w:t xml:space="preserve">the </w:t>
      </w:r>
      <w:r w:rsidR="00C16300">
        <w:t>Department</w:t>
      </w:r>
      <w:r w:rsidRPr="00FC12C4">
        <w:t xml:space="preserve"> applied the following key principles </w:t>
      </w:r>
      <w:r>
        <w:t>in its</w:t>
      </w:r>
      <w:r w:rsidRPr="00FC12C4">
        <w:t xml:space="preserve"> scoping and design:</w:t>
      </w:r>
    </w:p>
    <w:p w:rsidR="000B573E" w:rsidRDefault="006E6C8E">
      <w:pPr>
        <w:pStyle w:val="ListBullet"/>
      </w:pPr>
      <w:r>
        <w:lastRenderedPageBreak/>
        <w:t>Driving</w:t>
      </w:r>
      <w:r w:rsidR="00C53B97" w:rsidRPr="00FC12C4">
        <w:t xml:space="preserve"> efficiency for both stakeholders and the </w:t>
      </w:r>
      <w:r w:rsidR="00C16300">
        <w:t>Department</w:t>
      </w:r>
      <w:r w:rsidR="008F17D2">
        <w:t>,</w:t>
      </w:r>
      <w:r w:rsidR="00C53B97" w:rsidRPr="00FC12C4">
        <w:t xml:space="preserve"> </w:t>
      </w:r>
    </w:p>
    <w:p w:rsidR="000B573E" w:rsidRDefault="00DB1E64">
      <w:pPr>
        <w:pStyle w:val="ListBullet"/>
      </w:pPr>
      <w:r>
        <w:t>C</w:t>
      </w:r>
      <w:r w:rsidR="00C53B97">
        <w:t xml:space="preserve">harges to reflect </w:t>
      </w:r>
      <w:r w:rsidR="00C53B97" w:rsidRPr="00FC12C4">
        <w:t xml:space="preserve">‘efficient costs’ </w:t>
      </w:r>
      <w:r w:rsidR="00C53B97">
        <w:t xml:space="preserve">as </w:t>
      </w:r>
      <w:r w:rsidR="00C53B97" w:rsidRPr="00FC12C4">
        <w:t>based on ‘best practice’ scenarios</w:t>
      </w:r>
      <w:r w:rsidR="008F17D2">
        <w:t>,</w:t>
      </w:r>
      <w:r w:rsidR="00C53B97" w:rsidRPr="00FC12C4">
        <w:t xml:space="preserve"> </w:t>
      </w:r>
    </w:p>
    <w:p w:rsidR="000B573E" w:rsidRDefault="00DB1E64">
      <w:pPr>
        <w:pStyle w:val="ListBullet"/>
      </w:pPr>
      <w:r>
        <w:t>A</w:t>
      </w:r>
      <w:r w:rsidR="00C53B97">
        <w:t xml:space="preserve">ligning regulatory effort undertaken with </w:t>
      </w:r>
      <w:r w:rsidR="00C53B97" w:rsidRPr="00FC12C4">
        <w:t>statutory charging points</w:t>
      </w:r>
      <w:r w:rsidR="008F17D2">
        <w:t>,</w:t>
      </w:r>
      <w:r w:rsidR="00C53B97" w:rsidRPr="00FC12C4">
        <w:t xml:space="preserve"> and</w:t>
      </w:r>
    </w:p>
    <w:p w:rsidR="000B573E" w:rsidRDefault="00DB1E64">
      <w:pPr>
        <w:pStyle w:val="ListBullet"/>
      </w:pPr>
      <w:r>
        <w:t>C</w:t>
      </w:r>
      <w:r w:rsidR="00C53B97" w:rsidRPr="00FC12C4">
        <w:t xml:space="preserve">ompliance with the Cost Recovery </w:t>
      </w:r>
      <w:r w:rsidR="00C53B97">
        <w:t>Guidelines</w:t>
      </w:r>
      <w:r w:rsidR="00C53B97" w:rsidRPr="00FC12C4">
        <w:t>.</w:t>
      </w:r>
    </w:p>
    <w:p w:rsidR="00C53B97" w:rsidRDefault="00C53B97" w:rsidP="00F3067B">
      <w:pPr>
        <w:pStyle w:val="Heading3"/>
      </w:pPr>
      <w:bookmarkStart w:id="48" w:name="_Toc387064753"/>
      <w:bookmarkStart w:id="49" w:name="_Toc387064965"/>
      <w:bookmarkStart w:id="50" w:name="_Toc387065171"/>
      <w:bookmarkStart w:id="51" w:name="_Toc387065382"/>
      <w:bookmarkStart w:id="52" w:name="_Toc387065588"/>
      <w:bookmarkStart w:id="53" w:name="_Toc387065793"/>
      <w:bookmarkStart w:id="54" w:name="_Toc387065999"/>
      <w:bookmarkStart w:id="55" w:name="_Toc387066202"/>
      <w:bookmarkStart w:id="56" w:name="_Toc387069438"/>
      <w:bookmarkStart w:id="57" w:name="_Toc387069625"/>
      <w:bookmarkStart w:id="58" w:name="_Toc387069834"/>
      <w:bookmarkStart w:id="59" w:name="_Toc387070033"/>
      <w:bookmarkStart w:id="60" w:name="_Toc387072298"/>
      <w:bookmarkStart w:id="61" w:name="_Toc387072509"/>
      <w:bookmarkStart w:id="62" w:name="_Toc387392537"/>
      <w:bookmarkStart w:id="63" w:name="_Toc343850245"/>
      <w:bookmarkStart w:id="64" w:name="_Toc344895137"/>
      <w:bookmarkStart w:id="65" w:name="_Toc34628531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 </w:t>
      </w:r>
      <w:bookmarkStart w:id="66" w:name="_Toc391541557"/>
      <w:r w:rsidRPr="00FC12C4">
        <w:t xml:space="preserve">Who pays the </w:t>
      </w:r>
      <w:r>
        <w:t>f</w:t>
      </w:r>
      <w:r w:rsidRPr="00FC12C4">
        <w:t>ees</w:t>
      </w:r>
      <w:bookmarkEnd w:id="63"/>
      <w:bookmarkEnd w:id="64"/>
      <w:bookmarkEnd w:id="65"/>
      <w:bookmarkEnd w:id="66"/>
      <w:r w:rsidRPr="00FC12C4">
        <w:t xml:space="preserve"> </w:t>
      </w:r>
    </w:p>
    <w:p w:rsidR="000E33A9" w:rsidRDefault="000E33A9" w:rsidP="00C53B97">
      <w:r w:rsidRPr="00E71AF8">
        <w:t xml:space="preserve">The person proposing to take the action </w:t>
      </w:r>
      <w:r w:rsidR="005863E6">
        <w:t>is</w:t>
      </w:r>
      <w:r w:rsidRPr="00E71AF8">
        <w:t xml:space="preserve"> responsible for paying cost recovery fees</w:t>
      </w:r>
      <w:r w:rsidR="004D1A74">
        <w:t xml:space="preserve"> for environmental impact assessments under the EPBC Act</w:t>
      </w:r>
      <w:r w:rsidRPr="00E71AF8">
        <w:t xml:space="preserve">. </w:t>
      </w:r>
      <w:r w:rsidR="0066788F">
        <w:t>T</w:t>
      </w:r>
      <w:r w:rsidRPr="00E71AF8">
        <w:t xml:space="preserve">he person proposing to take the action can be different from the </w:t>
      </w:r>
      <w:r w:rsidR="006C288D">
        <w:t xml:space="preserve">person the Minister </w:t>
      </w:r>
      <w:r w:rsidR="007A110B">
        <w:t xml:space="preserve">designates </w:t>
      </w:r>
      <w:r w:rsidR="006C288D">
        <w:t>as the ‘</w:t>
      </w:r>
      <w:r w:rsidR="0066788F">
        <w:t>proponent</w:t>
      </w:r>
      <w:r w:rsidR="006C288D">
        <w:t>’</w:t>
      </w:r>
      <w:r w:rsidR="0066788F">
        <w:t xml:space="preserve"> under the EPBC Act</w:t>
      </w:r>
      <w:r w:rsidR="006C288D">
        <w:t>, who may be managing the referral process for the person proposing to take the action. F</w:t>
      </w:r>
      <w:r w:rsidRPr="00E71AF8">
        <w:t xml:space="preserve">or the purposes of this CRIS the ‘person proposing to take the action’ </w:t>
      </w:r>
      <w:r w:rsidR="007A1429">
        <w:t>is</w:t>
      </w:r>
      <w:r w:rsidRPr="00E71AF8">
        <w:t xml:space="preserve"> referred to as the ‘</w:t>
      </w:r>
      <w:r w:rsidR="00A217C5">
        <w:t>applicant’</w:t>
      </w:r>
      <w:r w:rsidR="009A6F80">
        <w:t xml:space="preserve"> and is liable for the payment of fees</w:t>
      </w:r>
      <w:r w:rsidRPr="00E71AF8">
        <w:t>.</w:t>
      </w:r>
    </w:p>
    <w:p w:rsidR="00C53B97" w:rsidRDefault="006C288D" w:rsidP="00C53B97">
      <w:r>
        <w:t>Applicants</w:t>
      </w:r>
      <w:r w:rsidR="006D2AAE" w:rsidRPr="00FC12C4">
        <w:t xml:space="preserve"> </w:t>
      </w:r>
      <w:r w:rsidR="006D2AAE">
        <w:t xml:space="preserve">subject </w:t>
      </w:r>
      <w:r w:rsidR="006D2AAE" w:rsidRPr="00FC12C4">
        <w:t>to cost recover</w:t>
      </w:r>
      <w:r w:rsidR="006D2AAE">
        <w:t>y</w:t>
      </w:r>
      <w:r w:rsidR="006D2AAE" w:rsidRPr="00FC12C4">
        <w:t xml:space="preserve"> include</w:t>
      </w:r>
      <w:r w:rsidR="00C53B97" w:rsidRPr="00FC12C4">
        <w:t xml:space="preserve"> private entities</w:t>
      </w:r>
      <w:r w:rsidR="00C53B97">
        <w:t xml:space="preserve">, </w:t>
      </w:r>
      <w:r w:rsidR="00C53B97" w:rsidRPr="00FC12C4">
        <w:t>individuals</w:t>
      </w:r>
      <w:r w:rsidR="00C53B97">
        <w:t xml:space="preserve">, and </w:t>
      </w:r>
      <w:r w:rsidR="00C53B97" w:rsidRPr="00FC12C4">
        <w:t>government</w:t>
      </w:r>
      <w:r w:rsidR="00C53B97">
        <w:t xml:space="preserve"> agencies</w:t>
      </w:r>
      <w:r w:rsidR="00C53B97" w:rsidRPr="00A5211A">
        <w:t>.</w:t>
      </w:r>
      <w:r w:rsidR="00740CDE">
        <w:t xml:space="preserve"> </w:t>
      </w:r>
      <w:r w:rsidR="00C53B97" w:rsidRPr="00A5211A">
        <w:t>Some applicants may be eligible for exemptions and waivers.</w:t>
      </w:r>
      <w:r w:rsidR="00C53B97">
        <w:t xml:space="preserve"> </w:t>
      </w:r>
      <w:r w:rsidR="007A1429">
        <w:t xml:space="preserve">Where an applicant is </w:t>
      </w:r>
      <w:r w:rsidR="001D5727">
        <w:t>eligible</w:t>
      </w:r>
      <w:r w:rsidR="007A1429">
        <w:t xml:space="preserve"> for a waiver or exemption</w:t>
      </w:r>
      <w:r w:rsidR="00C53B97">
        <w:t>, the costs of t</w:t>
      </w:r>
      <w:r w:rsidR="00C53B97" w:rsidRPr="00FC12C4">
        <w:t xml:space="preserve">hese services </w:t>
      </w:r>
      <w:r w:rsidR="007A1429">
        <w:t>are</w:t>
      </w:r>
      <w:r w:rsidR="00C53B97" w:rsidRPr="00FC12C4">
        <w:t xml:space="preserve"> </w:t>
      </w:r>
      <w:r w:rsidR="00C53B97">
        <w:t xml:space="preserve">met through the </w:t>
      </w:r>
      <w:r w:rsidR="00C16300">
        <w:t>Department</w:t>
      </w:r>
      <w:r w:rsidR="00C53B97">
        <w:t xml:space="preserve">’s annual appropriation (i.e. </w:t>
      </w:r>
      <w:r>
        <w:t>‘budget-</w:t>
      </w:r>
      <w:r w:rsidR="00C53B97" w:rsidRPr="00FC12C4">
        <w:t>funded</w:t>
      </w:r>
      <w:r>
        <w:t>’</w:t>
      </w:r>
      <w:r w:rsidR="00C53B97">
        <w:t>)</w:t>
      </w:r>
      <w:r w:rsidR="00C53B97" w:rsidRPr="00E13558">
        <w:t xml:space="preserve"> so that</w:t>
      </w:r>
      <w:r>
        <w:t xml:space="preserve"> applicants subject to cost recovery do not subsidise applicants subject to waivers and exemptions. Cost recovery fees therefore reflect the cost of carrying out an individual assessment.</w:t>
      </w:r>
      <w:r w:rsidR="00C53B97" w:rsidRPr="00E13558">
        <w:t xml:space="preserve"> </w:t>
      </w:r>
      <w:r>
        <w:t xml:space="preserve">This arrangement ensures </w:t>
      </w:r>
      <w:r w:rsidR="00C53B97" w:rsidRPr="00E13558">
        <w:t>there is no cross-subsidisation between cost recovered and non-cost recovered activities under the EPBC Act or across stakeholder groups</w:t>
      </w:r>
      <w:r w:rsidR="00C53B97" w:rsidRPr="00355D85">
        <w:t>. Further information on exemptions and waivers is provided in sections</w:t>
      </w:r>
      <w:r w:rsidR="00CB0574">
        <w:t xml:space="preserve"> </w:t>
      </w:r>
      <w:r w:rsidR="00D30427">
        <w:fldChar w:fldCharType="begin"/>
      </w:r>
      <w:r w:rsidR="00CB0574">
        <w:instrText xml:space="preserve"> REF _Ref387250129 \r \h </w:instrText>
      </w:r>
      <w:r w:rsidR="00D30427">
        <w:fldChar w:fldCharType="separate"/>
      </w:r>
      <w:r w:rsidR="001D521C">
        <w:t>3.3.13</w:t>
      </w:r>
      <w:r w:rsidR="00D30427">
        <w:fldChar w:fldCharType="end"/>
      </w:r>
      <w:r w:rsidR="00CB0574">
        <w:t xml:space="preserve"> </w:t>
      </w:r>
      <w:r w:rsidR="00464C72" w:rsidRPr="00355D85">
        <w:t xml:space="preserve">– </w:t>
      </w:r>
      <w:r w:rsidR="00D30427">
        <w:fldChar w:fldCharType="begin"/>
      </w:r>
      <w:r w:rsidR="0023161D">
        <w:instrText xml:space="preserve"> REF _Ref387054447 \r \h </w:instrText>
      </w:r>
      <w:r w:rsidR="00D30427">
        <w:fldChar w:fldCharType="separate"/>
      </w:r>
      <w:r w:rsidR="001D521C">
        <w:t>3.3.15</w:t>
      </w:r>
      <w:r w:rsidR="00D30427">
        <w:fldChar w:fldCharType="end"/>
      </w:r>
      <w:r w:rsidR="00464C72" w:rsidRPr="00355D85">
        <w:t>.</w:t>
      </w:r>
    </w:p>
    <w:p w:rsidR="00D04F90" w:rsidRDefault="005D26DA" w:rsidP="00C53B97">
      <w:r>
        <w:t xml:space="preserve">For strategic assessments, </w:t>
      </w:r>
      <w:r w:rsidR="006C288D">
        <w:t xml:space="preserve">where cost recovery applies, </w:t>
      </w:r>
      <w:r>
        <w:t xml:space="preserve">the person responsible for the adoption or implementation of a policy, plan or program </w:t>
      </w:r>
      <w:r w:rsidR="007A1429">
        <w:t xml:space="preserve">is </w:t>
      </w:r>
      <w:r>
        <w:t xml:space="preserve">responsible for paying cost recovery fees for the strategic assessment under the EPBC Act. The person responsible for a </w:t>
      </w:r>
      <w:r w:rsidR="004E2198">
        <w:t>policy, plan or program</w:t>
      </w:r>
      <w:r>
        <w:t xml:space="preserve"> </w:t>
      </w:r>
      <w:r w:rsidR="007A1429">
        <w:t>is</w:t>
      </w:r>
      <w:r>
        <w:t xml:space="preserve"> referred to as the ‘applicant’ for the purposes of this CRIS. The applicant </w:t>
      </w:r>
      <w:r w:rsidR="00A903A2">
        <w:t xml:space="preserve">for a strategic assessment may be a state or territory government or </w:t>
      </w:r>
      <w:r w:rsidR="006E237D">
        <w:t>a private entity</w:t>
      </w:r>
      <w:r w:rsidR="00A903A2">
        <w:t xml:space="preserve">. </w:t>
      </w:r>
      <w:r>
        <w:t>Note there are no exemptions or fee waivers available for strategic assessments</w:t>
      </w:r>
      <w:r w:rsidR="006C288D">
        <w:t>.</w:t>
      </w:r>
      <w:r w:rsidR="006E237D">
        <w:t xml:space="preserve"> </w:t>
      </w:r>
      <w:r w:rsidR="006C288D">
        <w:t xml:space="preserve">However, some strategic assessments </w:t>
      </w:r>
      <w:r w:rsidR="006E237D">
        <w:t>m</w:t>
      </w:r>
      <w:r w:rsidR="00016D02">
        <w:t xml:space="preserve">ay be </w:t>
      </w:r>
      <w:r w:rsidR="006C288D">
        <w:t xml:space="preserve">wholly or partially </w:t>
      </w:r>
      <w:r w:rsidR="00016D02">
        <w:t>budget funded</w:t>
      </w:r>
      <w:r w:rsidR="006C288D">
        <w:t xml:space="preserve"> where assessment will benefit the community as a whole.</w:t>
      </w:r>
      <w:r>
        <w:t xml:space="preserve"> Further information on cost recovery for strategic assessments is provided in chapter </w:t>
      </w:r>
      <w:r w:rsidR="00D30427">
        <w:fldChar w:fldCharType="begin"/>
      </w:r>
      <w:r w:rsidR="006A0706">
        <w:instrText xml:space="preserve"> REF _Ref387066386 \r \h </w:instrText>
      </w:r>
      <w:r w:rsidR="00D30427">
        <w:fldChar w:fldCharType="separate"/>
      </w:r>
      <w:r w:rsidR="001D521C">
        <w:t>4</w:t>
      </w:r>
      <w:r w:rsidR="00D30427">
        <w:fldChar w:fldCharType="end"/>
      </w:r>
      <w:r>
        <w:t xml:space="preserve"> of this CRIS.</w:t>
      </w:r>
    </w:p>
    <w:p w:rsidR="00C53B97" w:rsidRDefault="00C53B97" w:rsidP="00F3067B">
      <w:pPr>
        <w:pStyle w:val="Heading3"/>
      </w:pPr>
      <w:bookmarkStart w:id="67" w:name="_Toc343850246"/>
      <w:bookmarkStart w:id="68" w:name="_Toc344895138"/>
      <w:bookmarkStart w:id="69" w:name="_Toc346285313"/>
      <w:bookmarkStart w:id="70" w:name="_Toc391541558"/>
      <w:r w:rsidRPr="00040DA4">
        <w:t>Inter/intra governmental charging</w:t>
      </w:r>
      <w:bookmarkEnd w:id="67"/>
      <w:bookmarkEnd w:id="68"/>
      <w:bookmarkEnd w:id="69"/>
      <w:bookmarkEnd w:id="70"/>
    </w:p>
    <w:p w:rsidR="00C53B97" w:rsidRDefault="00C53B97" w:rsidP="00C53B97">
      <w:pPr>
        <w:widowControl w:val="0"/>
        <w:autoSpaceDE w:val="0"/>
        <w:autoSpaceDN w:val="0"/>
        <w:adjustRightInd w:val="0"/>
        <w:rPr>
          <w:rFonts w:eastAsia="SimSun"/>
          <w:sz w:val="28"/>
          <w:szCs w:val="28"/>
          <w:lang w:val="en-US"/>
        </w:rPr>
      </w:pPr>
      <w:r w:rsidRPr="00040DA4">
        <w:rPr>
          <w:rFonts w:eastAsia="SimSun"/>
          <w:lang w:val="en-US"/>
        </w:rPr>
        <w:t xml:space="preserve">Cost recovery arrangements outlined in this CRIS </w:t>
      </w:r>
      <w:r>
        <w:rPr>
          <w:rFonts w:eastAsia="SimSun"/>
          <w:lang w:val="en-US"/>
        </w:rPr>
        <w:t xml:space="preserve">generally </w:t>
      </w:r>
      <w:r w:rsidRPr="00040DA4">
        <w:rPr>
          <w:rFonts w:eastAsia="SimSun"/>
          <w:lang w:val="en-US"/>
        </w:rPr>
        <w:t xml:space="preserve">apply </w:t>
      </w:r>
      <w:r>
        <w:rPr>
          <w:rFonts w:eastAsia="SimSun"/>
          <w:lang w:val="en-US"/>
        </w:rPr>
        <w:t xml:space="preserve">equally </w:t>
      </w:r>
      <w:r w:rsidRPr="00040DA4">
        <w:rPr>
          <w:rFonts w:eastAsia="SimSun"/>
          <w:lang w:val="en-US"/>
        </w:rPr>
        <w:t xml:space="preserve">to </w:t>
      </w:r>
      <w:r>
        <w:t xml:space="preserve">government </w:t>
      </w:r>
      <w:r w:rsidRPr="00040DA4">
        <w:t>agenc</w:t>
      </w:r>
      <w:r>
        <w:t>ies and the private sector</w:t>
      </w:r>
      <w:r w:rsidRPr="00856370">
        <w:t>, unless an exemption or waiver applies.</w:t>
      </w:r>
      <w:r>
        <w:t xml:space="preserve"> </w:t>
      </w:r>
      <w:r w:rsidR="006C288D">
        <w:t>Where g</w:t>
      </w:r>
      <w:r>
        <w:t xml:space="preserve">overnment agencies are </w:t>
      </w:r>
      <w:r w:rsidR="006C288D">
        <w:t xml:space="preserve">applicants, they derive the same benefits from </w:t>
      </w:r>
      <w:r>
        <w:t xml:space="preserve">services </w:t>
      </w:r>
      <w:r w:rsidR="006C288D">
        <w:t xml:space="preserve">provided </w:t>
      </w:r>
      <w:r>
        <w:t xml:space="preserve">under the EPBC Act as private sector individuals and organisations. </w:t>
      </w:r>
      <w:r w:rsidR="006C288D">
        <w:t>Therefore</w:t>
      </w:r>
      <w:r>
        <w:t xml:space="preserve"> it is appropriate to charge </w:t>
      </w:r>
      <w:r w:rsidR="006C288D">
        <w:t xml:space="preserve">applicant </w:t>
      </w:r>
      <w:r>
        <w:t>government agencies in the same manner as the private sector.</w:t>
      </w:r>
    </w:p>
    <w:p w:rsidR="009672C8" w:rsidRPr="009B6DC0" w:rsidRDefault="006A625D" w:rsidP="00352319">
      <w:pPr>
        <w:pStyle w:val="Heading2"/>
      </w:pPr>
      <w:bookmarkStart w:id="71" w:name="_Toc391541559"/>
      <w:r>
        <w:t xml:space="preserve">Background to cost recovery under the </w:t>
      </w:r>
      <w:r w:rsidR="009B6DC0" w:rsidRPr="00056D27">
        <w:rPr>
          <w:i/>
        </w:rPr>
        <w:t xml:space="preserve">Environment Protection and Biodiversity Conservation Act </w:t>
      </w:r>
      <w:r w:rsidR="009B6DC0" w:rsidRPr="00355D85">
        <w:rPr>
          <w:i/>
        </w:rPr>
        <w:t>1999</w:t>
      </w:r>
      <w:r w:rsidR="009B6DC0" w:rsidRPr="009B6DC0">
        <w:t xml:space="preserve"> (</w:t>
      </w:r>
      <w:proofErr w:type="spellStart"/>
      <w:r w:rsidR="009B6DC0" w:rsidRPr="009B6DC0">
        <w:t>Cth</w:t>
      </w:r>
      <w:proofErr w:type="spellEnd"/>
      <w:r w:rsidR="009B6DC0" w:rsidRPr="009B6DC0">
        <w:t>)</w:t>
      </w:r>
      <w:bookmarkEnd w:id="71"/>
    </w:p>
    <w:p w:rsidR="00C6687A" w:rsidRDefault="00C6687A" w:rsidP="00C6687A">
      <w:r w:rsidRPr="00056D27">
        <w:t>The</w:t>
      </w:r>
      <w:r w:rsidRPr="00BC77A1">
        <w:t xml:space="preserve"> </w:t>
      </w:r>
      <w:r w:rsidR="009B6DC0">
        <w:t>EPBC Act</w:t>
      </w:r>
      <w:r w:rsidRPr="00056D27">
        <w:t xml:space="preserve"> provides a legal framework to protect and manage nationally and internationally important flora, fauna, wetlands, ecological communit</w:t>
      </w:r>
      <w:r w:rsidR="007E5AD0">
        <w:t xml:space="preserve">ies, Commonwealth marine areas, </w:t>
      </w:r>
      <w:r w:rsidRPr="00056D27">
        <w:t>heritage places</w:t>
      </w:r>
      <w:r w:rsidR="007E5AD0">
        <w:t>,</w:t>
      </w:r>
      <w:r w:rsidRPr="00056D27">
        <w:t xml:space="preserve"> nuclear actions</w:t>
      </w:r>
      <w:r w:rsidR="007E5AD0">
        <w:t xml:space="preserve"> and water resources relating to a large coal mining or coal seam gas development</w:t>
      </w:r>
      <w:r w:rsidRPr="00056D27">
        <w:t xml:space="preserve">. </w:t>
      </w:r>
      <w:r w:rsidRPr="00BC77A1">
        <w:rPr>
          <w:rFonts w:cs="Calibri"/>
          <w:color w:val="000000"/>
          <w:lang w:val="en-US" w:eastAsia="en-AU"/>
        </w:rPr>
        <w:t xml:space="preserve">The Department </w:t>
      </w:r>
      <w:r w:rsidRPr="00056D27">
        <w:t>is responsible for administering the regulatory functions of the EPBC Act. Further detail is available at:</w:t>
      </w:r>
      <w:r>
        <w:t xml:space="preserve"> </w:t>
      </w:r>
      <w:hyperlink r:id="rId21" w:history="1">
        <w:r w:rsidR="009B6DC0" w:rsidRPr="007E5AD0">
          <w:rPr>
            <w:rStyle w:val="Hyperlink"/>
            <w:color w:val="548DD4" w:themeColor="text2" w:themeTint="99"/>
          </w:rPr>
          <w:t>http://www.environment.gov.au/</w:t>
        </w:r>
      </w:hyperlink>
      <w:r w:rsidRPr="00056D27">
        <w:t>.</w:t>
      </w:r>
    </w:p>
    <w:p w:rsidR="00C6687A" w:rsidRPr="00056D27" w:rsidRDefault="00C6687A" w:rsidP="00C6687A">
      <w:r w:rsidRPr="001E2096">
        <w:lastRenderedPageBreak/>
        <w:t>Cost recovery more equitably share</w:t>
      </w:r>
      <w:r w:rsidR="007A1429">
        <w:t>s</w:t>
      </w:r>
      <w:r w:rsidRPr="001E2096">
        <w:t xml:space="preserve"> the costs of protecting the environment between the community and those who derive a private benefit </w:t>
      </w:r>
      <w:r w:rsidR="00C2710E" w:rsidRPr="001E2096">
        <w:t xml:space="preserve">from the ability to apply for approval to </w:t>
      </w:r>
      <w:r w:rsidRPr="001E2096">
        <w:t xml:space="preserve">undertake an activity </w:t>
      </w:r>
      <w:r w:rsidR="00C2710E" w:rsidRPr="001E2096">
        <w:t xml:space="preserve">otherwise prohibited by </w:t>
      </w:r>
      <w:r w:rsidRPr="001E2096">
        <w:t>the EPBC Act</w:t>
      </w:r>
      <w:r w:rsidRPr="0022151B">
        <w:t>. Cost recovery</w:t>
      </w:r>
      <w:r w:rsidR="00C2710E" w:rsidRPr="0022151B">
        <w:t>, by providing a source of funding related to the actual amount of assessment activity undertaken in the Department,</w:t>
      </w:r>
      <w:r w:rsidRPr="0022151B">
        <w:t xml:space="preserve"> </w:t>
      </w:r>
      <w:r w:rsidR="007A1429" w:rsidRPr="0022151B">
        <w:t>improves</w:t>
      </w:r>
      <w:r w:rsidRPr="0022151B">
        <w:t xml:space="preserve"> the </w:t>
      </w:r>
      <w:r w:rsidR="00C16300" w:rsidRPr="0022151B">
        <w:t>Department</w:t>
      </w:r>
      <w:r w:rsidRPr="0022151B">
        <w:t xml:space="preserve">’s ability to respond to changes in demand for its services. </w:t>
      </w:r>
      <w:r w:rsidR="006C1BB9">
        <w:t>Consistent</w:t>
      </w:r>
      <w:r w:rsidR="001F589D" w:rsidRPr="0022151B">
        <w:t xml:space="preserve"> with the Cost Recovery Guidelines, the fees charged reflect the efficient provision of se</w:t>
      </w:r>
      <w:r w:rsidR="00470374" w:rsidRPr="0022151B">
        <w:t>rvices under the EPBC Act – that is,</w:t>
      </w:r>
      <w:r w:rsidR="001F589D" w:rsidRPr="0022151B">
        <w:t xml:space="preserve"> work conducted to fulfil legislative requirements within statutory timeframes. Cost recovery </w:t>
      </w:r>
      <w:r w:rsidR="007A1429" w:rsidRPr="0022151B">
        <w:t>provides</w:t>
      </w:r>
      <w:r w:rsidRPr="0022151B">
        <w:t xml:space="preserve"> incentives to industry to undertake early engagement and incorporate the most environmentally acceptable outcomes into their business planning, as this may reduce the level of assessment required and therefore the costs payable.</w:t>
      </w:r>
      <w:r w:rsidRPr="00056D27">
        <w:t xml:space="preserve"> </w:t>
      </w:r>
    </w:p>
    <w:p w:rsidR="007976B5" w:rsidRPr="00056D27" w:rsidRDefault="007976B5" w:rsidP="007976B5">
      <w:bookmarkStart w:id="72" w:name="_Toc343850222"/>
      <w:r w:rsidRPr="00056D27">
        <w:t>Following public consultation on the EPBC Act cost recovery consultation paper</w:t>
      </w:r>
      <w:r>
        <w:t xml:space="preserve"> (2011)</w:t>
      </w:r>
      <w:r w:rsidRPr="00056D27">
        <w:t xml:space="preserve">, the Australian Government decided to </w:t>
      </w:r>
      <w:r w:rsidR="001C5CA5">
        <w:t xml:space="preserve">amend existing arrangements and </w:t>
      </w:r>
      <w:r w:rsidRPr="00056D27">
        <w:t>introduce new cost recovery arrangements for selected regulatory activities under the EPBC Act</w:t>
      </w:r>
      <w:r w:rsidR="001F589D">
        <w:t>. T</w:t>
      </w:r>
      <w:r w:rsidR="00AA4901">
        <w:t xml:space="preserve">his was </w:t>
      </w:r>
      <w:r w:rsidRPr="00056D27">
        <w:t xml:space="preserve">reflected in the 2012-13 </w:t>
      </w:r>
      <w:r w:rsidR="001C5CA5">
        <w:t>B</w:t>
      </w:r>
      <w:r w:rsidRPr="00056D27">
        <w:t xml:space="preserve">udget. </w:t>
      </w:r>
    </w:p>
    <w:p w:rsidR="00E85448" w:rsidRDefault="00E85448" w:rsidP="00E85448">
      <w:pPr>
        <w:pStyle w:val="Pa12"/>
        <w:spacing w:after="120" w:line="240" w:lineRule="auto"/>
        <w:rPr>
          <w:rFonts w:ascii="Arial" w:hAnsi="Arial" w:cs="Arial"/>
          <w:sz w:val="22"/>
          <w:szCs w:val="22"/>
        </w:rPr>
      </w:pPr>
      <w:r>
        <w:rPr>
          <w:rFonts w:ascii="Arial" w:hAnsi="Arial" w:cs="Arial"/>
          <w:sz w:val="22"/>
          <w:szCs w:val="22"/>
        </w:rPr>
        <w:t>Specifically, the Australian G</w:t>
      </w:r>
      <w:r w:rsidRPr="00315577">
        <w:rPr>
          <w:rFonts w:ascii="Arial" w:hAnsi="Arial" w:cs="Arial"/>
          <w:sz w:val="22"/>
          <w:szCs w:val="22"/>
        </w:rPr>
        <w:t xml:space="preserve">overnment decided to cost </w:t>
      </w:r>
      <w:proofErr w:type="gramStart"/>
      <w:r w:rsidRPr="00315577">
        <w:rPr>
          <w:rFonts w:ascii="Arial" w:hAnsi="Arial" w:cs="Arial"/>
          <w:sz w:val="22"/>
          <w:szCs w:val="22"/>
        </w:rPr>
        <w:t>recover</w:t>
      </w:r>
      <w:proofErr w:type="gramEnd"/>
      <w:r w:rsidRPr="00315577">
        <w:rPr>
          <w:rFonts w:ascii="Arial" w:hAnsi="Arial" w:cs="Arial"/>
          <w:sz w:val="22"/>
          <w:szCs w:val="22"/>
        </w:rPr>
        <w:t xml:space="preserve"> the following activities:</w:t>
      </w:r>
    </w:p>
    <w:p w:rsidR="00E85448" w:rsidRDefault="00DB1E64" w:rsidP="008A56A0">
      <w:pPr>
        <w:pStyle w:val="Pa12"/>
        <w:numPr>
          <w:ilvl w:val="0"/>
          <w:numId w:val="6"/>
        </w:numPr>
        <w:spacing w:after="120" w:line="240" w:lineRule="auto"/>
        <w:rPr>
          <w:rFonts w:ascii="Arial" w:hAnsi="Arial" w:cs="Arial"/>
          <w:sz w:val="22"/>
          <w:szCs w:val="22"/>
        </w:rPr>
      </w:pPr>
      <w:r>
        <w:rPr>
          <w:rFonts w:ascii="Arial" w:hAnsi="Arial" w:cs="Arial"/>
          <w:sz w:val="22"/>
          <w:szCs w:val="22"/>
        </w:rPr>
        <w:t>E</w:t>
      </w:r>
      <w:r w:rsidR="00E85448" w:rsidRPr="00315577">
        <w:rPr>
          <w:rFonts w:ascii="Arial" w:hAnsi="Arial" w:cs="Arial"/>
          <w:sz w:val="22"/>
          <w:szCs w:val="22"/>
        </w:rPr>
        <w:t>nvironmental impact assessments (full cost recovery arrangements)</w:t>
      </w:r>
      <w:r w:rsidR="008F17D2">
        <w:rPr>
          <w:rFonts w:ascii="Arial" w:hAnsi="Arial" w:cs="Arial"/>
          <w:sz w:val="22"/>
          <w:szCs w:val="22"/>
        </w:rPr>
        <w:t>,</w:t>
      </w:r>
      <w:r w:rsidR="00E85448" w:rsidRPr="00315577">
        <w:rPr>
          <w:rFonts w:ascii="Arial" w:hAnsi="Arial" w:cs="Arial"/>
          <w:sz w:val="22"/>
          <w:szCs w:val="22"/>
        </w:rPr>
        <w:t xml:space="preserve"> strategic assessments (full </w:t>
      </w:r>
      <w:r w:rsidR="00FD779C">
        <w:rPr>
          <w:rFonts w:ascii="Arial" w:hAnsi="Arial" w:cs="Arial"/>
          <w:sz w:val="22"/>
          <w:szCs w:val="22"/>
        </w:rPr>
        <w:t xml:space="preserve">or partial </w:t>
      </w:r>
      <w:r w:rsidR="00E85448" w:rsidRPr="00315577">
        <w:rPr>
          <w:rFonts w:ascii="Arial" w:hAnsi="Arial" w:cs="Arial"/>
          <w:sz w:val="22"/>
          <w:szCs w:val="22"/>
        </w:rPr>
        <w:t>cost recovery arrangements on a case-by-case basis)</w:t>
      </w:r>
      <w:r w:rsidR="008F17D2">
        <w:rPr>
          <w:rFonts w:ascii="Arial" w:hAnsi="Arial" w:cs="Arial"/>
          <w:sz w:val="22"/>
          <w:szCs w:val="22"/>
        </w:rPr>
        <w:t>,</w:t>
      </w:r>
      <w:r w:rsidR="00E85448" w:rsidRPr="00315577">
        <w:rPr>
          <w:rFonts w:ascii="Arial" w:hAnsi="Arial" w:cs="Arial"/>
          <w:sz w:val="22"/>
          <w:szCs w:val="22"/>
        </w:rPr>
        <w:t xml:space="preserve"> and </w:t>
      </w:r>
    </w:p>
    <w:p w:rsidR="00E85448" w:rsidRDefault="00DB1E64" w:rsidP="008A56A0">
      <w:pPr>
        <w:pStyle w:val="Pa12"/>
        <w:numPr>
          <w:ilvl w:val="0"/>
          <w:numId w:val="6"/>
        </w:numPr>
        <w:spacing w:after="200" w:line="240" w:lineRule="auto"/>
        <w:rPr>
          <w:rFonts w:ascii="Arial" w:hAnsi="Arial" w:cs="Arial"/>
          <w:sz w:val="22"/>
          <w:szCs w:val="22"/>
        </w:rPr>
      </w:pPr>
      <w:r>
        <w:rPr>
          <w:rFonts w:ascii="Arial" w:hAnsi="Arial" w:cs="Arial"/>
          <w:sz w:val="22"/>
          <w:szCs w:val="22"/>
        </w:rPr>
        <w:t>W</w:t>
      </w:r>
      <w:r w:rsidR="00E85448" w:rsidRPr="00315577">
        <w:rPr>
          <w:rFonts w:ascii="Arial" w:hAnsi="Arial" w:cs="Arial"/>
          <w:sz w:val="22"/>
          <w:szCs w:val="22"/>
        </w:rPr>
        <w:t>ildlife trade permits (partial cost recovery arrangements).</w:t>
      </w:r>
      <w:r w:rsidR="00FD779C">
        <w:rPr>
          <w:rFonts w:ascii="Arial" w:hAnsi="Arial" w:cs="Arial"/>
          <w:sz w:val="22"/>
          <w:szCs w:val="22"/>
        </w:rPr>
        <w:t xml:space="preserve"> </w:t>
      </w:r>
    </w:p>
    <w:p w:rsidR="00FD779C" w:rsidRPr="00FD779C" w:rsidRDefault="000D79DD" w:rsidP="00FD779C">
      <w:pPr>
        <w:rPr>
          <w:lang w:val="en-US"/>
        </w:rPr>
      </w:pPr>
      <w:r>
        <w:t xml:space="preserve">In 2012 the Department released </w:t>
      </w:r>
      <w:r w:rsidR="001D5727">
        <w:t>the</w:t>
      </w:r>
      <w:r>
        <w:t xml:space="preserve"> draft CRIS for consultation with stakeholders on the proposed cost recovery model.</w:t>
      </w:r>
      <w:r w:rsidR="001F589D">
        <w:t xml:space="preserve"> The </w:t>
      </w:r>
      <w:r w:rsidR="007A1429">
        <w:t xml:space="preserve">draft </w:t>
      </w:r>
      <w:r w:rsidR="001F589D">
        <w:t>CRIS included cost recovery for wildlife trade activities in the EPBC Act.</w:t>
      </w:r>
      <w:r>
        <w:t xml:space="preserve"> </w:t>
      </w:r>
      <w:r w:rsidR="00FD779C" w:rsidRPr="005D2DB5">
        <w:t xml:space="preserve">Cost recovery </w:t>
      </w:r>
      <w:r w:rsidR="00FD779C">
        <w:t>started</w:t>
      </w:r>
      <w:r w:rsidR="00FD779C" w:rsidRPr="005D2DB5">
        <w:t xml:space="preserve"> </w:t>
      </w:r>
      <w:r w:rsidR="00FD779C">
        <w:t xml:space="preserve">from 1 July 2013 </w:t>
      </w:r>
      <w:r w:rsidR="00FD779C" w:rsidRPr="005D2DB5">
        <w:t>for some wildlife trade activities under the EPBC</w:t>
      </w:r>
      <w:r w:rsidR="00FD779C">
        <w:t xml:space="preserve"> Act</w:t>
      </w:r>
      <w:r w:rsidR="00FD779C" w:rsidRPr="005D2DB5">
        <w:t>, such as wildlife trade permits</w:t>
      </w:r>
      <w:r w:rsidR="006C1BB9">
        <w:t>.</w:t>
      </w:r>
      <w:r w:rsidR="00FD779C">
        <w:rPr>
          <w:rStyle w:val="FootnoteReference"/>
        </w:rPr>
        <w:footnoteReference w:id="3"/>
      </w:r>
      <w:r w:rsidR="00FD779C" w:rsidRPr="005D2DB5">
        <w:t xml:space="preserve"> Cost recovery wil</w:t>
      </w:r>
      <w:r w:rsidR="00FD779C">
        <w:t>l continue for these activities.</w:t>
      </w:r>
      <w:r w:rsidR="001F589D">
        <w:t xml:space="preserve"> The </w:t>
      </w:r>
      <w:r w:rsidR="007A1429">
        <w:t>final</w:t>
      </w:r>
      <w:r w:rsidR="001F589D">
        <w:t xml:space="preserve"> CRIS therefore only includes</w:t>
      </w:r>
      <w:r w:rsidR="00880557">
        <w:t xml:space="preserve"> cost recovery for environmental assessment activities.</w:t>
      </w:r>
    </w:p>
    <w:p w:rsidR="00EF7A46" w:rsidRDefault="00CA3ABF" w:rsidP="008F227E">
      <w:pPr>
        <w:pStyle w:val="Heading2"/>
      </w:pPr>
      <w:bookmarkStart w:id="73" w:name="_Toc391541560"/>
      <w:bookmarkEnd w:id="72"/>
      <w:r w:rsidRPr="00CA3ABF">
        <w:t>Australian Government Cost Recovery Guidelines</w:t>
      </w:r>
      <w:bookmarkEnd w:id="73"/>
    </w:p>
    <w:p w:rsidR="00EF7A46" w:rsidRDefault="009706ED" w:rsidP="009706ED">
      <w:r w:rsidRPr="00FC12C4">
        <w:t>In December 2002, the Australian Government adopted a formal cost recovery policy to improve the consistency, transparency and accountability of its cost recovery arrangements and promote the efficient allocation of resources. The underlying principle of the policy is that agencies set charges to recover all the costs of a product or service where</w:t>
      </w:r>
      <w:r w:rsidR="00EF7A46">
        <w:t>:</w:t>
      </w:r>
      <w:r w:rsidRPr="00FC12C4">
        <w:t xml:space="preserve"> </w:t>
      </w:r>
    </w:p>
    <w:p w:rsidR="000B573E" w:rsidRDefault="00DB1E64">
      <w:pPr>
        <w:pStyle w:val="ListBullet"/>
      </w:pPr>
      <w:r>
        <w:t>I</w:t>
      </w:r>
      <w:r w:rsidR="009706ED" w:rsidRPr="00FC12C4">
        <w:t xml:space="preserve">t is efficient and effective to do so, </w:t>
      </w:r>
    </w:p>
    <w:p w:rsidR="000B573E" w:rsidRDefault="00DB1E64">
      <w:pPr>
        <w:pStyle w:val="ListBullet"/>
      </w:pPr>
      <w:r>
        <w:t>T</w:t>
      </w:r>
      <w:r w:rsidR="009706ED" w:rsidRPr="00FC12C4">
        <w:t xml:space="preserve">he beneficiaries are a narrow and identifiable group, and </w:t>
      </w:r>
    </w:p>
    <w:p w:rsidR="000B573E" w:rsidRDefault="00DB1E64">
      <w:pPr>
        <w:pStyle w:val="ListBullet"/>
      </w:pPr>
      <w:r>
        <w:t>C</w:t>
      </w:r>
      <w:r w:rsidR="009706ED" w:rsidRPr="00FC12C4">
        <w:t xml:space="preserve">harging is consistent with Australian Government policy objectives. </w:t>
      </w:r>
    </w:p>
    <w:p w:rsidR="009706ED" w:rsidRDefault="009706ED">
      <w:r w:rsidRPr="00FC12C4">
        <w:t xml:space="preserve">The </w:t>
      </w:r>
      <w:r w:rsidR="003642F6">
        <w:t>c</w:t>
      </w:r>
      <w:r w:rsidRPr="00FC12C4">
        <w:t xml:space="preserve">ost </w:t>
      </w:r>
      <w:r w:rsidR="003642F6">
        <w:t>r</w:t>
      </w:r>
      <w:r w:rsidRPr="00FC12C4">
        <w:t xml:space="preserve">ecovery </w:t>
      </w:r>
      <w:r w:rsidR="003642F6">
        <w:t>p</w:t>
      </w:r>
      <w:r w:rsidRPr="00FC12C4">
        <w:t>olicy is administered by the Depa</w:t>
      </w:r>
      <w:r w:rsidR="003662DA">
        <w:t>rtment of Finance</w:t>
      </w:r>
      <w:r w:rsidRPr="00FC12C4">
        <w:t xml:space="preserve"> and is detailed in the </w:t>
      </w:r>
      <w:r>
        <w:t>Cost Recovery Guidelines.</w:t>
      </w:r>
      <w:r w:rsidR="00AF2239">
        <w:t xml:space="preserve"> </w:t>
      </w:r>
    </w:p>
    <w:p w:rsidR="00BD1CF4" w:rsidRDefault="00D95ACB" w:rsidP="00BD1CF4">
      <w:r>
        <w:t xml:space="preserve">Cost recovery involves charging some or all of the efficient costs of specific government activities undertaken on behalf of the </w:t>
      </w:r>
      <w:r w:rsidR="00D251AD">
        <w:t xml:space="preserve">Australian </w:t>
      </w:r>
      <w:r w:rsidR="005442D0">
        <w:t>G</w:t>
      </w:r>
      <w:r w:rsidR="00D251AD">
        <w:t>overnment</w:t>
      </w:r>
      <w:r>
        <w:t xml:space="preserve"> or individuals or non-government organisations that receive them. </w:t>
      </w:r>
      <w:r w:rsidR="003642F6" w:rsidRPr="00056D27">
        <w:t>The decision to rec</w:t>
      </w:r>
      <w:r w:rsidR="003642F6">
        <w:t>over costs for environmental assessment activities was informed by the Australian Government’s</w:t>
      </w:r>
      <w:r w:rsidR="003642F6" w:rsidRPr="00056D27">
        <w:t xml:space="preserve"> cost recovery policy – that those who create the need for regulation should incur the costs, rather than being borne by the wider </w:t>
      </w:r>
      <w:r w:rsidR="003642F6" w:rsidRPr="00056D27">
        <w:lastRenderedPageBreak/>
        <w:t>community.</w:t>
      </w:r>
      <w:r w:rsidR="003642F6">
        <w:t xml:space="preserve"> The Australian Government’s policy position is that </w:t>
      </w:r>
      <w:r>
        <w:t>entities</w:t>
      </w:r>
      <w:r w:rsidR="003642F6">
        <w:t xml:space="preserve"> implementing cost recovery</w:t>
      </w:r>
      <w:r>
        <w:t xml:space="preserve"> should minimise cost recovery charges through the efficient implementation of cost recovered activities, while achieving policy objectives and legislative functions of the </w:t>
      </w:r>
      <w:r w:rsidR="00F74BB2">
        <w:t>Australian</w:t>
      </w:r>
      <w:r>
        <w:t xml:space="preserve"> Government. </w:t>
      </w:r>
    </w:p>
    <w:p w:rsidR="009F75A4" w:rsidRPr="00CC193A" w:rsidRDefault="00D95ACB" w:rsidP="00D95ACB">
      <w:r>
        <w:t xml:space="preserve">The </w:t>
      </w:r>
      <w:r w:rsidR="00AD513B">
        <w:t>Australian</w:t>
      </w:r>
      <w:r>
        <w:t xml:space="preserve"> Government Cost Recovery Guidelines are available on the Department of Finance website at </w:t>
      </w:r>
      <w:hyperlink r:id="rId22" w:history="1">
        <w:r w:rsidR="009F75A4" w:rsidRPr="009F75A4">
          <w:rPr>
            <w:color w:val="0070C0"/>
          </w:rPr>
          <w:t>www.finance.gov.au.</w:t>
        </w:r>
      </w:hyperlink>
    </w:p>
    <w:p w:rsidR="009706ED" w:rsidRDefault="009706ED" w:rsidP="009706ED">
      <w:r w:rsidRPr="00FC12C4">
        <w:t xml:space="preserve">The Cost Recovery Guidelines apply to all </w:t>
      </w:r>
      <w:r w:rsidRPr="00FC12C4">
        <w:rPr>
          <w:i/>
          <w:iCs/>
        </w:rPr>
        <w:t xml:space="preserve">Financial Management and Accountability Act 1997 </w:t>
      </w:r>
      <w:r w:rsidR="00941FD5" w:rsidRPr="00880557">
        <w:rPr>
          <w:iCs/>
        </w:rPr>
        <w:t>(</w:t>
      </w:r>
      <w:proofErr w:type="spellStart"/>
      <w:r w:rsidR="00941FD5" w:rsidRPr="00880557">
        <w:rPr>
          <w:iCs/>
        </w:rPr>
        <w:t>Cth</w:t>
      </w:r>
      <w:proofErr w:type="spellEnd"/>
      <w:r w:rsidR="00941FD5" w:rsidRPr="00880557">
        <w:rPr>
          <w:iCs/>
        </w:rPr>
        <w:t>)</w:t>
      </w:r>
      <w:r w:rsidR="00941FD5">
        <w:rPr>
          <w:i/>
          <w:iCs/>
        </w:rPr>
        <w:t xml:space="preserve"> </w:t>
      </w:r>
      <w:r w:rsidRPr="00FC12C4">
        <w:t xml:space="preserve">agencies and to relevant </w:t>
      </w:r>
      <w:r w:rsidRPr="00FC12C4">
        <w:rPr>
          <w:i/>
          <w:iCs/>
        </w:rPr>
        <w:t xml:space="preserve">Commonwealth Authorities and Companies Act 1997 </w:t>
      </w:r>
      <w:r w:rsidR="00941FD5" w:rsidRPr="00880557">
        <w:rPr>
          <w:iCs/>
        </w:rPr>
        <w:t>(</w:t>
      </w:r>
      <w:proofErr w:type="spellStart"/>
      <w:r w:rsidR="00941FD5" w:rsidRPr="00880557">
        <w:rPr>
          <w:iCs/>
        </w:rPr>
        <w:t>Cth</w:t>
      </w:r>
      <w:proofErr w:type="spellEnd"/>
      <w:r w:rsidR="00941FD5" w:rsidRPr="00880557">
        <w:rPr>
          <w:iCs/>
        </w:rPr>
        <w:t>)</w:t>
      </w:r>
      <w:r w:rsidR="00941FD5">
        <w:rPr>
          <w:i/>
          <w:iCs/>
        </w:rPr>
        <w:t xml:space="preserve"> </w:t>
      </w:r>
      <w:r w:rsidRPr="00FC12C4">
        <w:t>bodies. In line with the policy, individual portfolio ministers are ultimately responsible for ensuring agencies’ implementation and compliance with the Cost Recovery Guidelines.</w:t>
      </w:r>
      <w:r w:rsidR="00880557">
        <w:t xml:space="preserve"> The Department notes that from 1 July 2014 the </w:t>
      </w:r>
      <w:r w:rsidR="00880557">
        <w:rPr>
          <w:i/>
        </w:rPr>
        <w:t xml:space="preserve">Public Governance, Performance and Accountability Act 2013 </w:t>
      </w:r>
      <w:r w:rsidR="00880557">
        <w:t>(</w:t>
      </w:r>
      <w:proofErr w:type="spellStart"/>
      <w:r w:rsidR="00880557">
        <w:t>Cth</w:t>
      </w:r>
      <w:proofErr w:type="spellEnd"/>
      <w:r w:rsidR="00880557">
        <w:t xml:space="preserve">) will replace the </w:t>
      </w:r>
      <w:r w:rsidR="007A1429" w:rsidRPr="00FC12C4">
        <w:rPr>
          <w:i/>
          <w:iCs/>
        </w:rPr>
        <w:t xml:space="preserve">Financial Management and Accountability Act 1997 </w:t>
      </w:r>
      <w:r w:rsidR="00880557">
        <w:t xml:space="preserve">and the </w:t>
      </w:r>
      <w:r w:rsidR="007A1429" w:rsidRPr="00FC12C4">
        <w:rPr>
          <w:i/>
          <w:iCs/>
        </w:rPr>
        <w:t>Commonwealth Authorities and Companies Act 1997</w:t>
      </w:r>
      <w:r w:rsidR="00880557">
        <w:t>.</w:t>
      </w:r>
    </w:p>
    <w:p w:rsidR="006570F1" w:rsidRDefault="006570F1">
      <w:pPr>
        <w:spacing w:after="0" w:line="240" w:lineRule="auto"/>
      </w:pPr>
      <w:r>
        <w:br w:type="page"/>
      </w:r>
    </w:p>
    <w:p w:rsidR="00DD25F0" w:rsidRDefault="002815E5" w:rsidP="00092B60">
      <w:pPr>
        <w:pStyle w:val="Heading1"/>
      </w:pPr>
      <w:bookmarkStart w:id="74" w:name="_Toc387064758"/>
      <w:bookmarkStart w:id="75" w:name="_Toc387064970"/>
      <w:bookmarkStart w:id="76" w:name="_Toc387065176"/>
      <w:bookmarkStart w:id="77" w:name="_Toc387065387"/>
      <w:bookmarkStart w:id="78" w:name="_Toc387065593"/>
      <w:bookmarkStart w:id="79" w:name="_Toc387065798"/>
      <w:bookmarkStart w:id="80" w:name="_Toc387066004"/>
      <w:bookmarkStart w:id="81" w:name="_Toc387066207"/>
      <w:bookmarkStart w:id="82" w:name="_Toc387069443"/>
      <w:bookmarkStart w:id="83" w:name="_Toc387069630"/>
      <w:bookmarkStart w:id="84" w:name="_Toc387069839"/>
      <w:bookmarkStart w:id="85" w:name="_Toc387070038"/>
      <w:bookmarkStart w:id="86" w:name="_Toc387072303"/>
      <w:bookmarkStart w:id="87" w:name="_Toc387072514"/>
      <w:bookmarkStart w:id="88" w:name="_Toc387392542"/>
      <w:bookmarkStart w:id="89" w:name="_Toc39154156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lastRenderedPageBreak/>
        <w:t>POLICY AND STATUTORY AUTHORITY TO RECOVER</w:t>
      </w:r>
      <w:bookmarkEnd w:id="89"/>
    </w:p>
    <w:p w:rsidR="00F854A1" w:rsidRPr="00F854A1" w:rsidRDefault="00F854A1" w:rsidP="00F854A1">
      <w:pPr>
        <w:pStyle w:val="Heading2"/>
      </w:pPr>
      <w:bookmarkStart w:id="90" w:name="_Toc391541562"/>
      <w:r>
        <w:t xml:space="preserve">Government Policy and Statutory Authority to cost recover </w:t>
      </w:r>
      <w:r w:rsidR="00361B95">
        <w:t>environmental impact assessments</w:t>
      </w:r>
      <w:bookmarkEnd w:id="90"/>
    </w:p>
    <w:p w:rsidR="00BC27D4" w:rsidRPr="00092B60" w:rsidRDefault="00BC27D4" w:rsidP="00F854A1">
      <w:pPr>
        <w:pStyle w:val="Heading3"/>
      </w:pPr>
      <w:bookmarkStart w:id="91" w:name="_Toc391541563"/>
      <w:r w:rsidRPr="00092B60">
        <w:t xml:space="preserve">Government policy approval to cost recover </w:t>
      </w:r>
      <w:r w:rsidR="00361B95">
        <w:t>environmental impact assessments</w:t>
      </w:r>
      <w:bookmarkEnd w:id="91"/>
    </w:p>
    <w:p w:rsidR="00F3069F" w:rsidRDefault="00F3069F" w:rsidP="00BC27D4">
      <w:pPr>
        <w:rPr>
          <w:highlight w:val="yellow"/>
        </w:rPr>
      </w:pPr>
      <w:r w:rsidRPr="000B6B7E">
        <w:t>The Australian Government</w:t>
      </w:r>
      <w:r w:rsidR="006570F1">
        <w:t xml:space="preserve"> announced in the 2012-13 </w:t>
      </w:r>
      <w:proofErr w:type="gramStart"/>
      <w:r w:rsidR="006570F1">
        <w:t>Budget</w:t>
      </w:r>
      <w:proofErr w:type="gramEnd"/>
      <w:r w:rsidR="00333E65">
        <w:rPr>
          <w:rStyle w:val="FootnoteReference"/>
        </w:rPr>
        <w:footnoteReference w:id="4"/>
      </w:r>
      <w:r w:rsidR="006570F1">
        <w:t xml:space="preserve"> </w:t>
      </w:r>
      <w:r w:rsidR="003642F6">
        <w:t>the implementation of full</w:t>
      </w:r>
      <w:r w:rsidR="006570F1">
        <w:t xml:space="preserve"> </w:t>
      </w:r>
      <w:r w:rsidRPr="000B6B7E">
        <w:t>cost recover</w:t>
      </w:r>
      <w:r w:rsidR="003642F6">
        <w:t>y for</w:t>
      </w:r>
      <w:r w:rsidRPr="000B6B7E">
        <w:t xml:space="preserve"> environmental assessments under the EPBC Act </w:t>
      </w:r>
      <w:r w:rsidR="00527FDE">
        <w:t>from December 2012. In the 2013-14 Budget</w:t>
      </w:r>
      <w:r w:rsidR="00AE25BD">
        <w:rPr>
          <w:rStyle w:val="FootnoteReference"/>
        </w:rPr>
        <w:footnoteReference w:id="5"/>
      </w:r>
      <w:r w:rsidR="00527FDE">
        <w:t xml:space="preserve"> the introduction of cost recovery under the EPBC Act was deferred from 1</w:t>
      </w:r>
      <w:r w:rsidR="00CA115D">
        <w:t> December </w:t>
      </w:r>
      <w:r w:rsidR="00527FDE">
        <w:t>2012 to</w:t>
      </w:r>
      <w:r w:rsidR="00854767">
        <w:t xml:space="preserve"> 1 July 2014.</w:t>
      </w:r>
    </w:p>
    <w:p w:rsidR="00772F52" w:rsidRDefault="00772F52" w:rsidP="00F854A1">
      <w:pPr>
        <w:pStyle w:val="Heading3"/>
      </w:pPr>
      <w:bookmarkStart w:id="92" w:name="_Toc391541564"/>
      <w:r>
        <w:t>Statutory authority to impose cost recovery charges</w:t>
      </w:r>
      <w:bookmarkEnd w:id="92"/>
    </w:p>
    <w:p w:rsidR="0001628D" w:rsidRDefault="0001628D" w:rsidP="0001628D">
      <w:r>
        <w:t>It is necessary to make a</w:t>
      </w:r>
      <w:r w:rsidRPr="00FC12C4">
        <w:t xml:space="preserve">mendments to the EPBC Act and regulations </w:t>
      </w:r>
      <w:r>
        <w:t xml:space="preserve">in order to introduce cost recovery for environmental assessments under </w:t>
      </w:r>
      <w:r w:rsidR="001D5727">
        <w:t>the EPBC</w:t>
      </w:r>
      <w:r>
        <w:t xml:space="preserve"> Act</w:t>
      </w:r>
      <w:r w:rsidRPr="00730CD7">
        <w:t xml:space="preserve">. </w:t>
      </w:r>
      <w:r w:rsidR="007A7166">
        <w:t>Parliament passed</w:t>
      </w:r>
      <w:r>
        <w:t xml:space="preserve"> the legislative amendments </w:t>
      </w:r>
      <w:r w:rsidR="007A7166">
        <w:t>on 24 June 2014, but the amendments have not yet received Royal Assent</w:t>
      </w:r>
      <w:r>
        <w:t>. A</w:t>
      </w:r>
      <w:r w:rsidRPr="00730CD7">
        <w:t xml:space="preserve">mendments to the regulations </w:t>
      </w:r>
      <w:r>
        <w:t>will be made shortly</w:t>
      </w:r>
      <w:r w:rsidRPr="00CA3ABF">
        <w:t>.</w:t>
      </w:r>
      <w:r>
        <w:t xml:space="preserve"> A copy of the current EPBC Act and regulations can be found at </w:t>
      </w:r>
      <w:hyperlink r:id="rId23" w:history="1">
        <w:r w:rsidRPr="004D3246">
          <w:rPr>
            <w:color w:val="0070C0"/>
          </w:rPr>
          <w:t>www.comlaw.gov.au</w:t>
        </w:r>
      </w:hyperlink>
      <w:r w:rsidRPr="004D3246">
        <w:rPr>
          <w:color w:val="0070C0"/>
        </w:rPr>
        <w:t>.</w:t>
      </w:r>
      <w:r>
        <w:t xml:space="preserve"> </w:t>
      </w:r>
    </w:p>
    <w:p w:rsidR="0001628D" w:rsidRDefault="0001628D" w:rsidP="0001628D">
      <w:r>
        <w:t>The amendments to the EPBC Act will enable the Minister to determine fees for environmental assessments. However, cost recovery will not commence until the Minister has made regulations requiring the payment of fees. The regulations will provide for cost recovery consistent with the arrangements set out in this CRIS.</w:t>
      </w:r>
    </w:p>
    <w:p w:rsidR="003642F6" w:rsidRDefault="00461DF1" w:rsidP="00461DF1">
      <w:pPr>
        <w:tabs>
          <w:tab w:val="left" w:pos="1701"/>
        </w:tabs>
      </w:pPr>
      <w:r w:rsidRPr="00FC12C4">
        <w:t xml:space="preserve">The </w:t>
      </w:r>
      <w:r w:rsidR="00EB64D4">
        <w:t xml:space="preserve">amended </w:t>
      </w:r>
      <w:r w:rsidRPr="00FC12C4">
        <w:t xml:space="preserve">regulations </w:t>
      </w:r>
      <w:r w:rsidR="0001628D">
        <w:t xml:space="preserve">will </w:t>
      </w:r>
      <w:r w:rsidRPr="00FC12C4">
        <w:t>include</w:t>
      </w:r>
      <w:r w:rsidR="003642F6">
        <w:t>:</w:t>
      </w:r>
      <w:r w:rsidRPr="00FC12C4">
        <w:t xml:space="preserve"> </w:t>
      </w:r>
    </w:p>
    <w:p w:rsidR="000B573E" w:rsidRDefault="00451CD9">
      <w:pPr>
        <w:pStyle w:val="ListBullet"/>
      </w:pPr>
      <w:r>
        <w:t>T</w:t>
      </w:r>
      <w:r w:rsidR="00461DF1" w:rsidRPr="00FC12C4">
        <w:t xml:space="preserve">he commencement date for </w:t>
      </w:r>
      <w:r w:rsidR="00461DF1">
        <w:t>the new</w:t>
      </w:r>
      <w:r w:rsidR="00461DF1" w:rsidRPr="00FC12C4">
        <w:t xml:space="preserve"> cost recovery charges</w:t>
      </w:r>
      <w:r w:rsidR="00461DF1">
        <w:t>,</w:t>
      </w:r>
      <w:r w:rsidR="00461DF1" w:rsidRPr="00FC12C4">
        <w:t xml:space="preserve"> </w:t>
      </w:r>
    </w:p>
    <w:p w:rsidR="000B573E" w:rsidRDefault="00451CD9">
      <w:pPr>
        <w:pStyle w:val="ListBullet"/>
      </w:pPr>
      <w:r>
        <w:t>T</w:t>
      </w:r>
      <w:r w:rsidR="00461DF1" w:rsidRPr="00FC12C4">
        <w:t>he requirement for full payment of relevant fees as part of statutory processes</w:t>
      </w:r>
      <w:r w:rsidR="00285B2B">
        <w:t>,</w:t>
      </w:r>
    </w:p>
    <w:p w:rsidR="000B573E" w:rsidRDefault="00451CD9">
      <w:pPr>
        <w:pStyle w:val="ListBullet"/>
      </w:pPr>
      <w:r>
        <w:t>M</w:t>
      </w:r>
      <w:r w:rsidR="00285B2B">
        <w:t>ethods for calculating fees</w:t>
      </w:r>
      <w:r w:rsidR="008F17D2">
        <w:t>,</w:t>
      </w:r>
    </w:p>
    <w:p w:rsidR="000B573E" w:rsidRDefault="00451CD9">
      <w:pPr>
        <w:pStyle w:val="ListBullet"/>
      </w:pPr>
      <w:r>
        <w:t>R</w:t>
      </w:r>
      <w:r w:rsidR="00285B2B">
        <w:t>equirements as to the timing of fee payments, and</w:t>
      </w:r>
    </w:p>
    <w:p w:rsidR="000B573E" w:rsidRDefault="00451CD9">
      <w:pPr>
        <w:pStyle w:val="ListBullet"/>
      </w:pPr>
      <w:r>
        <w:t>P</w:t>
      </w:r>
      <w:r w:rsidR="003642F6">
        <w:t>rovision for</w:t>
      </w:r>
      <w:r w:rsidR="00461DF1" w:rsidRPr="008558EB">
        <w:t xml:space="preserve"> exemptions</w:t>
      </w:r>
      <w:r w:rsidR="00CB1779">
        <w:t>,</w:t>
      </w:r>
      <w:r w:rsidR="00461DF1" w:rsidRPr="008558EB">
        <w:t xml:space="preserve"> waivers</w:t>
      </w:r>
      <w:r w:rsidR="00CB1779">
        <w:t xml:space="preserve"> and refunds</w:t>
      </w:r>
      <w:r>
        <w:t>.</w:t>
      </w:r>
      <w:r w:rsidR="00461DF1" w:rsidRPr="008558EB">
        <w:t xml:space="preserve"> </w:t>
      </w:r>
    </w:p>
    <w:p w:rsidR="00570BD5" w:rsidRDefault="00570BD5" w:rsidP="008F227E">
      <w:pPr>
        <w:pStyle w:val="Heading3"/>
      </w:pPr>
      <w:bookmarkStart w:id="93" w:name="_Toc387064763"/>
      <w:bookmarkStart w:id="94" w:name="_Toc387064975"/>
      <w:bookmarkStart w:id="95" w:name="_Toc387065181"/>
      <w:bookmarkStart w:id="96" w:name="_Toc387065392"/>
      <w:bookmarkStart w:id="97" w:name="_Toc387065598"/>
      <w:bookmarkStart w:id="98" w:name="_Toc387065803"/>
      <w:bookmarkStart w:id="99" w:name="_Toc387066009"/>
      <w:bookmarkStart w:id="100" w:name="_Toc387066212"/>
      <w:bookmarkStart w:id="101" w:name="_Toc387069448"/>
      <w:bookmarkStart w:id="102" w:name="_Toc387069635"/>
      <w:bookmarkStart w:id="103" w:name="_Toc387069844"/>
      <w:bookmarkStart w:id="104" w:name="_Toc387070043"/>
      <w:bookmarkStart w:id="105" w:name="_Toc387072308"/>
      <w:bookmarkStart w:id="106" w:name="_Toc387072519"/>
      <w:bookmarkStart w:id="107" w:name="_Toc387392547"/>
      <w:bookmarkStart w:id="108" w:name="_Toc343850247"/>
      <w:bookmarkStart w:id="109" w:name="_Toc344895139"/>
      <w:bookmarkStart w:id="110" w:name="_Toc346285314"/>
      <w:bookmarkStart w:id="111" w:name="_Toc391541565"/>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BC77A1">
        <w:t>Basis of charging – fee or levy</w:t>
      </w:r>
      <w:bookmarkEnd w:id="108"/>
      <w:bookmarkEnd w:id="109"/>
      <w:bookmarkEnd w:id="110"/>
      <w:bookmarkEnd w:id="111"/>
    </w:p>
    <w:p w:rsidR="00570BD5" w:rsidRDefault="00570BD5" w:rsidP="00570BD5">
      <w:r>
        <w:t>T</w:t>
      </w:r>
      <w:r w:rsidRPr="00FC12C4">
        <w:t xml:space="preserve">he Cost </w:t>
      </w:r>
      <w:r>
        <w:t>R</w:t>
      </w:r>
      <w:r w:rsidRPr="00FC12C4">
        <w:t>ecovery Guidelines</w:t>
      </w:r>
      <w:r>
        <w:t xml:space="preserve"> outline two types of cost recovery charges</w:t>
      </w:r>
      <w:r w:rsidRPr="00FC12C4">
        <w:t>:</w:t>
      </w:r>
    </w:p>
    <w:p w:rsidR="000B573E" w:rsidRDefault="00451CD9">
      <w:pPr>
        <w:pStyle w:val="ListBullet"/>
      </w:pPr>
      <w:r>
        <w:t>F</w:t>
      </w:r>
      <w:r w:rsidR="00570BD5" w:rsidRPr="00FC12C4">
        <w:t>ees that charge individuals or firms directly for the cost of the service</w:t>
      </w:r>
      <w:r w:rsidR="008F17D2">
        <w:t>,</w:t>
      </w:r>
      <w:r w:rsidR="00570BD5" w:rsidRPr="00FC12C4">
        <w:t xml:space="preserve"> or</w:t>
      </w:r>
    </w:p>
    <w:p w:rsidR="000B573E" w:rsidRDefault="00451CD9">
      <w:pPr>
        <w:pStyle w:val="ListBullet"/>
      </w:pPr>
      <w:r>
        <w:t>L</w:t>
      </w:r>
      <w:r w:rsidR="00570BD5" w:rsidRPr="00DF382D">
        <w:t xml:space="preserve">evies on a group of individuals or firms (legally a form of taxation). A taxation </w:t>
      </w:r>
      <w:r w:rsidR="00570BD5">
        <w:t>a</w:t>
      </w:r>
      <w:r w:rsidR="00570BD5" w:rsidRPr="00DF382D">
        <w:t>ct is required to collect levies</w:t>
      </w:r>
      <w:r w:rsidR="00570BD5" w:rsidRPr="00FC12C4">
        <w:rPr>
          <w:rStyle w:val="FootnoteReference"/>
          <w:iCs/>
        </w:rPr>
        <w:footnoteReference w:id="6"/>
      </w:r>
      <w:r w:rsidR="00570BD5" w:rsidRPr="00DF382D">
        <w:t>.</w:t>
      </w:r>
    </w:p>
    <w:p w:rsidR="001552A2" w:rsidRDefault="0071276D" w:rsidP="00570BD5">
      <w:r>
        <w:rPr>
          <w:noProof/>
          <w:lang w:eastAsia="en-AU"/>
        </w:rPr>
        <w:t>The</w:t>
      </w:r>
      <w:r w:rsidR="00570BD5" w:rsidRPr="00FC12C4">
        <w:t xml:space="preserve"> Cost Recovery Guidelines stipulate that</w:t>
      </w:r>
      <w:r w:rsidR="00570BD5">
        <w:t>,</w:t>
      </w:r>
      <w:r w:rsidR="00570BD5" w:rsidRPr="00FC12C4">
        <w:t xml:space="preserve"> where appropriate, charges should be based on fees. The </w:t>
      </w:r>
      <w:r w:rsidR="00C16300">
        <w:t>Department</w:t>
      </w:r>
      <w:r w:rsidR="00570BD5" w:rsidRPr="00FC12C4">
        <w:t xml:space="preserve"> </w:t>
      </w:r>
      <w:r w:rsidR="00570BD5">
        <w:t>determined</w:t>
      </w:r>
      <w:r w:rsidR="00570BD5" w:rsidRPr="00FC12C4">
        <w:t xml:space="preserve"> that a fee for service is </w:t>
      </w:r>
      <w:r w:rsidR="00570BD5">
        <w:t xml:space="preserve">an </w:t>
      </w:r>
      <w:r w:rsidR="00570BD5" w:rsidRPr="00FC12C4">
        <w:t xml:space="preserve">appropriate cost recovery </w:t>
      </w:r>
      <w:r w:rsidR="00570BD5" w:rsidRPr="00206F14">
        <w:t>charge</w:t>
      </w:r>
      <w:r w:rsidR="00570BD5">
        <w:t xml:space="preserve"> for regulatory activities under </w:t>
      </w:r>
      <w:r w:rsidR="00570BD5" w:rsidRPr="00FC12C4">
        <w:t xml:space="preserve">the EPBC Act. </w:t>
      </w:r>
    </w:p>
    <w:p w:rsidR="001552A2" w:rsidRDefault="001552A2" w:rsidP="00570BD5"/>
    <w:p w:rsidR="00285B2B" w:rsidRDefault="00570BD5" w:rsidP="00570BD5">
      <w:r w:rsidRPr="00FC12C4">
        <w:lastRenderedPageBreak/>
        <w:t xml:space="preserve">There are two types of fees </w:t>
      </w:r>
      <w:r>
        <w:t xml:space="preserve">that </w:t>
      </w:r>
      <w:r w:rsidRPr="00FC12C4">
        <w:t xml:space="preserve">apply </w:t>
      </w:r>
      <w:r>
        <w:t xml:space="preserve">to this </w:t>
      </w:r>
      <w:r w:rsidR="00CF20A5">
        <w:t>CRIS</w:t>
      </w:r>
      <w:r w:rsidRPr="00FC12C4">
        <w:t xml:space="preserve">: </w:t>
      </w:r>
    </w:p>
    <w:p w:rsidR="000B573E" w:rsidRDefault="00451CD9">
      <w:pPr>
        <w:pStyle w:val="ListBullet"/>
      </w:pPr>
      <w:r>
        <w:t>F</w:t>
      </w:r>
      <w:r w:rsidR="00570BD5" w:rsidRPr="00FC12C4">
        <w:t xml:space="preserve">ees </w:t>
      </w:r>
      <w:r w:rsidR="00570BD5">
        <w:t xml:space="preserve">set in </w:t>
      </w:r>
      <w:r w:rsidR="00570BD5" w:rsidRPr="00FC12C4">
        <w:t>regulations</w:t>
      </w:r>
      <w:r w:rsidR="008F17D2">
        <w:t>,</w:t>
      </w:r>
      <w:r w:rsidR="00570BD5" w:rsidRPr="00FC12C4">
        <w:t xml:space="preserve"> and </w:t>
      </w:r>
    </w:p>
    <w:p w:rsidR="000B573E" w:rsidRDefault="00451CD9">
      <w:pPr>
        <w:pStyle w:val="ListBullet"/>
      </w:pPr>
      <w:r>
        <w:t>F</w:t>
      </w:r>
      <w:r w:rsidR="00570BD5" w:rsidRPr="00FC12C4">
        <w:t xml:space="preserve">ees </w:t>
      </w:r>
      <w:r w:rsidR="00570BD5">
        <w:t xml:space="preserve">determined </w:t>
      </w:r>
      <w:r w:rsidR="00570BD5" w:rsidRPr="00FC12C4">
        <w:t>on a case by case basis</w:t>
      </w:r>
      <w:r w:rsidR="00570BD5">
        <w:t>, such as for strategic assessments</w:t>
      </w:r>
      <w:r w:rsidR="00570BD5" w:rsidRPr="00FC12C4">
        <w:t xml:space="preserve">. </w:t>
      </w:r>
    </w:p>
    <w:p w:rsidR="00EB64D4" w:rsidRDefault="00EB64D4" w:rsidP="00EB64D4">
      <w:pPr>
        <w:pStyle w:val="ListBullet"/>
        <w:numPr>
          <w:ilvl w:val="0"/>
          <w:numId w:val="0"/>
        </w:numPr>
        <w:ind w:left="369"/>
      </w:pPr>
    </w:p>
    <w:p w:rsidR="00570BD5" w:rsidRDefault="00D30427" w:rsidP="00285B2B">
      <w:r>
        <w:fldChar w:fldCharType="begin"/>
      </w:r>
      <w:r w:rsidR="004D02C2">
        <w:instrText xml:space="preserve"> REF _Ref387066584 \h </w:instrText>
      </w:r>
      <w:r>
        <w:fldChar w:fldCharType="separate"/>
      </w:r>
      <w:r w:rsidR="001D521C">
        <w:t xml:space="preserve">Figure </w:t>
      </w:r>
      <w:r w:rsidR="001D521C">
        <w:rPr>
          <w:noProof/>
        </w:rPr>
        <w:t>1</w:t>
      </w:r>
      <w:r>
        <w:fldChar w:fldCharType="end"/>
      </w:r>
      <w:r w:rsidR="004D02C2">
        <w:t xml:space="preserve"> </w:t>
      </w:r>
      <w:r w:rsidR="00570BD5" w:rsidRPr="00FC12C4">
        <w:t>below show</w:t>
      </w:r>
      <w:r w:rsidR="00570BD5">
        <w:t>s</w:t>
      </w:r>
      <w:r w:rsidR="00570BD5" w:rsidRPr="00FC12C4">
        <w:t xml:space="preserve"> where set fees</w:t>
      </w:r>
      <w:r w:rsidR="00285B2B">
        <w:t xml:space="preserve"> will apply,</w:t>
      </w:r>
      <w:r w:rsidR="00570BD5" w:rsidRPr="00FC12C4">
        <w:t xml:space="preserve"> </w:t>
      </w:r>
      <w:r w:rsidR="00285B2B">
        <w:t xml:space="preserve">and where the Minister will determine fees on a </w:t>
      </w:r>
      <w:r w:rsidR="00570BD5">
        <w:t>case-by-case</w:t>
      </w:r>
      <w:r w:rsidR="00285B2B">
        <w:t xml:space="preserve"> basis</w:t>
      </w:r>
      <w:r w:rsidR="00570BD5">
        <w:t>.</w:t>
      </w:r>
      <w:r w:rsidR="00570BD5" w:rsidRPr="00834EDE">
        <w:t xml:space="preserve"> </w:t>
      </w:r>
      <w:r w:rsidR="00570BD5">
        <w:t xml:space="preserve">Further information </w:t>
      </w:r>
      <w:r w:rsidR="00570BD5" w:rsidRPr="00FC12C4">
        <w:t>on the fee levels</w:t>
      </w:r>
      <w:r w:rsidR="00285B2B">
        <w:t xml:space="preserve">, </w:t>
      </w:r>
      <w:r w:rsidR="00570BD5" w:rsidRPr="00FC12C4">
        <w:t>process</w:t>
      </w:r>
      <w:r w:rsidR="00285B2B">
        <w:t>es</w:t>
      </w:r>
      <w:r w:rsidR="00570BD5" w:rsidRPr="00FC12C4">
        <w:t xml:space="preserve"> for setting fees</w:t>
      </w:r>
      <w:r w:rsidR="00285B2B">
        <w:t>, and methods for determining fees on a case-by-case basis</w:t>
      </w:r>
      <w:r w:rsidR="00570BD5" w:rsidRPr="00FC12C4">
        <w:t xml:space="preserve"> </w:t>
      </w:r>
      <w:r w:rsidR="001D5727" w:rsidRPr="00FC12C4">
        <w:t xml:space="preserve">is </w:t>
      </w:r>
      <w:r w:rsidR="001D5727">
        <w:t>provided</w:t>
      </w:r>
      <w:r w:rsidR="00285B2B">
        <w:t xml:space="preserve"> in the</w:t>
      </w:r>
      <w:r w:rsidR="00570BD5" w:rsidRPr="00FC12C4">
        <w:t xml:space="preserve"> chapter</w:t>
      </w:r>
      <w:r w:rsidR="00570BD5">
        <w:t>s describing cost recovery activities</w:t>
      </w:r>
      <w:r w:rsidR="00570BD5" w:rsidRPr="00FC12C4">
        <w:t>.</w:t>
      </w:r>
    </w:p>
    <w:p w:rsidR="004A5958" w:rsidRDefault="004A5958">
      <w:bookmarkStart w:id="112" w:name="_Toc343850251"/>
      <w:bookmarkStart w:id="113" w:name="_Toc344895143"/>
      <w:bookmarkStart w:id="114" w:name="_Toc346285318"/>
      <w:r>
        <w:rPr>
          <w:noProof/>
          <w:lang w:eastAsia="en-AU"/>
        </w:rPr>
        <w:drawing>
          <wp:inline distT="0" distB="0" distL="0" distR="0">
            <wp:extent cx="5849620" cy="175261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849620" cy="1752610"/>
                    </a:xfrm>
                    <a:prstGeom prst="rect">
                      <a:avLst/>
                    </a:prstGeom>
                    <a:noFill/>
                    <a:ln w="9525">
                      <a:noFill/>
                      <a:miter lim="800000"/>
                      <a:headEnd/>
                      <a:tailEnd/>
                    </a:ln>
                  </pic:spPr>
                </pic:pic>
              </a:graphicData>
            </a:graphic>
          </wp:inline>
        </w:drawing>
      </w:r>
    </w:p>
    <w:p w:rsidR="000B573E" w:rsidRDefault="004D02C2">
      <w:pPr>
        <w:pStyle w:val="Caption"/>
      </w:pPr>
      <w:bookmarkStart w:id="115" w:name="_Ref387066584"/>
      <w:bookmarkStart w:id="116" w:name="_Toc387072706"/>
      <w:bookmarkStart w:id="117" w:name="_Toc391541630"/>
      <w:proofErr w:type="gramStart"/>
      <w:r>
        <w:t xml:space="preserve">Figure </w:t>
      </w:r>
      <w:r w:rsidR="00D30427">
        <w:fldChar w:fldCharType="begin"/>
      </w:r>
      <w:r>
        <w:instrText xml:space="preserve"> SEQ Figure \* ARABIC </w:instrText>
      </w:r>
      <w:r w:rsidR="00D30427">
        <w:fldChar w:fldCharType="separate"/>
      </w:r>
      <w:r w:rsidR="001D521C">
        <w:rPr>
          <w:noProof/>
        </w:rPr>
        <w:t>1</w:t>
      </w:r>
      <w:r w:rsidR="00D30427">
        <w:fldChar w:fldCharType="end"/>
      </w:r>
      <w:bookmarkEnd w:id="115"/>
      <w:r>
        <w:t>.</w:t>
      </w:r>
      <w:proofErr w:type="gramEnd"/>
      <w:r w:rsidRPr="00FB47D3">
        <w:t xml:space="preserve"> The EPBC Act cost recovery charging model</w:t>
      </w:r>
      <w:bookmarkEnd w:id="116"/>
      <w:bookmarkEnd w:id="117"/>
    </w:p>
    <w:p w:rsidR="0039695A" w:rsidRPr="0039695A" w:rsidRDefault="0039695A" w:rsidP="0039695A"/>
    <w:p w:rsidR="00741BAF" w:rsidRDefault="00741BAF" w:rsidP="006877B5">
      <w:pPr>
        <w:pStyle w:val="Heading3"/>
      </w:pPr>
      <w:bookmarkStart w:id="118" w:name="_Toc391541566"/>
      <w:r>
        <w:t xml:space="preserve">Commencement </w:t>
      </w:r>
      <w:r w:rsidRPr="00FC12C4">
        <w:t xml:space="preserve">of </w:t>
      </w:r>
      <w:r>
        <w:t>charging for environmental impact assessments</w:t>
      </w:r>
      <w:bookmarkEnd w:id="112"/>
      <w:bookmarkEnd w:id="113"/>
      <w:bookmarkEnd w:id="114"/>
      <w:bookmarkEnd w:id="118"/>
    </w:p>
    <w:p w:rsidR="001D2957" w:rsidRDefault="00741BAF" w:rsidP="00741BAF">
      <w:r w:rsidRPr="00FC12C4">
        <w:t xml:space="preserve">Any </w:t>
      </w:r>
      <w:r w:rsidR="001D2957">
        <w:t xml:space="preserve">person who refers a </w:t>
      </w:r>
      <w:r w:rsidRPr="00FC12C4">
        <w:t xml:space="preserve">proposed action referred to the </w:t>
      </w:r>
      <w:r w:rsidR="00C16300">
        <w:t>Department</w:t>
      </w:r>
      <w:r w:rsidR="00145AB4">
        <w:t xml:space="preserve"> on </w:t>
      </w:r>
      <w:r w:rsidR="00145AB4" w:rsidRPr="00DB38CC">
        <w:t>or</w:t>
      </w:r>
      <w:r w:rsidRPr="00DB38CC">
        <w:t xml:space="preserve"> after </w:t>
      </w:r>
      <w:r w:rsidR="008226F4" w:rsidRPr="00D61B8B">
        <w:rPr>
          <w:iCs/>
        </w:rPr>
        <w:t>1</w:t>
      </w:r>
      <w:r w:rsidR="001D2957" w:rsidRPr="00D61B8B">
        <w:rPr>
          <w:iCs/>
        </w:rPr>
        <w:t>4</w:t>
      </w:r>
      <w:r w:rsidR="00D2172B" w:rsidRPr="00D61B8B">
        <w:rPr>
          <w:iCs/>
        </w:rPr>
        <w:t xml:space="preserve"> May 2014</w:t>
      </w:r>
      <w:r w:rsidRPr="00DB38CC">
        <w:t xml:space="preserve"> </w:t>
      </w:r>
      <w:r w:rsidR="00EB64D4">
        <w:t>is</w:t>
      </w:r>
      <w:r w:rsidRPr="00FC12C4">
        <w:t xml:space="preserve"> liable for </w:t>
      </w:r>
      <w:r>
        <w:t xml:space="preserve">payment of </w:t>
      </w:r>
      <w:r w:rsidRPr="00FC12C4">
        <w:t xml:space="preserve">relevant fees </w:t>
      </w:r>
      <w:r>
        <w:t xml:space="preserve">for any </w:t>
      </w:r>
      <w:r w:rsidR="001D2957">
        <w:t xml:space="preserve">assessment activities conducted by the Department </w:t>
      </w:r>
      <w:r w:rsidRPr="00FC12C4">
        <w:t xml:space="preserve">on or after </w:t>
      </w:r>
      <w:r>
        <w:t>the commencement date for cost recovery</w:t>
      </w:r>
      <w:r w:rsidRPr="00FC12C4">
        <w:t xml:space="preserve">. </w:t>
      </w:r>
      <w:r w:rsidR="002E357E">
        <w:t xml:space="preserve">No fees </w:t>
      </w:r>
      <w:r w:rsidR="00EB64D4">
        <w:t>are</w:t>
      </w:r>
      <w:r w:rsidR="002E357E">
        <w:t xml:space="preserve"> payable prior to the commencement of cost recovery, or for any activities which occur prior to the commencement of cost recovery. </w:t>
      </w:r>
      <w:r w:rsidR="001D2957">
        <w:t>For example, if a person refers a proposal on 1</w:t>
      </w:r>
      <w:r w:rsidR="00D61B8B">
        <w:t>7</w:t>
      </w:r>
      <w:r w:rsidR="001D2957">
        <w:t xml:space="preserve"> May 2014, the person will not need to pay a referral fee. However, the person would need to pay fees for any assessment stage which began on or after </w:t>
      </w:r>
      <w:r w:rsidR="00EB64D4">
        <w:t>the commencement of cost recovery</w:t>
      </w:r>
      <w:r w:rsidR="001D2957">
        <w:t>.</w:t>
      </w:r>
      <w:r w:rsidR="00D61B8B">
        <w:t xml:space="preserve"> If a person refers an action </w:t>
      </w:r>
      <w:r w:rsidR="00387E7F">
        <w:t>aft</w:t>
      </w:r>
      <w:r w:rsidR="00730E67">
        <w:t>er the commencement of cost rec</w:t>
      </w:r>
      <w:r w:rsidR="00387E7F">
        <w:t>o</w:t>
      </w:r>
      <w:r w:rsidR="00730E67">
        <w:t>v</w:t>
      </w:r>
      <w:r w:rsidR="00387E7F">
        <w:t>ery</w:t>
      </w:r>
      <w:r w:rsidR="00D61B8B">
        <w:t xml:space="preserve"> they will need to pay the referral fee and any fees for assessment activities under the EPBC Act.</w:t>
      </w:r>
    </w:p>
    <w:p w:rsidR="00741BAF" w:rsidRPr="001D2957" w:rsidRDefault="00741BAF" w:rsidP="00741BAF">
      <w:pPr>
        <w:rPr>
          <w:iCs/>
          <w:highlight w:val="yellow"/>
        </w:rPr>
      </w:pPr>
      <w:r>
        <w:t>T</w:t>
      </w:r>
      <w:r w:rsidRPr="00FC12C4">
        <w:t xml:space="preserve">he </w:t>
      </w:r>
      <w:r w:rsidR="00C16300">
        <w:t>Department</w:t>
      </w:r>
      <w:r w:rsidRPr="00FC12C4">
        <w:t xml:space="preserve"> will provide </w:t>
      </w:r>
      <w:r w:rsidRPr="008E7A0C">
        <w:t xml:space="preserve">advice to </w:t>
      </w:r>
      <w:r w:rsidR="002C13FF">
        <w:t>applicant</w:t>
      </w:r>
      <w:r w:rsidRPr="008E7A0C">
        <w:t xml:space="preserve">s </w:t>
      </w:r>
      <w:r w:rsidR="001D2957">
        <w:t xml:space="preserve">about the commencement of cost recovery and </w:t>
      </w:r>
      <w:r w:rsidRPr="00206F14">
        <w:t xml:space="preserve">any future charges that may apply. Any </w:t>
      </w:r>
      <w:r w:rsidR="006B4857">
        <w:t>proposed action</w:t>
      </w:r>
      <w:r w:rsidR="006B4857" w:rsidRPr="00206F14">
        <w:t xml:space="preserve"> </w:t>
      </w:r>
      <w:r w:rsidRPr="00206F14">
        <w:t xml:space="preserve">referred prior to </w:t>
      </w:r>
      <w:r w:rsidR="008226F4" w:rsidRPr="00D61B8B">
        <w:rPr>
          <w:iCs/>
        </w:rPr>
        <w:t>1</w:t>
      </w:r>
      <w:r w:rsidR="001D2957" w:rsidRPr="00D61B8B">
        <w:rPr>
          <w:iCs/>
        </w:rPr>
        <w:t>4</w:t>
      </w:r>
      <w:r w:rsidR="00D2172B" w:rsidRPr="00D61B8B">
        <w:rPr>
          <w:iCs/>
        </w:rPr>
        <w:t xml:space="preserve"> May 2014</w:t>
      </w:r>
      <w:r w:rsidR="00D61B8B">
        <w:rPr>
          <w:iCs/>
        </w:rPr>
        <w:t xml:space="preserve"> </w:t>
      </w:r>
      <w:r w:rsidR="00387E7F">
        <w:t xml:space="preserve">is </w:t>
      </w:r>
      <w:r w:rsidRPr="00206F14">
        <w:t xml:space="preserve">not </w:t>
      </w:r>
      <w:r w:rsidRPr="00FC12C4">
        <w:t xml:space="preserve">subject to </w:t>
      </w:r>
      <w:r>
        <w:t>fees</w:t>
      </w:r>
      <w:r w:rsidR="001D2957">
        <w:t xml:space="preserve"> at any stage in the assessment of the action</w:t>
      </w:r>
      <w:r w:rsidRPr="00FC12C4">
        <w:t>.</w:t>
      </w:r>
    </w:p>
    <w:p w:rsidR="00741BAF" w:rsidRDefault="00741BAF" w:rsidP="00741BAF">
      <w:r w:rsidRPr="00FC12C4">
        <w:t xml:space="preserve">Any proposed action referred to the </w:t>
      </w:r>
      <w:r w:rsidR="00C16300">
        <w:t>Department</w:t>
      </w:r>
      <w:r w:rsidRPr="00FC12C4">
        <w:t xml:space="preserve"> </w:t>
      </w:r>
      <w:r>
        <w:t>after the commencement of cost recovery</w:t>
      </w:r>
      <w:r w:rsidDel="001849C8">
        <w:t xml:space="preserve"> </w:t>
      </w:r>
      <w:r w:rsidR="00387E7F">
        <w:t xml:space="preserve">is </w:t>
      </w:r>
      <w:r w:rsidRPr="00FC12C4">
        <w:t xml:space="preserve">subject </w:t>
      </w:r>
      <w:r>
        <w:t xml:space="preserve">to payment of fees </w:t>
      </w:r>
      <w:r w:rsidRPr="00FC12C4">
        <w:t xml:space="preserve">for all </w:t>
      </w:r>
      <w:r>
        <w:t>relevant</w:t>
      </w:r>
      <w:r w:rsidRPr="00FC12C4">
        <w:t xml:space="preserve"> </w:t>
      </w:r>
      <w:r>
        <w:t>environmental impact assessment</w:t>
      </w:r>
      <w:r w:rsidRPr="00FC12C4">
        <w:t xml:space="preserve"> functions detailed in </w:t>
      </w:r>
      <w:r w:rsidR="00D61B8B">
        <w:t>C</w:t>
      </w:r>
      <w:r w:rsidRPr="00FC12C4">
        <w:t>hapter</w:t>
      </w:r>
      <w:r w:rsidR="00D61B8B">
        <w:t xml:space="preserve"> 3</w:t>
      </w:r>
      <w:r w:rsidRPr="00FC12C4">
        <w:t xml:space="preserve">. </w:t>
      </w:r>
    </w:p>
    <w:p w:rsidR="00741BAF" w:rsidRDefault="00741BAF" w:rsidP="00D624A5">
      <w:pPr>
        <w:pStyle w:val="Heading3"/>
      </w:pPr>
      <w:bookmarkStart w:id="119" w:name="_Toc344895144"/>
      <w:bookmarkStart w:id="120" w:name="_Toc346285319"/>
      <w:bookmarkStart w:id="121" w:name="_Toc391541567"/>
      <w:r w:rsidRPr="00FC12C4">
        <w:t xml:space="preserve">Users and </w:t>
      </w:r>
      <w:r>
        <w:t>s</w:t>
      </w:r>
      <w:r w:rsidRPr="00FC12C4">
        <w:t>takeholders</w:t>
      </w:r>
      <w:bookmarkEnd w:id="119"/>
      <w:bookmarkEnd w:id="120"/>
      <w:r w:rsidR="004677D2">
        <w:t xml:space="preserve"> (environmental impact </w:t>
      </w:r>
      <w:r w:rsidR="003D67CE">
        <w:t>assessments)</w:t>
      </w:r>
      <w:bookmarkEnd w:id="121"/>
    </w:p>
    <w:p w:rsidR="004B025D" w:rsidRDefault="00741BAF" w:rsidP="004B025D">
      <w:pPr>
        <w:tabs>
          <w:tab w:val="left" w:pos="7655"/>
        </w:tabs>
      </w:pPr>
      <w:r w:rsidRPr="00FC12C4">
        <w:t xml:space="preserve">A broad variety of </w:t>
      </w:r>
      <w:r w:rsidR="002E357E">
        <w:t>individuals, businesses and other organisations</w:t>
      </w:r>
      <w:r w:rsidRPr="00FC12C4">
        <w:t xml:space="preserve"> </w:t>
      </w:r>
      <w:r>
        <w:t xml:space="preserve">may be </w:t>
      </w:r>
      <w:r w:rsidRPr="00FC12C4">
        <w:t xml:space="preserve">subject to the </w:t>
      </w:r>
      <w:r>
        <w:t>environmental impact assessment</w:t>
      </w:r>
      <w:r w:rsidRPr="00FC12C4">
        <w:t xml:space="preserve"> provisions of the EPBC Act. </w:t>
      </w:r>
      <w:r w:rsidR="002E357E">
        <w:t xml:space="preserve">Any person proposing to take an action which will or is likely to have a significant impact on a matter of national environmental significance must refer that action </w:t>
      </w:r>
      <w:r w:rsidR="00CF39EC">
        <w:t>under the EPBC Act. A</w:t>
      </w:r>
      <w:r w:rsidR="002C13FF">
        <w:t>pplicant</w:t>
      </w:r>
      <w:r w:rsidRPr="00FC12C4">
        <w:t xml:space="preserve">s </w:t>
      </w:r>
      <w:r w:rsidR="00CF39EC">
        <w:t xml:space="preserve">can </w:t>
      </w:r>
      <w:r w:rsidR="00CF39EC">
        <w:lastRenderedPageBreak/>
        <w:t xml:space="preserve">therefore </w:t>
      </w:r>
      <w:r>
        <w:t>include</w:t>
      </w:r>
      <w:r w:rsidRPr="00FC12C4">
        <w:t xml:space="preserve"> local, </w:t>
      </w:r>
      <w:r>
        <w:t>s</w:t>
      </w:r>
      <w:r w:rsidRPr="00FC12C4">
        <w:t>tate</w:t>
      </w:r>
      <w:r>
        <w:t xml:space="preserve"> and territory,</w:t>
      </w:r>
      <w:r w:rsidRPr="00FC12C4">
        <w:t xml:space="preserve"> and Australian Government agencies, private individuals</w:t>
      </w:r>
      <w:r>
        <w:t xml:space="preserve">, and </w:t>
      </w:r>
      <w:r w:rsidRPr="00FC12C4">
        <w:t>small businesses</w:t>
      </w:r>
      <w:r>
        <w:t xml:space="preserve"> through</w:t>
      </w:r>
      <w:r w:rsidRPr="00FC12C4">
        <w:t xml:space="preserve"> to large companies. </w:t>
      </w:r>
      <w:r w:rsidR="004B025D">
        <w:t xml:space="preserve"> </w:t>
      </w:r>
      <w:r w:rsidR="00CF39EC">
        <w:t>A number of different</w:t>
      </w:r>
      <w:r w:rsidR="004B025D" w:rsidRPr="00FC12C4">
        <w:t xml:space="preserve"> industries</w:t>
      </w:r>
      <w:r w:rsidR="004B025D">
        <w:t xml:space="preserve"> </w:t>
      </w:r>
      <w:r w:rsidR="00CF39EC">
        <w:t xml:space="preserve">undertake activities requiring referral under the EPBC Act (see </w:t>
      </w:r>
      <w:r w:rsidR="00D30427">
        <w:fldChar w:fldCharType="begin"/>
      </w:r>
      <w:r w:rsidR="008518AF">
        <w:instrText xml:space="preserve"> REF _Ref387066619 \h </w:instrText>
      </w:r>
      <w:r w:rsidR="00D30427">
        <w:fldChar w:fldCharType="separate"/>
      </w:r>
      <w:r w:rsidR="001D521C">
        <w:t xml:space="preserve">Figure </w:t>
      </w:r>
      <w:r w:rsidR="001D521C">
        <w:rPr>
          <w:noProof/>
        </w:rPr>
        <w:t>2</w:t>
      </w:r>
      <w:r w:rsidR="00D30427">
        <w:fldChar w:fldCharType="end"/>
      </w:r>
      <w:r w:rsidR="00146C78">
        <w:t xml:space="preserve"> </w:t>
      </w:r>
      <w:r w:rsidR="004B025D" w:rsidRPr="00FC12C4">
        <w:t>below</w:t>
      </w:r>
      <w:r w:rsidR="00CF39EC">
        <w:t>)</w:t>
      </w:r>
      <w:r w:rsidR="004B025D">
        <w:t>.</w:t>
      </w:r>
    </w:p>
    <w:p w:rsidR="00333E65" w:rsidRDefault="00333E65" w:rsidP="004B025D">
      <w:pPr>
        <w:tabs>
          <w:tab w:val="left" w:pos="7655"/>
        </w:tabs>
      </w:pPr>
    </w:p>
    <w:p w:rsidR="00333E65" w:rsidRDefault="000B573E" w:rsidP="00333E65">
      <w:r>
        <w:rPr>
          <w:noProof/>
          <w:lang w:eastAsia="en-AU"/>
        </w:rPr>
        <w:drawing>
          <wp:inline distT="0" distB="0" distL="0" distR="0">
            <wp:extent cx="5849620" cy="546652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33E65" w:rsidRPr="008B13AC" w:rsidRDefault="00333E65" w:rsidP="00333E65">
      <w:pPr>
        <w:pStyle w:val="Caption"/>
        <w:rPr>
          <w:color w:val="595959" w:themeColor="text1" w:themeTint="A6"/>
        </w:rPr>
      </w:pPr>
      <w:bookmarkStart w:id="122" w:name="_Ref387066619"/>
      <w:bookmarkStart w:id="123" w:name="_Toc387072707"/>
      <w:bookmarkStart w:id="124" w:name="_Toc391541631"/>
      <w:proofErr w:type="gramStart"/>
      <w:r>
        <w:t xml:space="preserve">Figure </w:t>
      </w:r>
      <w:r w:rsidR="00D30427">
        <w:fldChar w:fldCharType="begin"/>
      </w:r>
      <w:r w:rsidR="004D02C2">
        <w:instrText xml:space="preserve"> SEQ Figure \* ARABIC </w:instrText>
      </w:r>
      <w:r w:rsidR="00D30427">
        <w:fldChar w:fldCharType="separate"/>
      </w:r>
      <w:r w:rsidR="001D521C">
        <w:rPr>
          <w:noProof/>
        </w:rPr>
        <w:t>2</w:t>
      </w:r>
      <w:r w:rsidR="00D30427">
        <w:fldChar w:fldCharType="end"/>
      </w:r>
      <w:bookmarkEnd w:id="122"/>
      <w:r>
        <w:t>.</w:t>
      </w:r>
      <w:proofErr w:type="gramEnd"/>
      <w:r>
        <w:t xml:space="preserve"> </w:t>
      </w:r>
      <w:r w:rsidR="00CF39EC">
        <w:t>Referrals under the EPBC Act categorised by industry from</w:t>
      </w:r>
      <w:r w:rsidRPr="00E56D23">
        <w:t xml:space="preserve"> 1 July 2007 and 30 June 2012. A total of 2119 referrals were received during this period.</w:t>
      </w:r>
      <w:bookmarkEnd w:id="123"/>
      <w:bookmarkEnd w:id="124"/>
    </w:p>
    <w:p w:rsidR="00333E65" w:rsidRDefault="00333E65" w:rsidP="004B025D">
      <w:pPr>
        <w:tabs>
          <w:tab w:val="left" w:pos="7655"/>
        </w:tabs>
      </w:pPr>
    </w:p>
    <w:p w:rsidR="00527386" w:rsidRPr="00F854A1" w:rsidRDefault="00527386" w:rsidP="00527386">
      <w:pPr>
        <w:pStyle w:val="Heading2"/>
        <w:ind w:left="720" w:hanging="720"/>
      </w:pPr>
      <w:bookmarkStart w:id="125" w:name="_Toc391541568"/>
      <w:r>
        <w:t>Government Policy and Statutory Authority to cost recover Strategic Assessments</w:t>
      </w:r>
      <w:bookmarkEnd w:id="125"/>
    </w:p>
    <w:p w:rsidR="007D0F8E" w:rsidRDefault="00CF39EC" w:rsidP="007D0F8E">
      <w:bookmarkStart w:id="126" w:name="_Toc343850790"/>
      <w:bookmarkStart w:id="127" w:name="_Toc344895168"/>
      <w:bookmarkStart w:id="128" w:name="_Toc346285344"/>
      <w:r>
        <w:t xml:space="preserve">Part 10 of the EPBC Act allows the Minister to conduct strategic assessments of activities proposed to be carried out under a policy, plan or program. </w:t>
      </w:r>
    </w:p>
    <w:p w:rsidR="008379A7" w:rsidRPr="00E2496C" w:rsidRDefault="008379A7" w:rsidP="008379A7">
      <w:pPr>
        <w:pStyle w:val="Heading3"/>
        <w:rPr>
          <w:lang w:val="en-US"/>
        </w:rPr>
      </w:pPr>
      <w:bookmarkStart w:id="129" w:name="_Toc391541569"/>
      <w:r>
        <w:t>Policy rationale for strategic assessments</w:t>
      </w:r>
      <w:bookmarkEnd w:id="129"/>
    </w:p>
    <w:p w:rsidR="008379A7" w:rsidRDefault="008379A7" w:rsidP="008379A7">
      <w:r w:rsidRPr="00FC12C4">
        <w:t xml:space="preserve">The Australian Government </w:t>
      </w:r>
      <w:r>
        <w:t>is committed to</w:t>
      </w:r>
      <w:r w:rsidRPr="00FC12C4">
        <w:t xml:space="preserve"> promot</w:t>
      </w:r>
      <w:r>
        <w:t>ing</w:t>
      </w:r>
      <w:r w:rsidRPr="00FC12C4">
        <w:t xml:space="preserve"> the use of strategic assessments </w:t>
      </w:r>
      <w:r>
        <w:t xml:space="preserve">in partnership </w:t>
      </w:r>
      <w:r w:rsidRPr="00FC12C4">
        <w:t>with state, territory, and local government</w:t>
      </w:r>
      <w:r>
        <w:t>s.</w:t>
      </w:r>
      <w:r w:rsidRPr="00FC12C4">
        <w:t xml:space="preserve"> </w:t>
      </w:r>
      <w:r>
        <w:t>Strategic assessments provide</w:t>
      </w:r>
      <w:r w:rsidRPr="00FC12C4">
        <w:t xml:space="preserve"> opportunities to facilitate </w:t>
      </w:r>
      <w:proofErr w:type="gramStart"/>
      <w:r w:rsidRPr="00FC12C4">
        <w:t>development,</w:t>
      </w:r>
      <w:proofErr w:type="gramEnd"/>
      <w:r w:rsidRPr="00FC12C4">
        <w:t xml:space="preserve"> reduce administrative burden and deliver improved </w:t>
      </w:r>
      <w:r w:rsidRPr="00FC12C4">
        <w:lastRenderedPageBreak/>
        <w:t xml:space="preserve">environmental benefits to the community above those that would arise from individual project approvals. </w:t>
      </w:r>
      <w:r>
        <w:t xml:space="preserve"> S</w:t>
      </w:r>
      <w:r w:rsidRPr="00FC12C4">
        <w:t>trategic assessments</w:t>
      </w:r>
      <w:r>
        <w:t xml:space="preserve"> can be funded through budget appropriation or, where considered appropriate, through cost recovery.</w:t>
      </w:r>
    </w:p>
    <w:p w:rsidR="0027288A" w:rsidRDefault="00580385" w:rsidP="00813F19">
      <w:pPr>
        <w:pStyle w:val="Heading3"/>
      </w:pPr>
      <w:bookmarkStart w:id="130" w:name="_Toc387064769"/>
      <w:bookmarkStart w:id="131" w:name="_Toc387064981"/>
      <w:bookmarkStart w:id="132" w:name="_Toc387065187"/>
      <w:bookmarkStart w:id="133" w:name="_Toc387065398"/>
      <w:bookmarkStart w:id="134" w:name="_Toc387065604"/>
      <w:bookmarkStart w:id="135" w:name="_Toc387065809"/>
      <w:bookmarkStart w:id="136" w:name="_Toc387066015"/>
      <w:bookmarkStart w:id="137" w:name="_Toc387066218"/>
      <w:bookmarkStart w:id="138" w:name="_Toc387069454"/>
      <w:bookmarkStart w:id="139" w:name="_Toc387069641"/>
      <w:bookmarkStart w:id="140" w:name="_Toc387069850"/>
      <w:bookmarkStart w:id="141" w:name="_Toc387070049"/>
      <w:bookmarkStart w:id="142" w:name="_Toc387072314"/>
      <w:bookmarkStart w:id="143" w:name="_Toc387072525"/>
      <w:bookmarkStart w:id="144" w:name="_Toc387392553"/>
      <w:bookmarkStart w:id="145" w:name="_Toc39154157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t>Statutory authority to impose cost recovery charges</w:t>
      </w:r>
      <w:bookmarkEnd w:id="126"/>
      <w:bookmarkEnd w:id="127"/>
      <w:bookmarkEnd w:id="128"/>
      <w:bookmarkEnd w:id="145"/>
    </w:p>
    <w:p w:rsidR="0049169B" w:rsidRDefault="0049169B" w:rsidP="0049169B">
      <w:pPr>
        <w:rPr>
          <w:highlight w:val="yellow"/>
        </w:rPr>
      </w:pPr>
      <w:r w:rsidRPr="000B6B7E">
        <w:t xml:space="preserve">The Australian Government has </w:t>
      </w:r>
      <w:r w:rsidR="00387E7F">
        <w:t>decided</w:t>
      </w:r>
      <w:r w:rsidRPr="000B6B7E">
        <w:t xml:space="preserve"> to cost recover </w:t>
      </w:r>
      <w:r>
        <w:t>strategic assessments</w:t>
      </w:r>
      <w:r w:rsidRPr="000B6B7E">
        <w:t xml:space="preserve"> under the EPBC Act</w:t>
      </w:r>
      <w:r>
        <w:t>.</w:t>
      </w:r>
      <w:r w:rsidRPr="0049169B">
        <w:t xml:space="preserve"> </w:t>
      </w:r>
      <w:r w:rsidR="008379A7">
        <w:t>Cost recovery will apply to strategic assessments conducted under Part 10 of the EPBC Act. However, the Australian Government has determined that s</w:t>
      </w:r>
      <w:r w:rsidRPr="00F6716B">
        <w:t>trategic assessment provisions rela</w:t>
      </w:r>
      <w:r w:rsidR="008379A7">
        <w:t>ting</w:t>
      </w:r>
      <w:r w:rsidRPr="00F6716B">
        <w:t xml:space="preserve"> to Commonwealth managed fisheries (s</w:t>
      </w:r>
      <w:r w:rsidR="00604F0F">
        <w:t xml:space="preserve">ection </w:t>
      </w:r>
      <w:r w:rsidRPr="00F6716B">
        <w:t>147 to s</w:t>
      </w:r>
      <w:r w:rsidR="00604F0F">
        <w:t xml:space="preserve">ection </w:t>
      </w:r>
      <w:r w:rsidRPr="00F6716B">
        <w:t>154</w:t>
      </w:r>
      <w:r w:rsidR="00604F0F">
        <w:t xml:space="preserve"> of the EPBC Act</w:t>
      </w:r>
      <w:r w:rsidRPr="00F6716B">
        <w:t>)</w:t>
      </w:r>
      <w:r>
        <w:t xml:space="preserve"> </w:t>
      </w:r>
      <w:r w:rsidR="008379A7">
        <w:t>are</w:t>
      </w:r>
      <w:r w:rsidRPr="00F6716B">
        <w:t xml:space="preserve"> not appropriate for cost recovery.</w:t>
      </w:r>
    </w:p>
    <w:p w:rsidR="0027288A" w:rsidRDefault="0027288A" w:rsidP="0027288A">
      <w:r>
        <w:t xml:space="preserve">The expenses and revenue presented in this </w:t>
      </w:r>
      <w:r w:rsidR="00CF20A5">
        <w:t>CRIS</w:t>
      </w:r>
      <w:r>
        <w:t xml:space="preserve"> do not include strategic assessments</w:t>
      </w:r>
      <w:r w:rsidR="008379A7">
        <w:t xml:space="preserve"> due to the variable nature of </w:t>
      </w:r>
      <w:r w:rsidR="00D7047D">
        <w:t>the resources required to conduct a strategic assessment</w:t>
      </w:r>
      <w:r>
        <w:t>.</w:t>
      </w:r>
      <w:r w:rsidR="00D7047D">
        <w:t xml:space="preserve"> The Minister will determine on a case-by-case basis whether full or partial cost recovery is appropriate for a particular strategic assessment.</w:t>
      </w:r>
      <w:r>
        <w:t xml:space="preserve"> </w:t>
      </w:r>
      <w:r w:rsidR="00D7047D">
        <w:t>Where</w:t>
      </w:r>
      <w:r>
        <w:t xml:space="preserve"> it would be appropriate to apply cost recovery, the </w:t>
      </w:r>
      <w:r w:rsidR="00D7047D">
        <w:t xml:space="preserve">Minister would determine the </w:t>
      </w:r>
      <w:r>
        <w:t xml:space="preserve">expenses in consultation with the </w:t>
      </w:r>
      <w:r w:rsidR="00B64DB5">
        <w:t>applicant</w:t>
      </w:r>
      <w:r>
        <w:t xml:space="preserve"> prior to the commencement of the </w:t>
      </w:r>
      <w:r w:rsidR="00D7047D">
        <w:t xml:space="preserve">particular </w:t>
      </w:r>
      <w:r>
        <w:t>strategic assessment.</w:t>
      </w:r>
    </w:p>
    <w:p w:rsidR="0027288A" w:rsidRDefault="0027288A" w:rsidP="00B83495">
      <w:pPr>
        <w:pStyle w:val="Heading3"/>
      </w:pPr>
      <w:bookmarkStart w:id="146" w:name="_Toc343850791"/>
      <w:bookmarkStart w:id="147" w:name="_Toc344895169"/>
      <w:bookmarkStart w:id="148" w:name="_Toc346285345"/>
      <w:bookmarkStart w:id="149" w:name="_Toc391541571"/>
      <w:r w:rsidRPr="00FC12C4">
        <w:t>Legal requirements for the imposition of charges</w:t>
      </w:r>
      <w:bookmarkEnd w:id="146"/>
      <w:bookmarkEnd w:id="147"/>
      <w:bookmarkEnd w:id="148"/>
      <w:r w:rsidR="00CB1C44">
        <w:t xml:space="preserve"> for strategic assessments</w:t>
      </w:r>
      <w:bookmarkEnd w:id="149"/>
    </w:p>
    <w:p w:rsidR="0027288A" w:rsidRDefault="00D7047D" w:rsidP="0027288A">
      <w:r>
        <w:t xml:space="preserve">The EPBC Act </w:t>
      </w:r>
      <w:r w:rsidR="0027288A" w:rsidRPr="00FC12C4">
        <w:t>provide</w:t>
      </w:r>
      <w:r w:rsidR="007A7166">
        <w:t>s</w:t>
      </w:r>
      <w:r w:rsidR="0027288A" w:rsidRPr="00FC12C4">
        <w:t xml:space="preserve"> legal authority </w:t>
      </w:r>
      <w:r w:rsidR="0027288A">
        <w:t>for</w:t>
      </w:r>
      <w:r w:rsidR="0027288A" w:rsidRPr="00FC12C4">
        <w:t xml:space="preserve"> cost recovery of strategic </w:t>
      </w:r>
      <w:r w:rsidR="0027288A" w:rsidRPr="00CB49BD">
        <w:t>assessments</w:t>
      </w:r>
      <w:r w:rsidR="0027288A">
        <w:t xml:space="preserve"> under the EPBC Act</w:t>
      </w:r>
      <w:r>
        <w:t>.</w:t>
      </w:r>
      <w:r w:rsidR="001278A5">
        <w:t xml:space="preserve"> </w:t>
      </w:r>
      <w:r w:rsidR="0027288A" w:rsidRPr="00CB49BD">
        <w:rPr>
          <w:color w:val="000000" w:themeColor="text1"/>
        </w:rPr>
        <w:t xml:space="preserve">The </w:t>
      </w:r>
      <w:r w:rsidR="0027288A">
        <w:rPr>
          <w:color w:val="000000" w:themeColor="text1"/>
        </w:rPr>
        <w:t xml:space="preserve">fees for strategic assessments </w:t>
      </w:r>
      <w:r w:rsidR="00387E7F">
        <w:rPr>
          <w:color w:val="000000" w:themeColor="text1"/>
        </w:rPr>
        <w:t>are not</w:t>
      </w:r>
      <w:r w:rsidR="0027288A">
        <w:rPr>
          <w:color w:val="000000" w:themeColor="text1"/>
        </w:rPr>
        <w:t xml:space="preserve"> specified in the regulations as these will be determined on a case-by-case basis.</w:t>
      </w:r>
    </w:p>
    <w:p w:rsidR="0027288A" w:rsidRDefault="0027288A" w:rsidP="00F823F2">
      <w:pPr>
        <w:pStyle w:val="Heading3"/>
      </w:pPr>
      <w:bookmarkStart w:id="150" w:name="_Toc343850792"/>
      <w:bookmarkStart w:id="151" w:name="_Toc344895170"/>
      <w:bookmarkStart w:id="152" w:name="_Toc346285346"/>
      <w:bookmarkStart w:id="153" w:name="_Toc391541572"/>
      <w:r>
        <w:t xml:space="preserve">Commencement of </w:t>
      </w:r>
      <w:bookmarkEnd w:id="150"/>
      <w:bookmarkEnd w:id="151"/>
      <w:bookmarkEnd w:id="152"/>
      <w:r w:rsidR="00CB1C44">
        <w:t>charging for strategic assessments</w:t>
      </w:r>
      <w:bookmarkEnd w:id="153"/>
    </w:p>
    <w:p w:rsidR="00E2496C" w:rsidRDefault="00D7047D" w:rsidP="00E2496C">
      <w:r>
        <w:t xml:space="preserve">The Australian Government </w:t>
      </w:r>
      <w:r w:rsidR="00387E7F">
        <w:t>has</w:t>
      </w:r>
      <w:r>
        <w:t xml:space="preserve"> the option of charging for strategic assessments </w:t>
      </w:r>
      <w:r w:rsidR="00387E7F">
        <w:t>under relevant amendments to the EPBC</w:t>
      </w:r>
      <w:r>
        <w:t>. However, the s</w:t>
      </w:r>
      <w:r w:rsidR="0027288A">
        <w:t>uitability of</w:t>
      </w:r>
      <w:r>
        <w:t xml:space="preserve"> particular</w:t>
      </w:r>
      <w:r w:rsidR="0027288A">
        <w:t xml:space="preserve"> strategic assessments for cost recovery, including determination of associated expenses and revenue, will be determined on a case-by-case basis. The </w:t>
      </w:r>
      <w:r w:rsidR="00C16300">
        <w:t>Department</w:t>
      </w:r>
      <w:r w:rsidR="0027288A">
        <w:t xml:space="preserve"> will provide advice to </w:t>
      </w:r>
      <w:r w:rsidR="007B6400">
        <w:t xml:space="preserve">relevant </w:t>
      </w:r>
      <w:r w:rsidR="00B64DB5">
        <w:t>applicant</w:t>
      </w:r>
      <w:r w:rsidR="0027288A">
        <w:t xml:space="preserve">s on charges that may apply following the commencement of cost recovery. </w:t>
      </w:r>
      <w:bookmarkStart w:id="154" w:name="_Toc343850793"/>
      <w:bookmarkStart w:id="155" w:name="_Toc344895171"/>
      <w:bookmarkStart w:id="156" w:name="_Toc346285347"/>
    </w:p>
    <w:p w:rsidR="0027288A" w:rsidRDefault="0027288A" w:rsidP="006551C9">
      <w:pPr>
        <w:pStyle w:val="Heading3"/>
      </w:pPr>
      <w:bookmarkStart w:id="157" w:name="_Toc391541573"/>
      <w:r w:rsidRPr="00FC12C4">
        <w:t>Users and stakeholders</w:t>
      </w:r>
      <w:bookmarkEnd w:id="154"/>
      <w:bookmarkEnd w:id="155"/>
      <w:bookmarkEnd w:id="156"/>
      <w:r w:rsidR="00592ABB">
        <w:t xml:space="preserve"> (strategic assessments)</w:t>
      </w:r>
      <w:bookmarkEnd w:id="157"/>
    </w:p>
    <w:p w:rsidR="008226F4" w:rsidRDefault="0027288A" w:rsidP="009D2549">
      <w:pPr>
        <w:rPr>
          <w:rFonts w:cs="Arial"/>
          <w:b/>
        </w:rPr>
      </w:pPr>
      <w:r w:rsidRPr="005840D3">
        <w:rPr>
          <w:lang w:val="en-US"/>
        </w:rPr>
        <w:t>To date, strategic assessments have mainly been undertaken in partnership with state and territory governments</w:t>
      </w:r>
      <w:r w:rsidR="007B6400">
        <w:rPr>
          <w:lang w:val="en-US"/>
        </w:rPr>
        <w:t>.</w:t>
      </w:r>
      <w:r w:rsidRPr="005840D3">
        <w:rPr>
          <w:lang w:val="en-US"/>
        </w:rPr>
        <w:t xml:space="preserve"> </w:t>
      </w:r>
      <w:r w:rsidR="007B6400">
        <w:rPr>
          <w:lang w:val="en-US"/>
        </w:rPr>
        <w:t>H</w:t>
      </w:r>
      <w:r w:rsidRPr="005840D3">
        <w:rPr>
          <w:lang w:val="en-US"/>
        </w:rPr>
        <w:t>owever, the</w:t>
      </w:r>
      <w:r w:rsidR="007B6400">
        <w:rPr>
          <w:lang w:val="en-US"/>
        </w:rPr>
        <w:t xml:space="preserve"> EPBC Act allows the Minister to undertake strategic assessments of any policy, plan or program, including those developed by private entities.  </w:t>
      </w:r>
      <w:r w:rsidR="00880557">
        <w:rPr>
          <w:lang w:val="en-US"/>
        </w:rPr>
        <w:t xml:space="preserve">Recent </w:t>
      </w:r>
      <w:r w:rsidR="007B6400">
        <w:rPr>
          <w:lang w:val="en-US"/>
        </w:rPr>
        <w:t>private applicant</w:t>
      </w:r>
      <w:r w:rsidR="007B6400" w:rsidRPr="005840D3">
        <w:rPr>
          <w:lang w:val="en-US"/>
        </w:rPr>
        <w:t xml:space="preserve">s </w:t>
      </w:r>
      <w:r w:rsidR="00880557">
        <w:rPr>
          <w:lang w:val="en-US"/>
        </w:rPr>
        <w:t xml:space="preserve">have </w:t>
      </w:r>
      <w:r w:rsidR="007B6400" w:rsidRPr="005840D3">
        <w:rPr>
          <w:lang w:val="en-US"/>
        </w:rPr>
        <w:t>include</w:t>
      </w:r>
      <w:r w:rsidR="00880557">
        <w:rPr>
          <w:lang w:val="en-US"/>
        </w:rPr>
        <w:t>d</w:t>
      </w:r>
      <w:r w:rsidR="007B6400" w:rsidRPr="005840D3">
        <w:rPr>
          <w:lang w:val="en-US"/>
        </w:rPr>
        <w:t xml:space="preserve"> mining and resource companies</w:t>
      </w:r>
      <w:r w:rsidR="007B6400">
        <w:rPr>
          <w:lang w:val="en-US"/>
        </w:rPr>
        <w:t>.</w:t>
      </w:r>
      <w:r w:rsidR="007B6400" w:rsidRPr="005840D3">
        <w:rPr>
          <w:lang w:val="en-US"/>
        </w:rPr>
        <w:t xml:space="preserve"> </w:t>
      </w:r>
      <w:r w:rsidRPr="005840D3">
        <w:rPr>
          <w:lang w:val="en-US"/>
        </w:rPr>
        <w:t xml:space="preserve">The </w:t>
      </w:r>
      <w:r w:rsidR="00880557">
        <w:rPr>
          <w:lang w:val="en-US"/>
        </w:rPr>
        <w:t xml:space="preserve">Minister </w:t>
      </w:r>
      <w:r w:rsidR="00387E7F">
        <w:rPr>
          <w:lang w:val="en-US"/>
        </w:rPr>
        <w:t>determines</w:t>
      </w:r>
      <w:r w:rsidR="00880557">
        <w:rPr>
          <w:lang w:val="en-US"/>
        </w:rPr>
        <w:t xml:space="preserve"> the </w:t>
      </w:r>
      <w:r w:rsidRPr="005840D3">
        <w:rPr>
          <w:lang w:val="en-US"/>
        </w:rPr>
        <w:t>appropriateness of proceeding with cost recovery</w:t>
      </w:r>
      <w:r w:rsidR="00880557">
        <w:rPr>
          <w:lang w:val="en-US"/>
        </w:rPr>
        <w:t xml:space="preserve"> for future strategic assessments</w:t>
      </w:r>
      <w:r w:rsidRPr="005840D3">
        <w:rPr>
          <w:lang w:val="en-US"/>
        </w:rPr>
        <w:t xml:space="preserve"> on a case-by-case basis.</w:t>
      </w:r>
      <w:r w:rsidR="008226F4">
        <w:br w:type="page"/>
      </w:r>
    </w:p>
    <w:p w:rsidR="004F7468" w:rsidRDefault="004F7468" w:rsidP="007C02B8">
      <w:pPr>
        <w:pStyle w:val="Heading1"/>
      </w:pPr>
      <w:bookmarkStart w:id="158" w:name="_Ref387066384"/>
      <w:bookmarkStart w:id="159" w:name="_Toc391541574"/>
      <w:r w:rsidRPr="007C02B8">
        <w:lastRenderedPageBreak/>
        <w:t>COST RECOVERY MODEL</w:t>
      </w:r>
      <w:bookmarkEnd w:id="158"/>
      <w:bookmarkEnd w:id="159"/>
    </w:p>
    <w:p w:rsidR="00603B5E" w:rsidRPr="00F73342" w:rsidRDefault="00603B5E" w:rsidP="00603B5E">
      <w:pPr>
        <w:autoSpaceDE w:val="0"/>
        <w:autoSpaceDN w:val="0"/>
        <w:adjustRightInd w:val="0"/>
        <w:rPr>
          <w:lang w:eastAsia="en-AU"/>
        </w:rPr>
      </w:pPr>
      <w:r w:rsidRPr="00F73342">
        <w:rPr>
          <w:lang w:eastAsia="en-AU"/>
        </w:rPr>
        <w:t xml:space="preserve">The cost recovery model for </w:t>
      </w:r>
      <w:r>
        <w:rPr>
          <w:lang w:eastAsia="en-AU"/>
        </w:rPr>
        <w:t>environmental impact assessments</w:t>
      </w:r>
      <w:r w:rsidRPr="00F73342">
        <w:rPr>
          <w:lang w:eastAsia="en-AU"/>
        </w:rPr>
        <w:t xml:space="preserve"> in this chapter relates to</w:t>
      </w:r>
      <w:r>
        <w:rPr>
          <w:lang w:eastAsia="en-AU"/>
        </w:rPr>
        <w:t xml:space="preserve"> the following functions </w:t>
      </w:r>
      <w:r w:rsidRPr="00F73342">
        <w:rPr>
          <w:lang w:eastAsia="en-AU"/>
        </w:rPr>
        <w:t>under Chapter 4 of the EPBC Act</w:t>
      </w:r>
      <w:r>
        <w:rPr>
          <w:lang w:eastAsia="en-AU"/>
        </w:rPr>
        <w:t>:</w:t>
      </w:r>
    </w:p>
    <w:p w:rsidR="00603B5E" w:rsidRDefault="00603B5E" w:rsidP="008F17D2">
      <w:pPr>
        <w:pStyle w:val="ListBullet"/>
        <w:rPr>
          <w:lang w:eastAsia="en-AU"/>
        </w:rPr>
      </w:pPr>
      <w:r w:rsidRPr="00DB2E42">
        <w:rPr>
          <w:lang w:eastAsia="en-AU"/>
        </w:rPr>
        <w:t>Referrals</w:t>
      </w:r>
      <w:r w:rsidR="008F17D2">
        <w:rPr>
          <w:lang w:eastAsia="en-AU"/>
        </w:rPr>
        <w:t>,</w:t>
      </w:r>
    </w:p>
    <w:p w:rsidR="00603B5E" w:rsidRDefault="00603B5E" w:rsidP="008F17D2">
      <w:pPr>
        <w:pStyle w:val="ListBullet"/>
        <w:rPr>
          <w:lang w:eastAsia="en-AU"/>
        </w:rPr>
      </w:pPr>
      <w:r w:rsidRPr="00DB2E42">
        <w:rPr>
          <w:lang w:eastAsia="en-AU"/>
        </w:rPr>
        <w:t>A</w:t>
      </w:r>
      <w:r>
        <w:rPr>
          <w:lang w:eastAsia="en-AU"/>
        </w:rPr>
        <w:t>ssessment</w:t>
      </w:r>
      <w:r w:rsidRPr="00DB2E42">
        <w:rPr>
          <w:lang w:eastAsia="en-AU"/>
        </w:rPr>
        <w:t xml:space="preserve"> on referral information</w:t>
      </w:r>
      <w:r w:rsidR="008F17D2">
        <w:rPr>
          <w:lang w:eastAsia="en-AU"/>
        </w:rPr>
        <w:t>,</w:t>
      </w:r>
    </w:p>
    <w:p w:rsidR="00603B5E" w:rsidRDefault="00603B5E" w:rsidP="008F17D2">
      <w:pPr>
        <w:pStyle w:val="ListBullet"/>
        <w:rPr>
          <w:lang w:eastAsia="en-AU"/>
        </w:rPr>
      </w:pPr>
      <w:r w:rsidRPr="00DB2E42">
        <w:rPr>
          <w:lang w:eastAsia="en-AU"/>
        </w:rPr>
        <w:t xml:space="preserve">Assessments </w:t>
      </w:r>
      <w:r>
        <w:rPr>
          <w:lang w:eastAsia="en-AU"/>
        </w:rPr>
        <w:t>on</w:t>
      </w:r>
      <w:r w:rsidRPr="00DB2E42">
        <w:rPr>
          <w:lang w:eastAsia="en-AU"/>
        </w:rPr>
        <w:t xml:space="preserve"> preliminary documentation</w:t>
      </w:r>
      <w:r w:rsidR="008F17D2">
        <w:rPr>
          <w:lang w:eastAsia="en-AU"/>
        </w:rPr>
        <w:t>,</w:t>
      </w:r>
    </w:p>
    <w:p w:rsidR="000B573E" w:rsidRDefault="00603B5E">
      <w:pPr>
        <w:pStyle w:val="ListBullet"/>
        <w:rPr>
          <w:lang w:eastAsia="en-AU"/>
        </w:rPr>
      </w:pPr>
      <w:r>
        <w:rPr>
          <w:lang w:eastAsia="en-AU"/>
        </w:rPr>
        <w:t>Assessments by p</w:t>
      </w:r>
      <w:r w:rsidR="00880557">
        <w:rPr>
          <w:lang w:eastAsia="en-AU"/>
        </w:rPr>
        <w:t>ublic e</w:t>
      </w:r>
      <w:r w:rsidR="00792A73">
        <w:rPr>
          <w:lang w:eastAsia="en-AU"/>
        </w:rPr>
        <w:t>nvironment</w:t>
      </w:r>
      <w:r w:rsidR="00880557">
        <w:rPr>
          <w:lang w:eastAsia="en-AU"/>
        </w:rPr>
        <w:t xml:space="preserve"> report</w:t>
      </w:r>
      <w:r w:rsidR="008F17D2">
        <w:rPr>
          <w:lang w:eastAsia="en-AU"/>
        </w:rPr>
        <w:t>,</w:t>
      </w:r>
    </w:p>
    <w:p w:rsidR="000B573E" w:rsidRDefault="00603B5E">
      <w:pPr>
        <w:pStyle w:val="ListBullet"/>
        <w:rPr>
          <w:lang w:eastAsia="en-AU"/>
        </w:rPr>
      </w:pPr>
      <w:r w:rsidRPr="00DB2E42">
        <w:rPr>
          <w:lang w:eastAsia="en-AU"/>
        </w:rPr>
        <w:t>Assessments by environmental impact statement</w:t>
      </w:r>
      <w:r w:rsidR="008F17D2">
        <w:rPr>
          <w:lang w:eastAsia="en-AU"/>
        </w:rPr>
        <w:t>,</w:t>
      </w:r>
    </w:p>
    <w:p w:rsidR="000B573E" w:rsidRDefault="00603B5E">
      <w:pPr>
        <w:pStyle w:val="ListBullet"/>
        <w:rPr>
          <w:lang w:eastAsia="en-AU"/>
        </w:rPr>
      </w:pPr>
      <w:r w:rsidRPr="00DB2E42">
        <w:rPr>
          <w:lang w:eastAsia="en-AU"/>
        </w:rPr>
        <w:t>Assessments under bilateral agreement or accredited assessment process</w:t>
      </w:r>
      <w:r w:rsidR="008F17D2">
        <w:rPr>
          <w:lang w:eastAsia="en-AU"/>
        </w:rPr>
        <w:t>,</w:t>
      </w:r>
    </w:p>
    <w:p w:rsidR="000B573E" w:rsidRDefault="00603B5E">
      <w:pPr>
        <w:pStyle w:val="ListBullet"/>
        <w:rPr>
          <w:lang w:eastAsia="en-AU"/>
        </w:rPr>
      </w:pPr>
      <w:r>
        <w:rPr>
          <w:lang w:eastAsia="en-AU"/>
        </w:rPr>
        <w:t>Assessments by public inquiry</w:t>
      </w:r>
      <w:r w:rsidR="008F17D2">
        <w:rPr>
          <w:lang w:eastAsia="en-AU"/>
        </w:rPr>
        <w:t>,</w:t>
      </w:r>
      <w:r>
        <w:rPr>
          <w:lang w:eastAsia="en-AU"/>
        </w:rPr>
        <w:t xml:space="preserve"> and</w:t>
      </w:r>
    </w:p>
    <w:p w:rsidR="00603B5E" w:rsidRPr="009F65E0" w:rsidRDefault="00603B5E">
      <w:pPr>
        <w:pStyle w:val="ListBullet"/>
        <w:rPr>
          <w:lang w:eastAsia="en-AU"/>
        </w:rPr>
      </w:pPr>
      <w:r>
        <w:rPr>
          <w:lang w:eastAsia="en-AU"/>
        </w:rPr>
        <w:t xml:space="preserve">Assessments of post approval action management plans.  </w:t>
      </w:r>
    </w:p>
    <w:p w:rsidR="000B573E" w:rsidRDefault="00D30427">
      <w:pPr>
        <w:rPr>
          <w:lang w:val="en-US"/>
        </w:rPr>
      </w:pPr>
      <w:r>
        <w:rPr>
          <w:lang w:val="en-US"/>
        </w:rPr>
        <w:fldChar w:fldCharType="begin"/>
      </w:r>
      <w:r w:rsidR="008518AF">
        <w:rPr>
          <w:lang w:val="en-US"/>
        </w:rPr>
        <w:instrText xml:space="preserve"> REF _Ref387066664 \h </w:instrText>
      </w:r>
      <w:r>
        <w:rPr>
          <w:lang w:val="en-US"/>
        </w:rPr>
      </w:r>
      <w:r>
        <w:rPr>
          <w:lang w:val="en-US"/>
        </w:rPr>
        <w:fldChar w:fldCharType="separate"/>
      </w:r>
      <w:r w:rsidR="001D521C">
        <w:t xml:space="preserve">Figure </w:t>
      </w:r>
      <w:r w:rsidR="001D521C">
        <w:rPr>
          <w:noProof/>
        </w:rPr>
        <w:t>3</w:t>
      </w:r>
      <w:r>
        <w:rPr>
          <w:lang w:val="en-US"/>
        </w:rPr>
        <w:fldChar w:fldCharType="end"/>
      </w:r>
      <w:r w:rsidR="007B6400">
        <w:rPr>
          <w:lang w:val="en-US"/>
        </w:rPr>
        <w:t xml:space="preserve"> provides an outline of t</w:t>
      </w:r>
      <w:r w:rsidR="00603B5E" w:rsidRPr="00DB2E42">
        <w:rPr>
          <w:lang w:val="en-US"/>
        </w:rPr>
        <w:t xml:space="preserve">he </w:t>
      </w:r>
      <w:r w:rsidR="00603B5E">
        <w:rPr>
          <w:lang w:val="en-US"/>
        </w:rPr>
        <w:t>environmental impact assessment</w:t>
      </w:r>
      <w:r w:rsidR="00603B5E" w:rsidRPr="00DB2E42">
        <w:rPr>
          <w:lang w:val="en-US"/>
        </w:rPr>
        <w:t xml:space="preserve"> process</w:t>
      </w:r>
      <w:r w:rsidR="007B6400">
        <w:rPr>
          <w:lang w:val="en-US"/>
        </w:rPr>
        <w:t xml:space="preserve"> under the EPBC Act,</w:t>
      </w:r>
      <w:r w:rsidR="00603B5E" w:rsidRPr="00DB2E42">
        <w:rPr>
          <w:lang w:val="en-US"/>
        </w:rPr>
        <w:t xml:space="preserve"> </w:t>
      </w:r>
      <w:r w:rsidR="007B6400">
        <w:rPr>
          <w:lang w:val="en-US"/>
        </w:rPr>
        <w:t>including the v</w:t>
      </w:r>
      <w:r w:rsidR="00603B5E" w:rsidRPr="00DB2E42">
        <w:rPr>
          <w:lang w:val="en-US"/>
        </w:rPr>
        <w:t xml:space="preserve">arious assessment methods </w:t>
      </w:r>
      <w:r w:rsidR="007B6400">
        <w:rPr>
          <w:lang w:val="en-US"/>
        </w:rPr>
        <w:t xml:space="preserve">available. </w:t>
      </w:r>
    </w:p>
    <w:p w:rsidR="00880557" w:rsidRDefault="00880557">
      <w:pPr>
        <w:rPr>
          <w:lang w:eastAsia="en-AU"/>
        </w:rPr>
      </w:pPr>
    </w:p>
    <w:p w:rsidR="00603B5E" w:rsidRDefault="0055521D" w:rsidP="00603B5E">
      <w:r>
        <w:rPr>
          <w:noProof/>
          <w:lang w:eastAsia="en-AU"/>
        </w:rPr>
        <w:drawing>
          <wp:inline distT="0" distB="0" distL="0" distR="0">
            <wp:extent cx="5849620" cy="4029469"/>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5849620" cy="4029469"/>
                    </a:xfrm>
                    <a:prstGeom prst="rect">
                      <a:avLst/>
                    </a:prstGeom>
                    <a:noFill/>
                    <a:ln w="9525">
                      <a:noFill/>
                      <a:miter lim="800000"/>
                      <a:headEnd/>
                      <a:tailEnd/>
                    </a:ln>
                  </pic:spPr>
                </pic:pic>
              </a:graphicData>
            </a:graphic>
          </wp:inline>
        </w:drawing>
      </w:r>
    </w:p>
    <w:p w:rsidR="006A0AB5" w:rsidRDefault="006A0AB5" w:rsidP="006A0AB5">
      <w:pPr>
        <w:pStyle w:val="Caption"/>
      </w:pPr>
      <w:bookmarkStart w:id="160" w:name="_Toc379956149"/>
      <w:bookmarkStart w:id="161" w:name="_Toc379956234"/>
      <w:bookmarkStart w:id="162" w:name="_Toc379963152"/>
      <w:bookmarkStart w:id="163" w:name="_Toc379966273"/>
      <w:bookmarkStart w:id="164" w:name="_Toc380053090"/>
      <w:bookmarkStart w:id="165" w:name="_Toc380065055"/>
      <w:bookmarkStart w:id="166" w:name="_Toc380142265"/>
      <w:bookmarkStart w:id="167" w:name="_Ref387066664"/>
      <w:bookmarkStart w:id="168" w:name="_Toc387072708"/>
      <w:bookmarkStart w:id="169" w:name="_Toc391541632"/>
      <w:bookmarkStart w:id="170" w:name="_Ref344903056"/>
      <w:bookmarkEnd w:id="160"/>
      <w:bookmarkEnd w:id="161"/>
      <w:bookmarkEnd w:id="162"/>
      <w:bookmarkEnd w:id="163"/>
      <w:bookmarkEnd w:id="164"/>
      <w:bookmarkEnd w:id="165"/>
      <w:bookmarkEnd w:id="166"/>
      <w:proofErr w:type="gramStart"/>
      <w:r>
        <w:t xml:space="preserve">Figure </w:t>
      </w:r>
      <w:r w:rsidR="00D30427">
        <w:fldChar w:fldCharType="begin"/>
      </w:r>
      <w:r w:rsidR="004D02C2">
        <w:instrText xml:space="preserve"> SEQ Figure \* ARABIC </w:instrText>
      </w:r>
      <w:r w:rsidR="00D30427">
        <w:fldChar w:fldCharType="separate"/>
      </w:r>
      <w:r w:rsidR="001D521C">
        <w:rPr>
          <w:noProof/>
        </w:rPr>
        <w:t>3</w:t>
      </w:r>
      <w:r w:rsidR="00D30427">
        <w:fldChar w:fldCharType="end"/>
      </w:r>
      <w:bookmarkEnd w:id="167"/>
      <w:r>
        <w:t>.</w:t>
      </w:r>
      <w:proofErr w:type="gramEnd"/>
      <w:r>
        <w:t xml:space="preserve"> </w:t>
      </w:r>
      <w:proofErr w:type="gramStart"/>
      <w:r w:rsidRPr="0087391C">
        <w:t>Overview of the environmental impact assessment process under national environmental law, including the assessment approach options.</w:t>
      </w:r>
      <w:bookmarkEnd w:id="168"/>
      <w:bookmarkEnd w:id="169"/>
      <w:proofErr w:type="gramEnd"/>
    </w:p>
    <w:p w:rsidR="00140BE4" w:rsidRDefault="00140BE4" w:rsidP="0020683F">
      <w:pPr>
        <w:pStyle w:val="Heading2"/>
      </w:pPr>
      <w:bookmarkStart w:id="171" w:name="_Toc387064775"/>
      <w:bookmarkStart w:id="172" w:name="_Toc387064987"/>
      <w:bookmarkStart w:id="173" w:name="_Toc387065193"/>
      <w:bookmarkStart w:id="174" w:name="_Toc387065404"/>
      <w:bookmarkStart w:id="175" w:name="_Toc387065610"/>
      <w:bookmarkStart w:id="176" w:name="_Toc387065815"/>
      <w:bookmarkStart w:id="177" w:name="_Toc387066021"/>
      <w:bookmarkStart w:id="178" w:name="_Toc387066224"/>
      <w:bookmarkStart w:id="179" w:name="_Toc387069460"/>
      <w:bookmarkStart w:id="180" w:name="_Toc387069647"/>
      <w:bookmarkStart w:id="181" w:name="_Toc387069856"/>
      <w:bookmarkStart w:id="182" w:name="_Toc387070055"/>
      <w:bookmarkStart w:id="183" w:name="_Toc387072320"/>
      <w:bookmarkStart w:id="184" w:name="_Toc387072531"/>
      <w:bookmarkStart w:id="185" w:name="_Toc387392559"/>
      <w:bookmarkStart w:id="186" w:name="_Toc379444990"/>
      <w:bookmarkStart w:id="187" w:name="_Toc391541575"/>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lastRenderedPageBreak/>
        <w:t>Outputs of the activity</w:t>
      </w:r>
      <w:bookmarkEnd w:id="186"/>
      <w:r>
        <w:t xml:space="preserve"> – </w:t>
      </w:r>
      <w:r w:rsidR="00361B95">
        <w:t>environmental impact assessments</w:t>
      </w:r>
      <w:bookmarkEnd w:id="187"/>
      <w:r>
        <w:t xml:space="preserve"> </w:t>
      </w:r>
    </w:p>
    <w:p w:rsidR="00140BE4" w:rsidRDefault="00140BE4" w:rsidP="00140BE4">
      <w:pPr>
        <w:pStyle w:val="Heading3"/>
        <w:rPr>
          <w:lang w:eastAsia="en-AU"/>
        </w:rPr>
      </w:pPr>
      <w:bookmarkStart w:id="188" w:name="_Toc391541576"/>
      <w:r>
        <w:rPr>
          <w:lang w:eastAsia="en-AU"/>
        </w:rPr>
        <w:t xml:space="preserve">Description of activity - </w:t>
      </w:r>
      <w:r w:rsidR="00361B95">
        <w:rPr>
          <w:lang w:eastAsia="en-AU"/>
        </w:rPr>
        <w:t>environmental impact assessments</w:t>
      </w:r>
      <w:bookmarkEnd w:id="188"/>
    </w:p>
    <w:p w:rsidR="00140BE4" w:rsidRDefault="00B64DB5" w:rsidP="00140BE4">
      <w:pPr>
        <w:autoSpaceDE w:val="0"/>
        <w:autoSpaceDN w:val="0"/>
        <w:adjustRightInd w:val="0"/>
        <w:rPr>
          <w:lang w:eastAsia="en-AU"/>
        </w:rPr>
      </w:pPr>
      <w:r>
        <w:rPr>
          <w:lang w:eastAsia="en-AU"/>
        </w:rPr>
        <w:t>Applicant</w:t>
      </w:r>
      <w:r w:rsidR="00140BE4" w:rsidRPr="0021591F">
        <w:rPr>
          <w:lang w:eastAsia="en-AU"/>
        </w:rPr>
        <w:t xml:space="preserve">s are required to refer proposed actions to the </w:t>
      </w:r>
      <w:r w:rsidR="00140BE4">
        <w:rPr>
          <w:lang w:eastAsia="en-AU"/>
        </w:rPr>
        <w:t>D</w:t>
      </w:r>
      <w:r w:rsidR="00140BE4" w:rsidRPr="0021591F">
        <w:rPr>
          <w:lang w:eastAsia="en-AU"/>
        </w:rPr>
        <w:t>epartment where:</w:t>
      </w:r>
    </w:p>
    <w:p w:rsidR="00140BE4" w:rsidRDefault="00140BE4" w:rsidP="008F17D2">
      <w:pPr>
        <w:pStyle w:val="ListBullet"/>
        <w:rPr>
          <w:lang w:eastAsia="en-AU"/>
        </w:rPr>
      </w:pPr>
      <w:r w:rsidRPr="00FC12C4">
        <w:rPr>
          <w:lang w:eastAsia="en-AU"/>
        </w:rPr>
        <w:t>A proposed action is likely to have</w:t>
      </w:r>
      <w:r w:rsidR="004B5B4E">
        <w:rPr>
          <w:lang w:eastAsia="en-AU"/>
        </w:rPr>
        <w:t xml:space="preserve"> or will have</w:t>
      </w:r>
      <w:r w:rsidRPr="00FC12C4">
        <w:rPr>
          <w:lang w:eastAsia="en-AU"/>
        </w:rPr>
        <w:t xml:space="preserve"> a significant impact on one or more matters of </w:t>
      </w:r>
      <w:r>
        <w:rPr>
          <w:lang w:eastAsia="en-AU"/>
        </w:rPr>
        <w:t>national environmental significance</w:t>
      </w:r>
      <w:r w:rsidR="008F17D2">
        <w:rPr>
          <w:lang w:eastAsia="en-AU"/>
        </w:rPr>
        <w:t>,</w:t>
      </w:r>
    </w:p>
    <w:p w:rsidR="00140BE4" w:rsidRDefault="00140BE4" w:rsidP="008F17D2">
      <w:pPr>
        <w:pStyle w:val="ListBullet"/>
        <w:rPr>
          <w:lang w:eastAsia="en-AU"/>
        </w:rPr>
      </w:pPr>
      <w:r w:rsidRPr="00FC12C4">
        <w:rPr>
          <w:lang w:eastAsia="en-AU"/>
        </w:rPr>
        <w:t>A proposed action is like</w:t>
      </w:r>
      <w:r>
        <w:rPr>
          <w:lang w:eastAsia="en-AU"/>
        </w:rPr>
        <w:t>ly</w:t>
      </w:r>
      <w:r w:rsidRPr="00FC12C4">
        <w:rPr>
          <w:lang w:eastAsia="en-AU"/>
        </w:rPr>
        <w:t xml:space="preserve"> to have </w:t>
      </w:r>
      <w:r w:rsidR="004B5B4E">
        <w:rPr>
          <w:lang w:eastAsia="en-AU"/>
        </w:rPr>
        <w:t xml:space="preserve">or will have </w:t>
      </w:r>
      <w:r w:rsidRPr="00FC12C4">
        <w:rPr>
          <w:lang w:eastAsia="en-AU"/>
        </w:rPr>
        <w:t>a significant impact on the environment o</w:t>
      </w:r>
      <w:r>
        <w:rPr>
          <w:lang w:eastAsia="en-AU"/>
        </w:rPr>
        <w:t>n</w:t>
      </w:r>
      <w:r w:rsidRPr="00FC12C4">
        <w:rPr>
          <w:lang w:eastAsia="en-AU"/>
        </w:rPr>
        <w:t xml:space="preserve"> Commonwealth land</w:t>
      </w:r>
      <w:r w:rsidR="008F17D2">
        <w:rPr>
          <w:lang w:eastAsia="en-AU"/>
        </w:rPr>
        <w:t>,</w:t>
      </w:r>
      <w:r w:rsidRPr="00FC12C4">
        <w:rPr>
          <w:lang w:eastAsia="en-AU"/>
        </w:rPr>
        <w:t xml:space="preserve"> or</w:t>
      </w:r>
    </w:p>
    <w:p w:rsidR="00140BE4" w:rsidRDefault="00140BE4" w:rsidP="008F17D2">
      <w:pPr>
        <w:pStyle w:val="ListBullet"/>
        <w:rPr>
          <w:lang w:eastAsia="en-AU"/>
        </w:rPr>
      </w:pPr>
      <w:r w:rsidRPr="00FC12C4">
        <w:rPr>
          <w:lang w:eastAsia="en-AU"/>
        </w:rPr>
        <w:t xml:space="preserve">A proposed action is </w:t>
      </w:r>
      <w:r>
        <w:rPr>
          <w:lang w:eastAsia="en-AU"/>
        </w:rPr>
        <w:t>under</w:t>
      </w:r>
      <w:r w:rsidRPr="00FC12C4">
        <w:rPr>
          <w:lang w:eastAsia="en-AU"/>
        </w:rPr>
        <w:t xml:space="preserve">taken by a Commonwealth agency </w:t>
      </w:r>
      <w:r w:rsidR="00792A73">
        <w:rPr>
          <w:lang w:eastAsia="en-AU"/>
        </w:rPr>
        <w:t>inside or outside the Australia</w:t>
      </w:r>
      <w:r w:rsidR="00782115">
        <w:rPr>
          <w:lang w:eastAsia="en-AU"/>
        </w:rPr>
        <w:t>n</w:t>
      </w:r>
      <w:r w:rsidR="00792A73">
        <w:rPr>
          <w:lang w:eastAsia="en-AU"/>
        </w:rPr>
        <w:t xml:space="preserve"> jurisdiction</w:t>
      </w:r>
      <w:r w:rsidRPr="00FC12C4">
        <w:rPr>
          <w:lang w:eastAsia="en-AU"/>
        </w:rPr>
        <w:t xml:space="preserve">, and is likely to have a significant impact on the environment. </w:t>
      </w:r>
    </w:p>
    <w:p w:rsidR="00140BE4" w:rsidRPr="004E73AA" w:rsidRDefault="00B64DB5">
      <w:pPr>
        <w:pStyle w:val="ListBullet"/>
        <w:rPr>
          <w:lang w:eastAsia="en-AU"/>
        </w:rPr>
      </w:pPr>
      <w:r>
        <w:rPr>
          <w:lang w:eastAsia="en-AU"/>
        </w:rPr>
        <w:t>Applicant</w:t>
      </w:r>
      <w:r w:rsidR="00140BE4" w:rsidRPr="00FC12C4">
        <w:rPr>
          <w:lang w:eastAsia="en-AU"/>
        </w:rPr>
        <w:t xml:space="preserve">s can refer a </w:t>
      </w:r>
      <w:r w:rsidR="0064623E" w:rsidRPr="00FC12C4">
        <w:rPr>
          <w:lang w:eastAsia="en-AU"/>
        </w:rPr>
        <w:t>propos</w:t>
      </w:r>
      <w:r w:rsidR="0064623E">
        <w:rPr>
          <w:lang w:eastAsia="en-AU"/>
        </w:rPr>
        <w:t>ed action</w:t>
      </w:r>
      <w:r w:rsidR="0064623E" w:rsidRPr="00FC12C4">
        <w:rPr>
          <w:lang w:eastAsia="en-AU"/>
        </w:rPr>
        <w:t xml:space="preserve"> </w:t>
      </w:r>
      <w:r w:rsidR="00140BE4" w:rsidRPr="00FC12C4">
        <w:rPr>
          <w:lang w:eastAsia="en-AU"/>
        </w:rPr>
        <w:t xml:space="preserve">to the </w:t>
      </w:r>
      <w:r w:rsidR="00140BE4">
        <w:rPr>
          <w:lang w:eastAsia="en-AU"/>
        </w:rPr>
        <w:t>D</w:t>
      </w:r>
      <w:r w:rsidR="00140BE4" w:rsidRPr="00FC12C4">
        <w:rPr>
          <w:lang w:eastAsia="en-AU"/>
        </w:rPr>
        <w:t xml:space="preserve">epartment for a decision as to whether or not the action will have </w:t>
      </w:r>
      <w:r w:rsidR="004B5B4E">
        <w:rPr>
          <w:lang w:eastAsia="en-AU"/>
        </w:rPr>
        <w:t xml:space="preserve">or is likely to have </w:t>
      </w:r>
      <w:r w:rsidR="00140BE4" w:rsidRPr="00FC12C4">
        <w:rPr>
          <w:lang w:eastAsia="en-AU"/>
        </w:rPr>
        <w:t>a significant impact on matters</w:t>
      </w:r>
      <w:r w:rsidR="00604F0F">
        <w:rPr>
          <w:lang w:eastAsia="en-AU"/>
        </w:rPr>
        <w:t xml:space="preserve"> of national environmental significance</w:t>
      </w:r>
      <w:r w:rsidR="00140BE4" w:rsidRPr="00FC12C4">
        <w:rPr>
          <w:lang w:eastAsia="en-AU"/>
        </w:rPr>
        <w:t>. The statutory timeframe for the referral decision making process is 20 business days.</w:t>
      </w:r>
    </w:p>
    <w:p w:rsidR="00140BE4" w:rsidRDefault="00140BE4" w:rsidP="00140BE4">
      <w:pPr>
        <w:rPr>
          <w:lang w:val="en-US"/>
        </w:rPr>
      </w:pPr>
      <w:r w:rsidRPr="00FC12C4">
        <w:rPr>
          <w:lang w:val="en-US"/>
        </w:rPr>
        <w:t xml:space="preserve">If </w:t>
      </w:r>
      <w:r>
        <w:rPr>
          <w:lang w:val="en-US"/>
        </w:rPr>
        <w:t xml:space="preserve">the Minister considers that </w:t>
      </w:r>
      <w:r w:rsidRPr="00FC12C4">
        <w:rPr>
          <w:lang w:val="en-US"/>
        </w:rPr>
        <w:t>a significant impact</w:t>
      </w:r>
      <w:r w:rsidR="0065742E">
        <w:rPr>
          <w:lang w:val="en-US"/>
        </w:rPr>
        <w:t xml:space="preserve"> on a </w:t>
      </w:r>
      <w:r w:rsidR="00604F0F">
        <w:rPr>
          <w:lang w:val="en-US"/>
        </w:rPr>
        <w:t>matter of national environmental significance</w:t>
      </w:r>
      <w:r w:rsidRPr="00FC12C4">
        <w:rPr>
          <w:lang w:val="en-US"/>
        </w:rPr>
        <w:t xml:space="preserve"> is likely</w:t>
      </w:r>
      <w:r w:rsidR="00BE6AB0">
        <w:rPr>
          <w:lang w:val="en-US"/>
        </w:rPr>
        <w:t xml:space="preserve"> or will happen</w:t>
      </w:r>
      <w:r w:rsidRPr="00FC12C4">
        <w:rPr>
          <w:lang w:val="en-US"/>
        </w:rPr>
        <w:t xml:space="preserve">, </w:t>
      </w:r>
      <w:r w:rsidR="007B6400">
        <w:rPr>
          <w:lang w:val="en-US"/>
        </w:rPr>
        <w:t xml:space="preserve">the Minister makes a determination that </w:t>
      </w:r>
      <w:r w:rsidRPr="00FC12C4">
        <w:rPr>
          <w:lang w:val="en-US"/>
        </w:rPr>
        <w:t>this action is a ‘controlled action’</w:t>
      </w:r>
      <w:r w:rsidR="00592237">
        <w:rPr>
          <w:lang w:val="en-US"/>
        </w:rPr>
        <w:t xml:space="preserve">. </w:t>
      </w:r>
      <w:r w:rsidR="007B6400">
        <w:rPr>
          <w:lang w:val="en-US"/>
        </w:rPr>
        <w:t>The proposed action is then subject to f</w:t>
      </w:r>
      <w:r w:rsidRPr="00FC12C4">
        <w:rPr>
          <w:lang w:val="en-US"/>
        </w:rPr>
        <w:t xml:space="preserve">urther assessment prior to the Minister deciding whether to approve the </w:t>
      </w:r>
      <w:r w:rsidR="00604F0F">
        <w:rPr>
          <w:lang w:val="en-US"/>
        </w:rPr>
        <w:t>action</w:t>
      </w:r>
      <w:r w:rsidR="00604F0F" w:rsidRPr="00FC12C4">
        <w:rPr>
          <w:lang w:val="en-US"/>
        </w:rPr>
        <w:t xml:space="preserve"> </w:t>
      </w:r>
      <w:r w:rsidR="007B6400">
        <w:rPr>
          <w:lang w:val="en-US"/>
        </w:rPr>
        <w:t xml:space="preserve">(with or without conditions) </w:t>
      </w:r>
      <w:r w:rsidRPr="00FC12C4">
        <w:rPr>
          <w:lang w:val="en-US"/>
        </w:rPr>
        <w:t>under the EPBC</w:t>
      </w:r>
      <w:r w:rsidR="00142B86">
        <w:rPr>
          <w:lang w:val="en-US"/>
        </w:rPr>
        <w:t> </w:t>
      </w:r>
      <w:r w:rsidRPr="00FC12C4">
        <w:rPr>
          <w:lang w:val="en-US"/>
        </w:rPr>
        <w:t xml:space="preserve">Act.  </w:t>
      </w:r>
    </w:p>
    <w:p w:rsidR="00140BE4" w:rsidRDefault="00140BE4" w:rsidP="00140BE4">
      <w:pPr>
        <w:rPr>
          <w:lang w:val="en-US"/>
        </w:rPr>
      </w:pPr>
      <w:r w:rsidRPr="00FC12C4">
        <w:rPr>
          <w:lang w:val="en-US"/>
        </w:rPr>
        <w:t xml:space="preserve">If </w:t>
      </w:r>
      <w:r w:rsidR="007B6400">
        <w:rPr>
          <w:lang w:val="en-US"/>
        </w:rPr>
        <w:t xml:space="preserve">the Minister does not consider that the proposed action will have </w:t>
      </w:r>
      <w:r w:rsidRPr="00FC12C4">
        <w:rPr>
          <w:lang w:val="en-US"/>
        </w:rPr>
        <w:t>a significant impact</w:t>
      </w:r>
      <w:r w:rsidR="004851C9">
        <w:rPr>
          <w:lang w:val="en-US"/>
        </w:rPr>
        <w:t xml:space="preserve"> on a matter</w:t>
      </w:r>
      <w:r w:rsidRPr="00FC12C4">
        <w:rPr>
          <w:lang w:val="en-US"/>
        </w:rPr>
        <w:t xml:space="preserve"> </w:t>
      </w:r>
      <w:r w:rsidR="00604F0F">
        <w:rPr>
          <w:lang w:val="en-US"/>
        </w:rPr>
        <w:t xml:space="preserve">of national environmental significance </w:t>
      </w:r>
      <w:r w:rsidRPr="00FC12C4">
        <w:rPr>
          <w:lang w:val="en-US"/>
        </w:rPr>
        <w:t>then further assessment is not required</w:t>
      </w:r>
      <w:r>
        <w:rPr>
          <w:lang w:val="en-US"/>
        </w:rPr>
        <w:t>. T</w:t>
      </w:r>
      <w:r w:rsidRPr="00FC12C4">
        <w:rPr>
          <w:lang w:val="en-US"/>
        </w:rPr>
        <w:t xml:space="preserve">he </w:t>
      </w:r>
      <w:r w:rsidR="007B6400">
        <w:rPr>
          <w:lang w:val="en-US"/>
        </w:rPr>
        <w:t xml:space="preserve">Minister will then make a decision that the </w:t>
      </w:r>
      <w:r w:rsidRPr="00FC12C4">
        <w:rPr>
          <w:lang w:val="en-US"/>
        </w:rPr>
        <w:t>propos</w:t>
      </w:r>
      <w:r w:rsidR="0064623E">
        <w:rPr>
          <w:lang w:val="en-US"/>
        </w:rPr>
        <w:t>ed action</w:t>
      </w:r>
      <w:r w:rsidR="00A26B3B">
        <w:rPr>
          <w:lang w:val="en-US"/>
        </w:rPr>
        <w:t xml:space="preserve"> is</w:t>
      </w:r>
      <w:r w:rsidR="007B6400">
        <w:rPr>
          <w:lang w:val="en-US"/>
        </w:rPr>
        <w:t xml:space="preserve"> </w:t>
      </w:r>
      <w:r w:rsidRPr="00FC12C4">
        <w:rPr>
          <w:lang w:val="en-US"/>
        </w:rPr>
        <w:t xml:space="preserve">‘not a controlled action’ and can </w:t>
      </w:r>
      <w:r w:rsidR="007B6400">
        <w:rPr>
          <w:lang w:val="en-US"/>
        </w:rPr>
        <w:t xml:space="preserve">therefore </w:t>
      </w:r>
      <w:r w:rsidRPr="00FC12C4">
        <w:rPr>
          <w:lang w:val="en-US"/>
        </w:rPr>
        <w:t>proceed</w:t>
      </w:r>
      <w:r w:rsidR="007B6400">
        <w:rPr>
          <w:lang w:val="en-US"/>
        </w:rPr>
        <w:t xml:space="preserve"> without any further assessment under the EPBC Act.</w:t>
      </w:r>
      <w:r w:rsidRPr="00FC12C4">
        <w:rPr>
          <w:lang w:val="en-US"/>
        </w:rPr>
        <w:t xml:space="preserve"> </w:t>
      </w:r>
      <w:r w:rsidR="00261B05">
        <w:rPr>
          <w:lang w:val="en-US"/>
        </w:rPr>
        <w:t xml:space="preserve">The Minister may also determine that the proposed action is </w:t>
      </w:r>
      <w:r w:rsidRPr="00FC12C4">
        <w:rPr>
          <w:lang w:val="en-US"/>
        </w:rPr>
        <w:t xml:space="preserve">‘not a controlled action’ provided it is undertaken in a ‘particular manner’.  This ‘manner’ </w:t>
      </w:r>
      <w:r>
        <w:rPr>
          <w:lang w:val="en-US"/>
        </w:rPr>
        <w:t>will be</w:t>
      </w:r>
      <w:r w:rsidRPr="00FC12C4">
        <w:rPr>
          <w:lang w:val="en-US"/>
        </w:rPr>
        <w:t xml:space="preserve"> specified in the decision notice</w:t>
      </w:r>
      <w:r w:rsidR="00261B05">
        <w:rPr>
          <w:lang w:val="en-US"/>
        </w:rPr>
        <w:t xml:space="preserve">, and the action will not be subject to any further assessment under the EPBC Act as long as the action is taken in the specified manner. </w:t>
      </w:r>
    </w:p>
    <w:p w:rsidR="00140BE4" w:rsidRDefault="00140BE4" w:rsidP="00140BE4">
      <w:pPr>
        <w:rPr>
          <w:lang w:val="en-US"/>
        </w:rPr>
      </w:pPr>
      <w:r>
        <w:rPr>
          <w:lang w:val="en-US"/>
        </w:rPr>
        <w:t xml:space="preserve">If the </w:t>
      </w:r>
      <w:r w:rsidR="0064623E">
        <w:rPr>
          <w:lang w:val="en-US"/>
        </w:rPr>
        <w:t xml:space="preserve">proposed action </w:t>
      </w:r>
      <w:r>
        <w:rPr>
          <w:lang w:val="en-US"/>
        </w:rPr>
        <w:t xml:space="preserve">is a controlled action, </w:t>
      </w:r>
      <w:r w:rsidR="00261B05">
        <w:rPr>
          <w:lang w:val="en-US"/>
        </w:rPr>
        <w:t xml:space="preserve">the Minister will undertake </w:t>
      </w:r>
      <w:r>
        <w:rPr>
          <w:lang w:val="en-US"/>
        </w:rPr>
        <w:t>a</w:t>
      </w:r>
      <w:r w:rsidRPr="00FC12C4">
        <w:rPr>
          <w:lang w:val="en-US"/>
        </w:rPr>
        <w:t xml:space="preserve">n assessment </w:t>
      </w:r>
      <w:r w:rsidR="00261B05">
        <w:rPr>
          <w:lang w:val="en-US"/>
        </w:rPr>
        <w:t>of the action</w:t>
      </w:r>
      <w:r w:rsidRPr="00FC12C4">
        <w:rPr>
          <w:lang w:val="en-US"/>
        </w:rPr>
        <w:t xml:space="preserve"> by one of six assessment options: </w:t>
      </w:r>
    </w:p>
    <w:p w:rsidR="00140BE4" w:rsidRDefault="008518AF" w:rsidP="008F17D2">
      <w:pPr>
        <w:pStyle w:val="ListBullet"/>
        <w:rPr>
          <w:lang w:val="en-US"/>
        </w:rPr>
      </w:pPr>
      <w:r>
        <w:rPr>
          <w:lang w:val="en-US"/>
        </w:rPr>
        <w:t>A</w:t>
      </w:r>
      <w:r w:rsidR="00140BE4">
        <w:rPr>
          <w:lang w:val="en-US"/>
        </w:rPr>
        <w:t>ssessment</w:t>
      </w:r>
      <w:r w:rsidR="00140BE4" w:rsidRPr="00BC77A1">
        <w:rPr>
          <w:lang w:val="en-US"/>
        </w:rPr>
        <w:t xml:space="preserve"> on referral information</w:t>
      </w:r>
      <w:r w:rsidR="008F17D2">
        <w:rPr>
          <w:lang w:val="en-US"/>
        </w:rPr>
        <w:t>,</w:t>
      </w:r>
      <w:r w:rsidR="00140BE4" w:rsidRPr="00BC77A1">
        <w:rPr>
          <w:lang w:val="en-US"/>
        </w:rPr>
        <w:t xml:space="preserve"> </w:t>
      </w:r>
    </w:p>
    <w:p w:rsidR="00140BE4" w:rsidRDefault="008518AF" w:rsidP="008F17D2">
      <w:pPr>
        <w:pStyle w:val="ListBullet"/>
        <w:rPr>
          <w:lang w:val="en-US"/>
        </w:rPr>
      </w:pPr>
      <w:r>
        <w:rPr>
          <w:lang w:val="en-US"/>
        </w:rPr>
        <w:t>A</w:t>
      </w:r>
      <w:r w:rsidR="00140BE4" w:rsidRPr="00BC77A1">
        <w:rPr>
          <w:lang w:val="en-US"/>
        </w:rPr>
        <w:t>ssessment on preliminary documentation</w:t>
      </w:r>
      <w:r w:rsidR="008F17D2">
        <w:rPr>
          <w:lang w:val="en-US"/>
        </w:rPr>
        <w:t>,</w:t>
      </w:r>
      <w:r w:rsidR="00140BE4" w:rsidRPr="00BC77A1">
        <w:rPr>
          <w:lang w:val="en-US"/>
        </w:rPr>
        <w:t xml:space="preserve"> </w:t>
      </w:r>
    </w:p>
    <w:p w:rsidR="00140BE4" w:rsidRDefault="008518AF" w:rsidP="008F17D2">
      <w:pPr>
        <w:pStyle w:val="ListBullet"/>
        <w:rPr>
          <w:lang w:val="en-US"/>
        </w:rPr>
      </w:pPr>
      <w:r>
        <w:rPr>
          <w:lang w:val="en-US"/>
        </w:rPr>
        <w:t>A</w:t>
      </w:r>
      <w:r w:rsidR="00140BE4">
        <w:rPr>
          <w:lang w:val="en-US"/>
        </w:rPr>
        <w:t xml:space="preserve">ssessment by </w:t>
      </w:r>
      <w:r w:rsidR="00792A73">
        <w:rPr>
          <w:lang w:val="en-US"/>
        </w:rPr>
        <w:t>public environment report</w:t>
      </w:r>
      <w:r w:rsidR="008F17D2">
        <w:rPr>
          <w:lang w:val="en-US"/>
        </w:rPr>
        <w:t>,</w:t>
      </w:r>
    </w:p>
    <w:p w:rsidR="00140BE4" w:rsidRDefault="008518AF">
      <w:pPr>
        <w:pStyle w:val="ListBullet"/>
        <w:rPr>
          <w:lang w:val="en-US"/>
        </w:rPr>
      </w:pPr>
      <w:r>
        <w:rPr>
          <w:lang w:val="en-US"/>
        </w:rPr>
        <w:t>A</w:t>
      </w:r>
      <w:r w:rsidR="00140BE4" w:rsidRPr="00BC77A1">
        <w:rPr>
          <w:lang w:val="en-US"/>
        </w:rPr>
        <w:t xml:space="preserve">ssessment by </w:t>
      </w:r>
      <w:r w:rsidR="00792A73">
        <w:rPr>
          <w:lang w:val="en-US"/>
        </w:rPr>
        <w:t>environmental impact statement</w:t>
      </w:r>
      <w:r w:rsidR="008F17D2">
        <w:rPr>
          <w:lang w:val="en-US"/>
        </w:rPr>
        <w:t>,</w:t>
      </w:r>
      <w:r w:rsidR="00140BE4" w:rsidRPr="00BC77A1">
        <w:rPr>
          <w:lang w:val="en-US"/>
        </w:rPr>
        <w:t xml:space="preserve"> </w:t>
      </w:r>
    </w:p>
    <w:p w:rsidR="00140BE4" w:rsidRDefault="008518AF">
      <w:pPr>
        <w:pStyle w:val="ListBullet"/>
        <w:rPr>
          <w:lang w:val="en-US"/>
        </w:rPr>
      </w:pPr>
      <w:r>
        <w:rPr>
          <w:lang w:val="en-US"/>
        </w:rPr>
        <w:t>A</w:t>
      </w:r>
      <w:r w:rsidR="00140BE4" w:rsidRPr="00BC77A1">
        <w:rPr>
          <w:lang w:val="en-US"/>
        </w:rPr>
        <w:t xml:space="preserve">ssessment under </w:t>
      </w:r>
      <w:r w:rsidR="00792A73">
        <w:rPr>
          <w:lang w:val="en-US"/>
        </w:rPr>
        <w:t xml:space="preserve">an assessment </w:t>
      </w:r>
      <w:r w:rsidR="00140BE4" w:rsidRPr="00BC77A1">
        <w:rPr>
          <w:lang w:val="en-US"/>
        </w:rPr>
        <w:t>bilateral agreement or accredited assessment</w:t>
      </w:r>
      <w:r w:rsidR="008F17D2">
        <w:rPr>
          <w:lang w:val="en-US"/>
        </w:rPr>
        <w:t>,</w:t>
      </w:r>
      <w:r w:rsidR="00140BE4">
        <w:rPr>
          <w:lang w:val="en-US"/>
        </w:rPr>
        <w:t xml:space="preserve"> or</w:t>
      </w:r>
      <w:r w:rsidR="00140BE4" w:rsidRPr="00BC77A1">
        <w:rPr>
          <w:lang w:val="en-US"/>
        </w:rPr>
        <w:t xml:space="preserve"> </w:t>
      </w:r>
    </w:p>
    <w:p w:rsidR="00140BE4" w:rsidRPr="004E73AA" w:rsidRDefault="008518AF">
      <w:pPr>
        <w:pStyle w:val="ListBullet"/>
        <w:rPr>
          <w:lang w:val="en-US"/>
        </w:rPr>
      </w:pPr>
      <w:r>
        <w:rPr>
          <w:lang w:val="en-US"/>
        </w:rPr>
        <w:t>A</w:t>
      </w:r>
      <w:r w:rsidR="00140BE4" w:rsidRPr="00BC77A1">
        <w:rPr>
          <w:lang w:val="en-US"/>
        </w:rPr>
        <w:t xml:space="preserve">ssessment by public inquiry. </w:t>
      </w:r>
    </w:p>
    <w:p w:rsidR="00140BE4" w:rsidRDefault="00140BE4" w:rsidP="00140BE4">
      <w:pPr>
        <w:rPr>
          <w:lang w:val="en-US"/>
        </w:rPr>
      </w:pPr>
      <w:r w:rsidRPr="00FC12C4">
        <w:rPr>
          <w:lang w:val="en-US"/>
        </w:rPr>
        <w:t xml:space="preserve">The </w:t>
      </w:r>
      <w:r w:rsidR="00261B05">
        <w:rPr>
          <w:lang w:val="en-US"/>
        </w:rPr>
        <w:t xml:space="preserve">Minister determines the </w:t>
      </w:r>
      <w:r w:rsidRPr="00FC12C4">
        <w:rPr>
          <w:lang w:val="en-US"/>
        </w:rPr>
        <w:t xml:space="preserve">assessment method </w:t>
      </w:r>
      <w:r w:rsidR="00261B05">
        <w:rPr>
          <w:lang w:val="en-US"/>
        </w:rPr>
        <w:t xml:space="preserve">based </w:t>
      </w:r>
      <w:r w:rsidRPr="00FC12C4">
        <w:rPr>
          <w:lang w:val="en-US"/>
        </w:rPr>
        <w:t>on the complexity of the</w:t>
      </w:r>
      <w:r>
        <w:rPr>
          <w:lang w:val="en-US"/>
        </w:rPr>
        <w:t xml:space="preserve"> proposed</w:t>
      </w:r>
      <w:r w:rsidRPr="00FC12C4">
        <w:rPr>
          <w:lang w:val="en-US"/>
        </w:rPr>
        <w:t xml:space="preserve"> </w:t>
      </w:r>
      <w:r w:rsidR="00604F0F" w:rsidRPr="00FC12C4">
        <w:rPr>
          <w:lang w:val="en-US"/>
        </w:rPr>
        <w:t>acti</w:t>
      </w:r>
      <w:r w:rsidR="00604F0F">
        <w:rPr>
          <w:lang w:val="en-US"/>
        </w:rPr>
        <w:t>on</w:t>
      </w:r>
      <w:r w:rsidR="007A7D8E">
        <w:rPr>
          <w:lang w:val="en-US"/>
        </w:rPr>
        <w:t xml:space="preserve"> and</w:t>
      </w:r>
      <w:r w:rsidRPr="00FC12C4">
        <w:rPr>
          <w:lang w:val="en-US"/>
        </w:rPr>
        <w:t xml:space="preserve"> the information required </w:t>
      </w:r>
      <w:proofErr w:type="gramStart"/>
      <w:r w:rsidRPr="00FC12C4">
        <w:rPr>
          <w:lang w:val="en-US"/>
        </w:rPr>
        <w:t>to assess</w:t>
      </w:r>
      <w:proofErr w:type="gramEnd"/>
      <w:r w:rsidRPr="00FC12C4">
        <w:rPr>
          <w:lang w:val="en-US"/>
        </w:rPr>
        <w:t xml:space="preserve"> whether or not the action should be approved</w:t>
      </w:r>
      <w:r w:rsidR="007A7D8E">
        <w:rPr>
          <w:lang w:val="en-US"/>
        </w:rPr>
        <w:t xml:space="preserve">. </w:t>
      </w:r>
      <w:r w:rsidR="00792A73">
        <w:rPr>
          <w:lang w:val="en-US"/>
        </w:rPr>
        <w:t xml:space="preserve">Sometimes a </w:t>
      </w:r>
      <w:r w:rsidRPr="00FC12C4">
        <w:rPr>
          <w:lang w:val="en-US"/>
        </w:rPr>
        <w:t xml:space="preserve">state or territory </w:t>
      </w:r>
      <w:r w:rsidR="00792A73">
        <w:rPr>
          <w:lang w:val="en-US"/>
        </w:rPr>
        <w:t>may also be undertaking</w:t>
      </w:r>
      <w:r w:rsidR="007A7D8E">
        <w:rPr>
          <w:lang w:val="en-US"/>
        </w:rPr>
        <w:t xml:space="preserve"> </w:t>
      </w:r>
      <w:r w:rsidR="00792A73">
        <w:rPr>
          <w:lang w:val="en-US"/>
        </w:rPr>
        <w:t>an assessment of a project. Where an assessment b</w:t>
      </w:r>
      <w:r w:rsidR="007A7D8E">
        <w:rPr>
          <w:lang w:val="en-US"/>
        </w:rPr>
        <w:t>ilateral agreement with a state or territory</w:t>
      </w:r>
      <w:r w:rsidR="00792A73">
        <w:rPr>
          <w:lang w:val="en-US"/>
        </w:rPr>
        <w:t xml:space="preserve"> covers the process, the state </w:t>
      </w:r>
      <w:r w:rsidR="00792A73">
        <w:rPr>
          <w:lang w:val="en-US"/>
        </w:rPr>
        <w:lastRenderedPageBreak/>
        <w:t>assessment also satisfies Commonwealth assessment requirements.</w:t>
      </w:r>
      <w:r w:rsidR="007A7D8E">
        <w:rPr>
          <w:lang w:val="en-US"/>
        </w:rPr>
        <w:t xml:space="preserve"> </w:t>
      </w:r>
      <w:r w:rsidR="00792A73">
        <w:rPr>
          <w:lang w:val="en-US"/>
        </w:rPr>
        <w:t xml:space="preserve">If there is no assessment bilateral agreement, </w:t>
      </w:r>
      <w:r w:rsidR="00F37086">
        <w:rPr>
          <w:lang w:val="en-US"/>
        </w:rPr>
        <w:t xml:space="preserve">but </w:t>
      </w:r>
      <w:r w:rsidR="00792A73">
        <w:rPr>
          <w:lang w:val="en-US"/>
        </w:rPr>
        <w:t xml:space="preserve">the </w:t>
      </w:r>
      <w:r w:rsidR="007A7D8E">
        <w:rPr>
          <w:lang w:val="en-US"/>
        </w:rPr>
        <w:t xml:space="preserve">Minister </w:t>
      </w:r>
      <w:r w:rsidR="00F37086">
        <w:rPr>
          <w:lang w:val="en-US"/>
        </w:rPr>
        <w:t xml:space="preserve">is </w:t>
      </w:r>
      <w:r w:rsidR="00A26B3B">
        <w:rPr>
          <w:lang w:val="en-US"/>
        </w:rPr>
        <w:t>satisfied</w:t>
      </w:r>
      <w:r w:rsidRPr="00FC12C4">
        <w:rPr>
          <w:lang w:val="en-US"/>
        </w:rPr>
        <w:t xml:space="preserve"> that </w:t>
      </w:r>
      <w:r w:rsidR="00F37086">
        <w:rPr>
          <w:lang w:val="en-US"/>
        </w:rPr>
        <w:t xml:space="preserve">the state </w:t>
      </w:r>
      <w:r w:rsidR="007A7D8E">
        <w:rPr>
          <w:lang w:val="en-US"/>
        </w:rPr>
        <w:t xml:space="preserve">process </w:t>
      </w:r>
      <w:r w:rsidRPr="00FC12C4">
        <w:rPr>
          <w:lang w:val="en-US"/>
        </w:rPr>
        <w:t>can satisfy Commo</w:t>
      </w:r>
      <w:r w:rsidR="00F37086">
        <w:rPr>
          <w:lang w:val="en-US"/>
        </w:rPr>
        <w:t xml:space="preserve">nwealth assessment requirements, the Minister may accredit the state process as </w:t>
      </w:r>
      <w:r w:rsidR="00A26B3B">
        <w:rPr>
          <w:lang w:val="en-US"/>
        </w:rPr>
        <w:t>satisfying</w:t>
      </w:r>
      <w:r w:rsidR="00F37086">
        <w:rPr>
          <w:lang w:val="en-US"/>
        </w:rPr>
        <w:t xml:space="preserve"> the requirements of the EPBC Act for a particular project. In both of these scenarios, the Department still works with the state agencies to ensure that the assessment adequately addresses </w:t>
      </w:r>
      <w:r w:rsidR="00782115">
        <w:rPr>
          <w:lang w:val="en-US"/>
        </w:rPr>
        <w:t>matters of national environmental significance</w:t>
      </w:r>
      <w:r w:rsidR="00F37086">
        <w:rPr>
          <w:lang w:val="en-US"/>
        </w:rPr>
        <w:t>.</w:t>
      </w:r>
    </w:p>
    <w:p w:rsidR="00140BE4" w:rsidRPr="00AC1885" w:rsidRDefault="00140BE4" w:rsidP="00140BE4">
      <w:pPr>
        <w:pStyle w:val="Heading3"/>
        <w:rPr>
          <w:lang w:val="en-US"/>
        </w:rPr>
      </w:pPr>
      <w:bookmarkStart w:id="189" w:name="_Ref387066796"/>
      <w:bookmarkStart w:id="190" w:name="_Ref387066803"/>
      <w:bookmarkStart w:id="191" w:name="_Toc391541577"/>
      <w:r w:rsidRPr="00AC1885">
        <w:rPr>
          <w:lang w:val="en-US"/>
        </w:rPr>
        <w:t xml:space="preserve">Model assumptions - </w:t>
      </w:r>
      <w:r w:rsidR="00361B95">
        <w:rPr>
          <w:lang w:val="en-US"/>
        </w:rPr>
        <w:t>environmental impact assessments</w:t>
      </w:r>
      <w:bookmarkEnd w:id="189"/>
      <w:bookmarkEnd w:id="190"/>
      <w:bookmarkEnd w:id="191"/>
    </w:p>
    <w:p w:rsidR="000B573E" w:rsidRDefault="00140BE4">
      <w:r w:rsidRPr="00767BDD">
        <w:t xml:space="preserve">The total fee for undertaking an environmental impact assessment includes two types of costs: </w:t>
      </w:r>
      <w:r w:rsidR="00CA3ABF" w:rsidRPr="00CA3ABF">
        <w:t>base costs and complexity costs.</w:t>
      </w:r>
      <w:r w:rsidR="00394D9E">
        <w:t xml:space="preserve"> </w:t>
      </w:r>
      <w:r w:rsidR="00CA3ABF" w:rsidRPr="00CA3ABF">
        <w:t xml:space="preserve">The cost estimates for environmental impact assessments documented in this CRIS have been derived from an analysis of projects that the Department considered </w:t>
      </w:r>
      <w:proofErr w:type="gramStart"/>
      <w:r w:rsidR="00CA3ABF" w:rsidRPr="00CA3ABF">
        <w:t>to be</w:t>
      </w:r>
      <w:proofErr w:type="gramEnd"/>
      <w:r w:rsidR="00CA3ABF" w:rsidRPr="00CA3ABF">
        <w:t xml:space="preserve"> ‘best practice’ – projects which were assessed in the most efficient manner possible. In order to determine ‘efficient costs’</w:t>
      </w:r>
      <w:r w:rsidR="00F37086">
        <w:t>,</w:t>
      </w:r>
      <w:r w:rsidR="00CA3ABF" w:rsidRPr="00CA3ABF">
        <w:t xml:space="preserve"> the Department conducted focus group discussions with assessment officers with experience of a large number of assessments within the Department. </w:t>
      </w:r>
    </w:p>
    <w:p w:rsidR="000B573E" w:rsidRDefault="00CA3ABF">
      <w:r w:rsidRPr="00CA3ABF">
        <w:t>The features of ‘best practice’ projects examined by these focus groups were:</w:t>
      </w:r>
    </w:p>
    <w:p w:rsidR="000B573E" w:rsidRDefault="008518AF">
      <w:pPr>
        <w:pStyle w:val="ListBullet"/>
      </w:pPr>
      <w:r>
        <w:rPr>
          <w:lang w:val="en-US"/>
        </w:rPr>
        <w:t>E</w:t>
      </w:r>
      <w:r w:rsidR="00140BE4" w:rsidRPr="00436DFE">
        <w:rPr>
          <w:lang w:val="en-US"/>
        </w:rPr>
        <w:t xml:space="preserve">arly engagement with </w:t>
      </w:r>
      <w:r w:rsidR="00B64DB5">
        <w:rPr>
          <w:lang w:val="en-US"/>
        </w:rPr>
        <w:t>applicant</w:t>
      </w:r>
      <w:r w:rsidR="00140BE4" w:rsidRPr="00436DFE">
        <w:rPr>
          <w:lang w:val="en-US"/>
        </w:rPr>
        <w:t xml:space="preserve">s, </w:t>
      </w:r>
    </w:p>
    <w:p w:rsidR="000B573E" w:rsidRDefault="00D469E9">
      <w:pPr>
        <w:pStyle w:val="ListBullet"/>
      </w:pPr>
      <w:r>
        <w:rPr>
          <w:lang w:val="en-US"/>
        </w:rPr>
        <w:t>Adequate and timely information provided by the applicant,</w:t>
      </w:r>
    </w:p>
    <w:p w:rsidR="000B573E" w:rsidRDefault="008518AF">
      <w:pPr>
        <w:pStyle w:val="ListBullet"/>
      </w:pPr>
      <w:r>
        <w:rPr>
          <w:lang w:val="en-US"/>
        </w:rPr>
        <w:t>Ti</w:t>
      </w:r>
      <w:r w:rsidR="00140BE4" w:rsidRPr="00436DFE">
        <w:rPr>
          <w:lang w:val="en-US"/>
        </w:rPr>
        <w:t>mely assessment at each stage</w:t>
      </w:r>
      <w:r w:rsidR="007A7D8E">
        <w:rPr>
          <w:lang w:val="en-US"/>
        </w:rPr>
        <w:t>,</w:t>
      </w:r>
      <w:r w:rsidR="00140BE4" w:rsidRPr="00436DFE">
        <w:rPr>
          <w:lang w:val="en-US"/>
        </w:rPr>
        <w:t xml:space="preserve"> and </w:t>
      </w:r>
    </w:p>
    <w:p w:rsidR="000B573E" w:rsidRDefault="008518AF">
      <w:pPr>
        <w:pStyle w:val="ListBullet"/>
      </w:pPr>
      <w:r>
        <w:rPr>
          <w:lang w:val="en-US"/>
        </w:rPr>
        <w:t>R</w:t>
      </w:r>
      <w:r w:rsidR="00140BE4" w:rsidRPr="00436DFE">
        <w:rPr>
          <w:lang w:val="en-US"/>
        </w:rPr>
        <w:t xml:space="preserve">egular liaison with the </w:t>
      </w:r>
      <w:r w:rsidR="00B64DB5">
        <w:rPr>
          <w:lang w:val="en-US"/>
        </w:rPr>
        <w:t>applicant</w:t>
      </w:r>
      <w:r w:rsidR="00140BE4" w:rsidRPr="00436DFE">
        <w:rPr>
          <w:lang w:val="en-US"/>
        </w:rPr>
        <w:t xml:space="preserve"> throughout the assessment period</w:t>
      </w:r>
      <w:r w:rsidR="007A7D8E">
        <w:rPr>
          <w:lang w:val="en-US"/>
        </w:rPr>
        <w:t>.</w:t>
      </w:r>
      <w:r w:rsidR="00140BE4" w:rsidRPr="00436DFE">
        <w:rPr>
          <w:lang w:val="en-US"/>
        </w:rPr>
        <w:t xml:space="preserve"> </w:t>
      </w:r>
    </w:p>
    <w:p w:rsidR="000B573E" w:rsidRDefault="007A7D8E">
      <w:r>
        <w:rPr>
          <w:lang w:val="en-US"/>
        </w:rPr>
        <w:t xml:space="preserve">For relevant projects, these steps </w:t>
      </w:r>
      <w:r w:rsidR="00140BE4" w:rsidRPr="00436DFE">
        <w:rPr>
          <w:lang w:val="en-US"/>
        </w:rPr>
        <w:t xml:space="preserve">resulted in </w:t>
      </w:r>
      <w:r w:rsidR="008518AF">
        <w:rPr>
          <w:lang w:val="en-US"/>
        </w:rPr>
        <w:t xml:space="preserve">the decision maker </w:t>
      </w:r>
      <w:r w:rsidR="00140BE4" w:rsidRPr="00436DFE">
        <w:rPr>
          <w:lang w:val="en-US"/>
        </w:rPr>
        <w:t>meeting statutory timeframes</w:t>
      </w:r>
      <w:r>
        <w:rPr>
          <w:lang w:val="en-US"/>
        </w:rPr>
        <w:t>.</w:t>
      </w:r>
    </w:p>
    <w:p w:rsidR="00140BE4" w:rsidRPr="001A5216" w:rsidRDefault="00751E6D" w:rsidP="00140BE4">
      <w:pPr>
        <w:pStyle w:val="Heading2"/>
      </w:pPr>
      <w:bookmarkStart w:id="192" w:name="_Toc391541578"/>
      <w:r>
        <w:t xml:space="preserve">Efficient costs </w:t>
      </w:r>
      <w:r w:rsidR="00140BE4" w:rsidRPr="001A5216">
        <w:t xml:space="preserve">- </w:t>
      </w:r>
      <w:r w:rsidR="00361B95">
        <w:t>environmental impact assessments</w:t>
      </w:r>
      <w:bookmarkEnd w:id="192"/>
    </w:p>
    <w:p w:rsidR="00140BE4" w:rsidRPr="001A5216" w:rsidRDefault="00140BE4" w:rsidP="00140BE4">
      <w:pPr>
        <w:pStyle w:val="Heading3"/>
        <w:rPr>
          <w:lang w:val="en-US"/>
        </w:rPr>
      </w:pPr>
      <w:bookmarkStart w:id="193" w:name="_Toc391541579"/>
      <w:r w:rsidRPr="001A5216">
        <w:rPr>
          <w:lang w:val="en-US"/>
        </w:rPr>
        <w:t>Base costs</w:t>
      </w:r>
      <w:bookmarkEnd w:id="193"/>
    </w:p>
    <w:p w:rsidR="00140BE4" w:rsidRPr="001A5216" w:rsidRDefault="00140BE4" w:rsidP="00140BE4">
      <w:r w:rsidRPr="001A5216">
        <w:rPr>
          <w:lang w:val="en-US"/>
        </w:rPr>
        <w:t xml:space="preserve">A base cost is applicable for each </w:t>
      </w:r>
      <w:r w:rsidR="007C3630">
        <w:rPr>
          <w:lang w:val="en-US"/>
        </w:rPr>
        <w:t xml:space="preserve">possible </w:t>
      </w:r>
      <w:r w:rsidRPr="001A5216">
        <w:rPr>
          <w:lang w:val="en-US"/>
        </w:rPr>
        <w:t xml:space="preserve">stage of an environmental impact assessment </w:t>
      </w:r>
      <w:r w:rsidR="007C3630">
        <w:rPr>
          <w:lang w:val="en-US"/>
        </w:rPr>
        <w:t xml:space="preserve">which could be </w:t>
      </w:r>
      <w:r w:rsidRPr="001A5216">
        <w:rPr>
          <w:lang w:val="en-US"/>
        </w:rPr>
        <w:t xml:space="preserve">undertaken for an individual </w:t>
      </w:r>
      <w:r w:rsidR="007C3630">
        <w:rPr>
          <w:lang w:val="en-US"/>
        </w:rPr>
        <w:t>action</w:t>
      </w:r>
      <w:r w:rsidRPr="001A5216">
        <w:rPr>
          <w:lang w:val="en-US"/>
        </w:rPr>
        <w:t>, including referral, assessment, and the assessment of post approval action management plans</w:t>
      </w:r>
      <w:r w:rsidR="007C3630">
        <w:rPr>
          <w:lang w:val="en-US"/>
        </w:rPr>
        <w:t xml:space="preserve">. </w:t>
      </w:r>
      <w:r w:rsidRPr="001A5216">
        <w:t>Base costs for environmenta</w:t>
      </w:r>
      <w:r w:rsidR="007E5869">
        <w:t>l impact assessment activities,</w:t>
      </w:r>
      <w:r w:rsidRPr="001A5216">
        <w:t xml:space="preserve"> </w:t>
      </w:r>
      <w:r w:rsidR="007E5869">
        <w:t xml:space="preserve">corresponding to fees </w:t>
      </w:r>
      <w:r w:rsidRPr="001A5216">
        <w:t xml:space="preserve">set out in regulations, are outlined in </w:t>
      </w:r>
      <w:r w:rsidR="00D30427">
        <w:fldChar w:fldCharType="begin"/>
      </w:r>
      <w:r w:rsidR="008518AF">
        <w:instrText xml:space="preserve"> REF _Ref387066850 \h </w:instrText>
      </w:r>
      <w:r w:rsidR="00D30427">
        <w:fldChar w:fldCharType="separate"/>
      </w:r>
      <w:r w:rsidR="001D521C">
        <w:t xml:space="preserve">Table </w:t>
      </w:r>
      <w:r w:rsidR="001D521C">
        <w:rPr>
          <w:noProof/>
        </w:rPr>
        <w:t>1</w:t>
      </w:r>
      <w:r w:rsidR="00D30427">
        <w:fldChar w:fldCharType="end"/>
      </w:r>
      <w:r w:rsidR="00A7551B">
        <w:t xml:space="preserve"> below</w:t>
      </w:r>
      <w:r w:rsidRPr="00103FDA">
        <w:t>.</w:t>
      </w:r>
      <w:r w:rsidR="007C3630">
        <w:t xml:space="preserve"> Base costs </w:t>
      </w:r>
      <w:r w:rsidR="007E5869">
        <w:t>are</w:t>
      </w:r>
      <w:r w:rsidR="007C3630">
        <w:t xml:space="preserve"> charge</w:t>
      </w:r>
      <w:r w:rsidR="00D469E9">
        <w:t>d</w:t>
      </w:r>
      <w:r w:rsidR="007C3630">
        <w:t xml:space="preserve"> for those stages which apply to a particular action.</w:t>
      </w:r>
    </w:p>
    <w:p w:rsidR="000B573E" w:rsidRDefault="00140BE4">
      <w:r w:rsidRPr="001A5216">
        <w:t xml:space="preserve">The major component of base costs for an environmental impact assessment is staff costs. Staff costs include the base salary, superannuation and other on-costs for staff who are directly involved in the assessment process. The total </w:t>
      </w:r>
      <w:r w:rsidR="00236A80">
        <w:t xml:space="preserve">base </w:t>
      </w:r>
      <w:r w:rsidRPr="001A5216">
        <w:t>cost also includes a component of accommodation and property expenses, information technology costs and human resources support that can be attributed to staff</w:t>
      </w:r>
      <w:r>
        <w:t xml:space="preserve"> who are directly involved in the assessment process</w:t>
      </w:r>
      <w:r w:rsidRPr="00FC12C4">
        <w:t xml:space="preserve">. </w:t>
      </w:r>
      <w:r>
        <w:t>Environmental impact assessments involve staff members at a range of classifications</w:t>
      </w:r>
      <w:r w:rsidRPr="00FC12C4">
        <w:t xml:space="preserve">.  </w:t>
      </w:r>
      <w:r>
        <w:t xml:space="preserve">The </w:t>
      </w:r>
      <w:r w:rsidRPr="00FC12C4">
        <w:t xml:space="preserve">base cost for these activities has been </w:t>
      </w:r>
      <w:r>
        <w:t>calculated on the basis of</w:t>
      </w:r>
      <w:r w:rsidRPr="00FC12C4">
        <w:t xml:space="preserve"> best practice </w:t>
      </w:r>
      <w:r w:rsidR="008518AF">
        <w:t>for</w:t>
      </w:r>
      <w:r w:rsidR="007C3630">
        <w:t xml:space="preserve"> activities necessary to conduct the relevant stage, </w:t>
      </w:r>
      <w:r w:rsidRPr="00FC12C4">
        <w:t xml:space="preserve">and </w:t>
      </w:r>
      <w:r w:rsidR="007C3630">
        <w:t xml:space="preserve">what is </w:t>
      </w:r>
      <w:r w:rsidRPr="00FC12C4">
        <w:t xml:space="preserve">the most efficient time </w:t>
      </w:r>
      <w:r w:rsidR="007C3630">
        <w:t xml:space="preserve">in which </w:t>
      </w:r>
      <w:r w:rsidRPr="00FC12C4">
        <w:t>to complete the activity</w:t>
      </w:r>
      <w:r w:rsidR="007C3630">
        <w:t xml:space="preserve"> (see </w:t>
      </w:r>
      <w:r w:rsidR="00D30427">
        <w:fldChar w:fldCharType="begin"/>
      </w:r>
      <w:r w:rsidR="006C0D21">
        <w:instrText xml:space="preserve"> REF _Ref387066850 \h </w:instrText>
      </w:r>
      <w:r w:rsidR="00D30427">
        <w:fldChar w:fldCharType="separate"/>
      </w:r>
      <w:r w:rsidR="001D521C">
        <w:t xml:space="preserve">Table </w:t>
      </w:r>
      <w:r w:rsidR="001D521C">
        <w:rPr>
          <w:noProof/>
        </w:rPr>
        <w:t>1</w:t>
      </w:r>
      <w:r w:rsidR="00D30427">
        <w:fldChar w:fldCharType="end"/>
      </w:r>
      <w:r w:rsidR="006C0D21">
        <w:t xml:space="preserve"> </w:t>
      </w:r>
      <w:r w:rsidR="00D469E9">
        <w:t>below</w:t>
      </w:r>
      <w:r w:rsidR="007C3630">
        <w:t>)</w:t>
      </w:r>
      <w:r w:rsidRPr="00FC12C4">
        <w:t xml:space="preserve">. </w:t>
      </w:r>
    </w:p>
    <w:p w:rsidR="00B83661" w:rsidRDefault="00B83661" w:rsidP="00140BE4"/>
    <w:p w:rsidR="00B83661" w:rsidRDefault="00B83661" w:rsidP="00140BE4"/>
    <w:p w:rsidR="007C3630" w:rsidRDefault="00140BE4" w:rsidP="00140BE4">
      <w:r w:rsidRPr="00FC12C4">
        <w:lastRenderedPageBreak/>
        <w:t xml:space="preserve">The calculation of the base cost for an </w:t>
      </w:r>
      <w:r>
        <w:rPr>
          <w:lang w:val="en-US"/>
        </w:rPr>
        <w:t>environmental impact assessment</w:t>
      </w:r>
      <w:r w:rsidRPr="00FC12C4">
        <w:t xml:space="preserve"> has been based on the time </w:t>
      </w:r>
      <w:r>
        <w:t>required</w:t>
      </w:r>
      <w:r w:rsidRPr="00FC12C4">
        <w:t xml:space="preserve"> to assess a project of the lowest complexity</w:t>
      </w:r>
      <w:r w:rsidR="00A057D0">
        <w:t xml:space="preserve">, </w:t>
      </w:r>
      <w:r w:rsidRPr="00FC12C4">
        <w:t>that is, the cost of assessing a project with</w:t>
      </w:r>
      <w:r w:rsidR="007C3630">
        <w:t>:</w:t>
      </w:r>
      <w:r w:rsidRPr="00FC12C4">
        <w:t xml:space="preserve"> </w:t>
      </w:r>
    </w:p>
    <w:p w:rsidR="000B573E" w:rsidRDefault="008518AF">
      <w:pPr>
        <w:pStyle w:val="ListBullet"/>
      </w:pPr>
      <w:r>
        <w:t>A</w:t>
      </w:r>
      <w:r w:rsidR="00140BE4" w:rsidRPr="00FC12C4">
        <w:t xml:space="preserve"> low</w:t>
      </w:r>
      <w:r w:rsidR="00140BE4">
        <w:t xml:space="preserve"> </w:t>
      </w:r>
      <w:r w:rsidR="00140BE4" w:rsidRPr="00FC12C4">
        <w:t xml:space="preserve">level of complexity across all matters of </w:t>
      </w:r>
      <w:r w:rsidR="00140BE4">
        <w:t>national environmental significance</w:t>
      </w:r>
      <w:r w:rsidR="00140BE4" w:rsidRPr="00FC12C4">
        <w:t xml:space="preserve">, </w:t>
      </w:r>
    </w:p>
    <w:p w:rsidR="000B573E" w:rsidRDefault="008518AF">
      <w:pPr>
        <w:pStyle w:val="ListBullet"/>
      </w:pPr>
      <w:r>
        <w:t>O</w:t>
      </w:r>
      <w:r w:rsidR="00140BE4" w:rsidRPr="00FC12C4">
        <w:t xml:space="preserve">nly one project component, </w:t>
      </w:r>
    </w:p>
    <w:p w:rsidR="000B573E" w:rsidRDefault="008518AF">
      <w:pPr>
        <w:pStyle w:val="ListBullet"/>
      </w:pPr>
      <w:r>
        <w:t>A</w:t>
      </w:r>
      <w:r w:rsidR="00140BE4" w:rsidRPr="00FC12C4">
        <w:t xml:space="preserve"> high level of certainty regarding impacts</w:t>
      </w:r>
      <w:r w:rsidR="00140BE4">
        <w:t xml:space="preserve"> and</w:t>
      </w:r>
      <w:r w:rsidR="00140BE4" w:rsidRPr="00FC12C4">
        <w:t xml:space="preserve"> management measures</w:t>
      </w:r>
      <w:r w:rsidR="00140BE4">
        <w:t>,</w:t>
      </w:r>
      <w:r w:rsidR="00140BE4" w:rsidRPr="00FC12C4">
        <w:t xml:space="preserve"> and</w:t>
      </w:r>
      <w:r w:rsidR="00140BE4">
        <w:t xml:space="preserve"> </w:t>
      </w:r>
    </w:p>
    <w:p w:rsidR="000B573E" w:rsidRDefault="008518AF">
      <w:pPr>
        <w:pStyle w:val="ListBullet"/>
      </w:pPr>
      <w:r>
        <w:t>L</w:t>
      </w:r>
      <w:r w:rsidR="00140BE4">
        <w:t>imited</w:t>
      </w:r>
      <w:r w:rsidR="00140BE4" w:rsidRPr="00FC12C4">
        <w:t xml:space="preserve"> links to other legislation that need to be managed throughout the assessment period.  </w:t>
      </w:r>
    </w:p>
    <w:p w:rsidR="00140BE4" w:rsidRDefault="00140BE4" w:rsidP="00140BE4">
      <w:r>
        <w:t xml:space="preserve">Further information on how </w:t>
      </w:r>
      <w:r w:rsidRPr="00FC12C4">
        <w:t>base cost</w:t>
      </w:r>
      <w:r>
        <w:t>s are calculated</w:t>
      </w:r>
      <w:r w:rsidRPr="00FC12C4">
        <w:t xml:space="preserve"> </w:t>
      </w:r>
      <w:r>
        <w:t xml:space="preserve">for </w:t>
      </w:r>
      <w:r w:rsidR="007C3630">
        <w:t xml:space="preserve">particular assessment processes </w:t>
      </w:r>
      <w:r>
        <w:t>is provided in the relevant sections in this chapter</w:t>
      </w:r>
      <w:r w:rsidRPr="00FC12C4">
        <w:t xml:space="preserve">. </w:t>
      </w:r>
    </w:p>
    <w:p w:rsidR="008226F4" w:rsidRDefault="008226F4">
      <w:pPr>
        <w:spacing w:after="0" w:line="240" w:lineRule="auto"/>
        <w:rPr>
          <w:rFonts w:asciiTheme="minorHAnsi" w:eastAsia="Times New Roman" w:hAnsiTheme="minorHAnsi" w:cstheme="minorHAnsi"/>
          <w:b/>
          <w:bCs/>
          <w:color w:val="4F81BD" w:themeColor="accent1"/>
          <w:sz w:val="20"/>
          <w:szCs w:val="20"/>
        </w:rPr>
      </w:pPr>
    </w:p>
    <w:p w:rsidR="00077C34" w:rsidRDefault="00077C34" w:rsidP="00077C34">
      <w:pPr>
        <w:pStyle w:val="Caption"/>
        <w:keepNext/>
      </w:pPr>
      <w:bookmarkStart w:id="194" w:name="_Ref387066850"/>
      <w:bookmarkStart w:id="195" w:name="_Ref387066845"/>
      <w:bookmarkStart w:id="196" w:name="_Toc387069800"/>
      <w:bookmarkStart w:id="197" w:name="_Toc387073262"/>
      <w:bookmarkStart w:id="198" w:name="_Toc391541645"/>
      <w:proofErr w:type="gramStart"/>
      <w:r>
        <w:t xml:space="preserve">Table </w:t>
      </w:r>
      <w:r w:rsidR="00D30427">
        <w:fldChar w:fldCharType="begin"/>
      </w:r>
      <w:r w:rsidR="00B06D9E">
        <w:instrText xml:space="preserve"> SEQ Table \* ARABIC </w:instrText>
      </w:r>
      <w:r w:rsidR="00D30427">
        <w:fldChar w:fldCharType="separate"/>
      </w:r>
      <w:r w:rsidR="001D521C">
        <w:rPr>
          <w:noProof/>
        </w:rPr>
        <w:t>1</w:t>
      </w:r>
      <w:r w:rsidR="00D30427">
        <w:fldChar w:fldCharType="end"/>
      </w:r>
      <w:bookmarkEnd w:id="194"/>
      <w:r>
        <w:t>.</w:t>
      </w:r>
      <w:proofErr w:type="gramEnd"/>
      <w:r>
        <w:t xml:space="preserve"> </w:t>
      </w:r>
      <w:r w:rsidRPr="000E626F">
        <w:t>Summary of base costs for environmental impact assessment activities</w:t>
      </w:r>
      <w:r w:rsidR="00103FDA">
        <w:t>.</w:t>
      </w:r>
      <w:bookmarkEnd w:id="195"/>
      <w:bookmarkEnd w:id="196"/>
      <w:bookmarkEnd w:id="197"/>
      <w:bookmarkEnd w:id="198"/>
    </w:p>
    <w:tbl>
      <w:tblPr>
        <w:tblStyle w:val="TableGrid"/>
        <w:tblW w:w="0" w:type="auto"/>
        <w:tblLook w:val="04A0"/>
      </w:tblPr>
      <w:tblGrid>
        <w:gridCol w:w="2891"/>
        <w:gridCol w:w="1647"/>
        <w:gridCol w:w="1413"/>
        <w:gridCol w:w="983"/>
        <w:gridCol w:w="1050"/>
        <w:gridCol w:w="1444"/>
      </w:tblGrid>
      <w:tr w:rsidR="00140BE4" w:rsidRPr="00666DE2" w:rsidTr="005123A5">
        <w:trPr>
          <w:cnfStyle w:val="100000000000"/>
          <w:cantSplit/>
          <w:trHeight w:val="365"/>
          <w:tblHeader/>
        </w:trPr>
        <w:tc>
          <w:tcPr>
            <w:tcW w:w="0" w:type="auto"/>
            <w:tcBorders>
              <w:top w:val="nil"/>
              <w:left w:val="nil"/>
              <w:bottom w:val="single" w:sz="4" w:space="0" w:color="548DD4" w:themeColor="text2" w:themeTint="99"/>
              <w:right w:val="single" w:sz="4" w:space="0" w:color="548DD4" w:themeColor="text2" w:themeTint="99"/>
            </w:tcBorders>
            <w:vAlign w:val="bottom"/>
          </w:tcPr>
          <w:p w:rsidR="00140BE4" w:rsidRPr="00666DE2" w:rsidRDefault="00140BE4" w:rsidP="003A1E94">
            <w:pPr>
              <w:rPr>
                <w:sz w:val="20"/>
                <w:szCs w:val="20"/>
              </w:rPr>
            </w:pPr>
          </w:p>
        </w:tc>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Time (days)</w:t>
            </w:r>
          </w:p>
        </w:tc>
        <w:tc>
          <w:tcPr>
            <w:tcW w:w="0" w:type="auto"/>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Total base costs ($)</w:t>
            </w:r>
          </w:p>
        </w:tc>
      </w:tr>
      <w:tr w:rsidR="00140BE4" w:rsidRPr="00666DE2" w:rsidTr="005123A5">
        <w:trPr>
          <w:cnfStyle w:val="100000000000"/>
          <w:cantSplit/>
          <w:trHeight w:val="681"/>
          <w:tblHeader/>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Pr="00666DE2" w:rsidRDefault="00140BE4" w:rsidP="003A1E94">
            <w:pPr>
              <w:jc w:val="center"/>
              <w:rPr>
                <w:sz w:val="20"/>
                <w:szCs w:val="20"/>
              </w:rPr>
            </w:pPr>
            <w:r w:rsidRPr="00666DE2">
              <w:rPr>
                <w:b/>
                <w:sz w:val="20"/>
                <w:szCs w:val="20"/>
              </w:rPr>
              <w:t>Activity</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Assessment Officer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Assistant 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40BE4" w:rsidRDefault="00140BE4" w:rsidP="003A1E94">
            <w:pPr>
              <w:jc w:val="center"/>
              <w:rPr>
                <w:sz w:val="20"/>
                <w:szCs w:val="20"/>
              </w:rPr>
            </w:pPr>
            <w:r w:rsidRPr="00666DE2">
              <w:rPr>
                <w:b/>
                <w:sz w:val="20"/>
                <w:szCs w:val="20"/>
              </w:rPr>
              <w:t>Delegate</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140BE4" w:rsidRPr="00666DE2" w:rsidRDefault="00140BE4" w:rsidP="003A1E94">
            <w:pPr>
              <w:rPr>
                <w:sz w:val="20"/>
                <w:szCs w:val="20"/>
              </w:rPr>
            </w:pP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40BE4" w:rsidRDefault="00140BE4" w:rsidP="003A1E94">
            <w:pPr>
              <w:rPr>
                <w:i/>
                <w:sz w:val="20"/>
                <w:szCs w:val="20"/>
              </w:rPr>
            </w:pPr>
            <w:r w:rsidRPr="005D13D6">
              <w:rPr>
                <w:i/>
                <w:sz w:val="20"/>
                <w:szCs w:val="20"/>
              </w:rPr>
              <w:t>Referral</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8.9</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3.6</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1</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666DE2">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40BE4" w:rsidRDefault="00140BE4" w:rsidP="003A1E94">
            <w:pPr>
              <w:jc w:val="right"/>
              <w:rPr>
                <w:sz w:val="20"/>
                <w:szCs w:val="20"/>
              </w:rPr>
            </w:pPr>
            <w:r w:rsidRPr="00666DE2">
              <w:rPr>
                <w:sz w:val="20"/>
                <w:szCs w:val="20"/>
              </w:rPr>
              <w:t>$7</w:t>
            </w:r>
            <w:r w:rsidR="007D5A91">
              <w:rPr>
                <w:sz w:val="20"/>
                <w:szCs w:val="20"/>
              </w:rPr>
              <w:t>,352</w:t>
            </w:r>
          </w:p>
        </w:tc>
      </w:tr>
      <w:tr w:rsidR="00140BE4" w:rsidRPr="00666DE2" w:rsidTr="005167B5">
        <w:trPr>
          <w:cnfStyle w:val="000000010000"/>
        </w:trPr>
        <w:tc>
          <w:tcPr>
            <w:tcW w:w="0" w:type="auto"/>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tcPr>
          <w:p w:rsidR="00140BE4" w:rsidRPr="00696FDC" w:rsidRDefault="00140BE4" w:rsidP="003A1E94">
            <w:pPr>
              <w:rPr>
                <w:sz w:val="20"/>
                <w:szCs w:val="20"/>
              </w:rPr>
            </w:pPr>
            <w:r w:rsidRPr="005D13D6">
              <w:rPr>
                <w:i/>
                <w:sz w:val="20"/>
                <w:szCs w:val="20"/>
              </w:rPr>
              <w:t>Assessment</w:t>
            </w: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666DE2" w:rsidRDefault="00140BE4" w:rsidP="003A1E94">
            <w:pPr>
              <w:ind w:left="284"/>
              <w:rPr>
                <w:sz w:val="20"/>
                <w:szCs w:val="20"/>
              </w:rPr>
            </w:pPr>
            <w:r>
              <w:rPr>
                <w:sz w:val="20"/>
                <w:szCs w:val="20"/>
              </w:rPr>
              <w:t>Assessment on Referral Information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14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3.2</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0.8</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447B19" w:rsidP="003A1E94">
            <w:pPr>
              <w:jc w:val="center"/>
              <w:rPr>
                <w:sz w:val="20"/>
                <w:szCs w:val="20"/>
              </w:rPr>
            </w:pPr>
            <w:r>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666DE2" w:rsidRDefault="00447B19" w:rsidP="003A1E94">
            <w:pPr>
              <w:jc w:val="right"/>
              <w:rPr>
                <w:sz w:val="20"/>
                <w:szCs w:val="20"/>
              </w:rPr>
            </w:pPr>
            <w:r>
              <w:rPr>
                <w:sz w:val="20"/>
                <w:szCs w:val="20"/>
              </w:rPr>
              <w:t>$9,417</w:t>
            </w:r>
          </w:p>
        </w:tc>
      </w:tr>
      <w:tr w:rsidR="00140BE4" w:rsidRPr="00666DE2" w:rsidTr="005167B5">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7462A4">
            <w:pPr>
              <w:ind w:left="284"/>
              <w:rPr>
                <w:sz w:val="20"/>
                <w:szCs w:val="20"/>
              </w:rPr>
            </w:pPr>
            <w:r w:rsidRPr="00666DE2">
              <w:rPr>
                <w:sz w:val="20"/>
                <w:szCs w:val="20"/>
              </w:rPr>
              <w:t>Preliminary documentation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12</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3.5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0.8</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Default="00140BE4" w:rsidP="003A1E94">
            <w:pPr>
              <w:jc w:val="right"/>
              <w:rPr>
                <w:sz w:val="20"/>
                <w:szCs w:val="20"/>
              </w:rPr>
            </w:pPr>
            <w:r w:rsidRPr="00666DE2">
              <w:rPr>
                <w:sz w:val="20"/>
                <w:szCs w:val="20"/>
              </w:rPr>
              <w:t>$8,</w:t>
            </w:r>
            <w:r w:rsidR="00981D8E">
              <w:rPr>
                <w:sz w:val="20"/>
                <w:szCs w:val="20"/>
              </w:rPr>
              <w:t>661</w:t>
            </w:r>
            <w:r w:rsidR="007462A4">
              <w:rPr>
                <w:rStyle w:val="FootnoteReference"/>
                <w:sz w:val="20"/>
                <w:szCs w:val="20"/>
              </w:rPr>
              <w:footnoteReference w:id="7"/>
            </w: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666DE2" w:rsidRDefault="00140BE4" w:rsidP="007462A4">
            <w:pPr>
              <w:ind w:left="284"/>
              <w:rPr>
                <w:sz w:val="20"/>
                <w:szCs w:val="20"/>
              </w:rPr>
            </w:pPr>
            <w:r>
              <w:rPr>
                <w:sz w:val="20"/>
                <w:szCs w:val="20"/>
              </w:rPr>
              <w:t>P</w:t>
            </w:r>
            <w:r w:rsidR="00724C6E">
              <w:rPr>
                <w:sz w:val="20"/>
                <w:szCs w:val="20"/>
              </w:rPr>
              <w:t>ublic environment report</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35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13</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666DE2" w:rsidRDefault="00A72A00" w:rsidP="003A1E94">
            <w:pPr>
              <w:jc w:val="center"/>
              <w:rPr>
                <w:sz w:val="20"/>
                <w:szCs w:val="20"/>
              </w:rPr>
            </w:pPr>
            <w:r>
              <w:rPr>
                <w:sz w:val="20"/>
                <w:szCs w:val="20"/>
              </w:rPr>
              <w:t>1.7</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666DE2" w:rsidRDefault="00A72A00" w:rsidP="003A1E94">
            <w:pPr>
              <w:jc w:val="right"/>
              <w:rPr>
                <w:sz w:val="20"/>
                <w:szCs w:val="20"/>
              </w:rPr>
            </w:pPr>
            <w:r>
              <w:rPr>
                <w:sz w:val="20"/>
                <w:szCs w:val="20"/>
              </w:rPr>
              <w:t>$30,202</w:t>
            </w:r>
            <w:r w:rsidR="007462A4">
              <w:rPr>
                <w:rStyle w:val="FootnoteReference"/>
                <w:sz w:val="20"/>
                <w:szCs w:val="20"/>
              </w:rPr>
              <w:footnoteReference w:id="8"/>
            </w:r>
          </w:p>
        </w:tc>
      </w:tr>
      <w:tr w:rsidR="00140BE4" w:rsidRPr="00666DE2" w:rsidTr="005167B5">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7462A4">
            <w:pPr>
              <w:ind w:left="284"/>
              <w:rPr>
                <w:sz w:val="20"/>
                <w:szCs w:val="20"/>
              </w:rPr>
            </w:pPr>
            <w:r w:rsidRPr="00666DE2">
              <w:rPr>
                <w:sz w:val="20"/>
                <w:szCs w:val="20"/>
              </w:rPr>
              <w:t>E</w:t>
            </w:r>
            <w:r w:rsidR="00724C6E">
              <w:rPr>
                <w:sz w:val="20"/>
                <w:szCs w:val="20"/>
              </w:rPr>
              <w:t>nvironmental impact statement</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35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13</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140BE4" w:rsidP="003A1E94">
            <w:pPr>
              <w:jc w:val="center"/>
              <w:rPr>
                <w:sz w:val="20"/>
                <w:szCs w:val="20"/>
              </w:rPr>
            </w:pPr>
            <w:r w:rsidRPr="00666DE2">
              <w:rPr>
                <w:sz w:val="20"/>
                <w:szCs w:val="20"/>
              </w:rPr>
              <w:t>1.7</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Default="00140BE4" w:rsidP="003A1E94">
            <w:pPr>
              <w:jc w:val="right"/>
              <w:rPr>
                <w:sz w:val="20"/>
                <w:szCs w:val="20"/>
              </w:rPr>
            </w:pPr>
            <w:r w:rsidRPr="00666DE2">
              <w:rPr>
                <w:sz w:val="20"/>
                <w:szCs w:val="20"/>
              </w:rPr>
              <w:t>$</w:t>
            </w:r>
            <w:r w:rsidR="007865A4">
              <w:rPr>
                <w:sz w:val="20"/>
                <w:szCs w:val="20"/>
              </w:rPr>
              <w:t>30,202</w:t>
            </w:r>
            <w:r w:rsidR="007462A4">
              <w:rPr>
                <w:rStyle w:val="FootnoteReference"/>
                <w:sz w:val="20"/>
                <w:szCs w:val="20"/>
              </w:rPr>
              <w:footnoteReference w:id="9"/>
            </w:r>
          </w:p>
        </w:tc>
      </w:tr>
      <w:tr w:rsidR="00140BE4" w:rsidRPr="00666DE2" w:rsidTr="005167B5">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7462A4">
            <w:pPr>
              <w:ind w:left="284"/>
              <w:rPr>
                <w:sz w:val="20"/>
                <w:szCs w:val="20"/>
              </w:rPr>
            </w:pPr>
            <w:r w:rsidRPr="00666DE2">
              <w:rPr>
                <w:sz w:val="20"/>
                <w:szCs w:val="20"/>
              </w:rPr>
              <w:t>Bilateral agreement / accredited assessments</w:t>
            </w:r>
            <w:r w:rsidR="00724C6E">
              <w:rPr>
                <w:sz w:val="20"/>
                <w:szCs w:val="20"/>
              </w:rPr>
              <w:t xml:space="preserve"> </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31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11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Default="009063F1" w:rsidP="003A1E94">
            <w:pPr>
              <w:jc w:val="center"/>
              <w:rPr>
                <w:sz w:val="20"/>
                <w:szCs w:val="20"/>
              </w:rPr>
            </w:pPr>
            <w:r>
              <w:rPr>
                <w:sz w:val="20"/>
                <w:szCs w:val="20"/>
              </w:rPr>
              <w:t>1.43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Default="00140BE4" w:rsidP="009063F1">
            <w:pPr>
              <w:jc w:val="right"/>
              <w:rPr>
                <w:sz w:val="20"/>
                <w:szCs w:val="20"/>
              </w:rPr>
            </w:pPr>
            <w:r w:rsidRPr="00666DE2">
              <w:rPr>
                <w:sz w:val="20"/>
                <w:szCs w:val="20"/>
              </w:rPr>
              <w:t>$</w:t>
            </w:r>
            <w:r w:rsidR="009063F1">
              <w:rPr>
                <w:sz w:val="20"/>
                <w:szCs w:val="20"/>
              </w:rPr>
              <w:t>26,043</w:t>
            </w:r>
            <w:r w:rsidR="007462A4">
              <w:rPr>
                <w:rStyle w:val="FootnoteReference"/>
                <w:sz w:val="20"/>
                <w:szCs w:val="20"/>
              </w:rPr>
              <w:footnoteReference w:id="10"/>
            </w:r>
          </w:p>
        </w:tc>
      </w:tr>
      <w:tr w:rsidR="00140BE4" w:rsidRPr="00666DE2" w:rsidTr="005167B5">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Default="00140BE4" w:rsidP="003A1E94">
            <w:pPr>
              <w:ind w:left="284"/>
              <w:rPr>
                <w:sz w:val="20"/>
                <w:szCs w:val="20"/>
              </w:rPr>
            </w:pPr>
            <w:r w:rsidRPr="00666DE2">
              <w:rPr>
                <w:sz w:val="20"/>
                <w:szCs w:val="20"/>
              </w:rPr>
              <w:t>Public inquiry</w:t>
            </w:r>
          </w:p>
        </w:tc>
        <w:tc>
          <w:tcPr>
            <w:tcW w:w="0" w:type="auto"/>
            <w:gridSpan w:val="5"/>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7865A4" w:rsidRDefault="00140BE4" w:rsidP="007865A4">
            <w:pPr>
              <w:rPr>
                <w:sz w:val="18"/>
                <w:szCs w:val="18"/>
              </w:rPr>
            </w:pPr>
            <w:r w:rsidRPr="007865A4">
              <w:rPr>
                <w:sz w:val="18"/>
                <w:szCs w:val="18"/>
              </w:rPr>
              <w:t>Costs to be determined on a case-by-case basis (not in this CRIS)</w:t>
            </w:r>
          </w:p>
        </w:tc>
      </w:tr>
      <w:tr w:rsidR="00140BE4" w:rsidRPr="00666DE2" w:rsidTr="005167B5">
        <w:trPr>
          <w:cnfStyle w:val="000000100000"/>
          <w:cantSplit/>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40BE4" w:rsidRDefault="00140BE4" w:rsidP="003A1E94">
            <w:pPr>
              <w:rPr>
                <w:i/>
                <w:sz w:val="20"/>
                <w:szCs w:val="20"/>
              </w:rPr>
            </w:pPr>
            <w:r w:rsidRPr="005D13D6">
              <w:rPr>
                <w:i/>
                <w:sz w:val="20"/>
                <w:szCs w:val="20"/>
              </w:rPr>
              <w:t>Post approval action management plan assessment</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5</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1</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0.25</w:t>
            </w:r>
          </w:p>
        </w:tc>
        <w:tc>
          <w:tcPr>
            <w:tcW w:w="0" w:type="auto"/>
            <w:tcBorders>
              <w:top w:val="single" w:sz="4" w:space="0" w:color="548DD4" w:themeColor="text2" w:themeTint="99"/>
              <w:left w:val="nil"/>
              <w:bottom w:val="single" w:sz="4" w:space="0" w:color="548DD4" w:themeColor="text2" w:themeTint="99"/>
              <w:right w:val="nil"/>
            </w:tcBorders>
            <w:shd w:val="clear" w:color="auto" w:fill="C6D9F1" w:themeFill="text2" w:themeFillTint="33"/>
            <w:vAlign w:val="center"/>
          </w:tcPr>
          <w:p w:rsidR="00140BE4" w:rsidRDefault="00140BE4" w:rsidP="003A1E94">
            <w:pPr>
              <w:jc w:val="center"/>
              <w:rPr>
                <w:sz w:val="20"/>
                <w:szCs w:val="20"/>
              </w:rPr>
            </w:pPr>
            <w:r w:rsidRPr="00371D12">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40BE4" w:rsidRDefault="00140BE4" w:rsidP="003A1E94">
            <w:pPr>
              <w:jc w:val="right"/>
              <w:rPr>
                <w:sz w:val="20"/>
                <w:szCs w:val="20"/>
              </w:rPr>
            </w:pPr>
            <w:r w:rsidRPr="00371D12">
              <w:rPr>
                <w:sz w:val="20"/>
                <w:szCs w:val="20"/>
              </w:rPr>
              <w:t>$3,</w:t>
            </w:r>
            <w:r w:rsidR="00DD6C35">
              <w:rPr>
                <w:sz w:val="20"/>
                <w:szCs w:val="20"/>
              </w:rPr>
              <w:t>233</w:t>
            </w:r>
          </w:p>
        </w:tc>
      </w:tr>
    </w:tbl>
    <w:p w:rsidR="00B83661" w:rsidRDefault="00B83661">
      <w:r>
        <w:br w:type="page"/>
      </w:r>
    </w:p>
    <w:tbl>
      <w:tblPr>
        <w:tblStyle w:val="TableGrid"/>
        <w:tblW w:w="0" w:type="auto"/>
        <w:tblLook w:val="04A0"/>
      </w:tblPr>
      <w:tblGrid>
        <w:gridCol w:w="3434"/>
        <w:gridCol w:w="1529"/>
        <w:gridCol w:w="1274"/>
        <w:gridCol w:w="983"/>
        <w:gridCol w:w="1050"/>
        <w:gridCol w:w="1158"/>
      </w:tblGrid>
      <w:tr w:rsidR="003871AC" w:rsidRPr="00666DE2" w:rsidTr="00C11A59">
        <w:trPr>
          <w:cnfStyle w:val="100000000000"/>
        </w:trPr>
        <w:tc>
          <w:tcPr>
            <w:tcW w:w="0" w:type="auto"/>
            <w:tcBorders>
              <w:top w:val="nil"/>
              <w:left w:val="nil"/>
              <w:bottom w:val="single" w:sz="4" w:space="0" w:color="548DD4" w:themeColor="text2" w:themeTint="99"/>
              <w:right w:val="single" w:sz="4" w:space="0" w:color="548DD4" w:themeColor="text2" w:themeTint="99"/>
            </w:tcBorders>
            <w:shd w:val="clear" w:color="auto" w:fill="auto"/>
            <w:vAlign w:val="center"/>
          </w:tcPr>
          <w:p w:rsidR="003871AC" w:rsidRPr="00E51E7F" w:rsidRDefault="003871AC" w:rsidP="003A1E94">
            <w:pPr>
              <w:ind w:left="284"/>
              <w:rPr>
                <w:sz w:val="20"/>
                <w:szCs w:val="20"/>
              </w:rPr>
            </w:pPr>
          </w:p>
        </w:tc>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871AC" w:rsidRPr="00E51E7F" w:rsidRDefault="003871AC" w:rsidP="003A1E94">
            <w:pPr>
              <w:jc w:val="center"/>
              <w:rPr>
                <w:sz w:val="20"/>
                <w:szCs w:val="20"/>
              </w:rPr>
            </w:pPr>
            <w:r w:rsidRPr="00666DE2">
              <w:rPr>
                <w:b/>
                <w:sz w:val="20"/>
                <w:szCs w:val="20"/>
              </w:rPr>
              <w:t>Time (days)</w:t>
            </w:r>
          </w:p>
        </w:tc>
        <w:tc>
          <w:tcPr>
            <w:tcW w:w="0" w:type="auto"/>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871AC" w:rsidRPr="00E51E7F" w:rsidRDefault="003871AC" w:rsidP="005123A5">
            <w:pPr>
              <w:rPr>
                <w:sz w:val="20"/>
                <w:szCs w:val="20"/>
              </w:rPr>
            </w:pPr>
            <w:r w:rsidRPr="00666DE2">
              <w:rPr>
                <w:b/>
                <w:sz w:val="20"/>
                <w:szCs w:val="20"/>
              </w:rPr>
              <w:t>Total base costs ($)</w:t>
            </w:r>
          </w:p>
        </w:tc>
      </w:tr>
      <w:tr w:rsidR="00935E0F" w:rsidRPr="00666DE2" w:rsidTr="003871AC">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Pr="00666DE2" w:rsidRDefault="00935E0F" w:rsidP="00935E0F">
            <w:pPr>
              <w:jc w:val="center"/>
              <w:rPr>
                <w:sz w:val="20"/>
                <w:szCs w:val="20"/>
              </w:rPr>
            </w:pPr>
            <w:r w:rsidRPr="00666DE2">
              <w:rPr>
                <w:b/>
                <w:sz w:val="20"/>
                <w:szCs w:val="20"/>
              </w:rPr>
              <w:t>Activity</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Assessment Officer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Assistant 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935E0F" w:rsidRDefault="00935E0F" w:rsidP="00935E0F">
            <w:pPr>
              <w:jc w:val="center"/>
              <w:rPr>
                <w:sz w:val="20"/>
                <w:szCs w:val="20"/>
              </w:rPr>
            </w:pPr>
            <w:r w:rsidRPr="00666DE2">
              <w:rPr>
                <w:b/>
                <w:sz w:val="20"/>
                <w:szCs w:val="20"/>
              </w:rPr>
              <w:t>Delegate</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935E0F" w:rsidRPr="00E51E7F" w:rsidRDefault="00935E0F" w:rsidP="00E51E7F">
            <w:pPr>
              <w:jc w:val="right"/>
              <w:rPr>
                <w:sz w:val="20"/>
                <w:szCs w:val="20"/>
              </w:rPr>
            </w:pPr>
          </w:p>
        </w:tc>
      </w:tr>
      <w:tr w:rsidR="00935E0F" w:rsidRPr="00696FDC" w:rsidTr="00935E0F">
        <w:trPr>
          <w:cnfStyle w:val="000000010000"/>
        </w:trPr>
        <w:tc>
          <w:tcPr>
            <w:tcW w:w="0" w:type="auto"/>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tcPr>
          <w:p w:rsidR="00935E0F" w:rsidRPr="00696FDC" w:rsidRDefault="00935E0F" w:rsidP="00935E0F">
            <w:pPr>
              <w:rPr>
                <w:sz w:val="20"/>
                <w:szCs w:val="20"/>
              </w:rPr>
            </w:pPr>
            <w:r w:rsidRPr="005D13D6">
              <w:rPr>
                <w:i/>
                <w:sz w:val="20"/>
                <w:szCs w:val="20"/>
              </w:rPr>
              <w:t>Contingent fees</w:t>
            </w:r>
          </w:p>
        </w:tc>
      </w:tr>
      <w:tr w:rsidR="00140BE4" w:rsidRPr="00666DE2" w:rsidTr="00CB2752">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Request additional information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2.9</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0.6</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$2,</w:t>
            </w:r>
            <w:r w:rsidR="00E51E7F">
              <w:rPr>
                <w:sz w:val="20"/>
                <w:szCs w:val="20"/>
              </w:rPr>
              <w:t>544</w:t>
            </w:r>
          </w:p>
        </w:tc>
      </w:tr>
      <w:tr w:rsidR="00140BE4" w:rsidRPr="00666DE2" w:rsidTr="00CB2752">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2E0B96">
            <w:pPr>
              <w:ind w:left="284"/>
              <w:rPr>
                <w:sz w:val="20"/>
                <w:szCs w:val="20"/>
              </w:rPr>
            </w:pPr>
            <w:r w:rsidRPr="00E51E7F">
              <w:rPr>
                <w:sz w:val="20"/>
                <w:szCs w:val="20"/>
              </w:rPr>
              <w:t>Request additional information (</w:t>
            </w:r>
            <w:r w:rsidR="001E2096">
              <w:rPr>
                <w:sz w:val="20"/>
                <w:szCs w:val="20"/>
              </w:rPr>
              <w:t>public env</w:t>
            </w:r>
            <w:r w:rsidR="002E0B96">
              <w:rPr>
                <w:sz w:val="20"/>
                <w:szCs w:val="20"/>
              </w:rPr>
              <w:t>ironment report</w:t>
            </w:r>
            <w:r w:rsidRPr="00E51E7F">
              <w:rPr>
                <w:sz w:val="20"/>
                <w:szCs w:val="20"/>
              </w:rPr>
              <w:t>/</w:t>
            </w:r>
            <w:r w:rsidR="002E0B96" w:rsidRPr="002E0B96">
              <w:t xml:space="preserve"> </w:t>
            </w:r>
            <w:r w:rsidR="002E0B96" w:rsidRPr="002E0B96">
              <w:rPr>
                <w:sz w:val="20"/>
                <w:szCs w:val="20"/>
              </w:rPr>
              <w:t>environmental impact statement</w:t>
            </w:r>
            <w:r w:rsidRPr="00E51E7F">
              <w:rPr>
                <w:sz w:val="20"/>
                <w:szCs w:val="20"/>
              </w:rPr>
              <w:t xml:space="preserve"> assessment)</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10</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8</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0.4</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w:t>
            </w:r>
            <w:r w:rsidR="00E51E7F">
              <w:rPr>
                <w:sz w:val="20"/>
                <w:szCs w:val="20"/>
              </w:rPr>
              <w:t>13,087</w:t>
            </w:r>
          </w:p>
        </w:tc>
      </w:tr>
      <w:tr w:rsidR="00140BE4" w:rsidRPr="00666DE2" w:rsidTr="00CB2752">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Reconsideration request (from the proponent of the action)</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8.9</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3.6</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0.2</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$7,</w:t>
            </w:r>
            <w:r w:rsidR="00E51E7F">
              <w:rPr>
                <w:sz w:val="20"/>
                <w:szCs w:val="20"/>
              </w:rPr>
              <w:t>423</w:t>
            </w:r>
          </w:p>
        </w:tc>
      </w:tr>
      <w:tr w:rsidR="00140BE4" w:rsidRPr="00666DE2" w:rsidTr="00CB2752">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Variation of conditions</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3.4</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2.1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$3,</w:t>
            </w:r>
            <w:r w:rsidR="00E51E7F">
              <w:rPr>
                <w:sz w:val="20"/>
                <w:szCs w:val="20"/>
              </w:rPr>
              <w:t>320</w:t>
            </w:r>
          </w:p>
        </w:tc>
      </w:tr>
      <w:tr w:rsidR="00140BE4" w:rsidRPr="00666DE2" w:rsidTr="00CB2752">
        <w:trPr>
          <w:cnfStyle w:val="00000010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Variation of a post approval action management plan under conditions of approval</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0.25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E51E7F" w:rsidP="003A1E94">
            <w:pPr>
              <w:jc w:val="right"/>
              <w:rPr>
                <w:sz w:val="20"/>
                <w:szCs w:val="20"/>
              </w:rPr>
            </w:pPr>
            <w:r w:rsidRPr="00E51E7F">
              <w:rPr>
                <w:sz w:val="20"/>
                <w:szCs w:val="20"/>
              </w:rPr>
              <w:t>$3,</w:t>
            </w:r>
            <w:r>
              <w:rPr>
                <w:sz w:val="20"/>
                <w:szCs w:val="20"/>
              </w:rPr>
              <w:t>2</w:t>
            </w:r>
            <w:r w:rsidR="002A619F">
              <w:rPr>
                <w:sz w:val="20"/>
                <w:szCs w:val="20"/>
              </w:rPr>
              <w:t>3</w:t>
            </w:r>
            <w:r w:rsidR="00C01201">
              <w:rPr>
                <w:sz w:val="20"/>
                <w:szCs w:val="20"/>
              </w:rPr>
              <w:t>3</w:t>
            </w:r>
          </w:p>
        </w:tc>
      </w:tr>
      <w:tr w:rsidR="00140BE4" w:rsidRPr="00666DE2" w:rsidTr="00CB2752">
        <w:trPr>
          <w:cnfStyle w:val="000000010000"/>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tcPr>
          <w:p w:rsidR="00140BE4" w:rsidRPr="00E51E7F" w:rsidRDefault="00140BE4" w:rsidP="003A1E94">
            <w:pPr>
              <w:ind w:left="284"/>
              <w:rPr>
                <w:sz w:val="20"/>
                <w:szCs w:val="20"/>
              </w:rPr>
            </w:pPr>
            <w:r w:rsidRPr="00E51E7F">
              <w:rPr>
                <w:sz w:val="20"/>
                <w:szCs w:val="20"/>
              </w:rPr>
              <w:t>Administrative variation of a post approval action management plan under conditions of approval</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1</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0.5</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0.17</w:t>
            </w:r>
          </w:p>
        </w:tc>
        <w:tc>
          <w:tcPr>
            <w:tcW w:w="0" w:type="auto"/>
            <w:tcBorders>
              <w:top w:val="single" w:sz="4" w:space="0" w:color="548DD4" w:themeColor="text2" w:themeTint="99"/>
              <w:left w:val="nil"/>
              <w:bottom w:val="single" w:sz="4" w:space="0" w:color="548DD4" w:themeColor="text2" w:themeTint="99"/>
              <w:right w:val="nil"/>
            </w:tcBorders>
            <w:vAlign w:val="center"/>
          </w:tcPr>
          <w:p w:rsidR="00140BE4" w:rsidRPr="00E51E7F" w:rsidRDefault="00140BE4" w:rsidP="003A1E94">
            <w:pPr>
              <w:jc w:val="center"/>
              <w:rPr>
                <w:sz w:val="20"/>
                <w:szCs w:val="20"/>
              </w:rPr>
            </w:pPr>
            <w:r w:rsidRPr="00E51E7F">
              <w:rPr>
                <w:sz w:val="20"/>
                <w:szCs w:val="20"/>
              </w:rPr>
              <w:t>0.03</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40BE4" w:rsidRPr="00E51E7F" w:rsidRDefault="00140BE4" w:rsidP="00E51E7F">
            <w:pPr>
              <w:jc w:val="right"/>
              <w:rPr>
                <w:sz w:val="20"/>
                <w:szCs w:val="20"/>
              </w:rPr>
            </w:pPr>
            <w:r w:rsidRPr="00E51E7F">
              <w:rPr>
                <w:sz w:val="20"/>
                <w:szCs w:val="20"/>
              </w:rPr>
              <w:t>$9</w:t>
            </w:r>
            <w:r w:rsidR="00E51E7F">
              <w:rPr>
                <w:sz w:val="20"/>
                <w:szCs w:val="20"/>
              </w:rPr>
              <w:t>43</w:t>
            </w:r>
          </w:p>
        </w:tc>
      </w:tr>
    </w:tbl>
    <w:p w:rsidR="00F05E1F" w:rsidRDefault="00F05E1F">
      <w:pPr>
        <w:spacing w:after="0" w:line="240" w:lineRule="auto"/>
        <w:rPr>
          <w:rFonts w:cs="Arial"/>
          <w:b/>
          <w:i/>
        </w:rPr>
      </w:pPr>
      <w:r>
        <w:br w:type="page"/>
      </w:r>
    </w:p>
    <w:p w:rsidR="00140BE4" w:rsidRDefault="00140BE4" w:rsidP="00140BE4">
      <w:pPr>
        <w:pStyle w:val="Heading3"/>
      </w:pPr>
      <w:bookmarkStart w:id="199" w:name="_Toc391541580"/>
      <w:r>
        <w:lastRenderedPageBreak/>
        <w:t>Complexity costs</w:t>
      </w:r>
      <w:bookmarkEnd w:id="199"/>
    </w:p>
    <w:p w:rsidR="00140BE4" w:rsidRDefault="00140BE4" w:rsidP="00140BE4">
      <w:r w:rsidRPr="00FC12C4">
        <w:rPr>
          <w:lang w:val="en-US"/>
        </w:rPr>
        <w:t xml:space="preserve">The level of complexity of a </w:t>
      </w:r>
      <w:r w:rsidR="007C3630">
        <w:rPr>
          <w:lang w:val="en-US"/>
        </w:rPr>
        <w:t xml:space="preserve">proposed </w:t>
      </w:r>
      <w:r w:rsidR="00D469E9">
        <w:rPr>
          <w:lang w:val="en-US"/>
        </w:rPr>
        <w:t xml:space="preserve">action </w:t>
      </w:r>
      <w:r>
        <w:rPr>
          <w:lang w:val="en-US"/>
        </w:rPr>
        <w:t xml:space="preserve">determines the </w:t>
      </w:r>
      <w:r w:rsidR="001C2CB2">
        <w:rPr>
          <w:lang w:val="en-US"/>
        </w:rPr>
        <w:t>departmental</w:t>
      </w:r>
      <w:r>
        <w:rPr>
          <w:lang w:val="en-US"/>
        </w:rPr>
        <w:t xml:space="preserve"> resources required</w:t>
      </w:r>
      <w:r w:rsidRPr="00FC12C4">
        <w:rPr>
          <w:lang w:val="en-US"/>
        </w:rPr>
        <w:t xml:space="preserve"> </w:t>
      </w:r>
      <w:r w:rsidR="007C3630">
        <w:rPr>
          <w:lang w:val="en-US"/>
        </w:rPr>
        <w:t>to assess the impacts</w:t>
      </w:r>
      <w:r w:rsidR="00AD257F">
        <w:rPr>
          <w:lang w:val="en-US"/>
        </w:rPr>
        <w:t xml:space="preserve"> of</w:t>
      </w:r>
      <w:r w:rsidR="007C3630">
        <w:rPr>
          <w:lang w:val="en-US"/>
        </w:rPr>
        <w:t xml:space="preserve"> the action</w:t>
      </w:r>
      <w:r w:rsidRPr="00FC12C4">
        <w:rPr>
          <w:lang w:val="en-US"/>
        </w:rPr>
        <w:t xml:space="preserve">. </w:t>
      </w:r>
      <w:r w:rsidRPr="00FC12C4">
        <w:t xml:space="preserve">The major </w:t>
      </w:r>
      <w:r>
        <w:t>component of complexity costs</w:t>
      </w:r>
      <w:r w:rsidRPr="00FC12C4">
        <w:t xml:space="preserve"> </w:t>
      </w:r>
      <w:r>
        <w:t>for environmental impact assessment</w:t>
      </w:r>
      <w:r w:rsidRPr="00FC12C4">
        <w:t xml:space="preserve"> is staff costs</w:t>
      </w:r>
      <w:r>
        <w:t xml:space="preserve">, which </w:t>
      </w:r>
      <w:r w:rsidRPr="000B54E7">
        <w:t>includ</w:t>
      </w:r>
      <w:r>
        <w:t>es</w:t>
      </w:r>
      <w:r w:rsidRPr="000B54E7">
        <w:t xml:space="preserve"> base salary, superannuation and other on-costs for staff who are directly involved in providing the assessment. The total </w:t>
      </w:r>
      <w:r>
        <w:t xml:space="preserve">staff </w:t>
      </w:r>
      <w:r w:rsidRPr="000B54E7">
        <w:t>cost also includes a component of accommodation and property expenses, IT costs and human resources support</w:t>
      </w:r>
      <w:r w:rsidRPr="00FC12C4">
        <w:t>.</w:t>
      </w:r>
      <w:r>
        <w:t xml:space="preserve"> Complexity costs also include the procurement of specialist advice in high or very high complexity scenarios. </w:t>
      </w:r>
      <w:r w:rsidR="007C3630">
        <w:t xml:space="preserve">Expert advice may be needed </w:t>
      </w:r>
      <w:r w:rsidR="00EB0A10">
        <w:t>in order to ensure a fair and rigorous assessment where the Department does not have the relevant expertise to provide advice to the Minister.</w:t>
      </w:r>
    </w:p>
    <w:p w:rsidR="00140BE4" w:rsidRDefault="00140BE4" w:rsidP="00140BE4">
      <w:r>
        <w:t xml:space="preserve">Complexity costs for individual </w:t>
      </w:r>
      <w:r w:rsidR="0064623E">
        <w:t xml:space="preserve">proposed actions </w:t>
      </w:r>
      <w:r w:rsidR="007E5869">
        <w:t>are</w:t>
      </w:r>
      <w:r>
        <w:t xml:space="preserve"> determined on a case-by-case basis.</w:t>
      </w:r>
      <w:r w:rsidR="00914028">
        <w:t xml:space="preserve"> </w:t>
      </w:r>
      <w:r w:rsidR="00914028" w:rsidRPr="00282930">
        <w:t xml:space="preserve">Complexity fees </w:t>
      </w:r>
      <w:r w:rsidR="007E5869">
        <w:t>do not</w:t>
      </w:r>
      <w:r w:rsidR="00914028" w:rsidRPr="00282930">
        <w:t xml:space="preserve"> apply to Strategic Assessments, </w:t>
      </w:r>
      <w:r w:rsidR="00D33E10" w:rsidRPr="00282930">
        <w:t>or</w:t>
      </w:r>
      <w:r w:rsidR="00914028" w:rsidRPr="00282930">
        <w:t xml:space="preserve"> assessments by Public Inquiry.</w:t>
      </w:r>
      <w:r>
        <w:t xml:space="preserve"> Further details of the charges for complexity are described in a complexity </w:t>
      </w:r>
      <w:r w:rsidR="00D469E9">
        <w:t xml:space="preserve">fee </w:t>
      </w:r>
      <w:r w:rsidRPr="00D33E10">
        <w:t>matrix (page</w:t>
      </w:r>
      <w:r w:rsidR="00F05E1F">
        <w:t> </w:t>
      </w:r>
      <w:r w:rsidRPr="00D33E10">
        <w:t>19).</w:t>
      </w:r>
      <w:r>
        <w:t xml:space="preserve"> Further detail on the breakdown of complexity costs is </w:t>
      </w:r>
      <w:r w:rsidRPr="00D33E10">
        <w:t>provided at Appendix B.</w:t>
      </w:r>
    </w:p>
    <w:p w:rsidR="00140BE4" w:rsidRDefault="00140BE4" w:rsidP="00140BE4">
      <w:r>
        <w:t xml:space="preserve">The charging methodology for complexity enables </w:t>
      </w:r>
      <w:r w:rsidR="00B64DB5">
        <w:t>applicant</w:t>
      </w:r>
      <w:r>
        <w:t>s to potentially reduce the ov</w:t>
      </w:r>
      <w:r w:rsidR="00153B79">
        <w:t>erall cost of their assessment by</w:t>
      </w:r>
      <w:r>
        <w:t xml:space="preserve"> several means</w:t>
      </w:r>
      <w:r w:rsidR="0023120F">
        <w:t xml:space="preserve">. For example the applicant </w:t>
      </w:r>
      <w:r w:rsidR="007E5869">
        <w:t>can</w:t>
      </w:r>
      <w:r w:rsidR="0023120F">
        <w:t>:</w:t>
      </w:r>
    </w:p>
    <w:p w:rsidR="00140BE4" w:rsidRDefault="0023120F" w:rsidP="008F17D2">
      <w:pPr>
        <w:pStyle w:val="ListBullet"/>
      </w:pPr>
      <w:r>
        <w:t xml:space="preserve">Propose to take the action in such a way that the action triggers </w:t>
      </w:r>
      <w:r w:rsidR="00140BE4">
        <w:t xml:space="preserve">fewer controlling </w:t>
      </w:r>
      <w:r w:rsidR="00DB1E64">
        <w:t>provisions</w:t>
      </w:r>
      <w:r>
        <w:t>, by</w:t>
      </w:r>
      <w:r w:rsidR="00EB0A10">
        <w:t xml:space="preserve"> </w:t>
      </w:r>
      <w:r w:rsidR="00140BE4">
        <w:t>avoid</w:t>
      </w:r>
      <w:r>
        <w:t>ing</w:t>
      </w:r>
      <w:r w:rsidR="00140BE4">
        <w:t xml:space="preserve"> or minimis</w:t>
      </w:r>
      <w:r>
        <w:t>ing</w:t>
      </w:r>
      <w:r w:rsidR="00140BE4">
        <w:t xml:space="preserve"> the potential impacts on </w:t>
      </w:r>
      <w:r w:rsidR="00EB0A10">
        <w:t xml:space="preserve">particular </w:t>
      </w:r>
      <w:r w:rsidR="00140BE4">
        <w:t>matters of national environmental significance</w:t>
      </w:r>
      <w:r>
        <w:t>.</w:t>
      </w:r>
    </w:p>
    <w:p w:rsidR="00140BE4" w:rsidRDefault="0023120F" w:rsidP="008F17D2">
      <w:pPr>
        <w:pStyle w:val="ListBullet"/>
      </w:pPr>
      <w:r>
        <w:t>P</w:t>
      </w:r>
      <w:r w:rsidR="00EB0A10">
        <w:t xml:space="preserve">rovide comprehensive </w:t>
      </w:r>
      <w:r w:rsidR="00140BE4">
        <w:t xml:space="preserve">information </w:t>
      </w:r>
      <w:r w:rsidR="00EB0A10">
        <w:t>about the action and its impacts</w:t>
      </w:r>
      <w:r w:rsidR="00140BE4">
        <w:t xml:space="preserve">, </w:t>
      </w:r>
      <w:r>
        <w:t xml:space="preserve">making </w:t>
      </w:r>
      <w:r w:rsidR="00140BE4">
        <w:t>the assessment less time consuming for the Department to conduct.</w:t>
      </w:r>
    </w:p>
    <w:p w:rsidR="00140BE4" w:rsidRDefault="000933F4" w:rsidP="00140BE4">
      <w:pPr>
        <w:pStyle w:val="ListParagraph"/>
        <w:numPr>
          <w:ilvl w:val="0"/>
          <w:numId w:val="0"/>
        </w:numPr>
      </w:pPr>
      <w:r>
        <w:t xml:space="preserve">A number of factors drive the complexity of environmental assessments. These include </w:t>
      </w:r>
      <w:r w:rsidR="008A12E0">
        <w:t>facto</w:t>
      </w:r>
      <w:r>
        <w:t xml:space="preserve">rs such as the number of matters of national environmental significance affected by the action and the number of project components. However, the applicant can alter other factors which drive complexity, such as the adequacy of information provided in referral information, and the clarity of the project scope. </w:t>
      </w:r>
      <w:r w:rsidR="00D30427">
        <w:fldChar w:fldCharType="begin"/>
      </w:r>
      <w:r w:rsidR="0023120F">
        <w:instrText xml:space="preserve"> REF _Ref387067048 \h </w:instrText>
      </w:r>
      <w:r w:rsidR="00D30427">
        <w:fldChar w:fldCharType="separate"/>
      </w:r>
      <w:r w:rsidR="001D521C">
        <w:t xml:space="preserve">Table </w:t>
      </w:r>
      <w:r w:rsidR="001D521C">
        <w:rPr>
          <w:noProof/>
        </w:rPr>
        <w:t>2</w:t>
      </w:r>
      <w:r w:rsidR="00D30427">
        <w:fldChar w:fldCharType="end"/>
      </w:r>
      <w:r w:rsidR="0023120F">
        <w:t xml:space="preserve"> </w:t>
      </w:r>
      <w:r w:rsidR="00140BE4">
        <w:t>below out</w:t>
      </w:r>
      <w:r>
        <w:t>lines the drivers of complexity, which form the basis for the calculation of complexity costs.</w:t>
      </w:r>
    </w:p>
    <w:p w:rsidR="00A3379D" w:rsidRDefault="00142B86" w:rsidP="00A3379D">
      <w:pPr>
        <w:pStyle w:val="Caption"/>
        <w:rPr>
          <w:lang w:val="en-US"/>
        </w:rPr>
      </w:pPr>
      <w:bookmarkStart w:id="200" w:name="_Ref387067048"/>
      <w:bookmarkStart w:id="201" w:name="_Toc387069801"/>
      <w:bookmarkStart w:id="202" w:name="_Toc387073263"/>
      <w:bookmarkStart w:id="203" w:name="_Toc391541646"/>
      <w:proofErr w:type="gramStart"/>
      <w:r>
        <w:t xml:space="preserve">Table </w:t>
      </w:r>
      <w:r w:rsidR="00D30427">
        <w:fldChar w:fldCharType="begin"/>
      </w:r>
      <w:r>
        <w:instrText xml:space="preserve"> SEQ Table \* ARABIC </w:instrText>
      </w:r>
      <w:r w:rsidR="00D30427">
        <w:fldChar w:fldCharType="separate"/>
      </w:r>
      <w:r w:rsidR="001D521C">
        <w:rPr>
          <w:noProof/>
        </w:rPr>
        <w:t>2</w:t>
      </w:r>
      <w:r w:rsidR="00D30427">
        <w:fldChar w:fldCharType="end"/>
      </w:r>
      <w:bookmarkEnd w:id="200"/>
      <w:r>
        <w:t>.</w:t>
      </w:r>
      <w:proofErr w:type="gramEnd"/>
      <w:r>
        <w:t xml:space="preserve"> </w:t>
      </w:r>
      <w:proofErr w:type="gramStart"/>
      <w:r w:rsidRPr="009879ED">
        <w:t>Complexity drivers</w:t>
      </w:r>
      <w:r>
        <w:t>.</w:t>
      </w:r>
      <w:bookmarkEnd w:id="201"/>
      <w:bookmarkEnd w:id="202"/>
      <w:bookmarkEnd w:id="203"/>
      <w:proofErr w:type="gramEnd"/>
    </w:p>
    <w:tbl>
      <w:tblPr>
        <w:tblStyle w:val="LightShading1"/>
        <w:tblW w:w="962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2131"/>
        <w:gridCol w:w="7492"/>
      </w:tblGrid>
      <w:tr w:rsidR="00140BE4" w:rsidRPr="006A0706" w:rsidTr="00E610D9">
        <w:trPr>
          <w:cnfStyle w:val="100000000000"/>
          <w:cantSplit/>
          <w:trHeight w:val="506"/>
          <w:tblHeader/>
        </w:trPr>
        <w:tc>
          <w:tcPr>
            <w:cnfStyle w:val="001000000000"/>
            <w:tcW w:w="2131" w:type="dxa"/>
            <w:tcBorders>
              <w:top w:val="none" w:sz="0" w:space="0" w:color="auto"/>
              <w:left w:val="none" w:sz="0" w:space="0" w:color="auto"/>
              <w:bottom w:val="single" w:sz="4" w:space="0" w:color="548DD4" w:themeColor="text2" w:themeTint="99"/>
              <w:right w:val="single" w:sz="4" w:space="0" w:color="548DD4" w:themeColor="text2" w:themeTint="99"/>
            </w:tcBorders>
            <w:shd w:val="clear" w:color="auto" w:fill="8DB3E2" w:themeFill="text2" w:themeFillTint="66"/>
            <w:vAlign w:val="center"/>
          </w:tcPr>
          <w:p w:rsidR="000B573E" w:rsidRPr="000D637E" w:rsidRDefault="00CA3ABF">
            <w:pPr>
              <w:rPr>
                <w:rFonts w:ascii="Arial" w:eastAsia="SimSun" w:hAnsi="Arial" w:cs="Arial"/>
                <w:sz w:val="18"/>
                <w:szCs w:val="18"/>
              </w:rPr>
            </w:pPr>
            <w:r w:rsidRPr="000D637E">
              <w:rPr>
                <w:rFonts w:ascii="Arial" w:hAnsi="Arial" w:cs="Arial"/>
                <w:color w:val="auto"/>
                <w:sz w:val="18"/>
                <w:szCs w:val="18"/>
              </w:rPr>
              <w:t>Driver</w:t>
            </w:r>
          </w:p>
        </w:tc>
        <w:tc>
          <w:tcPr>
            <w:tcW w:w="7492" w:type="dxa"/>
            <w:tcBorders>
              <w:top w:val="none" w:sz="0" w:space="0" w:color="auto"/>
              <w:left w:val="single" w:sz="4" w:space="0" w:color="548DD4" w:themeColor="text2" w:themeTint="99"/>
              <w:bottom w:val="none" w:sz="0" w:space="0" w:color="auto"/>
              <w:right w:val="none" w:sz="0" w:space="0" w:color="auto"/>
            </w:tcBorders>
            <w:shd w:val="clear" w:color="auto" w:fill="8DB3E2" w:themeFill="text2" w:themeFillTint="66"/>
            <w:vAlign w:val="center"/>
          </w:tcPr>
          <w:p w:rsidR="000B573E" w:rsidRPr="000D637E" w:rsidRDefault="00CA3ABF">
            <w:pPr>
              <w:cnfStyle w:val="100000000000"/>
              <w:rPr>
                <w:rFonts w:ascii="Arial" w:eastAsia="SimSun" w:hAnsi="Arial" w:cs="Arial"/>
                <w:sz w:val="18"/>
                <w:szCs w:val="18"/>
              </w:rPr>
            </w:pPr>
            <w:r w:rsidRPr="000D637E">
              <w:rPr>
                <w:rFonts w:ascii="Arial" w:hAnsi="Arial" w:cs="Arial"/>
                <w:color w:val="auto"/>
                <w:sz w:val="18"/>
                <w:szCs w:val="18"/>
              </w:rPr>
              <w:t>Description</w:t>
            </w:r>
          </w:p>
        </w:tc>
      </w:tr>
      <w:tr w:rsidR="00140BE4" w:rsidRPr="006A0706" w:rsidTr="00913AF8">
        <w:trPr>
          <w:cnfStyle w:val="000000100000"/>
          <w:trHeight w:val="917"/>
        </w:trPr>
        <w:tc>
          <w:tcPr>
            <w:cnfStyle w:val="001000000000"/>
            <w:tcW w:w="2131" w:type="dxa"/>
            <w:tcBorders>
              <w:left w:val="none" w:sz="0" w:space="0" w:color="auto"/>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Number of controlling provisions</w:t>
            </w:r>
          </w:p>
        </w:tc>
        <w:tc>
          <w:tcPr>
            <w:tcW w:w="7492" w:type="dxa"/>
            <w:tcBorders>
              <w:left w:val="single" w:sz="4" w:space="0" w:color="548DD4" w:themeColor="text2" w:themeTint="99"/>
              <w:bottom w:val="single" w:sz="4" w:space="0" w:color="548DD4" w:themeColor="text2" w:themeTint="99"/>
              <w:right w:val="none" w:sz="0" w:space="0" w:color="auto"/>
            </w:tcBorders>
            <w:shd w:val="clear" w:color="auto" w:fill="auto"/>
          </w:tcPr>
          <w:p w:rsidR="000B573E" w:rsidRPr="000D637E" w:rsidRDefault="00CA3ABF">
            <w:pPr>
              <w:cnfStyle w:val="000000100000"/>
              <w:rPr>
                <w:rFonts w:ascii="Arial" w:hAnsi="Arial" w:cs="Arial"/>
                <w:sz w:val="18"/>
                <w:szCs w:val="18"/>
              </w:rPr>
            </w:pPr>
            <w:r w:rsidRPr="000D637E">
              <w:rPr>
                <w:rFonts w:ascii="Arial" w:hAnsi="Arial" w:cs="Arial"/>
                <w:color w:val="auto"/>
                <w:sz w:val="18"/>
                <w:szCs w:val="18"/>
              </w:rPr>
              <w:t>The number of controlling provisions triggered under the EPBC Act has a direct impact on the time and resources required to undertake the assessment, as each controlling provision requires separate assessment.</w:t>
            </w:r>
          </w:p>
        </w:tc>
      </w:tr>
      <w:tr w:rsidR="00140BE4" w:rsidRPr="006A0706" w:rsidTr="00913AF8">
        <w:trPr>
          <w:trHeight w:val="2140"/>
        </w:trPr>
        <w:tc>
          <w:tcPr>
            <w:cnfStyle w:val="001000000000"/>
            <w:tcW w:w="2131" w:type="dxa"/>
            <w:tcBorders>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The risk to and extent of potential impacts on matters of national environmental significance</w:t>
            </w:r>
          </w:p>
        </w:tc>
        <w:tc>
          <w:tcPr>
            <w:tcW w:w="7492" w:type="dxa"/>
            <w:tcBorders>
              <w:left w:val="single" w:sz="4" w:space="0" w:color="548DD4" w:themeColor="text2" w:themeTint="99"/>
              <w:bottom w:val="single" w:sz="4" w:space="0" w:color="548DD4" w:themeColor="text2" w:themeTint="99"/>
            </w:tcBorders>
            <w:shd w:val="clear" w:color="auto" w:fill="auto"/>
          </w:tcPr>
          <w:p w:rsidR="000B573E" w:rsidRPr="000D637E" w:rsidRDefault="00CA3ABF">
            <w:pPr>
              <w:cnfStyle w:val="000000000000"/>
              <w:rPr>
                <w:rFonts w:ascii="Arial" w:hAnsi="Arial" w:cs="Arial"/>
                <w:sz w:val="18"/>
                <w:szCs w:val="18"/>
              </w:rPr>
            </w:pPr>
            <w:r w:rsidRPr="000D637E">
              <w:rPr>
                <w:rFonts w:ascii="Arial" w:hAnsi="Arial" w:cs="Arial"/>
                <w:color w:val="auto"/>
                <w:sz w:val="18"/>
                <w:szCs w:val="18"/>
              </w:rPr>
              <w:t>The</w:t>
            </w:r>
            <w:r w:rsidRPr="000D637E">
              <w:rPr>
                <w:rFonts w:ascii="Arial" w:hAnsi="Arial" w:cs="Arial"/>
                <w:sz w:val="18"/>
                <w:szCs w:val="18"/>
              </w:rPr>
              <w:t xml:space="preserve"> greater the risk to or the </w:t>
            </w:r>
            <w:r w:rsidRPr="000D637E">
              <w:rPr>
                <w:rFonts w:ascii="Arial" w:hAnsi="Arial" w:cs="Arial"/>
                <w:color w:val="auto"/>
                <w:sz w:val="18"/>
                <w:szCs w:val="18"/>
              </w:rPr>
              <w:t>higher the level of impact that a</w:t>
            </w:r>
            <w:r w:rsidRPr="000D637E">
              <w:rPr>
                <w:rFonts w:ascii="Arial" w:hAnsi="Arial" w:cs="Arial"/>
                <w:sz w:val="18"/>
                <w:szCs w:val="18"/>
              </w:rPr>
              <w:t>n</w:t>
            </w:r>
            <w:r w:rsidRPr="000D637E">
              <w:rPr>
                <w:rFonts w:ascii="Arial" w:hAnsi="Arial" w:cs="Arial"/>
                <w:color w:val="auto"/>
                <w:sz w:val="18"/>
                <w:szCs w:val="18"/>
              </w:rPr>
              <w:t xml:space="preserve"> </w:t>
            </w:r>
            <w:r w:rsidRPr="000D637E">
              <w:rPr>
                <w:rFonts w:ascii="Arial" w:hAnsi="Arial" w:cs="Arial"/>
                <w:sz w:val="18"/>
                <w:szCs w:val="18"/>
              </w:rPr>
              <w:t xml:space="preserve">action </w:t>
            </w:r>
            <w:r w:rsidRPr="000D637E">
              <w:rPr>
                <w:rFonts w:ascii="Arial" w:hAnsi="Arial" w:cs="Arial"/>
                <w:color w:val="auto"/>
                <w:sz w:val="18"/>
                <w:szCs w:val="18"/>
              </w:rPr>
              <w:t xml:space="preserve">will have on individual matters of national environmental significance, the </w:t>
            </w:r>
            <w:r w:rsidRPr="000D637E">
              <w:rPr>
                <w:rFonts w:ascii="Arial" w:hAnsi="Arial" w:cs="Arial"/>
                <w:sz w:val="18"/>
                <w:szCs w:val="18"/>
              </w:rPr>
              <w:t>more</w:t>
            </w:r>
            <w:r w:rsidRPr="000D637E">
              <w:rPr>
                <w:rFonts w:ascii="Arial" w:hAnsi="Arial" w:cs="Arial"/>
                <w:color w:val="auto"/>
                <w:sz w:val="18"/>
                <w:szCs w:val="18"/>
              </w:rPr>
              <w:t xml:space="preserve"> </w:t>
            </w:r>
            <w:r w:rsidR="001C2CB2" w:rsidRPr="000D637E">
              <w:rPr>
                <w:rFonts w:ascii="Arial" w:hAnsi="Arial" w:cs="Arial"/>
                <w:sz w:val="18"/>
                <w:szCs w:val="18"/>
              </w:rPr>
              <w:t>departmental</w:t>
            </w:r>
            <w:r w:rsidRPr="000D637E">
              <w:rPr>
                <w:rFonts w:ascii="Arial" w:hAnsi="Arial" w:cs="Arial"/>
                <w:sz w:val="18"/>
                <w:szCs w:val="18"/>
              </w:rPr>
              <w:t xml:space="preserve"> </w:t>
            </w:r>
            <w:r w:rsidRPr="000D637E">
              <w:rPr>
                <w:rFonts w:ascii="Arial" w:hAnsi="Arial" w:cs="Arial"/>
                <w:color w:val="auto"/>
                <w:sz w:val="18"/>
                <w:szCs w:val="18"/>
              </w:rPr>
              <w:t xml:space="preserve">time and therefore cost required to undertake an assessment. For example a </w:t>
            </w:r>
            <w:r w:rsidRPr="000D637E">
              <w:rPr>
                <w:rFonts w:ascii="Arial" w:hAnsi="Arial" w:cs="Arial"/>
                <w:sz w:val="18"/>
                <w:szCs w:val="18"/>
              </w:rPr>
              <w:t xml:space="preserve">proposed action </w:t>
            </w:r>
            <w:r w:rsidRPr="000D637E">
              <w:rPr>
                <w:rFonts w:ascii="Arial" w:hAnsi="Arial" w:cs="Arial"/>
                <w:color w:val="auto"/>
                <w:sz w:val="18"/>
                <w:szCs w:val="18"/>
              </w:rPr>
              <w:t xml:space="preserve">that may result in temporary modification to the values of a National Heritage place will generally be less time consuming to assess than a </w:t>
            </w:r>
            <w:r w:rsidRPr="000D637E">
              <w:rPr>
                <w:rFonts w:ascii="Arial" w:hAnsi="Arial" w:cs="Arial"/>
                <w:sz w:val="18"/>
                <w:szCs w:val="18"/>
              </w:rPr>
              <w:t>proposed action</w:t>
            </w:r>
            <w:r w:rsidRPr="000D637E">
              <w:rPr>
                <w:rFonts w:ascii="Arial" w:hAnsi="Arial" w:cs="Arial"/>
                <w:color w:val="auto"/>
                <w:sz w:val="18"/>
                <w:szCs w:val="18"/>
              </w:rPr>
              <w:t xml:space="preserve"> that will result in permanent damage to a value of a National Heritage place. Additionally, those </w:t>
            </w:r>
            <w:r w:rsidRPr="000D637E">
              <w:rPr>
                <w:rFonts w:ascii="Arial" w:hAnsi="Arial" w:cs="Arial"/>
                <w:sz w:val="18"/>
                <w:szCs w:val="18"/>
              </w:rPr>
              <w:t xml:space="preserve">proposed actions </w:t>
            </w:r>
            <w:r w:rsidRPr="000D637E">
              <w:rPr>
                <w:rFonts w:ascii="Arial" w:hAnsi="Arial" w:cs="Arial"/>
                <w:color w:val="auto"/>
                <w:sz w:val="18"/>
                <w:szCs w:val="18"/>
              </w:rPr>
              <w:t xml:space="preserve">that trigger for water resources may involve a higher risk, given the often complicated </w:t>
            </w:r>
            <w:r w:rsidRPr="000D637E">
              <w:rPr>
                <w:rFonts w:ascii="Arial" w:hAnsi="Arial" w:cs="Arial"/>
                <w:sz w:val="18"/>
                <w:szCs w:val="18"/>
              </w:rPr>
              <w:t xml:space="preserve">and uncertain </w:t>
            </w:r>
            <w:r w:rsidRPr="000D637E">
              <w:rPr>
                <w:rFonts w:ascii="Arial" w:hAnsi="Arial" w:cs="Arial"/>
                <w:color w:val="auto"/>
                <w:sz w:val="18"/>
                <w:szCs w:val="18"/>
              </w:rPr>
              <w:t xml:space="preserve">nature of impacts upon water resources. </w:t>
            </w:r>
          </w:p>
        </w:tc>
      </w:tr>
      <w:tr w:rsidR="00140BE4" w:rsidRPr="006A0706" w:rsidTr="00913AF8">
        <w:trPr>
          <w:cnfStyle w:val="000000100000"/>
          <w:trHeight w:val="1651"/>
        </w:trPr>
        <w:tc>
          <w:tcPr>
            <w:cnfStyle w:val="001000000000"/>
            <w:tcW w:w="2131" w:type="dxa"/>
            <w:tcBorders>
              <w:left w:val="none" w:sz="0" w:space="0" w:color="auto"/>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lastRenderedPageBreak/>
              <w:t>The requirement to undertake a ‘whole of environment’ assessment</w:t>
            </w:r>
          </w:p>
        </w:tc>
        <w:tc>
          <w:tcPr>
            <w:tcW w:w="7492" w:type="dxa"/>
            <w:tcBorders>
              <w:left w:val="single" w:sz="4" w:space="0" w:color="548DD4" w:themeColor="text2" w:themeTint="99"/>
              <w:bottom w:val="single" w:sz="4" w:space="0" w:color="548DD4" w:themeColor="text2" w:themeTint="99"/>
              <w:right w:val="none" w:sz="0" w:space="0" w:color="auto"/>
            </w:tcBorders>
            <w:shd w:val="clear" w:color="auto" w:fill="auto"/>
          </w:tcPr>
          <w:p w:rsidR="000B573E" w:rsidRPr="000D637E" w:rsidRDefault="00CA3ABF" w:rsidP="00BF4CF2">
            <w:pPr>
              <w:cnfStyle w:val="000000100000"/>
              <w:rPr>
                <w:rFonts w:ascii="Arial" w:hAnsi="Arial" w:cs="Arial"/>
                <w:sz w:val="18"/>
                <w:szCs w:val="18"/>
              </w:rPr>
            </w:pPr>
            <w:r w:rsidRPr="000D637E">
              <w:rPr>
                <w:rFonts w:ascii="Arial" w:hAnsi="Arial" w:cs="Arial"/>
                <w:color w:val="auto"/>
                <w:sz w:val="18"/>
                <w:szCs w:val="18"/>
              </w:rPr>
              <w:t xml:space="preserve">While in most cases the assessment of a </w:t>
            </w:r>
            <w:r w:rsidRPr="000D637E">
              <w:rPr>
                <w:rFonts w:ascii="Arial" w:hAnsi="Arial" w:cs="Arial"/>
                <w:sz w:val="18"/>
                <w:szCs w:val="18"/>
              </w:rPr>
              <w:t>proposed action f</w:t>
            </w:r>
            <w:r w:rsidRPr="000D637E">
              <w:rPr>
                <w:rFonts w:ascii="Arial" w:hAnsi="Arial" w:cs="Arial"/>
                <w:color w:val="auto"/>
                <w:sz w:val="18"/>
                <w:szCs w:val="18"/>
              </w:rPr>
              <w:t xml:space="preserve">ocuses on the impact on defined matters, there are some cases where the assessment must consider the impact of the action on all aspects of the environment. This is relevant where </w:t>
            </w:r>
            <w:r w:rsidRPr="000D637E">
              <w:rPr>
                <w:rFonts w:ascii="Arial" w:hAnsi="Arial" w:cs="Arial"/>
                <w:sz w:val="18"/>
                <w:szCs w:val="18"/>
              </w:rPr>
              <w:t>the proposed action</w:t>
            </w:r>
            <w:r w:rsidRPr="000D637E">
              <w:rPr>
                <w:rFonts w:ascii="Arial" w:hAnsi="Arial" w:cs="Arial"/>
                <w:color w:val="auto"/>
                <w:sz w:val="18"/>
                <w:szCs w:val="18"/>
              </w:rPr>
              <w:t xml:space="preserve"> may impact on Commonwealth land or the environment of the Commonwealth marine area, </w:t>
            </w:r>
            <w:r w:rsidRPr="000D637E">
              <w:rPr>
                <w:rFonts w:ascii="Arial" w:hAnsi="Arial" w:cs="Arial"/>
                <w:sz w:val="18"/>
                <w:szCs w:val="18"/>
              </w:rPr>
              <w:t xml:space="preserve">is taken </w:t>
            </w:r>
            <w:r w:rsidRPr="000D637E">
              <w:rPr>
                <w:rFonts w:ascii="Arial" w:hAnsi="Arial" w:cs="Arial"/>
                <w:color w:val="auto"/>
                <w:sz w:val="18"/>
                <w:szCs w:val="18"/>
              </w:rPr>
              <w:t xml:space="preserve">within the Great Barrier Reef Marine Park, or is a nuclear action.  Such a broad assessment will take more time and resources. </w:t>
            </w:r>
          </w:p>
        </w:tc>
      </w:tr>
      <w:tr w:rsidR="00140BE4" w:rsidRPr="006A0706" w:rsidTr="00913AF8">
        <w:trPr>
          <w:trHeight w:val="1406"/>
        </w:trPr>
        <w:tc>
          <w:tcPr>
            <w:cnfStyle w:val="001000000000"/>
            <w:tcW w:w="2131" w:type="dxa"/>
            <w:tcBorders>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Number of project components</w:t>
            </w:r>
          </w:p>
        </w:tc>
        <w:tc>
          <w:tcPr>
            <w:tcW w:w="7492" w:type="dxa"/>
            <w:tcBorders>
              <w:left w:val="single" w:sz="4" w:space="0" w:color="548DD4" w:themeColor="text2" w:themeTint="99"/>
            </w:tcBorders>
            <w:shd w:val="clear" w:color="auto" w:fill="auto"/>
          </w:tcPr>
          <w:p w:rsidR="000B573E" w:rsidRPr="000D637E" w:rsidRDefault="00CA3ABF">
            <w:pPr>
              <w:cnfStyle w:val="000000000000"/>
              <w:rPr>
                <w:rFonts w:ascii="Arial" w:hAnsi="Arial" w:cs="Arial"/>
                <w:sz w:val="18"/>
                <w:szCs w:val="18"/>
              </w:rPr>
            </w:pPr>
            <w:r w:rsidRPr="000D637E">
              <w:rPr>
                <w:rFonts w:ascii="Arial" w:hAnsi="Arial" w:cs="Arial"/>
                <w:sz w:val="18"/>
                <w:szCs w:val="18"/>
              </w:rPr>
              <w:t xml:space="preserve">Proposed actions </w:t>
            </w:r>
            <w:r w:rsidRPr="000D637E">
              <w:rPr>
                <w:rFonts w:ascii="Arial" w:hAnsi="Arial" w:cs="Arial"/>
                <w:color w:val="auto"/>
                <w:sz w:val="18"/>
                <w:szCs w:val="18"/>
              </w:rPr>
              <w:t xml:space="preserve">referred under the EPBC Act vary in </w:t>
            </w:r>
            <w:r w:rsidRPr="000D637E">
              <w:rPr>
                <w:rFonts w:ascii="Arial" w:hAnsi="Arial" w:cs="Arial"/>
                <w:sz w:val="18"/>
                <w:szCs w:val="18"/>
              </w:rPr>
              <w:t>size</w:t>
            </w:r>
            <w:r w:rsidRPr="000D637E">
              <w:rPr>
                <w:rFonts w:ascii="Arial" w:hAnsi="Arial" w:cs="Arial"/>
                <w:color w:val="auto"/>
                <w:sz w:val="18"/>
                <w:szCs w:val="18"/>
              </w:rPr>
              <w:t xml:space="preserve">. Where </w:t>
            </w:r>
            <w:r w:rsidRPr="000D637E">
              <w:rPr>
                <w:rFonts w:ascii="Arial" w:hAnsi="Arial" w:cs="Arial"/>
                <w:sz w:val="18"/>
                <w:szCs w:val="18"/>
              </w:rPr>
              <w:t>additional</w:t>
            </w:r>
            <w:r w:rsidRPr="000D637E">
              <w:rPr>
                <w:rFonts w:ascii="Arial" w:hAnsi="Arial" w:cs="Arial"/>
                <w:color w:val="auto"/>
                <w:sz w:val="18"/>
                <w:szCs w:val="18"/>
              </w:rPr>
              <w:t xml:space="preserve"> project ‘components’ result in </w:t>
            </w:r>
            <w:r w:rsidRPr="000D637E">
              <w:rPr>
                <w:rFonts w:ascii="Arial" w:hAnsi="Arial" w:cs="Arial"/>
                <w:sz w:val="18"/>
                <w:szCs w:val="18"/>
              </w:rPr>
              <w:t xml:space="preserve">a wider variety of </w:t>
            </w:r>
            <w:r w:rsidRPr="000D637E">
              <w:rPr>
                <w:rFonts w:ascii="Arial" w:hAnsi="Arial" w:cs="Arial"/>
                <w:color w:val="auto"/>
                <w:sz w:val="18"/>
                <w:szCs w:val="18"/>
              </w:rPr>
              <w:t>impacts that require assessment under the EPBC Act, more time and resources are required. For example the assessment of a rail line is likely to require less time to assess than the assessment of a rail line that is connected to a new mine and a new port facility.</w:t>
            </w:r>
          </w:p>
        </w:tc>
      </w:tr>
      <w:tr w:rsidR="00140BE4" w:rsidRPr="006A0706" w:rsidTr="00913AF8">
        <w:trPr>
          <w:cnfStyle w:val="000000100000"/>
          <w:trHeight w:val="2203"/>
        </w:trPr>
        <w:tc>
          <w:tcPr>
            <w:cnfStyle w:val="001000000000"/>
            <w:tcW w:w="2131" w:type="dxa"/>
            <w:tcBorders>
              <w:left w:val="none" w:sz="0" w:space="0" w:color="auto"/>
              <w:bottom w:val="single" w:sz="4" w:space="0" w:color="548DD4" w:themeColor="text2" w:themeTint="99"/>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Coordination with other legislation</w:t>
            </w:r>
          </w:p>
        </w:tc>
        <w:tc>
          <w:tcPr>
            <w:tcW w:w="7492" w:type="dxa"/>
            <w:tcBorders>
              <w:left w:val="single" w:sz="4" w:space="0" w:color="548DD4" w:themeColor="text2" w:themeTint="99"/>
              <w:bottom w:val="single" w:sz="4" w:space="0" w:color="548DD4" w:themeColor="text2" w:themeTint="99"/>
              <w:right w:val="none" w:sz="0" w:space="0" w:color="auto"/>
            </w:tcBorders>
            <w:shd w:val="clear" w:color="auto" w:fill="auto"/>
          </w:tcPr>
          <w:p w:rsidR="000B573E" w:rsidRPr="000D637E" w:rsidRDefault="008A12E0" w:rsidP="008A12E0">
            <w:pPr>
              <w:cnfStyle w:val="000000100000"/>
              <w:rPr>
                <w:rFonts w:ascii="Arial" w:hAnsi="Arial" w:cs="Arial"/>
                <w:sz w:val="18"/>
                <w:szCs w:val="18"/>
              </w:rPr>
            </w:pPr>
            <w:r w:rsidRPr="000D637E">
              <w:rPr>
                <w:rFonts w:ascii="Arial" w:hAnsi="Arial" w:cs="Arial"/>
                <w:color w:val="auto"/>
                <w:sz w:val="18"/>
                <w:szCs w:val="18"/>
              </w:rPr>
              <w:t>T</w:t>
            </w:r>
            <w:r w:rsidR="00CA3ABF" w:rsidRPr="000D637E">
              <w:rPr>
                <w:rFonts w:ascii="Arial" w:hAnsi="Arial" w:cs="Arial"/>
                <w:color w:val="auto"/>
                <w:sz w:val="18"/>
                <w:szCs w:val="18"/>
              </w:rPr>
              <w:t xml:space="preserve">he Department undertakes to streamline the assessment requirements under the EPBC Act with the state/territory requirements (for example, using the same assessment guidelines, the same </w:t>
            </w:r>
            <w:r w:rsidR="002E0B96" w:rsidRPr="000D637E">
              <w:rPr>
                <w:rFonts w:ascii="Arial" w:hAnsi="Arial" w:cs="Arial"/>
                <w:color w:val="auto"/>
                <w:sz w:val="18"/>
                <w:szCs w:val="18"/>
              </w:rPr>
              <w:t>environmental impact statement</w:t>
            </w:r>
            <w:r w:rsidR="00CA3ABF" w:rsidRPr="000D637E">
              <w:rPr>
                <w:rFonts w:ascii="Arial" w:hAnsi="Arial" w:cs="Arial"/>
                <w:color w:val="auto"/>
                <w:sz w:val="18"/>
                <w:szCs w:val="18"/>
              </w:rPr>
              <w:t xml:space="preserve">, the same public comment periods, </w:t>
            </w:r>
            <w:r w:rsidR="00DB1E64" w:rsidRPr="000D637E">
              <w:rPr>
                <w:rFonts w:ascii="Arial" w:hAnsi="Arial" w:cs="Arial"/>
                <w:sz w:val="18"/>
                <w:szCs w:val="18"/>
              </w:rPr>
              <w:t>etc.</w:t>
            </w:r>
            <w:r w:rsidR="00D63FAD" w:rsidRPr="000D637E">
              <w:rPr>
                <w:rFonts w:ascii="Arial" w:hAnsi="Arial" w:cs="Arial"/>
                <w:color w:val="auto"/>
                <w:sz w:val="18"/>
                <w:szCs w:val="18"/>
              </w:rPr>
              <w:t>)</w:t>
            </w:r>
            <w:r w:rsidRPr="000D637E">
              <w:rPr>
                <w:rFonts w:ascii="Arial" w:hAnsi="Arial" w:cs="Arial"/>
                <w:color w:val="auto"/>
                <w:sz w:val="18"/>
                <w:szCs w:val="18"/>
              </w:rPr>
              <w:t>, even where a bilateral agreement does not apply</w:t>
            </w:r>
            <w:r w:rsidR="00D63FAD" w:rsidRPr="000D637E">
              <w:rPr>
                <w:rFonts w:ascii="Arial" w:hAnsi="Arial" w:cs="Arial"/>
                <w:color w:val="auto"/>
                <w:sz w:val="18"/>
                <w:szCs w:val="18"/>
              </w:rPr>
              <w:t xml:space="preserve">. This </w:t>
            </w:r>
            <w:r w:rsidRPr="000D637E">
              <w:rPr>
                <w:rFonts w:ascii="Arial" w:hAnsi="Arial" w:cs="Arial"/>
                <w:color w:val="auto"/>
                <w:sz w:val="18"/>
                <w:szCs w:val="18"/>
              </w:rPr>
              <w:t xml:space="preserve">streamlining of state/territory assessment requirements </w:t>
            </w:r>
            <w:r w:rsidR="00D63FAD" w:rsidRPr="000D637E">
              <w:rPr>
                <w:rFonts w:ascii="Arial" w:hAnsi="Arial" w:cs="Arial"/>
                <w:color w:val="auto"/>
                <w:sz w:val="18"/>
                <w:szCs w:val="18"/>
              </w:rPr>
              <w:t>involves departmental analysi</w:t>
            </w:r>
            <w:r w:rsidRPr="000D637E">
              <w:rPr>
                <w:rFonts w:ascii="Arial" w:hAnsi="Arial" w:cs="Arial"/>
                <w:color w:val="auto"/>
                <w:sz w:val="18"/>
                <w:szCs w:val="18"/>
              </w:rPr>
              <w:t>s and coordination with state/</w:t>
            </w:r>
            <w:r w:rsidR="00D63FAD" w:rsidRPr="000D637E">
              <w:rPr>
                <w:rFonts w:ascii="Arial" w:hAnsi="Arial" w:cs="Arial"/>
                <w:color w:val="auto"/>
                <w:sz w:val="18"/>
                <w:szCs w:val="18"/>
              </w:rPr>
              <w:t xml:space="preserve">territory planning and environmental legislation. </w:t>
            </w:r>
            <w:r w:rsidR="00CA3ABF" w:rsidRPr="000D637E">
              <w:rPr>
                <w:rFonts w:ascii="Arial" w:hAnsi="Arial" w:cs="Arial"/>
                <w:color w:val="auto"/>
                <w:sz w:val="18"/>
                <w:szCs w:val="18"/>
              </w:rPr>
              <w:t xml:space="preserve">The Department undertakes similar coordination where a project is being assessed by another Commonwealth agency under another piece of legislation, such as </w:t>
            </w:r>
            <w:r w:rsidR="00CA3ABF" w:rsidRPr="000D637E">
              <w:rPr>
                <w:rFonts w:ascii="Arial" w:hAnsi="Arial" w:cs="Arial"/>
                <w:i/>
                <w:color w:val="auto"/>
                <w:sz w:val="18"/>
                <w:szCs w:val="18"/>
              </w:rPr>
              <w:t>the Environment Protection (Sea Dumping) Act 1981</w:t>
            </w:r>
            <w:r w:rsidR="00CA3ABF" w:rsidRPr="000D637E">
              <w:rPr>
                <w:rFonts w:ascii="Arial" w:hAnsi="Arial" w:cs="Arial"/>
                <w:color w:val="auto"/>
                <w:sz w:val="18"/>
                <w:szCs w:val="18"/>
              </w:rPr>
              <w:t xml:space="preserve"> (</w:t>
            </w:r>
            <w:proofErr w:type="spellStart"/>
            <w:r w:rsidR="00CA3ABF" w:rsidRPr="000D637E">
              <w:rPr>
                <w:rFonts w:ascii="Arial" w:hAnsi="Arial" w:cs="Arial"/>
                <w:color w:val="auto"/>
                <w:sz w:val="18"/>
                <w:szCs w:val="18"/>
              </w:rPr>
              <w:t>Cth</w:t>
            </w:r>
            <w:proofErr w:type="spellEnd"/>
            <w:r w:rsidR="00CA3ABF" w:rsidRPr="000D637E">
              <w:rPr>
                <w:rFonts w:ascii="Arial" w:hAnsi="Arial" w:cs="Arial"/>
                <w:color w:val="auto"/>
                <w:sz w:val="18"/>
                <w:szCs w:val="18"/>
              </w:rPr>
              <w:t xml:space="preserve">), the </w:t>
            </w:r>
            <w:r w:rsidR="00CA3ABF" w:rsidRPr="000D637E">
              <w:rPr>
                <w:rFonts w:ascii="Arial" w:hAnsi="Arial" w:cs="Arial"/>
                <w:i/>
                <w:color w:val="auto"/>
                <w:sz w:val="18"/>
                <w:szCs w:val="18"/>
              </w:rPr>
              <w:t>Airports Act 1996</w:t>
            </w:r>
            <w:r w:rsidR="00CA3ABF" w:rsidRPr="000D637E">
              <w:rPr>
                <w:rFonts w:ascii="Arial" w:hAnsi="Arial" w:cs="Arial"/>
                <w:color w:val="auto"/>
                <w:sz w:val="18"/>
                <w:szCs w:val="18"/>
              </w:rPr>
              <w:t xml:space="preserve"> (</w:t>
            </w:r>
            <w:proofErr w:type="spellStart"/>
            <w:r w:rsidR="00CA3ABF" w:rsidRPr="000D637E">
              <w:rPr>
                <w:rFonts w:ascii="Arial" w:hAnsi="Arial" w:cs="Arial"/>
                <w:color w:val="auto"/>
                <w:sz w:val="18"/>
                <w:szCs w:val="18"/>
              </w:rPr>
              <w:t>Cth</w:t>
            </w:r>
            <w:proofErr w:type="spellEnd"/>
            <w:r w:rsidR="00CA3ABF" w:rsidRPr="000D637E">
              <w:rPr>
                <w:rFonts w:ascii="Arial" w:hAnsi="Arial" w:cs="Arial"/>
                <w:color w:val="auto"/>
                <w:sz w:val="18"/>
                <w:szCs w:val="18"/>
              </w:rPr>
              <w:t xml:space="preserve">) or the </w:t>
            </w:r>
            <w:r w:rsidR="00CA3ABF" w:rsidRPr="000D637E">
              <w:rPr>
                <w:rFonts w:ascii="Arial" w:hAnsi="Arial" w:cs="Arial"/>
                <w:i/>
                <w:color w:val="auto"/>
                <w:sz w:val="18"/>
                <w:szCs w:val="18"/>
              </w:rPr>
              <w:t xml:space="preserve">Great Barrier Reef Marine Park Act 1975 </w:t>
            </w:r>
            <w:r w:rsidR="00CA3ABF" w:rsidRPr="000D637E">
              <w:rPr>
                <w:rFonts w:ascii="Arial" w:hAnsi="Arial" w:cs="Arial"/>
                <w:color w:val="auto"/>
                <w:sz w:val="18"/>
                <w:szCs w:val="18"/>
              </w:rPr>
              <w:t>(</w:t>
            </w:r>
            <w:proofErr w:type="spellStart"/>
            <w:r w:rsidR="00CA3ABF" w:rsidRPr="000D637E">
              <w:rPr>
                <w:rFonts w:ascii="Arial" w:hAnsi="Arial" w:cs="Arial"/>
                <w:color w:val="auto"/>
                <w:sz w:val="18"/>
                <w:szCs w:val="18"/>
              </w:rPr>
              <w:t>Cth</w:t>
            </w:r>
            <w:proofErr w:type="spellEnd"/>
            <w:r w:rsidR="00CA3ABF" w:rsidRPr="000D637E">
              <w:rPr>
                <w:rFonts w:ascii="Arial" w:hAnsi="Arial" w:cs="Arial"/>
                <w:color w:val="auto"/>
                <w:sz w:val="18"/>
                <w:szCs w:val="18"/>
              </w:rPr>
              <w:t>).</w:t>
            </w:r>
          </w:p>
        </w:tc>
      </w:tr>
      <w:tr w:rsidR="00140BE4" w:rsidRPr="006A0706" w:rsidTr="00913AF8">
        <w:trPr>
          <w:trHeight w:val="3532"/>
        </w:trPr>
        <w:tc>
          <w:tcPr>
            <w:cnfStyle w:val="001000000000"/>
            <w:tcW w:w="2131" w:type="dxa"/>
            <w:tcBorders>
              <w:right w:val="single" w:sz="4" w:space="0" w:color="548DD4" w:themeColor="text2" w:themeTint="99"/>
            </w:tcBorders>
            <w:shd w:val="clear" w:color="auto" w:fill="C6D9F1" w:themeFill="text2" w:themeFillTint="33"/>
          </w:tcPr>
          <w:p w:rsidR="000B573E" w:rsidRPr="000D637E" w:rsidRDefault="00CA3ABF">
            <w:pPr>
              <w:rPr>
                <w:rFonts w:ascii="Arial" w:hAnsi="Arial" w:cs="Arial"/>
                <w:sz w:val="18"/>
                <w:szCs w:val="18"/>
              </w:rPr>
            </w:pPr>
            <w:r w:rsidRPr="000D637E">
              <w:rPr>
                <w:rFonts w:ascii="Arial" w:hAnsi="Arial" w:cs="Arial"/>
                <w:color w:val="auto"/>
                <w:sz w:val="18"/>
                <w:szCs w:val="18"/>
              </w:rPr>
              <w:t>Adequacy of information and clarity of project scope</w:t>
            </w:r>
          </w:p>
        </w:tc>
        <w:tc>
          <w:tcPr>
            <w:tcW w:w="7492" w:type="dxa"/>
            <w:tcBorders>
              <w:left w:val="single" w:sz="4" w:space="0" w:color="548DD4" w:themeColor="text2" w:themeTint="99"/>
            </w:tcBorders>
            <w:shd w:val="clear" w:color="auto" w:fill="auto"/>
          </w:tcPr>
          <w:p w:rsidR="000B573E" w:rsidRPr="000D637E" w:rsidRDefault="00CA3ABF">
            <w:pPr>
              <w:cnfStyle w:val="000000000000"/>
              <w:rPr>
                <w:rFonts w:ascii="Arial" w:hAnsi="Arial" w:cs="Arial"/>
                <w:sz w:val="18"/>
                <w:szCs w:val="18"/>
              </w:rPr>
            </w:pPr>
            <w:r w:rsidRPr="000D637E">
              <w:rPr>
                <w:rFonts w:ascii="Arial" w:hAnsi="Arial" w:cs="Arial"/>
                <w:color w:val="auto"/>
                <w:sz w:val="18"/>
                <w:szCs w:val="18"/>
              </w:rPr>
              <w:t>Assessing a proposed action that has unclear or partially complete information requires additional time and resources to gather this information, and potentially the commissioning of specialist external consultants to ensure a rigorous assessment is undertaken.  Complexity may be driven by:</w:t>
            </w:r>
          </w:p>
          <w:p w:rsidR="000B573E" w:rsidRPr="000D637E" w:rsidRDefault="00CA3ABF">
            <w:pPr>
              <w:pStyle w:val="ListBullet"/>
              <w:spacing w:after="0"/>
              <w:cnfStyle w:val="000000000000"/>
              <w:rPr>
                <w:rFonts w:ascii="Arial" w:hAnsi="Arial" w:cs="Arial"/>
                <w:sz w:val="18"/>
                <w:szCs w:val="18"/>
              </w:rPr>
            </w:pPr>
            <w:r w:rsidRPr="000D637E">
              <w:rPr>
                <w:rFonts w:ascii="Arial" w:hAnsi="Arial" w:cs="Arial"/>
                <w:color w:val="auto"/>
                <w:sz w:val="18"/>
                <w:szCs w:val="18"/>
              </w:rPr>
              <w:t>The availability of relevant environmental data for the project area (data concerning water resources is a particular issue),</w:t>
            </w:r>
          </w:p>
          <w:p w:rsidR="000B573E" w:rsidRPr="000D637E" w:rsidRDefault="00CA3ABF">
            <w:pPr>
              <w:pStyle w:val="ListBullet"/>
              <w:spacing w:after="0"/>
              <w:cnfStyle w:val="000000000000"/>
              <w:rPr>
                <w:rFonts w:ascii="Arial" w:hAnsi="Arial" w:cs="Arial"/>
                <w:sz w:val="18"/>
                <w:szCs w:val="18"/>
              </w:rPr>
            </w:pPr>
            <w:r w:rsidRPr="000D637E">
              <w:rPr>
                <w:rFonts w:ascii="Arial" w:hAnsi="Arial" w:cs="Arial"/>
                <w:color w:val="auto"/>
                <w:sz w:val="18"/>
                <w:szCs w:val="18"/>
              </w:rPr>
              <w:t>The certainty of likely impacts from the proposed action on matters of national environmental significance, and whether the management or mitigation strategies proposed are well defined and proven, and</w:t>
            </w:r>
          </w:p>
          <w:p w:rsidR="000B573E" w:rsidRPr="000D637E" w:rsidRDefault="00CA3ABF">
            <w:pPr>
              <w:pStyle w:val="ListBullet"/>
              <w:spacing w:after="0"/>
              <w:cnfStyle w:val="000000000000"/>
              <w:rPr>
                <w:rFonts w:ascii="Arial" w:hAnsi="Arial" w:cs="Arial"/>
              </w:rPr>
            </w:pPr>
            <w:r w:rsidRPr="000D637E">
              <w:rPr>
                <w:rFonts w:ascii="Arial" w:hAnsi="Arial" w:cs="Arial"/>
                <w:color w:val="auto"/>
                <w:sz w:val="18"/>
                <w:szCs w:val="18"/>
              </w:rPr>
              <w:t xml:space="preserve">Level of certainty of scope of the proposed action at the assessment documentation stage of an assessment. The more options that the Department needs to assess, the more time and resources are required to review documentation and provide feedback. The Department recognises that </w:t>
            </w:r>
            <w:r w:rsidR="00D469E9" w:rsidRPr="000D637E">
              <w:rPr>
                <w:rFonts w:ascii="Arial" w:hAnsi="Arial" w:cs="Arial"/>
                <w:color w:val="auto"/>
                <w:sz w:val="18"/>
                <w:szCs w:val="18"/>
              </w:rPr>
              <w:t xml:space="preserve">a </w:t>
            </w:r>
            <w:r w:rsidRPr="000D637E">
              <w:rPr>
                <w:rFonts w:ascii="Arial" w:hAnsi="Arial" w:cs="Arial"/>
                <w:color w:val="auto"/>
                <w:sz w:val="18"/>
                <w:szCs w:val="18"/>
              </w:rPr>
              <w:t xml:space="preserve">proposed action may be referred when a project is still in the design phase, and therefore may include a number of options that </w:t>
            </w:r>
            <w:r w:rsidR="00DB1E64" w:rsidRPr="000D637E">
              <w:rPr>
                <w:rFonts w:ascii="Arial" w:hAnsi="Arial" w:cs="Arial"/>
                <w:sz w:val="18"/>
                <w:szCs w:val="18"/>
              </w:rPr>
              <w:t>an</w:t>
            </w:r>
            <w:r w:rsidRPr="000D637E">
              <w:rPr>
                <w:rFonts w:ascii="Arial" w:hAnsi="Arial" w:cs="Arial"/>
                <w:color w:val="auto"/>
                <w:sz w:val="18"/>
                <w:szCs w:val="18"/>
              </w:rPr>
              <w:t xml:space="preserve"> applicant is considering. If the applicant clearly identifies the final scope of the action by the assessment documentation stage, then this complexity charge will not apply.</w:t>
            </w:r>
            <w:r w:rsidRPr="000D637E">
              <w:rPr>
                <w:rFonts w:ascii="Arial" w:hAnsi="Arial" w:cs="Arial"/>
                <w:color w:val="auto"/>
              </w:rPr>
              <w:t xml:space="preserve"> </w:t>
            </w:r>
          </w:p>
        </w:tc>
      </w:tr>
    </w:tbl>
    <w:p w:rsidR="00140BE4" w:rsidRDefault="00140BE4" w:rsidP="00B93821">
      <w:pPr>
        <w:spacing w:before="240"/>
        <w:rPr>
          <w:lang w:val="en-US"/>
        </w:rPr>
      </w:pPr>
      <w:r w:rsidRPr="00E93C5B">
        <w:rPr>
          <w:lang w:val="en-US"/>
        </w:rPr>
        <w:t xml:space="preserve">The additional activities undertaken by the </w:t>
      </w:r>
      <w:r>
        <w:rPr>
          <w:lang w:val="en-US"/>
        </w:rPr>
        <w:t>D</w:t>
      </w:r>
      <w:r w:rsidRPr="00E93C5B">
        <w:rPr>
          <w:lang w:val="en-US"/>
        </w:rPr>
        <w:t xml:space="preserve">epartment based on the level of complexity may include: </w:t>
      </w:r>
    </w:p>
    <w:p w:rsidR="00140BE4" w:rsidRPr="008F17D2" w:rsidRDefault="0023120F" w:rsidP="008F17D2">
      <w:pPr>
        <w:pStyle w:val="ListBullet"/>
      </w:pPr>
      <w:r>
        <w:t>D</w:t>
      </w:r>
      <w:r w:rsidR="00CA3ABF" w:rsidRPr="00CA3ABF">
        <w:t xml:space="preserve">etailed analysis, </w:t>
      </w:r>
    </w:p>
    <w:p w:rsidR="000B573E" w:rsidRDefault="0023120F">
      <w:pPr>
        <w:pStyle w:val="ListBullet"/>
      </w:pPr>
      <w:r>
        <w:t>R</w:t>
      </w:r>
      <w:r w:rsidR="00CA3ABF" w:rsidRPr="00CA3ABF">
        <w:t xml:space="preserve">esearch of impacts and management and mitigation measures, </w:t>
      </w:r>
    </w:p>
    <w:p w:rsidR="00140BE4" w:rsidRPr="008F17D2" w:rsidRDefault="0023120F">
      <w:pPr>
        <w:pStyle w:val="ListBullet"/>
      </w:pPr>
      <w:r>
        <w:t>E</w:t>
      </w:r>
      <w:r w:rsidR="00CA3ABF" w:rsidRPr="00CA3ABF">
        <w:t xml:space="preserve">ngagement of and consultation with experts, </w:t>
      </w:r>
    </w:p>
    <w:p w:rsidR="00140BE4" w:rsidRPr="008F17D2" w:rsidRDefault="0023120F">
      <w:pPr>
        <w:pStyle w:val="ListBullet"/>
      </w:pPr>
      <w:r>
        <w:t>C</w:t>
      </w:r>
      <w:r w:rsidR="00CA3ABF" w:rsidRPr="00CA3ABF">
        <w:t xml:space="preserve">onsultation with the applicant, </w:t>
      </w:r>
    </w:p>
    <w:p w:rsidR="00140BE4" w:rsidRPr="008F17D2" w:rsidRDefault="0023120F">
      <w:pPr>
        <w:pStyle w:val="ListBullet"/>
      </w:pPr>
      <w:r>
        <w:t>S</w:t>
      </w:r>
      <w:r w:rsidR="00CA3ABF" w:rsidRPr="00CA3ABF">
        <w:t xml:space="preserve">ourcing advice from other </w:t>
      </w:r>
      <w:r w:rsidR="001C2CB2">
        <w:t>departmental</w:t>
      </w:r>
      <w:r w:rsidR="00CA3ABF" w:rsidRPr="00CA3ABF">
        <w:t xml:space="preserve"> areas and committees (such as the Independent Expert Scientific Committee on Coal Seam Gas and Large Coal Mining Development) and Commonwealth agencies, and </w:t>
      </w:r>
    </w:p>
    <w:p w:rsidR="00140BE4" w:rsidRPr="008F17D2" w:rsidRDefault="0023120F">
      <w:pPr>
        <w:pStyle w:val="ListBullet"/>
      </w:pPr>
      <w:r>
        <w:t>R</w:t>
      </w:r>
      <w:r w:rsidR="00CA3ABF" w:rsidRPr="00CA3ABF">
        <w:t xml:space="preserve">eview of responses from the applicant and members of the public. </w:t>
      </w:r>
    </w:p>
    <w:p w:rsidR="000B573E" w:rsidRDefault="00140BE4">
      <w:pPr>
        <w:pStyle w:val="Heading4"/>
      </w:pPr>
      <w:r w:rsidRPr="00767BDD">
        <w:lastRenderedPageBreak/>
        <w:t xml:space="preserve">Setting </w:t>
      </w:r>
      <w:r w:rsidRPr="00C66C28">
        <w:t>co</w:t>
      </w:r>
      <w:r w:rsidRPr="00DB1E64">
        <w:t>mplexity fees</w:t>
      </w:r>
    </w:p>
    <w:p w:rsidR="008F17D2" w:rsidRDefault="00140BE4" w:rsidP="00140BE4">
      <w:pPr>
        <w:tabs>
          <w:tab w:val="num" w:pos="709"/>
        </w:tabs>
        <w:rPr>
          <w:lang w:val="en-US"/>
        </w:rPr>
      </w:pPr>
      <w:r>
        <w:t xml:space="preserve">The </w:t>
      </w:r>
      <w:r w:rsidR="007E5869">
        <w:t xml:space="preserve">Department advises the applicant of the </w:t>
      </w:r>
      <w:r>
        <w:t xml:space="preserve">level of complexity fees </w:t>
      </w:r>
      <w:r>
        <w:rPr>
          <w:lang w:val="en-US"/>
        </w:rPr>
        <w:t>at the time of the controlled action or assessment approach decision</w:t>
      </w:r>
      <w:r w:rsidR="008F17D2">
        <w:rPr>
          <w:lang w:val="en-US"/>
        </w:rPr>
        <w:t>.</w:t>
      </w:r>
      <w:r w:rsidRPr="00433A4F">
        <w:rPr>
          <w:rStyle w:val="FootnoteReference"/>
          <w:sz w:val="20"/>
          <w:szCs w:val="20"/>
          <w:lang w:val="en-US"/>
        </w:rPr>
        <w:footnoteReference w:id="11"/>
      </w:r>
      <w:r>
        <w:rPr>
          <w:lang w:val="en-US"/>
        </w:rPr>
        <w:t xml:space="preserve"> Like </w:t>
      </w:r>
      <w:r w:rsidR="000C1835">
        <w:rPr>
          <w:lang w:val="en-US"/>
        </w:rPr>
        <w:t>base</w:t>
      </w:r>
      <w:r>
        <w:rPr>
          <w:lang w:val="en-US"/>
        </w:rPr>
        <w:t xml:space="preserve"> costs for </w:t>
      </w:r>
      <w:r w:rsidR="008F17D2">
        <w:rPr>
          <w:lang w:val="en-US"/>
        </w:rPr>
        <w:t xml:space="preserve">an </w:t>
      </w:r>
      <w:r>
        <w:rPr>
          <w:lang w:val="en-US"/>
        </w:rPr>
        <w:t xml:space="preserve">environmental impact assessment, complexity costs are spread across four stages of the assessment process (with the exception of Assessment on Referral Information, which has three assessment stages). Each fee installment reflects </w:t>
      </w:r>
      <w:r w:rsidRPr="00FC12C4">
        <w:rPr>
          <w:lang w:val="en-US"/>
        </w:rPr>
        <w:t xml:space="preserve">the proportion of </w:t>
      </w:r>
      <w:r>
        <w:rPr>
          <w:lang w:val="en-US"/>
        </w:rPr>
        <w:t>cost and regulatory effort required at that</w:t>
      </w:r>
      <w:r w:rsidRPr="00FC12C4">
        <w:rPr>
          <w:lang w:val="en-US"/>
        </w:rPr>
        <w:t xml:space="preserve"> stage of the assessment.</w:t>
      </w:r>
      <w:r>
        <w:rPr>
          <w:lang w:val="en-US"/>
        </w:rPr>
        <w:t xml:space="preserve"> </w:t>
      </w:r>
      <w:proofErr w:type="gramStart"/>
      <w:r w:rsidRPr="00FC12C4">
        <w:rPr>
          <w:lang w:val="en-US"/>
        </w:rPr>
        <w:t xml:space="preserve">The fee </w:t>
      </w:r>
      <w:r w:rsidR="00233C77">
        <w:rPr>
          <w:lang w:val="en-US"/>
        </w:rPr>
        <w:t>is</w:t>
      </w:r>
      <w:r w:rsidRPr="00FC12C4">
        <w:rPr>
          <w:lang w:val="en-US"/>
        </w:rPr>
        <w:t xml:space="preserve"> payable prior to </w:t>
      </w:r>
      <w:r>
        <w:rPr>
          <w:lang w:val="en-US"/>
        </w:rPr>
        <w:t>the relevant stage of assessment</w:t>
      </w:r>
      <w:r w:rsidRPr="00FC12C4">
        <w:rPr>
          <w:lang w:val="en-US"/>
        </w:rPr>
        <w:t xml:space="preserve"> commencing.</w:t>
      </w:r>
      <w:proofErr w:type="gramEnd"/>
      <w:r w:rsidRPr="00FC12C4">
        <w:rPr>
          <w:lang w:val="en-US"/>
        </w:rPr>
        <w:t xml:space="preserve"> </w:t>
      </w:r>
    </w:p>
    <w:p w:rsidR="00140BE4" w:rsidRDefault="00140BE4" w:rsidP="00140BE4">
      <w:pPr>
        <w:tabs>
          <w:tab w:val="num" w:pos="709"/>
        </w:tabs>
        <w:rPr>
          <w:iCs/>
          <w:color w:val="000000"/>
          <w:lang w:eastAsia="en-AU"/>
        </w:rPr>
      </w:pPr>
      <w:r>
        <w:rPr>
          <w:lang w:val="en-US"/>
        </w:rPr>
        <w:t xml:space="preserve">The Department </w:t>
      </w:r>
      <w:r w:rsidR="00233C77">
        <w:rPr>
          <w:lang w:val="en-US"/>
        </w:rPr>
        <w:t>ensures</w:t>
      </w:r>
      <w:r>
        <w:rPr>
          <w:lang w:val="en-US"/>
        </w:rPr>
        <w:t xml:space="preserve"> that double </w:t>
      </w:r>
      <w:r w:rsidR="00FC4958">
        <w:rPr>
          <w:lang w:val="en-US"/>
        </w:rPr>
        <w:t xml:space="preserve">or excessive </w:t>
      </w:r>
      <w:r>
        <w:rPr>
          <w:lang w:val="en-US"/>
        </w:rPr>
        <w:t xml:space="preserve">charging </w:t>
      </w:r>
      <w:r w:rsidR="00156C00">
        <w:rPr>
          <w:lang w:val="en-US"/>
        </w:rPr>
        <w:t xml:space="preserve">of complexity fees </w:t>
      </w:r>
      <w:r>
        <w:rPr>
          <w:lang w:val="en-US"/>
        </w:rPr>
        <w:t xml:space="preserve">does not occur when setting </w:t>
      </w:r>
      <w:r w:rsidR="008F17D2">
        <w:rPr>
          <w:lang w:val="en-US"/>
        </w:rPr>
        <w:t>those fees</w:t>
      </w:r>
      <w:r>
        <w:rPr>
          <w:lang w:val="en-US"/>
        </w:rPr>
        <w:t xml:space="preserve">. For example, </w:t>
      </w:r>
      <w:r w:rsidRPr="00147143">
        <w:rPr>
          <w:lang w:val="en-US"/>
        </w:rPr>
        <w:t>if</w:t>
      </w:r>
      <w:r w:rsidRPr="00040DA4">
        <w:rPr>
          <w:iCs/>
          <w:color w:val="000000"/>
          <w:lang w:eastAsia="en-AU"/>
        </w:rPr>
        <w:t xml:space="preserve"> a </w:t>
      </w:r>
      <w:r w:rsidR="008F17D2">
        <w:rPr>
          <w:iCs/>
          <w:color w:val="000000"/>
          <w:lang w:eastAsia="en-AU"/>
        </w:rPr>
        <w:t xml:space="preserve">particular </w:t>
      </w:r>
      <w:r w:rsidRPr="00040DA4">
        <w:rPr>
          <w:iCs/>
          <w:color w:val="000000"/>
          <w:lang w:eastAsia="en-AU"/>
        </w:rPr>
        <w:t xml:space="preserve">migratory species is also a listed threatened </w:t>
      </w:r>
      <w:proofErr w:type="gramStart"/>
      <w:r w:rsidRPr="00040DA4">
        <w:rPr>
          <w:iCs/>
          <w:color w:val="000000"/>
          <w:lang w:eastAsia="en-AU"/>
        </w:rPr>
        <w:t>species</w:t>
      </w:r>
      <w:r>
        <w:rPr>
          <w:iCs/>
          <w:color w:val="000000"/>
          <w:lang w:eastAsia="en-AU"/>
        </w:rPr>
        <w:t>,</w:t>
      </w:r>
      <w:proofErr w:type="gramEnd"/>
      <w:r w:rsidRPr="00040DA4">
        <w:rPr>
          <w:iCs/>
          <w:color w:val="000000"/>
          <w:lang w:eastAsia="en-AU"/>
        </w:rPr>
        <w:t xml:space="preserve"> </w:t>
      </w:r>
      <w:r w:rsidR="00B64DB5">
        <w:rPr>
          <w:iCs/>
          <w:color w:val="000000"/>
          <w:lang w:eastAsia="en-AU"/>
        </w:rPr>
        <w:t>applicant</w:t>
      </w:r>
      <w:r w:rsidRPr="00040DA4">
        <w:rPr>
          <w:iCs/>
          <w:color w:val="000000"/>
          <w:lang w:eastAsia="en-AU"/>
        </w:rPr>
        <w:t xml:space="preserve">s will only be charged fees for </w:t>
      </w:r>
      <w:r>
        <w:rPr>
          <w:iCs/>
          <w:color w:val="000000"/>
          <w:lang w:eastAsia="en-AU"/>
        </w:rPr>
        <w:t>one of those</w:t>
      </w:r>
      <w:r w:rsidRPr="00040DA4">
        <w:rPr>
          <w:iCs/>
          <w:color w:val="000000"/>
          <w:lang w:eastAsia="en-AU"/>
        </w:rPr>
        <w:t xml:space="preserve"> categor</w:t>
      </w:r>
      <w:r>
        <w:rPr>
          <w:iCs/>
          <w:color w:val="000000"/>
          <w:lang w:eastAsia="en-AU"/>
        </w:rPr>
        <w:t>ies, not both</w:t>
      </w:r>
      <w:r w:rsidR="008F17D2">
        <w:rPr>
          <w:iCs/>
          <w:color w:val="000000"/>
          <w:lang w:eastAsia="en-AU"/>
        </w:rPr>
        <w:t>, to avoid double charging for the assessment of the impacts of the action on a single species.</w:t>
      </w:r>
      <w:r>
        <w:rPr>
          <w:rStyle w:val="FootnoteReference"/>
          <w:iCs/>
          <w:color w:val="000000"/>
          <w:lang w:eastAsia="en-AU"/>
        </w:rPr>
        <w:footnoteReference w:id="12"/>
      </w:r>
    </w:p>
    <w:p w:rsidR="00720520" w:rsidRDefault="00720520" w:rsidP="00664E44">
      <w:pPr>
        <w:tabs>
          <w:tab w:val="num" w:pos="709"/>
        </w:tabs>
        <w:rPr>
          <w:lang w:val="en-US"/>
        </w:rPr>
      </w:pPr>
      <w:r>
        <w:rPr>
          <w:iCs/>
          <w:color w:val="000000"/>
          <w:lang w:eastAsia="en-AU"/>
        </w:rPr>
        <w:t xml:space="preserve">As the Great Barrier Reef Marine Park is World Heritage listed, </w:t>
      </w:r>
      <w:r w:rsidR="008F17D2">
        <w:rPr>
          <w:iCs/>
          <w:color w:val="000000"/>
          <w:lang w:eastAsia="en-AU"/>
        </w:rPr>
        <w:t>proposed actions</w:t>
      </w:r>
      <w:r w:rsidR="0064623E">
        <w:rPr>
          <w:iCs/>
          <w:color w:val="000000"/>
          <w:lang w:eastAsia="en-AU"/>
        </w:rPr>
        <w:t xml:space="preserve"> </w:t>
      </w:r>
      <w:r>
        <w:rPr>
          <w:iCs/>
          <w:color w:val="000000"/>
          <w:lang w:eastAsia="en-AU"/>
        </w:rPr>
        <w:t xml:space="preserve">that trigger the Great Barrier Reef Marine Park controlling provision also automatically </w:t>
      </w:r>
      <w:r w:rsidR="00664E44">
        <w:rPr>
          <w:iCs/>
          <w:color w:val="000000"/>
          <w:lang w:eastAsia="en-AU"/>
        </w:rPr>
        <w:t xml:space="preserve">trigger for </w:t>
      </w:r>
      <w:r w:rsidR="00664E44" w:rsidRPr="00A50585">
        <w:t>World</w:t>
      </w:r>
      <w:r w:rsidR="00A50585">
        <w:t> </w:t>
      </w:r>
      <w:r w:rsidR="00664E44" w:rsidRPr="00A50585">
        <w:t>Heritage</w:t>
      </w:r>
      <w:r w:rsidR="006E6B25">
        <w:t xml:space="preserve"> (but not necessarily vice versa)</w:t>
      </w:r>
      <w:r w:rsidR="00664E44">
        <w:rPr>
          <w:iCs/>
          <w:color w:val="000000"/>
          <w:lang w:eastAsia="en-AU"/>
        </w:rPr>
        <w:t>. As such the c</w:t>
      </w:r>
      <w:r>
        <w:rPr>
          <w:iCs/>
          <w:color w:val="000000"/>
          <w:lang w:eastAsia="en-AU"/>
        </w:rPr>
        <w:t>omplexity fee for</w:t>
      </w:r>
      <w:r w:rsidR="008F17D2">
        <w:rPr>
          <w:iCs/>
          <w:color w:val="000000"/>
          <w:lang w:eastAsia="en-AU"/>
        </w:rPr>
        <w:t xml:space="preserve"> assessing actions taken in the</w:t>
      </w:r>
      <w:r w:rsidR="00C43061">
        <w:rPr>
          <w:iCs/>
          <w:color w:val="000000"/>
          <w:lang w:eastAsia="en-AU"/>
        </w:rPr>
        <w:t xml:space="preserve"> </w:t>
      </w:r>
      <w:r>
        <w:rPr>
          <w:iCs/>
          <w:color w:val="000000"/>
          <w:lang w:eastAsia="en-AU"/>
        </w:rPr>
        <w:t xml:space="preserve">Great Barrier Reef Marine Park </w:t>
      </w:r>
      <w:r w:rsidR="008F17D2">
        <w:rPr>
          <w:iCs/>
          <w:color w:val="000000"/>
          <w:lang w:eastAsia="en-AU"/>
        </w:rPr>
        <w:t>takes into</w:t>
      </w:r>
      <w:r w:rsidR="00A50585">
        <w:rPr>
          <w:iCs/>
          <w:color w:val="000000"/>
          <w:lang w:eastAsia="en-AU"/>
        </w:rPr>
        <w:t xml:space="preserve"> </w:t>
      </w:r>
      <w:r>
        <w:rPr>
          <w:iCs/>
          <w:color w:val="000000"/>
          <w:lang w:eastAsia="en-AU"/>
        </w:rPr>
        <w:t>account</w:t>
      </w:r>
      <w:r w:rsidR="00664E44">
        <w:rPr>
          <w:iCs/>
          <w:color w:val="000000"/>
          <w:lang w:eastAsia="en-AU"/>
        </w:rPr>
        <w:t xml:space="preserve"> the associated complexity </w:t>
      </w:r>
      <w:r w:rsidR="00A50585">
        <w:rPr>
          <w:iCs/>
          <w:color w:val="000000"/>
          <w:lang w:eastAsia="en-AU"/>
        </w:rPr>
        <w:t>fees</w:t>
      </w:r>
      <w:r w:rsidR="00664E44">
        <w:rPr>
          <w:iCs/>
          <w:color w:val="000000"/>
          <w:lang w:eastAsia="en-AU"/>
        </w:rPr>
        <w:t xml:space="preserve"> for World Heritage</w:t>
      </w:r>
      <w:r w:rsidR="00B47285">
        <w:rPr>
          <w:iCs/>
          <w:color w:val="000000"/>
          <w:lang w:eastAsia="en-AU"/>
        </w:rPr>
        <w:t xml:space="preserve"> to avoid </w:t>
      </w:r>
      <w:r w:rsidR="00156C00">
        <w:rPr>
          <w:iCs/>
          <w:color w:val="000000"/>
          <w:lang w:eastAsia="en-AU"/>
        </w:rPr>
        <w:t xml:space="preserve">excessive </w:t>
      </w:r>
      <w:r w:rsidR="00B47285">
        <w:rPr>
          <w:iCs/>
          <w:color w:val="000000"/>
          <w:lang w:eastAsia="en-AU"/>
        </w:rPr>
        <w:t>charging.</w:t>
      </w:r>
    </w:p>
    <w:p w:rsidR="00343493" w:rsidRDefault="00343493" w:rsidP="00343493">
      <w:pPr>
        <w:rPr>
          <w:lang w:eastAsia="en-AU"/>
        </w:rPr>
      </w:pPr>
      <w:r>
        <w:rPr>
          <w:lang w:eastAsia="en-AU"/>
        </w:rPr>
        <w:t xml:space="preserve">Not all controlling provisions attract the same fee, given the differing levels of complexity involved. For example, there are additional costs involved in assessing water resources owing to the complicated nature of water impacts. Similarly, assessing impacts upon World Heritage areas, such as the Great Barrier Reef Marine Park, require a high level of engagement with the World Heritage Committee (see complexity </w:t>
      </w:r>
      <w:r w:rsidR="00816688">
        <w:rPr>
          <w:lang w:eastAsia="en-AU"/>
        </w:rPr>
        <w:t xml:space="preserve">fee </w:t>
      </w:r>
      <w:r>
        <w:rPr>
          <w:lang w:eastAsia="en-AU"/>
        </w:rPr>
        <w:t>matrix below).</w:t>
      </w:r>
    </w:p>
    <w:p w:rsidR="000B573E" w:rsidRDefault="00140BE4">
      <w:pPr>
        <w:pStyle w:val="Heading4"/>
        <w:rPr>
          <w:lang w:val="en-US"/>
        </w:rPr>
      </w:pPr>
      <w:r w:rsidRPr="004D26AA">
        <w:rPr>
          <w:lang w:val="en-US"/>
        </w:rPr>
        <w:t xml:space="preserve">Fee points for complexity </w:t>
      </w:r>
    </w:p>
    <w:p w:rsidR="00140BE4" w:rsidRDefault="008F17D2" w:rsidP="00140BE4">
      <w:pPr>
        <w:tabs>
          <w:tab w:val="num" w:pos="709"/>
        </w:tabs>
      </w:pPr>
      <w:r>
        <w:rPr>
          <w:lang w:val="en-US"/>
        </w:rPr>
        <w:t>Applicants pay t</w:t>
      </w:r>
      <w:r w:rsidR="00140BE4">
        <w:rPr>
          <w:lang w:val="en-US"/>
        </w:rPr>
        <w:t>he following complexity fees across</w:t>
      </w:r>
      <w:r w:rsidR="00140BE4" w:rsidRPr="00FC12C4">
        <w:rPr>
          <w:lang w:val="en-US"/>
        </w:rPr>
        <w:t xml:space="preserve"> </w:t>
      </w:r>
      <w:r w:rsidR="00140BE4">
        <w:rPr>
          <w:lang w:val="en-US"/>
        </w:rPr>
        <w:t>stages 1-4</w:t>
      </w:r>
      <w:r w:rsidR="00140BE4">
        <w:rPr>
          <w:rStyle w:val="FootnoteReference"/>
          <w:lang w:val="en-US"/>
        </w:rPr>
        <w:footnoteReference w:id="13"/>
      </w:r>
      <w:r w:rsidR="00140BE4">
        <w:rPr>
          <w:lang w:val="en-US"/>
        </w:rPr>
        <w:t xml:space="preserve"> of the assessment</w:t>
      </w:r>
      <w:r w:rsidR="000C1835">
        <w:rPr>
          <w:lang w:val="en-US"/>
        </w:rPr>
        <w:t xml:space="preserve"> (stages 1-3 for assessment on referral information)</w:t>
      </w:r>
      <w:r w:rsidR="00140BE4">
        <w:rPr>
          <w:lang w:val="en-US"/>
        </w:rPr>
        <w:t xml:space="preserve">: </w:t>
      </w:r>
    </w:p>
    <w:p w:rsidR="00140BE4" w:rsidRPr="008F17D2" w:rsidRDefault="0023120F" w:rsidP="008F17D2">
      <w:pPr>
        <w:pStyle w:val="ListBullet"/>
      </w:pPr>
      <w:r>
        <w:t>C</w:t>
      </w:r>
      <w:r w:rsidR="00CA3ABF" w:rsidRPr="00CA3ABF">
        <w:t xml:space="preserve">ontrolling provision fees (shown in rows A to J in the complexity </w:t>
      </w:r>
      <w:r w:rsidR="00816688">
        <w:t xml:space="preserve">fee </w:t>
      </w:r>
      <w:r w:rsidR="00CA3ABF" w:rsidRPr="00CA3ABF">
        <w:t>matrix)</w:t>
      </w:r>
      <w:r w:rsidR="008F17D2">
        <w:t>,</w:t>
      </w:r>
      <w:r w:rsidR="00CA3ABF" w:rsidRPr="00CA3ABF">
        <w:t xml:space="preserve"> </w:t>
      </w:r>
    </w:p>
    <w:p w:rsidR="00140BE4" w:rsidRPr="008F17D2" w:rsidRDefault="0023120F" w:rsidP="008F17D2">
      <w:pPr>
        <w:pStyle w:val="ListBullet"/>
      </w:pPr>
      <w:r>
        <w:t>N</w:t>
      </w:r>
      <w:r w:rsidR="00CA3ABF" w:rsidRPr="00CA3ABF">
        <w:t xml:space="preserve">umber of project component fees (shown in row K in the complexity </w:t>
      </w:r>
      <w:r w:rsidR="00816688">
        <w:t xml:space="preserve">fee </w:t>
      </w:r>
      <w:r w:rsidR="00CA3ABF" w:rsidRPr="00CA3ABF">
        <w:t>matrix)</w:t>
      </w:r>
      <w:r w:rsidR="008F17D2">
        <w:t>,</w:t>
      </w:r>
      <w:r w:rsidR="00CA3ABF" w:rsidRPr="00CA3ABF">
        <w:t xml:space="preserve"> </w:t>
      </w:r>
    </w:p>
    <w:p w:rsidR="00140BE4" w:rsidRPr="008F17D2" w:rsidRDefault="0023120F" w:rsidP="008F17D2">
      <w:pPr>
        <w:pStyle w:val="ListBullet"/>
      </w:pPr>
      <w:r>
        <w:t>C</w:t>
      </w:r>
      <w:r w:rsidR="00CA3ABF" w:rsidRPr="00CA3ABF">
        <w:t xml:space="preserve">oordination with other legislation (shown in row L in the complexity </w:t>
      </w:r>
      <w:r w:rsidR="00816688">
        <w:t xml:space="preserve">fee </w:t>
      </w:r>
      <w:r w:rsidR="00CA3ABF" w:rsidRPr="00CA3ABF">
        <w:t>matrix)</w:t>
      </w:r>
      <w:r w:rsidR="008F17D2">
        <w:t>,</w:t>
      </w:r>
      <w:r w:rsidR="000D637E">
        <w:t xml:space="preserve"> </w:t>
      </w:r>
      <w:r w:rsidR="00CA3ABF" w:rsidRPr="00CA3ABF">
        <w:t xml:space="preserve">and </w:t>
      </w:r>
    </w:p>
    <w:p w:rsidR="00140BE4" w:rsidRPr="008F17D2" w:rsidRDefault="0023120F">
      <w:pPr>
        <w:pStyle w:val="ListBullet"/>
      </w:pPr>
      <w:r>
        <w:t>E</w:t>
      </w:r>
      <w:r w:rsidR="00CA3ABF" w:rsidRPr="00CA3ABF">
        <w:t xml:space="preserve">xceptional circumstance fee (shown in row P in the complexity </w:t>
      </w:r>
      <w:r w:rsidR="00816688">
        <w:t xml:space="preserve">fee </w:t>
      </w:r>
      <w:r w:rsidR="00CA3ABF" w:rsidRPr="00CA3ABF">
        <w:t xml:space="preserve">matrix). </w:t>
      </w:r>
    </w:p>
    <w:p w:rsidR="00140BE4" w:rsidRDefault="008F17D2" w:rsidP="00140BE4">
      <w:pPr>
        <w:tabs>
          <w:tab w:val="num" w:pos="709"/>
        </w:tabs>
        <w:rPr>
          <w:lang w:val="en-US"/>
        </w:rPr>
      </w:pPr>
      <w:r>
        <w:rPr>
          <w:lang w:val="en-US"/>
        </w:rPr>
        <w:t>Applicants will need to pay t</w:t>
      </w:r>
      <w:r w:rsidR="00140BE4">
        <w:rPr>
          <w:lang w:val="en-US"/>
        </w:rPr>
        <w:t xml:space="preserve">he </w:t>
      </w:r>
      <w:r w:rsidRPr="00A70225">
        <w:rPr>
          <w:lang w:eastAsia="en-AU"/>
        </w:rPr>
        <w:t xml:space="preserve">adequacy of information and clarity of project scope (shown in rows </w:t>
      </w:r>
      <w:r>
        <w:rPr>
          <w:lang w:eastAsia="en-AU"/>
        </w:rPr>
        <w:t>M</w:t>
      </w:r>
      <w:r w:rsidRPr="00A70225">
        <w:rPr>
          <w:lang w:eastAsia="en-AU"/>
        </w:rPr>
        <w:t xml:space="preserve">, </w:t>
      </w:r>
      <w:r>
        <w:rPr>
          <w:lang w:eastAsia="en-AU"/>
        </w:rPr>
        <w:t>N</w:t>
      </w:r>
      <w:r w:rsidRPr="00A70225">
        <w:rPr>
          <w:lang w:eastAsia="en-AU"/>
        </w:rPr>
        <w:t xml:space="preserve">, </w:t>
      </w:r>
      <w:r>
        <w:rPr>
          <w:lang w:eastAsia="en-AU"/>
        </w:rPr>
        <w:t>and O</w:t>
      </w:r>
      <w:r w:rsidRPr="00A70225">
        <w:rPr>
          <w:lang w:eastAsia="en-AU"/>
        </w:rPr>
        <w:t xml:space="preserve"> in complexity </w:t>
      </w:r>
      <w:r w:rsidR="00816688">
        <w:rPr>
          <w:lang w:eastAsia="en-AU"/>
        </w:rPr>
        <w:t xml:space="preserve">fee </w:t>
      </w:r>
      <w:r w:rsidRPr="00A70225">
        <w:rPr>
          <w:lang w:eastAsia="en-AU"/>
        </w:rPr>
        <w:t>matrix)</w:t>
      </w:r>
      <w:r>
        <w:rPr>
          <w:lang w:eastAsia="en-AU"/>
        </w:rPr>
        <w:t xml:space="preserve"> </w:t>
      </w:r>
      <w:r w:rsidR="00140BE4">
        <w:rPr>
          <w:lang w:val="en-US"/>
        </w:rPr>
        <w:t>complexity fees across stages 3-4 of the assessment</w:t>
      </w:r>
      <w:r w:rsidR="000C1835">
        <w:rPr>
          <w:lang w:val="en-US"/>
        </w:rPr>
        <w:t xml:space="preserve"> (not applicable for assessment on referral information)</w:t>
      </w:r>
      <w:r w:rsidR="0066417E">
        <w:rPr>
          <w:lang w:val="en-US"/>
        </w:rPr>
        <w:t>.</w:t>
      </w:r>
      <w:r w:rsidR="00140BE4">
        <w:rPr>
          <w:lang w:val="en-US"/>
        </w:rPr>
        <w:t xml:space="preserve"> </w:t>
      </w:r>
    </w:p>
    <w:p w:rsidR="00D00366" w:rsidRDefault="00D00366">
      <w:pPr>
        <w:spacing w:after="0" w:line="240" w:lineRule="auto"/>
        <w:rPr>
          <w:rFonts w:cs="Arial"/>
          <w:i/>
          <w:u w:val="single"/>
          <w:lang w:val="en-US"/>
        </w:rPr>
      </w:pPr>
      <w:bookmarkStart w:id="204" w:name="_Ref387067298"/>
      <w:r>
        <w:rPr>
          <w:lang w:val="en-US"/>
        </w:rPr>
        <w:br w:type="page"/>
      </w:r>
    </w:p>
    <w:p w:rsidR="000B573E" w:rsidRDefault="00CA3ABF">
      <w:pPr>
        <w:pStyle w:val="Heading4"/>
        <w:rPr>
          <w:lang w:val="en-US"/>
        </w:rPr>
      </w:pPr>
      <w:bookmarkStart w:id="205" w:name="_Ref388972186"/>
      <w:r w:rsidRPr="00CA3ABF">
        <w:rPr>
          <w:lang w:val="en-US"/>
        </w:rPr>
        <w:lastRenderedPageBreak/>
        <w:t>Opportunities for applicants to reduce complexity fees</w:t>
      </w:r>
      <w:bookmarkEnd w:id="204"/>
      <w:bookmarkEnd w:id="205"/>
      <w:r w:rsidRPr="00CA3ABF">
        <w:rPr>
          <w:lang w:val="en-US"/>
        </w:rPr>
        <w:t xml:space="preserve"> </w:t>
      </w:r>
    </w:p>
    <w:p w:rsidR="00140BE4" w:rsidRDefault="00343493" w:rsidP="00140BE4">
      <w:pPr>
        <w:rPr>
          <w:lang w:val="en-US"/>
        </w:rPr>
      </w:pPr>
      <w:r>
        <w:rPr>
          <w:lang w:eastAsia="en-AU"/>
        </w:rPr>
        <w:t>A</w:t>
      </w:r>
      <w:r w:rsidR="00B64DB5">
        <w:rPr>
          <w:lang w:eastAsia="en-AU"/>
        </w:rPr>
        <w:t>pplicant</w:t>
      </w:r>
      <w:r w:rsidR="00140BE4">
        <w:rPr>
          <w:lang w:eastAsia="en-AU"/>
        </w:rPr>
        <w:t xml:space="preserve">s have an opportunity to reduce </w:t>
      </w:r>
      <w:r>
        <w:rPr>
          <w:lang w:val="en-US"/>
        </w:rPr>
        <w:t xml:space="preserve">the </w:t>
      </w:r>
      <w:r>
        <w:rPr>
          <w:lang w:eastAsia="en-AU"/>
        </w:rPr>
        <w:t>“</w:t>
      </w:r>
      <w:r w:rsidRPr="00C57500">
        <w:rPr>
          <w:lang w:eastAsia="en-AU"/>
        </w:rPr>
        <w:t>adequacy of information</w:t>
      </w:r>
      <w:r>
        <w:rPr>
          <w:lang w:eastAsia="en-AU"/>
        </w:rPr>
        <w:t>”</w:t>
      </w:r>
      <w:r w:rsidRPr="00C57500">
        <w:rPr>
          <w:lang w:eastAsia="en-AU"/>
        </w:rPr>
        <w:t xml:space="preserve"> and </w:t>
      </w:r>
      <w:r>
        <w:rPr>
          <w:lang w:eastAsia="en-AU"/>
        </w:rPr>
        <w:t>“</w:t>
      </w:r>
      <w:r w:rsidRPr="00C57500">
        <w:rPr>
          <w:lang w:eastAsia="en-AU"/>
        </w:rPr>
        <w:t>clarity of project scope</w:t>
      </w:r>
      <w:r>
        <w:rPr>
          <w:lang w:eastAsia="en-AU"/>
        </w:rPr>
        <w:t>”</w:t>
      </w:r>
      <w:r w:rsidRPr="00C57500">
        <w:rPr>
          <w:lang w:eastAsia="en-AU"/>
        </w:rPr>
        <w:t xml:space="preserve"> </w:t>
      </w:r>
      <w:r>
        <w:rPr>
          <w:lang w:eastAsia="en-AU"/>
        </w:rPr>
        <w:t xml:space="preserve">complexity fees </w:t>
      </w:r>
      <w:r w:rsidRPr="00C57500">
        <w:rPr>
          <w:lang w:eastAsia="en-AU"/>
        </w:rPr>
        <w:t xml:space="preserve">(shown in rows </w:t>
      </w:r>
      <w:r>
        <w:rPr>
          <w:lang w:eastAsia="en-AU"/>
        </w:rPr>
        <w:t>M</w:t>
      </w:r>
      <w:r w:rsidRPr="00A70225">
        <w:rPr>
          <w:lang w:eastAsia="en-AU"/>
        </w:rPr>
        <w:t xml:space="preserve">, </w:t>
      </w:r>
      <w:r>
        <w:rPr>
          <w:lang w:eastAsia="en-AU"/>
        </w:rPr>
        <w:t>N</w:t>
      </w:r>
      <w:r w:rsidRPr="00A70225">
        <w:rPr>
          <w:lang w:eastAsia="en-AU"/>
        </w:rPr>
        <w:t xml:space="preserve">, </w:t>
      </w:r>
      <w:r>
        <w:rPr>
          <w:lang w:eastAsia="en-AU"/>
        </w:rPr>
        <w:t>and O</w:t>
      </w:r>
      <w:r w:rsidRPr="00A70225">
        <w:rPr>
          <w:lang w:eastAsia="en-AU"/>
        </w:rPr>
        <w:t xml:space="preserve"> </w:t>
      </w:r>
      <w:r w:rsidRPr="00C57500">
        <w:rPr>
          <w:lang w:eastAsia="en-AU"/>
        </w:rPr>
        <w:t xml:space="preserve">in complexity </w:t>
      </w:r>
      <w:r w:rsidR="00816688">
        <w:rPr>
          <w:lang w:eastAsia="en-AU"/>
        </w:rPr>
        <w:t xml:space="preserve">fee </w:t>
      </w:r>
      <w:r w:rsidRPr="00C57500">
        <w:rPr>
          <w:lang w:eastAsia="en-AU"/>
        </w:rPr>
        <w:t>matrix)</w:t>
      </w:r>
      <w:r>
        <w:rPr>
          <w:lang w:eastAsia="en-AU"/>
        </w:rPr>
        <w:t xml:space="preserve"> </w:t>
      </w:r>
      <w:r w:rsidR="00140BE4" w:rsidRPr="00C57500">
        <w:rPr>
          <w:lang w:eastAsia="en-AU"/>
        </w:rPr>
        <w:t xml:space="preserve">during the assessment process. </w:t>
      </w:r>
      <w:r w:rsidR="00140BE4" w:rsidRPr="00C57500">
        <w:rPr>
          <w:lang w:val="en-US"/>
        </w:rPr>
        <w:t xml:space="preserve">The </w:t>
      </w:r>
      <w:r>
        <w:rPr>
          <w:lang w:val="en-US"/>
        </w:rPr>
        <w:t xml:space="preserve">Department </w:t>
      </w:r>
      <w:r w:rsidR="00233C77">
        <w:rPr>
          <w:lang w:val="en-US"/>
        </w:rPr>
        <w:t>advises</w:t>
      </w:r>
      <w:r>
        <w:rPr>
          <w:lang w:val="en-US"/>
        </w:rPr>
        <w:t xml:space="preserve"> applicants of the </w:t>
      </w:r>
      <w:r w:rsidR="00140BE4" w:rsidRPr="00C57500">
        <w:rPr>
          <w:lang w:val="en-US"/>
        </w:rPr>
        <w:t>maximum liability for complexity fees</w:t>
      </w:r>
      <w:r w:rsidR="00140BE4">
        <w:rPr>
          <w:lang w:val="en-US"/>
        </w:rPr>
        <w:t xml:space="preserve"> in rows</w:t>
      </w:r>
      <w:r w:rsidR="00140BE4" w:rsidRPr="00C57500">
        <w:rPr>
          <w:lang w:val="en-US"/>
        </w:rPr>
        <w:t xml:space="preserve"> </w:t>
      </w:r>
      <w:r w:rsidR="00C8145C">
        <w:rPr>
          <w:lang w:eastAsia="en-AU"/>
        </w:rPr>
        <w:t>M</w:t>
      </w:r>
      <w:r w:rsidR="00C8145C" w:rsidRPr="00A70225">
        <w:rPr>
          <w:lang w:eastAsia="en-AU"/>
        </w:rPr>
        <w:t xml:space="preserve">, </w:t>
      </w:r>
      <w:r w:rsidR="00C8145C">
        <w:rPr>
          <w:lang w:eastAsia="en-AU"/>
        </w:rPr>
        <w:t>N</w:t>
      </w:r>
      <w:r w:rsidR="00C8145C" w:rsidRPr="00A70225">
        <w:rPr>
          <w:lang w:eastAsia="en-AU"/>
        </w:rPr>
        <w:t xml:space="preserve">, </w:t>
      </w:r>
      <w:r w:rsidR="00C8145C">
        <w:rPr>
          <w:lang w:eastAsia="en-AU"/>
        </w:rPr>
        <w:t>and O</w:t>
      </w:r>
      <w:r w:rsidR="00C8145C" w:rsidRPr="00A70225">
        <w:rPr>
          <w:lang w:eastAsia="en-AU"/>
        </w:rPr>
        <w:t xml:space="preserve"> </w:t>
      </w:r>
      <w:r w:rsidR="00140BE4" w:rsidRPr="00C57500">
        <w:rPr>
          <w:lang w:val="en-US"/>
        </w:rPr>
        <w:t>at the time of the controlled action or assessment approach decision, based on the information provided in the referral documentation</w:t>
      </w:r>
      <w:r>
        <w:rPr>
          <w:lang w:val="en-US"/>
        </w:rPr>
        <w:t>.</w:t>
      </w:r>
      <w:r w:rsidR="00140BE4" w:rsidRPr="00C57500">
        <w:rPr>
          <w:lang w:val="en-US"/>
        </w:rPr>
        <w:t xml:space="preserve"> </w:t>
      </w:r>
      <w:r>
        <w:rPr>
          <w:lang w:val="en-US"/>
        </w:rPr>
        <w:t xml:space="preserve">However, the fees </w:t>
      </w:r>
      <w:r w:rsidR="00233C77">
        <w:rPr>
          <w:lang w:val="en-US"/>
        </w:rPr>
        <w:t>are</w:t>
      </w:r>
      <w:r w:rsidR="00140BE4" w:rsidRPr="00C57500">
        <w:rPr>
          <w:lang w:val="en-US"/>
        </w:rPr>
        <w:t xml:space="preserve"> not be payable until stage 3 and 4 of the assessment. </w:t>
      </w:r>
    </w:p>
    <w:p w:rsidR="00140BE4" w:rsidRDefault="00140BE4" w:rsidP="00140BE4">
      <w:pPr>
        <w:rPr>
          <w:lang w:val="en-US"/>
        </w:rPr>
      </w:pPr>
      <w:r w:rsidRPr="00C57500">
        <w:rPr>
          <w:lang w:val="en-US"/>
        </w:rPr>
        <w:t xml:space="preserve">The </w:t>
      </w:r>
      <w:r>
        <w:rPr>
          <w:lang w:val="en-US"/>
        </w:rPr>
        <w:t>D</w:t>
      </w:r>
      <w:r w:rsidRPr="00C57500">
        <w:rPr>
          <w:lang w:val="en-US"/>
        </w:rPr>
        <w:t xml:space="preserve">epartment acknowledges that sometimes </w:t>
      </w:r>
      <w:r w:rsidR="00343493">
        <w:rPr>
          <w:lang w:val="en-US"/>
        </w:rPr>
        <w:t xml:space="preserve">the applicant does not have </w:t>
      </w:r>
      <w:r w:rsidRPr="00C57500">
        <w:rPr>
          <w:lang w:val="en-US"/>
        </w:rPr>
        <w:t xml:space="preserve">all information regarding a </w:t>
      </w:r>
      <w:r w:rsidR="00343493">
        <w:rPr>
          <w:lang w:val="en-US"/>
        </w:rPr>
        <w:t>proposed action</w:t>
      </w:r>
      <w:r w:rsidR="000D74ED">
        <w:rPr>
          <w:lang w:val="en-US"/>
        </w:rPr>
        <w:t xml:space="preserve"> </w:t>
      </w:r>
      <w:r w:rsidRPr="00C57500">
        <w:rPr>
          <w:lang w:val="en-US"/>
        </w:rPr>
        <w:t xml:space="preserve">at the time of the referral, and that </w:t>
      </w:r>
      <w:r w:rsidR="00343493">
        <w:rPr>
          <w:lang w:val="en-US"/>
        </w:rPr>
        <w:t xml:space="preserve">an applicant will often be able to provide </w:t>
      </w:r>
      <w:r w:rsidRPr="00C57500">
        <w:rPr>
          <w:lang w:val="en-US"/>
        </w:rPr>
        <w:t>more adequate information in the draft assessment documentation. Therefore</w:t>
      </w:r>
      <w:r>
        <w:rPr>
          <w:lang w:val="en-US"/>
        </w:rPr>
        <w:t>,</w:t>
      </w:r>
      <w:r w:rsidRPr="00C57500">
        <w:rPr>
          <w:lang w:val="en-US"/>
        </w:rPr>
        <w:t xml:space="preserve"> </w:t>
      </w:r>
      <w:r w:rsidR="00343493">
        <w:rPr>
          <w:lang w:val="en-US"/>
        </w:rPr>
        <w:t xml:space="preserve">the Department may reduce </w:t>
      </w:r>
      <w:r w:rsidRPr="00C57500">
        <w:rPr>
          <w:lang w:val="en-US"/>
        </w:rPr>
        <w:t>complexity fees when</w:t>
      </w:r>
      <w:r w:rsidRPr="00C57500">
        <w:t xml:space="preserve"> </w:t>
      </w:r>
      <w:r w:rsidR="00343493">
        <w:t>the applicant better defines the s</w:t>
      </w:r>
      <w:r w:rsidRPr="00C57500">
        <w:t>cope</w:t>
      </w:r>
      <w:r w:rsidR="00343493">
        <w:t xml:space="preserve"> of the proposed action</w:t>
      </w:r>
      <w:r w:rsidRPr="00C57500">
        <w:t xml:space="preserve"> and</w:t>
      </w:r>
      <w:r>
        <w:t xml:space="preserve">/or </w:t>
      </w:r>
      <w:r w:rsidR="00343493">
        <w:t xml:space="preserve">proposed </w:t>
      </w:r>
      <w:r w:rsidRPr="00C57500">
        <w:t xml:space="preserve">management measures in draft assessment documentation. </w:t>
      </w:r>
      <w:r w:rsidRPr="00040345">
        <w:t>Th</w:t>
      </w:r>
      <w:r w:rsidR="00972168">
        <w:t>e “adequacy of referral information” and “clarity of project scope”</w:t>
      </w:r>
      <w:r w:rsidRPr="00040345">
        <w:t xml:space="preserve"> </w:t>
      </w:r>
      <w:r w:rsidR="00A203B1">
        <w:t>fee</w:t>
      </w:r>
      <w:r w:rsidR="00972168">
        <w:t>s</w:t>
      </w:r>
      <w:r w:rsidR="00A203B1">
        <w:t xml:space="preserve"> </w:t>
      </w:r>
      <w:r w:rsidRPr="00040345">
        <w:t>do not apply to assessments on referral information, as to be eligible for this assessment method the information provided at the referral stage must be sufficient so that no further information is required</w:t>
      </w:r>
      <w:r w:rsidRPr="0066417E">
        <w:t>.</w:t>
      </w:r>
      <w:r>
        <w:t xml:space="preserve"> </w:t>
      </w:r>
      <w:r w:rsidRPr="00C57500">
        <w:rPr>
          <w:lang w:val="en-US"/>
        </w:rPr>
        <w:t>T</w:t>
      </w:r>
      <w:r w:rsidRPr="00C57500">
        <w:t xml:space="preserve">he final applicable fees for adequacy of information </w:t>
      </w:r>
      <w:r w:rsidR="00972168">
        <w:t xml:space="preserve">and clarity of project scope </w:t>
      </w:r>
      <w:r w:rsidRPr="00C57500">
        <w:t xml:space="preserve">are confirmed after the draft assessment documentation (stage 2) is received by the </w:t>
      </w:r>
      <w:r>
        <w:t>D</w:t>
      </w:r>
      <w:r w:rsidRPr="00C57500">
        <w:t xml:space="preserve">epartment, and are </w:t>
      </w:r>
      <w:r>
        <w:t xml:space="preserve">then </w:t>
      </w:r>
      <w:r w:rsidRPr="00C57500">
        <w:t xml:space="preserve">payable across the remaining stages of the assessment (stages 3 &amp; 4).  </w:t>
      </w:r>
      <w:r w:rsidRPr="00C57500">
        <w:rPr>
          <w:lang w:val="en-US"/>
        </w:rPr>
        <w:t xml:space="preserve"> </w:t>
      </w:r>
    </w:p>
    <w:p w:rsidR="00140BE4" w:rsidRPr="002102DB" w:rsidRDefault="00140BE4" w:rsidP="00140BE4">
      <w:pPr>
        <w:rPr>
          <w:lang w:val="en-US"/>
        </w:rPr>
      </w:pPr>
      <w:r w:rsidRPr="00C57500">
        <w:rPr>
          <w:lang w:val="en-US"/>
        </w:rPr>
        <w:t>For example</w:t>
      </w:r>
      <w:r>
        <w:rPr>
          <w:lang w:val="en-US"/>
        </w:rPr>
        <w:t>,</w:t>
      </w:r>
      <w:r w:rsidRPr="00C57500">
        <w:rPr>
          <w:lang w:val="en-US"/>
        </w:rPr>
        <w:t xml:space="preserve"> if a</w:t>
      </w:r>
      <w:r w:rsidR="000D74ED">
        <w:rPr>
          <w:lang w:val="en-US"/>
        </w:rPr>
        <w:t>n</w:t>
      </w:r>
      <w:r w:rsidRPr="00C57500">
        <w:rPr>
          <w:lang w:val="en-US"/>
        </w:rPr>
        <w:t xml:space="preserve"> </w:t>
      </w:r>
      <w:r w:rsidR="00B64DB5">
        <w:rPr>
          <w:lang w:val="en-US"/>
        </w:rPr>
        <w:t>applicant</w:t>
      </w:r>
      <w:r w:rsidRPr="00C57500">
        <w:rPr>
          <w:lang w:val="en-US"/>
        </w:rPr>
        <w:t xml:space="preserve"> has partially complete</w:t>
      </w:r>
      <w:r w:rsidR="00C26A6E">
        <w:rPr>
          <w:lang w:val="en-US"/>
        </w:rPr>
        <w:t>d</w:t>
      </w:r>
      <w:r w:rsidRPr="00C57500">
        <w:rPr>
          <w:lang w:val="en-US"/>
        </w:rPr>
        <w:t xml:space="preserve"> site surveys for all project components at the time of the referral</w:t>
      </w:r>
      <w:r>
        <w:rPr>
          <w:lang w:val="en-US"/>
        </w:rPr>
        <w:t>,</w:t>
      </w:r>
      <w:r w:rsidRPr="00C57500">
        <w:rPr>
          <w:lang w:val="en-US"/>
        </w:rPr>
        <w:t xml:space="preserve"> then </w:t>
      </w:r>
      <w:r w:rsidR="00972168">
        <w:rPr>
          <w:lang w:val="en-US"/>
        </w:rPr>
        <w:t xml:space="preserve">the Department would advise the applicant </w:t>
      </w:r>
      <w:r w:rsidR="00972168" w:rsidRPr="00C57500">
        <w:rPr>
          <w:lang w:val="en-US"/>
        </w:rPr>
        <w:t>at the controlled action or assessment approach decision</w:t>
      </w:r>
      <w:r w:rsidR="00972168">
        <w:rPr>
          <w:lang w:val="en-US"/>
        </w:rPr>
        <w:t xml:space="preserve"> that </w:t>
      </w:r>
      <w:r w:rsidRPr="00C57500">
        <w:rPr>
          <w:lang w:val="en-US"/>
        </w:rPr>
        <w:t xml:space="preserve">a complexity </w:t>
      </w:r>
      <w:r w:rsidRPr="00EC5358">
        <w:rPr>
          <w:lang w:val="en-US"/>
        </w:rPr>
        <w:t>fee of $1</w:t>
      </w:r>
      <w:r w:rsidR="00EC5358" w:rsidRPr="00EC5358">
        <w:rPr>
          <w:lang w:val="en-US"/>
        </w:rPr>
        <w:t>4</w:t>
      </w:r>
      <w:r w:rsidRPr="00EC5358">
        <w:rPr>
          <w:lang w:val="en-US"/>
        </w:rPr>
        <w:t>,</w:t>
      </w:r>
      <w:r w:rsidR="00EC5358" w:rsidRPr="00EC5358">
        <w:rPr>
          <w:lang w:val="en-US"/>
        </w:rPr>
        <w:t>248</w:t>
      </w:r>
      <w:r w:rsidRPr="00EC5358">
        <w:rPr>
          <w:lang w:val="en-US"/>
        </w:rPr>
        <w:t xml:space="preserve"> </w:t>
      </w:r>
      <w:r w:rsidR="00972168">
        <w:rPr>
          <w:lang w:val="en-US"/>
        </w:rPr>
        <w:t>will apply</w:t>
      </w:r>
      <w:r w:rsidRPr="00C57500">
        <w:rPr>
          <w:lang w:val="en-US"/>
        </w:rPr>
        <w:t>. This fee would be payable at stage 3</w:t>
      </w:r>
      <w:r w:rsidR="00C62D9B">
        <w:rPr>
          <w:lang w:val="en-US"/>
        </w:rPr>
        <w:t> </w:t>
      </w:r>
      <w:r w:rsidRPr="00C57500">
        <w:rPr>
          <w:lang w:val="en-US"/>
        </w:rPr>
        <w:t>&amp; 4 of the assessment</w:t>
      </w:r>
      <w:r>
        <w:rPr>
          <w:lang w:val="en-US"/>
        </w:rPr>
        <w:t>. H</w:t>
      </w:r>
      <w:r w:rsidRPr="00C57500">
        <w:rPr>
          <w:lang w:val="en-US"/>
        </w:rPr>
        <w:t>owever</w:t>
      </w:r>
      <w:r>
        <w:rPr>
          <w:lang w:val="en-US"/>
        </w:rPr>
        <w:t>,</w:t>
      </w:r>
      <w:r w:rsidRPr="00C57500">
        <w:rPr>
          <w:lang w:val="en-US"/>
        </w:rPr>
        <w:t xml:space="preserve"> if the </w:t>
      </w:r>
      <w:r w:rsidR="00B64DB5">
        <w:rPr>
          <w:lang w:val="en-US"/>
        </w:rPr>
        <w:t>applicant</w:t>
      </w:r>
      <w:r w:rsidRPr="00C57500">
        <w:rPr>
          <w:lang w:val="en-US"/>
        </w:rPr>
        <w:t xml:space="preserve"> provided </w:t>
      </w:r>
      <w:r>
        <w:rPr>
          <w:lang w:val="en-US"/>
        </w:rPr>
        <w:t xml:space="preserve">fully </w:t>
      </w:r>
      <w:r w:rsidRPr="00C57500">
        <w:rPr>
          <w:lang w:val="en-US"/>
        </w:rPr>
        <w:t>complete</w:t>
      </w:r>
      <w:r>
        <w:rPr>
          <w:lang w:val="en-US"/>
        </w:rPr>
        <w:t>d</w:t>
      </w:r>
      <w:r w:rsidRPr="00C57500">
        <w:rPr>
          <w:lang w:val="en-US"/>
        </w:rPr>
        <w:t xml:space="preserve"> site surveys in their draft assessment documentation (stage 2), then this fee would no longer apply.</w:t>
      </w:r>
      <w:r w:rsidR="00972168">
        <w:rPr>
          <w:lang w:val="en-US"/>
        </w:rPr>
        <w:t xml:space="preserve"> The Department will advise the applicant of any reduction in complexity fees.</w:t>
      </w:r>
    </w:p>
    <w:p w:rsidR="00140BE4" w:rsidRDefault="003318D9" w:rsidP="00140BE4">
      <w:pPr>
        <w:tabs>
          <w:tab w:val="num" w:pos="709"/>
        </w:tabs>
        <w:rPr>
          <w:lang w:val="en-US"/>
        </w:rPr>
      </w:pPr>
      <w:r>
        <w:rPr>
          <w:lang w:val="en-US"/>
        </w:rPr>
        <w:t>T</w:t>
      </w:r>
      <w:r w:rsidR="00140BE4" w:rsidRPr="004D5D80">
        <w:rPr>
          <w:lang w:val="en-US"/>
        </w:rPr>
        <w:t>he CRIS</w:t>
      </w:r>
      <w:r>
        <w:rPr>
          <w:lang w:val="en-US"/>
        </w:rPr>
        <w:t xml:space="preserve"> includes further examples below </w:t>
      </w:r>
      <w:r w:rsidR="00140BE4" w:rsidRPr="004D5D80">
        <w:rPr>
          <w:lang w:val="en-US"/>
        </w:rPr>
        <w:t>(refer examples 1-</w:t>
      </w:r>
      <w:r w:rsidR="006448DC">
        <w:rPr>
          <w:lang w:val="en-US"/>
        </w:rPr>
        <w:t>5</w:t>
      </w:r>
      <w:r w:rsidR="00800291">
        <w:rPr>
          <w:lang w:val="en-US"/>
        </w:rPr>
        <w:t xml:space="preserve"> commencing on page 27</w:t>
      </w:r>
      <w:r w:rsidR="00140BE4" w:rsidRPr="004D5D80">
        <w:rPr>
          <w:lang w:val="en-US"/>
        </w:rPr>
        <w:t>)</w:t>
      </w:r>
      <w:r w:rsidR="004D5D80">
        <w:rPr>
          <w:lang w:val="en-US"/>
        </w:rPr>
        <w:t xml:space="preserve"> </w:t>
      </w:r>
      <w:r>
        <w:rPr>
          <w:lang w:val="en-US"/>
        </w:rPr>
        <w:t xml:space="preserve">which </w:t>
      </w:r>
      <w:r w:rsidR="00140BE4" w:rsidRPr="004D5D80">
        <w:rPr>
          <w:lang w:val="en-US"/>
        </w:rPr>
        <w:t>demonstrate how different complexity costs may apply to projects under each assessment</w:t>
      </w:r>
      <w:r w:rsidR="00140BE4" w:rsidRPr="00FC12C4">
        <w:rPr>
          <w:lang w:val="en-US"/>
        </w:rPr>
        <w:t xml:space="preserve"> method. </w:t>
      </w:r>
      <w:r w:rsidR="00834905">
        <w:rPr>
          <w:lang w:val="en-US"/>
        </w:rPr>
        <w:t xml:space="preserve">The preliminary documentation example also includes an example of how complexity fees </w:t>
      </w:r>
      <w:r w:rsidR="00233C77">
        <w:rPr>
          <w:lang w:val="en-US"/>
        </w:rPr>
        <w:t>may</w:t>
      </w:r>
      <w:r w:rsidR="00834905">
        <w:rPr>
          <w:lang w:val="en-US"/>
        </w:rPr>
        <w:t xml:space="preserve"> be reduced. </w:t>
      </w:r>
      <w:r w:rsidR="00140BE4" w:rsidRPr="00FC12C4">
        <w:rPr>
          <w:lang w:val="en-US"/>
        </w:rPr>
        <w:t xml:space="preserve">These examples </w:t>
      </w:r>
      <w:r w:rsidR="00140BE4">
        <w:rPr>
          <w:lang w:val="en-US"/>
        </w:rPr>
        <w:t xml:space="preserve">outline the </w:t>
      </w:r>
      <w:r w:rsidR="00295F88">
        <w:rPr>
          <w:lang w:val="en-US"/>
        </w:rPr>
        <w:t xml:space="preserve">total </w:t>
      </w:r>
      <w:r w:rsidR="00140BE4">
        <w:rPr>
          <w:lang w:val="en-US"/>
        </w:rPr>
        <w:t xml:space="preserve">fees that </w:t>
      </w:r>
      <w:r w:rsidR="00233C77">
        <w:rPr>
          <w:lang w:val="en-US"/>
        </w:rPr>
        <w:t xml:space="preserve">would </w:t>
      </w:r>
      <w:r w:rsidR="00140BE4">
        <w:rPr>
          <w:lang w:val="en-US"/>
        </w:rPr>
        <w:t>apply</w:t>
      </w:r>
      <w:r w:rsidR="00140BE4" w:rsidRPr="00FC12C4">
        <w:rPr>
          <w:lang w:val="en-US"/>
        </w:rPr>
        <w:t xml:space="preserve"> to deliver the</w:t>
      </w:r>
      <w:r w:rsidR="00140BE4">
        <w:rPr>
          <w:lang w:val="en-US"/>
        </w:rPr>
        <w:t>se assessments</w:t>
      </w:r>
      <w:r w:rsidR="00140BE4" w:rsidRPr="00FC12C4">
        <w:rPr>
          <w:lang w:val="en-US"/>
        </w:rPr>
        <w:t xml:space="preserve">. </w:t>
      </w:r>
      <w:r w:rsidR="00140BE4">
        <w:rPr>
          <w:lang w:val="en-US"/>
        </w:rPr>
        <w:t>Examples are provided for illustrative purposes only, with the total costs for individual projects to be determined based on the complexity of those projects.</w:t>
      </w:r>
    </w:p>
    <w:p w:rsidR="000B573E" w:rsidRDefault="00140BE4">
      <w:pPr>
        <w:pStyle w:val="Heading4"/>
        <w:rPr>
          <w:lang w:val="en-US"/>
        </w:rPr>
      </w:pPr>
      <w:r w:rsidRPr="004D26AA">
        <w:rPr>
          <w:lang w:val="en-US"/>
        </w:rPr>
        <w:t>Complexity fee review process</w:t>
      </w:r>
    </w:p>
    <w:p w:rsidR="00512890" w:rsidRDefault="00140BE4" w:rsidP="00D33E10">
      <w:pPr>
        <w:rPr>
          <w:i/>
        </w:rPr>
      </w:pPr>
      <w:r>
        <w:rPr>
          <w:lang w:val="en-US"/>
        </w:rPr>
        <w:t xml:space="preserve">Should the </w:t>
      </w:r>
      <w:r w:rsidR="00B64DB5">
        <w:rPr>
          <w:lang w:val="en-US"/>
        </w:rPr>
        <w:t>applicant</w:t>
      </w:r>
      <w:r>
        <w:rPr>
          <w:lang w:val="en-US"/>
        </w:rPr>
        <w:t xml:space="preserve"> disagree with the complexity fees set by the Department,</w:t>
      </w:r>
      <w:r w:rsidRPr="00FC12C4">
        <w:rPr>
          <w:lang w:val="en-US"/>
        </w:rPr>
        <w:t xml:space="preserve"> the</w:t>
      </w:r>
      <w:r>
        <w:rPr>
          <w:lang w:val="en-US"/>
        </w:rPr>
        <w:t xml:space="preserve"> </w:t>
      </w:r>
      <w:r w:rsidR="00B64DB5">
        <w:rPr>
          <w:lang w:val="en-US"/>
        </w:rPr>
        <w:t>applicant</w:t>
      </w:r>
      <w:r>
        <w:rPr>
          <w:lang w:val="en-US"/>
        </w:rPr>
        <w:t xml:space="preserve"> can request that the</w:t>
      </w:r>
      <w:r w:rsidRPr="00FC12C4">
        <w:rPr>
          <w:lang w:val="en-US"/>
        </w:rPr>
        <w:t xml:space="preserve"> </w:t>
      </w:r>
      <w:r>
        <w:rPr>
          <w:lang w:val="en-US"/>
        </w:rPr>
        <w:t>D</w:t>
      </w:r>
      <w:r w:rsidRPr="00FC12C4">
        <w:rPr>
          <w:lang w:val="en-US"/>
        </w:rPr>
        <w:t>epartment</w:t>
      </w:r>
      <w:r w:rsidR="00295F88">
        <w:rPr>
          <w:lang w:val="en-US"/>
        </w:rPr>
        <w:t xml:space="preserve"> conduct an </w:t>
      </w:r>
      <w:r w:rsidRPr="00FC12C4">
        <w:rPr>
          <w:lang w:val="en-US"/>
        </w:rPr>
        <w:t>internal</w:t>
      </w:r>
      <w:r>
        <w:rPr>
          <w:lang w:val="en-US"/>
        </w:rPr>
        <w:t xml:space="preserve"> review</w:t>
      </w:r>
      <w:r w:rsidR="00295F88">
        <w:rPr>
          <w:lang w:val="en-US"/>
        </w:rPr>
        <w:t>. The review will be undertaken</w:t>
      </w:r>
      <w:r>
        <w:rPr>
          <w:lang w:val="en-US"/>
        </w:rPr>
        <w:t xml:space="preserve"> by a</w:t>
      </w:r>
      <w:r w:rsidR="00295F88">
        <w:rPr>
          <w:lang w:val="en-US"/>
        </w:rPr>
        <w:t xml:space="preserve">n officer more senior than the original decision maker </w:t>
      </w:r>
      <w:r>
        <w:rPr>
          <w:lang w:val="en-US"/>
        </w:rPr>
        <w:t>to ensure fairness</w:t>
      </w:r>
      <w:r w:rsidRPr="00FC12C4">
        <w:rPr>
          <w:lang w:val="en-US"/>
        </w:rPr>
        <w:t>.</w:t>
      </w:r>
      <w:r>
        <w:rPr>
          <w:lang w:val="en-US"/>
        </w:rPr>
        <w:t xml:space="preserve"> </w:t>
      </w:r>
      <w:r w:rsidR="00295F88">
        <w:rPr>
          <w:lang w:val="en-US"/>
        </w:rPr>
        <w:t xml:space="preserve">The Department </w:t>
      </w:r>
      <w:r w:rsidR="00233C77">
        <w:rPr>
          <w:lang w:val="en-US"/>
        </w:rPr>
        <w:t xml:space="preserve">does </w:t>
      </w:r>
      <w:r w:rsidR="00295F88">
        <w:rPr>
          <w:lang w:val="en-US"/>
        </w:rPr>
        <w:t xml:space="preserve">not charge </w:t>
      </w:r>
      <w:r>
        <w:rPr>
          <w:lang w:val="en-US"/>
        </w:rPr>
        <w:t xml:space="preserve">for this service. </w:t>
      </w:r>
      <w:r w:rsidR="00295F88">
        <w:rPr>
          <w:lang w:val="en-US"/>
        </w:rPr>
        <w:t>The Department will provide g</w:t>
      </w:r>
      <w:r>
        <w:rPr>
          <w:lang w:val="en-US"/>
        </w:rPr>
        <w:t xml:space="preserve">uidance on the requirements for seeking review of complexity fees prior to the commencement of cost recovery. </w:t>
      </w:r>
    </w:p>
    <w:p w:rsidR="00140BE4" w:rsidRDefault="00140BE4" w:rsidP="00140BE4">
      <w:pPr>
        <w:rPr>
          <w:i/>
        </w:rPr>
        <w:sectPr w:rsidR="00140BE4" w:rsidSect="000005C0">
          <w:headerReference w:type="even" r:id="rId27"/>
          <w:headerReference w:type="default" r:id="rId28"/>
          <w:headerReference w:type="first" r:id="rId29"/>
          <w:footerReference w:type="first" r:id="rId30"/>
          <w:pgSz w:w="11906" w:h="16838"/>
          <w:pgMar w:top="1418" w:right="1276" w:bottom="567" w:left="1418" w:header="425" w:footer="425" w:gutter="0"/>
          <w:pgNumType w:start="1"/>
          <w:cols w:space="708"/>
          <w:docGrid w:linePitch="360"/>
        </w:sectPr>
      </w:pPr>
    </w:p>
    <w:p w:rsidR="00C26A6E" w:rsidRDefault="001C2060" w:rsidP="00F21C68">
      <w:pPr>
        <w:jc w:val="center"/>
        <w:rPr>
          <w:i/>
        </w:rPr>
      </w:pPr>
      <w:r>
        <w:rPr>
          <w:i/>
          <w:noProof/>
          <w:lang w:eastAsia="en-AU"/>
        </w:rPr>
        <w:lastRenderedPageBreak/>
        <w:drawing>
          <wp:inline distT="0" distB="0" distL="0" distR="0">
            <wp:extent cx="8534400" cy="58674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8545340" cy="5874921"/>
                    </a:xfrm>
                    <a:prstGeom prst="rect">
                      <a:avLst/>
                    </a:prstGeom>
                    <a:noFill/>
                    <a:ln w="9525">
                      <a:noFill/>
                      <a:miter lim="800000"/>
                      <a:headEnd/>
                      <a:tailEnd/>
                    </a:ln>
                  </pic:spPr>
                </pic:pic>
              </a:graphicData>
            </a:graphic>
          </wp:inline>
        </w:drawing>
      </w:r>
    </w:p>
    <w:p w:rsidR="00512890" w:rsidRDefault="00512890" w:rsidP="00F21C68">
      <w:pPr>
        <w:jc w:val="center"/>
        <w:rPr>
          <w:i/>
        </w:rPr>
        <w:sectPr w:rsidR="00512890" w:rsidSect="000005C0">
          <w:pgSz w:w="16838" w:h="11906" w:orient="landscape"/>
          <w:pgMar w:top="1418" w:right="1418" w:bottom="1276" w:left="567" w:header="425" w:footer="425" w:gutter="0"/>
          <w:cols w:space="708"/>
          <w:titlePg/>
          <w:docGrid w:linePitch="360"/>
        </w:sectPr>
      </w:pPr>
    </w:p>
    <w:p w:rsidR="00276B29" w:rsidRDefault="00276B29" w:rsidP="00140BE4">
      <w:pPr>
        <w:autoSpaceDE w:val="0"/>
        <w:autoSpaceDN w:val="0"/>
        <w:adjustRightInd w:val="0"/>
        <w:rPr>
          <w:lang w:eastAsia="en-AU"/>
        </w:rPr>
      </w:pPr>
      <w:r>
        <w:rPr>
          <w:noProof/>
          <w:lang w:eastAsia="en-AU"/>
        </w:rPr>
        <w:lastRenderedPageBreak/>
        <w:drawing>
          <wp:anchor distT="0" distB="0" distL="114300" distR="114300" simplePos="0" relativeHeight="251716608" behindDoc="0" locked="0" layoutInCell="1" allowOverlap="1">
            <wp:simplePos x="0" y="0"/>
            <wp:positionH relativeFrom="column">
              <wp:posOffset>3810</wp:posOffset>
            </wp:positionH>
            <wp:positionV relativeFrom="paragraph">
              <wp:posOffset>3175</wp:posOffset>
            </wp:positionV>
            <wp:extent cx="6239638" cy="8553450"/>
            <wp:effectExtent l="19050" t="0" r="8762"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cstate="print"/>
                    <a:srcRect/>
                    <a:stretch>
                      <a:fillRect/>
                    </a:stretch>
                  </pic:blipFill>
                  <pic:spPr bwMode="auto">
                    <a:xfrm>
                      <a:off x="0" y="0"/>
                      <a:ext cx="6239638" cy="8553450"/>
                    </a:xfrm>
                    <a:prstGeom prst="rect">
                      <a:avLst/>
                    </a:prstGeom>
                    <a:noFill/>
                    <a:ln w="9525">
                      <a:noFill/>
                      <a:miter lim="800000"/>
                      <a:headEnd/>
                      <a:tailEnd/>
                    </a:ln>
                  </pic:spPr>
                </pic:pic>
              </a:graphicData>
            </a:graphic>
          </wp:anchor>
        </w:drawing>
      </w:r>
    </w:p>
    <w:p w:rsidR="00276B29" w:rsidRDefault="00276B29" w:rsidP="00140BE4">
      <w:pPr>
        <w:autoSpaceDE w:val="0"/>
        <w:autoSpaceDN w:val="0"/>
        <w:adjustRightInd w:val="0"/>
        <w:rPr>
          <w:lang w:eastAsia="en-AU"/>
        </w:rPr>
      </w:pPr>
    </w:p>
    <w:p w:rsidR="00276B29" w:rsidRDefault="00276B29" w:rsidP="00140BE4">
      <w:pPr>
        <w:autoSpaceDE w:val="0"/>
        <w:autoSpaceDN w:val="0"/>
        <w:adjustRightInd w:val="0"/>
        <w:rPr>
          <w:lang w:eastAsia="en-AU"/>
        </w:rPr>
      </w:pPr>
    </w:p>
    <w:p w:rsidR="00276B29" w:rsidRDefault="00276B29" w:rsidP="00140BE4">
      <w:pPr>
        <w:autoSpaceDE w:val="0"/>
        <w:autoSpaceDN w:val="0"/>
        <w:adjustRightInd w:val="0"/>
        <w:rPr>
          <w:lang w:eastAsia="en-AU"/>
        </w:rPr>
      </w:pPr>
    </w:p>
    <w:p w:rsidR="00276B29" w:rsidRDefault="00276B29" w:rsidP="00140BE4">
      <w:pPr>
        <w:autoSpaceDE w:val="0"/>
        <w:autoSpaceDN w:val="0"/>
        <w:adjustRightInd w:val="0"/>
        <w:rPr>
          <w:lang w:eastAsia="en-AU"/>
        </w:rPr>
      </w:pPr>
    </w:p>
    <w:p w:rsidR="00276B29" w:rsidRDefault="00276B29" w:rsidP="00140BE4">
      <w:pPr>
        <w:autoSpaceDE w:val="0"/>
        <w:autoSpaceDN w:val="0"/>
        <w:adjustRightInd w:val="0"/>
        <w:rPr>
          <w:lang w:eastAsia="en-AU"/>
        </w:rPr>
      </w:pPr>
    </w:p>
    <w:p w:rsidR="00276B29" w:rsidRDefault="00276B29" w:rsidP="00140BE4">
      <w:pPr>
        <w:autoSpaceDE w:val="0"/>
        <w:autoSpaceDN w:val="0"/>
        <w:adjustRightInd w:val="0"/>
        <w:rPr>
          <w:lang w:eastAsia="en-AU"/>
        </w:rPr>
      </w:pPr>
    </w:p>
    <w:p w:rsidR="00276B29" w:rsidRDefault="00276B29" w:rsidP="00140BE4">
      <w:pPr>
        <w:autoSpaceDE w:val="0"/>
        <w:autoSpaceDN w:val="0"/>
        <w:adjustRightInd w:val="0"/>
        <w:rPr>
          <w:lang w:eastAsia="en-AU"/>
        </w:rPr>
      </w:pPr>
    </w:p>
    <w:p w:rsidR="00276B29" w:rsidRDefault="00276B29" w:rsidP="00140BE4">
      <w:pPr>
        <w:autoSpaceDE w:val="0"/>
        <w:autoSpaceDN w:val="0"/>
        <w:adjustRightInd w:val="0"/>
        <w:rPr>
          <w:lang w:eastAsia="en-AU"/>
        </w:rPr>
      </w:pPr>
    </w:p>
    <w:p w:rsidR="00276B29" w:rsidRDefault="00276B29" w:rsidP="00140BE4">
      <w:pPr>
        <w:autoSpaceDE w:val="0"/>
        <w:autoSpaceDN w:val="0"/>
        <w:adjustRightInd w:val="0"/>
        <w:rPr>
          <w:lang w:eastAsia="en-AU"/>
        </w:rPr>
      </w:pPr>
    </w:p>
    <w:p w:rsidR="00276B29" w:rsidRDefault="00276B29" w:rsidP="00140BE4">
      <w:pPr>
        <w:autoSpaceDE w:val="0"/>
        <w:autoSpaceDN w:val="0"/>
        <w:adjustRightInd w:val="0"/>
        <w:rPr>
          <w:lang w:eastAsia="en-AU"/>
        </w:rPr>
      </w:pPr>
    </w:p>
    <w:p w:rsidR="00276B29" w:rsidRDefault="00276B29" w:rsidP="00140BE4">
      <w:pPr>
        <w:autoSpaceDE w:val="0"/>
        <w:autoSpaceDN w:val="0"/>
        <w:adjustRightInd w:val="0"/>
        <w:rPr>
          <w:lang w:eastAsia="en-AU"/>
        </w:rPr>
      </w:pPr>
    </w:p>
    <w:p w:rsidR="00D91861" w:rsidRDefault="00D91861" w:rsidP="00D91861">
      <w:pPr>
        <w:pStyle w:val="Caption"/>
        <w:rPr>
          <w:u w:val="single"/>
          <w:lang w:eastAsia="en-AU"/>
        </w:rPr>
      </w:pPr>
      <w:bookmarkStart w:id="206" w:name="_Toc387072709"/>
      <w:bookmarkStart w:id="207" w:name="_Toc391541633"/>
      <w:proofErr w:type="gramStart"/>
      <w:r>
        <w:t xml:space="preserve">Figure </w:t>
      </w:r>
      <w:r w:rsidR="00D30427">
        <w:fldChar w:fldCharType="begin"/>
      </w:r>
      <w:r w:rsidR="004D02C2">
        <w:instrText xml:space="preserve"> SEQ Figure \* ARABIC </w:instrText>
      </w:r>
      <w:r w:rsidR="00D30427">
        <w:fldChar w:fldCharType="separate"/>
      </w:r>
      <w:r w:rsidR="001D521C">
        <w:rPr>
          <w:noProof/>
        </w:rPr>
        <w:t>4</w:t>
      </w:r>
      <w:r w:rsidR="00D30427">
        <w:fldChar w:fldCharType="end"/>
      </w:r>
      <w:r>
        <w:t>.</w:t>
      </w:r>
      <w:proofErr w:type="gramEnd"/>
      <w:r>
        <w:t xml:space="preserve"> </w:t>
      </w:r>
      <w:r w:rsidRPr="00086CF9">
        <w:t>Point values for listed threatened species and ecological communities</w:t>
      </w:r>
      <w:r>
        <w:t>.</w:t>
      </w:r>
      <w:bookmarkEnd w:id="206"/>
      <w:bookmarkEnd w:id="207"/>
    </w:p>
    <w:p w:rsidR="00BF493D" w:rsidRDefault="00BF493D" w:rsidP="008918D0">
      <w:pPr>
        <w:pStyle w:val="Caption"/>
      </w:pPr>
    </w:p>
    <w:p w:rsidR="00BF493D" w:rsidRDefault="00BF493D" w:rsidP="008918D0">
      <w:pPr>
        <w:pStyle w:val="Caption"/>
      </w:pPr>
    </w:p>
    <w:p w:rsidR="00BF493D" w:rsidRDefault="00BF493D" w:rsidP="008918D0">
      <w:pPr>
        <w:pStyle w:val="Caption"/>
      </w:pPr>
    </w:p>
    <w:p w:rsidR="00BF493D" w:rsidRDefault="00BF493D" w:rsidP="008918D0">
      <w:pPr>
        <w:pStyle w:val="Caption"/>
      </w:pPr>
    </w:p>
    <w:p w:rsidR="00BF493D" w:rsidRDefault="00BF493D" w:rsidP="008918D0">
      <w:pPr>
        <w:pStyle w:val="Caption"/>
      </w:pPr>
    </w:p>
    <w:p w:rsidR="00BF493D" w:rsidRDefault="00BF493D" w:rsidP="008918D0">
      <w:pPr>
        <w:pStyle w:val="Caption"/>
      </w:pPr>
    </w:p>
    <w:p w:rsidR="00BF493D" w:rsidRDefault="00BF493D" w:rsidP="008918D0">
      <w:pPr>
        <w:pStyle w:val="Caption"/>
      </w:pPr>
    </w:p>
    <w:p w:rsidR="00BF493D" w:rsidRDefault="00BF493D" w:rsidP="008918D0">
      <w:pPr>
        <w:pStyle w:val="Caption"/>
      </w:pPr>
    </w:p>
    <w:p w:rsidR="00BF493D" w:rsidRDefault="00BF493D" w:rsidP="008918D0">
      <w:pPr>
        <w:pStyle w:val="Caption"/>
      </w:pPr>
    </w:p>
    <w:p w:rsidR="00BF493D" w:rsidRDefault="00BF493D" w:rsidP="008918D0">
      <w:pPr>
        <w:pStyle w:val="Caption"/>
      </w:pPr>
    </w:p>
    <w:p w:rsidR="00BF493D" w:rsidRDefault="00BF493D" w:rsidP="008918D0">
      <w:pPr>
        <w:pStyle w:val="Caption"/>
      </w:pPr>
    </w:p>
    <w:p w:rsidR="00BF493D" w:rsidRDefault="00BF493D" w:rsidP="008918D0">
      <w:pPr>
        <w:pStyle w:val="Caption"/>
      </w:pPr>
    </w:p>
    <w:p w:rsidR="00D91861" w:rsidRDefault="00D91861" w:rsidP="008918D0">
      <w:pPr>
        <w:pStyle w:val="Caption"/>
      </w:pPr>
    </w:p>
    <w:p w:rsidR="00D91861" w:rsidRDefault="00D91861" w:rsidP="008918D0">
      <w:pPr>
        <w:pStyle w:val="Caption"/>
      </w:pPr>
    </w:p>
    <w:p w:rsidR="00D91861" w:rsidRDefault="00D91861" w:rsidP="00D91861">
      <w:pPr>
        <w:pStyle w:val="Caption"/>
      </w:pPr>
      <w:bookmarkStart w:id="208" w:name="_Toc387072710"/>
      <w:bookmarkStart w:id="209" w:name="_Toc391541634"/>
      <w:proofErr w:type="gramStart"/>
      <w:r>
        <w:t xml:space="preserve">Figure </w:t>
      </w:r>
      <w:r w:rsidR="00D30427">
        <w:fldChar w:fldCharType="begin"/>
      </w:r>
      <w:r w:rsidR="004D02C2">
        <w:instrText xml:space="preserve"> SEQ Figure \* ARABIC </w:instrText>
      </w:r>
      <w:r w:rsidR="00D30427">
        <w:fldChar w:fldCharType="separate"/>
      </w:r>
      <w:r w:rsidR="001D521C">
        <w:rPr>
          <w:noProof/>
        </w:rPr>
        <w:t>5</w:t>
      </w:r>
      <w:r w:rsidR="00D30427">
        <w:fldChar w:fldCharType="end"/>
      </w:r>
      <w:r>
        <w:t>.</w:t>
      </w:r>
      <w:proofErr w:type="gramEnd"/>
      <w:r>
        <w:t xml:space="preserve"> </w:t>
      </w:r>
      <w:proofErr w:type="gramStart"/>
      <w:r w:rsidRPr="00E112E2">
        <w:t>Fees per number of categories for listed migratory species</w:t>
      </w:r>
      <w:r>
        <w:t>.</w:t>
      </w:r>
      <w:bookmarkEnd w:id="208"/>
      <w:bookmarkEnd w:id="209"/>
      <w:proofErr w:type="gramEnd"/>
    </w:p>
    <w:p w:rsidR="00D91861" w:rsidRDefault="00D91861" w:rsidP="008918D0">
      <w:pPr>
        <w:pStyle w:val="Caption"/>
      </w:pPr>
    </w:p>
    <w:p w:rsidR="00D91861" w:rsidRDefault="00D91861" w:rsidP="008918D0">
      <w:pPr>
        <w:pStyle w:val="Caption"/>
      </w:pPr>
    </w:p>
    <w:p w:rsidR="00140BE4" w:rsidRPr="000E605B" w:rsidRDefault="00140BE4" w:rsidP="008F227E">
      <w:pPr>
        <w:pStyle w:val="Heading2"/>
      </w:pPr>
      <w:bookmarkStart w:id="210" w:name="_Toc391541581"/>
      <w:r>
        <w:lastRenderedPageBreak/>
        <w:t xml:space="preserve">Charges for the </w:t>
      </w:r>
      <w:r w:rsidRPr="008F227E">
        <w:t>activity</w:t>
      </w:r>
      <w:r w:rsidR="00142B86">
        <w:t xml:space="preserve"> –</w:t>
      </w:r>
      <w:r>
        <w:t xml:space="preserve"> </w:t>
      </w:r>
      <w:r w:rsidR="00361B95">
        <w:t>environmental impact assessments</w:t>
      </w:r>
      <w:bookmarkEnd w:id="210"/>
    </w:p>
    <w:p w:rsidR="00140BE4" w:rsidRPr="004B60F9" w:rsidRDefault="00140BE4" w:rsidP="00140BE4">
      <w:pPr>
        <w:pStyle w:val="Heading3"/>
      </w:pPr>
      <w:bookmarkStart w:id="211" w:name="_Toc391541582"/>
      <w:r>
        <w:t>Schedule of fees and charges for environmental impact assessment</w:t>
      </w:r>
      <w:bookmarkEnd w:id="211"/>
    </w:p>
    <w:p w:rsidR="005F20E1" w:rsidRDefault="00BA05B0" w:rsidP="005F20E1">
      <w:pPr>
        <w:rPr>
          <w:lang w:val="en-US"/>
        </w:rPr>
      </w:pPr>
      <w:r>
        <w:rPr>
          <w:lang w:val="en-US"/>
        </w:rPr>
        <w:t xml:space="preserve">The delegate of the Minister responsible for determining the fees </w:t>
      </w:r>
      <w:r w:rsidR="000C5CBC">
        <w:rPr>
          <w:lang w:val="en-US"/>
        </w:rPr>
        <w:t>provides</w:t>
      </w:r>
      <w:r>
        <w:rPr>
          <w:lang w:val="en-US"/>
        </w:rPr>
        <w:t xml:space="preserve"> an estimate of the maximum applicable fees</w:t>
      </w:r>
      <w:r w:rsidRPr="00FC12C4">
        <w:rPr>
          <w:lang w:val="en-US"/>
        </w:rPr>
        <w:t xml:space="preserve"> for </w:t>
      </w:r>
      <w:r>
        <w:rPr>
          <w:lang w:val="en-US"/>
        </w:rPr>
        <w:t xml:space="preserve">an </w:t>
      </w:r>
      <w:r w:rsidRPr="00FC12C4">
        <w:rPr>
          <w:lang w:val="en-US"/>
        </w:rPr>
        <w:t xml:space="preserve">assessment (including complexity </w:t>
      </w:r>
      <w:r>
        <w:rPr>
          <w:lang w:val="en-US"/>
        </w:rPr>
        <w:t>fee components</w:t>
      </w:r>
      <w:r w:rsidRPr="00FC12C4">
        <w:rPr>
          <w:lang w:val="en-US"/>
        </w:rPr>
        <w:t>) to a</w:t>
      </w:r>
      <w:r>
        <w:rPr>
          <w:lang w:val="en-US"/>
        </w:rPr>
        <w:t>n</w:t>
      </w:r>
      <w:r w:rsidRPr="00FC12C4">
        <w:rPr>
          <w:lang w:val="en-US"/>
        </w:rPr>
        <w:t xml:space="preserve"> </w:t>
      </w:r>
      <w:r>
        <w:rPr>
          <w:lang w:val="en-US"/>
        </w:rPr>
        <w:t>applicant</w:t>
      </w:r>
      <w:r w:rsidRPr="00FC12C4">
        <w:rPr>
          <w:lang w:val="en-US"/>
        </w:rPr>
        <w:t xml:space="preserve"> at </w:t>
      </w:r>
      <w:r w:rsidRPr="00EF179C">
        <w:rPr>
          <w:lang w:val="en-US"/>
        </w:rPr>
        <w:t>either the</w:t>
      </w:r>
      <w:r>
        <w:rPr>
          <w:lang w:val="en-US"/>
        </w:rPr>
        <w:t xml:space="preserve"> </w:t>
      </w:r>
      <w:r w:rsidRPr="00FC12C4">
        <w:rPr>
          <w:lang w:val="en-US"/>
        </w:rPr>
        <w:t>controlled action or assessment approach decision.</w:t>
      </w:r>
      <w:r>
        <w:rPr>
          <w:lang w:val="en-US"/>
        </w:rPr>
        <w:t xml:space="preserve"> However, a</w:t>
      </w:r>
      <w:r w:rsidR="00C43061">
        <w:rPr>
          <w:lang w:val="en-US"/>
        </w:rPr>
        <w:t xml:space="preserve">pplicants pay fees </w:t>
      </w:r>
      <w:r w:rsidR="00140BE4" w:rsidRPr="00FC12C4">
        <w:rPr>
          <w:lang w:val="en-US"/>
        </w:rPr>
        <w:t>over the course of the assessment process</w:t>
      </w:r>
      <w:r w:rsidR="00140BE4">
        <w:rPr>
          <w:lang w:val="en-US"/>
        </w:rPr>
        <w:t xml:space="preserve">. Fees </w:t>
      </w:r>
      <w:r w:rsidR="000C5CBC">
        <w:rPr>
          <w:lang w:val="en-US"/>
        </w:rPr>
        <w:t>are</w:t>
      </w:r>
      <w:r w:rsidR="00140BE4">
        <w:rPr>
          <w:lang w:val="en-US"/>
        </w:rPr>
        <w:t xml:space="preserve"> paid by </w:t>
      </w:r>
      <w:r w:rsidR="00B64DB5">
        <w:rPr>
          <w:lang w:val="en-US"/>
        </w:rPr>
        <w:t>applicant</w:t>
      </w:r>
      <w:r w:rsidR="00140BE4">
        <w:rPr>
          <w:lang w:val="en-US"/>
        </w:rPr>
        <w:t xml:space="preserve">s prior to </w:t>
      </w:r>
      <w:r w:rsidR="00140BE4" w:rsidRPr="00FC12C4">
        <w:rPr>
          <w:lang w:val="en-US"/>
        </w:rPr>
        <w:t>each stage of the assessment</w:t>
      </w:r>
      <w:r w:rsidR="00140BE4">
        <w:rPr>
          <w:lang w:val="en-US"/>
        </w:rPr>
        <w:t xml:space="preserve"> as outlined in</w:t>
      </w:r>
      <w:r w:rsidR="00486C16">
        <w:rPr>
          <w:lang w:val="en-US"/>
        </w:rPr>
        <w:t xml:space="preserve"> </w:t>
      </w:r>
      <w:r w:rsidR="00D30427">
        <w:rPr>
          <w:lang w:val="en-US"/>
        </w:rPr>
        <w:fldChar w:fldCharType="begin"/>
      </w:r>
      <w:r w:rsidR="00486C16">
        <w:rPr>
          <w:lang w:val="en-US"/>
        </w:rPr>
        <w:instrText xml:space="preserve"> REF _Ref387067249 \h </w:instrText>
      </w:r>
      <w:r w:rsidR="00D30427">
        <w:rPr>
          <w:lang w:val="en-US"/>
        </w:rPr>
      </w:r>
      <w:r w:rsidR="00D30427">
        <w:rPr>
          <w:lang w:val="en-US"/>
        </w:rPr>
        <w:fldChar w:fldCharType="separate"/>
      </w:r>
      <w:r w:rsidR="001D521C">
        <w:t xml:space="preserve">Figure </w:t>
      </w:r>
      <w:r w:rsidR="001D521C">
        <w:rPr>
          <w:noProof/>
        </w:rPr>
        <w:t>6</w:t>
      </w:r>
      <w:r w:rsidR="00D30427">
        <w:rPr>
          <w:lang w:val="en-US"/>
        </w:rPr>
        <w:fldChar w:fldCharType="end"/>
      </w:r>
      <w:r w:rsidR="00140BE4">
        <w:rPr>
          <w:lang w:val="en-US"/>
        </w:rPr>
        <w:t xml:space="preserve"> below</w:t>
      </w:r>
      <w:r w:rsidR="00140BE4" w:rsidRPr="00FC12C4">
        <w:rPr>
          <w:lang w:val="en-US"/>
        </w:rPr>
        <w:t>. If a</w:t>
      </w:r>
      <w:r w:rsidR="00B64DB5">
        <w:rPr>
          <w:lang w:val="en-US"/>
        </w:rPr>
        <w:t>n</w:t>
      </w:r>
      <w:r w:rsidR="00140BE4" w:rsidRPr="00FC12C4">
        <w:rPr>
          <w:lang w:val="en-US"/>
        </w:rPr>
        <w:t xml:space="preserve"> </w:t>
      </w:r>
      <w:r w:rsidR="00B64DB5">
        <w:rPr>
          <w:lang w:val="en-US"/>
        </w:rPr>
        <w:t>applicant</w:t>
      </w:r>
      <w:r w:rsidR="00140BE4" w:rsidRPr="00FC12C4">
        <w:rPr>
          <w:lang w:val="en-US"/>
        </w:rPr>
        <w:t xml:space="preserve"> </w:t>
      </w:r>
      <w:r w:rsidR="00140BE4">
        <w:rPr>
          <w:lang w:val="en-US"/>
        </w:rPr>
        <w:t>cancels</w:t>
      </w:r>
      <w:r w:rsidR="0047181E">
        <w:rPr>
          <w:lang w:val="en-US"/>
        </w:rPr>
        <w:t xml:space="preserve"> or withdraws from</w:t>
      </w:r>
      <w:r w:rsidR="00140BE4">
        <w:rPr>
          <w:lang w:val="en-US"/>
        </w:rPr>
        <w:t xml:space="preserve"> the assessment </w:t>
      </w:r>
      <w:r w:rsidR="00140BE4" w:rsidRPr="00FC12C4">
        <w:rPr>
          <w:lang w:val="en-US"/>
        </w:rPr>
        <w:t>at any stage</w:t>
      </w:r>
      <w:r w:rsidR="00140BE4">
        <w:rPr>
          <w:lang w:val="en-US"/>
        </w:rPr>
        <w:t>,</w:t>
      </w:r>
      <w:r w:rsidR="00140BE4" w:rsidRPr="00FC12C4">
        <w:rPr>
          <w:lang w:val="en-US"/>
        </w:rPr>
        <w:t xml:space="preserve"> </w:t>
      </w:r>
      <w:r w:rsidR="00486C16">
        <w:rPr>
          <w:lang w:val="en-US"/>
        </w:rPr>
        <w:t xml:space="preserve">the applicant </w:t>
      </w:r>
      <w:r w:rsidR="000C5CBC">
        <w:rPr>
          <w:lang w:val="en-US"/>
        </w:rPr>
        <w:t xml:space="preserve">is not </w:t>
      </w:r>
      <w:r w:rsidR="00486C16">
        <w:rPr>
          <w:lang w:val="en-US"/>
        </w:rPr>
        <w:t>liable</w:t>
      </w:r>
      <w:r w:rsidR="00140BE4" w:rsidRPr="00FC12C4">
        <w:rPr>
          <w:lang w:val="en-US"/>
        </w:rPr>
        <w:t xml:space="preserve"> for the </w:t>
      </w:r>
      <w:r w:rsidR="00140BE4" w:rsidRPr="004D5D80">
        <w:rPr>
          <w:lang w:val="en-US"/>
        </w:rPr>
        <w:t xml:space="preserve">payment of fees for subsequent stages of the assessment. </w:t>
      </w:r>
    </w:p>
    <w:p w:rsidR="005F20E1" w:rsidRDefault="00BA05B0" w:rsidP="005F20E1">
      <w:pPr>
        <w:rPr>
          <w:lang w:val="en-US"/>
        </w:rPr>
      </w:pPr>
      <w:r>
        <w:rPr>
          <w:lang w:val="en-US"/>
        </w:rPr>
        <w:t xml:space="preserve">This ensures that applicants only pay fees for services actually provided, and </w:t>
      </w:r>
      <w:proofErr w:type="spellStart"/>
      <w:r>
        <w:rPr>
          <w:lang w:val="en-US"/>
        </w:rPr>
        <w:t>recognises</w:t>
      </w:r>
      <w:proofErr w:type="spellEnd"/>
      <w:r>
        <w:rPr>
          <w:lang w:val="en-US"/>
        </w:rPr>
        <w:t xml:space="preserve"> that proposed actions subject to the EPBC Act often involve a long planning process. </w:t>
      </w:r>
      <w:r w:rsidR="005F20E1">
        <w:rPr>
          <w:lang w:val="en-US"/>
        </w:rPr>
        <w:t>T</w:t>
      </w:r>
      <w:r w:rsidR="005F20E1" w:rsidRPr="00944731">
        <w:rPr>
          <w:lang w:val="en-US"/>
        </w:rPr>
        <w:t>here is</w:t>
      </w:r>
      <w:r w:rsidR="005F20E1">
        <w:rPr>
          <w:lang w:val="en-US"/>
        </w:rPr>
        <w:t xml:space="preserve"> also</w:t>
      </w:r>
      <w:r w:rsidR="005F20E1" w:rsidRPr="00944731">
        <w:rPr>
          <w:lang w:val="en-US"/>
        </w:rPr>
        <w:t xml:space="preserve"> scope for </w:t>
      </w:r>
      <w:r w:rsidR="005F20E1">
        <w:rPr>
          <w:lang w:val="en-US"/>
        </w:rPr>
        <w:t>applicant</w:t>
      </w:r>
      <w:r w:rsidR="005F20E1" w:rsidRPr="00944731">
        <w:rPr>
          <w:lang w:val="en-US"/>
        </w:rPr>
        <w:t>s to reduce their overall fees for their assessment by improving</w:t>
      </w:r>
      <w:r w:rsidR="005F20E1">
        <w:rPr>
          <w:lang w:val="en-US"/>
        </w:rPr>
        <w:t xml:space="preserve"> the quality of information provided to the Department (see section </w:t>
      </w:r>
      <w:r w:rsidR="00D30427">
        <w:rPr>
          <w:lang w:val="en-US"/>
        </w:rPr>
        <w:fldChar w:fldCharType="begin"/>
      </w:r>
      <w:r w:rsidR="00E232B0">
        <w:rPr>
          <w:lang w:val="en-US"/>
        </w:rPr>
        <w:instrText xml:space="preserve"> REF _Ref388972186 \r \h </w:instrText>
      </w:r>
      <w:r w:rsidR="00D30427">
        <w:rPr>
          <w:lang w:val="en-US"/>
        </w:rPr>
      </w:r>
      <w:r w:rsidR="00D30427">
        <w:rPr>
          <w:lang w:val="en-US"/>
        </w:rPr>
        <w:fldChar w:fldCharType="separate"/>
      </w:r>
      <w:r w:rsidR="001D521C">
        <w:rPr>
          <w:lang w:val="en-US"/>
        </w:rPr>
        <w:t>3.2.2.3</w:t>
      </w:r>
      <w:r w:rsidR="00D30427">
        <w:rPr>
          <w:lang w:val="en-US"/>
        </w:rPr>
        <w:fldChar w:fldCharType="end"/>
      </w:r>
      <w:r w:rsidR="005F20E1">
        <w:rPr>
          <w:lang w:val="en-US"/>
        </w:rPr>
        <w:t>)</w:t>
      </w:r>
      <w:r w:rsidR="005F20E1" w:rsidRPr="001555F8">
        <w:rPr>
          <w:lang w:val="en-US"/>
        </w:rPr>
        <w:t>. The</w:t>
      </w:r>
      <w:r w:rsidR="005F20E1" w:rsidRPr="00FC12C4">
        <w:rPr>
          <w:lang w:val="en-US"/>
        </w:rPr>
        <w:t xml:space="preserve"> following section</w:t>
      </w:r>
      <w:r w:rsidR="005F20E1">
        <w:rPr>
          <w:lang w:val="en-US"/>
        </w:rPr>
        <w:t>s provide</w:t>
      </w:r>
      <w:r w:rsidR="005F20E1" w:rsidRPr="00FC12C4">
        <w:rPr>
          <w:lang w:val="en-US"/>
        </w:rPr>
        <w:t xml:space="preserve"> an overview of </w:t>
      </w:r>
      <w:r w:rsidR="005F20E1">
        <w:rPr>
          <w:lang w:val="en-US"/>
        </w:rPr>
        <w:t xml:space="preserve">referrals and environmental impact assessments, </w:t>
      </w:r>
      <w:r w:rsidR="005F20E1" w:rsidRPr="00FC12C4">
        <w:rPr>
          <w:lang w:val="en-US"/>
        </w:rPr>
        <w:t xml:space="preserve">and </w:t>
      </w:r>
      <w:r w:rsidR="005F20E1">
        <w:rPr>
          <w:lang w:val="en-US"/>
        </w:rPr>
        <w:t xml:space="preserve">the </w:t>
      </w:r>
      <w:r w:rsidR="005F20E1" w:rsidRPr="00FC12C4">
        <w:rPr>
          <w:lang w:val="en-US"/>
        </w:rPr>
        <w:t xml:space="preserve">fees </w:t>
      </w:r>
      <w:r w:rsidR="005F20E1">
        <w:rPr>
          <w:lang w:val="en-US"/>
        </w:rPr>
        <w:t xml:space="preserve">which may be </w:t>
      </w:r>
      <w:r w:rsidR="005F20E1" w:rsidRPr="00FC12C4">
        <w:rPr>
          <w:lang w:val="en-US"/>
        </w:rPr>
        <w:t xml:space="preserve">applicable at each stage of the </w:t>
      </w:r>
      <w:r w:rsidR="005F20E1">
        <w:rPr>
          <w:lang w:val="en-US"/>
        </w:rPr>
        <w:t>assessment.</w:t>
      </w:r>
    </w:p>
    <w:p w:rsidR="00140BE4" w:rsidRDefault="00140BE4" w:rsidP="00140BE4">
      <w:pPr>
        <w:rPr>
          <w:lang w:val="en-US"/>
        </w:rPr>
      </w:pPr>
      <w:r w:rsidRPr="004D5D80">
        <w:rPr>
          <w:lang w:val="en-US"/>
        </w:rPr>
        <w:t>A detailed schedule of fees is found at</w:t>
      </w:r>
      <w:r w:rsidR="004D5D80">
        <w:rPr>
          <w:lang w:val="en-US"/>
        </w:rPr>
        <w:t xml:space="preserve"> </w:t>
      </w:r>
      <w:r w:rsidR="004D5D80" w:rsidRPr="004D5D80">
        <w:rPr>
          <w:b/>
          <w:lang w:val="en-US"/>
        </w:rPr>
        <w:t>Appendix A</w:t>
      </w:r>
      <w:r w:rsidR="004D5D80">
        <w:rPr>
          <w:lang w:val="en-US"/>
        </w:rPr>
        <w:t>.</w:t>
      </w:r>
      <w:r>
        <w:rPr>
          <w:lang w:val="en-US"/>
        </w:rPr>
        <w:t xml:space="preserve">   </w:t>
      </w:r>
    </w:p>
    <w:p w:rsidR="00140BE4" w:rsidRDefault="000B573E" w:rsidP="00140BE4">
      <w:pPr>
        <w:rPr>
          <w:lang w:val="en-US"/>
        </w:rPr>
      </w:pPr>
      <w:r>
        <w:rPr>
          <w:noProof/>
          <w:lang w:eastAsia="en-AU"/>
        </w:rPr>
        <w:drawing>
          <wp:anchor distT="0" distB="0" distL="114300" distR="114300" simplePos="0" relativeHeight="251606016" behindDoc="0" locked="0" layoutInCell="1" allowOverlap="1">
            <wp:simplePos x="0" y="0"/>
            <wp:positionH relativeFrom="column">
              <wp:posOffset>91440</wp:posOffset>
            </wp:positionH>
            <wp:positionV relativeFrom="paragraph">
              <wp:posOffset>13970</wp:posOffset>
            </wp:positionV>
            <wp:extent cx="5939790" cy="3044825"/>
            <wp:effectExtent l="19050" t="0" r="0" b="0"/>
            <wp:wrapNone/>
            <wp:docPr id="2302" name="Picture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33" cstate="print"/>
                    <a:srcRect/>
                    <a:stretch>
                      <a:fillRect/>
                    </a:stretch>
                  </pic:blipFill>
                  <pic:spPr bwMode="auto">
                    <a:xfrm>
                      <a:off x="0" y="0"/>
                      <a:ext cx="5939790" cy="3044825"/>
                    </a:xfrm>
                    <a:prstGeom prst="rect">
                      <a:avLst/>
                    </a:prstGeom>
                    <a:noFill/>
                    <a:ln w="9525">
                      <a:noFill/>
                      <a:miter lim="800000"/>
                      <a:headEnd/>
                      <a:tailEnd/>
                    </a:ln>
                  </pic:spPr>
                </pic:pic>
              </a:graphicData>
            </a:graphic>
          </wp:anchor>
        </w:drawing>
      </w:r>
    </w:p>
    <w:p w:rsidR="00B55B7A" w:rsidRPr="00173C46" w:rsidRDefault="00B55B7A" w:rsidP="00140BE4">
      <w:pPr>
        <w:rPr>
          <w:lang w:val="en-US"/>
        </w:rPr>
      </w:pPr>
    </w:p>
    <w:p w:rsidR="00140BE4" w:rsidRDefault="00140BE4" w:rsidP="00140BE4"/>
    <w:p w:rsidR="00B55B7A" w:rsidRDefault="00B55B7A" w:rsidP="00140BE4"/>
    <w:p w:rsidR="00B55B7A" w:rsidRDefault="00B55B7A" w:rsidP="00140BE4"/>
    <w:p w:rsidR="00B55B7A" w:rsidRDefault="00B55B7A" w:rsidP="00140BE4"/>
    <w:p w:rsidR="00B55B7A" w:rsidRDefault="00B55B7A" w:rsidP="00140BE4"/>
    <w:p w:rsidR="00B55B7A" w:rsidRDefault="00B55B7A" w:rsidP="00140BE4"/>
    <w:p w:rsidR="00B55B7A" w:rsidRDefault="00B55B7A" w:rsidP="00140BE4"/>
    <w:p w:rsidR="00B55B7A" w:rsidRDefault="00B55B7A" w:rsidP="00140BE4"/>
    <w:p w:rsidR="00DE4C63" w:rsidRDefault="00DE4C63" w:rsidP="00DE4C63">
      <w:pPr>
        <w:pStyle w:val="Caption"/>
        <w:rPr>
          <w:lang w:val="en-US"/>
        </w:rPr>
      </w:pPr>
      <w:bookmarkStart w:id="212" w:name="_Ref387067249"/>
      <w:bookmarkStart w:id="213" w:name="_Ref387067243"/>
      <w:bookmarkStart w:id="214" w:name="_Toc387072711"/>
      <w:bookmarkStart w:id="215" w:name="_Toc391541635"/>
      <w:proofErr w:type="gramStart"/>
      <w:r>
        <w:t xml:space="preserve">Figure </w:t>
      </w:r>
      <w:r w:rsidR="00D30427">
        <w:fldChar w:fldCharType="begin"/>
      </w:r>
      <w:r w:rsidR="004D02C2">
        <w:instrText xml:space="preserve"> SEQ Figure \* ARABIC </w:instrText>
      </w:r>
      <w:r w:rsidR="00D30427">
        <w:fldChar w:fldCharType="separate"/>
      </w:r>
      <w:r w:rsidR="001D521C">
        <w:rPr>
          <w:noProof/>
        </w:rPr>
        <w:t>6</w:t>
      </w:r>
      <w:r w:rsidR="00D30427">
        <w:fldChar w:fldCharType="end"/>
      </w:r>
      <w:bookmarkEnd w:id="212"/>
      <w:r>
        <w:t>.</w:t>
      </w:r>
      <w:proofErr w:type="gramEnd"/>
      <w:r>
        <w:t xml:space="preserve"> </w:t>
      </w:r>
      <w:r w:rsidRPr="000062C2">
        <w:t>The EPBC Act cost recovery charging model for environmental impact assessments</w:t>
      </w:r>
      <w:r>
        <w:t>.</w:t>
      </w:r>
      <w:bookmarkEnd w:id="213"/>
      <w:bookmarkEnd w:id="214"/>
      <w:bookmarkEnd w:id="215"/>
    </w:p>
    <w:p w:rsidR="00D37DEF" w:rsidRDefault="00D37DEF" w:rsidP="00D37DEF">
      <w:pPr>
        <w:rPr>
          <w:lang w:val="en-US"/>
        </w:rPr>
      </w:pPr>
    </w:p>
    <w:p w:rsidR="0066417E" w:rsidRDefault="0066417E">
      <w:pPr>
        <w:spacing w:after="0" w:line="240" w:lineRule="auto"/>
        <w:rPr>
          <w:rFonts w:cs="Arial"/>
          <w:b/>
          <w:i/>
        </w:rPr>
      </w:pPr>
      <w:bookmarkStart w:id="216" w:name="_Toc387064801"/>
      <w:bookmarkStart w:id="217" w:name="_Toc387065013"/>
      <w:bookmarkStart w:id="218" w:name="_Toc387065219"/>
      <w:bookmarkStart w:id="219" w:name="_Toc387065430"/>
      <w:bookmarkStart w:id="220" w:name="_Toc387065636"/>
      <w:bookmarkStart w:id="221" w:name="_Toc387065841"/>
      <w:bookmarkStart w:id="222" w:name="_Toc387066044"/>
      <w:bookmarkStart w:id="223" w:name="_Toc387066233"/>
      <w:bookmarkStart w:id="224" w:name="_Toc387069469"/>
      <w:bookmarkStart w:id="225" w:name="_Toc387069656"/>
      <w:bookmarkStart w:id="226" w:name="_Toc387069865"/>
      <w:bookmarkStart w:id="227" w:name="_Toc387070064"/>
      <w:bookmarkStart w:id="228" w:name="_Toc387072329"/>
      <w:bookmarkStart w:id="229" w:name="_Toc387072540"/>
      <w:bookmarkStart w:id="230" w:name="_Toc387392568"/>
      <w:bookmarkStart w:id="231" w:name="_Toc387064802"/>
      <w:bookmarkStart w:id="232" w:name="_Toc387065014"/>
      <w:bookmarkStart w:id="233" w:name="_Toc387065220"/>
      <w:bookmarkStart w:id="234" w:name="_Toc387065431"/>
      <w:bookmarkStart w:id="235" w:name="_Toc387065637"/>
      <w:bookmarkStart w:id="236" w:name="_Toc387065842"/>
      <w:bookmarkStart w:id="237" w:name="_Toc387066045"/>
      <w:bookmarkStart w:id="238" w:name="_Toc387066234"/>
      <w:bookmarkStart w:id="239" w:name="_Toc387069470"/>
      <w:bookmarkStart w:id="240" w:name="_Toc387069657"/>
      <w:bookmarkStart w:id="241" w:name="_Toc387069866"/>
      <w:bookmarkStart w:id="242" w:name="_Toc387070065"/>
      <w:bookmarkStart w:id="243" w:name="_Toc387072330"/>
      <w:bookmarkStart w:id="244" w:name="_Toc387072541"/>
      <w:bookmarkStart w:id="245" w:name="_Toc387392569"/>
      <w:bookmarkStart w:id="246" w:name="_Toc387064803"/>
      <w:bookmarkStart w:id="247" w:name="_Toc387065015"/>
      <w:bookmarkStart w:id="248" w:name="_Toc387065221"/>
      <w:bookmarkStart w:id="249" w:name="_Toc387065432"/>
      <w:bookmarkStart w:id="250" w:name="_Toc387065638"/>
      <w:bookmarkStart w:id="251" w:name="_Toc387065843"/>
      <w:bookmarkStart w:id="252" w:name="_Toc387066046"/>
      <w:bookmarkStart w:id="253" w:name="_Toc387066235"/>
      <w:bookmarkStart w:id="254" w:name="_Toc387069471"/>
      <w:bookmarkStart w:id="255" w:name="_Toc387069658"/>
      <w:bookmarkStart w:id="256" w:name="_Toc387069867"/>
      <w:bookmarkStart w:id="257" w:name="_Toc387070066"/>
      <w:bookmarkStart w:id="258" w:name="_Toc387072331"/>
      <w:bookmarkStart w:id="259" w:name="_Toc387072542"/>
      <w:bookmarkStart w:id="260" w:name="_Toc387392570"/>
      <w:bookmarkStart w:id="261" w:name="_Toc387064804"/>
      <w:bookmarkStart w:id="262" w:name="_Toc387065016"/>
      <w:bookmarkStart w:id="263" w:name="_Toc387065222"/>
      <w:bookmarkStart w:id="264" w:name="_Toc387065433"/>
      <w:bookmarkStart w:id="265" w:name="_Toc387065639"/>
      <w:bookmarkStart w:id="266" w:name="_Toc387065844"/>
      <w:bookmarkStart w:id="267" w:name="_Toc387066047"/>
      <w:bookmarkStart w:id="268" w:name="_Toc387066236"/>
      <w:bookmarkStart w:id="269" w:name="_Toc387069472"/>
      <w:bookmarkStart w:id="270" w:name="_Toc387069659"/>
      <w:bookmarkStart w:id="271" w:name="_Toc387069868"/>
      <w:bookmarkStart w:id="272" w:name="_Toc387070067"/>
      <w:bookmarkStart w:id="273" w:name="_Toc387072332"/>
      <w:bookmarkStart w:id="274" w:name="_Toc387072543"/>
      <w:bookmarkStart w:id="275" w:name="_Toc387392571"/>
      <w:bookmarkStart w:id="276" w:name="_Toc387064805"/>
      <w:bookmarkStart w:id="277" w:name="_Toc387065017"/>
      <w:bookmarkStart w:id="278" w:name="_Toc387065223"/>
      <w:bookmarkStart w:id="279" w:name="_Toc387065434"/>
      <w:bookmarkStart w:id="280" w:name="_Toc387065640"/>
      <w:bookmarkStart w:id="281" w:name="_Toc387065845"/>
      <w:bookmarkStart w:id="282" w:name="_Toc387066048"/>
      <w:bookmarkStart w:id="283" w:name="_Toc387066237"/>
      <w:bookmarkStart w:id="284" w:name="_Toc387069473"/>
      <w:bookmarkStart w:id="285" w:name="_Toc387069660"/>
      <w:bookmarkStart w:id="286" w:name="_Toc387069869"/>
      <w:bookmarkStart w:id="287" w:name="_Toc387070068"/>
      <w:bookmarkStart w:id="288" w:name="_Toc387072333"/>
      <w:bookmarkStart w:id="289" w:name="_Toc387072544"/>
      <w:bookmarkStart w:id="290" w:name="_Toc387392572"/>
      <w:bookmarkStart w:id="291" w:name="_Toc387064806"/>
      <w:bookmarkStart w:id="292" w:name="_Toc387065018"/>
      <w:bookmarkStart w:id="293" w:name="_Toc387065224"/>
      <w:bookmarkStart w:id="294" w:name="_Toc387065435"/>
      <w:bookmarkStart w:id="295" w:name="_Toc387065641"/>
      <w:bookmarkStart w:id="296" w:name="_Toc387065846"/>
      <w:bookmarkStart w:id="297" w:name="_Toc387066049"/>
      <w:bookmarkStart w:id="298" w:name="_Toc387066238"/>
      <w:bookmarkStart w:id="299" w:name="_Toc387069474"/>
      <w:bookmarkStart w:id="300" w:name="_Toc387069661"/>
      <w:bookmarkStart w:id="301" w:name="_Toc387069870"/>
      <w:bookmarkStart w:id="302" w:name="_Toc387070069"/>
      <w:bookmarkStart w:id="303" w:name="_Toc387072334"/>
      <w:bookmarkStart w:id="304" w:name="_Toc387072545"/>
      <w:bookmarkStart w:id="305" w:name="_Toc387392573"/>
      <w:bookmarkStart w:id="306" w:name="_Toc387064807"/>
      <w:bookmarkStart w:id="307" w:name="_Toc387065019"/>
      <w:bookmarkStart w:id="308" w:name="_Toc387065225"/>
      <w:bookmarkStart w:id="309" w:name="_Toc387065436"/>
      <w:bookmarkStart w:id="310" w:name="_Toc387065642"/>
      <w:bookmarkStart w:id="311" w:name="_Toc387065847"/>
      <w:bookmarkStart w:id="312" w:name="_Toc387066050"/>
      <w:bookmarkStart w:id="313" w:name="_Toc387066239"/>
      <w:bookmarkStart w:id="314" w:name="_Toc387069475"/>
      <w:bookmarkStart w:id="315" w:name="_Toc387069662"/>
      <w:bookmarkStart w:id="316" w:name="_Toc387069871"/>
      <w:bookmarkStart w:id="317" w:name="_Toc387070070"/>
      <w:bookmarkStart w:id="318" w:name="_Toc387072335"/>
      <w:bookmarkStart w:id="319" w:name="_Toc387072546"/>
      <w:bookmarkStart w:id="320" w:name="_Toc38739257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br w:type="page"/>
      </w:r>
    </w:p>
    <w:p w:rsidR="00D37DEF" w:rsidRDefault="00D37DEF" w:rsidP="00D37DEF">
      <w:pPr>
        <w:pStyle w:val="Heading3"/>
      </w:pPr>
      <w:bookmarkStart w:id="321" w:name="_Toc391541583"/>
      <w:r w:rsidRPr="00FC12C4">
        <w:lastRenderedPageBreak/>
        <w:t>Referrals</w:t>
      </w:r>
      <w:bookmarkEnd w:id="321"/>
    </w:p>
    <w:p w:rsidR="00D37DEF" w:rsidRDefault="00D37DEF" w:rsidP="00D37DEF">
      <w:r>
        <w:t xml:space="preserve">The standard referral process for environmental impact assessment is shown in </w:t>
      </w:r>
      <w:r w:rsidR="00D30427">
        <w:fldChar w:fldCharType="begin"/>
      </w:r>
      <w:r w:rsidR="00486C16">
        <w:instrText xml:space="preserve"> REF _Ref387067484 \h </w:instrText>
      </w:r>
      <w:r w:rsidR="00D30427">
        <w:fldChar w:fldCharType="separate"/>
      </w:r>
      <w:r w:rsidR="001D521C">
        <w:t xml:space="preserve">Figure </w:t>
      </w:r>
      <w:r w:rsidR="001D521C">
        <w:rPr>
          <w:noProof/>
        </w:rPr>
        <w:t>7</w:t>
      </w:r>
      <w:r w:rsidR="00D30427">
        <w:fldChar w:fldCharType="end"/>
      </w:r>
      <w:r w:rsidR="005F55EB">
        <w:t xml:space="preserve"> </w:t>
      </w:r>
      <w:r>
        <w:t>below.</w:t>
      </w:r>
    </w:p>
    <w:p w:rsidR="00D37DEF" w:rsidRDefault="00D30427" w:rsidP="00D37DEF">
      <w:pPr>
        <w:jc w:val="center"/>
      </w:pPr>
      <w:r>
        <w:pict>
          <v:group id="_x0000_s1104" editas="canvas" style="width:411pt;height:224.25pt;mso-position-horizontal-relative:char;mso-position-vertical-relative:line" coordsize="8220,44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width:8220;height:4485" o:preferrelative="f">
              <v:fill o:detectmouseclick="t"/>
              <v:path o:extrusionok="t" o:connecttype="none"/>
              <o:lock v:ext="edit" text="t"/>
            </v:shape>
            <v:shape id="_x0000_s1105" style="position:absolute;left:3027;top:790;width:2198;height:940" coordsize="2116,907" path="m121,907r1874,hdc2062,907,2116,853,2116,786v,,,,,hal2116,121hdc2116,54,2062,,1995,hal121,hdc54,,,54,,121hal,121,,786hdc,853,54,907,121,907haxe" strokeweight="0">
              <v:path arrowok="t"/>
            </v:shape>
            <v:shape id="_x0000_s1106" style="position:absolute;left:3027;top:790;width:2198;height:940" coordsize="2116,907" path="m121,907r1874,hdc2062,907,2116,853,2116,786v,,,,,hal2116,121hdc2116,54,2062,,1995,hal121,hdc54,,,54,,121hal,121,,786hdc,853,54,907,121,907haxe" filled="f" strokeweight=".25pt">
              <v:stroke endcap="round"/>
              <v:path arrowok="t"/>
            </v:shape>
            <v:rect id="_x0000_s1107" style="position:absolute;left:3074;top:978;width:1791;height:385;mso-wrap-style:none;v-text-anchor:top" filled="f" stroked="f">
              <v:textbox style="mso-fit-shape-to-text:t" inset="0,0,0,0">
                <w:txbxContent>
                  <w:p w:rsidR="000D637E" w:rsidRDefault="000D637E" w:rsidP="00AB1499">
                    <w:r>
                      <w:rPr>
                        <w:rFonts w:cs="Arial"/>
                        <w:color w:val="000000"/>
                        <w:sz w:val="14"/>
                        <w:szCs w:val="14"/>
                        <w:lang w:val="en-US"/>
                      </w:rPr>
                      <w:t>Person proposing to take the</w:t>
                    </w:r>
                  </w:p>
                </w:txbxContent>
              </v:textbox>
            </v:rect>
            <v:rect id="_x0000_s1108" style="position:absolute;left:3074;top:1161;width:1814;height:385;mso-wrap-style:none;v-text-anchor:top" filled="f" stroked="f">
              <v:textbox style="mso-fit-shape-to-text:t" inset="0,0,0,0">
                <w:txbxContent>
                  <w:p w:rsidR="000D637E" w:rsidRDefault="000D637E">
                    <w:proofErr w:type="gramStart"/>
                    <w:r>
                      <w:rPr>
                        <w:rFonts w:cs="Arial"/>
                        <w:color w:val="000000"/>
                        <w:sz w:val="14"/>
                        <w:szCs w:val="14"/>
                        <w:lang w:val="en-US"/>
                      </w:rPr>
                      <w:t>action</w:t>
                    </w:r>
                    <w:proofErr w:type="gramEnd"/>
                    <w:r>
                      <w:rPr>
                        <w:rFonts w:cs="Arial"/>
                        <w:color w:val="000000"/>
                        <w:sz w:val="14"/>
                        <w:szCs w:val="14"/>
                        <w:lang w:val="en-US"/>
                      </w:rPr>
                      <w:t xml:space="preserve"> makes a referral to the</w:t>
                    </w:r>
                  </w:p>
                </w:txbxContent>
              </v:textbox>
            </v:rect>
            <v:rect id="_x0000_s1109" style="position:absolute;left:3174;top:1360;width:117;height:385;mso-wrap-style:none;v-text-anchor:top" filled="f" stroked="f">
              <v:textbox style="mso-fit-shape-to-text:t" inset="0,0,0,0">
                <w:txbxContent>
                  <w:p w:rsidR="000D637E" w:rsidRDefault="000D637E">
                    <w:r>
                      <w:rPr>
                        <w:rFonts w:cs="Arial"/>
                        <w:color w:val="000000"/>
                        <w:sz w:val="14"/>
                        <w:szCs w:val="14"/>
                        <w:lang w:val="en-US"/>
                      </w:rPr>
                      <w:t>M</w:t>
                    </w:r>
                  </w:p>
                </w:txbxContent>
              </v:textbox>
            </v:rect>
            <v:rect id="_x0000_s1110" style="position:absolute;left:3290;top:1360;width:1892;height:385;mso-wrap-style:none;v-text-anchor:top" filled="f" stroked="f">
              <v:textbox style="mso-fit-shape-to-text:t" inset="0,0,0,0">
                <w:txbxContent>
                  <w:p w:rsidR="000D637E" w:rsidRDefault="000D637E" w:rsidP="00AB1499">
                    <w:proofErr w:type="spellStart"/>
                    <w:proofErr w:type="gramStart"/>
                    <w:r>
                      <w:rPr>
                        <w:rFonts w:cs="Arial"/>
                        <w:color w:val="000000"/>
                        <w:sz w:val="14"/>
                        <w:szCs w:val="14"/>
                        <w:lang w:val="en-US"/>
                      </w:rPr>
                      <w:t>inister</w:t>
                    </w:r>
                    <w:proofErr w:type="spellEnd"/>
                    <w:proofErr w:type="gramEnd"/>
                    <w:r>
                      <w:rPr>
                        <w:rFonts w:cs="Arial"/>
                        <w:color w:val="000000"/>
                        <w:sz w:val="14"/>
                        <w:szCs w:val="14"/>
                        <w:lang w:val="en-US"/>
                      </w:rPr>
                      <w:t xml:space="preserve"> through the Department</w:t>
                    </w:r>
                  </w:p>
                </w:txbxContent>
              </v:textbox>
            </v:rect>
            <v:rect id="_x0000_s1111" style="position:absolute;left:5035;top:1360;width:39;height:385;mso-wrap-style:none;v-text-anchor:top" filled="f" stroked="f">
              <v:textbox style="mso-fit-shape-to-text:t" inset="0,0,0,0">
                <w:txbxContent>
                  <w:p w:rsidR="000D637E" w:rsidRDefault="000D637E">
                    <w:r>
                      <w:rPr>
                        <w:rFonts w:cs="Arial"/>
                        <w:color w:val="000000"/>
                        <w:sz w:val="14"/>
                        <w:szCs w:val="14"/>
                        <w:lang w:val="en-US"/>
                      </w:rPr>
                      <w:t>.</w:t>
                    </w:r>
                  </w:p>
                </w:txbxContent>
              </v:textbox>
            </v:rect>
            <v:shape id="_x0000_s1112" style="position:absolute;left:6465;top:3352;width:1570;height:940" coordsize="1512,907" path="m121,907r1270,hdc1458,907,1512,852,1512,786v,,,,,hal1512,120hdc1512,54,1458,,1391,hal121,hdc55,,,54,,120hal,786hdc,852,55,907,121,907haxe" strokeweight="0">
              <v:path arrowok="t"/>
            </v:shape>
            <v:shape id="_x0000_s1113" style="position:absolute;left:6465;top:3352;width:1570;height:940" coordsize="1512,907" path="m121,907r1270,hdc1458,907,1512,852,1512,786v,,,,,hal1512,120hdc1512,54,1458,,1391,hal121,hdc55,,,54,,120hal,786hdc,852,55,907,121,907haxe" filled="f" strokeweight=".25pt">
              <v:stroke endcap="round"/>
              <v:path arrowok="t"/>
            </v:shape>
            <v:rect id="_x0000_s1114" style="position:absolute;left:6713;top:3632;width:973;height:385;mso-wrap-style:none;v-text-anchor:top" filled="f" stroked="f">
              <v:textbox style="mso-fit-shape-to-text:t" inset="0,0,0,0">
                <w:txbxContent>
                  <w:p w:rsidR="000D637E" w:rsidRDefault="000D637E">
                    <w:r>
                      <w:rPr>
                        <w:rFonts w:cs="Arial"/>
                        <w:color w:val="000000"/>
                        <w:sz w:val="14"/>
                        <w:szCs w:val="14"/>
                        <w:lang w:val="en-US"/>
                      </w:rPr>
                      <w:t xml:space="preserve">Action is clearly </w:t>
                    </w:r>
                  </w:p>
                </w:txbxContent>
              </v:textbox>
            </v:rect>
            <v:rect id="_x0000_s1115" style="position:absolute;left:6796;top:3831;width:833;height:385;mso-wrap-style:none;v-text-anchor:top" filled="f" stroked="f">
              <v:textbox style="mso-fit-shape-to-text:t" inset="0,0,0,0">
                <w:txbxContent>
                  <w:p w:rsidR="000D637E" w:rsidRDefault="000D637E">
                    <w:proofErr w:type="gramStart"/>
                    <w:r>
                      <w:rPr>
                        <w:rFonts w:cs="Arial"/>
                        <w:color w:val="000000"/>
                        <w:sz w:val="14"/>
                        <w:szCs w:val="14"/>
                        <w:lang w:val="en-US"/>
                      </w:rPr>
                      <w:t>unacceptable</w:t>
                    </w:r>
                    <w:proofErr w:type="gramEnd"/>
                  </w:p>
                </w:txbxContent>
              </v:textbox>
            </v:rect>
            <v:shape id="_x0000_s1116" style="position:absolute;left:1457;top:2097;width:5338;height:643" coordsize="5140,620" path="m121,620r4898,hdc5086,620,5140,566,5140,499v,,,,,hal5140,121hdc5140,54,5086,,5019,hal5019,,121,hdc54,,,54,,121hal,121,,499hdc,566,54,620,121,620haxe" strokeweight="0">
              <v:path arrowok="t"/>
            </v:shape>
            <v:shape id="_x0000_s1117" style="position:absolute;left:1457;top:2097;width:5338;height:643" coordsize="5140,620" path="m121,620r4898,hdc5086,620,5140,566,5140,499v,,,,,hal5140,121hdc5140,54,5086,,5019,hal5019,,121,hdc54,,,54,,121hal,121,,499hdc,566,54,620,121,620haxe" filled="f" strokeweight=".25pt">
              <v:stroke endcap="round"/>
              <v:path arrowok="t"/>
            </v:shape>
            <v:rect id="_x0000_s1118" style="position:absolute;left:1512;top:2222;width:242;height:385;mso-wrap-style:none;v-text-anchor:top" filled="f" stroked="f">
              <v:textbox style="mso-fit-shape-to-text:t" inset="0,0,0,0">
                <w:txbxContent>
                  <w:p w:rsidR="000D637E" w:rsidRDefault="000D637E">
                    <w:r>
                      <w:rPr>
                        <w:rFonts w:cs="Arial"/>
                        <w:color w:val="000000"/>
                        <w:sz w:val="14"/>
                        <w:szCs w:val="14"/>
                        <w:lang w:val="en-US"/>
                      </w:rPr>
                      <w:t xml:space="preserve">The </w:t>
                    </w:r>
                  </w:p>
                </w:txbxContent>
              </v:textbox>
            </v:rect>
            <v:rect id="_x0000_s1119" style="position:absolute;left:1828;top:2222;width:491;height:385;mso-wrap-style:none;v-text-anchor:top" filled="f" stroked="f">
              <v:textbox style="mso-fit-shape-to-text:t" inset="0,0,0,0">
                <w:txbxContent>
                  <w:p w:rsidR="000D637E" w:rsidRDefault="000D637E">
                    <w:r>
                      <w:rPr>
                        <w:rFonts w:cs="Arial"/>
                        <w:color w:val="000000"/>
                        <w:sz w:val="14"/>
                        <w:szCs w:val="14"/>
                        <w:lang w:val="en-US"/>
                      </w:rPr>
                      <w:t xml:space="preserve">Minister </w:t>
                    </w:r>
                  </w:p>
                </w:txbxContent>
              </v:textbox>
            </v:rect>
            <v:rect id="_x0000_s1120" style="position:absolute;left:2409;top:2222;width:1479;height:385;mso-wrap-style:none;v-text-anchor:top" filled="f" stroked="f">
              <v:textbox style="mso-fit-shape-to-text:t" inset="0,0,0,0">
                <w:txbxContent>
                  <w:p w:rsidR="000D637E" w:rsidRDefault="000D637E">
                    <w:proofErr w:type="gramStart"/>
                    <w:r>
                      <w:rPr>
                        <w:rFonts w:cs="Arial"/>
                        <w:color w:val="000000"/>
                        <w:sz w:val="14"/>
                        <w:szCs w:val="14"/>
                        <w:lang w:val="en-US"/>
                      </w:rPr>
                      <w:t>makes</w:t>
                    </w:r>
                    <w:proofErr w:type="gramEnd"/>
                    <w:r>
                      <w:rPr>
                        <w:rFonts w:cs="Arial"/>
                        <w:color w:val="000000"/>
                        <w:sz w:val="14"/>
                        <w:szCs w:val="14"/>
                        <w:lang w:val="en-US"/>
                      </w:rPr>
                      <w:t xml:space="preserve"> a decision within </w:t>
                    </w:r>
                  </w:p>
                </w:txbxContent>
              </v:textbox>
            </v:rect>
            <v:rect id="_x0000_s1121" style="position:absolute;left:4088;top:2222;width:156;height:385;mso-wrap-style:none;v-text-anchor:top" filled="f" stroked="f">
              <v:textbox style="mso-fit-shape-to-text:t" inset="0,0,0,0">
                <w:txbxContent>
                  <w:p w:rsidR="000D637E" w:rsidRDefault="000D637E">
                    <w:r>
                      <w:rPr>
                        <w:rFonts w:cs="Arial"/>
                        <w:color w:val="000000"/>
                        <w:sz w:val="14"/>
                        <w:szCs w:val="14"/>
                        <w:lang w:val="en-US"/>
                      </w:rPr>
                      <w:t xml:space="preserve">20 </w:t>
                    </w:r>
                  </w:p>
                </w:txbxContent>
              </v:textbox>
            </v:rect>
            <v:rect id="_x0000_s1122" style="position:absolute;left:4304;top:2222;width:2195;height:385;mso-wrap-style:none;v-text-anchor:top" filled="f" stroked="f">
              <v:textbox style="mso-fit-shape-to-text:t" inset="0,0,0,0">
                <w:txbxContent>
                  <w:p w:rsidR="000D637E" w:rsidRDefault="000D637E">
                    <w:proofErr w:type="gramStart"/>
                    <w:r>
                      <w:rPr>
                        <w:rFonts w:cs="Arial"/>
                        <w:color w:val="000000"/>
                        <w:sz w:val="14"/>
                        <w:szCs w:val="14"/>
                        <w:lang w:val="en-US"/>
                      </w:rPr>
                      <w:t>business</w:t>
                    </w:r>
                    <w:proofErr w:type="gramEnd"/>
                    <w:r>
                      <w:rPr>
                        <w:rFonts w:cs="Arial"/>
                        <w:color w:val="000000"/>
                        <w:sz w:val="14"/>
                        <w:szCs w:val="14"/>
                        <w:lang w:val="en-US"/>
                      </w:rPr>
                      <w:t xml:space="preserve"> days on whether approval </w:t>
                    </w:r>
                  </w:p>
                </w:txbxContent>
              </v:textbox>
            </v:rect>
            <v:rect id="_x0000_s1123" style="position:absolute;left:3041;top:2438;width:1946;height:385;mso-wrap-style:none;v-text-anchor:top" filled="f" stroked="f">
              <v:textbox style="mso-fit-shape-to-text:t" inset="0,0,0,0">
                <w:txbxContent>
                  <w:p w:rsidR="000D637E" w:rsidRDefault="000D637E">
                    <w:proofErr w:type="gramStart"/>
                    <w:r>
                      <w:rPr>
                        <w:rFonts w:cs="Arial"/>
                        <w:color w:val="000000"/>
                        <w:sz w:val="14"/>
                        <w:szCs w:val="14"/>
                        <w:lang w:val="en-US"/>
                      </w:rPr>
                      <w:t>is</w:t>
                    </w:r>
                    <w:proofErr w:type="gramEnd"/>
                    <w:r>
                      <w:rPr>
                        <w:rFonts w:cs="Arial"/>
                        <w:color w:val="000000"/>
                        <w:sz w:val="14"/>
                        <w:szCs w:val="14"/>
                        <w:lang w:val="en-US"/>
                      </w:rPr>
                      <w:t xml:space="preserve"> required under the EPBC Act </w:t>
                    </w:r>
                  </w:p>
                </w:txbxContent>
              </v:textbox>
            </v:rect>
            <v:shape id="_x0000_s1124" style="position:absolute;left:44;top:3352;width:1742;height:940" coordsize="1678,907" path="m121,907r1436,hdc1624,907,1678,852,1678,786v,,,,,hal1678,120hdc1678,54,1624,,1557,hal121,hdc54,,,54,,120hal,120,,786hdc,852,54,907,121,907haxe" strokeweight="0">
              <v:path arrowok="t"/>
            </v:shape>
            <v:shape id="_x0000_s1125" style="position:absolute;left:44;top:3352;width:1742;height:940" coordsize="1678,907" path="m121,907r1436,hdc1624,907,1678,852,1678,786v,,,,,hal1678,120hdc1678,54,1624,,1557,hal121,hdc54,,,54,,120hal,120,,786hdc,852,54,907,121,907haxe" filled="f" strokeweight=".25pt">
              <v:stroke endcap="round"/>
              <v:path arrowok="t"/>
            </v:shape>
            <v:rect id="_x0000_s1126" style="position:absolute;left:332;top:3450;width:639;height:385;mso-wrap-style:none;v-text-anchor:top" filled="f" stroked="f">
              <v:textbox style="mso-fit-shape-to-text:t" inset="0,0,0,0">
                <w:txbxContent>
                  <w:p w:rsidR="000D637E" w:rsidRDefault="000D637E">
                    <w:r>
                      <w:rPr>
                        <w:rFonts w:cs="Arial"/>
                        <w:color w:val="000000"/>
                        <w:sz w:val="14"/>
                        <w:szCs w:val="14"/>
                        <w:lang w:val="en-US"/>
                      </w:rPr>
                      <w:t>Controlled</w:t>
                    </w:r>
                  </w:p>
                </w:txbxContent>
              </v:textbox>
            </v:rect>
            <v:rect id="_x0000_s1127" style="position:absolute;left:1080;top:3450;width:390;height:385;mso-wrap-style:none;v-text-anchor:top" filled="f" stroked="f">
              <v:textbox style="mso-fit-shape-to-text:t" inset="0,0,0,0">
                <w:txbxContent>
                  <w:p w:rsidR="000D637E" w:rsidRDefault="000D637E">
                    <w:r>
                      <w:rPr>
                        <w:rFonts w:cs="Arial"/>
                        <w:color w:val="000000"/>
                        <w:sz w:val="14"/>
                        <w:szCs w:val="14"/>
                        <w:lang w:val="en-US"/>
                      </w:rPr>
                      <w:t>Action</w:t>
                    </w:r>
                  </w:p>
                </w:txbxContent>
              </v:textbox>
            </v:rect>
            <v:rect id="_x0000_s1128" style="position:absolute;left:515;top:3831;width:732;height:385;mso-wrap-style:none;v-text-anchor:top" filled="f" stroked="f">
              <v:textbox style="mso-fit-shape-to-text:t" inset="0,0,0,0">
                <w:txbxContent>
                  <w:p w:rsidR="000D637E" w:rsidRDefault="000D637E">
                    <w:r>
                      <w:rPr>
                        <w:rFonts w:cs="Arial"/>
                        <w:color w:val="000000"/>
                        <w:sz w:val="14"/>
                        <w:szCs w:val="14"/>
                        <w:lang w:val="en-US"/>
                      </w:rPr>
                      <w:t xml:space="preserve">Decision on </w:t>
                    </w:r>
                  </w:p>
                </w:txbxContent>
              </v:textbox>
            </v:rect>
            <v:rect id="_x0000_s1129" style="position:absolute;left:150;top:4014;width:1370;height:385;mso-wrap-style:none;v-text-anchor:top" filled="f" stroked="f">
              <v:textbox style="mso-fit-shape-to-text:t" inset="0,0,0,0">
                <w:txbxContent>
                  <w:p w:rsidR="000D637E" w:rsidRDefault="000D637E">
                    <w:proofErr w:type="gramStart"/>
                    <w:r>
                      <w:rPr>
                        <w:rFonts w:cs="Arial"/>
                        <w:color w:val="000000"/>
                        <w:sz w:val="14"/>
                        <w:szCs w:val="14"/>
                        <w:lang w:val="en-US"/>
                      </w:rPr>
                      <w:t>assessment</w:t>
                    </w:r>
                    <w:proofErr w:type="gramEnd"/>
                    <w:r>
                      <w:rPr>
                        <w:rFonts w:cs="Arial"/>
                        <w:color w:val="000000"/>
                        <w:sz w:val="14"/>
                        <w:szCs w:val="14"/>
                        <w:lang w:val="en-US"/>
                      </w:rPr>
                      <w:t xml:space="preserve"> approach</w:t>
                    </w:r>
                  </w:p>
                </w:txbxContent>
              </v:textbox>
            </v:rect>
            <v:shape id="_x0000_s1130" style="position:absolute;left:2305;top:3352;width:1570;height:940" coordsize="1512,907" path="m121,907r1270,hdc1458,907,1512,852,1512,786v,,,,,hal1512,120hdc1512,54,1458,,1391,hal121,hdc54,,,54,,120hal,786hdc,852,54,907,121,907haxe" strokeweight="0">
              <v:path arrowok="t"/>
            </v:shape>
            <v:shape id="_x0000_s1131" style="position:absolute;left:2305;top:3352;width:1570;height:940" coordsize="1512,907" path="m121,907r1270,hdc1458,907,1512,852,1512,786v,,,,,hal1512,120hdc1512,54,1458,,1391,hal121,hdc54,,,54,,120hal,786hdc,852,54,907,121,907haxe" filled="f" strokeweight=".25pt">
              <v:stroke endcap="round"/>
              <v:path arrowok="t"/>
            </v:shape>
            <v:rect id="_x0000_s1132" style="position:absolute;left:2609;top:3533;width:218;height:385;mso-wrap-style:none;v-text-anchor:top" filled="f" stroked="f">
              <v:textbox style="mso-fit-shape-to-text:t" inset="0,0,0,0">
                <w:txbxContent>
                  <w:p w:rsidR="000D637E" w:rsidRDefault="000D637E">
                    <w:r>
                      <w:rPr>
                        <w:rFonts w:cs="Arial"/>
                        <w:color w:val="000000"/>
                        <w:sz w:val="14"/>
                        <w:szCs w:val="14"/>
                        <w:lang w:val="en-US"/>
                      </w:rPr>
                      <w:t>Not</w:t>
                    </w:r>
                  </w:p>
                </w:txbxContent>
              </v:textbox>
            </v:rect>
            <v:rect id="_x0000_s1133" style="position:absolute;left:2891;top:3533;width:608;height:385;mso-wrap-style:none;v-text-anchor:top" filled="f" stroked="f">
              <v:textbox style="mso-fit-shape-to-text:t" inset="0,0,0,0">
                <w:txbxContent>
                  <w:p w:rsidR="000D637E" w:rsidRDefault="000D637E">
                    <w:proofErr w:type="gramStart"/>
                    <w:r>
                      <w:rPr>
                        <w:rFonts w:cs="Arial"/>
                        <w:color w:val="000000"/>
                        <w:sz w:val="14"/>
                        <w:szCs w:val="14"/>
                        <w:lang w:val="en-US"/>
                      </w:rPr>
                      <w:t>controlled</w:t>
                    </w:r>
                    <w:proofErr w:type="gramEnd"/>
                  </w:p>
                </w:txbxContent>
              </v:textbox>
            </v:rect>
            <v:rect id="_x0000_s1134" style="position:absolute;left:2526;top:3715;width:78;height:385;mso-wrap-style:none;v-text-anchor:top" filled="f" stroked="f">
              <v:textbox style="mso-fit-shape-to-text:t" inset="0,0,0,0">
                <w:txbxContent>
                  <w:p w:rsidR="000D637E" w:rsidRDefault="000D637E">
                    <w:proofErr w:type="gramStart"/>
                    <w:r>
                      <w:rPr>
                        <w:rFonts w:cs="Arial"/>
                        <w:color w:val="000000"/>
                        <w:sz w:val="14"/>
                        <w:szCs w:val="14"/>
                        <w:lang w:val="en-US"/>
                      </w:rPr>
                      <w:t>a</w:t>
                    </w:r>
                    <w:proofErr w:type="gramEnd"/>
                  </w:p>
                </w:txbxContent>
              </v:textbox>
            </v:rect>
            <v:rect id="_x0000_s1135" style="position:absolute;left:2609;top:3715;width:942;height:385;mso-wrap-style:none;v-text-anchor:top" filled="f" stroked="f">
              <v:textbox style="mso-fit-shape-to-text:t" inset="0,0,0,0">
                <w:txbxContent>
                  <w:p w:rsidR="000D637E" w:rsidRDefault="000D637E">
                    <w:proofErr w:type="spellStart"/>
                    <w:proofErr w:type="gramStart"/>
                    <w:r>
                      <w:rPr>
                        <w:rFonts w:cs="Arial"/>
                        <w:color w:val="000000"/>
                        <w:sz w:val="14"/>
                        <w:szCs w:val="14"/>
                        <w:lang w:val="en-US"/>
                      </w:rPr>
                      <w:t>ction</w:t>
                    </w:r>
                    <w:proofErr w:type="spellEnd"/>
                    <w:proofErr w:type="gramEnd"/>
                    <w:r>
                      <w:rPr>
                        <w:rFonts w:cs="Arial"/>
                        <w:color w:val="000000"/>
                        <w:sz w:val="14"/>
                        <w:szCs w:val="14"/>
                        <w:lang w:val="en-US"/>
                      </w:rPr>
                      <w:t xml:space="preserve"> ‘particular</w:t>
                    </w:r>
                  </w:p>
                </w:txbxContent>
              </v:textbox>
            </v:rect>
            <v:rect id="_x0000_s1136" style="position:absolute;left:2808;top:3931;width:506;height:385;mso-wrap-style:none;v-text-anchor:top" filled="f" stroked="f">
              <v:textbox style="mso-fit-shape-to-text:t" inset="0,0,0,0">
                <w:txbxContent>
                  <w:p w:rsidR="000D637E" w:rsidRDefault="000D637E">
                    <w:proofErr w:type="gramStart"/>
                    <w:r>
                      <w:rPr>
                        <w:rFonts w:cs="Arial"/>
                        <w:color w:val="000000"/>
                        <w:sz w:val="14"/>
                        <w:szCs w:val="14"/>
                        <w:lang w:val="en-US"/>
                      </w:rPr>
                      <w:t>manner</w:t>
                    </w:r>
                    <w:proofErr w:type="gramEnd"/>
                    <w:r>
                      <w:rPr>
                        <w:rFonts w:cs="Arial"/>
                        <w:color w:val="000000"/>
                        <w:sz w:val="14"/>
                        <w:szCs w:val="14"/>
                        <w:lang w:val="en-US"/>
                      </w:rPr>
                      <w:t>’</w:t>
                    </w:r>
                  </w:p>
                </w:txbxContent>
              </v:textbox>
            </v:rect>
            <v:shape id="_x0000_s1137" style="position:absolute;left:4346;top:3352;width:1570;height:940" coordsize="1511,907" path="m120,907r1270,hdc1457,907,1511,852,1511,786v,,,,,hal1511,786r,-666hdc1511,54,1457,,1390,hal120,hdc54,,,54,,120hal,786hdc,852,54,907,120,907haxe" strokeweight="0">
              <v:path arrowok="t"/>
            </v:shape>
            <v:shape id="_x0000_s1138" style="position:absolute;left:4346;top:3352;width:1570;height:940" coordsize="1511,907" path="m120,907r1270,hdc1457,907,1511,852,1511,786v,,,,,hal1511,786r,-666hdc1511,54,1457,,1390,hal120,hdc54,,,54,,120hal,786hdc,852,54,907,120,907haxe" filled="f" strokeweight=".25pt">
              <v:stroke endcap="round"/>
              <v:path arrowok="t"/>
            </v:shape>
            <v:rect id="_x0000_s1139" style="position:absolute;left:4653;top:3632;width:218;height:385;mso-wrap-style:none;v-text-anchor:top" filled="f" stroked="f">
              <v:textbox style="mso-fit-shape-to-text:t" inset="0,0,0,0">
                <w:txbxContent>
                  <w:p w:rsidR="000D637E" w:rsidRDefault="000D637E">
                    <w:r>
                      <w:rPr>
                        <w:rFonts w:cs="Arial"/>
                        <w:color w:val="000000"/>
                        <w:sz w:val="14"/>
                        <w:szCs w:val="14"/>
                        <w:lang w:val="en-US"/>
                      </w:rPr>
                      <w:t>Not</w:t>
                    </w:r>
                  </w:p>
                </w:txbxContent>
              </v:textbox>
            </v:rect>
            <v:rect id="_x0000_s1140" style="position:absolute;left:4935;top:3632;width:608;height:385;mso-wrap-style:none;v-text-anchor:top" filled="f" stroked="f">
              <v:textbox style="mso-fit-shape-to-text:t" inset="0,0,0,0">
                <w:txbxContent>
                  <w:p w:rsidR="000D637E" w:rsidRDefault="000D637E">
                    <w:proofErr w:type="gramStart"/>
                    <w:r>
                      <w:rPr>
                        <w:rFonts w:cs="Arial"/>
                        <w:color w:val="000000"/>
                        <w:sz w:val="14"/>
                        <w:szCs w:val="14"/>
                        <w:lang w:val="en-US"/>
                      </w:rPr>
                      <w:t>controlled</w:t>
                    </w:r>
                    <w:proofErr w:type="gramEnd"/>
                  </w:p>
                </w:txbxContent>
              </v:textbox>
            </v:rect>
            <v:rect id="_x0000_s1141" style="position:absolute;left:4919;top:3831;width:374;height:385;mso-wrap-style:none;v-text-anchor:top" filled="f" stroked="f">
              <v:textbox style="mso-fit-shape-to-text:t" inset="0,0,0,0">
                <w:txbxContent>
                  <w:p w:rsidR="000D637E" w:rsidRDefault="000D637E">
                    <w:proofErr w:type="gramStart"/>
                    <w:r>
                      <w:rPr>
                        <w:rFonts w:cs="Arial"/>
                        <w:color w:val="000000"/>
                        <w:sz w:val="14"/>
                        <w:szCs w:val="14"/>
                        <w:lang w:val="en-US"/>
                      </w:rPr>
                      <w:t>action</w:t>
                    </w:r>
                    <w:proofErr w:type="gramEnd"/>
                  </w:p>
                </w:txbxContent>
              </v:textbox>
            </v:rect>
            <v:shape id="_x0000_s1142" style="position:absolute;left:4126;top:2740;width:3124;height:504" coordsize="3124,504" path="m,l,235r3124,l3124,504e" filled="f" strokeweight=".25pt">
              <v:stroke endcap="round"/>
              <v:path arrowok="t"/>
            </v:shape>
            <v:shape id="_x0000_s1143" style="position:absolute;left:7189;top:3229;width:123;height:123" coordsize="123,123" path="m123,l61,123,,,123,xe" fillcolor="black" stroked="f">
              <v:path arrowok="t"/>
            </v:shape>
            <v:shape id="_x0000_s1144" style="position:absolute;left:915;top:2740;width:3211;height:504" coordsize="3211,504" path="m3211,r,235l,235,,504e" filled="f" strokeweight=".25pt">
              <v:stroke endcap="round"/>
              <v:path arrowok="t"/>
            </v:shape>
            <v:shape id="_x0000_s1145" style="position:absolute;left:854;top:3229;width:122;height:123" coordsize="122,123" path="m122,l61,123,,,122,xe" fillcolor="black" stroked="f">
              <v:path arrowok="t"/>
            </v:shape>
            <v:rect id="_x0000_s1146" style="position:absolute;left:3027;top:25;width:2198;height:483" fillcolor="#729fdc" stroked="f"/>
            <v:rect id="_x0000_s1147" style="position:absolute;left:3639;top:149;width:991;height:438;mso-wrap-style:none;v-text-anchor:top" filled="f" stroked="f">
              <v:textbox style="mso-fit-shape-to-text:t" inset="0,0,0,0">
                <w:txbxContent>
                  <w:p w:rsidR="000D637E" w:rsidRDefault="000D637E">
                    <w:r>
                      <w:rPr>
                        <w:rFonts w:cs="Arial"/>
                        <w:b/>
                        <w:bCs/>
                        <w:color w:val="000000"/>
                        <w:sz w:val="18"/>
                        <w:szCs w:val="18"/>
                        <w:lang w:val="en-US"/>
                      </w:rPr>
                      <w:t xml:space="preserve">Referral fee </w:t>
                    </w:r>
                  </w:p>
                </w:txbxContent>
              </v:textbox>
            </v:rect>
            <v:line id="_x0000_s1148" style="position:absolute" from="4126,508" to="4127,683" strokeweight=".25pt">
              <v:stroke endcap="round"/>
            </v:line>
            <v:shape id="_x0000_s1149" style="position:absolute;left:4065;top:668;width:123;height:122" coordsize="123,122" path="m123,l61,122,,,123,xe" fillcolor="black" stroked="f">
              <v:path arrowok="t"/>
            </v:shape>
            <v:line id="_x0000_s1150" style="position:absolute" from="3090,3041" to="3091,3244" strokeweight=".25pt">
              <v:stroke endcap="round"/>
            </v:line>
            <v:shape id="_x0000_s1151" style="position:absolute;left:3028;top:3229;width:123;height:123" coordsize="123,123" path="m123,l62,123,,,123,xe" fillcolor="black" stroked="f">
              <v:path arrowok="t"/>
            </v:shape>
            <v:line id="_x0000_s1152" style="position:absolute" from="5131,3041" to="5132,3244" strokeweight=".25pt">
              <v:stroke endcap="round"/>
            </v:line>
            <v:shape id="_x0000_s1153" style="position:absolute;left:5070;top:3229;width:122;height:123" coordsize="122,123" path="m122,l61,123,,,122,xe" fillcolor="black" stroked="f">
              <v:path arrowok="t"/>
            </v:shape>
            <v:line id="_x0000_s1154" style="position:absolute" from="4126,1730" to="4127,1991" strokeweight=".25pt">
              <v:stroke endcap="round"/>
            </v:line>
            <v:shape id="_x0000_s1155" style="position:absolute;left:4065;top:1975;width:123;height:122" coordsize="123,122" path="m123,l61,122,,,123,xe" fillcolor="black" stroked="f">
              <v:path arrowok="t"/>
            </v:shape>
            <v:line id="_x0000_s1156" style="position:absolute" from="28,4458" to="8192,4459" strokeweight=".25pt">
              <v:stroke endcap="round"/>
            </v:line>
            <w10:wrap type="none"/>
            <w10:anchorlock/>
          </v:group>
        </w:pict>
      </w:r>
    </w:p>
    <w:p w:rsidR="00E72655" w:rsidRDefault="00E72655" w:rsidP="00E72655">
      <w:pPr>
        <w:pStyle w:val="Caption"/>
        <w:rPr>
          <w:lang w:val="en-US"/>
        </w:rPr>
      </w:pPr>
      <w:bookmarkStart w:id="322" w:name="_Ref387067484"/>
      <w:bookmarkStart w:id="323" w:name="_Toc387072712"/>
      <w:bookmarkStart w:id="324" w:name="_Toc391541636"/>
      <w:proofErr w:type="gramStart"/>
      <w:r>
        <w:t xml:space="preserve">Figure </w:t>
      </w:r>
      <w:r w:rsidR="00D30427">
        <w:fldChar w:fldCharType="begin"/>
      </w:r>
      <w:r w:rsidR="004D02C2">
        <w:instrText xml:space="preserve"> SEQ Figure \* ARABIC </w:instrText>
      </w:r>
      <w:r w:rsidR="00D30427">
        <w:fldChar w:fldCharType="separate"/>
      </w:r>
      <w:r w:rsidR="001D521C">
        <w:rPr>
          <w:noProof/>
        </w:rPr>
        <w:t>7</w:t>
      </w:r>
      <w:r w:rsidR="00D30427">
        <w:fldChar w:fldCharType="end"/>
      </w:r>
      <w:bookmarkEnd w:id="322"/>
      <w:r>
        <w:t>.</w:t>
      </w:r>
      <w:proofErr w:type="gramEnd"/>
      <w:r>
        <w:t xml:space="preserve"> </w:t>
      </w:r>
      <w:r w:rsidRPr="00FB6D5D">
        <w:t>The standard referral process for environmental impact assessment</w:t>
      </w:r>
      <w:bookmarkEnd w:id="323"/>
      <w:bookmarkEnd w:id="324"/>
    </w:p>
    <w:p w:rsidR="005F20E1" w:rsidRDefault="005F20E1" w:rsidP="00D37DEF">
      <w:pPr>
        <w:rPr>
          <w:lang w:val="en-US"/>
        </w:rPr>
      </w:pPr>
      <w:r>
        <w:rPr>
          <w:lang w:val="en-US"/>
        </w:rPr>
        <w:t>Applicants pay a fixed fee for r</w:t>
      </w:r>
      <w:r w:rsidR="00D37DEF" w:rsidRPr="00FC12C4">
        <w:rPr>
          <w:lang w:val="en-US"/>
        </w:rPr>
        <w:t xml:space="preserve">eferrals based on the </w:t>
      </w:r>
      <w:r w:rsidR="00D37DEF">
        <w:rPr>
          <w:lang w:val="en-US"/>
        </w:rPr>
        <w:t>amount</w:t>
      </w:r>
      <w:r w:rsidR="00D37DEF" w:rsidRPr="00FC12C4">
        <w:rPr>
          <w:lang w:val="en-US"/>
        </w:rPr>
        <w:t xml:space="preserve"> of work </w:t>
      </w:r>
      <w:r>
        <w:rPr>
          <w:lang w:val="en-US"/>
        </w:rPr>
        <w:t xml:space="preserve">by the requirement </w:t>
      </w:r>
      <w:r w:rsidR="00D37DEF" w:rsidRPr="00FC12C4">
        <w:rPr>
          <w:lang w:val="en-US"/>
        </w:rPr>
        <w:t xml:space="preserve">that is required </w:t>
      </w:r>
      <w:r>
        <w:rPr>
          <w:lang w:val="en-US"/>
        </w:rPr>
        <w:t xml:space="preserve">for the Minister or the Minister’s delegate </w:t>
      </w:r>
      <w:r w:rsidR="00D37DEF">
        <w:rPr>
          <w:lang w:val="en-US"/>
        </w:rPr>
        <w:t>to meet</w:t>
      </w:r>
      <w:r w:rsidR="00D37DEF" w:rsidRPr="00FC12C4">
        <w:rPr>
          <w:lang w:val="en-US"/>
        </w:rPr>
        <w:t xml:space="preserve"> the </w:t>
      </w:r>
      <w:r w:rsidR="00D37DEF" w:rsidRPr="001555F8">
        <w:rPr>
          <w:lang w:val="en-US"/>
        </w:rPr>
        <w:t>20 day statutory timeframe</w:t>
      </w:r>
      <w:r>
        <w:rPr>
          <w:lang w:val="en-US"/>
        </w:rPr>
        <w:t xml:space="preserve"> for making a controlled action decision</w:t>
      </w:r>
      <w:r w:rsidR="00D37DEF" w:rsidRPr="001555F8">
        <w:rPr>
          <w:lang w:val="en-US"/>
        </w:rPr>
        <w:t xml:space="preserve">. </w:t>
      </w:r>
      <w:r>
        <w:rPr>
          <w:lang w:val="en-US"/>
        </w:rPr>
        <w:t>The applicant must pay t</w:t>
      </w:r>
      <w:r w:rsidR="00D37DEF" w:rsidRPr="001555F8">
        <w:rPr>
          <w:lang w:val="en-US"/>
        </w:rPr>
        <w:t xml:space="preserve">he standard referral </w:t>
      </w:r>
      <w:r w:rsidR="00D37DEF" w:rsidRPr="005F55EB">
        <w:rPr>
          <w:lang w:val="en-US"/>
        </w:rPr>
        <w:t>fee of $7,</w:t>
      </w:r>
      <w:r w:rsidR="005F55EB" w:rsidRPr="005F55EB">
        <w:rPr>
          <w:lang w:val="en-US"/>
        </w:rPr>
        <w:t>352</w:t>
      </w:r>
      <w:r w:rsidR="00D37DEF" w:rsidRPr="005F55EB">
        <w:rPr>
          <w:lang w:val="en-US"/>
        </w:rPr>
        <w:t xml:space="preserve"> </w:t>
      </w:r>
      <w:r w:rsidR="00D37DEF" w:rsidRPr="001555F8">
        <w:rPr>
          <w:lang w:val="en-US"/>
        </w:rPr>
        <w:t xml:space="preserve">prior to the </w:t>
      </w:r>
      <w:r w:rsidR="00D37DEF">
        <w:rPr>
          <w:lang w:val="en-US"/>
        </w:rPr>
        <w:t>D</w:t>
      </w:r>
      <w:r w:rsidR="00D37DEF" w:rsidRPr="001555F8">
        <w:rPr>
          <w:lang w:val="en-US"/>
        </w:rPr>
        <w:t xml:space="preserve">epartment commencing assessment of the referral, and </w:t>
      </w:r>
      <w:r w:rsidR="0066417E">
        <w:rPr>
          <w:lang w:val="en-US"/>
        </w:rPr>
        <w:t xml:space="preserve">this </w:t>
      </w:r>
      <w:r w:rsidR="00D37DEF" w:rsidRPr="001555F8">
        <w:rPr>
          <w:lang w:val="en-US"/>
        </w:rPr>
        <w:t xml:space="preserve">will not vary </w:t>
      </w:r>
      <w:r w:rsidR="00D37DEF">
        <w:rPr>
          <w:lang w:val="en-US"/>
        </w:rPr>
        <w:t xml:space="preserve">based on the outcome </w:t>
      </w:r>
      <w:r w:rsidR="00D37DEF" w:rsidRPr="001555F8">
        <w:rPr>
          <w:lang w:val="en-US"/>
        </w:rPr>
        <w:t xml:space="preserve">(controlled action, not controlled action ‘particular manner’, not controlled action or action is clearly unacceptable), because the </w:t>
      </w:r>
      <w:r>
        <w:rPr>
          <w:lang w:val="en-US"/>
        </w:rPr>
        <w:t>Department undertakes the same amount of work regardless of the final decision</w:t>
      </w:r>
      <w:r w:rsidR="00D37DEF" w:rsidRPr="001555F8">
        <w:rPr>
          <w:lang w:val="en-US"/>
        </w:rPr>
        <w:t>. There</w:t>
      </w:r>
      <w:r w:rsidR="00D37DEF" w:rsidRPr="00FC12C4">
        <w:rPr>
          <w:lang w:val="en-US"/>
        </w:rPr>
        <w:t xml:space="preserve"> </w:t>
      </w:r>
      <w:r w:rsidR="00D37DEF">
        <w:rPr>
          <w:lang w:val="en-US"/>
        </w:rPr>
        <w:t>will be</w:t>
      </w:r>
      <w:r w:rsidR="00D37DEF" w:rsidRPr="00FC12C4">
        <w:rPr>
          <w:lang w:val="en-US"/>
        </w:rPr>
        <w:t xml:space="preserve"> no additional </w:t>
      </w:r>
      <w:r w:rsidR="00D37DEF">
        <w:rPr>
          <w:lang w:val="en-US"/>
        </w:rPr>
        <w:t xml:space="preserve">complexity </w:t>
      </w:r>
      <w:r w:rsidR="00D37DEF" w:rsidRPr="00FC12C4">
        <w:rPr>
          <w:lang w:val="en-US"/>
        </w:rPr>
        <w:t>fee</w:t>
      </w:r>
      <w:r w:rsidR="00D37DEF">
        <w:rPr>
          <w:lang w:val="en-US"/>
        </w:rPr>
        <w:t>s for referrals</w:t>
      </w:r>
      <w:r w:rsidR="00D37DEF" w:rsidRPr="00FC12C4">
        <w:rPr>
          <w:lang w:val="en-US"/>
        </w:rPr>
        <w:t xml:space="preserve">. </w:t>
      </w:r>
    </w:p>
    <w:p w:rsidR="00D37DEF" w:rsidRDefault="00D37DEF" w:rsidP="00D37DEF">
      <w:pPr>
        <w:rPr>
          <w:highlight w:val="yellow"/>
        </w:rPr>
      </w:pPr>
      <w:r w:rsidRPr="00FC12C4">
        <w:rPr>
          <w:lang w:val="en-US"/>
        </w:rPr>
        <w:t>The costs</w:t>
      </w:r>
      <w:r w:rsidR="005F20E1">
        <w:rPr>
          <w:lang w:val="en-US"/>
        </w:rPr>
        <w:t xml:space="preserve"> of assessing whether a referral is a controlled action</w:t>
      </w:r>
      <w:r w:rsidRPr="00FC12C4">
        <w:rPr>
          <w:lang w:val="en-US"/>
        </w:rPr>
        <w:t xml:space="preserve"> are based on </w:t>
      </w:r>
      <w:r w:rsidRPr="005F55EB">
        <w:rPr>
          <w:lang w:val="en-US"/>
        </w:rPr>
        <w:t xml:space="preserve">8.9 equivalent person-days for an Assessment Officer </w:t>
      </w:r>
      <w:r w:rsidR="005F55EB" w:rsidRPr="005F55EB">
        <w:rPr>
          <w:lang w:val="en-US"/>
        </w:rPr>
        <w:t>and 3.6</w:t>
      </w:r>
      <w:r w:rsidRPr="005F55EB">
        <w:rPr>
          <w:lang w:val="en-US"/>
        </w:rPr>
        <w:t xml:space="preserve"> equivalent person-days for an</w:t>
      </w:r>
      <w:r w:rsidRPr="00FC12C4">
        <w:rPr>
          <w:lang w:val="en-US"/>
        </w:rPr>
        <w:t xml:space="preserve"> Assistant Director, along with </w:t>
      </w:r>
      <w:r>
        <w:rPr>
          <w:lang w:val="en-US"/>
        </w:rPr>
        <w:t>Director’s</w:t>
      </w:r>
      <w:r w:rsidRPr="00FC12C4">
        <w:rPr>
          <w:lang w:val="en-US"/>
        </w:rPr>
        <w:t xml:space="preserve"> oversight</w:t>
      </w:r>
      <w:r>
        <w:rPr>
          <w:lang w:val="en-US"/>
        </w:rPr>
        <w:t xml:space="preserve"> and a decision by the delegate </w:t>
      </w:r>
      <w:r w:rsidRPr="00EF179C">
        <w:rPr>
          <w:lang w:val="en-US"/>
        </w:rPr>
        <w:t>as outlined in</w:t>
      </w:r>
      <w:r>
        <w:rPr>
          <w:lang w:val="en-US"/>
        </w:rPr>
        <w:t xml:space="preserve"> </w:t>
      </w:r>
      <w:r w:rsidR="00D30427">
        <w:rPr>
          <w:lang w:val="en-US"/>
        </w:rPr>
        <w:fldChar w:fldCharType="begin"/>
      </w:r>
      <w:r w:rsidR="00BC30D3">
        <w:rPr>
          <w:lang w:val="en-US"/>
        </w:rPr>
        <w:instrText xml:space="preserve"> REF _Ref387066850 \h </w:instrText>
      </w:r>
      <w:r w:rsidR="00D30427">
        <w:rPr>
          <w:lang w:val="en-US"/>
        </w:rPr>
      </w:r>
      <w:r w:rsidR="00D30427">
        <w:rPr>
          <w:lang w:val="en-US"/>
        </w:rPr>
        <w:fldChar w:fldCharType="separate"/>
      </w:r>
      <w:r w:rsidR="001D521C">
        <w:t xml:space="preserve">Table </w:t>
      </w:r>
      <w:r w:rsidR="001D521C">
        <w:rPr>
          <w:noProof/>
        </w:rPr>
        <w:t>1</w:t>
      </w:r>
      <w:r w:rsidR="00D30427">
        <w:rPr>
          <w:lang w:val="en-US"/>
        </w:rPr>
        <w:fldChar w:fldCharType="end"/>
      </w:r>
      <w:r w:rsidR="00F6797D">
        <w:t xml:space="preserve"> above</w:t>
      </w:r>
      <w:r w:rsidR="005F55EB">
        <w:t>.</w:t>
      </w:r>
    </w:p>
    <w:p w:rsidR="000B573E" w:rsidRDefault="00D37DEF">
      <w:pPr>
        <w:keepNext/>
        <w:rPr>
          <w:lang w:val="en-US"/>
        </w:rPr>
      </w:pPr>
      <w:r>
        <w:rPr>
          <w:lang w:val="en-US"/>
        </w:rPr>
        <w:t>Activities involved in the referral process</w:t>
      </w:r>
      <w:r w:rsidRPr="00FC12C4">
        <w:rPr>
          <w:lang w:val="en-US"/>
        </w:rPr>
        <w:t xml:space="preserve"> include: </w:t>
      </w:r>
    </w:p>
    <w:p w:rsidR="00D37DEF" w:rsidRDefault="00BC30D3" w:rsidP="008F17D2">
      <w:pPr>
        <w:pStyle w:val="ListBullet"/>
        <w:rPr>
          <w:lang w:val="en-US"/>
        </w:rPr>
      </w:pPr>
      <w:r>
        <w:rPr>
          <w:lang w:val="en-US"/>
        </w:rPr>
        <w:t>O</w:t>
      </w:r>
      <w:r w:rsidR="00D37DEF">
        <w:rPr>
          <w:lang w:val="en-US"/>
        </w:rPr>
        <w:t>ne optional p</w:t>
      </w:r>
      <w:r w:rsidR="00D37DEF" w:rsidRPr="00FC12C4">
        <w:rPr>
          <w:lang w:val="en-US"/>
        </w:rPr>
        <w:t>re-referral consultation</w:t>
      </w:r>
      <w:r w:rsidR="00E15E71">
        <w:rPr>
          <w:lang w:val="en-US"/>
        </w:rPr>
        <w:t xml:space="preserve"> or referral lodgment </w:t>
      </w:r>
      <w:r w:rsidR="00D37DEF">
        <w:rPr>
          <w:lang w:val="en-US"/>
        </w:rPr>
        <w:t>meeting</w:t>
      </w:r>
      <w:r w:rsidR="00D37DEF" w:rsidRPr="00FC12C4">
        <w:rPr>
          <w:lang w:val="en-US"/>
        </w:rPr>
        <w:t xml:space="preserve"> with the </w:t>
      </w:r>
      <w:r w:rsidR="00B64DB5">
        <w:rPr>
          <w:lang w:val="en-US"/>
        </w:rPr>
        <w:t>applicant</w:t>
      </w:r>
      <w:r w:rsidR="008F17D2">
        <w:rPr>
          <w:lang w:val="en-US"/>
        </w:rPr>
        <w:t>,</w:t>
      </w:r>
      <w:r w:rsidR="00D37DEF" w:rsidRPr="00FC12C4">
        <w:rPr>
          <w:lang w:val="en-US"/>
        </w:rPr>
        <w:t xml:space="preserve"> </w:t>
      </w:r>
    </w:p>
    <w:p w:rsidR="00D37DEF" w:rsidRDefault="00BC30D3" w:rsidP="008F17D2">
      <w:pPr>
        <w:pStyle w:val="ListBullet"/>
        <w:rPr>
          <w:lang w:val="en-US"/>
        </w:rPr>
      </w:pPr>
      <w:r>
        <w:rPr>
          <w:lang w:val="en-US"/>
        </w:rPr>
        <w:t>R</w:t>
      </w:r>
      <w:r w:rsidR="00D37DEF" w:rsidRPr="00FC12C4">
        <w:rPr>
          <w:lang w:val="en-US"/>
        </w:rPr>
        <w:t>esearch and validation of referral information</w:t>
      </w:r>
      <w:r w:rsidR="008F17D2">
        <w:rPr>
          <w:lang w:val="en-US"/>
        </w:rPr>
        <w:t>,</w:t>
      </w:r>
      <w:r w:rsidR="00D37DEF" w:rsidRPr="00FC12C4">
        <w:rPr>
          <w:lang w:val="en-US"/>
        </w:rPr>
        <w:t xml:space="preserve"> </w:t>
      </w:r>
    </w:p>
    <w:p w:rsidR="000B573E" w:rsidRDefault="00BC30D3">
      <w:pPr>
        <w:pStyle w:val="ListBullet"/>
        <w:rPr>
          <w:lang w:val="en-US"/>
        </w:rPr>
      </w:pPr>
      <w:r>
        <w:rPr>
          <w:lang w:val="en-US"/>
        </w:rPr>
        <w:t>S</w:t>
      </w:r>
      <w:r w:rsidR="00D37DEF" w:rsidRPr="00FC12C4">
        <w:rPr>
          <w:lang w:val="en-US"/>
        </w:rPr>
        <w:t xml:space="preserve">ourcing advice from other </w:t>
      </w:r>
      <w:r w:rsidR="001C2CB2">
        <w:rPr>
          <w:lang w:val="en-US"/>
        </w:rPr>
        <w:t>departmental</w:t>
      </w:r>
      <w:r w:rsidR="00D37DEF" w:rsidRPr="00FC12C4">
        <w:rPr>
          <w:lang w:val="en-US"/>
        </w:rPr>
        <w:t xml:space="preserve"> areas</w:t>
      </w:r>
      <w:r w:rsidR="008F17D2">
        <w:rPr>
          <w:lang w:val="en-US"/>
        </w:rPr>
        <w:t>,</w:t>
      </w:r>
      <w:r w:rsidR="00D37DEF" w:rsidRPr="00FC12C4">
        <w:rPr>
          <w:lang w:val="en-US"/>
        </w:rPr>
        <w:t xml:space="preserve"> </w:t>
      </w:r>
    </w:p>
    <w:p w:rsidR="000B573E" w:rsidRDefault="00BC30D3">
      <w:pPr>
        <w:pStyle w:val="ListBullet"/>
        <w:rPr>
          <w:lang w:val="en-US"/>
        </w:rPr>
      </w:pPr>
      <w:r>
        <w:rPr>
          <w:lang w:val="en-US"/>
        </w:rPr>
        <w:t>P</w:t>
      </w:r>
      <w:r w:rsidR="00D37DEF" w:rsidRPr="00FC12C4">
        <w:rPr>
          <w:lang w:val="en-US"/>
        </w:rPr>
        <w:t xml:space="preserve">reparation of advice to the Minister or </w:t>
      </w:r>
      <w:r w:rsidR="00D37DEF">
        <w:rPr>
          <w:lang w:val="en-US"/>
        </w:rPr>
        <w:t xml:space="preserve">the </w:t>
      </w:r>
      <w:r w:rsidR="00D37DEF" w:rsidRPr="00FC12C4">
        <w:rPr>
          <w:lang w:val="en-US"/>
        </w:rPr>
        <w:t>delegate</w:t>
      </w:r>
      <w:r w:rsidR="008F17D2">
        <w:rPr>
          <w:lang w:val="en-US"/>
        </w:rPr>
        <w:t>,</w:t>
      </w:r>
      <w:r w:rsidR="00D37DEF" w:rsidRPr="00FC12C4">
        <w:rPr>
          <w:lang w:val="en-US"/>
        </w:rPr>
        <w:t xml:space="preserve"> </w:t>
      </w:r>
    </w:p>
    <w:p w:rsidR="000B573E" w:rsidRDefault="00BC30D3">
      <w:pPr>
        <w:pStyle w:val="ListBullet"/>
        <w:rPr>
          <w:lang w:val="en-US"/>
        </w:rPr>
      </w:pPr>
      <w:r>
        <w:rPr>
          <w:lang w:val="en-US"/>
        </w:rPr>
        <w:t>C</w:t>
      </w:r>
      <w:r w:rsidR="00D37DEF">
        <w:rPr>
          <w:lang w:val="en-US"/>
        </w:rPr>
        <w:t>onsideration of advice</w:t>
      </w:r>
      <w:r w:rsidR="008F17D2">
        <w:rPr>
          <w:lang w:val="en-US"/>
        </w:rPr>
        <w:t>,</w:t>
      </w:r>
      <w:r w:rsidR="00D37DEF" w:rsidRPr="00FC12C4">
        <w:rPr>
          <w:lang w:val="en-US"/>
        </w:rPr>
        <w:t xml:space="preserve"> </w:t>
      </w:r>
    </w:p>
    <w:p w:rsidR="000B573E" w:rsidRDefault="00BC30D3">
      <w:pPr>
        <w:pStyle w:val="ListBullet"/>
        <w:rPr>
          <w:lang w:val="en-US"/>
        </w:rPr>
      </w:pPr>
      <w:r>
        <w:rPr>
          <w:lang w:val="en-US"/>
        </w:rPr>
        <w:t>D</w:t>
      </w:r>
      <w:r w:rsidR="00D37DEF" w:rsidRPr="00FC12C4">
        <w:rPr>
          <w:lang w:val="en-US"/>
        </w:rPr>
        <w:t>ecision notification</w:t>
      </w:r>
      <w:r w:rsidR="008F17D2">
        <w:rPr>
          <w:lang w:val="en-US"/>
        </w:rPr>
        <w:t>,</w:t>
      </w:r>
      <w:r w:rsidR="00D37DEF" w:rsidRPr="00FC12C4">
        <w:rPr>
          <w:lang w:val="en-US"/>
        </w:rPr>
        <w:t xml:space="preserve"> and </w:t>
      </w:r>
    </w:p>
    <w:p w:rsidR="00D37DEF" w:rsidRDefault="00BC30D3">
      <w:pPr>
        <w:pStyle w:val="ListBullet"/>
        <w:rPr>
          <w:lang w:val="en-US"/>
        </w:rPr>
      </w:pPr>
      <w:r>
        <w:rPr>
          <w:lang w:val="en-US"/>
        </w:rPr>
        <w:t>D</w:t>
      </w:r>
      <w:r w:rsidR="00D37DEF" w:rsidRPr="00FC12C4">
        <w:rPr>
          <w:lang w:val="en-US"/>
        </w:rPr>
        <w:t xml:space="preserve">atabase input. </w:t>
      </w:r>
    </w:p>
    <w:p w:rsidR="00BE1C9D" w:rsidRDefault="00BE1C9D">
      <w:pPr>
        <w:spacing w:after="0" w:line="240" w:lineRule="auto"/>
        <w:rPr>
          <w:lang w:val="en-US"/>
        </w:rPr>
      </w:pPr>
      <w:r>
        <w:rPr>
          <w:lang w:val="en-US"/>
        </w:rPr>
        <w:br w:type="page"/>
      </w:r>
    </w:p>
    <w:p w:rsidR="000B573E" w:rsidRDefault="001F12F2">
      <w:pPr>
        <w:rPr>
          <w:lang w:val="en-US"/>
        </w:rPr>
      </w:pPr>
      <w:r>
        <w:rPr>
          <w:lang w:val="en-US"/>
        </w:rPr>
        <w:lastRenderedPageBreak/>
        <w:t>The resources required for an optional pre-referral meeting are included in the referral costs because if no pre-referral meeting occurs, the Department still needs to do the work to ascertain the kind of information provided in a pre-referral meeting. In other words, the work represented by the pre-referral meeting needs to occur, but it can happen before or after referral. However, t</w:t>
      </w:r>
      <w:r w:rsidR="00D37DEF">
        <w:rPr>
          <w:lang w:val="en-US"/>
        </w:rPr>
        <w:t xml:space="preserve">here will be no </w:t>
      </w:r>
      <w:r>
        <w:rPr>
          <w:lang w:val="en-US"/>
        </w:rPr>
        <w:t xml:space="preserve">standalone </w:t>
      </w:r>
      <w:r w:rsidR="00D37DEF">
        <w:rPr>
          <w:lang w:val="en-US"/>
        </w:rPr>
        <w:t>fee imposed for a pre-referral meeting,</w:t>
      </w:r>
      <w:r>
        <w:rPr>
          <w:lang w:val="en-US"/>
        </w:rPr>
        <w:t xml:space="preserve"> where that meeting does not result in a referral. </w:t>
      </w:r>
      <w:r w:rsidR="00D37DEF">
        <w:rPr>
          <w:lang w:val="en-US"/>
        </w:rPr>
        <w:t xml:space="preserve"> A summary of the referral costs is outlined </w:t>
      </w:r>
      <w:r w:rsidR="00D37DEF" w:rsidRPr="004E31D9">
        <w:rPr>
          <w:lang w:val="en-US"/>
        </w:rPr>
        <w:t>in</w:t>
      </w:r>
      <w:r w:rsidR="00F6797D">
        <w:rPr>
          <w:lang w:val="en-US"/>
        </w:rPr>
        <w:t xml:space="preserve"> </w:t>
      </w:r>
      <w:r w:rsidR="00D30427">
        <w:rPr>
          <w:lang w:val="en-US"/>
        </w:rPr>
        <w:fldChar w:fldCharType="begin"/>
      </w:r>
      <w:r w:rsidR="00BC30D3">
        <w:rPr>
          <w:lang w:val="en-US"/>
        </w:rPr>
        <w:instrText xml:space="preserve"> REF _Ref387067591 \h </w:instrText>
      </w:r>
      <w:r w:rsidR="00D30427">
        <w:rPr>
          <w:lang w:val="en-US"/>
        </w:rPr>
      </w:r>
      <w:r w:rsidR="00D30427">
        <w:rPr>
          <w:lang w:val="en-US"/>
        </w:rPr>
        <w:fldChar w:fldCharType="separate"/>
      </w:r>
      <w:r w:rsidR="001D521C">
        <w:t xml:space="preserve">Table </w:t>
      </w:r>
      <w:r w:rsidR="001D521C">
        <w:rPr>
          <w:noProof/>
        </w:rPr>
        <w:t>3</w:t>
      </w:r>
      <w:r w:rsidR="00D30427">
        <w:rPr>
          <w:lang w:val="en-US"/>
        </w:rPr>
        <w:fldChar w:fldCharType="end"/>
      </w:r>
      <w:r w:rsidR="00F6797D">
        <w:rPr>
          <w:lang w:val="en-US"/>
        </w:rPr>
        <w:t xml:space="preserve"> below</w:t>
      </w:r>
      <w:r w:rsidR="00D37DEF" w:rsidRPr="004E31D9">
        <w:rPr>
          <w:lang w:val="en-US"/>
        </w:rPr>
        <w:t>.</w:t>
      </w:r>
      <w:r w:rsidR="00D37DEF">
        <w:rPr>
          <w:lang w:val="en-US"/>
        </w:rPr>
        <w:t xml:space="preserve"> </w:t>
      </w:r>
    </w:p>
    <w:p w:rsidR="00791F31" w:rsidRDefault="00791F31" w:rsidP="00791F31">
      <w:pPr>
        <w:pStyle w:val="Caption"/>
        <w:rPr>
          <w:lang w:val="en-US"/>
        </w:rPr>
      </w:pPr>
      <w:bookmarkStart w:id="325" w:name="_Ref387067591"/>
      <w:bookmarkStart w:id="326" w:name="_Toc387069802"/>
      <w:bookmarkStart w:id="327" w:name="_Toc387073264"/>
      <w:bookmarkStart w:id="328" w:name="_Toc391541647"/>
      <w:proofErr w:type="gramStart"/>
      <w:r>
        <w:t xml:space="preserve">Table </w:t>
      </w:r>
      <w:r w:rsidR="00D30427">
        <w:fldChar w:fldCharType="begin"/>
      </w:r>
      <w:r w:rsidR="00B06D9E">
        <w:instrText xml:space="preserve"> SEQ Table \* ARABIC </w:instrText>
      </w:r>
      <w:r w:rsidR="00D30427">
        <w:fldChar w:fldCharType="separate"/>
      </w:r>
      <w:r w:rsidR="001D521C">
        <w:rPr>
          <w:noProof/>
        </w:rPr>
        <w:t>3</w:t>
      </w:r>
      <w:r w:rsidR="00D30427">
        <w:fldChar w:fldCharType="end"/>
      </w:r>
      <w:bookmarkEnd w:id="325"/>
      <w:r>
        <w:t>.</w:t>
      </w:r>
      <w:proofErr w:type="gramEnd"/>
      <w:r>
        <w:t xml:space="preserve"> </w:t>
      </w:r>
      <w:r w:rsidRPr="00D21651">
        <w:t>Summary of referral costs</w:t>
      </w:r>
      <w:r>
        <w:t>.</w:t>
      </w:r>
      <w:bookmarkEnd w:id="326"/>
      <w:bookmarkEnd w:id="327"/>
      <w:bookmarkEnd w:id="328"/>
    </w:p>
    <w:tbl>
      <w:tblPr>
        <w:tblW w:w="8794" w:type="dxa"/>
        <w:tblInd w:w="10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tblPr>
      <w:tblGrid>
        <w:gridCol w:w="2720"/>
        <w:gridCol w:w="1963"/>
        <w:gridCol w:w="2126"/>
        <w:gridCol w:w="1985"/>
      </w:tblGrid>
      <w:tr w:rsidR="00D37DEF" w:rsidRPr="002F0F53" w:rsidTr="00CB2752">
        <w:trPr>
          <w:trHeight w:val="706"/>
        </w:trPr>
        <w:tc>
          <w:tcPr>
            <w:tcW w:w="2720" w:type="dxa"/>
            <w:tcBorders>
              <w:top w:val="single" w:sz="4" w:space="0" w:color="548DD4" w:themeColor="text2" w:themeTint="99"/>
              <w:left w:val="single" w:sz="4" w:space="0" w:color="548DD4" w:themeColor="text2" w:themeTint="99"/>
              <w:bottom w:val="single" w:sz="4" w:space="0" w:color="8DB3E2" w:themeColor="text2" w:themeTint="66"/>
            </w:tcBorders>
            <w:shd w:val="clear" w:color="auto" w:fill="C6D9F1" w:themeFill="text2" w:themeFillTint="33"/>
            <w:vAlign w:val="center"/>
            <w:hideMark/>
          </w:tcPr>
          <w:p w:rsidR="00D37DEF" w:rsidRPr="002F0F53" w:rsidRDefault="00D37DEF" w:rsidP="003A1E94">
            <w:pPr>
              <w:jc w:val="center"/>
              <w:rPr>
                <w:b/>
                <w:sz w:val="20"/>
                <w:szCs w:val="20"/>
                <w:lang w:eastAsia="en-AU"/>
              </w:rPr>
            </w:pPr>
            <w:r w:rsidRPr="005D13D6">
              <w:rPr>
                <w:b/>
                <w:sz w:val="20"/>
                <w:szCs w:val="20"/>
                <w:lang w:eastAsia="en-AU"/>
              </w:rPr>
              <w:t>Activity</w:t>
            </w:r>
          </w:p>
        </w:tc>
        <w:tc>
          <w:tcPr>
            <w:tcW w:w="1963" w:type="dxa"/>
            <w:tcBorders>
              <w:top w:val="single" w:sz="4" w:space="0" w:color="548DD4" w:themeColor="text2" w:themeTint="99"/>
              <w:bottom w:val="single" w:sz="4" w:space="0" w:color="8DB3E2" w:themeColor="text2" w:themeTint="66"/>
            </w:tcBorders>
            <w:shd w:val="clear" w:color="auto" w:fill="C6D9F1" w:themeFill="text2" w:themeFillTint="33"/>
            <w:vAlign w:val="center"/>
            <w:hideMark/>
          </w:tcPr>
          <w:p w:rsidR="00D37DEF" w:rsidRPr="002F0F53" w:rsidRDefault="00D37DEF" w:rsidP="003A1E94">
            <w:pPr>
              <w:jc w:val="center"/>
              <w:rPr>
                <w:b/>
                <w:sz w:val="20"/>
                <w:szCs w:val="20"/>
                <w:lang w:eastAsia="en-AU"/>
              </w:rPr>
            </w:pPr>
            <w:r w:rsidRPr="005D13D6">
              <w:rPr>
                <w:b/>
                <w:sz w:val="20"/>
                <w:szCs w:val="20"/>
                <w:lang w:eastAsia="en-AU"/>
              </w:rPr>
              <w:t>Base costs</w:t>
            </w:r>
            <w:r w:rsidRPr="005D13D6">
              <w:rPr>
                <w:b/>
                <w:sz w:val="20"/>
                <w:szCs w:val="20"/>
                <w:lang w:eastAsia="en-AU"/>
              </w:rPr>
              <w:br/>
              <w:t xml:space="preserve"> (A)</w:t>
            </w:r>
          </w:p>
        </w:tc>
        <w:tc>
          <w:tcPr>
            <w:tcW w:w="2126" w:type="dxa"/>
            <w:tcBorders>
              <w:top w:val="single" w:sz="4" w:space="0" w:color="548DD4" w:themeColor="text2" w:themeTint="99"/>
              <w:bottom w:val="single" w:sz="4" w:space="0" w:color="8DB3E2" w:themeColor="text2" w:themeTint="66"/>
            </w:tcBorders>
            <w:shd w:val="clear" w:color="auto" w:fill="C6D9F1" w:themeFill="text2" w:themeFillTint="33"/>
            <w:vAlign w:val="center"/>
            <w:hideMark/>
          </w:tcPr>
          <w:p w:rsidR="00D37DEF" w:rsidRDefault="00D37DEF" w:rsidP="003A1E94">
            <w:pPr>
              <w:jc w:val="center"/>
              <w:rPr>
                <w:b/>
                <w:sz w:val="20"/>
                <w:szCs w:val="20"/>
                <w:lang w:eastAsia="en-AU"/>
              </w:rPr>
            </w:pPr>
            <w:r w:rsidRPr="005D13D6">
              <w:rPr>
                <w:b/>
                <w:sz w:val="20"/>
                <w:szCs w:val="20"/>
                <w:lang w:eastAsia="en-AU"/>
              </w:rPr>
              <w:t xml:space="preserve">Complexity costs </w:t>
            </w:r>
          </w:p>
          <w:p w:rsidR="00D37DEF" w:rsidRPr="002F0F53" w:rsidRDefault="00D37DEF" w:rsidP="003A1E94">
            <w:pPr>
              <w:jc w:val="center"/>
              <w:rPr>
                <w:b/>
                <w:bCs/>
                <w:sz w:val="20"/>
                <w:szCs w:val="20"/>
                <w:lang w:eastAsia="en-AU"/>
              </w:rPr>
            </w:pPr>
            <w:r w:rsidRPr="005D13D6">
              <w:rPr>
                <w:b/>
                <w:sz w:val="20"/>
                <w:szCs w:val="20"/>
                <w:lang w:eastAsia="en-AU"/>
              </w:rPr>
              <w:t>(</w:t>
            </w:r>
            <w:r>
              <w:rPr>
                <w:b/>
                <w:sz w:val="20"/>
                <w:szCs w:val="20"/>
                <w:lang w:eastAsia="en-AU"/>
              </w:rPr>
              <w:t>B</w:t>
            </w:r>
            <w:r w:rsidRPr="005D13D6">
              <w:rPr>
                <w:b/>
                <w:sz w:val="20"/>
                <w:szCs w:val="20"/>
                <w:lang w:eastAsia="en-AU"/>
              </w:rPr>
              <w:t>)</w:t>
            </w:r>
          </w:p>
        </w:tc>
        <w:tc>
          <w:tcPr>
            <w:tcW w:w="1985" w:type="dxa"/>
            <w:tcBorders>
              <w:top w:val="single" w:sz="4" w:space="0" w:color="548DD4" w:themeColor="text2" w:themeTint="99"/>
              <w:bottom w:val="single" w:sz="4" w:space="0" w:color="8DB3E2" w:themeColor="text2" w:themeTint="66"/>
              <w:right w:val="single" w:sz="4" w:space="0" w:color="548DD4" w:themeColor="text2" w:themeTint="99"/>
            </w:tcBorders>
            <w:shd w:val="clear" w:color="auto" w:fill="C6D9F1" w:themeFill="text2" w:themeFillTint="33"/>
            <w:vAlign w:val="center"/>
            <w:hideMark/>
          </w:tcPr>
          <w:p w:rsidR="00D37DEF" w:rsidRPr="002F0F53" w:rsidRDefault="00D37DEF" w:rsidP="003A1E94">
            <w:pPr>
              <w:jc w:val="center"/>
              <w:rPr>
                <w:b/>
                <w:sz w:val="20"/>
                <w:szCs w:val="20"/>
                <w:lang w:eastAsia="en-AU"/>
              </w:rPr>
            </w:pPr>
            <w:r w:rsidRPr="005D13D6">
              <w:rPr>
                <w:b/>
                <w:sz w:val="20"/>
                <w:szCs w:val="20"/>
                <w:lang w:eastAsia="en-AU"/>
              </w:rPr>
              <w:t>Total fee</w:t>
            </w:r>
            <w:r w:rsidRPr="005D13D6">
              <w:rPr>
                <w:b/>
                <w:sz w:val="20"/>
                <w:szCs w:val="20"/>
                <w:lang w:eastAsia="en-AU"/>
              </w:rPr>
              <w:br/>
              <w:t xml:space="preserve"> (A) + (B)</w:t>
            </w:r>
          </w:p>
        </w:tc>
      </w:tr>
      <w:tr w:rsidR="00D37DEF" w:rsidRPr="00EB2D25" w:rsidTr="00CB2752">
        <w:trPr>
          <w:trHeight w:val="300"/>
        </w:trPr>
        <w:tc>
          <w:tcPr>
            <w:tcW w:w="2720" w:type="dxa"/>
            <w:tcBorders>
              <w:top w:val="single" w:sz="4" w:space="0" w:color="8DB3E2" w:themeColor="text2" w:themeTint="66"/>
              <w:left w:val="single" w:sz="4" w:space="0" w:color="548DD4" w:themeColor="text2" w:themeTint="99"/>
              <w:bottom w:val="single" w:sz="4" w:space="0" w:color="548DD4" w:themeColor="text2" w:themeTint="99"/>
              <w:right w:val="nil"/>
            </w:tcBorders>
            <w:shd w:val="clear" w:color="auto" w:fill="auto"/>
            <w:vAlign w:val="center"/>
            <w:hideMark/>
          </w:tcPr>
          <w:p w:rsidR="00D37DEF" w:rsidRDefault="00D37DEF" w:rsidP="003A1E94">
            <w:pPr>
              <w:rPr>
                <w:sz w:val="20"/>
                <w:szCs w:val="20"/>
                <w:lang w:eastAsia="en-AU"/>
              </w:rPr>
            </w:pPr>
            <w:r w:rsidRPr="00EB2D25">
              <w:rPr>
                <w:sz w:val="20"/>
                <w:szCs w:val="20"/>
                <w:lang w:eastAsia="en-AU"/>
              </w:rPr>
              <w:t>Referral</w:t>
            </w:r>
          </w:p>
        </w:tc>
        <w:tc>
          <w:tcPr>
            <w:tcW w:w="1963" w:type="dxa"/>
            <w:tcBorders>
              <w:top w:val="single" w:sz="4" w:space="0" w:color="8DB3E2" w:themeColor="text2" w:themeTint="66"/>
              <w:left w:val="nil"/>
              <w:bottom w:val="single" w:sz="4" w:space="0" w:color="548DD4" w:themeColor="text2" w:themeTint="99"/>
              <w:right w:val="nil"/>
            </w:tcBorders>
            <w:shd w:val="clear" w:color="auto" w:fill="auto"/>
            <w:noWrap/>
            <w:vAlign w:val="center"/>
            <w:hideMark/>
          </w:tcPr>
          <w:p w:rsidR="00D37DEF" w:rsidRPr="00EB2D25" w:rsidRDefault="00D37DEF" w:rsidP="003A1E94">
            <w:pPr>
              <w:jc w:val="center"/>
              <w:rPr>
                <w:sz w:val="20"/>
                <w:szCs w:val="20"/>
                <w:lang w:eastAsia="en-AU"/>
              </w:rPr>
            </w:pPr>
            <w:r w:rsidRPr="00A258A5">
              <w:rPr>
                <w:sz w:val="20"/>
                <w:szCs w:val="20"/>
                <w:lang w:eastAsia="en-AU"/>
              </w:rPr>
              <w:t>$7,</w:t>
            </w:r>
            <w:r w:rsidR="00A258A5" w:rsidRPr="00A258A5">
              <w:rPr>
                <w:sz w:val="20"/>
                <w:szCs w:val="20"/>
                <w:lang w:eastAsia="en-AU"/>
              </w:rPr>
              <w:t>352</w:t>
            </w:r>
          </w:p>
        </w:tc>
        <w:tc>
          <w:tcPr>
            <w:tcW w:w="2126" w:type="dxa"/>
            <w:tcBorders>
              <w:top w:val="single" w:sz="4" w:space="0" w:color="8DB3E2" w:themeColor="text2" w:themeTint="66"/>
              <w:left w:val="nil"/>
              <w:bottom w:val="single" w:sz="4" w:space="0" w:color="548DD4" w:themeColor="text2" w:themeTint="99"/>
              <w:right w:val="nil"/>
            </w:tcBorders>
            <w:shd w:val="clear" w:color="auto" w:fill="auto"/>
            <w:noWrap/>
            <w:vAlign w:val="center"/>
            <w:hideMark/>
          </w:tcPr>
          <w:p w:rsidR="00D37DEF" w:rsidRPr="00EB2D25" w:rsidRDefault="00D37DEF" w:rsidP="003A1E94">
            <w:pPr>
              <w:jc w:val="center"/>
              <w:rPr>
                <w:sz w:val="20"/>
                <w:szCs w:val="20"/>
                <w:lang w:eastAsia="en-AU"/>
              </w:rPr>
            </w:pPr>
            <w:r w:rsidRPr="00EB2D25">
              <w:rPr>
                <w:sz w:val="20"/>
                <w:szCs w:val="20"/>
                <w:lang w:eastAsia="en-AU"/>
              </w:rPr>
              <w:t>N/A</w:t>
            </w:r>
          </w:p>
        </w:tc>
        <w:tc>
          <w:tcPr>
            <w:tcW w:w="1985" w:type="dxa"/>
            <w:tcBorders>
              <w:top w:val="single" w:sz="4" w:space="0" w:color="8DB3E2" w:themeColor="text2" w:themeTint="66"/>
              <w:left w:val="nil"/>
              <w:bottom w:val="single" w:sz="4" w:space="0" w:color="548DD4" w:themeColor="text2" w:themeTint="99"/>
              <w:right w:val="single" w:sz="4" w:space="0" w:color="548DD4" w:themeColor="text2" w:themeTint="99"/>
            </w:tcBorders>
            <w:shd w:val="clear" w:color="auto" w:fill="auto"/>
            <w:noWrap/>
            <w:vAlign w:val="center"/>
            <w:hideMark/>
          </w:tcPr>
          <w:p w:rsidR="00D37DEF" w:rsidRPr="00EB2D25" w:rsidRDefault="00D37DEF" w:rsidP="003A1E94">
            <w:pPr>
              <w:jc w:val="center"/>
              <w:rPr>
                <w:sz w:val="20"/>
                <w:szCs w:val="20"/>
                <w:lang w:eastAsia="en-AU"/>
              </w:rPr>
            </w:pPr>
            <w:r w:rsidRPr="00A258A5">
              <w:rPr>
                <w:sz w:val="20"/>
                <w:szCs w:val="20"/>
                <w:lang w:eastAsia="en-AU"/>
              </w:rPr>
              <w:t>$7,</w:t>
            </w:r>
            <w:r w:rsidR="00A258A5" w:rsidRPr="00A258A5">
              <w:rPr>
                <w:sz w:val="20"/>
                <w:szCs w:val="20"/>
                <w:lang w:eastAsia="en-AU"/>
              </w:rPr>
              <w:t>352</w:t>
            </w:r>
          </w:p>
        </w:tc>
      </w:tr>
    </w:tbl>
    <w:p w:rsidR="00ED1FE5" w:rsidRDefault="00ED1FE5" w:rsidP="00ED1FE5"/>
    <w:p w:rsidR="00D37DEF" w:rsidRDefault="00D37DEF" w:rsidP="00D37DEF">
      <w:pPr>
        <w:pStyle w:val="Heading3"/>
        <w:spacing w:before="200"/>
      </w:pPr>
      <w:bookmarkStart w:id="329" w:name="_Toc391541584"/>
      <w:r>
        <w:t>Assessment processes</w:t>
      </w:r>
      <w:bookmarkEnd w:id="329"/>
    </w:p>
    <w:p w:rsidR="00D37DEF" w:rsidRDefault="00D37DEF" w:rsidP="00D37DEF">
      <w:r>
        <w:t xml:space="preserve">The standard assessment process for environmental impact assessment is shown </w:t>
      </w:r>
      <w:r w:rsidR="00F339ED">
        <w:t xml:space="preserve">in </w:t>
      </w:r>
      <w:r w:rsidR="00D30427">
        <w:fldChar w:fldCharType="begin"/>
      </w:r>
      <w:r w:rsidR="00BC30D3">
        <w:instrText xml:space="preserve"> REF _Ref387067612 \h </w:instrText>
      </w:r>
      <w:r w:rsidR="00D30427">
        <w:fldChar w:fldCharType="separate"/>
      </w:r>
      <w:r w:rsidR="001D521C">
        <w:t xml:space="preserve">Figure </w:t>
      </w:r>
      <w:r w:rsidR="001D521C">
        <w:rPr>
          <w:noProof/>
        </w:rPr>
        <w:t>8</w:t>
      </w:r>
      <w:r w:rsidR="00D30427">
        <w:fldChar w:fldCharType="end"/>
      </w:r>
      <w:r>
        <w:t xml:space="preserve"> below.</w:t>
      </w:r>
    </w:p>
    <w:p w:rsidR="0061383F" w:rsidRDefault="00526118" w:rsidP="0061383F">
      <w:pPr>
        <w:keepNext/>
      </w:pPr>
      <w:r>
        <w:rPr>
          <w:noProof/>
          <w:lang w:eastAsia="en-AU"/>
        </w:rPr>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5941060" cy="1576070"/>
            <wp:effectExtent l="19050" t="0" r="2540" b="0"/>
            <wp:wrapNone/>
            <wp:docPr id="2303" name="Picture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3"/>
                    <pic:cNvPicPr>
                      <a:picLocks noChangeAspect="1" noChangeArrowheads="1"/>
                    </pic:cNvPicPr>
                  </pic:nvPicPr>
                  <pic:blipFill>
                    <a:blip r:embed="rId34" cstate="print"/>
                    <a:srcRect/>
                    <a:stretch>
                      <a:fillRect/>
                    </a:stretch>
                  </pic:blipFill>
                  <pic:spPr bwMode="auto">
                    <a:xfrm>
                      <a:off x="0" y="0"/>
                      <a:ext cx="5941060" cy="1576070"/>
                    </a:xfrm>
                    <a:prstGeom prst="rect">
                      <a:avLst/>
                    </a:prstGeom>
                    <a:noFill/>
                    <a:ln w="9525">
                      <a:noFill/>
                      <a:miter lim="800000"/>
                      <a:headEnd/>
                      <a:tailEnd/>
                    </a:ln>
                  </pic:spPr>
                </pic:pic>
              </a:graphicData>
            </a:graphic>
          </wp:anchor>
        </w:drawing>
      </w:r>
    </w:p>
    <w:p w:rsidR="00526118" w:rsidRDefault="00526118" w:rsidP="0061383F">
      <w:pPr>
        <w:keepNext/>
      </w:pPr>
    </w:p>
    <w:p w:rsidR="00526118" w:rsidRDefault="00526118" w:rsidP="0061383F">
      <w:pPr>
        <w:keepNext/>
      </w:pPr>
    </w:p>
    <w:p w:rsidR="00526118" w:rsidRDefault="00526118" w:rsidP="0061383F">
      <w:pPr>
        <w:keepNext/>
      </w:pPr>
    </w:p>
    <w:p w:rsidR="00526118" w:rsidRDefault="00526118" w:rsidP="0061383F">
      <w:pPr>
        <w:keepNext/>
      </w:pPr>
    </w:p>
    <w:p w:rsidR="00526118" w:rsidRDefault="00526118" w:rsidP="0061383F">
      <w:pPr>
        <w:keepNext/>
      </w:pPr>
    </w:p>
    <w:p w:rsidR="00E912AB" w:rsidRDefault="00E912AB" w:rsidP="00E912AB">
      <w:pPr>
        <w:pStyle w:val="Caption"/>
        <w:rPr>
          <w:lang w:val="en-US"/>
        </w:rPr>
      </w:pPr>
      <w:bookmarkStart w:id="330" w:name="_Ref387067612"/>
      <w:bookmarkStart w:id="331" w:name="_Toc387072713"/>
      <w:bookmarkStart w:id="332" w:name="_Toc391541637"/>
      <w:proofErr w:type="gramStart"/>
      <w:r>
        <w:t xml:space="preserve">Figure </w:t>
      </w:r>
      <w:r w:rsidR="00D30427">
        <w:fldChar w:fldCharType="begin"/>
      </w:r>
      <w:r w:rsidR="004D02C2">
        <w:instrText xml:space="preserve"> SEQ Figure \* ARABIC </w:instrText>
      </w:r>
      <w:r w:rsidR="00D30427">
        <w:fldChar w:fldCharType="separate"/>
      </w:r>
      <w:r w:rsidR="001D521C">
        <w:rPr>
          <w:noProof/>
        </w:rPr>
        <w:t>8</w:t>
      </w:r>
      <w:r w:rsidR="00D30427">
        <w:fldChar w:fldCharType="end"/>
      </w:r>
      <w:bookmarkEnd w:id="330"/>
      <w:r>
        <w:t>.</w:t>
      </w:r>
      <w:proofErr w:type="gramEnd"/>
      <w:r>
        <w:t xml:space="preserve"> </w:t>
      </w:r>
      <w:r w:rsidRPr="001157CE">
        <w:t>The standard assessment process</w:t>
      </w:r>
      <w:r w:rsidR="00F339ED">
        <w:t>es</w:t>
      </w:r>
      <w:r w:rsidRPr="001157CE">
        <w:t xml:space="preserve"> for environmental impact assessment</w:t>
      </w:r>
      <w:bookmarkEnd w:id="331"/>
      <w:bookmarkEnd w:id="332"/>
    </w:p>
    <w:p w:rsidR="0061383F" w:rsidRDefault="0061383F" w:rsidP="0061383F">
      <w:pPr>
        <w:rPr>
          <w:lang w:val="en-US"/>
        </w:rPr>
      </w:pPr>
      <w:r w:rsidRPr="00FC12C4">
        <w:rPr>
          <w:lang w:val="en-US"/>
        </w:rPr>
        <w:t xml:space="preserve">If the </w:t>
      </w:r>
      <w:r w:rsidR="001F12F2">
        <w:rPr>
          <w:lang w:val="en-US"/>
        </w:rPr>
        <w:t xml:space="preserve">Minister decides that the </w:t>
      </w:r>
      <w:r w:rsidRPr="00FC12C4">
        <w:rPr>
          <w:lang w:val="en-US"/>
        </w:rPr>
        <w:t>proposed action requires assessment under the EPBC Act</w:t>
      </w:r>
      <w:r>
        <w:rPr>
          <w:lang w:val="en-US"/>
        </w:rPr>
        <w:t>,</w:t>
      </w:r>
      <w:r w:rsidRPr="00FC12C4">
        <w:rPr>
          <w:lang w:val="en-US"/>
        </w:rPr>
        <w:t xml:space="preserve"> the </w:t>
      </w:r>
      <w:r w:rsidR="001F12F2">
        <w:rPr>
          <w:lang w:val="en-US"/>
        </w:rPr>
        <w:t xml:space="preserve">Department </w:t>
      </w:r>
      <w:r w:rsidR="000C5CBC">
        <w:rPr>
          <w:lang w:val="en-US"/>
        </w:rPr>
        <w:t>notifies</w:t>
      </w:r>
      <w:r w:rsidR="001F12F2">
        <w:rPr>
          <w:lang w:val="en-US"/>
        </w:rPr>
        <w:t xml:space="preserve"> the </w:t>
      </w:r>
      <w:r w:rsidR="00B64DB5">
        <w:rPr>
          <w:lang w:val="en-US"/>
        </w:rPr>
        <w:t>applicant</w:t>
      </w:r>
      <w:r w:rsidRPr="00FC12C4">
        <w:rPr>
          <w:lang w:val="en-US"/>
        </w:rPr>
        <w:t xml:space="preserve"> of the assessment approach decision. The </w:t>
      </w:r>
      <w:r w:rsidR="00C16300">
        <w:rPr>
          <w:lang w:val="en-US"/>
        </w:rPr>
        <w:t>Department</w:t>
      </w:r>
      <w:r w:rsidRPr="00FC12C4">
        <w:rPr>
          <w:lang w:val="en-US"/>
        </w:rPr>
        <w:t xml:space="preserve"> </w:t>
      </w:r>
      <w:r w:rsidR="001F12F2">
        <w:rPr>
          <w:lang w:val="en-US"/>
        </w:rPr>
        <w:t xml:space="preserve">at this point </w:t>
      </w:r>
      <w:r>
        <w:rPr>
          <w:lang w:val="en-US"/>
        </w:rPr>
        <w:t>provide</w:t>
      </w:r>
      <w:r w:rsidR="000C5CBC">
        <w:rPr>
          <w:lang w:val="en-US"/>
        </w:rPr>
        <w:t>s</w:t>
      </w:r>
      <w:r w:rsidRPr="00FC12C4">
        <w:rPr>
          <w:lang w:val="en-US"/>
        </w:rPr>
        <w:t xml:space="preserve"> the </w:t>
      </w:r>
      <w:r w:rsidR="00B64DB5">
        <w:rPr>
          <w:lang w:val="en-US"/>
        </w:rPr>
        <w:t>applicant</w:t>
      </w:r>
      <w:r w:rsidRPr="00FC12C4">
        <w:rPr>
          <w:lang w:val="en-US"/>
        </w:rPr>
        <w:t xml:space="preserve"> </w:t>
      </w:r>
      <w:r>
        <w:rPr>
          <w:lang w:val="en-US"/>
        </w:rPr>
        <w:t xml:space="preserve">with an estimate of maximum applicable </w:t>
      </w:r>
      <w:r w:rsidRPr="00FC12C4">
        <w:rPr>
          <w:lang w:val="en-US"/>
        </w:rPr>
        <w:t xml:space="preserve">assessment fees. </w:t>
      </w:r>
      <w:r w:rsidR="001F12F2">
        <w:rPr>
          <w:lang w:val="en-US"/>
        </w:rPr>
        <w:t>The applicant must pay the a</w:t>
      </w:r>
      <w:r w:rsidRPr="00FC12C4">
        <w:rPr>
          <w:lang w:val="en-US"/>
        </w:rPr>
        <w:t xml:space="preserve">ssessment fees </w:t>
      </w:r>
      <w:r>
        <w:rPr>
          <w:lang w:val="en-US"/>
        </w:rPr>
        <w:t>prior to commencing</w:t>
      </w:r>
      <w:r w:rsidRPr="00FC12C4">
        <w:rPr>
          <w:lang w:val="en-US"/>
        </w:rPr>
        <w:t xml:space="preserve"> each </w:t>
      </w:r>
      <w:r>
        <w:rPr>
          <w:lang w:val="en-US"/>
        </w:rPr>
        <w:t xml:space="preserve">relevant </w:t>
      </w:r>
      <w:r w:rsidRPr="00FC12C4">
        <w:rPr>
          <w:lang w:val="en-US"/>
        </w:rPr>
        <w:t>stage of the assessment process</w:t>
      </w:r>
      <w:r w:rsidR="00501708">
        <w:rPr>
          <w:lang w:val="en-US"/>
        </w:rPr>
        <w:t>, or the assessment will ‘pause’ until the fee is paid.</w:t>
      </w:r>
      <w:r>
        <w:rPr>
          <w:lang w:val="en-US"/>
        </w:rPr>
        <w:t xml:space="preserve"> </w:t>
      </w:r>
      <w:r w:rsidR="00501708">
        <w:rPr>
          <w:lang w:val="en-US"/>
        </w:rPr>
        <w:t xml:space="preserve">The fees for each stage </w:t>
      </w:r>
      <w:r>
        <w:rPr>
          <w:lang w:val="en-US"/>
        </w:rPr>
        <w:t>will be</w:t>
      </w:r>
      <w:r w:rsidRPr="00FC12C4">
        <w:rPr>
          <w:lang w:val="en-US"/>
        </w:rPr>
        <w:t xml:space="preserve"> commensurate with the work required at that stage. If a</w:t>
      </w:r>
      <w:r w:rsidR="00B64DB5">
        <w:rPr>
          <w:lang w:val="en-US"/>
        </w:rPr>
        <w:t>n</w:t>
      </w:r>
      <w:r w:rsidRPr="00FC12C4">
        <w:rPr>
          <w:lang w:val="en-US"/>
        </w:rPr>
        <w:t xml:space="preserve"> </w:t>
      </w:r>
      <w:r w:rsidR="00B64DB5">
        <w:rPr>
          <w:lang w:val="en-US"/>
        </w:rPr>
        <w:t>applicant</w:t>
      </w:r>
      <w:r w:rsidRPr="00FC12C4">
        <w:rPr>
          <w:lang w:val="en-US"/>
        </w:rPr>
        <w:t xml:space="preserve"> </w:t>
      </w:r>
      <w:r>
        <w:rPr>
          <w:lang w:val="en-US"/>
        </w:rPr>
        <w:t xml:space="preserve">cancels or </w:t>
      </w:r>
      <w:r w:rsidRPr="00FC12C4">
        <w:rPr>
          <w:lang w:val="en-US"/>
        </w:rPr>
        <w:t>withdraw</w:t>
      </w:r>
      <w:r>
        <w:rPr>
          <w:lang w:val="en-US"/>
        </w:rPr>
        <w:t>s</w:t>
      </w:r>
      <w:r w:rsidRPr="00FC12C4">
        <w:rPr>
          <w:lang w:val="en-US"/>
        </w:rPr>
        <w:t xml:space="preserve"> a proposed action at any stage</w:t>
      </w:r>
      <w:r>
        <w:rPr>
          <w:lang w:val="en-US"/>
        </w:rPr>
        <w:t xml:space="preserve"> of the assessment,</w:t>
      </w:r>
      <w:r w:rsidRPr="00FC12C4">
        <w:rPr>
          <w:lang w:val="en-US"/>
        </w:rPr>
        <w:t xml:space="preserve"> the </w:t>
      </w:r>
      <w:r w:rsidR="00501708">
        <w:rPr>
          <w:lang w:val="en-US"/>
        </w:rPr>
        <w:t>applicant will not need to pay any</w:t>
      </w:r>
      <w:r w:rsidRPr="00FC12C4">
        <w:rPr>
          <w:lang w:val="en-US"/>
        </w:rPr>
        <w:t xml:space="preserve"> fees</w:t>
      </w:r>
      <w:r>
        <w:rPr>
          <w:lang w:val="en-US"/>
        </w:rPr>
        <w:t xml:space="preserve"> for subsequent stages of the assessment</w:t>
      </w:r>
      <w:r w:rsidRPr="00FC12C4">
        <w:rPr>
          <w:lang w:val="en-US"/>
        </w:rPr>
        <w:t>.</w:t>
      </w:r>
    </w:p>
    <w:p w:rsidR="00800291" w:rsidRDefault="00800291">
      <w:pPr>
        <w:spacing w:after="0" w:line="240" w:lineRule="auto"/>
        <w:rPr>
          <w:rFonts w:cs="Arial"/>
          <w:b/>
          <w:i/>
        </w:rPr>
      </w:pPr>
      <w:bookmarkStart w:id="333" w:name="_Toc343850275"/>
      <w:bookmarkStart w:id="334" w:name="_Toc344895158"/>
      <w:bookmarkStart w:id="335" w:name="_Ref344903589"/>
      <w:bookmarkStart w:id="336" w:name="_Ref344903592"/>
      <w:bookmarkStart w:id="337" w:name="_Ref344903660"/>
      <w:bookmarkStart w:id="338" w:name="_Ref344903663"/>
      <w:bookmarkStart w:id="339" w:name="_Toc346285333"/>
      <w:r>
        <w:br w:type="page"/>
      </w:r>
    </w:p>
    <w:p w:rsidR="00741E7D" w:rsidRDefault="00741E7D" w:rsidP="00741E7D">
      <w:pPr>
        <w:pStyle w:val="Heading3"/>
      </w:pPr>
      <w:bookmarkStart w:id="340" w:name="_Toc391541585"/>
      <w:r>
        <w:lastRenderedPageBreak/>
        <w:t xml:space="preserve">Assessment </w:t>
      </w:r>
      <w:r w:rsidRPr="00FC12C4" w:rsidDel="00850FF2">
        <w:t>on referral information</w:t>
      </w:r>
      <w:bookmarkEnd w:id="333"/>
      <w:bookmarkEnd w:id="334"/>
      <w:bookmarkEnd w:id="335"/>
      <w:bookmarkEnd w:id="336"/>
      <w:bookmarkEnd w:id="337"/>
      <w:bookmarkEnd w:id="338"/>
      <w:bookmarkEnd w:id="339"/>
      <w:bookmarkEnd w:id="340"/>
      <w:r w:rsidRPr="00FC12C4" w:rsidDel="00850FF2">
        <w:t xml:space="preserve"> </w:t>
      </w:r>
    </w:p>
    <w:p w:rsidR="00741E7D" w:rsidRDefault="00741E7D" w:rsidP="00741E7D">
      <w:pPr>
        <w:rPr>
          <w:lang w:val="en-US"/>
        </w:rPr>
      </w:pPr>
      <w:r>
        <w:rPr>
          <w:lang w:val="en-US"/>
        </w:rPr>
        <w:t xml:space="preserve">Base </w:t>
      </w:r>
      <w:proofErr w:type="gramStart"/>
      <w:r>
        <w:rPr>
          <w:lang w:val="en-US"/>
        </w:rPr>
        <w:t>assessment on referral information fees (i.e. for low complexity projects) are</w:t>
      </w:r>
      <w:proofErr w:type="gramEnd"/>
      <w:r>
        <w:rPr>
          <w:lang w:val="en-US"/>
        </w:rPr>
        <w:t xml:space="preserve"> based on </w:t>
      </w:r>
      <w:r w:rsidR="003B2569" w:rsidRPr="003B2569">
        <w:rPr>
          <w:lang w:val="en-US"/>
        </w:rPr>
        <w:t>14</w:t>
      </w:r>
      <w:r w:rsidR="003B2569">
        <w:rPr>
          <w:lang w:val="en-US"/>
        </w:rPr>
        <w:t> </w:t>
      </w:r>
      <w:r w:rsidRPr="003B2569">
        <w:rPr>
          <w:lang w:val="en-US"/>
        </w:rPr>
        <w:t xml:space="preserve">equivalent person-days for an Assessment Officer </w:t>
      </w:r>
      <w:r w:rsidR="003B2569" w:rsidRPr="003B2569">
        <w:rPr>
          <w:lang w:val="en-US"/>
        </w:rPr>
        <w:t>and 3.2</w:t>
      </w:r>
      <w:r w:rsidRPr="003B2569">
        <w:rPr>
          <w:lang w:val="en-US"/>
        </w:rPr>
        <w:t xml:space="preserve"> equivalent person-days for an Assistant Director, along with executive oversight (detailed below).</w:t>
      </w:r>
      <w:r>
        <w:rPr>
          <w:lang w:val="en-US"/>
        </w:rPr>
        <w:t xml:space="preserve"> </w:t>
      </w:r>
    </w:p>
    <w:p w:rsidR="00741E7D" w:rsidRDefault="00741E7D" w:rsidP="00741E7D">
      <w:pPr>
        <w:rPr>
          <w:lang w:val="en-US"/>
        </w:rPr>
      </w:pPr>
      <w:r>
        <w:rPr>
          <w:lang w:val="en-US"/>
        </w:rPr>
        <w:t xml:space="preserve">Activities involved in the assessment on referral information for a low complexity project include: </w:t>
      </w:r>
    </w:p>
    <w:p w:rsidR="00741E7D" w:rsidRDefault="00BC30D3" w:rsidP="008F17D2">
      <w:pPr>
        <w:pStyle w:val="ListBullet"/>
      </w:pPr>
      <w:r>
        <w:rPr>
          <w:lang w:val="en-US"/>
        </w:rPr>
        <w:t>A</w:t>
      </w:r>
      <w:r w:rsidR="00741E7D">
        <w:rPr>
          <w:lang w:val="en-US"/>
        </w:rPr>
        <w:t xml:space="preserve"> comprehensive review of the project scope</w:t>
      </w:r>
      <w:r w:rsidR="008F17D2">
        <w:rPr>
          <w:lang w:val="en-US"/>
        </w:rPr>
        <w:t>,</w:t>
      </w:r>
      <w:r w:rsidR="00741E7D">
        <w:rPr>
          <w:lang w:val="en-US"/>
        </w:rPr>
        <w:t xml:space="preserve"> </w:t>
      </w:r>
    </w:p>
    <w:p w:rsidR="00741E7D" w:rsidRDefault="00BC30D3" w:rsidP="008F17D2">
      <w:pPr>
        <w:pStyle w:val="ListBullet"/>
      </w:pPr>
      <w:r>
        <w:rPr>
          <w:lang w:val="en-US"/>
        </w:rPr>
        <w:t>C</w:t>
      </w:r>
      <w:r w:rsidR="00741E7D">
        <w:rPr>
          <w:lang w:val="en-US"/>
        </w:rPr>
        <w:t xml:space="preserve">onsultation with the </w:t>
      </w:r>
      <w:r w:rsidR="00B64DB5">
        <w:rPr>
          <w:lang w:val="en-US"/>
        </w:rPr>
        <w:t>applicant</w:t>
      </w:r>
      <w:r w:rsidR="008F17D2">
        <w:rPr>
          <w:lang w:val="en-US"/>
        </w:rPr>
        <w:t>,</w:t>
      </w:r>
      <w:r w:rsidR="00741E7D">
        <w:rPr>
          <w:lang w:val="en-US"/>
        </w:rPr>
        <w:t xml:space="preserve"> </w:t>
      </w:r>
    </w:p>
    <w:p w:rsidR="00741E7D" w:rsidRDefault="00BC30D3">
      <w:pPr>
        <w:pStyle w:val="ListBullet"/>
      </w:pPr>
      <w:r>
        <w:rPr>
          <w:lang w:val="en-US"/>
        </w:rPr>
        <w:t>R</w:t>
      </w:r>
      <w:r w:rsidR="00741E7D">
        <w:rPr>
          <w:lang w:val="en-US"/>
        </w:rPr>
        <w:t>esearch and validation of assessment documentation</w:t>
      </w:r>
      <w:r w:rsidR="008F17D2">
        <w:rPr>
          <w:lang w:val="en-US"/>
        </w:rPr>
        <w:t>,</w:t>
      </w:r>
      <w:r w:rsidR="00741E7D">
        <w:rPr>
          <w:lang w:val="en-US"/>
        </w:rPr>
        <w:t xml:space="preserve"> </w:t>
      </w:r>
    </w:p>
    <w:p w:rsidR="00741E7D" w:rsidRDefault="00BC30D3">
      <w:pPr>
        <w:pStyle w:val="ListBullet"/>
      </w:pPr>
      <w:r>
        <w:rPr>
          <w:lang w:val="en-US"/>
        </w:rPr>
        <w:t>S</w:t>
      </w:r>
      <w:r w:rsidR="00741E7D">
        <w:rPr>
          <w:lang w:val="en-US"/>
        </w:rPr>
        <w:t xml:space="preserve">ourcing advice from other </w:t>
      </w:r>
      <w:r w:rsidR="001C2CB2">
        <w:rPr>
          <w:lang w:val="en-US"/>
        </w:rPr>
        <w:t>departmental</w:t>
      </w:r>
      <w:r w:rsidR="00741E7D">
        <w:rPr>
          <w:lang w:val="en-US"/>
        </w:rPr>
        <w:t xml:space="preserve"> areas</w:t>
      </w:r>
      <w:r w:rsidR="008F17D2">
        <w:rPr>
          <w:lang w:val="en-US"/>
        </w:rPr>
        <w:t>,</w:t>
      </w:r>
      <w:r w:rsidR="00741E7D">
        <w:rPr>
          <w:lang w:val="en-US"/>
        </w:rPr>
        <w:t xml:space="preserve"> </w:t>
      </w:r>
    </w:p>
    <w:p w:rsidR="00741E7D" w:rsidRDefault="00BC30D3">
      <w:pPr>
        <w:pStyle w:val="ListBullet"/>
      </w:pPr>
      <w:r>
        <w:rPr>
          <w:lang w:val="en-US"/>
        </w:rPr>
        <w:t>R</w:t>
      </w:r>
      <w:r w:rsidR="00741E7D">
        <w:rPr>
          <w:lang w:val="en-US"/>
        </w:rPr>
        <w:t xml:space="preserve">eview of responses from the </w:t>
      </w:r>
      <w:r w:rsidR="00B64DB5">
        <w:rPr>
          <w:lang w:val="en-US"/>
        </w:rPr>
        <w:t>applicant</w:t>
      </w:r>
      <w:r w:rsidR="008F17D2">
        <w:rPr>
          <w:lang w:val="en-US"/>
        </w:rPr>
        <w:t>,</w:t>
      </w:r>
      <w:r w:rsidR="00741E7D">
        <w:rPr>
          <w:lang w:val="en-US"/>
        </w:rPr>
        <w:t xml:space="preserve"> </w:t>
      </w:r>
    </w:p>
    <w:p w:rsidR="00741E7D" w:rsidRDefault="00BC30D3">
      <w:pPr>
        <w:pStyle w:val="ListBullet"/>
      </w:pPr>
      <w:r>
        <w:rPr>
          <w:lang w:val="en-US"/>
        </w:rPr>
        <w:t>P</w:t>
      </w:r>
      <w:r w:rsidR="00741E7D">
        <w:rPr>
          <w:lang w:val="en-US"/>
        </w:rPr>
        <w:t>reparation of decision documentation for the Minister or delegate</w:t>
      </w:r>
      <w:r w:rsidR="008F17D2">
        <w:rPr>
          <w:lang w:val="en-US"/>
        </w:rPr>
        <w:t>,</w:t>
      </w:r>
      <w:r w:rsidR="00741E7D">
        <w:rPr>
          <w:lang w:val="en-US"/>
        </w:rPr>
        <w:t xml:space="preserve"> </w:t>
      </w:r>
    </w:p>
    <w:p w:rsidR="00741E7D" w:rsidRDefault="00BC30D3">
      <w:pPr>
        <w:pStyle w:val="ListBullet"/>
      </w:pPr>
      <w:r>
        <w:rPr>
          <w:lang w:val="en-US"/>
        </w:rPr>
        <w:t>C</w:t>
      </w:r>
      <w:r w:rsidR="00741E7D">
        <w:rPr>
          <w:lang w:val="en-US"/>
        </w:rPr>
        <w:t>onsideration of advice</w:t>
      </w:r>
      <w:r w:rsidR="008F17D2">
        <w:rPr>
          <w:lang w:val="en-US"/>
        </w:rPr>
        <w:t>,</w:t>
      </w:r>
      <w:r w:rsidR="00741E7D">
        <w:rPr>
          <w:lang w:val="en-US"/>
        </w:rPr>
        <w:t xml:space="preserve"> </w:t>
      </w:r>
    </w:p>
    <w:p w:rsidR="00741E7D" w:rsidRDefault="00BC30D3">
      <w:pPr>
        <w:pStyle w:val="ListBullet"/>
      </w:pPr>
      <w:r>
        <w:rPr>
          <w:lang w:val="en-US"/>
        </w:rPr>
        <w:t>D</w:t>
      </w:r>
      <w:r w:rsidR="00741E7D">
        <w:rPr>
          <w:lang w:val="en-US"/>
        </w:rPr>
        <w:t>ecision notification</w:t>
      </w:r>
      <w:r w:rsidR="008F17D2">
        <w:rPr>
          <w:lang w:val="en-US"/>
        </w:rPr>
        <w:t>,</w:t>
      </w:r>
      <w:r w:rsidR="00741E7D">
        <w:rPr>
          <w:lang w:val="en-US"/>
        </w:rPr>
        <w:t xml:space="preserve"> and </w:t>
      </w:r>
    </w:p>
    <w:p w:rsidR="00741E7D" w:rsidRDefault="00BC30D3">
      <w:pPr>
        <w:pStyle w:val="ListBullet"/>
      </w:pPr>
      <w:r>
        <w:rPr>
          <w:lang w:val="en-US"/>
        </w:rPr>
        <w:t>D</w:t>
      </w:r>
      <w:r w:rsidR="00741E7D">
        <w:rPr>
          <w:lang w:val="en-US"/>
        </w:rPr>
        <w:t xml:space="preserve">atabase input. </w:t>
      </w:r>
    </w:p>
    <w:p w:rsidR="00B83661" w:rsidRDefault="00741E7D" w:rsidP="00B83661">
      <w:pPr>
        <w:rPr>
          <w:lang w:val="en-US"/>
        </w:rPr>
      </w:pPr>
      <w:r>
        <w:rPr>
          <w:lang w:val="en-US"/>
        </w:rPr>
        <w:t xml:space="preserve">A summary of the assessment on referral information costs is outlined in </w:t>
      </w:r>
      <w:fldSimple w:instr=" REF _Ref387067682 \h  \* MERGEFORMAT ">
        <w:r w:rsidR="001D521C">
          <w:t xml:space="preserve">Table </w:t>
        </w:r>
        <w:r w:rsidR="001D521C">
          <w:rPr>
            <w:noProof/>
          </w:rPr>
          <w:t>4</w:t>
        </w:r>
      </w:fldSimple>
      <w:r w:rsidRPr="00712E34">
        <w:rPr>
          <w:lang w:val="en-US"/>
        </w:rPr>
        <w:t>.</w:t>
      </w:r>
      <w:r>
        <w:rPr>
          <w:lang w:val="en-US"/>
        </w:rPr>
        <w:t xml:space="preserve"> </w:t>
      </w:r>
    </w:p>
    <w:p w:rsidR="00932DBE" w:rsidRPr="00B83661" w:rsidRDefault="00741E7D" w:rsidP="00CF2047">
      <w:r>
        <w:rPr>
          <w:lang w:val="en-US"/>
        </w:rPr>
        <w:t>A break-down of processes contributing to base costs for assessment on referral information is outlined in</w:t>
      </w:r>
      <w:r w:rsidR="00CF2047">
        <w:rPr>
          <w:lang w:val="en-US"/>
        </w:rPr>
        <w:t xml:space="preserve"> </w:t>
      </w:r>
      <w:r w:rsidR="00D30427">
        <w:rPr>
          <w:lang w:val="en-US"/>
        </w:rPr>
        <w:fldChar w:fldCharType="begin"/>
      </w:r>
      <w:r w:rsidR="00CF2047">
        <w:rPr>
          <w:lang w:val="en-US"/>
        </w:rPr>
        <w:instrText xml:space="preserve"> REF _Ref390254778 \h </w:instrText>
      </w:r>
      <w:r w:rsidR="00D30427">
        <w:rPr>
          <w:lang w:val="en-US"/>
        </w:rPr>
      </w:r>
      <w:r w:rsidR="00D30427">
        <w:rPr>
          <w:lang w:val="en-US"/>
        </w:rPr>
        <w:fldChar w:fldCharType="separate"/>
      </w:r>
      <w:r w:rsidR="001D521C">
        <w:t xml:space="preserve">Table </w:t>
      </w:r>
      <w:r w:rsidR="001D521C">
        <w:rPr>
          <w:noProof/>
        </w:rPr>
        <w:t>5</w:t>
      </w:r>
      <w:r w:rsidR="00D30427">
        <w:rPr>
          <w:lang w:val="en-US"/>
        </w:rPr>
        <w:fldChar w:fldCharType="end"/>
      </w:r>
      <w:r w:rsidR="00EB7E32">
        <w:rPr>
          <w:lang w:val="en-US"/>
        </w:rPr>
        <w:t>.</w:t>
      </w:r>
    </w:p>
    <w:p w:rsidR="00D00366" w:rsidRDefault="00D00366" w:rsidP="00B83661">
      <w:pPr>
        <w:rPr>
          <w:lang w:val="en-US"/>
        </w:rPr>
      </w:pPr>
    </w:p>
    <w:p w:rsidR="00712E34" w:rsidRDefault="00712E34" w:rsidP="00712E34">
      <w:pPr>
        <w:pStyle w:val="Caption"/>
        <w:rPr>
          <w:lang w:val="en-US"/>
        </w:rPr>
      </w:pPr>
      <w:bookmarkStart w:id="341" w:name="_Ref387067682"/>
      <w:bookmarkStart w:id="342" w:name="_Toc387069803"/>
      <w:bookmarkStart w:id="343" w:name="_Toc387073265"/>
      <w:bookmarkStart w:id="344" w:name="_Toc391541648"/>
      <w:proofErr w:type="gramStart"/>
      <w:r>
        <w:t xml:space="preserve">Table </w:t>
      </w:r>
      <w:r w:rsidR="00D30427">
        <w:fldChar w:fldCharType="begin"/>
      </w:r>
      <w:r w:rsidR="00B06D9E">
        <w:instrText xml:space="preserve"> SEQ Table \* ARABIC </w:instrText>
      </w:r>
      <w:r w:rsidR="00D30427">
        <w:fldChar w:fldCharType="separate"/>
      </w:r>
      <w:r w:rsidR="001D521C">
        <w:rPr>
          <w:noProof/>
        </w:rPr>
        <w:t>4</w:t>
      </w:r>
      <w:r w:rsidR="00D30427">
        <w:fldChar w:fldCharType="end"/>
      </w:r>
      <w:bookmarkEnd w:id="341"/>
      <w:r>
        <w:t>.</w:t>
      </w:r>
      <w:proofErr w:type="gramEnd"/>
      <w:r>
        <w:t xml:space="preserve"> </w:t>
      </w:r>
      <w:r w:rsidRPr="00880B74">
        <w:t xml:space="preserve">Summary of </w:t>
      </w:r>
      <w:r w:rsidR="006C5874">
        <w:t>assessment on referral information</w:t>
      </w:r>
      <w:r w:rsidRPr="00880B74">
        <w:t xml:space="preserve"> costs</w:t>
      </w:r>
      <w:r>
        <w:t>.</w:t>
      </w:r>
      <w:bookmarkEnd w:id="342"/>
      <w:bookmarkEnd w:id="343"/>
      <w:bookmarkEnd w:id="344"/>
    </w:p>
    <w:tbl>
      <w:tblPr>
        <w:tblW w:w="9644" w:type="dxa"/>
        <w:tblInd w:w="103" w:type="dxa"/>
        <w:tblCellMar>
          <w:left w:w="0" w:type="dxa"/>
          <w:right w:w="0" w:type="dxa"/>
        </w:tblCellMar>
        <w:tblLook w:val="04A0"/>
      </w:tblPr>
      <w:tblGrid>
        <w:gridCol w:w="3691"/>
        <w:gridCol w:w="1533"/>
        <w:gridCol w:w="2436"/>
        <w:gridCol w:w="560"/>
        <w:gridCol w:w="1424"/>
      </w:tblGrid>
      <w:tr w:rsidR="006C5874" w:rsidTr="00CB2752">
        <w:trPr>
          <w:trHeight w:val="768"/>
        </w:trPr>
        <w:tc>
          <w:tcPr>
            <w:tcW w:w="36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Activity</w:t>
            </w:r>
          </w:p>
        </w:tc>
        <w:tc>
          <w:tcPr>
            <w:tcW w:w="1533" w:type="dxa"/>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Base costs</w:t>
            </w:r>
            <w:r>
              <w:rPr>
                <w:b/>
                <w:bCs/>
                <w:sz w:val="20"/>
                <w:szCs w:val="20"/>
              </w:rPr>
              <w:br/>
              <w:t>(A)</w:t>
            </w:r>
          </w:p>
        </w:tc>
        <w:tc>
          <w:tcPr>
            <w:tcW w:w="2436" w:type="dxa"/>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 xml:space="preserve">Complexity costs </w:t>
            </w:r>
          </w:p>
          <w:p w:rsidR="006C5874" w:rsidRDefault="006C5874" w:rsidP="003A1E94">
            <w:pPr>
              <w:jc w:val="center"/>
              <w:rPr>
                <w:rFonts w:ascii="Calibri" w:eastAsiaTheme="minorHAnsi" w:hAnsi="Calibri"/>
                <w:b/>
                <w:bCs/>
                <w:sz w:val="20"/>
                <w:szCs w:val="20"/>
              </w:rPr>
            </w:pPr>
            <w:r>
              <w:rPr>
                <w:b/>
                <w:bCs/>
                <w:sz w:val="20"/>
                <w:szCs w:val="20"/>
              </w:rPr>
              <w:t>(B)</w:t>
            </w:r>
          </w:p>
        </w:tc>
        <w:tc>
          <w:tcPr>
            <w:tcW w:w="1984" w:type="dxa"/>
            <w:gridSpan w:val="2"/>
            <w:tcBorders>
              <w:top w:val="single" w:sz="8" w:space="0" w:color="548DD4" w:themeColor="text2" w:themeTint="99"/>
              <w:left w:val="single" w:sz="8" w:space="0" w:color="8DB3E2" w:themeColor="text2" w:themeTint="66"/>
              <w:bottom w:val="single" w:sz="8" w:space="0" w:color="548DD4" w:themeColor="text2" w:themeTint="99"/>
              <w:right w:val="single" w:sz="8" w:space="0" w:color="548DD4" w:themeColor="text2" w:themeTint="99"/>
            </w:tcBorders>
            <w:shd w:val="clear" w:color="auto" w:fill="C6D9F1" w:themeFill="text2" w:themeFillTint="33"/>
            <w:tcMar>
              <w:top w:w="0" w:type="dxa"/>
              <w:left w:w="108" w:type="dxa"/>
              <w:bottom w:w="0" w:type="dxa"/>
              <w:right w:w="108" w:type="dxa"/>
            </w:tcMar>
            <w:vAlign w:val="center"/>
            <w:hideMark/>
          </w:tcPr>
          <w:p w:rsidR="006C5874" w:rsidRDefault="006C5874" w:rsidP="003A1E94">
            <w:pPr>
              <w:jc w:val="center"/>
              <w:rPr>
                <w:rFonts w:ascii="Calibri" w:eastAsiaTheme="minorHAnsi" w:hAnsi="Calibri"/>
                <w:b/>
                <w:bCs/>
                <w:sz w:val="20"/>
                <w:szCs w:val="20"/>
              </w:rPr>
            </w:pPr>
            <w:r>
              <w:rPr>
                <w:b/>
                <w:bCs/>
                <w:sz w:val="20"/>
                <w:szCs w:val="20"/>
              </w:rPr>
              <w:t>Total fee</w:t>
            </w:r>
            <w:r>
              <w:rPr>
                <w:b/>
                <w:bCs/>
                <w:sz w:val="20"/>
                <w:szCs w:val="20"/>
              </w:rPr>
              <w:br/>
              <w:t xml:space="preserve">(A) + (B) </w:t>
            </w:r>
          </w:p>
        </w:tc>
      </w:tr>
      <w:tr w:rsidR="00741E7D" w:rsidTr="00CB2752">
        <w:trPr>
          <w:trHeight w:val="600"/>
        </w:trPr>
        <w:tc>
          <w:tcPr>
            <w:tcW w:w="3691" w:type="dxa"/>
            <w:tcBorders>
              <w:top w:val="single" w:sz="8" w:space="0" w:color="548DD4" w:themeColor="text2" w:themeTint="99"/>
              <w:left w:val="single" w:sz="8" w:space="0" w:color="548DD4" w:themeColor="text2" w:themeTint="99"/>
              <w:bottom w:val="single" w:sz="8" w:space="0" w:color="548DD4" w:themeColor="text2" w:themeTint="99"/>
              <w:right w:val="nil"/>
            </w:tcBorders>
            <w:noWrap/>
            <w:tcMar>
              <w:top w:w="0" w:type="dxa"/>
              <w:left w:w="108" w:type="dxa"/>
              <w:bottom w:w="0" w:type="dxa"/>
              <w:right w:w="108" w:type="dxa"/>
            </w:tcMar>
            <w:vAlign w:val="center"/>
            <w:hideMark/>
          </w:tcPr>
          <w:p w:rsidR="00741E7D" w:rsidRDefault="00741E7D" w:rsidP="003A1E94">
            <w:pPr>
              <w:rPr>
                <w:rFonts w:ascii="Calibri" w:eastAsiaTheme="minorHAnsi" w:hAnsi="Calibri"/>
                <w:sz w:val="20"/>
                <w:szCs w:val="20"/>
              </w:rPr>
            </w:pPr>
            <w:r>
              <w:rPr>
                <w:sz w:val="20"/>
                <w:szCs w:val="20"/>
                <w:lang w:val="en-US"/>
              </w:rPr>
              <w:t>Assessment on referral information</w:t>
            </w:r>
          </w:p>
        </w:tc>
        <w:tc>
          <w:tcPr>
            <w:tcW w:w="1533" w:type="dxa"/>
            <w:tcBorders>
              <w:top w:val="single" w:sz="8" w:space="0" w:color="548DD4" w:themeColor="text2" w:themeTint="99"/>
              <w:left w:val="nil"/>
              <w:bottom w:val="single" w:sz="8" w:space="0" w:color="548DD4" w:themeColor="text2" w:themeTint="99"/>
              <w:right w:val="nil"/>
            </w:tcBorders>
            <w:noWrap/>
            <w:tcMar>
              <w:top w:w="0" w:type="dxa"/>
              <w:left w:w="108" w:type="dxa"/>
              <w:bottom w:w="0" w:type="dxa"/>
              <w:right w:w="108" w:type="dxa"/>
            </w:tcMar>
            <w:vAlign w:val="center"/>
            <w:hideMark/>
          </w:tcPr>
          <w:p w:rsidR="00741E7D" w:rsidRDefault="00741E7D" w:rsidP="003A1E94">
            <w:pPr>
              <w:jc w:val="center"/>
              <w:rPr>
                <w:rFonts w:ascii="Calibri" w:eastAsiaTheme="minorHAnsi" w:hAnsi="Calibri"/>
                <w:sz w:val="20"/>
                <w:szCs w:val="20"/>
              </w:rPr>
            </w:pPr>
            <w:r w:rsidRPr="006C5874">
              <w:rPr>
                <w:sz w:val="20"/>
                <w:szCs w:val="20"/>
              </w:rPr>
              <w:t>$</w:t>
            </w:r>
            <w:r w:rsidR="006C5874" w:rsidRPr="006C5874">
              <w:rPr>
                <w:sz w:val="20"/>
                <w:szCs w:val="20"/>
              </w:rPr>
              <w:t>9</w:t>
            </w:r>
            <w:r w:rsidR="006C5874">
              <w:rPr>
                <w:sz w:val="20"/>
                <w:szCs w:val="20"/>
              </w:rPr>
              <w:t>,</w:t>
            </w:r>
            <w:r w:rsidR="006C5874" w:rsidRPr="006C5874">
              <w:rPr>
                <w:sz w:val="20"/>
                <w:szCs w:val="20"/>
              </w:rPr>
              <w:t>417</w:t>
            </w:r>
          </w:p>
        </w:tc>
        <w:tc>
          <w:tcPr>
            <w:tcW w:w="2436" w:type="dxa"/>
            <w:tcBorders>
              <w:top w:val="single" w:sz="8" w:space="0" w:color="548DD4" w:themeColor="text2" w:themeTint="99"/>
              <w:left w:val="nil"/>
              <w:bottom w:val="single" w:sz="8" w:space="0" w:color="548DD4" w:themeColor="text2" w:themeTint="99"/>
              <w:right w:val="nil"/>
            </w:tcBorders>
            <w:noWrap/>
            <w:tcMar>
              <w:top w:w="0" w:type="dxa"/>
              <w:left w:w="108" w:type="dxa"/>
              <w:bottom w:w="0" w:type="dxa"/>
              <w:right w:w="108" w:type="dxa"/>
            </w:tcMar>
            <w:vAlign w:val="center"/>
            <w:hideMark/>
          </w:tcPr>
          <w:p w:rsidR="00741E7D" w:rsidRPr="007C2360" w:rsidRDefault="00826033" w:rsidP="00EE3E30">
            <w:pPr>
              <w:jc w:val="center"/>
              <w:rPr>
                <w:rFonts w:ascii="Times New Roman" w:eastAsia="Times New Roman" w:hAnsi="Times New Roman"/>
                <w:sz w:val="20"/>
                <w:szCs w:val="20"/>
              </w:rPr>
            </w:pPr>
            <w:r w:rsidRPr="007C2360">
              <w:rPr>
                <w:sz w:val="20"/>
                <w:szCs w:val="20"/>
              </w:rPr>
              <w:t>Determined on a case by case basis</w:t>
            </w:r>
          </w:p>
        </w:tc>
        <w:tc>
          <w:tcPr>
            <w:tcW w:w="560" w:type="dxa"/>
            <w:tcBorders>
              <w:top w:val="single" w:sz="8" w:space="0" w:color="548DD4" w:themeColor="text2" w:themeTint="99"/>
              <w:left w:val="nil"/>
              <w:bottom w:val="single" w:sz="8" w:space="0" w:color="548DD4" w:themeColor="text2" w:themeTint="99"/>
              <w:right w:val="nil"/>
            </w:tcBorders>
            <w:tcMar>
              <w:top w:w="0" w:type="dxa"/>
              <w:left w:w="108" w:type="dxa"/>
              <w:bottom w:w="0" w:type="dxa"/>
              <w:right w:w="108" w:type="dxa"/>
            </w:tcMar>
            <w:vAlign w:val="center"/>
            <w:hideMark/>
          </w:tcPr>
          <w:p w:rsidR="00741E7D" w:rsidRPr="007C2360" w:rsidRDefault="00741E7D" w:rsidP="003A1E94">
            <w:pPr>
              <w:jc w:val="center"/>
              <w:rPr>
                <w:rFonts w:ascii="Calibri" w:eastAsiaTheme="minorHAnsi" w:hAnsi="Calibri"/>
                <w:b/>
                <w:bCs/>
                <w:color w:val="0070C0"/>
                <w:sz w:val="20"/>
                <w:szCs w:val="20"/>
                <w:lang w:val="en-US"/>
              </w:rPr>
            </w:pPr>
          </w:p>
        </w:tc>
        <w:tc>
          <w:tcPr>
            <w:tcW w:w="1424" w:type="dxa"/>
            <w:tcBorders>
              <w:top w:val="single" w:sz="8" w:space="0" w:color="548DD4" w:themeColor="text2" w:themeTint="99"/>
              <w:left w:val="nil"/>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741E7D" w:rsidRPr="007C2360" w:rsidRDefault="002E3B1B" w:rsidP="00826033">
            <w:pPr>
              <w:rPr>
                <w:rFonts w:ascii="Calibri" w:eastAsiaTheme="minorHAnsi" w:hAnsi="Calibri"/>
                <w:sz w:val="20"/>
                <w:szCs w:val="20"/>
              </w:rPr>
            </w:pPr>
            <w:r w:rsidRPr="007C2360">
              <w:rPr>
                <w:sz w:val="20"/>
                <w:szCs w:val="20"/>
              </w:rPr>
              <w:t>$</w:t>
            </w:r>
            <w:r w:rsidR="00826033" w:rsidRPr="007C2360">
              <w:rPr>
                <w:sz w:val="20"/>
                <w:szCs w:val="20"/>
              </w:rPr>
              <w:t>9,417 + (B)</w:t>
            </w:r>
          </w:p>
        </w:tc>
      </w:tr>
    </w:tbl>
    <w:p w:rsidR="003261B8" w:rsidRDefault="003261B8" w:rsidP="00871AF3">
      <w:pPr>
        <w:pStyle w:val="Caption"/>
        <w:spacing w:before="240" w:after="120"/>
      </w:pPr>
      <w:bookmarkStart w:id="345" w:name="_Ref387067692"/>
      <w:bookmarkStart w:id="346" w:name="_Ref388456062"/>
      <w:bookmarkStart w:id="347" w:name="_Toc387069804"/>
      <w:bookmarkStart w:id="348" w:name="_Toc387073266"/>
    </w:p>
    <w:p w:rsidR="003261B8" w:rsidRDefault="003261B8" w:rsidP="003261B8">
      <w:pPr>
        <w:rPr>
          <w:rFonts w:asciiTheme="minorHAnsi" w:eastAsia="Times New Roman" w:hAnsiTheme="minorHAnsi" w:cstheme="minorHAnsi"/>
          <w:color w:val="4F81BD" w:themeColor="accent1"/>
          <w:sz w:val="20"/>
          <w:szCs w:val="20"/>
        </w:rPr>
      </w:pPr>
    </w:p>
    <w:p w:rsidR="00D00366" w:rsidRDefault="00D00366" w:rsidP="00871AF3">
      <w:pPr>
        <w:pStyle w:val="Caption"/>
        <w:spacing w:before="240" w:after="120"/>
      </w:pPr>
      <w:bookmarkStart w:id="349" w:name="_Ref388878536"/>
    </w:p>
    <w:p w:rsidR="00D00366" w:rsidRDefault="00D00366" w:rsidP="00871AF3">
      <w:pPr>
        <w:pStyle w:val="Caption"/>
        <w:spacing w:before="240" w:after="120"/>
      </w:pPr>
    </w:p>
    <w:p w:rsidR="00D00366" w:rsidRDefault="00D00366" w:rsidP="00871AF3">
      <w:pPr>
        <w:pStyle w:val="Caption"/>
        <w:spacing w:before="240" w:after="120"/>
      </w:pPr>
    </w:p>
    <w:p w:rsidR="000A6F7A" w:rsidRPr="000A6F7A" w:rsidRDefault="000A6F7A" w:rsidP="000A6F7A"/>
    <w:p w:rsidR="00D00366" w:rsidRDefault="00D00366" w:rsidP="00871AF3">
      <w:pPr>
        <w:pStyle w:val="Caption"/>
        <w:spacing w:before="240" w:after="120"/>
      </w:pPr>
    </w:p>
    <w:p w:rsidR="00D00366" w:rsidRDefault="00D00366" w:rsidP="00871AF3">
      <w:pPr>
        <w:pStyle w:val="Caption"/>
        <w:spacing w:before="240" w:after="120"/>
      </w:pPr>
    </w:p>
    <w:p w:rsidR="00DE1B69" w:rsidRDefault="00DE1B69" w:rsidP="00871AF3">
      <w:pPr>
        <w:pStyle w:val="Caption"/>
        <w:spacing w:before="240" w:after="120"/>
      </w:pPr>
      <w:bookmarkStart w:id="350" w:name="_Ref388972035"/>
    </w:p>
    <w:p w:rsidR="00F4722A" w:rsidRDefault="00F4722A" w:rsidP="00871AF3">
      <w:pPr>
        <w:pStyle w:val="Caption"/>
        <w:spacing w:before="240" w:after="120"/>
        <w:rPr>
          <w:rFonts w:eastAsiaTheme="minorHAnsi" w:cs="Arial"/>
        </w:rPr>
      </w:pPr>
      <w:bookmarkStart w:id="351" w:name="_Ref390254778"/>
      <w:bookmarkStart w:id="352" w:name="_Toc391541649"/>
      <w:proofErr w:type="gramStart"/>
      <w:r>
        <w:t xml:space="preserve">Table </w:t>
      </w:r>
      <w:r w:rsidR="00D30427">
        <w:fldChar w:fldCharType="begin"/>
      </w:r>
      <w:r w:rsidR="00B06D9E">
        <w:instrText xml:space="preserve"> SEQ Table \* ARABIC </w:instrText>
      </w:r>
      <w:r w:rsidR="00D30427">
        <w:fldChar w:fldCharType="separate"/>
      </w:r>
      <w:r w:rsidR="001D521C">
        <w:rPr>
          <w:noProof/>
        </w:rPr>
        <w:t>5</w:t>
      </w:r>
      <w:r w:rsidR="00D30427">
        <w:fldChar w:fldCharType="end"/>
      </w:r>
      <w:bookmarkEnd w:id="345"/>
      <w:bookmarkEnd w:id="346"/>
      <w:bookmarkEnd w:id="349"/>
      <w:bookmarkEnd w:id="350"/>
      <w:bookmarkEnd w:id="351"/>
      <w:r>
        <w:t>.</w:t>
      </w:r>
      <w:proofErr w:type="gramEnd"/>
      <w:r>
        <w:t xml:space="preserve"> </w:t>
      </w:r>
      <w:r w:rsidRPr="004E74AC">
        <w:t>Summa</w:t>
      </w:r>
      <w:r w:rsidR="003556CE">
        <w:t>ry of Base costs (A) for assessment on referral information costs</w:t>
      </w:r>
      <w:r>
        <w:t>.</w:t>
      </w:r>
      <w:bookmarkEnd w:id="347"/>
      <w:bookmarkEnd w:id="348"/>
      <w:bookmarkEnd w:id="352"/>
    </w:p>
    <w:tbl>
      <w:tblPr>
        <w:tblW w:w="9690" w:type="dxa"/>
        <w:tblCellMar>
          <w:left w:w="0" w:type="dxa"/>
          <w:right w:w="0" w:type="dxa"/>
        </w:tblCellMar>
        <w:tblLook w:val="04A0"/>
      </w:tblPr>
      <w:tblGrid>
        <w:gridCol w:w="5281"/>
        <w:gridCol w:w="1293"/>
        <w:gridCol w:w="1133"/>
        <w:gridCol w:w="991"/>
        <w:gridCol w:w="992"/>
      </w:tblGrid>
      <w:tr w:rsidR="00741E7D" w:rsidTr="009611AA">
        <w:trPr>
          <w:trHeight w:val="269"/>
        </w:trPr>
        <w:tc>
          <w:tcPr>
            <w:tcW w:w="5281" w:type="dxa"/>
            <w:tcBorders>
              <w:top w:val="nil"/>
              <w:left w:val="nil"/>
              <w:bottom w:val="single" w:sz="8" w:space="0" w:color="548DD4" w:themeColor="text2" w:themeTint="99"/>
              <w:right w:val="single" w:sz="8" w:space="0" w:color="548DD4" w:themeColor="text2" w:themeTint="99"/>
            </w:tcBorders>
            <w:tcMar>
              <w:top w:w="0" w:type="dxa"/>
              <w:left w:w="57" w:type="dxa"/>
              <w:bottom w:w="0" w:type="dxa"/>
              <w:right w:w="57" w:type="dxa"/>
            </w:tcMar>
          </w:tcPr>
          <w:p w:rsidR="00741E7D" w:rsidRDefault="00741E7D" w:rsidP="003A1E94">
            <w:pPr>
              <w:autoSpaceDE w:val="0"/>
              <w:autoSpaceDN w:val="0"/>
              <w:rPr>
                <w:rFonts w:eastAsiaTheme="minorHAnsi" w:cs="Arial"/>
                <w:b/>
                <w:bCs/>
                <w:sz w:val="20"/>
                <w:szCs w:val="20"/>
              </w:rPr>
            </w:pPr>
          </w:p>
        </w:tc>
        <w:tc>
          <w:tcPr>
            <w:tcW w:w="4409" w:type="dxa"/>
            <w:gridSpan w:val="4"/>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Time (days)</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vAlign w:val="center"/>
            <w:hideMark/>
          </w:tcPr>
          <w:p w:rsidR="00741E7D" w:rsidRDefault="00741E7D" w:rsidP="00795D41">
            <w:pPr>
              <w:jc w:val="center"/>
              <w:rPr>
                <w:rFonts w:eastAsiaTheme="minorHAnsi" w:cs="Arial"/>
                <w:b/>
                <w:bCs/>
                <w:sz w:val="20"/>
                <w:szCs w:val="20"/>
              </w:rPr>
            </w:pPr>
            <w:r>
              <w:rPr>
                <w:rFonts w:cs="Arial"/>
                <w:b/>
                <w:bCs/>
                <w:sz w:val="20"/>
                <w:szCs w:val="20"/>
              </w:rPr>
              <w:t>Stages of the assessment process</w:t>
            </w:r>
          </w:p>
        </w:tc>
        <w:tc>
          <w:tcPr>
            <w:tcW w:w="129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Assessment Officer</w:t>
            </w:r>
          </w:p>
        </w:tc>
        <w:tc>
          <w:tcPr>
            <w:tcW w:w="113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Assistant Director</w:t>
            </w:r>
          </w:p>
        </w:tc>
        <w:tc>
          <w:tcPr>
            <w:tcW w:w="9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Director</w:t>
            </w:r>
          </w:p>
        </w:tc>
        <w:tc>
          <w:tcPr>
            <w:tcW w:w="99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741E7D" w:rsidRDefault="00741E7D" w:rsidP="003A1E94">
            <w:pPr>
              <w:jc w:val="center"/>
              <w:rPr>
                <w:rFonts w:eastAsiaTheme="minorHAnsi" w:cs="Arial"/>
                <w:b/>
                <w:bCs/>
                <w:sz w:val="20"/>
                <w:szCs w:val="20"/>
              </w:rPr>
            </w:pPr>
            <w:r>
              <w:rPr>
                <w:rFonts w:cs="Arial"/>
                <w:b/>
                <w:bCs/>
                <w:sz w:val="20"/>
                <w:szCs w:val="20"/>
              </w:rPr>
              <w:t>Delegate</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tcMar>
              <w:top w:w="0" w:type="dxa"/>
              <w:left w:w="57" w:type="dxa"/>
              <w:bottom w:w="0" w:type="dxa"/>
              <w:right w:w="57" w:type="dxa"/>
            </w:tcMar>
            <w:hideMark/>
          </w:tcPr>
          <w:p w:rsidR="00741E7D" w:rsidRDefault="00741E7D" w:rsidP="004F6E35">
            <w:pPr>
              <w:rPr>
                <w:rFonts w:eastAsiaTheme="minorHAnsi" w:cs="Arial"/>
                <w:sz w:val="20"/>
                <w:szCs w:val="20"/>
              </w:rPr>
            </w:pPr>
            <w:r>
              <w:rPr>
                <w:rFonts w:cs="Arial"/>
                <w:sz w:val="20"/>
                <w:szCs w:val="20"/>
              </w:rPr>
              <w:t xml:space="preserve">Stage 1: </w:t>
            </w:r>
            <w:r w:rsidR="004F6E35">
              <w:rPr>
                <w:rFonts w:cs="Arial"/>
                <w:sz w:val="20"/>
                <w:szCs w:val="20"/>
              </w:rPr>
              <w:t>Prepare and publish draft recommendation report</w:t>
            </w:r>
          </w:p>
        </w:tc>
        <w:tc>
          <w:tcPr>
            <w:tcW w:w="129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8</w:t>
            </w:r>
          </w:p>
        </w:tc>
        <w:tc>
          <w:tcPr>
            <w:tcW w:w="113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1.1</w:t>
            </w:r>
          </w:p>
        </w:tc>
        <w:tc>
          <w:tcPr>
            <w:tcW w:w="991"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w:t>
            </w:r>
            <w:r w:rsidR="004F6E35">
              <w:rPr>
                <w:rFonts w:cs="Arial"/>
                <w:sz w:val="20"/>
                <w:szCs w:val="20"/>
              </w:rPr>
              <w:t>28</w:t>
            </w:r>
          </w:p>
        </w:tc>
        <w:tc>
          <w:tcPr>
            <w:tcW w:w="992" w:type="dxa"/>
            <w:tcBorders>
              <w:top w:val="single" w:sz="8" w:space="0" w:color="548DD4" w:themeColor="text2" w:themeTint="99"/>
              <w:left w:val="nil"/>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0.0</w:t>
            </w:r>
            <w:r w:rsidR="004F6E35">
              <w:rPr>
                <w:rFonts w:cs="Arial"/>
                <w:sz w:val="20"/>
                <w:szCs w:val="20"/>
              </w:rPr>
              <w:t>6</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tcMar>
              <w:top w:w="0" w:type="dxa"/>
              <w:left w:w="57" w:type="dxa"/>
              <w:bottom w:w="0" w:type="dxa"/>
              <w:right w:w="57" w:type="dxa"/>
            </w:tcMar>
            <w:hideMark/>
          </w:tcPr>
          <w:p w:rsidR="00741E7D" w:rsidRDefault="00741E7D" w:rsidP="001570D8">
            <w:pPr>
              <w:rPr>
                <w:rFonts w:eastAsiaTheme="minorHAnsi" w:cs="Arial"/>
                <w:sz w:val="20"/>
                <w:szCs w:val="20"/>
              </w:rPr>
            </w:pPr>
            <w:r>
              <w:rPr>
                <w:rFonts w:cs="Arial"/>
                <w:sz w:val="20"/>
                <w:szCs w:val="20"/>
              </w:rPr>
              <w:t xml:space="preserve">Stage 2: </w:t>
            </w:r>
            <w:r w:rsidR="001570D8">
              <w:rPr>
                <w:rFonts w:cs="Arial"/>
                <w:sz w:val="20"/>
                <w:szCs w:val="20"/>
              </w:rPr>
              <w:t xml:space="preserve">Review comments and finalise </w:t>
            </w:r>
            <w:r w:rsidR="004F6E35">
              <w:rPr>
                <w:rFonts w:cs="Arial"/>
                <w:sz w:val="20"/>
                <w:szCs w:val="20"/>
              </w:rPr>
              <w:t xml:space="preserve"> recommendation report </w:t>
            </w:r>
          </w:p>
        </w:tc>
        <w:tc>
          <w:tcPr>
            <w:tcW w:w="129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4</w:t>
            </w:r>
          </w:p>
        </w:tc>
        <w:tc>
          <w:tcPr>
            <w:tcW w:w="113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1.1</w:t>
            </w:r>
          </w:p>
        </w:tc>
        <w:tc>
          <w:tcPr>
            <w:tcW w:w="991"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w:t>
            </w:r>
            <w:r w:rsidR="004F6E35">
              <w:rPr>
                <w:rFonts w:cs="Arial"/>
                <w:sz w:val="20"/>
                <w:szCs w:val="20"/>
              </w:rPr>
              <w:t>3</w:t>
            </w:r>
          </w:p>
        </w:tc>
        <w:tc>
          <w:tcPr>
            <w:tcW w:w="992" w:type="dxa"/>
            <w:tcBorders>
              <w:top w:val="single" w:sz="8" w:space="0" w:color="548DD4" w:themeColor="text2" w:themeTint="99"/>
              <w:left w:val="nil"/>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0.0</w:t>
            </w:r>
            <w:r w:rsidR="004F6E35">
              <w:rPr>
                <w:rFonts w:cs="Arial"/>
                <w:sz w:val="20"/>
                <w:szCs w:val="20"/>
              </w:rPr>
              <w:t>6</w:t>
            </w:r>
          </w:p>
        </w:tc>
      </w:tr>
      <w:tr w:rsidR="00741E7D" w:rsidTr="009611AA">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tcMar>
              <w:top w:w="0" w:type="dxa"/>
              <w:left w:w="57" w:type="dxa"/>
              <w:bottom w:w="0" w:type="dxa"/>
              <w:right w:w="57" w:type="dxa"/>
            </w:tcMar>
            <w:hideMark/>
          </w:tcPr>
          <w:p w:rsidR="00741E7D" w:rsidRDefault="00741E7D" w:rsidP="00031B9F">
            <w:pPr>
              <w:rPr>
                <w:rFonts w:eastAsiaTheme="minorHAnsi" w:cs="Arial"/>
                <w:sz w:val="20"/>
                <w:szCs w:val="20"/>
              </w:rPr>
            </w:pPr>
            <w:r>
              <w:rPr>
                <w:rFonts w:cs="Arial"/>
                <w:sz w:val="20"/>
                <w:szCs w:val="20"/>
              </w:rPr>
              <w:t xml:space="preserve">Stage 3: </w:t>
            </w:r>
            <w:r w:rsidR="001570D8">
              <w:rPr>
                <w:rFonts w:cs="Arial"/>
                <w:sz w:val="20"/>
                <w:szCs w:val="20"/>
              </w:rPr>
              <w:t xml:space="preserve">Seek comments on </w:t>
            </w:r>
            <w:r w:rsidR="00031B9F">
              <w:rPr>
                <w:rFonts w:cs="Arial"/>
                <w:sz w:val="20"/>
                <w:szCs w:val="20"/>
              </w:rPr>
              <w:t xml:space="preserve">draft </w:t>
            </w:r>
            <w:r w:rsidR="001570D8">
              <w:rPr>
                <w:rFonts w:cs="Arial"/>
                <w:sz w:val="20"/>
                <w:szCs w:val="20"/>
              </w:rPr>
              <w:t xml:space="preserve"> decision</w:t>
            </w:r>
            <w:r w:rsidR="00031B9F">
              <w:rPr>
                <w:rFonts w:cs="Arial"/>
                <w:sz w:val="20"/>
                <w:szCs w:val="20"/>
              </w:rPr>
              <w:t xml:space="preserve"> and</w:t>
            </w:r>
            <w:r w:rsidR="001570D8">
              <w:rPr>
                <w:rFonts w:cs="Arial"/>
                <w:sz w:val="20"/>
                <w:szCs w:val="20"/>
              </w:rPr>
              <w:t xml:space="preserve"> prepare final decision brief</w:t>
            </w:r>
          </w:p>
        </w:tc>
        <w:tc>
          <w:tcPr>
            <w:tcW w:w="129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2</w:t>
            </w:r>
          </w:p>
        </w:tc>
        <w:tc>
          <w:tcPr>
            <w:tcW w:w="1133"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4F6E35" w:rsidP="003A1E94">
            <w:pPr>
              <w:jc w:val="center"/>
              <w:rPr>
                <w:rFonts w:eastAsiaTheme="minorHAnsi" w:cs="Arial"/>
                <w:sz w:val="20"/>
                <w:szCs w:val="20"/>
              </w:rPr>
            </w:pPr>
            <w:r>
              <w:rPr>
                <w:rFonts w:cs="Arial"/>
                <w:sz w:val="20"/>
                <w:szCs w:val="20"/>
              </w:rPr>
              <w:t>1</w:t>
            </w:r>
          </w:p>
        </w:tc>
        <w:tc>
          <w:tcPr>
            <w:tcW w:w="991" w:type="dxa"/>
            <w:tcBorders>
              <w:top w:val="single" w:sz="8" w:space="0" w:color="548DD4" w:themeColor="text2" w:themeTint="99"/>
              <w:left w:val="nil"/>
              <w:bottom w:val="single" w:sz="8" w:space="0" w:color="548DD4" w:themeColor="text2" w:themeTint="99"/>
              <w:right w:val="nil"/>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w:t>
            </w:r>
            <w:r w:rsidR="004F6E35">
              <w:rPr>
                <w:rFonts w:cs="Arial"/>
                <w:sz w:val="20"/>
                <w:szCs w:val="20"/>
              </w:rPr>
              <w:t>2</w:t>
            </w:r>
          </w:p>
        </w:tc>
        <w:tc>
          <w:tcPr>
            <w:tcW w:w="992" w:type="dxa"/>
            <w:tcBorders>
              <w:top w:val="single" w:sz="8" w:space="0" w:color="548DD4" w:themeColor="text2" w:themeTint="99"/>
              <w:left w:val="nil"/>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0.0</w:t>
            </w:r>
            <w:r w:rsidR="004F6E35">
              <w:rPr>
                <w:rFonts w:cs="Arial"/>
                <w:sz w:val="20"/>
                <w:szCs w:val="20"/>
              </w:rPr>
              <w:t>3</w:t>
            </w:r>
          </w:p>
        </w:tc>
      </w:tr>
      <w:tr w:rsidR="00741E7D" w:rsidTr="009611AA">
        <w:trPr>
          <w:trHeight w:val="435"/>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C6D9F1" w:themeFill="text2" w:themeFillTint="33"/>
            <w:tcMar>
              <w:top w:w="0" w:type="dxa"/>
              <w:left w:w="57" w:type="dxa"/>
              <w:bottom w:w="0" w:type="dxa"/>
              <w:right w:w="57" w:type="dxa"/>
            </w:tcMar>
            <w:vAlign w:val="center"/>
            <w:hideMark/>
          </w:tcPr>
          <w:p w:rsidR="00741E7D" w:rsidRDefault="00741E7D" w:rsidP="003A1E94">
            <w:pPr>
              <w:jc w:val="right"/>
              <w:rPr>
                <w:rFonts w:eastAsiaTheme="minorHAnsi" w:cs="Arial"/>
                <w:sz w:val="20"/>
                <w:szCs w:val="20"/>
              </w:rPr>
            </w:pPr>
            <w:r>
              <w:rPr>
                <w:rFonts w:cs="Arial"/>
                <w:sz w:val="20"/>
                <w:szCs w:val="20"/>
              </w:rPr>
              <w:t>TOTAL BASE COST</w:t>
            </w:r>
          </w:p>
        </w:tc>
        <w:tc>
          <w:tcPr>
            <w:tcW w:w="4409" w:type="dxa"/>
            <w:gridSpan w:val="4"/>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C6D9F1" w:themeFill="text2" w:themeFillTint="33"/>
            <w:tcMar>
              <w:top w:w="0" w:type="dxa"/>
              <w:left w:w="57" w:type="dxa"/>
              <w:bottom w:w="0" w:type="dxa"/>
              <w:right w:w="57" w:type="dxa"/>
            </w:tcMar>
            <w:vAlign w:val="center"/>
            <w:hideMark/>
          </w:tcPr>
          <w:p w:rsidR="00741E7D" w:rsidRDefault="00741E7D" w:rsidP="003A1E94">
            <w:pPr>
              <w:jc w:val="center"/>
              <w:rPr>
                <w:rFonts w:eastAsiaTheme="minorHAnsi" w:cs="Arial"/>
                <w:sz w:val="20"/>
                <w:szCs w:val="20"/>
              </w:rPr>
            </w:pPr>
            <w:r>
              <w:rPr>
                <w:rFonts w:cs="Arial"/>
                <w:sz w:val="20"/>
                <w:szCs w:val="20"/>
              </w:rPr>
              <w:t>$</w:t>
            </w:r>
            <w:r w:rsidR="004F6E35">
              <w:rPr>
                <w:rFonts w:cs="Arial"/>
                <w:sz w:val="20"/>
                <w:szCs w:val="20"/>
              </w:rPr>
              <w:t>9,417</w:t>
            </w:r>
          </w:p>
        </w:tc>
      </w:tr>
    </w:tbl>
    <w:p w:rsidR="00741E7D" w:rsidRDefault="00741E7D" w:rsidP="00741E7D">
      <w:pPr>
        <w:rPr>
          <w:rFonts w:eastAsiaTheme="minorHAnsi" w:cs="Arial"/>
          <w:lang w:val="en-US"/>
        </w:rPr>
      </w:pPr>
      <w:r>
        <w:rPr>
          <w:b/>
          <w:bCs/>
        </w:rPr>
        <w:br/>
      </w:r>
      <w:r>
        <w:rPr>
          <w:lang w:val="en-US"/>
        </w:rPr>
        <w:t xml:space="preserve">Fees that may be applicable at each stage of the assessment on referral information process are outlined in the flowchart at </w:t>
      </w:r>
      <w:r w:rsidR="00D30427">
        <w:rPr>
          <w:lang w:val="en-US"/>
        </w:rPr>
        <w:fldChar w:fldCharType="begin"/>
      </w:r>
      <w:r w:rsidR="00BC30D3">
        <w:rPr>
          <w:lang w:val="en-US"/>
        </w:rPr>
        <w:instrText xml:space="preserve"> REF _Ref387067740 \h </w:instrText>
      </w:r>
      <w:r w:rsidR="00D30427">
        <w:rPr>
          <w:lang w:val="en-US"/>
        </w:rPr>
      </w:r>
      <w:r w:rsidR="00D30427">
        <w:rPr>
          <w:lang w:val="en-US"/>
        </w:rPr>
        <w:fldChar w:fldCharType="separate"/>
      </w:r>
      <w:r w:rsidR="001D521C">
        <w:t xml:space="preserve">Figure </w:t>
      </w:r>
      <w:r w:rsidR="001D521C">
        <w:rPr>
          <w:noProof/>
        </w:rPr>
        <w:t>9</w:t>
      </w:r>
      <w:r w:rsidR="00D30427">
        <w:rPr>
          <w:lang w:val="en-US"/>
        </w:rPr>
        <w:fldChar w:fldCharType="end"/>
      </w:r>
      <w:r w:rsidR="003E2924">
        <w:rPr>
          <w:lang w:val="en-US"/>
        </w:rPr>
        <w:t xml:space="preserve"> </w:t>
      </w:r>
      <w:r w:rsidR="00ED1FE5">
        <w:rPr>
          <w:lang w:val="en-US"/>
        </w:rPr>
        <w:t>below</w:t>
      </w:r>
      <w:r w:rsidRPr="00664513">
        <w:rPr>
          <w:lang w:val="en-US"/>
        </w:rPr>
        <w:t>.</w:t>
      </w:r>
      <w:r>
        <w:rPr>
          <w:lang w:val="en-US"/>
        </w:rPr>
        <w:t xml:space="preserve"> </w:t>
      </w:r>
    </w:p>
    <w:p w:rsidR="00741E7D" w:rsidRDefault="00741E7D" w:rsidP="00C80380">
      <w:pPr>
        <w:rPr>
          <w:lang w:val="en-US"/>
        </w:rPr>
      </w:pPr>
      <w:r>
        <w:rPr>
          <w:lang w:val="en-US"/>
        </w:rPr>
        <w:t xml:space="preserve">Complexity fees may be applicable for an assessment on referral information. Refer to </w:t>
      </w:r>
      <w:r w:rsidR="003A6A0A" w:rsidRPr="00C80380">
        <w:rPr>
          <w:lang w:val="en-US"/>
        </w:rPr>
        <w:t>Exam</w:t>
      </w:r>
      <w:r w:rsidR="001A614A" w:rsidRPr="00C80380">
        <w:rPr>
          <w:lang w:val="en-US"/>
        </w:rPr>
        <w:t>ple</w:t>
      </w:r>
      <w:r w:rsidR="00C80380" w:rsidRPr="00C80380">
        <w:rPr>
          <w:lang w:val="en-US"/>
        </w:rPr>
        <w:t> </w:t>
      </w:r>
      <w:r w:rsidR="001A614A" w:rsidRPr="00C80380">
        <w:rPr>
          <w:lang w:val="en-US"/>
        </w:rPr>
        <w:t>1</w:t>
      </w:r>
      <w:r w:rsidR="00C80380">
        <w:rPr>
          <w:lang w:val="en-US"/>
        </w:rPr>
        <w:t xml:space="preserve"> </w:t>
      </w:r>
      <w:r w:rsidR="00347948">
        <w:rPr>
          <w:lang w:val="en-US"/>
        </w:rPr>
        <w:t xml:space="preserve">below </w:t>
      </w:r>
      <w:r>
        <w:rPr>
          <w:lang w:val="en-US"/>
        </w:rPr>
        <w:t>to see how complexity fees could be applied to</w:t>
      </w:r>
      <w:r w:rsidR="00C80380">
        <w:rPr>
          <w:lang w:val="en-US"/>
        </w:rPr>
        <w:t xml:space="preserve"> </w:t>
      </w:r>
      <w:r w:rsidR="006F2815">
        <w:rPr>
          <w:lang w:val="en-US"/>
        </w:rPr>
        <w:t xml:space="preserve">a </w:t>
      </w:r>
      <w:r w:rsidR="0064623E">
        <w:rPr>
          <w:lang w:val="en-US"/>
        </w:rPr>
        <w:t xml:space="preserve">project </w:t>
      </w:r>
      <w:r w:rsidR="00C80380">
        <w:rPr>
          <w:lang w:val="en-US"/>
        </w:rPr>
        <w:t>assessed on referral information.</w:t>
      </w:r>
      <w:r>
        <w:rPr>
          <w:lang w:val="en-US"/>
        </w:rPr>
        <w:t xml:space="preserve"> </w:t>
      </w:r>
    </w:p>
    <w:p w:rsidR="00664513" w:rsidRDefault="003B1A85" w:rsidP="00741E7D">
      <w:pPr>
        <w:rPr>
          <w:rFonts w:ascii="Calibri" w:hAnsi="Calibri"/>
          <w:lang w:val="en-US"/>
        </w:rPr>
      </w:pPr>
      <w:r>
        <w:rPr>
          <w:rFonts w:ascii="Calibri" w:hAnsi="Calibri"/>
          <w:noProof/>
          <w:lang w:eastAsia="en-AU"/>
        </w:rPr>
        <w:lastRenderedPageBreak/>
        <w:drawing>
          <wp:inline distT="0" distB="0" distL="0" distR="0">
            <wp:extent cx="6031230" cy="8385457"/>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srcRect/>
                    <a:stretch>
                      <a:fillRect/>
                    </a:stretch>
                  </pic:blipFill>
                  <pic:spPr bwMode="auto">
                    <a:xfrm>
                      <a:off x="0" y="0"/>
                      <a:ext cx="6031230" cy="8385457"/>
                    </a:xfrm>
                    <a:prstGeom prst="rect">
                      <a:avLst/>
                    </a:prstGeom>
                    <a:noFill/>
                    <a:ln w="9525">
                      <a:noFill/>
                      <a:miter lim="800000"/>
                      <a:headEnd/>
                      <a:tailEnd/>
                    </a:ln>
                  </pic:spPr>
                </pic:pic>
              </a:graphicData>
            </a:graphic>
          </wp:inline>
        </w:drawing>
      </w:r>
    </w:p>
    <w:p w:rsidR="00FB5E37" w:rsidRDefault="00FB5E37" w:rsidP="00FB5E37">
      <w:pPr>
        <w:pStyle w:val="Caption"/>
      </w:pPr>
      <w:bookmarkStart w:id="353" w:name="_Ref387067740"/>
      <w:bookmarkStart w:id="354" w:name="_Ref387067751"/>
      <w:bookmarkStart w:id="355" w:name="_Toc387072714"/>
      <w:bookmarkStart w:id="356" w:name="_Toc391541638"/>
      <w:proofErr w:type="gramStart"/>
      <w:r>
        <w:t xml:space="preserve">Figure </w:t>
      </w:r>
      <w:r w:rsidR="00D30427">
        <w:fldChar w:fldCharType="begin"/>
      </w:r>
      <w:r w:rsidR="004D02C2">
        <w:instrText xml:space="preserve"> SEQ Figure \* ARABIC </w:instrText>
      </w:r>
      <w:r w:rsidR="00D30427">
        <w:fldChar w:fldCharType="separate"/>
      </w:r>
      <w:r w:rsidR="001D521C">
        <w:rPr>
          <w:noProof/>
        </w:rPr>
        <w:t>9</w:t>
      </w:r>
      <w:r w:rsidR="00D30427">
        <w:fldChar w:fldCharType="end"/>
      </w:r>
      <w:bookmarkEnd w:id="353"/>
      <w:r>
        <w:t>.</w:t>
      </w:r>
      <w:proofErr w:type="gramEnd"/>
      <w:r>
        <w:t xml:space="preserve"> </w:t>
      </w:r>
      <w:r w:rsidRPr="000D7B17">
        <w:t>Fee stages flow cha</w:t>
      </w:r>
      <w:r>
        <w:t>rt for assessment on referral information</w:t>
      </w:r>
      <w:r w:rsidRPr="000D7B17">
        <w:t>.</w:t>
      </w:r>
      <w:bookmarkEnd w:id="354"/>
      <w:bookmarkEnd w:id="355"/>
      <w:bookmarkEnd w:id="356"/>
    </w:p>
    <w:bookmarkStart w:id="357" w:name="_Toc380065067"/>
    <w:bookmarkStart w:id="358" w:name="_Toc380142277"/>
    <w:bookmarkStart w:id="359" w:name="_Toc380737827"/>
    <w:bookmarkStart w:id="360" w:name="_Toc381261043"/>
    <w:bookmarkEnd w:id="357"/>
    <w:bookmarkEnd w:id="358"/>
    <w:bookmarkEnd w:id="359"/>
    <w:bookmarkEnd w:id="360"/>
    <w:p w:rsidR="007A33B2" w:rsidRDefault="00D30427" w:rsidP="00B40BC4">
      <w:r>
        <w:pict>
          <v:shapetype id="_x0000_t202" coordsize="21600,21600" o:spt="202" path="m,l,21600r21600,l21600,xe">
            <v:stroke joinstyle="miter"/>
            <v:path gradientshapeok="t" o:connecttype="rect"/>
          </v:shapetype>
          <v:shape id="_x0000_s1164" type="#_x0000_t202" style="width:516.8pt;height:716.2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64">
              <w:txbxContent>
                <w:p w:rsidR="000D637E" w:rsidRPr="002803CE" w:rsidRDefault="000D637E" w:rsidP="00B40BC4">
                  <w:pPr>
                    <w:rPr>
                      <w:b/>
                      <w:color w:val="1F497D" w:themeColor="text2"/>
                      <w:sz w:val="18"/>
                      <w:szCs w:val="18"/>
                    </w:rPr>
                  </w:pPr>
                  <w:r w:rsidRPr="002803CE">
                    <w:rPr>
                      <w:b/>
                      <w:color w:val="1F497D" w:themeColor="text2"/>
                      <w:sz w:val="18"/>
                      <w:szCs w:val="18"/>
                    </w:rPr>
                    <w:t xml:space="preserve">Example 1 — Highway </w:t>
                  </w:r>
                  <w:proofErr w:type="gramStart"/>
                  <w:r w:rsidRPr="002803CE">
                    <w:rPr>
                      <w:b/>
                      <w:color w:val="1F497D" w:themeColor="text2"/>
                      <w:sz w:val="18"/>
                      <w:szCs w:val="18"/>
                    </w:rPr>
                    <w:t>upgrade</w:t>
                  </w:r>
                  <w:proofErr w:type="gramEnd"/>
                  <w:r w:rsidRPr="002803CE">
                    <w:rPr>
                      <w:b/>
                      <w:color w:val="1F497D" w:themeColor="text2"/>
                      <w:sz w:val="18"/>
                      <w:szCs w:val="18"/>
                    </w:rPr>
                    <w:t xml:space="preserve"> (Assessment on referral information)</w:t>
                  </w:r>
                </w:p>
                <w:p w:rsidR="000D637E" w:rsidRPr="002803CE" w:rsidRDefault="000D637E" w:rsidP="00B40BC4">
                  <w:pPr>
                    <w:tabs>
                      <w:tab w:val="num" w:pos="360"/>
                    </w:tabs>
                    <w:rPr>
                      <w:sz w:val="18"/>
                      <w:szCs w:val="18"/>
                    </w:rPr>
                  </w:pPr>
                  <w:r w:rsidRPr="002803CE">
                    <w:rPr>
                      <w:b/>
                      <w:sz w:val="18"/>
                      <w:szCs w:val="18"/>
                    </w:rPr>
                    <w:t xml:space="preserve">Project description: </w:t>
                  </w:r>
                  <w:r w:rsidRPr="002803CE">
                    <w:rPr>
                      <w:sz w:val="18"/>
                      <w:szCs w:val="18"/>
                    </w:rPr>
                    <w:t>The Department of Roads and Transport is proposing to upgrade a section of highway, which requires clearing of up to 50ha of good quality vegetation, located in an important regional habitat corridor for wildlife.</w:t>
                  </w:r>
                </w:p>
                <w:tbl>
                  <w:tblPr>
                    <w:tblW w:w="0" w:type="auto"/>
                    <w:tblInd w:w="9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4578"/>
                    <w:gridCol w:w="1167"/>
                    <w:gridCol w:w="1707"/>
                    <w:gridCol w:w="118"/>
                    <w:gridCol w:w="118"/>
                    <w:gridCol w:w="957"/>
                  </w:tblGrid>
                  <w:tr w:rsidR="000D637E" w:rsidRPr="002803CE" w:rsidTr="009611AA">
                    <w:trPr>
                      <w:trHeight w:val="612"/>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2803CE" w:rsidRDefault="000D637E">
                        <w:pPr>
                          <w:jc w:val="center"/>
                          <w:rPr>
                            <w:b/>
                            <w:sz w:val="18"/>
                            <w:szCs w:val="18"/>
                            <w:lang w:eastAsia="en-AU"/>
                          </w:rPr>
                        </w:pPr>
                        <w:r w:rsidRPr="002803CE">
                          <w:rPr>
                            <w:sz w:val="18"/>
                            <w:szCs w:val="18"/>
                          </w:rPr>
                          <w:t xml:space="preserve"> </w:t>
                        </w:r>
                        <w:r w:rsidRPr="002803CE">
                          <w:rPr>
                            <w:b/>
                            <w:sz w:val="18"/>
                            <w:szCs w:val="18"/>
                            <w:lang w:eastAsia="en-AU"/>
                          </w:rPr>
                          <w:t>Activity</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2803CE" w:rsidRDefault="000D637E">
                        <w:pPr>
                          <w:jc w:val="center"/>
                          <w:rPr>
                            <w:b/>
                            <w:sz w:val="18"/>
                            <w:szCs w:val="18"/>
                            <w:lang w:eastAsia="en-AU"/>
                          </w:rPr>
                        </w:pPr>
                        <w:r w:rsidRPr="002803CE">
                          <w:rPr>
                            <w:b/>
                            <w:sz w:val="18"/>
                            <w:szCs w:val="18"/>
                            <w:lang w:eastAsia="en-AU"/>
                          </w:rPr>
                          <w:t xml:space="preserve">Base costs </w:t>
                        </w:r>
                      </w:p>
                      <w:p w:rsidR="000D637E" w:rsidRPr="002803CE" w:rsidRDefault="000D637E">
                        <w:pPr>
                          <w:jc w:val="center"/>
                          <w:rPr>
                            <w:b/>
                            <w:sz w:val="18"/>
                            <w:szCs w:val="18"/>
                            <w:lang w:eastAsia="en-AU"/>
                          </w:rPr>
                        </w:pPr>
                        <w:r w:rsidRPr="002803CE">
                          <w:rPr>
                            <w:b/>
                            <w:sz w:val="18"/>
                            <w:szCs w:val="18"/>
                            <w:lang w:eastAsia="en-AU"/>
                          </w:rPr>
                          <w:t>(A)</w:t>
                        </w:r>
                      </w:p>
                    </w:tc>
                    <w:tc>
                      <w:tcPr>
                        <w:tcW w:w="0" w:type="auto"/>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2803CE" w:rsidRDefault="000D637E" w:rsidP="003A1E94">
                        <w:pPr>
                          <w:jc w:val="center"/>
                          <w:rPr>
                            <w:b/>
                            <w:sz w:val="18"/>
                            <w:szCs w:val="18"/>
                            <w:lang w:eastAsia="en-AU"/>
                          </w:rPr>
                        </w:pPr>
                        <w:r w:rsidRPr="002803CE">
                          <w:rPr>
                            <w:b/>
                            <w:sz w:val="18"/>
                            <w:szCs w:val="18"/>
                            <w:lang w:eastAsia="en-AU"/>
                          </w:rPr>
                          <w:t xml:space="preserve">Complexity costs </w:t>
                        </w:r>
                      </w:p>
                      <w:p w:rsidR="000D637E" w:rsidRPr="002803CE" w:rsidRDefault="000D637E" w:rsidP="003A1E94">
                        <w:pPr>
                          <w:jc w:val="center"/>
                          <w:rPr>
                            <w:b/>
                            <w:sz w:val="18"/>
                            <w:szCs w:val="18"/>
                            <w:lang w:eastAsia="en-AU"/>
                          </w:rPr>
                        </w:pPr>
                        <w:r w:rsidRPr="002803CE">
                          <w:rPr>
                            <w:b/>
                            <w:sz w:val="18"/>
                            <w:szCs w:val="18"/>
                            <w:lang w:eastAsia="en-AU"/>
                          </w:rPr>
                          <w:t>(B)</w:t>
                        </w:r>
                      </w:p>
                    </w:tc>
                    <w:tc>
                      <w:tcPr>
                        <w:tcW w:w="0" w:type="auto"/>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2803CE" w:rsidRDefault="000D637E">
                        <w:pPr>
                          <w:jc w:val="center"/>
                          <w:rPr>
                            <w:b/>
                            <w:sz w:val="18"/>
                            <w:szCs w:val="18"/>
                            <w:lang w:eastAsia="en-AU"/>
                          </w:rPr>
                        </w:pPr>
                        <w:r w:rsidRPr="002803CE">
                          <w:rPr>
                            <w:b/>
                            <w:sz w:val="18"/>
                            <w:szCs w:val="18"/>
                            <w:lang w:eastAsia="en-AU"/>
                          </w:rPr>
                          <w:t>Total fee</w:t>
                        </w:r>
                        <w:r w:rsidRPr="002803CE">
                          <w:rPr>
                            <w:b/>
                            <w:sz w:val="18"/>
                            <w:szCs w:val="18"/>
                            <w:lang w:eastAsia="en-AU"/>
                          </w:rPr>
                          <w:br/>
                          <w:t>(A) + (B)</w:t>
                        </w:r>
                      </w:p>
                    </w:tc>
                  </w:tr>
                  <w:tr w:rsidR="000D637E" w:rsidRPr="002803CE" w:rsidTr="00F20B20">
                    <w:trPr>
                      <w:trHeight w:val="612"/>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0D637E" w:rsidRPr="002803CE" w:rsidRDefault="000D637E" w:rsidP="004403FC">
                        <w:pPr>
                          <w:rPr>
                            <w:sz w:val="18"/>
                            <w:szCs w:val="18"/>
                            <w:lang w:eastAsia="en-AU"/>
                          </w:rPr>
                        </w:pPr>
                        <w:r w:rsidRPr="002803CE">
                          <w:rPr>
                            <w:sz w:val="18"/>
                            <w:szCs w:val="18"/>
                            <w:lang w:eastAsia="en-AU"/>
                          </w:rPr>
                          <w:t>Highway upgrade (</w:t>
                        </w:r>
                        <w:r w:rsidRPr="002803CE">
                          <w:rPr>
                            <w:i/>
                            <w:iCs/>
                            <w:sz w:val="18"/>
                            <w:szCs w:val="18"/>
                            <w:lang w:eastAsia="en-AU"/>
                          </w:rPr>
                          <w:t>Assessment on referral information</w:t>
                        </w:r>
                        <w:r w:rsidRPr="002803CE">
                          <w:rPr>
                            <w:sz w:val="18"/>
                            <w:szCs w:val="18"/>
                            <w:lang w:eastAsia="en-AU"/>
                          </w:rPr>
                          <w:t>)</w:t>
                        </w:r>
                      </w:p>
                    </w:tc>
                    <w:tc>
                      <w:tcPr>
                        <w:tcW w:w="0" w:type="auto"/>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0D637E" w:rsidRPr="002803CE" w:rsidRDefault="000D637E">
                        <w:pPr>
                          <w:jc w:val="center"/>
                          <w:rPr>
                            <w:sz w:val="18"/>
                            <w:szCs w:val="18"/>
                            <w:lang w:eastAsia="en-AU"/>
                          </w:rPr>
                        </w:pPr>
                        <w:r w:rsidRPr="002803CE">
                          <w:rPr>
                            <w:sz w:val="18"/>
                            <w:szCs w:val="18"/>
                            <w:lang w:eastAsia="en-AU"/>
                          </w:rPr>
                          <w:t>$9,417</w:t>
                        </w:r>
                      </w:p>
                    </w:tc>
                    <w:tc>
                      <w:tcPr>
                        <w:tcW w:w="0" w:type="auto"/>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0D637E" w:rsidRPr="002803CE" w:rsidRDefault="000D637E">
                        <w:pPr>
                          <w:jc w:val="center"/>
                          <w:rPr>
                            <w:sz w:val="18"/>
                            <w:szCs w:val="18"/>
                            <w:lang w:eastAsia="en-AU"/>
                          </w:rPr>
                        </w:pPr>
                        <w:r w:rsidRPr="002803CE">
                          <w:rPr>
                            <w:sz w:val="18"/>
                            <w:szCs w:val="18"/>
                            <w:lang w:eastAsia="en-AU"/>
                          </w:rPr>
                          <w:t>$</w:t>
                        </w:r>
                        <w:r>
                          <w:rPr>
                            <w:sz w:val="18"/>
                            <w:szCs w:val="18"/>
                            <w:lang w:eastAsia="en-AU"/>
                          </w:rPr>
                          <w:t>18,709</w:t>
                        </w:r>
                      </w:p>
                    </w:tc>
                    <w:tc>
                      <w:tcPr>
                        <w:tcW w:w="236" w:type="dxa"/>
                        <w:gridSpan w:val="2"/>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0D637E" w:rsidRPr="002803CE" w:rsidRDefault="000D637E" w:rsidP="00140848">
                        <w:pPr>
                          <w:rPr>
                            <w:sz w:val="18"/>
                            <w:szCs w:val="18"/>
                            <w:lang w:eastAsia="en-AU"/>
                          </w:rPr>
                        </w:pPr>
                        <w:r w:rsidRPr="002803CE">
                          <w:rPr>
                            <w:sz w:val="18"/>
                            <w:szCs w:val="18"/>
                            <w:lang w:eastAsia="en-AU"/>
                          </w:rPr>
                          <w:t xml:space="preserve">      </w:t>
                        </w:r>
                      </w:p>
                    </w:tc>
                    <w:tc>
                      <w:tcPr>
                        <w:tcW w:w="943"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0D637E" w:rsidRPr="002803CE" w:rsidRDefault="000D637E" w:rsidP="00845FCD">
                        <w:pPr>
                          <w:rPr>
                            <w:sz w:val="18"/>
                            <w:szCs w:val="18"/>
                            <w:lang w:eastAsia="en-AU"/>
                          </w:rPr>
                        </w:pPr>
                        <w:r w:rsidRPr="002803CE">
                          <w:rPr>
                            <w:sz w:val="18"/>
                            <w:szCs w:val="18"/>
                            <w:lang w:eastAsia="en-AU"/>
                          </w:rPr>
                          <w:t>$</w:t>
                        </w:r>
                        <w:r>
                          <w:rPr>
                            <w:sz w:val="18"/>
                            <w:szCs w:val="18"/>
                            <w:lang w:eastAsia="en-AU"/>
                          </w:rPr>
                          <w:t>28,126</w:t>
                        </w:r>
                      </w:p>
                    </w:tc>
                  </w:tr>
                </w:tbl>
                <w:p w:rsidR="000D637E" w:rsidRPr="002803CE" w:rsidRDefault="000D637E" w:rsidP="00B40BC4">
                  <w:pPr>
                    <w:rPr>
                      <w:sz w:val="18"/>
                      <w:szCs w:val="18"/>
                    </w:rPr>
                  </w:pPr>
                  <w:r w:rsidRPr="002803CE">
                    <w:rPr>
                      <w:sz w:val="18"/>
                      <w:szCs w:val="18"/>
                    </w:rPr>
                    <w:t>Additional complexity components (applicable fees for Example 1)</w:t>
                  </w:r>
                </w:p>
                <w:tbl>
                  <w:tblPr>
                    <w:tblStyle w:val="TableGrid"/>
                    <w:tblW w:w="0" w:type="auto"/>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745"/>
                    <w:gridCol w:w="5211"/>
                    <w:gridCol w:w="2870"/>
                    <w:gridCol w:w="1289"/>
                  </w:tblGrid>
                  <w:tr w:rsidR="000D637E" w:rsidRPr="002803CE" w:rsidTr="002D2239">
                    <w:trPr>
                      <w:cnfStyle w:val="100000000000"/>
                      <w:trHeight w:val="662"/>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0D637E" w:rsidRPr="002803CE" w:rsidRDefault="000D637E" w:rsidP="003A1E94">
                        <w:pPr>
                          <w:jc w:val="center"/>
                          <w:rPr>
                            <w:b/>
                            <w:sz w:val="18"/>
                            <w:szCs w:val="18"/>
                          </w:rPr>
                        </w:pPr>
                        <w:r w:rsidRPr="002803CE">
                          <w:rPr>
                            <w:b/>
                            <w:sz w:val="18"/>
                            <w:szCs w:val="18"/>
                          </w:rPr>
                          <w:t>Fee Ref.*</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2803CE" w:rsidRDefault="000D637E" w:rsidP="003A1E94">
                        <w:pPr>
                          <w:jc w:val="center"/>
                          <w:rPr>
                            <w:b/>
                            <w:sz w:val="18"/>
                            <w:szCs w:val="18"/>
                          </w:rPr>
                        </w:pPr>
                        <w:r w:rsidRPr="002803CE">
                          <w:rPr>
                            <w:b/>
                            <w:sz w:val="18"/>
                            <w:szCs w:val="18"/>
                          </w:rPr>
                          <w:t>Project characteristics</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2803CE" w:rsidRDefault="000D637E" w:rsidP="003A1E94">
                        <w:pPr>
                          <w:jc w:val="center"/>
                          <w:rPr>
                            <w:b/>
                            <w:sz w:val="18"/>
                            <w:szCs w:val="18"/>
                          </w:rPr>
                        </w:pPr>
                        <w:r w:rsidRPr="002803CE">
                          <w:rPr>
                            <w:b/>
                            <w:sz w:val="18"/>
                            <w:szCs w:val="18"/>
                          </w:rPr>
                          <w:t>Additional resources required during the assessment process</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2803CE" w:rsidRDefault="000D637E" w:rsidP="003A1E94">
                        <w:pPr>
                          <w:jc w:val="center"/>
                          <w:rPr>
                            <w:b/>
                            <w:sz w:val="18"/>
                            <w:szCs w:val="18"/>
                          </w:rPr>
                        </w:pPr>
                        <w:r w:rsidRPr="002803CE">
                          <w:rPr>
                            <w:b/>
                            <w:sz w:val="18"/>
                            <w:szCs w:val="18"/>
                          </w:rPr>
                          <w:t>Complexity fee</w:t>
                        </w:r>
                      </w:p>
                    </w:tc>
                  </w:tr>
                  <w:tr w:rsidR="000D637E" w:rsidRPr="002803CE" w:rsidTr="00AA3555">
                    <w:trPr>
                      <w:cnfStyle w:val="000000100000"/>
                      <w:trHeight w:val="524"/>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2803CE" w:rsidDel="004A73B7" w:rsidRDefault="000D637E" w:rsidP="003A1E94">
                        <w:pPr>
                          <w:rPr>
                            <w:sz w:val="18"/>
                            <w:szCs w:val="18"/>
                          </w:rPr>
                        </w:pPr>
                        <w:r w:rsidRPr="002803CE">
                          <w:rPr>
                            <w:sz w:val="18"/>
                            <w:szCs w:val="18"/>
                          </w:rPr>
                          <w:t>Controlling provisions triggered</w:t>
                        </w:r>
                      </w:p>
                    </w:tc>
                  </w:tr>
                  <w:tr w:rsidR="000D637E" w:rsidRPr="00F339ED" w:rsidTr="00AA3555">
                    <w:trPr>
                      <w:cnfStyle w:val="000000010000"/>
                      <w:trHeight w:val="971"/>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2803CE" w:rsidRDefault="000D637E" w:rsidP="003A1E94">
                        <w:pPr>
                          <w:jc w:val="center"/>
                          <w:rPr>
                            <w:sz w:val="18"/>
                            <w:szCs w:val="18"/>
                          </w:rPr>
                        </w:pPr>
                        <w:r w:rsidRPr="002803CE">
                          <w:rPr>
                            <w:sz w:val="18"/>
                            <w:szCs w:val="18"/>
                          </w:rPr>
                          <w:t>A</w:t>
                        </w:r>
                      </w:p>
                    </w:tc>
                    <w:tc>
                      <w:tcPr>
                        <w:tcW w:w="0" w:type="auto"/>
                        <w:tcBorders>
                          <w:top w:val="single" w:sz="4" w:space="0" w:color="548DD4" w:themeColor="text2" w:themeTint="99"/>
                          <w:left w:val="nil"/>
                          <w:bottom w:val="single" w:sz="4" w:space="0" w:color="548DD4" w:themeColor="text2" w:themeTint="99"/>
                          <w:right w:val="nil"/>
                        </w:tcBorders>
                      </w:tcPr>
                      <w:p w:rsidR="000D637E" w:rsidRPr="00F339ED" w:rsidRDefault="000D637E" w:rsidP="00F3731E">
                        <w:pPr>
                          <w:pStyle w:val="ListParagraph"/>
                          <w:numPr>
                            <w:ilvl w:val="0"/>
                            <w:numId w:val="0"/>
                          </w:numPr>
                          <w:rPr>
                            <w:sz w:val="18"/>
                            <w:szCs w:val="18"/>
                          </w:rPr>
                        </w:pPr>
                        <w:r>
                          <w:rPr>
                            <w:sz w:val="18"/>
                            <w:szCs w:val="18"/>
                          </w:rPr>
                          <w:t>Impacts are considered moderate complexity based on 5 EPBC Act listed threatened species /ecological communities requiring further assessment – 5 points.</w:t>
                        </w:r>
                      </w:p>
                    </w:tc>
                    <w:tc>
                      <w:tcPr>
                        <w:tcW w:w="0" w:type="auto"/>
                        <w:tcBorders>
                          <w:top w:val="single" w:sz="4" w:space="0" w:color="548DD4" w:themeColor="text2" w:themeTint="99"/>
                          <w:left w:val="nil"/>
                          <w:bottom w:val="single" w:sz="4" w:space="0" w:color="548DD4" w:themeColor="text2" w:themeTint="99"/>
                          <w:right w:val="nil"/>
                        </w:tcBorders>
                      </w:tcPr>
                      <w:p w:rsidR="000D637E" w:rsidRDefault="000D637E" w:rsidP="00B40BC4">
                        <w:pPr>
                          <w:pStyle w:val="ListBullet"/>
                          <w:rPr>
                            <w:sz w:val="18"/>
                            <w:szCs w:val="18"/>
                          </w:rPr>
                        </w:pPr>
                        <w:r w:rsidRPr="00CA3ABF">
                          <w:rPr>
                            <w:sz w:val="18"/>
                            <w:szCs w:val="18"/>
                          </w:rPr>
                          <w:t>Assessment Officer – 6 days</w:t>
                        </w:r>
                      </w:p>
                      <w:p w:rsidR="000D637E" w:rsidRDefault="000D637E" w:rsidP="00B40BC4">
                        <w:pPr>
                          <w:pStyle w:val="ListBullet"/>
                          <w:rPr>
                            <w:sz w:val="18"/>
                            <w:szCs w:val="18"/>
                          </w:rPr>
                        </w:pPr>
                        <w:r w:rsidRPr="00CA3ABF">
                          <w:rPr>
                            <w:sz w:val="18"/>
                            <w:szCs w:val="18"/>
                          </w:rPr>
                          <w:t>Assistant Director – 3 days</w:t>
                        </w:r>
                      </w:p>
                      <w:p w:rsidR="000D637E" w:rsidRDefault="000D637E" w:rsidP="00B40BC4">
                        <w:pPr>
                          <w:pStyle w:val="ListBullet"/>
                          <w:rPr>
                            <w:sz w:val="18"/>
                            <w:szCs w:val="18"/>
                          </w:rPr>
                        </w:pPr>
                        <w:r w:rsidRPr="00CA3ABF">
                          <w:rPr>
                            <w:sz w:val="18"/>
                            <w:szCs w:val="18"/>
                          </w:rPr>
                          <w:t>Director – 1 day</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F339ED" w:rsidRDefault="000D637E" w:rsidP="003A1E94">
                        <w:pPr>
                          <w:jc w:val="center"/>
                          <w:rPr>
                            <w:sz w:val="18"/>
                            <w:szCs w:val="18"/>
                          </w:rPr>
                        </w:pPr>
                        <w:r>
                          <w:rPr>
                            <w:sz w:val="18"/>
                            <w:szCs w:val="18"/>
                          </w:rPr>
                          <w:t>$5,463</w:t>
                        </w:r>
                      </w:p>
                    </w:tc>
                  </w:tr>
                  <w:tr w:rsidR="000D637E" w:rsidRPr="00F339ED" w:rsidTr="00AA3555">
                    <w:trPr>
                      <w:cnfStyle w:val="000000100000"/>
                      <w:trHeight w:val="971"/>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2803CE" w:rsidRDefault="000D637E" w:rsidP="003A1E94">
                        <w:pPr>
                          <w:jc w:val="center"/>
                          <w:rPr>
                            <w:sz w:val="18"/>
                            <w:szCs w:val="18"/>
                          </w:rPr>
                        </w:pPr>
                        <w:r w:rsidRPr="002803CE">
                          <w:rPr>
                            <w:sz w:val="18"/>
                            <w:szCs w:val="18"/>
                          </w:rPr>
                          <w:t>B</w:t>
                        </w:r>
                      </w:p>
                    </w:tc>
                    <w:tc>
                      <w:tcPr>
                        <w:tcW w:w="0" w:type="auto"/>
                        <w:tcBorders>
                          <w:top w:val="single" w:sz="4" w:space="0" w:color="548DD4" w:themeColor="text2" w:themeTint="99"/>
                          <w:left w:val="nil"/>
                          <w:bottom w:val="single" w:sz="4" w:space="0" w:color="548DD4" w:themeColor="text2" w:themeTint="99"/>
                          <w:right w:val="nil"/>
                        </w:tcBorders>
                      </w:tcPr>
                      <w:p w:rsidR="000D637E" w:rsidRPr="00F339ED" w:rsidRDefault="000D637E" w:rsidP="00F3731E">
                        <w:pPr>
                          <w:pStyle w:val="ListParagraph"/>
                          <w:numPr>
                            <w:ilvl w:val="0"/>
                            <w:numId w:val="0"/>
                          </w:numPr>
                          <w:rPr>
                            <w:sz w:val="18"/>
                            <w:szCs w:val="18"/>
                          </w:rPr>
                        </w:pPr>
                        <w:r>
                          <w:rPr>
                            <w:sz w:val="18"/>
                            <w:szCs w:val="18"/>
                          </w:rPr>
                          <w:t>Impacts are considered moderate complexity based on 1 EPBC Act listed migratory species requiring further assessment – one species category.</w:t>
                        </w:r>
                      </w:p>
                    </w:tc>
                    <w:tc>
                      <w:tcPr>
                        <w:tcW w:w="0" w:type="auto"/>
                        <w:tcBorders>
                          <w:top w:val="single" w:sz="4" w:space="0" w:color="548DD4" w:themeColor="text2" w:themeTint="99"/>
                          <w:left w:val="nil"/>
                          <w:bottom w:val="single" w:sz="4" w:space="0" w:color="548DD4" w:themeColor="text2" w:themeTint="99"/>
                          <w:right w:val="nil"/>
                        </w:tcBorders>
                      </w:tcPr>
                      <w:p w:rsidR="000D637E" w:rsidRDefault="000D637E" w:rsidP="00B40BC4">
                        <w:pPr>
                          <w:pStyle w:val="ListBullet"/>
                          <w:rPr>
                            <w:sz w:val="18"/>
                            <w:szCs w:val="18"/>
                          </w:rPr>
                        </w:pPr>
                        <w:r w:rsidRPr="00CA3ABF">
                          <w:rPr>
                            <w:sz w:val="18"/>
                            <w:szCs w:val="18"/>
                          </w:rPr>
                          <w:t>Assessment Officer – 6 days</w:t>
                        </w:r>
                      </w:p>
                      <w:p w:rsidR="000D637E" w:rsidRDefault="000D637E" w:rsidP="00B40BC4">
                        <w:pPr>
                          <w:pStyle w:val="ListBullet"/>
                          <w:rPr>
                            <w:sz w:val="18"/>
                            <w:szCs w:val="18"/>
                          </w:rPr>
                        </w:pPr>
                        <w:r w:rsidRPr="00CA3ABF">
                          <w:rPr>
                            <w:sz w:val="18"/>
                            <w:szCs w:val="18"/>
                          </w:rPr>
                          <w:t>Assistant Director – 3 days</w:t>
                        </w:r>
                      </w:p>
                      <w:p w:rsidR="000D637E" w:rsidRDefault="000D637E" w:rsidP="00B40BC4">
                        <w:pPr>
                          <w:pStyle w:val="ListBullet"/>
                          <w:rPr>
                            <w:sz w:val="18"/>
                            <w:szCs w:val="18"/>
                          </w:rPr>
                        </w:pPr>
                        <w:r w:rsidRPr="00CA3ABF">
                          <w:rPr>
                            <w:sz w:val="18"/>
                            <w:szCs w:val="18"/>
                          </w:rPr>
                          <w:t>Director – 1 day</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F339ED" w:rsidRDefault="000D637E" w:rsidP="003A1E94">
                        <w:pPr>
                          <w:jc w:val="center"/>
                          <w:rPr>
                            <w:sz w:val="18"/>
                            <w:szCs w:val="18"/>
                          </w:rPr>
                        </w:pPr>
                        <w:r>
                          <w:rPr>
                            <w:sz w:val="18"/>
                            <w:szCs w:val="18"/>
                          </w:rPr>
                          <w:t>$5,463</w:t>
                        </w:r>
                      </w:p>
                    </w:tc>
                  </w:tr>
                  <w:tr w:rsidR="000D637E" w:rsidRPr="00F339ED" w:rsidTr="00AA3555">
                    <w:trPr>
                      <w:cnfStyle w:val="000000010000"/>
                      <w:trHeight w:val="507"/>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F339ED" w:rsidRDefault="000D637E" w:rsidP="003A1E94">
                        <w:pPr>
                          <w:rPr>
                            <w:sz w:val="18"/>
                            <w:szCs w:val="18"/>
                          </w:rPr>
                        </w:pPr>
                        <w:r>
                          <w:rPr>
                            <w:sz w:val="18"/>
                            <w:szCs w:val="18"/>
                          </w:rPr>
                          <w:t>Project components</w:t>
                        </w:r>
                      </w:p>
                    </w:tc>
                  </w:tr>
                  <w:tr w:rsidR="000D637E" w:rsidRPr="00F339ED" w:rsidTr="00AA3555">
                    <w:trPr>
                      <w:cnfStyle w:val="000000100000"/>
                      <w:trHeight w:val="794"/>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2803CE" w:rsidRDefault="000D637E" w:rsidP="003A1E94">
                        <w:pPr>
                          <w:jc w:val="center"/>
                          <w:rPr>
                            <w:sz w:val="18"/>
                            <w:szCs w:val="18"/>
                          </w:rPr>
                        </w:pPr>
                        <w:r>
                          <w:rPr>
                            <w:sz w:val="18"/>
                            <w:szCs w:val="18"/>
                          </w:rPr>
                          <w:t>K</w:t>
                        </w:r>
                      </w:p>
                    </w:tc>
                    <w:tc>
                      <w:tcPr>
                        <w:tcW w:w="0" w:type="auto"/>
                        <w:tcBorders>
                          <w:top w:val="single" w:sz="4" w:space="0" w:color="548DD4" w:themeColor="text2" w:themeTint="99"/>
                          <w:left w:val="nil"/>
                          <w:bottom w:val="single" w:sz="4" w:space="0" w:color="548DD4" w:themeColor="text2" w:themeTint="99"/>
                          <w:right w:val="nil"/>
                        </w:tcBorders>
                      </w:tcPr>
                      <w:p w:rsidR="000D637E" w:rsidRPr="00F339ED" w:rsidRDefault="000D637E" w:rsidP="00F3731E">
                        <w:pPr>
                          <w:spacing w:after="0" w:line="240" w:lineRule="auto"/>
                          <w:ind w:left="369" w:hanging="369"/>
                          <w:contextualSpacing/>
                          <w:rPr>
                            <w:sz w:val="18"/>
                            <w:szCs w:val="18"/>
                          </w:rPr>
                        </w:pPr>
                        <w:r>
                          <w:rPr>
                            <w:sz w:val="18"/>
                            <w:szCs w:val="18"/>
                          </w:rPr>
                          <w:t>Land clearing for highway upgrade</w:t>
                        </w:r>
                      </w:p>
                    </w:tc>
                    <w:tc>
                      <w:tcPr>
                        <w:tcW w:w="0" w:type="auto"/>
                        <w:tcBorders>
                          <w:top w:val="single" w:sz="4" w:space="0" w:color="548DD4" w:themeColor="text2" w:themeTint="99"/>
                          <w:left w:val="nil"/>
                          <w:bottom w:val="single" w:sz="4" w:space="0" w:color="548DD4" w:themeColor="text2" w:themeTint="99"/>
                          <w:right w:val="nil"/>
                        </w:tcBorders>
                        <w:vAlign w:val="center"/>
                      </w:tcPr>
                      <w:p w:rsidR="000D637E" w:rsidRPr="00F339ED" w:rsidRDefault="000D637E" w:rsidP="00B40BC4">
                        <w:pPr>
                          <w:pStyle w:val="ListBullet"/>
                          <w:rPr>
                            <w:sz w:val="18"/>
                            <w:szCs w:val="18"/>
                          </w:rPr>
                        </w:pPr>
                        <w:r w:rsidRPr="00CA3ABF">
                          <w:rPr>
                            <w:sz w:val="18"/>
                            <w:szCs w:val="18"/>
                          </w:rPr>
                          <w:t>No additional cost</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F339ED" w:rsidRDefault="000D637E" w:rsidP="003A1E94">
                        <w:pPr>
                          <w:jc w:val="center"/>
                          <w:rPr>
                            <w:sz w:val="18"/>
                            <w:szCs w:val="18"/>
                          </w:rPr>
                        </w:pPr>
                        <w:r>
                          <w:rPr>
                            <w:sz w:val="18"/>
                            <w:szCs w:val="18"/>
                          </w:rPr>
                          <w:t>N/A</w:t>
                        </w:r>
                      </w:p>
                    </w:tc>
                  </w:tr>
                  <w:tr w:rsidR="000D637E" w:rsidRPr="00F339ED" w:rsidTr="00AA3555">
                    <w:trPr>
                      <w:cnfStyle w:val="000000010000"/>
                      <w:trHeight w:val="164"/>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F339ED" w:rsidDel="004A73B7" w:rsidRDefault="000D637E" w:rsidP="003A1E94">
                        <w:pPr>
                          <w:rPr>
                            <w:sz w:val="18"/>
                            <w:szCs w:val="18"/>
                          </w:rPr>
                        </w:pPr>
                        <w:r>
                          <w:rPr>
                            <w:sz w:val="18"/>
                            <w:szCs w:val="18"/>
                          </w:rPr>
                          <w:t>Adequacy of information and clarity of project scope</w:t>
                        </w:r>
                      </w:p>
                    </w:tc>
                  </w:tr>
                  <w:tr w:rsidR="000D637E" w:rsidRPr="00F339ED" w:rsidTr="00AA3555">
                    <w:trPr>
                      <w:cnfStyle w:val="000000100000"/>
                      <w:trHeight w:val="839"/>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2803CE" w:rsidRDefault="000D637E" w:rsidP="003A1E94">
                        <w:pPr>
                          <w:jc w:val="center"/>
                          <w:rPr>
                            <w:sz w:val="18"/>
                            <w:szCs w:val="18"/>
                          </w:rPr>
                        </w:pPr>
                        <w:r>
                          <w:rPr>
                            <w:sz w:val="18"/>
                            <w:szCs w:val="18"/>
                          </w:rPr>
                          <w:t>M</w:t>
                        </w:r>
                      </w:p>
                    </w:tc>
                    <w:tc>
                      <w:tcPr>
                        <w:tcW w:w="0" w:type="auto"/>
                        <w:tcBorders>
                          <w:top w:val="single" w:sz="4" w:space="0" w:color="548DD4" w:themeColor="text2" w:themeTint="99"/>
                          <w:left w:val="nil"/>
                          <w:bottom w:val="single" w:sz="4" w:space="0" w:color="548DD4" w:themeColor="text2" w:themeTint="99"/>
                          <w:right w:val="nil"/>
                        </w:tcBorders>
                      </w:tcPr>
                      <w:p w:rsidR="000D637E" w:rsidRPr="00F339ED" w:rsidRDefault="000D637E" w:rsidP="00B40BC4">
                        <w:pPr>
                          <w:pStyle w:val="ListBullet"/>
                          <w:rPr>
                            <w:sz w:val="18"/>
                            <w:szCs w:val="18"/>
                          </w:rPr>
                        </w:pPr>
                        <w:r w:rsidRPr="00CA3ABF">
                          <w:rPr>
                            <w:sz w:val="18"/>
                            <w:szCs w:val="18"/>
                          </w:rPr>
                          <w:t>Information was deemed adequate at the referral stage</w:t>
                        </w:r>
                      </w:p>
                    </w:tc>
                    <w:tc>
                      <w:tcPr>
                        <w:tcW w:w="0" w:type="auto"/>
                        <w:tcBorders>
                          <w:top w:val="single" w:sz="4" w:space="0" w:color="548DD4" w:themeColor="text2" w:themeTint="99"/>
                          <w:left w:val="nil"/>
                          <w:bottom w:val="single" w:sz="4" w:space="0" w:color="548DD4" w:themeColor="text2" w:themeTint="99"/>
                          <w:right w:val="nil"/>
                        </w:tcBorders>
                      </w:tcPr>
                      <w:p w:rsidR="000D637E" w:rsidRPr="00F339ED" w:rsidRDefault="000D637E" w:rsidP="008A56A0">
                        <w:pPr>
                          <w:pStyle w:val="ListParagraph"/>
                          <w:numPr>
                            <w:ilvl w:val="0"/>
                            <w:numId w:val="7"/>
                          </w:numPr>
                          <w:spacing w:after="0" w:line="240" w:lineRule="auto"/>
                          <w:ind w:left="360"/>
                          <w:contextualSpacing/>
                          <w:rPr>
                            <w:sz w:val="18"/>
                            <w:szCs w:val="18"/>
                          </w:rPr>
                        </w:pPr>
                        <w:r>
                          <w:rPr>
                            <w:sz w:val="18"/>
                            <w:szCs w:val="18"/>
                          </w:rPr>
                          <w:t>No additional cost</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F339ED" w:rsidRDefault="000D637E" w:rsidP="003A1E94">
                        <w:pPr>
                          <w:jc w:val="center"/>
                          <w:rPr>
                            <w:sz w:val="18"/>
                            <w:szCs w:val="18"/>
                          </w:rPr>
                        </w:pPr>
                        <w:r>
                          <w:rPr>
                            <w:sz w:val="18"/>
                            <w:szCs w:val="18"/>
                          </w:rPr>
                          <w:t>N/A</w:t>
                        </w:r>
                      </w:p>
                    </w:tc>
                  </w:tr>
                  <w:tr w:rsidR="000D637E" w:rsidRPr="00F339ED" w:rsidTr="00AA3555">
                    <w:trPr>
                      <w:cnfStyle w:val="000000010000"/>
                      <w:trHeight w:val="1206"/>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2803CE" w:rsidRDefault="000D637E" w:rsidP="003A1E94">
                        <w:pPr>
                          <w:jc w:val="center"/>
                          <w:rPr>
                            <w:sz w:val="18"/>
                            <w:szCs w:val="18"/>
                          </w:rPr>
                        </w:pPr>
                        <w:r>
                          <w:rPr>
                            <w:sz w:val="18"/>
                            <w:szCs w:val="18"/>
                          </w:rPr>
                          <w:t>N</w:t>
                        </w:r>
                      </w:p>
                    </w:tc>
                    <w:tc>
                      <w:tcPr>
                        <w:tcW w:w="0" w:type="auto"/>
                        <w:tcBorders>
                          <w:top w:val="single" w:sz="4" w:space="0" w:color="548DD4" w:themeColor="text2" w:themeTint="99"/>
                          <w:left w:val="nil"/>
                          <w:bottom w:val="single" w:sz="4" w:space="0" w:color="548DD4" w:themeColor="text2" w:themeTint="99"/>
                          <w:right w:val="nil"/>
                        </w:tcBorders>
                      </w:tcPr>
                      <w:p w:rsidR="000D637E" w:rsidRPr="00F339ED" w:rsidRDefault="000D637E" w:rsidP="00B40BC4">
                        <w:pPr>
                          <w:pStyle w:val="ListBullet"/>
                          <w:rPr>
                            <w:sz w:val="18"/>
                            <w:szCs w:val="18"/>
                          </w:rPr>
                        </w:pPr>
                        <w:r w:rsidRPr="00CA3ABF">
                          <w:rPr>
                            <w:sz w:val="18"/>
                            <w:szCs w:val="18"/>
                          </w:rPr>
                          <w:t>Information was deemed adequate at the referral stage</w:t>
                        </w:r>
                      </w:p>
                    </w:tc>
                    <w:tc>
                      <w:tcPr>
                        <w:tcW w:w="0" w:type="auto"/>
                        <w:tcBorders>
                          <w:top w:val="single" w:sz="4" w:space="0" w:color="548DD4" w:themeColor="text2" w:themeTint="99"/>
                          <w:left w:val="nil"/>
                          <w:bottom w:val="single" w:sz="4" w:space="0" w:color="548DD4" w:themeColor="text2" w:themeTint="99"/>
                          <w:right w:val="nil"/>
                        </w:tcBorders>
                      </w:tcPr>
                      <w:p w:rsidR="000D637E" w:rsidRPr="00F339ED" w:rsidRDefault="000D637E" w:rsidP="008A56A0">
                        <w:pPr>
                          <w:pStyle w:val="ListParagraph"/>
                          <w:numPr>
                            <w:ilvl w:val="0"/>
                            <w:numId w:val="7"/>
                          </w:numPr>
                          <w:spacing w:after="0" w:line="240" w:lineRule="auto"/>
                          <w:ind w:left="360"/>
                          <w:contextualSpacing/>
                          <w:rPr>
                            <w:sz w:val="18"/>
                            <w:szCs w:val="18"/>
                          </w:rPr>
                        </w:pPr>
                        <w:r>
                          <w:rPr>
                            <w:sz w:val="18"/>
                            <w:szCs w:val="18"/>
                          </w:rPr>
                          <w:t>No additional cost</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F339ED" w:rsidRDefault="000D637E" w:rsidP="003A1E94">
                        <w:pPr>
                          <w:jc w:val="center"/>
                          <w:rPr>
                            <w:sz w:val="18"/>
                            <w:szCs w:val="18"/>
                          </w:rPr>
                        </w:pPr>
                        <w:r>
                          <w:rPr>
                            <w:sz w:val="18"/>
                            <w:szCs w:val="18"/>
                          </w:rPr>
                          <w:t>N/A</w:t>
                        </w:r>
                      </w:p>
                    </w:tc>
                  </w:tr>
                  <w:tr w:rsidR="000D637E" w:rsidRPr="00F339ED" w:rsidTr="00AA3555">
                    <w:trPr>
                      <w:cnfStyle w:val="000000100000"/>
                      <w:trHeight w:val="524"/>
                    </w:trPr>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F339ED" w:rsidRDefault="000D637E" w:rsidP="003A1E94">
                        <w:pPr>
                          <w:rPr>
                            <w:sz w:val="18"/>
                            <w:szCs w:val="18"/>
                          </w:rPr>
                        </w:pPr>
                        <w:r>
                          <w:rPr>
                            <w:sz w:val="18"/>
                            <w:szCs w:val="18"/>
                          </w:rPr>
                          <w:t>Other legislation</w:t>
                        </w:r>
                      </w:p>
                    </w:tc>
                  </w:tr>
                  <w:tr w:rsidR="000D637E" w:rsidRPr="00F339ED" w:rsidTr="00AA3555">
                    <w:trPr>
                      <w:cnfStyle w:val="000000010000"/>
                      <w:trHeight w:val="1004"/>
                    </w:trPr>
                    <w:tc>
                      <w:tcPr>
                        <w:tcW w:w="0" w:type="auto"/>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2803CE" w:rsidRDefault="000D637E" w:rsidP="003A1E94">
                        <w:pPr>
                          <w:jc w:val="center"/>
                          <w:rPr>
                            <w:sz w:val="18"/>
                            <w:szCs w:val="18"/>
                          </w:rPr>
                        </w:pPr>
                        <w:r>
                          <w:rPr>
                            <w:sz w:val="18"/>
                            <w:szCs w:val="18"/>
                          </w:rPr>
                          <w:t>L</w:t>
                        </w:r>
                      </w:p>
                    </w:tc>
                    <w:tc>
                      <w:tcPr>
                        <w:tcW w:w="0" w:type="auto"/>
                        <w:tcBorders>
                          <w:top w:val="single" w:sz="4" w:space="0" w:color="548DD4" w:themeColor="text2" w:themeTint="99"/>
                          <w:left w:val="nil"/>
                          <w:bottom w:val="single" w:sz="4" w:space="0" w:color="548DD4" w:themeColor="text2" w:themeTint="99"/>
                          <w:right w:val="nil"/>
                        </w:tcBorders>
                      </w:tcPr>
                      <w:p w:rsidR="000D637E" w:rsidRPr="00F339ED" w:rsidRDefault="000D637E" w:rsidP="008A56A0">
                        <w:pPr>
                          <w:pStyle w:val="ListParagraph"/>
                          <w:numPr>
                            <w:ilvl w:val="0"/>
                            <w:numId w:val="7"/>
                          </w:numPr>
                          <w:spacing w:after="0" w:line="240" w:lineRule="auto"/>
                          <w:ind w:left="357" w:hanging="357"/>
                          <w:rPr>
                            <w:sz w:val="18"/>
                            <w:szCs w:val="18"/>
                          </w:rPr>
                        </w:pPr>
                        <w:r>
                          <w:rPr>
                            <w:sz w:val="18"/>
                            <w:szCs w:val="18"/>
                          </w:rPr>
                          <w:t>There is a moderate level of complexity under the state planning legislation. Liaison will be required to streamline approval conditions.</w:t>
                        </w:r>
                      </w:p>
                    </w:tc>
                    <w:tc>
                      <w:tcPr>
                        <w:tcW w:w="0" w:type="auto"/>
                        <w:tcBorders>
                          <w:top w:val="single" w:sz="4" w:space="0" w:color="548DD4" w:themeColor="text2" w:themeTint="99"/>
                          <w:left w:val="nil"/>
                          <w:bottom w:val="single" w:sz="4" w:space="0" w:color="548DD4" w:themeColor="text2" w:themeTint="99"/>
                          <w:right w:val="nil"/>
                        </w:tcBorders>
                      </w:tcPr>
                      <w:p w:rsidR="000D637E" w:rsidRDefault="000D637E" w:rsidP="00B40BC4">
                        <w:pPr>
                          <w:pStyle w:val="ListBullet"/>
                          <w:rPr>
                            <w:sz w:val="18"/>
                            <w:szCs w:val="18"/>
                          </w:rPr>
                        </w:pPr>
                        <w:r w:rsidRPr="00CA3ABF">
                          <w:rPr>
                            <w:sz w:val="18"/>
                            <w:szCs w:val="18"/>
                          </w:rPr>
                          <w:t>Assessment Officer – 8 days</w:t>
                        </w:r>
                      </w:p>
                      <w:p w:rsidR="000D637E" w:rsidRDefault="000D637E" w:rsidP="00B40BC4">
                        <w:pPr>
                          <w:pStyle w:val="ListBullet"/>
                          <w:rPr>
                            <w:sz w:val="18"/>
                            <w:szCs w:val="18"/>
                          </w:rPr>
                        </w:pPr>
                        <w:r w:rsidRPr="00CA3ABF">
                          <w:rPr>
                            <w:sz w:val="18"/>
                            <w:szCs w:val="18"/>
                          </w:rPr>
                          <w:t>Assistant Director – 4 days</w:t>
                        </w:r>
                      </w:p>
                      <w:p w:rsidR="000D637E" w:rsidRPr="00F339ED" w:rsidRDefault="000D637E" w:rsidP="008A56A0">
                        <w:pPr>
                          <w:pStyle w:val="ListParagraph"/>
                          <w:numPr>
                            <w:ilvl w:val="0"/>
                            <w:numId w:val="7"/>
                          </w:numPr>
                          <w:spacing w:after="0" w:line="240" w:lineRule="auto"/>
                          <w:ind w:left="360"/>
                          <w:contextualSpacing/>
                          <w:rPr>
                            <w:sz w:val="18"/>
                            <w:szCs w:val="18"/>
                          </w:rPr>
                        </w:pPr>
                        <w:r>
                          <w:rPr>
                            <w:sz w:val="18"/>
                            <w:szCs w:val="18"/>
                          </w:rPr>
                          <w:t>Director – 2 day</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F339ED" w:rsidRDefault="000D637E" w:rsidP="0079217D">
                        <w:pPr>
                          <w:jc w:val="center"/>
                          <w:rPr>
                            <w:sz w:val="18"/>
                            <w:szCs w:val="18"/>
                          </w:rPr>
                        </w:pPr>
                        <w:r>
                          <w:rPr>
                            <w:sz w:val="18"/>
                            <w:szCs w:val="18"/>
                          </w:rPr>
                          <w:t>$7,783</w:t>
                        </w:r>
                      </w:p>
                    </w:tc>
                  </w:tr>
                  <w:tr w:rsidR="000D637E" w:rsidRPr="002803CE" w:rsidTr="00AA3555">
                    <w:trPr>
                      <w:cnfStyle w:val="000000100000"/>
                      <w:trHeight w:val="200"/>
                    </w:trPr>
                    <w:tc>
                      <w:tcPr>
                        <w:tcW w:w="0" w:type="auto"/>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0D637E" w:rsidRPr="002803CE" w:rsidRDefault="000D637E" w:rsidP="003A1E94">
                        <w:pPr>
                          <w:jc w:val="right"/>
                          <w:rPr>
                            <w:caps/>
                            <w:sz w:val="20"/>
                            <w:szCs w:val="20"/>
                          </w:rPr>
                        </w:pPr>
                        <w:r w:rsidRPr="002803CE">
                          <w:rPr>
                            <w:caps/>
                            <w:sz w:val="20"/>
                            <w:szCs w:val="20"/>
                          </w:rPr>
                          <w:t>Estimated complexity costs</w:t>
                        </w:r>
                      </w:p>
                    </w:tc>
                    <w:tc>
                      <w:tcPr>
                        <w:tcW w:w="0" w:type="auto"/>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0D637E" w:rsidRPr="002803CE" w:rsidRDefault="000D637E" w:rsidP="003A1E94">
                        <w:pPr>
                          <w:jc w:val="center"/>
                          <w:rPr>
                            <w:sz w:val="20"/>
                            <w:szCs w:val="20"/>
                          </w:rPr>
                        </w:pPr>
                        <w:r>
                          <w:rPr>
                            <w:sz w:val="20"/>
                            <w:szCs w:val="20"/>
                          </w:rPr>
                          <w:t>$18,709</w:t>
                        </w:r>
                      </w:p>
                    </w:tc>
                  </w:tr>
                </w:tbl>
                <w:p w:rsidR="000D637E" w:rsidRPr="002803CE" w:rsidRDefault="000D637E" w:rsidP="00B40BC4">
                  <w:pPr>
                    <w:rPr>
                      <w:sz w:val="18"/>
                      <w:szCs w:val="18"/>
                    </w:rPr>
                  </w:pPr>
                  <w:r w:rsidRPr="002803CE">
                    <w:rPr>
                      <w:sz w:val="18"/>
                      <w:szCs w:val="18"/>
                    </w:rPr>
                    <w:t xml:space="preserve">* Please refer to complexity </w:t>
                  </w:r>
                  <w:r>
                    <w:rPr>
                      <w:sz w:val="18"/>
                      <w:szCs w:val="18"/>
                    </w:rPr>
                    <w:t xml:space="preserve">fee </w:t>
                  </w:r>
                  <w:r w:rsidRPr="002803CE">
                    <w:rPr>
                      <w:sz w:val="18"/>
                      <w:szCs w:val="18"/>
                    </w:rPr>
                    <w:t>matrix</w:t>
                  </w:r>
                </w:p>
              </w:txbxContent>
            </v:textbox>
            <w10:wrap type="none"/>
            <w10:anchorlock/>
          </v:shape>
        </w:pict>
      </w:r>
    </w:p>
    <w:p w:rsidR="0061383F" w:rsidRPr="00F366B2" w:rsidRDefault="0061383F" w:rsidP="008F227E">
      <w:pPr>
        <w:pStyle w:val="Heading3"/>
      </w:pPr>
      <w:bookmarkStart w:id="361" w:name="_Toc380065068"/>
      <w:bookmarkStart w:id="362" w:name="_Toc380142278"/>
      <w:bookmarkStart w:id="363" w:name="_Toc380737828"/>
      <w:bookmarkStart w:id="364" w:name="_Ref388534541"/>
      <w:bookmarkStart w:id="365" w:name="_Toc391541586"/>
      <w:bookmarkEnd w:id="361"/>
      <w:bookmarkEnd w:id="362"/>
      <w:bookmarkEnd w:id="363"/>
      <w:r w:rsidRPr="00F366B2">
        <w:lastRenderedPageBreak/>
        <w:t xml:space="preserve">Assessment </w:t>
      </w:r>
      <w:r w:rsidRPr="008F227E">
        <w:t>on</w:t>
      </w:r>
      <w:r w:rsidRPr="00F366B2">
        <w:t xml:space="preserve"> preliminary documentation</w:t>
      </w:r>
      <w:bookmarkEnd w:id="364"/>
      <w:bookmarkEnd w:id="365"/>
      <w:r w:rsidRPr="00F366B2">
        <w:t xml:space="preserve"> </w:t>
      </w:r>
    </w:p>
    <w:p w:rsidR="003A1E94" w:rsidRDefault="003A1E94" w:rsidP="003A1E94">
      <w:pPr>
        <w:rPr>
          <w:lang w:val="en-US"/>
        </w:rPr>
      </w:pPr>
      <w:r w:rsidRPr="00FC12C4">
        <w:rPr>
          <w:lang w:val="en-US"/>
        </w:rPr>
        <w:t>Bas</w:t>
      </w:r>
      <w:r>
        <w:rPr>
          <w:lang w:val="en-US"/>
        </w:rPr>
        <w:t>e</w:t>
      </w:r>
      <w:r w:rsidRPr="00FC12C4">
        <w:rPr>
          <w:lang w:val="en-US"/>
        </w:rPr>
        <w:t xml:space="preserve"> preliminary documentation </w:t>
      </w:r>
      <w:r>
        <w:rPr>
          <w:lang w:val="en-US"/>
        </w:rPr>
        <w:t xml:space="preserve">assessment </w:t>
      </w:r>
      <w:r w:rsidRPr="00FC12C4">
        <w:rPr>
          <w:lang w:val="en-US"/>
        </w:rPr>
        <w:t xml:space="preserve">fees (i.e. </w:t>
      </w:r>
      <w:r>
        <w:rPr>
          <w:lang w:val="en-US"/>
        </w:rPr>
        <w:t xml:space="preserve">for </w:t>
      </w:r>
      <w:r w:rsidRPr="00FC12C4">
        <w:rPr>
          <w:lang w:val="en-US"/>
        </w:rPr>
        <w:t>low complexity</w:t>
      </w:r>
      <w:r>
        <w:rPr>
          <w:lang w:val="en-US"/>
        </w:rPr>
        <w:t xml:space="preserve"> projects</w:t>
      </w:r>
      <w:r w:rsidRPr="00FC12C4">
        <w:rPr>
          <w:lang w:val="en-US"/>
        </w:rPr>
        <w:t xml:space="preserve">) are based on </w:t>
      </w:r>
      <w:r w:rsidRPr="00AA395F">
        <w:rPr>
          <w:lang w:val="en-US"/>
        </w:rPr>
        <w:t>12 equivalent person-days for an Assessment Officer and 3.5 equivalent person-days for an Assistant Director, along with executive oversight (detailed below).</w:t>
      </w:r>
      <w:r w:rsidRPr="00FC12C4">
        <w:rPr>
          <w:lang w:val="en-US"/>
        </w:rPr>
        <w:t xml:space="preserve"> </w:t>
      </w:r>
    </w:p>
    <w:p w:rsidR="003A1E94" w:rsidRDefault="003A1E94" w:rsidP="003A1E94">
      <w:pPr>
        <w:rPr>
          <w:lang w:val="en-US"/>
        </w:rPr>
      </w:pPr>
      <w:r>
        <w:rPr>
          <w:lang w:val="en-US"/>
        </w:rPr>
        <w:t>Activities involved in the preliminary documentation assessment for a low complexity project</w:t>
      </w:r>
      <w:r w:rsidRPr="00FC12C4">
        <w:rPr>
          <w:lang w:val="en-US"/>
        </w:rPr>
        <w:t xml:space="preserve"> include: </w:t>
      </w:r>
    </w:p>
    <w:p w:rsidR="003A1E94" w:rsidRDefault="00BC30D3" w:rsidP="008F17D2">
      <w:pPr>
        <w:pStyle w:val="ListBullet"/>
      </w:pPr>
      <w:r>
        <w:rPr>
          <w:lang w:val="en-US"/>
        </w:rPr>
        <w:t>A</w:t>
      </w:r>
      <w:r w:rsidR="003A1E94" w:rsidRPr="00FC12C4">
        <w:rPr>
          <w:lang w:val="en-US"/>
        </w:rPr>
        <w:t xml:space="preserve"> comprehensive review of the project scope</w:t>
      </w:r>
      <w:r w:rsidR="008F17D2">
        <w:rPr>
          <w:lang w:val="en-US"/>
        </w:rPr>
        <w:t>,</w:t>
      </w:r>
      <w:r w:rsidR="003A1E94" w:rsidRPr="00FC12C4">
        <w:rPr>
          <w:lang w:val="en-US"/>
        </w:rPr>
        <w:t xml:space="preserve"> </w:t>
      </w:r>
    </w:p>
    <w:p w:rsidR="003A1E94" w:rsidRDefault="00BC30D3" w:rsidP="008F17D2">
      <w:pPr>
        <w:pStyle w:val="ListBullet"/>
      </w:pPr>
      <w:r>
        <w:rPr>
          <w:lang w:val="en-US"/>
        </w:rPr>
        <w:t>C</w:t>
      </w:r>
      <w:r w:rsidR="003A1E94" w:rsidRPr="00FC12C4">
        <w:rPr>
          <w:lang w:val="en-US"/>
        </w:rPr>
        <w:t xml:space="preserve">onsultation with the </w:t>
      </w:r>
      <w:r w:rsidR="00B64DB5">
        <w:rPr>
          <w:lang w:val="en-US"/>
        </w:rPr>
        <w:t>applicant</w:t>
      </w:r>
      <w:r w:rsidR="008F17D2">
        <w:rPr>
          <w:lang w:val="en-US"/>
        </w:rPr>
        <w:t>,</w:t>
      </w:r>
      <w:r w:rsidR="003A1E94" w:rsidRPr="00FC12C4">
        <w:rPr>
          <w:lang w:val="en-US"/>
        </w:rPr>
        <w:t xml:space="preserve"> </w:t>
      </w:r>
    </w:p>
    <w:p w:rsidR="000B573E" w:rsidRDefault="00BC30D3">
      <w:pPr>
        <w:pStyle w:val="ListBullet"/>
      </w:pPr>
      <w:r>
        <w:rPr>
          <w:lang w:val="en-US"/>
        </w:rPr>
        <w:t>P</w:t>
      </w:r>
      <w:r w:rsidR="003A1E94" w:rsidRPr="00FC12C4">
        <w:rPr>
          <w:lang w:val="en-US"/>
        </w:rPr>
        <w:t>reparation of requests for information to inform the assessment</w:t>
      </w:r>
      <w:r w:rsidR="008F17D2">
        <w:rPr>
          <w:lang w:val="en-US"/>
        </w:rPr>
        <w:t>,</w:t>
      </w:r>
      <w:r w:rsidR="003A1E94" w:rsidRPr="00FC12C4">
        <w:rPr>
          <w:lang w:val="en-US"/>
        </w:rPr>
        <w:t xml:space="preserve"> </w:t>
      </w:r>
    </w:p>
    <w:p w:rsidR="000B573E" w:rsidRDefault="00BC30D3">
      <w:pPr>
        <w:pStyle w:val="ListBullet"/>
      </w:pPr>
      <w:r>
        <w:rPr>
          <w:lang w:val="en-US"/>
        </w:rPr>
        <w:t>R</w:t>
      </w:r>
      <w:r w:rsidR="003A1E94" w:rsidRPr="00FC12C4">
        <w:rPr>
          <w:lang w:val="en-US"/>
        </w:rPr>
        <w:t>esearch and validation of assessment documentation</w:t>
      </w:r>
      <w:r w:rsidR="008F17D2">
        <w:rPr>
          <w:lang w:val="en-US"/>
        </w:rPr>
        <w:t>,</w:t>
      </w:r>
      <w:r w:rsidR="003A1E94" w:rsidRPr="00FC12C4">
        <w:rPr>
          <w:lang w:val="en-US"/>
        </w:rPr>
        <w:t xml:space="preserve"> </w:t>
      </w:r>
    </w:p>
    <w:p w:rsidR="000B573E" w:rsidRDefault="00BC30D3">
      <w:pPr>
        <w:pStyle w:val="ListBullet"/>
      </w:pPr>
      <w:r>
        <w:rPr>
          <w:lang w:val="en-US"/>
        </w:rPr>
        <w:t>S</w:t>
      </w:r>
      <w:r w:rsidR="003A1E94" w:rsidRPr="00FC12C4">
        <w:rPr>
          <w:lang w:val="en-US"/>
        </w:rPr>
        <w:t xml:space="preserve">ourcing advice from other </w:t>
      </w:r>
      <w:r w:rsidR="001C2CB2">
        <w:rPr>
          <w:lang w:val="en-US"/>
        </w:rPr>
        <w:t>departmental</w:t>
      </w:r>
      <w:r w:rsidR="003A1E94" w:rsidRPr="00FC12C4">
        <w:rPr>
          <w:lang w:val="en-US"/>
        </w:rPr>
        <w:t xml:space="preserve"> areas</w:t>
      </w:r>
      <w:r w:rsidR="008F17D2">
        <w:rPr>
          <w:lang w:val="en-US"/>
        </w:rPr>
        <w:t>,</w:t>
      </w:r>
      <w:r w:rsidR="003A1E94" w:rsidRPr="00FC12C4">
        <w:rPr>
          <w:lang w:val="en-US"/>
        </w:rPr>
        <w:t xml:space="preserve"> </w:t>
      </w:r>
    </w:p>
    <w:p w:rsidR="000B573E" w:rsidRDefault="00BC30D3">
      <w:pPr>
        <w:pStyle w:val="ListBullet"/>
      </w:pPr>
      <w:r>
        <w:rPr>
          <w:lang w:val="en-US"/>
        </w:rPr>
        <w:t>R</w:t>
      </w:r>
      <w:r w:rsidR="003A1E94" w:rsidRPr="00FC12C4">
        <w:rPr>
          <w:lang w:val="en-US"/>
        </w:rPr>
        <w:t xml:space="preserve">eview of responses from the </w:t>
      </w:r>
      <w:r w:rsidR="00B64DB5">
        <w:rPr>
          <w:lang w:val="en-US"/>
        </w:rPr>
        <w:t>applicant</w:t>
      </w:r>
      <w:r w:rsidR="008F17D2">
        <w:rPr>
          <w:lang w:val="en-US"/>
        </w:rPr>
        <w:t>,</w:t>
      </w:r>
      <w:r w:rsidR="003A1E94" w:rsidRPr="00FC12C4">
        <w:rPr>
          <w:lang w:val="en-US"/>
        </w:rPr>
        <w:t xml:space="preserve"> </w:t>
      </w:r>
    </w:p>
    <w:p w:rsidR="003A1E94" w:rsidRDefault="00BC30D3">
      <w:pPr>
        <w:pStyle w:val="ListBullet"/>
      </w:pPr>
      <w:r>
        <w:rPr>
          <w:lang w:val="en-US"/>
        </w:rPr>
        <w:t>P</w:t>
      </w:r>
      <w:r w:rsidR="003A1E94" w:rsidRPr="00FC12C4">
        <w:rPr>
          <w:lang w:val="en-US"/>
        </w:rPr>
        <w:t>reparation of decision documentation for the Minister</w:t>
      </w:r>
      <w:r w:rsidR="003A1E94">
        <w:rPr>
          <w:lang w:val="en-US"/>
        </w:rPr>
        <w:t xml:space="preserve"> or delegate</w:t>
      </w:r>
      <w:r w:rsidR="008F17D2">
        <w:rPr>
          <w:lang w:val="en-US"/>
        </w:rPr>
        <w:t>,</w:t>
      </w:r>
      <w:r w:rsidR="003A1E94" w:rsidRPr="00FC12C4">
        <w:rPr>
          <w:lang w:val="en-US"/>
        </w:rPr>
        <w:t xml:space="preserve"> </w:t>
      </w:r>
    </w:p>
    <w:p w:rsidR="003A1E94" w:rsidRDefault="00BC30D3">
      <w:pPr>
        <w:pStyle w:val="ListBullet"/>
      </w:pPr>
      <w:r>
        <w:rPr>
          <w:lang w:val="en-US"/>
        </w:rPr>
        <w:t>C</w:t>
      </w:r>
      <w:r w:rsidR="003A1E94">
        <w:rPr>
          <w:lang w:val="en-US"/>
        </w:rPr>
        <w:t>onsideration of advice</w:t>
      </w:r>
      <w:r w:rsidR="008F17D2">
        <w:rPr>
          <w:lang w:val="en-US"/>
        </w:rPr>
        <w:t>,</w:t>
      </w:r>
      <w:r w:rsidR="003A1E94" w:rsidRPr="00FC12C4">
        <w:rPr>
          <w:lang w:val="en-US"/>
        </w:rPr>
        <w:t xml:space="preserve"> </w:t>
      </w:r>
    </w:p>
    <w:p w:rsidR="003A1E94" w:rsidRDefault="00BC30D3">
      <w:pPr>
        <w:pStyle w:val="ListBullet"/>
      </w:pPr>
      <w:r>
        <w:rPr>
          <w:lang w:val="en-US"/>
        </w:rPr>
        <w:t>D</w:t>
      </w:r>
      <w:r w:rsidR="003A1E94" w:rsidRPr="00FC12C4">
        <w:rPr>
          <w:lang w:val="en-US"/>
        </w:rPr>
        <w:t>ecision notification</w:t>
      </w:r>
      <w:r w:rsidR="008F17D2">
        <w:rPr>
          <w:lang w:val="en-US"/>
        </w:rPr>
        <w:t>,</w:t>
      </w:r>
      <w:r w:rsidR="003A1E94" w:rsidRPr="00FC12C4">
        <w:rPr>
          <w:lang w:val="en-US"/>
        </w:rPr>
        <w:t xml:space="preserve"> and </w:t>
      </w:r>
    </w:p>
    <w:p w:rsidR="003A1E94" w:rsidRDefault="00BC30D3">
      <w:pPr>
        <w:pStyle w:val="ListBullet"/>
      </w:pPr>
      <w:r>
        <w:rPr>
          <w:lang w:val="en-US"/>
        </w:rPr>
        <w:t>D</w:t>
      </w:r>
      <w:r w:rsidR="003A1E94" w:rsidRPr="00FC12C4">
        <w:rPr>
          <w:lang w:val="en-US"/>
        </w:rPr>
        <w:t xml:space="preserve">atabase input. </w:t>
      </w:r>
    </w:p>
    <w:p w:rsidR="00E5637D" w:rsidRPr="003A6A0A" w:rsidRDefault="003A1E94" w:rsidP="00CF2047">
      <w:pPr>
        <w:rPr>
          <w:lang w:val="en-US"/>
        </w:rPr>
      </w:pPr>
      <w:r w:rsidRPr="00FC12C4">
        <w:rPr>
          <w:lang w:val="en-US"/>
        </w:rPr>
        <w:t xml:space="preserve">A summary of the preliminary documentation </w:t>
      </w:r>
      <w:r>
        <w:rPr>
          <w:lang w:val="en-US"/>
        </w:rPr>
        <w:t>assessment costs</w:t>
      </w:r>
      <w:r w:rsidRPr="00FC12C4">
        <w:rPr>
          <w:lang w:val="en-US"/>
        </w:rPr>
        <w:t xml:space="preserve"> </w:t>
      </w:r>
      <w:r>
        <w:rPr>
          <w:lang w:val="en-US"/>
        </w:rPr>
        <w:t>is</w:t>
      </w:r>
      <w:r w:rsidRPr="00FC12C4">
        <w:rPr>
          <w:lang w:val="en-US"/>
        </w:rPr>
        <w:t xml:space="preserve"> outlined in</w:t>
      </w:r>
      <w:r w:rsidR="00B33D8F">
        <w:rPr>
          <w:lang w:val="en-US"/>
        </w:rPr>
        <w:t xml:space="preserve"> </w:t>
      </w:r>
      <w:fldSimple w:instr=" REF _Ref387067803 \h  \* MERGEFORMAT ">
        <w:r w:rsidR="001D521C">
          <w:t xml:space="preserve">Table </w:t>
        </w:r>
        <w:r w:rsidR="001D521C">
          <w:rPr>
            <w:noProof/>
          </w:rPr>
          <w:t>6</w:t>
        </w:r>
      </w:fldSimple>
      <w:r w:rsidR="00B33D8F">
        <w:rPr>
          <w:lang w:val="en-US"/>
        </w:rPr>
        <w:t>.</w:t>
      </w:r>
      <w:r>
        <w:rPr>
          <w:lang w:val="en-US"/>
        </w:rPr>
        <w:t xml:space="preserve"> A break-down </w:t>
      </w:r>
      <w:r w:rsidRPr="00FC12C4">
        <w:rPr>
          <w:lang w:val="en-US"/>
        </w:rPr>
        <w:t xml:space="preserve">of </w:t>
      </w:r>
      <w:r>
        <w:rPr>
          <w:lang w:val="en-US"/>
        </w:rPr>
        <w:t xml:space="preserve">processes contributing to </w:t>
      </w:r>
      <w:r w:rsidRPr="00FC12C4">
        <w:rPr>
          <w:lang w:val="en-US"/>
        </w:rPr>
        <w:t xml:space="preserve">base costs for </w:t>
      </w:r>
      <w:r>
        <w:rPr>
          <w:lang w:val="en-US"/>
        </w:rPr>
        <w:t xml:space="preserve">a </w:t>
      </w:r>
      <w:r w:rsidRPr="00FC12C4">
        <w:rPr>
          <w:lang w:val="en-US"/>
        </w:rPr>
        <w:t>preliminary documentation</w:t>
      </w:r>
      <w:r>
        <w:rPr>
          <w:lang w:val="en-US"/>
        </w:rPr>
        <w:t xml:space="preserve"> assessment</w:t>
      </w:r>
      <w:r w:rsidRPr="00FC12C4">
        <w:rPr>
          <w:lang w:val="en-US"/>
        </w:rPr>
        <w:t xml:space="preserve"> is </w:t>
      </w:r>
      <w:r>
        <w:rPr>
          <w:lang w:val="en-US"/>
        </w:rPr>
        <w:t>outlined in</w:t>
      </w:r>
      <w:r w:rsidR="00CF2047">
        <w:rPr>
          <w:lang w:val="en-US"/>
        </w:rPr>
        <w:t xml:space="preserve"> </w:t>
      </w:r>
      <w:r w:rsidR="00D30427">
        <w:rPr>
          <w:lang w:val="en-US"/>
        </w:rPr>
        <w:fldChar w:fldCharType="begin"/>
      </w:r>
      <w:r w:rsidR="00CF2047">
        <w:rPr>
          <w:lang w:val="en-US"/>
        </w:rPr>
        <w:instrText xml:space="preserve"> REF _Ref390254838 \h </w:instrText>
      </w:r>
      <w:r w:rsidR="00D30427">
        <w:rPr>
          <w:lang w:val="en-US"/>
        </w:rPr>
      </w:r>
      <w:r w:rsidR="00D30427">
        <w:rPr>
          <w:lang w:val="en-US"/>
        </w:rPr>
        <w:fldChar w:fldCharType="separate"/>
      </w:r>
      <w:r w:rsidR="001D521C">
        <w:t xml:space="preserve">Table </w:t>
      </w:r>
      <w:r w:rsidR="001D521C">
        <w:rPr>
          <w:noProof/>
        </w:rPr>
        <w:t>7</w:t>
      </w:r>
      <w:r w:rsidR="00D30427">
        <w:rPr>
          <w:lang w:val="en-US"/>
        </w:rPr>
        <w:fldChar w:fldCharType="end"/>
      </w:r>
      <w:r w:rsidR="00E5637D">
        <w:rPr>
          <w:lang w:val="en-US"/>
        </w:rPr>
        <w:t>.</w:t>
      </w:r>
    </w:p>
    <w:p w:rsidR="003A1E94" w:rsidRDefault="003A1E94" w:rsidP="003A1E94">
      <w:pPr>
        <w:rPr>
          <w:lang w:val="en-US"/>
        </w:rPr>
      </w:pPr>
    </w:p>
    <w:p w:rsidR="003A6A0A" w:rsidRDefault="003A6A0A" w:rsidP="003A6A0A">
      <w:pPr>
        <w:pStyle w:val="Caption"/>
        <w:rPr>
          <w:lang w:val="en-US"/>
        </w:rPr>
      </w:pPr>
      <w:bookmarkStart w:id="366" w:name="_Ref387067803"/>
      <w:bookmarkStart w:id="367" w:name="_Toc387069805"/>
      <w:bookmarkStart w:id="368" w:name="_Toc387073267"/>
      <w:bookmarkStart w:id="369" w:name="_Toc391541650"/>
      <w:proofErr w:type="gramStart"/>
      <w:r>
        <w:t xml:space="preserve">Table </w:t>
      </w:r>
      <w:r w:rsidR="00D30427">
        <w:fldChar w:fldCharType="begin"/>
      </w:r>
      <w:r w:rsidR="00B06D9E">
        <w:instrText xml:space="preserve"> SEQ Table \* ARABIC </w:instrText>
      </w:r>
      <w:r w:rsidR="00D30427">
        <w:fldChar w:fldCharType="separate"/>
      </w:r>
      <w:r w:rsidR="001D521C">
        <w:rPr>
          <w:noProof/>
        </w:rPr>
        <w:t>6</w:t>
      </w:r>
      <w:r w:rsidR="00D30427">
        <w:fldChar w:fldCharType="end"/>
      </w:r>
      <w:bookmarkEnd w:id="366"/>
      <w:r>
        <w:t>.</w:t>
      </w:r>
      <w:proofErr w:type="gramEnd"/>
      <w:r>
        <w:t xml:space="preserve"> </w:t>
      </w:r>
      <w:r w:rsidRPr="00587964">
        <w:t>Summary of preliminary documentation costs</w:t>
      </w:r>
      <w:r>
        <w:t>.</w:t>
      </w:r>
      <w:bookmarkEnd w:id="367"/>
      <w:bookmarkEnd w:id="368"/>
      <w:bookmarkEnd w:id="369"/>
    </w:p>
    <w:tbl>
      <w:tblPr>
        <w:tblW w:w="9644" w:type="dxa"/>
        <w:tblInd w:w="10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3691"/>
        <w:gridCol w:w="1417"/>
        <w:gridCol w:w="1985"/>
        <w:gridCol w:w="2551"/>
      </w:tblGrid>
      <w:tr w:rsidR="003A1E94" w:rsidRPr="00EB2D25" w:rsidTr="00AA3555">
        <w:trPr>
          <w:trHeight w:val="768"/>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EB2D25" w:rsidRDefault="003A1E94" w:rsidP="003A1E94">
            <w:pPr>
              <w:jc w:val="center"/>
              <w:rPr>
                <w:b/>
                <w:sz w:val="20"/>
                <w:szCs w:val="20"/>
                <w:lang w:eastAsia="en-AU"/>
              </w:rPr>
            </w:pPr>
            <w:r w:rsidRPr="00EB2D25">
              <w:rPr>
                <w:b/>
                <w:sz w:val="20"/>
                <w:szCs w:val="20"/>
                <w:lang w:eastAsia="en-AU"/>
              </w:rPr>
              <w:t>Activity</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EB2D25" w:rsidRDefault="003A1E94" w:rsidP="003A1E94">
            <w:pPr>
              <w:jc w:val="center"/>
              <w:rPr>
                <w:b/>
                <w:sz w:val="20"/>
                <w:szCs w:val="20"/>
                <w:lang w:eastAsia="en-AU"/>
              </w:rPr>
            </w:pPr>
            <w:r w:rsidRPr="00EB2D25">
              <w:rPr>
                <w:b/>
                <w:sz w:val="20"/>
                <w:szCs w:val="20"/>
                <w:lang w:eastAsia="en-AU"/>
              </w:rPr>
              <w:t>Base costs</w:t>
            </w:r>
            <w:r w:rsidRPr="00EB2D25">
              <w:rPr>
                <w:b/>
                <w:sz w:val="20"/>
                <w:szCs w:val="20"/>
                <w:lang w:eastAsia="en-AU"/>
              </w:rPr>
              <w:br/>
              <w:t xml:space="preserve"> (A)</w:t>
            </w:r>
          </w:p>
        </w:tc>
        <w:tc>
          <w:tcPr>
            <w:tcW w:w="19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Default="003A1E94" w:rsidP="003A1E94">
            <w:pPr>
              <w:jc w:val="center"/>
              <w:rPr>
                <w:b/>
                <w:sz w:val="20"/>
                <w:szCs w:val="20"/>
                <w:lang w:eastAsia="en-AU"/>
              </w:rPr>
            </w:pPr>
            <w:r>
              <w:rPr>
                <w:b/>
                <w:sz w:val="20"/>
                <w:szCs w:val="20"/>
                <w:lang w:eastAsia="en-AU"/>
              </w:rPr>
              <w:t>C</w:t>
            </w:r>
            <w:r w:rsidRPr="00EB2D25">
              <w:rPr>
                <w:b/>
                <w:sz w:val="20"/>
                <w:szCs w:val="20"/>
                <w:lang w:eastAsia="en-AU"/>
              </w:rPr>
              <w:t xml:space="preserve">omplexity costs </w:t>
            </w:r>
            <w:r w:rsidR="004975A8">
              <w:rPr>
                <w:b/>
                <w:sz w:val="20"/>
                <w:szCs w:val="20"/>
                <w:lang w:eastAsia="en-AU"/>
              </w:rPr>
              <w:t xml:space="preserve"> </w:t>
            </w:r>
          </w:p>
          <w:p w:rsidR="003A1E94" w:rsidRPr="00EB2D25" w:rsidRDefault="003A1E94" w:rsidP="003A1E94">
            <w:pPr>
              <w:jc w:val="center"/>
              <w:rPr>
                <w:b/>
                <w:sz w:val="20"/>
                <w:szCs w:val="20"/>
                <w:lang w:eastAsia="en-AU"/>
              </w:rPr>
            </w:pPr>
            <w:r w:rsidRPr="00EB2D25">
              <w:rPr>
                <w:b/>
                <w:sz w:val="20"/>
                <w:szCs w:val="20"/>
                <w:lang w:eastAsia="en-AU"/>
              </w:rPr>
              <w:t>(</w:t>
            </w:r>
            <w:r>
              <w:rPr>
                <w:b/>
                <w:sz w:val="20"/>
                <w:szCs w:val="20"/>
                <w:lang w:eastAsia="en-AU"/>
              </w:rPr>
              <w:t>B</w:t>
            </w:r>
            <w:r w:rsidRPr="00EB2D25">
              <w:rPr>
                <w:b/>
                <w:sz w:val="20"/>
                <w:szCs w:val="20"/>
                <w:lang w:eastAsia="en-AU"/>
              </w:rPr>
              <w:t>)</w:t>
            </w:r>
          </w:p>
        </w:tc>
        <w:tc>
          <w:tcPr>
            <w:tcW w:w="25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EB2D25" w:rsidRDefault="003A1E94" w:rsidP="003A1E94">
            <w:pPr>
              <w:jc w:val="center"/>
              <w:rPr>
                <w:b/>
                <w:sz w:val="20"/>
                <w:szCs w:val="20"/>
                <w:lang w:eastAsia="en-AU"/>
              </w:rPr>
            </w:pPr>
            <w:r w:rsidRPr="00EB2D25">
              <w:rPr>
                <w:b/>
                <w:sz w:val="20"/>
                <w:szCs w:val="20"/>
                <w:lang w:eastAsia="en-AU"/>
              </w:rPr>
              <w:t>Total fee</w:t>
            </w:r>
            <w:r w:rsidRPr="00EB2D25">
              <w:rPr>
                <w:b/>
                <w:sz w:val="20"/>
                <w:szCs w:val="20"/>
                <w:lang w:eastAsia="en-AU"/>
              </w:rPr>
              <w:br/>
            </w:r>
            <w:r>
              <w:rPr>
                <w:b/>
                <w:sz w:val="20"/>
                <w:szCs w:val="20"/>
                <w:lang w:eastAsia="en-AU"/>
              </w:rPr>
              <w:t>(A) + (B)</w:t>
            </w:r>
          </w:p>
        </w:tc>
      </w:tr>
      <w:tr w:rsidR="003A1E94" w:rsidRPr="00EB2D25" w:rsidTr="00AA3555">
        <w:trPr>
          <w:trHeight w:val="600"/>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3A1E94" w:rsidRPr="00EB2D25" w:rsidRDefault="003A1E94" w:rsidP="003A1E94">
            <w:pPr>
              <w:rPr>
                <w:sz w:val="20"/>
                <w:szCs w:val="20"/>
                <w:lang w:eastAsia="en-AU"/>
              </w:rPr>
            </w:pPr>
            <w:r w:rsidRPr="00EB2D25">
              <w:rPr>
                <w:sz w:val="20"/>
                <w:szCs w:val="20"/>
                <w:lang w:eastAsia="en-AU"/>
              </w:rPr>
              <w:t>Assessment on preliminary</w:t>
            </w:r>
            <w:r>
              <w:rPr>
                <w:sz w:val="20"/>
                <w:szCs w:val="20"/>
                <w:lang w:eastAsia="en-AU"/>
              </w:rPr>
              <w:t xml:space="preserve"> </w:t>
            </w:r>
            <w:r w:rsidRPr="00EB2D25">
              <w:rPr>
                <w:sz w:val="20"/>
                <w:szCs w:val="20"/>
                <w:lang w:eastAsia="en-AU"/>
              </w:rPr>
              <w:t>documentation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3A1E94" w:rsidRPr="00EB2D25" w:rsidRDefault="003A1E94" w:rsidP="0079042B">
            <w:pPr>
              <w:jc w:val="center"/>
              <w:rPr>
                <w:sz w:val="20"/>
                <w:szCs w:val="20"/>
                <w:lang w:eastAsia="en-AU"/>
              </w:rPr>
            </w:pPr>
            <w:r w:rsidRPr="00CA2237">
              <w:rPr>
                <w:sz w:val="20"/>
                <w:szCs w:val="20"/>
                <w:lang w:eastAsia="en-AU"/>
              </w:rPr>
              <w:t>$</w:t>
            </w:r>
            <w:r w:rsidR="00CA2237" w:rsidRPr="00CA2237">
              <w:rPr>
                <w:sz w:val="20"/>
                <w:szCs w:val="20"/>
                <w:lang w:eastAsia="en-AU"/>
              </w:rPr>
              <w:t>8,</w:t>
            </w:r>
            <w:r w:rsidR="0079042B">
              <w:rPr>
                <w:sz w:val="20"/>
                <w:szCs w:val="20"/>
                <w:lang w:eastAsia="en-AU"/>
              </w:rPr>
              <w:t>6</w:t>
            </w:r>
            <w:r w:rsidR="00CA2237" w:rsidRPr="00CA2237">
              <w:rPr>
                <w:sz w:val="20"/>
                <w:szCs w:val="20"/>
                <w:lang w:eastAsia="en-AU"/>
              </w:rPr>
              <w:t>61</w:t>
            </w:r>
            <w:r w:rsidR="00D00CE8">
              <w:rPr>
                <w:rStyle w:val="FootnoteReference"/>
                <w:sz w:val="20"/>
                <w:szCs w:val="20"/>
                <w:lang w:eastAsia="en-AU"/>
              </w:rPr>
              <w:footnoteReference w:id="14"/>
            </w:r>
          </w:p>
        </w:tc>
        <w:tc>
          <w:tcPr>
            <w:tcW w:w="1985"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EB2D25" w:rsidRDefault="00476F5B" w:rsidP="003A1E94">
            <w:pPr>
              <w:jc w:val="center"/>
              <w:rPr>
                <w:rFonts w:eastAsia="SimSun"/>
                <w:b/>
                <w:color w:val="0070C0"/>
                <w:sz w:val="20"/>
                <w:szCs w:val="20"/>
                <w:lang w:val="en-US" w:eastAsia="en-AU"/>
              </w:rPr>
            </w:pPr>
            <w:r>
              <w:rPr>
                <w:sz w:val="20"/>
                <w:szCs w:val="20"/>
                <w:lang w:eastAsia="en-AU"/>
              </w:rPr>
              <w:t>Determined on a case by case basis</w:t>
            </w:r>
          </w:p>
        </w:tc>
        <w:tc>
          <w:tcPr>
            <w:tcW w:w="2551"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3A1E94" w:rsidRPr="00EB2D25" w:rsidRDefault="00476F5B" w:rsidP="0079042B">
            <w:pPr>
              <w:jc w:val="center"/>
              <w:rPr>
                <w:sz w:val="20"/>
                <w:szCs w:val="20"/>
                <w:lang w:eastAsia="en-AU"/>
              </w:rPr>
            </w:pPr>
            <w:r w:rsidRPr="00CA2237">
              <w:rPr>
                <w:sz w:val="20"/>
                <w:szCs w:val="20"/>
                <w:lang w:eastAsia="en-AU"/>
              </w:rPr>
              <w:t>$8,</w:t>
            </w:r>
            <w:r w:rsidR="0079042B">
              <w:rPr>
                <w:sz w:val="20"/>
                <w:szCs w:val="20"/>
                <w:lang w:eastAsia="en-AU"/>
              </w:rPr>
              <w:t>6</w:t>
            </w:r>
            <w:r w:rsidRPr="00CA2237">
              <w:rPr>
                <w:sz w:val="20"/>
                <w:szCs w:val="20"/>
                <w:lang w:eastAsia="en-AU"/>
              </w:rPr>
              <w:t>61</w:t>
            </w:r>
            <w:r>
              <w:rPr>
                <w:sz w:val="20"/>
                <w:szCs w:val="20"/>
                <w:lang w:eastAsia="en-AU"/>
              </w:rPr>
              <w:t xml:space="preserve"> +(B)</w:t>
            </w:r>
          </w:p>
        </w:tc>
      </w:tr>
    </w:tbl>
    <w:p w:rsidR="00036B32" w:rsidRDefault="00036B32" w:rsidP="00036B32">
      <w:pPr>
        <w:pStyle w:val="Caption"/>
        <w:spacing w:after="0"/>
      </w:pPr>
      <w:bookmarkStart w:id="370" w:name="_Ref387067818"/>
      <w:bookmarkStart w:id="371" w:name="_Toc387069806"/>
      <w:bookmarkStart w:id="372" w:name="_Toc387073268"/>
    </w:p>
    <w:p w:rsidR="003261B8" w:rsidRDefault="003261B8">
      <w:pPr>
        <w:spacing w:after="0" w:line="240" w:lineRule="auto"/>
        <w:rPr>
          <w:rFonts w:asciiTheme="minorHAnsi" w:eastAsia="Times New Roman" w:hAnsiTheme="minorHAnsi" w:cstheme="minorHAnsi"/>
          <w:b/>
          <w:bCs/>
          <w:color w:val="4F81BD" w:themeColor="accent1"/>
          <w:sz w:val="20"/>
          <w:szCs w:val="20"/>
        </w:rPr>
      </w:pPr>
      <w:bookmarkStart w:id="373" w:name="_Ref388454114"/>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00366" w:rsidRDefault="00D00366">
      <w:pPr>
        <w:spacing w:after="0" w:line="240" w:lineRule="auto"/>
        <w:rPr>
          <w:rFonts w:asciiTheme="minorHAnsi" w:eastAsia="Times New Roman" w:hAnsiTheme="minorHAnsi" w:cstheme="minorHAnsi"/>
          <w:b/>
          <w:bCs/>
          <w:color w:val="4F81BD" w:themeColor="accent1"/>
          <w:sz w:val="20"/>
          <w:szCs w:val="20"/>
        </w:rPr>
      </w:pPr>
    </w:p>
    <w:p w:rsidR="00DE1B69" w:rsidRDefault="00DE1B69" w:rsidP="00036B32">
      <w:pPr>
        <w:pStyle w:val="Caption"/>
        <w:spacing w:after="0"/>
      </w:pPr>
      <w:bookmarkStart w:id="374" w:name="_Ref388876227"/>
    </w:p>
    <w:p w:rsidR="00DE1B69" w:rsidRPr="00DE1B69" w:rsidRDefault="00DE1B69" w:rsidP="00DE1B69"/>
    <w:p w:rsidR="003A6A0A" w:rsidRDefault="003A6A0A" w:rsidP="00036B32">
      <w:pPr>
        <w:pStyle w:val="Caption"/>
      </w:pPr>
      <w:bookmarkStart w:id="375" w:name="_Ref390254838"/>
      <w:bookmarkStart w:id="376" w:name="_Toc391541651"/>
      <w:proofErr w:type="gramStart"/>
      <w:r>
        <w:t xml:space="preserve">Table </w:t>
      </w:r>
      <w:r w:rsidR="00D30427">
        <w:fldChar w:fldCharType="begin"/>
      </w:r>
      <w:r w:rsidR="00B06D9E">
        <w:instrText xml:space="preserve"> SEQ Table \* ARABIC </w:instrText>
      </w:r>
      <w:r w:rsidR="00D30427">
        <w:fldChar w:fldCharType="separate"/>
      </w:r>
      <w:r w:rsidR="001D521C">
        <w:rPr>
          <w:noProof/>
        </w:rPr>
        <w:t>7</w:t>
      </w:r>
      <w:r w:rsidR="00D30427">
        <w:fldChar w:fldCharType="end"/>
      </w:r>
      <w:bookmarkEnd w:id="370"/>
      <w:bookmarkEnd w:id="373"/>
      <w:bookmarkEnd w:id="374"/>
      <w:bookmarkEnd w:id="375"/>
      <w:r>
        <w:t>.</w:t>
      </w:r>
      <w:proofErr w:type="gramEnd"/>
      <w:r>
        <w:t xml:space="preserve"> </w:t>
      </w:r>
      <w:r w:rsidRPr="009C0717">
        <w:t>Summary of Base costs (A) for preliminary documentation</w:t>
      </w:r>
      <w:r>
        <w:t>.</w:t>
      </w:r>
      <w:bookmarkEnd w:id="371"/>
      <w:bookmarkEnd w:id="372"/>
      <w:bookmarkEnd w:id="376"/>
    </w:p>
    <w:tbl>
      <w:tblPr>
        <w:tblStyle w:val="TableGrid"/>
        <w:tblW w:w="9696"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57" w:type="dxa"/>
          <w:right w:w="57" w:type="dxa"/>
        </w:tblCellMar>
        <w:tblLook w:val="04A0"/>
      </w:tblPr>
      <w:tblGrid>
        <w:gridCol w:w="5160"/>
        <w:gridCol w:w="1418"/>
        <w:gridCol w:w="1134"/>
        <w:gridCol w:w="992"/>
        <w:gridCol w:w="992"/>
      </w:tblGrid>
      <w:tr w:rsidR="003A1E94" w:rsidRPr="00EB2D25" w:rsidTr="00AA3555">
        <w:trPr>
          <w:cnfStyle w:val="100000000000"/>
          <w:trHeight w:val="269"/>
          <w:tblHeader/>
        </w:trPr>
        <w:tc>
          <w:tcPr>
            <w:tcW w:w="5160" w:type="dxa"/>
            <w:tcBorders>
              <w:top w:val="nil"/>
              <w:left w:val="nil"/>
              <w:bottom w:val="single" w:sz="4" w:space="0" w:color="548DD4" w:themeColor="text2" w:themeTint="99"/>
              <w:right w:val="single" w:sz="4" w:space="0" w:color="548DD4" w:themeColor="text2" w:themeTint="99"/>
            </w:tcBorders>
          </w:tcPr>
          <w:p w:rsidR="003A1E94" w:rsidRPr="00EB2D25" w:rsidRDefault="003A1E94" w:rsidP="003A1E94">
            <w:pPr>
              <w:widowControl w:val="0"/>
              <w:autoSpaceDE w:val="0"/>
              <w:autoSpaceDN w:val="0"/>
              <w:adjustRightInd w:val="0"/>
              <w:outlineLvl w:val="0"/>
              <w:rPr>
                <w:b/>
                <w:sz w:val="20"/>
                <w:szCs w:val="20"/>
              </w:rPr>
            </w:pPr>
          </w:p>
        </w:tc>
        <w:tc>
          <w:tcPr>
            <w:tcW w:w="453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Time (days)</w:t>
            </w:r>
          </w:p>
        </w:tc>
      </w:tr>
      <w:tr w:rsidR="003A1E94" w:rsidRPr="00EB2D25" w:rsidTr="00AA3555">
        <w:trPr>
          <w:cnfStyle w:val="100000000000"/>
          <w:trHeight w:val="269"/>
          <w:tblHeader/>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8DB3E2" w:themeFill="text2" w:themeFillTint="66"/>
            <w:vAlign w:val="center"/>
          </w:tcPr>
          <w:p w:rsidR="003A1E94" w:rsidRPr="00EB2D25" w:rsidRDefault="003A1E94" w:rsidP="003A1E94">
            <w:pPr>
              <w:jc w:val="center"/>
              <w:rPr>
                <w:b/>
                <w:sz w:val="20"/>
                <w:szCs w:val="20"/>
              </w:rPr>
            </w:pPr>
            <w:r w:rsidRPr="00EB2D25">
              <w:rPr>
                <w:b/>
                <w:sz w:val="20"/>
                <w:szCs w:val="20"/>
              </w:rPr>
              <w:t>Stages of the assessment and approval process</w:t>
            </w:r>
          </w:p>
        </w:tc>
        <w:tc>
          <w:tcPr>
            <w:tcW w:w="1418" w:type="dxa"/>
            <w:tcBorders>
              <w:top w:val="single" w:sz="4" w:space="0" w:color="548DD4" w:themeColor="text2" w:themeTint="99"/>
              <w:left w:val="nil"/>
              <w:bottom w:val="single" w:sz="4" w:space="0" w:color="548DD4" w:themeColor="text2" w:themeTint="99"/>
              <w:right w:val="nil"/>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Assessment Officer</w:t>
            </w:r>
          </w:p>
        </w:tc>
        <w:tc>
          <w:tcPr>
            <w:tcW w:w="1134" w:type="dxa"/>
            <w:tcBorders>
              <w:top w:val="single" w:sz="4" w:space="0" w:color="548DD4" w:themeColor="text2" w:themeTint="99"/>
              <w:left w:val="nil"/>
              <w:bottom w:val="single" w:sz="4" w:space="0" w:color="548DD4" w:themeColor="text2" w:themeTint="99"/>
              <w:right w:val="nil"/>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Assistant Director</w:t>
            </w:r>
          </w:p>
        </w:tc>
        <w:tc>
          <w:tcPr>
            <w:tcW w:w="992" w:type="dxa"/>
            <w:tcBorders>
              <w:top w:val="single" w:sz="4" w:space="0" w:color="548DD4" w:themeColor="text2" w:themeTint="99"/>
              <w:left w:val="nil"/>
              <w:bottom w:val="single" w:sz="4" w:space="0" w:color="548DD4" w:themeColor="text2" w:themeTint="99"/>
              <w:right w:val="nil"/>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Director</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8DB3E2" w:themeFill="text2" w:themeFillTint="66"/>
          </w:tcPr>
          <w:p w:rsidR="003A1E94" w:rsidRPr="00EB2D25" w:rsidRDefault="003A1E94" w:rsidP="003A1E94">
            <w:pPr>
              <w:jc w:val="center"/>
              <w:rPr>
                <w:b/>
                <w:sz w:val="20"/>
                <w:szCs w:val="20"/>
              </w:rPr>
            </w:pPr>
            <w:r w:rsidRPr="00EB2D25">
              <w:rPr>
                <w:b/>
                <w:sz w:val="20"/>
                <w:szCs w:val="20"/>
              </w:rPr>
              <w:t>Delegate</w:t>
            </w:r>
          </w:p>
        </w:tc>
      </w:tr>
      <w:tr w:rsidR="003556CE" w:rsidRPr="00EB2D25" w:rsidTr="00AA3555">
        <w:trPr>
          <w:cnfStyle w:val="00000010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556CE" w:rsidRPr="00EB2D25" w:rsidRDefault="003556CE" w:rsidP="003A1E94">
            <w:pPr>
              <w:rPr>
                <w:sz w:val="20"/>
                <w:szCs w:val="20"/>
              </w:rPr>
            </w:pPr>
            <w:r w:rsidRPr="00EB2D25">
              <w:rPr>
                <w:sz w:val="20"/>
                <w:szCs w:val="20"/>
              </w:rPr>
              <w:t>Stage 1: Determine information requirements</w:t>
            </w:r>
            <w:r w:rsidR="003261B8">
              <w:rPr>
                <w:rStyle w:val="FootnoteReference"/>
                <w:sz w:val="20"/>
                <w:szCs w:val="20"/>
              </w:rPr>
              <w:footnoteReference w:id="15"/>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2</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eastAsiaTheme="minorHAnsi" w:cs="Arial"/>
                <w:sz w:val="20"/>
                <w:szCs w:val="20"/>
              </w:rPr>
            </w:pPr>
            <w:r>
              <w:rPr>
                <w:rFonts w:cs="Arial"/>
                <w:sz w:val="20"/>
                <w:szCs w:val="20"/>
              </w:rPr>
              <w:t>0.03</w:t>
            </w:r>
          </w:p>
        </w:tc>
      </w:tr>
      <w:tr w:rsidR="003556CE" w:rsidRPr="00EB2D25" w:rsidTr="00AA3555">
        <w:trPr>
          <w:cnfStyle w:val="00000001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0B573E" w:rsidRDefault="003556CE">
            <w:pPr>
              <w:rPr>
                <w:sz w:val="20"/>
                <w:szCs w:val="20"/>
              </w:rPr>
            </w:pPr>
            <w:r w:rsidRPr="00EB2D25">
              <w:rPr>
                <w:sz w:val="20"/>
                <w:szCs w:val="20"/>
              </w:rPr>
              <w:t xml:space="preserve">Stage 2: Liaise with </w:t>
            </w:r>
            <w:r w:rsidR="00B64DB5">
              <w:rPr>
                <w:sz w:val="20"/>
                <w:szCs w:val="20"/>
              </w:rPr>
              <w:t>applicant</w:t>
            </w:r>
            <w:r w:rsidRPr="00EB2D25">
              <w:rPr>
                <w:sz w:val="20"/>
                <w:szCs w:val="20"/>
              </w:rPr>
              <w:t xml:space="preserve"> and other regulators, and review documents throughout preparation of </w:t>
            </w:r>
            <w:r w:rsidR="00F339ED">
              <w:rPr>
                <w:sz w:val="20"/>
                <w:szCs w:val="20"/>
              </w:rPr>
              <w:t xml:space="preserve">preliminary </w:t>
            </w:r>
            <w:r w:rsidRPr="00EB2D25">
              <w:rPr>
                <w:sz w:val="20"/>
                <w:szCs w:val="20"/>
              </w:rPr>
              <w:t>documentation</w:t>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2</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eastAsiaTheme="minorHAnsi" w:cs="Arial"/>
                <w:sz w:val="20"/>
                <w:szCs w:val="20"/>
              </w:rPr>
            </w:pPr>
            <w:r>
              <w:rPr>
                <w:rFonts w:cs="Arial"/>
                <w:sz w:val="20"/>
                <w:szCs w:val="20"/>
              </w:rPr>
              <w:t>0.03</w:t>
            </w:r>
          </w:p>
        </w:tc>
      </w:tr>
      <w:tr w:rsidR="003556CE" w:rsidRPr="00EB2D25" w:rsidTr="00AA3555">
        <w:trPr>
          <w:cnfStyle w:val="00000010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556CE" w:rsidRPr="00EB2D25" w:rsidRDefault="003556CE" w:rsidP="003A1E94">
            <w:pPr>
              <w:rPr>
                <w:sz w:val="20"/>
                <w:szCs w:val="20"/>
              </w:rPr>
            </w:pPr>
            <w:r w:rsidRPr="00EB2D25">
              <w:rPr>
                <w:sz w:val="20"/>
                <w:szCs w:val="20"/>
              </w:rPr>
              <w:t>Stage 3: Review comments and supplementary information</w:t>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cs="Arial"/>
                <w:sz w:val="20"/>
                <w:szCs w:val="20"/>
              </w:rPr>
            </w:pPr>
            <w:r>
              <w:rPr>
                <w:rFonts w:cs="Arial"/>
                <w:sz w:val="20"/>
                <w:szCs w:val="20"/>
              </w:rPr>
              <w:t>2</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cs="Arial"/>
                <w:sz w:val="20"/>
                <w:szCs w:val="20"/>
              </w:rPr>
            </w:pPr>
            <w:r>
              <w:rPr>
                <w:rFonts w:cs="Arial"/>
                <w:sz w:val="20"/>
                <w:szCs w:val="20"/>
              </w:rPr>
              <w:t>0.1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cs="Arial"/>
                <w:sz w:val="20"/>
                <w:szCs w:val="20"/>
              </w:rPr>
            </w:pPr>
            <w:r>
              <w:rPr>
                <w:rFonts w:cs="Arial"/>
                <w:sz w:val="20"/>
                <w:szCs w:val="20"/>
              </w:rPr>
              <w:t>0.03</w:t>
            </w:r>
          </w:p>
        </w:tc>
      </w:tr>
      <w:tr w:rsidR="003556CE" w:rsidRPr="00EB2D25" w:rsidTr="00AA3555">
        <w:trPr>
          <w:cnfStyle w:val="00000001000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556CE" w:rsidRPr="00EB2D25" w:rsidRDefault="003556CE" w:rsidP="003A1E94">
            <w:pPr>
              <w:rPr>
                <w:sz w:val="20"/>
                <w:szCs w:val="20"/>
              </w:rPr>
            </w:pPr>
            <w:r w:rsidRPr="00EB2D25">
              <w:rPr>
                <w:sz w:val="20"/>
                <w:szCs w:val="20"/>
              </w:rPr>
              <w:t xml:space="preserve">Stage 4: Prepare recommendation report, proposed and final decision </w:t>
            </w:r>
          </w:p>
        </w:tc>
        <w:tc>
          <w:tcPr>
            <w:tcW w:w="1418"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6</w:t>
            </w:r>
          </w:p>
        </w:tc>
        <w:tc>
          <w:tcPr>
            <w:tcW w:w="1134"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2</w:t>
            </w:r>
          </w:p>
        </w:tc>
        <w:tc>
          <w:tcPr>
            <w:tcW w:w="992" w:type="dxa"/>
            <w:tcBorders>
              <w:top w:val="single" w:sz="4" w:space="0" w:color="548DD4" w:themeColor="text2" w:themeTint="99"/>
              <w:left w:val="nil"/>
              <w:bottom w:val="single" w:sz="4" w:space="0" w:color="548DD4" w:themeColor="text2" w:themeTint="99"/>
              <w:right w:val="nil"/>
            </w:tcBorders>
            <w:vAlign w:val="center"/>
          </w:tcPr>
          <w:p w:rsidR="003556CE" w:rsidRDefault="003556CE" w:rsidP="004975A8">
            <w:pPr>
              <w:jc w:val="center"/>
              <w:rPr>
                <w:rFonts w:eastAsiaTheme="minorHAnsi" w:cs="Arial"/>
                <w:sz w:val="20"/>
                <w:szCs w:val="20"/>
              </w:rPr>
            </w:pPr>
            <w:r>
              <w:rPr>
                <w:rFonts w:cs="Arial"/>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556CE" w:rsidRDefault="003556CE" w:rsidP="004975A8">
            <w:pPr>
              <w:jc w:val="center"/>
              <w:rPr>
                <w:rFonts w:eastAsiaTheme="minorHAnsi" w:cs="Arial"/>
                <w:sz w:val="20"/>
                <w:szCs w:val="20"/>
              </w:rPr>
            </w:pPr>
            <w:r>
              <w:rPr>
                <w:rFonts w:cs="Arial"/>
                <w:sz w:val="20"/>
                <w:szCs w:val="20"/>
              </w:rPr>
              <w:t>0.06</w:t>
            </w:r>
          </w:p>
        </w:tc>
      </w:tr>
      <w:tr w:rsidR="003A1E94" w:rsidRPr="00EB2D25" w:rsidTr="00AA3555">
        <w:trPr>
          <w:cnfStyle w:val="000000100000"/>
          <w:trHeight w:val="435"/>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3A1E94" w:rsidRPr="00EB2D25" w:rsidRDefault="003A1E94" w:rsidP="003A1E94">
            <w:pPr>
              <w:jc w:val="right"/>
              <w:rPr>
                <w:sz w:val="20"/>
                <w:szCs w:val="20"/>
              </w:rPr>
            </w:pPr>
            <w:r w:rsidRPr="00EB2D25">
              <w:rPr>
                <w:sz w:val="20"/>
                <w:szCs w:val="20"/>
              </w:rPr>
              <w:t>TOTAL BASE COST</w:t>
            </w:r>
          </w:p>
        </w:tc>
        <w:tc>
          <w:tcPr>
            <w:tcW w:w="4536" w:type="dxa"/>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3A1E94" w:rsidRPr="00EB2D25" w:rsidRDefault="003A1E94" w:rsidP="003A1E94">
            <w:pPr>
              <w:jc w:val="center"/>
              <w:rPr>
                <w:sz w:val="20"/>
                <w:szCs w:val="20"/>
              </w:rPr>
            </w:pPr>
            <w:r w:rsidRPr="003556CE">
              <w:rPr>
                <w:sz w:val="20"/>
                <w:szCs w:val="20"/>
              </w:rPr>
              <w:t>$8,</w:t>
            </w:r>
            <w:r w:rsidR="003556CE" w:rsidRPr="003556CE">
              <w:rPr>
                <w:sz w:val="20"/>
                <w:szCs w:val="20"/>
              </w:rPr>
              <w:t>661</w:t>
            </w:r>
            <w:r w:rsidR="00CC29ED">
              <w:rPr>
                <w:rStyle w:val="FootnoteReference"/>
                <w:sz w:val="20"/>
                <w:szCs w:val="20"/>
              </w:rPr>
              <w:footnoteReference w:id="16"/>
            </w:r>
          </w:p>
        </w:tc>
      </w:tr>
    </w:tbl>
    <w:p w:rsidR="00501708" w:rsidRDefault="00501708" w:rsidP="003A1E94">
      <w:pPr>
        <w:rPr>
          <w:lang w:val="en-US"/>
        </w:rPr>
      </w:pPr>
    </w:p>
    <w:p w:rsidR="003A1E94" w:rsidRDefault="003A1E94" w:rsidP="003A1E94">
      <w:pPr>
        <w:rPr>
          <w:lang w:val="en-US"/>
        </w:rPr>
      </w:pPr>
      <w:r>
        <w:rPr>
          <w:lang w:val="en-US"/>
        </w:rPr>
        <w:t>F</w:t>
      </w:r>
      <w:r w:rsidRPr="00FC12C4">
        <w:rPr>
          <w:lang w:val="en-US"/>
        </w:rPr>
        <w:t xml:space="preserve">ees </w:t>
      </w:r>
      <w:r>
        <w:rPr>
          <w:lang w:val="en-US"/>
        </w:rPr>
        <w:t xml:space="preserve">that may be </w:t>
      </w:r>
      <w:r w:rsidRPr="00FC12C4">
        <w:rPr>
          <w:lang w:val="en-US"/>
        </w:rPr>
        <w:t>applicable at each stage of the preliminary documentation assessment process</w:t>
      </w:r>
      <w:r>
        <w:rPr>
          <w:lang w:val="en-US"/>
        </w:rPr>
        <w:t xml:space="preserve"> are outlined in the flowchart at </w:t>
      </w:r>
      <w:r w:rsidR="00D30427">
        <w:rPr>
          <w:lang w:val="en-US"/>
        </w:rPr>
        <w:fldChar w:fldCharType="begin"/>
      </w:r>
      <w:r w:rsidR="008F227E">
        <w:rPr>
          <w:lang w:val="en-US"/>
        </w:rPr>
        <w:instrText xml:space="preserve"> REF _Ref387067946 \h </w:instrText>
      </w:r>
      <w:r w:rsidR="00D30427">
        <w:rPr>
          <w:lang w:val="en-US"/>
        </w:rPr>
      </w:r>
      <w:r w:rsidR="00D30427">
        <w:rPr>
          <w:lang w:val="en-US"/>
        </w:rPr>
        <w:fldChar w:fldCharType="separate"/>
      </w:r>
      <w:r w:rsidR="001D521C">
        <w:t xml:space="preserve">Figure </w:t>
      </w:r>
      <w:r w:rsidR="001D521C">
        <w:rPr>
          <w:noProof/>
        </w:rPr>
        <w:t>10</w:t>
      </w:r>
      <w:r w:rsidR="00D30427">
        <w:rPr>
          <w:lang w:val="en-US"/>
        </w:rPr>
        <w:fldChar w:fldCharType="end"/>
      </w:r>
      <w:r w:rsidR="00B33D8F">
        <w:t xml:space="preserve"> </w:t>
      </w:r>
      <w:r w:rsidR="00ED1FE5">
        <w:t>below</w:t>
      </w:r>
      <w:r w:rsidR="00BF5077">
        <w:t>.</w:t>
      </w:r>
      <w:r w:rsidRPr="00FC12C4">
        <w:rPr>
          <w:lang w:val="en-US"/>
        </w:rPr>
        <w:t xml:space="preserve"> </w:t>
      </w:r>
      <w:r w:rsidR="00CD681F">
        <w:t>I</w:t>
      </w:r>
      <w:r w:rsidR="00B054AF">
        <w:t>n circumstances where</w:t>
      </w:r>
      <w:r w:rsidR="00B054AF" w:rsidRPr="00B054AF">
        <w:t xml:space="preserve"> no further information is required</w:t>
      </w:r>
      <w:r w:rsidR="0087291F">
        <w:t xml:space="preserve"> </w:t>
      </w:r>
      <w:r w:rsidR="003261B8">
        <w:t>to undertake the assessment by preliminary documentation</w:t>
      </w:r>
      <w:r w:rsidR="00CD681F">
        <w:t xml:space="preserve"> under section 95(1) of the EPBC Act</w:t>
      </w:r>
      <w:r w:rsidR="00B054AF" w:rsidRPr="00B054AF">
        <w:t>, the Stage 1 base cost fee of $1,374 plus 16% of the complexity fee will not be applicable</w:t>
      </w:r>
      <w:r w:rsidR="00B51D11">
        <w:t xml:space="preserve"> and this will reduce the total costs payable</w:t>
      </w:r>
      <w:r w:rsidR="00B054AF" w:rsidRPr="00B054AF">
        <w:t>.</w:t>
      </w:r>
    </w:p>
    <w:p w:rsidR="006439B7" w:rsidRDefault="006439B7" w:rsidP="003A1E94">
      <w:pPr>
        <w:rPr>
          <w:lang w:val="en-US"/>
        </w:rPr>
      </w:pPr>
      <w:r>
        <w:rPr>
          <w:lang w:val="en-US"/>
        </w:rPr>
        <w:t xml:space="preserve">Complexity fees may be applicable for an assessment by preliminary documentation. Refer to Example 2 </w:t>
      </w:r>
      <w:r w:rsidRPr="00BF5077">
        <w:rPr>
          <w:lang w:val="en-US"/>
        </w:rPr>
        <w:t xml:space="preserve">and 3 </w:t>
      </w:r>
      <w:r w:rsidR="00CA1607">
        <w:rPr>
          <w:lang w:val="en-US"/>
        </w:rPr>
        <w:t>below</w:t>
      </w:r>
      <w:r w:rsidRPr="00BF5077">
        <w:rPr>
          <w:lang w:val="en-US"/>
        </w:rPr>
        <w:t xml:space="preserve"> to</w:t>
      </w:r>
      <w:r>
        <w:rPr>
          <w:lang w:val="en-US"/>
        </w:rPr>
        <w:t xml:space="preserve"> see how complexity fees could be applied to a proposed action assessed by preliminary documentation under the EPBC Act, based on the complexity </w:t>
      </w:r>
      <w:r w:rsidR="00816688">
        <w:rPr>
          <w:lang w:val="en-US"/>
        </w:rPr>
        <w:t xml:space="preserve">fee </w:t>
      </w:r>
      <w:r>
        <w:rPr>
          <w:lang w:val="en-US"/>
        </w:rPr>
        <w:t xml:space="preserve">matrix. </w:t>
      </w:r>
      <w:r w:rsidR="00CA1607">
        <w:rPr>
          <w:lang w:val="en-US"/>
        </w:rPr>
        <w:t xml:space="preserve">Refer to section </w:t>
      </w:r>
      <w:r w:rsidR="00D30427">
        <w:rPr>
          <w:lang w:val="en-US"/>
        </w:rPr>
        <w:fldChar w:fldCharType="begin"/>
      </w:r>
      <w:r w:rsidR="00E232B0">
        <w:rPr>
          <w:lang w:val="en-US"/>
        </w:rPr>
        <w:instrText xml:space="preserve"> REF _Ref388972186 \r \h </w:instrText>
      </w:r>
      <w:r w:rsidR="00D30427">
        <w:rPr>
          <w:lang w:val="en-US"/>
        </w:rPr>
      </w:r>
      <w:r w:rsidR="00D30427">
        <w:rPr>
          <w:lang w:val="en-US"/>
        </w:rPr>
        <w:fldChar w:fldCharType="separate"/>
      </w:r>
      <w:r w:rsidR="001D521C">
        <w:rPr>
          <w:lang w:val="en-US"/>
        </w:rPr>
        <w:t>3.2.2.3</w:t>
      </w:r>
      <w:r w:rsidR="00D30427">
        <w:rPr>
          <w:lang w:val="en-US"/>
        </w:rPr>
        <w:fldChar w:fldCharType="end"/>
      </w:r>
      <w:r w:rsidR="008F227E">
        <w:rPr>
          <w:lang w:val="en-US"/>
        </w:rPr>
        <w:t xml:space="preserve"> </w:t>
      </w:r>
      <w:r w:rsidR="00CA1607">
        <w:rPr>
          <w:lang w:val="en-US"/>
        </w:rPr>
        <w:t xml:space="preserve">above for more information on reducing complexity fees. </w:t>
      </w:r>
    </w:p>
    <w:p w:rsidR="00E00159" w:rsidRDefault="00E00159">
      <w:pPr>
        <w:spacing w:after="0" w:line="240" w:lineRule="auto"/>
        <w:rPr>
          <w:lang w:val="en-US"/>
        </w:rPr>
      </w:pPr>
      <w:r>
        <w:rPr>
          <w:lang w:val="en-US"/>
        </w:rPr>
        <w:br w:type="page"/>
      </w:r>
    </w:p>
    <w:p w:rsidR="003E0D6C" w:rsidRDefault="002D3FE5" w:rsidP="00655B48">
      <w:pPr>
        <w:pStyle w:val="Caption"/>
      </w:pPr>
      <w:r>
        <w:rPr>
          <w:noProof/>
          <w:lang w:eastAsia="en-AU"/>
        </w:rPr>
        <w:lastRenderedPageBreak/>
        <w:drawing>
          <wp:inline distT="0" distB="0" distL="0" distR="0">
            <wp:extent cx="6031230" cy="8535057"/>
            <wp:effectExtent l="19050" t="0" r="0" b="0"/>
            <wp:docPr id="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srcRect/>
                    <a:stretch>
                      <a:fillRect/>
                    </a:stretch>
                  </pic:blipFill>
                  <pic:spPr bwMode="auto">
                    <a:xfrm>
                      <a:off x="0" y="0"/>
                      <a:ext cx="6031230" cy="8535057"/>
                    </a:xfrm>
                    <a:prstGeom prst="rect">
                      <a:avLst/>
                    </a:prstGeom>
                    <a:noFill/>
                    <a:ln w="9525">
                      <a:noFill/>
                      <a:miter lim="800000"/>
                      <a:headEnd/>
                      <a:tailEnd/>
                    </a:ln>
                  </pic:spPr>
                </pic:pic>
              </a:graphicData>
            </a:graphic>
          </wp:inline>
        </w:drawing>
      </w:r>
    </w:p>
    <w:p w:rsidR="00655B48" w:rsidRPr="00655B48" w:rsidRDefault="00887462" w:rsidP="00655B48">
      <w:pPr>
        <w:pStyle w:val="Caption"/>
      </w:pPr>
      <w:bookmarkStart w:id="377" w:name="_Ref387067946"/>
      <w:bookmarkStart w:id="378" w:name="_Ref387067921"/>
      <w:bookmarkStart w:id="379" w:name="_Toc387072715"/>
      <w:bookmarkStart w:id="380" w:name="_Toc391541639"/>
      <w:proofErr w:type="gramStart"/>
      <w:r>
        <w:t xml:space="preserve">Figure </w:t>
      </w:r>
      <w:r w:rsidR="00D30427">
        <w:fldChar w:fldCharType="begin"/>
      </w:r>
      <w:r w:rsidR="004D02C2">
        <w:instrText xml:space="preserve"> SEQ Figure \* ARABIC </w:instrText>
      </w:r>
      <w:r w:rsidR="00D30427">
        <w:fldChar w:fldCharType="separate"/>
      </w:r>
      <w:r w:rsidR="001D521C">
        <w:rPr>
          <w:noProof/>
        </w:rPr>
        <w:t>10</w:t>
      </w:r>
      <w:r w:rsidR="00D30427">
        <w:fldChar w:fldCharType="end"/>
      </w:r>
      <w:bookmarkEnd w:id="377"/>
      <w:r>
        <w:t>.</w:t>
      </w:r>
      <w:proofErr w:type="gramEnd"/>
      <w:r>
        <w:t xml:space="preserve"> </w:t>
      </w:r>
      <w:r w:rsidRPr="002F551D">
        <w:t>Fee stages flow chart for preliminary documentation.</w:t>
      </w:r>
      <w:bookmarkEnd w:id="378"/>
      <w:bookmarkEnd w:id="379"/>
      <w:bookmarkEnd w:id="380"/>
    </w:p>
    <w:p w:rsidR="003A1E94" w:rsidRDefault="00D30427" w:rsidP="003A1E94">
      <w:pPr>
        <w:rPr>
          <w:highlight w:val="yellow"/>
        </w:rPr>
      </w:pPr>
      <w:r w:rsidRPr="00D30427">
        <w:rPr>
          <w:lang w:val="en-US"/>
        </w:rPr>
      </w:r>
      <w:r w:rsidRPr="00D30427">
        <w:rPr>
          <w:lang w:val="en-US"/>
        </w:rPr>
        <w:pict>
          <v:shape id="_x0000_s1163" type="#_x0000_t202" style="width:522.3pt;height:757.2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63">
              <w:txbxContent>
                <w:p w:rsidR="000D637E" w:rsidRPr="006542AA" w:rsidRDefault="000D637E" w:rsidP="003A1E94">
                  <w:pPr>
                    <w:rPr>
                      <w:b/>
                      <w:color w:val="1F497D" w:themeColor="text2"/>
                      <w:sz w:val="18"/>
                      <w:szCs w:val="18"/>
                    </w:rPr>
                  </w:pPr>
                  <w:r>
                    <w:rPr>
                      <w:b/>
                      <w:color w:val="1F497D" w:themeColor="text2"/>
                      <w:sz w:val="18"/>
                      <w:szCs w:val="18"/>
                    </w:rPr>
                    <w:t>Example 2</w:t>
                  </w:r>
                  <w:r w:rsidRPr="006542AA">
                    <w:rPr>
                      <w:b/>
                      <w:color w:val="1F497D" w:themeColor="text2"/>
                      <w:sz w:val="18"/>
                      <w:szCs w:val="18"/>
                    </w:rPr>
                    <w:t xml:space="preserve"> — Residential development (preliminary documentation)</w:t>
                  </w:r>
                </w:p>
                <w:p w:rsidR="000D637E" w:rsidRPr="006542AA" w:rsidRDefault="000D637E" w:rsidP="003A1E94">
                  <w:pPr>
                    <w:rPr>
                      <w:sz w:val="18"/>
                      <w:szCs w:val="18"/>
                    </w:rPr>
                  </w:pPr>
                  <w:r w:rsidRPr="006542AA">
                    <w:rPr>
                      <w:b/>
                      <w:sz w:val="18"/>
                      <w:szCs w:val="18"/>
                    </w:rPr>
                    <w:t xml:space="preserve">Project description: </w:t>
                  </w:r>
                  <w:r w:rsidRPr="006542AA">
                    <w:rPr>
                      <w:sz w:val="18"/>
                      <w:szCs w:val="18"/>
                    </w:rPr>
                    <w:t xml:space="preserve">Building Homes Pty Ltd is proposing a residential development, which requires clearing and alteration of water courses in an area that provides important high quality habitat for a threatened species and ecological communities. </w:t>
                  </w:r>
                </w:p>
                <w:tbl>
                  <w:tblPr>
                    <w:tblW w:w="10080" w:type="dxa"/>
                    <w:tblInd w:w="9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ayout w:type="fixed"/>
                    <w:tblLook w:val="04A0"/>
                  </w:tblPr>
                  <w:tblGrid>
                    <w:gridCol w:w="3984"/>
                    <w:gridCol w:w="1843"/>
                    <w:gridCol w:w="284"/>
                    <w:gridCol w:w="1842"/>
                    <w:gridCol w:w="284"/>
                    <w:gridCol w:w="1843"/>
                  </w:tblGrid>
                  <w:tr w:rsidR="000D637E" w:rsidRPr="006542AA" w:rsidTr="002D2239">
                    <w:trPr>
                      <w:trHeight w:val="612"/>
                    </w:trPr>
                    <w:tc>
                      <w:tcPr>
                        <w:tcW w:w="3984" w:type="dxa"/>
                        <w:tcBorders>
                          <w:right w:val="single" w:sz="4" w:space="0" w:color="548DD4" w:themeColor="text2" w:themeTint="99"/>
                        </w:tcBorders>
                        <w:shd w:val="clear" w:color="auto" w:fill="C6D9F1" w:themeFill="text2" w:themeFillTint="33"/>
                        <w:vAlign w:val="center"/>
                        <w:hideMark/>
                      </w:tcPr>
                      <w:p w:rsidR="000D637E" w:rsidRPr="006542AA" w:rsidRDefault="000D637E">
                        <w:pPr>
                          <w:jc w:val="center"/>
                          <w:rPr>
                            <w:b/>
                            <w:sz w:val="18"/>
                            <w:szCs w:val="18"/>
                            <w:lang w:eastAsia="en-AU"/>
                          </w:rPr>
                        </w:pPr>
                        <w:r w:rsidRPr="006542AA">
                          <w:rPr>
                            <w:b/>
                            <w:sz w:val="18"/>
                            <w:szCs w:val="18"/>
                            <w:lang w:eastAsia="en-AU"/>
                          </w:rPr>
                          <w:t>Activity</w:t>
                        </w:r>
                      </w:p>
                    </w:tc>
                    <w:tc>
                      <w:tcPr>
                        <w:tcW w:w="1843" w:type="dxa"/>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6542AA" w:rsidRDefault="000D637E">
                        <w:pPr>
                          <w:jc w:val="center"/>
                          <w:rPr>
                            <w:b/>
                            <w:sz w:val="18"/>
                            <w:szCs w:val="18"/>
                            <w:lang w:eastAsia="en-AU"/>
                          </w:rPr>
                        </w:pPr>
                        <w:r w:rsidRPr="006542AA">
                          <w:rPr>
                            <w:b/>
                            <w:sz w:val="18"/>
                            <w:szCs w:val="18"/>
                            <w:lang w:eastAsia="en-AU"/>
                          </w:rPr>
                          <w:t xml:space="preserve">Base costs </w:t>
                        </w:r>
                      </w:p>
                      <w:p w:rsidR="000D637E" w:rsidRPr="006542AA" w:rsidRDefault="000D637E">
                        <w:pPr>
                          <w:jc w:val="center"/>
                          <w:rPr>
                            <w:b/>
                            <w:sz w:val="18"/>
                            <w:szCs w:val="18"/>
                            <w:lang w:eastAsia="en-AU"/>
                          </w:rPr>
                        </w:pPr>
                        <w:r w:rsidRPr="006542AA">
                          <w:rPr>
                            <w:b/>
                            <w:sz w:val="18"/>
                            <w:szCs w:val="18"/>
                            <w:lang w:eastAsia="en-AU"/>
                          </w:rPr>
                          <w:t>(A)</w:t>
                        </w:r>
                      </w:p>
                    </w:tc>
                    <w:tc>
                      <w:tcPr>
                        <w:tcW w:w="2126" w:type="dxa"/>
                        <w:gridSpan w:val="2"/>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6542AA" w:rsidRDefault="000D637E" w:rsidP="003A1E94">
                        <w:pPr>
                          <w:jc w:val="center"/>
                          <w:rPr>
                            <w:b/>
                            <w:sz w:val="18"/>
                            <w:szCs w:val="18"/>
                            <w:lang w:eastAsia="en-AU"/>
                          </w:rPr>
                        </w:pPr>
                        <w:r w:rsidRPr="006542AA">
                          <w:rPr>
                            <w:b/>
                            <w:sz w:val="18"/>
                            <w:szCs w:val="18"/>
                            <w:lang w:eastAsia="en-AU"/>
                          </w:rPr>
                          <w:t xml:space="preserve">Complexity costs </w:t>
                        </w:r>
                      </w:p>
                      <w:p w:rsidR="000D637E" w:rsidRPr="006542AA" w:rsidRDefault="000D637E" w:rsidP="003A1E94">
                        <w:pPr>
                          <w:jc w:val="center"/>
                          <w:rPr>
                            <w:b/>
                            <w:sz w:val="18"/>
                            <w:szCs w:val="18"/>
                            <w:lang w:eastAsia="en-AU"/>
                          </w:rPr>
                        </w:pPr>
                        <w:r>
                          <w:rPr>
                            <w:b/>
                            <w:sz w:val="18"/>
                            <w:szCs w:val="18"/>
                            <w:lang w:eastAsia="en-AU"/>
                          </w:rPr>
                          <w:t>(B</w:t>
                        </w:r>
                        <w:r w:rsidRPr="006542AA">
                          <w:rPr>
                            <w:b/>
                            <w:sz w:val="18"/>
                            <w:szCs w:val="18"/>
                            <w:lang w:eastAsia="en-AU"/>
                          </w:rPr>
                          <w:t>)</w:t>
                        </w:r>
                      </w:p>
                    </w:tc>
                    <w:tc>
                      <w:tcPr>
                        <w:tcW w:w="2127" w:type="dxa"/>
                        <w:gridSpan w:val="2"/>
                        <w:tcBorders>
                          <w:left w:val="single" w:sz="4" w:space="0" w:color="548DD4" w:themeColor="text2" w:themeTint="99"/>
                        </w:tcBorders>
                        <w:shd w:val="clear" w:color="auto" w:fill="C6D9F1" w:themeFill="text2" w:themeFillTint="33"/>
                        <w:vAlign w:val="center"/>
                        <w:hideMark/>
                      </w:tcPr>
                      <w:p w:rsidR="000D637E" w:rsidRPr="006542AA" w:rsidRDefault="000D637E">
                        <w:pPr>
                          <w:jc w:val="center"/>
                          <w:rPr>
                            <w:b/>
                            <w:sz w:val="18"/>
                            <w:szCs w:val="18"/>
                            <w:lang w:eastAsia="en-AU"/>
                          </w:rPr>
                        </w:pPr>
                        <w:r>
                          <w:rPr>
                            <w:b/>
                            <w:sz w:val="18"/>
                            <w:szCs w:val="18"/>
                            <w:lang w:eastAsia="en-AU"/>
                          </w:rPr>
                          <w:t>Total fee</w:t>
                        </w:r>
                        <w:r>
                          <w:rPr>
                            <w:b/>
                            <w:sz w:val="18"/>
                            <w:szCs w:val="18"/>
                            <w:lang w:eastAsia="en-AU"/>
                          </w:rPr>
                          <w:br/>
                          <w:t>(A) + (B)</w:t>
                        </w:r>
                      </w:p>
                    </w:tc>
                  </w:tr>
                  <w:tr w:rsidR="000D637E" w:rsidRPr="006542AA" w:rsidTr="00102BCE">
                    <w:trPr>
                      <w:trHeight w:val="551"/>
                    </w:trPr>
                    <w:tc>
                      <w:tcPr>
                        <w:tcW w:w="3984" w:type="dxa"/>
                        <w:shd w:val="clear" w:color="auto" w:fill="auto"/>
                        <w:vAlign w:val="center"/>
                        <w:hideMark/>
                      </w:tcPr>
                      <w:p w:rsidR="000D637E" w:rsidRPr="006542AA" w:rsidRDefault="000D637E">
                        <w:pPr>
                          <w:rPr>
                            <w:sz w:val="18"/>
                            <w:szCs w:val="18"/>
                            <w:lang w:eastAsia="en-AU"/>
                          </w:rPr>
                        </w:pPr>
                        <w:r w:rsidRPr="006542AA">
                          <w:rPr>
                            <w:sz w:val="18"/>
                            <w:szCs w:val="18"/>
                            <w:lang w:eastAsia="en-AU"/>
                          </w:rPr>
                          <w:t>Residential development  (</w:t>
                        </w:r>
                        <w:r w:rsidRPr="006542AA">
                          <w:rPr>
                            <w:i/>
                            <w:iCs/>
                            <w:sz w:val="18"/>
                            <w:szCs w:val="18"/>
                            <w:lang w:eastAsia="en-AU"/>
                          </w:rPr>
                          <w:t>Preliminary documentation</w:t>
                        </w:r>
                        <w:r w:rsidRPr="006542AA">
                          <w:rPr>
                            <w:sz w:val="18"/>
                            <w:szCs w:val="18"/>
                            <w:lang w:eastAsia="en-AU"/>
                          </w:rPr>
                          <w:t>)</w:t>
                        </w:r>
                      </w:p>
                    </w:tc>
                    <w:tc>
                      <w:tcPr>
                        <w:tcW w:w="1843" w:type="dxa"/>
                        <w:shd w:val="clear" w:color="auto" w:fill="auto"/>
                        <w:noWrap/>
                        <w:vAlign w:val="center"/>
                        <w:hideMark/>
                      </w:tcPr>
                      <w:p w:rsidR="000D637E" w:rsidRPr="00926B85" w:rsidRDefault="000D637E" w:rsidP="00926B85">
                        <w:pPr>
                          <w:jc w:val="center"/>
                          <w:rPr>
                            <w:sz w:val="18"/>
                            <w:szCs w:val="18"/>
                            <w:lang w:eastAsia="en-AU"/>
                          </w:rPr>
                        </w:pPr>
                        <w:r w:rsidRPr="00926B85">
                          <w:rPr>
                            <w:sz w:val="18"/>
                            <w:szCs w:val="18"/>
                            <w:lang w:eastAsia="en-AU"/>
                          </w:rPr>
                          <w:t>$8,661</w:t>
                        </w:r>
                      </w:p>
                    </w:tc>
                    <w:tc>
                      <w:tcPr>
                        <w:tcW w:w="284" w:type="dxa"/>
                        <w:shd w:val="clear" w:color="auto" w:fill="auto"/>
                        <w:noWrap/>
                        <w:vAlign w:val="center"/>
                        <w:hideMark/>
                      </w:tcPr>
                      <w:p w:rsidR="000D637E" w:rsidRPr="00926B85" w:rsidRDefault="000D637E">
                        <w:pPr>
                          <w:jc w:val="center"/>
                          <w:rPr>
                            <w:sz w:val="18"/>
                            <w:szCs w:val="18"/>
                            <w:lang w:eastAsia="en-AU"/>
                          </w:rPr>
                        </w:pPr>
                      </w:p>
                    </w:tc>
                    <w:tc>
                      <w:tcPr>
                        <w:tcW w:w="2126" w:type="dxa"/>
                        <w:gridSpan w:val="2"/>
                        <w:shd w:val="clear" w:color="auto" w:fill="auto"/>
                        <w:noWrap/>
                        <w:vAlign w:val="center"/>
                        <w:hideMark/>
                      </w:tcPr>
                      <w:p w:rsidR="000D637E" w:rsidRPr="006C335A" w:rsidRDefault="000D637E" w:rsidP="00926B85">
                        <w:pPr>
                          <w:rPr>
                            <w:sz w:val="18"/>
                            <w:szCs w:val="18"/>
                            <w:lang w:eastAsia="en-AU"/>
                          </w:rPr>
                        </w:pPr>
                        <w:r w:rsidRPr="006C335A">
                          <w:rPr>
                            <w:sz w:val="18"/>
                            <w:szCs w:val="18"/>
                            <w:lang w:eastAsia="en-AU"/>
                          </w:rPr>
                          <w:t xml:space="preserve">      $58,130</w:t>
                        </w:r>
                      </w:p>
                    </w:tc>
                    <w:tc>
                      <w:tcPr>
                        <w:tcW w:w="1843" w:type="dxa"/>
                        <w:shd w:val="clear" w:color="auto" w:fill="auto"/>
                        <w:noWrap/>
                        <w:vAlign w:val="center"/>
                        <w:hideMark/>
                      </w:tcPr>
                      <w:p w:rsidR="000D637E" w:rsidRPr="006C335A" w:rsidRDefault="000D637E" w:rsidP="006C335A">
                        <w:pPr>
                          <w:rPr>
                            <w:sz w:val="18"/>
                            <w:szCs w:val="18"/>
                            <w:lang w:eastAsia="en-AU"/>
                          </w:rPr>
                        </w:pPr>
                        <w:r w:rsidRPr="006C335A">
                          <w:rPr>
                            <w:sz w:val="18"/>
                            <w:szCs w:val="18"/>
                            <w:lang w:eastAsia="en-AU"/>
                          </w:rPr>
                          <w:t xml:space="preserve">      $66,791</w:t>
                        </w:r>
                      </w:p>
                    </w:tc>
                  </w:tr>
                </w:tbl>
                <w:p w:rsidR="000D637E" w:rsidRPr="006542AA" w:rsidRDefault="000D637E" w:rsidP="003A1E94">
                  <w:pPr>
                    <w:rPr>
                      <w:sz w:val="18"/>
                      <w:szCs w:val="18"/>
                    </w:rPr>
                  </w:pPr>
                  <w:r w:rsidRPr="006542AA">
                    <w:rPr>
                      <w:sz w:val="18"/>
                      <w:szCs w:val="18"/>
                    </w:rPr>
                    <w:t>Additional complexity components (applicable fees</w:t>
                  </w:r>
                  <w:r>
                    <w:rPr>
                      <w:sz w:val="18"/>
                      <w:szCs w:val="18"/>
                    </w:rPr>
                    <w:t xml:space="preserve"> for Example 2</w:t>
                  </w:r>
                  <w:r w:rsidRPr="006542AA">
                    <w:rPr>
                      <w:sz w:val="18"/>
                      <w:szCs w:val="18"/>
                    </w:rPr>
                    <w:t>)</w:t>
                  </w:r>
                </w:p>
                <w:tbl>
                  <w:tblPr>
                    <w:tblStyle w:val="TableGrid"/>
                    <w:tblW w:w="10172" w:type="dxa"/>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737"/>
                    <w:gridCol w:w="4423"/>
                    <w:gridCol w:w="3685"/>
                    <w:gridCol w:w="1327"/>
                  </w:tblGrid>
                  <w:tr w:rsidR="000D637E" w:rsidRPr="006542AA" w:rsidTr="002D2239">
                    <w:trPr>
                      <w:cnfStyle w:val="100000000000"/>
                      <w:trHeight w:val="539"/>
                    </w:trPr>
                    <w:tc>
                      <w:tcPr>
                        <w:tcW w:w="73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0D637E" w:rsidRPr="006542AA" w:rsidRDefault="000D637E" w:rsidP="003A1E94">
                        <w:pPr>
                          <w:jc w:val="center"/>
                          <w:rPr>
                            <w:b/>
                            <w:sz w:val="18"/>
                            <w:szCs w:val="18"/>
                          </w:rPr>
                        </w:pPr>
                        <w:r w:rsidRPr="006542AA">
                          <w:rPr>
                            <w:b/>
                            <w:sz w:val="18"/>
                            <w:szCs w:val="18"/>
                          </w:rPr>
                          <w:t>Fee Ref.*</w:t>
                        </w:r>
                      </w:p>
                    </w:tc>
                    <w:tc>
                      <w:tcPr>
                        <w:tcW w:w="442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6542AA" w:rsidRDefault="000D637E" w:rsidP="003A1E94">
                        <w:pPr>
                          <w:jc w:val="center"/>
                          <w:rPr>
                            <w:b/>
                            <w:sz w:val="18"/>
                            <w:szCs w:val="18"/>
                          </w:rPr>
                        </w:pPr>
                        <w:r w:rsidRPr="006542AA">
                          <w:rPr>
                            <w:b/>
                            <w:sz w:val="18"/>
                            <w:szCs w:val="18"/>
                          </w:rPr>
                          <w:t>Project characteristics</w:t>
                        </w: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6542AA" w:rsidRDefault="000D637E" w:rsidP="003A1E94">
                        <w:pPr>
                          <w:jc w:val="center"/>
                          <w:rPr>
                            <w:b/>
                            <w:sz w:val="18"/>
                            <w:szCs w:val="18"/>
                          </w:rPr>
                        </w:pPr>
                        <w:r w:rsidRPr="006542AA">
                          <w:rPr>
                            <w:b/>
                            <w:sz w:val="18"/>
                            <w:szCs w:val="18"/>
                          </w:rPr>
                          <w:t>Additional resources required during the assessment process</w:t>
                        </w:r>
                      </w:p>
                    </w:tc>
                    <w:tc>
                      <w:tcPr>
                        <w:tcW w:w="13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6542AA" w:rsidRDefault="000D637E" w:rsidP="003A1E94">
                        <w:pPr>
                          <w:jc w:val="center"/>
                          <w:rPr>
                            <w:b/>
                            <w:sz w:val="18"/>
                            <w:szCs w:val="18"/>
                          </w:rPr>
                        </w:pPr>
                        <w:r w:rsidRPr="006542AA">
                          <w:rPr>
                            <w:b/>
                            <w:sz w:val="18"/>
                            <w:szCs w:val="18"/>
                          </w:rPr>
                          <w:t>Complexity fee</w:t>
                        </w:r>
                      </w:p>
                    </w:tc>
                  </w:tr>
                  <w:tr w:rsidR="000D637E" w:rsidRPr="006542AA" w:rsidTr="002D2239">
                    <w:trPr>
                      <w:cnfStyle w:val="000000100000"/>
                      <w:trHeight w:val="524"/>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6542AA" w:rsidDel="004A73B7" w:rsidRDefault="000D637E" w:rsidP="003A1E94">
                        <w:pPr>
                          <w:rPr>
                            <w:sz w:val="18"/>
                            <w:szCs w:val="18"/>
                          </w:rPr>
                        </w:pPr>
                        <w:r w:rsidRPr="006542AA">
                          <w:rPr>
                            <w:sz w:val="18"/>
                            <w:szCs w:val="18"/>
                          </w:rPr>
                          <w:t>Controlling provisions triggered</w:t>
                        </w:r>
                      </w:p>
                    </w:tc>
                  </w:tr>
                  <w:tr w:rsidR="000D637E" w:rsidRPr="006542AA" w:rsidTr="002D2239">
                    <w:trPr>
                      <w:cnfStyle w:val="000000010000"/>
                      <w:trHeight w:val="1300"/>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6542AA" w:rsidRDefault="000D637E" w:rsidP="003A1E94">
                        <w:pPr>
                          <w:jc w:val="center"/>
                          <w:rPr>
                            <w:sz w:val="18"/>
                            <w:szCs w:val="18"/>
                          </w:rPr>
                        </w:pPr>
                        <w:r w:rsidRPr="006542AA">
                          <w:rPr>
                            <w:sz w:val="18"/>
                            <w:szCs w:val="18"/>
                          </w:rPr>
                          <w:t>A</w:t>
                        </w:r>
                      </w:p>
                    </w:tc>
                    <w:tc>
                      <w:tcPr>
                        <w:tcW w:w="4423" w:type="dxa"/>
                        <w:tcBorders>
                          <w:top w:val="single" w:sz="4" w:space="0" w:color="548DD4" w:themeColor="text2" w:themeTint="99"/>
                          <w:left w:val="nil"/>
                          <w:bottom w:val="single" w:sz="4" w:space="0" w:color="548DD4" w:themeColor="text2" w:themeTint="99"/>
                          <w:right w:val="nil"/>
                        </w:tcBorders>
                      </w:tcPr>
                      <w:p w:rsidR="000D637E" w:rsidRPr="006542AA" w:rsidRDefault="000D637E" w:rsidP="003A1E94">
                        <w:pPr>
                          <w:pStyle w:val="ListParagraph"/>
                          <w:ind w:left="0"/>
                          <w:rPr>
                            <w:sz w:val="18"/>
                            <w:szCs w:val="18"/>
                          </w:rPr>
                        </w:pPr>
                        <w:r w:rsidRPr="006542AA">
                          <w:rPr>
                            <w:sz w:val="18"/>
                            <w:szCs w:val="18"/>
                          </w:rPr>
                          <w:t>Impacts are considered high complexity based on 8 EPBC Act listed threatened species / ecological communities requiring further assessment – 10 points</w:t>
                        </w:r>
                      </w:p>
                    </w:tc>
                    <w:tc>
                      <w:tcPr>
                        <w:tcW w:w="3684" w:type="dxa"/>
                        <w:tcBorders>
                          <w:top w:val="single" w:sz="4" w:space="0" w:color="548DD4" w:themeColor="text2" w:themeTint="99"/>
                          <w:left w:val="nil"/>
                          <w:bottom w:val="single" w:sz="4" w:space="0" w:color="548DD4" w:themeColor="text2" w:themeTint="99"/>
                          <w:right w:val="nil"/>
                        </w:tcBorders>
                      </w:tcPr>
                      <w:p w:rsidR="000D637E" w:rsidRPr="006C335A" w:rsidRDefault="000D637E" w:rsidP="003A1E94">
                        <w:pPr>
                          <w:rPr>
                            <w:sz w:val="18"/>
                            <w:szCs w:val="18"/>
                          </w:rPr>
                        </w:pPr>
                        <w:r w:rsidRPr="006C335A">
                          <w:rPr>
                            <w:sz w:val="18"/>
                            <w:szCs w:val="18"/>
                          </w:rPr>
                          <w:t>Threatened species (high complexity):</w:t>
                        </w:r>
                      </w:p>
                      <w:p w:rsidR="000D637E" w:rsidRPr="006C335A" w:rsidRDefault="000D637E" w:rsidP="008A56A0">
                        <w:pPr>
                          <w:pStyle w:val="ListParagraph"/>
                          <w:numPr>
                            <w:ilvl w:val="0"/>
                            <w:numId w:val="7"/>
                          </w:numPr>
                          <w:spacing w:after="0" w:line="240" w:lineRule="auto"/>
                          <w:ind w:left="360"/>
                          <w:contextualSpacing/>
                          <w:rPr>
                            <w:sz w:val="18"/>
                            <w:szCs w:val="18"/>
                          </w:rPr>
                        </w:pPr>
                        <w:r w:rsidRPr="006C335A">
                          <w:rPr>
                            <w:sz w:val="18"/>
                            <w:szCs w:val="18"/>
                          </w:rPr>
                          <w:t>Assessment Officer—24 days</w:t>
                        </w:r>
                      </w:p>
                      <w:p w:rsidR="000D637E" w:rsidRPr="006C335A" w:rsidRDefault="000D637E" w:rsidP="008A56A0">
                        <w:pPr>
                          <w:pStyle w:val="ListParagraph"/>
                          <w:numPr>
                            <w:ilvl w:val="0"/>
                            <w:numId w:val="7"/>
                          </w:numPr>
                          <w:spacing w:after="0" w:line="240" w:lineRule="auto"/>
                          <w:ind w:left="360"/>
                          <w:contextualSpacing/>
                          <w:rPr>
                            <w:sz w:val="18"/>
                            <w:szCs w:val="18"/>
                          </w:rPr>
                        </w:pPr>
                        <w:r w:rsidRPr="006C335A">
                          <w:rPr>
                            <w:sz w:val="18"/>
                            <w:szCs w:val="18"/>
                          </w:rPr>
                          <w:t>Assistant Director—12 days</w:t>
                        </w:r>
                      </w:p>
                      <w:p w:rsidR="000D637E" w:rsidRPr="006C335A" w:rsidRDefault="000D637E" w:rsidP="008A56A0">
                        <w:pPr>
                          <w:pStyle w:val="ListParagraph"/>
                          <w:numPr>
                            <w:ilvl w:val="0"/>
                            <w:numId w:val="7"/>
                          </w:numPr>
                          <w:spacing w:after="0" w:line="240" w:lineRule="auto"/>
                          <w:ind w:left="360"/>
                          <w:contextualSpacing/>
                          <w:rPr>
                            <w:sz w:val="18"/>
                            <w:szCs w:val="18"/>
                          </w:rPr>
                        </w:pPr>
                        <w:r w:rsidRPr="006C335A">
                          <w:rPr>
                            <w:sz w:val="18"/>
                            <w:szCs w:val="18"/>
                          </w:rPr>
                          <w:t>Director—4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6C335A" w:rsidRDefault="000D637E" w:rsidP="00527F59">
                        <w:pPr>
                          <w:jc w:val="center"/>
                          <w:rPr>
                            <w:sz w:val="18"/>
                            <w:szCs w:val="18"/>
                          </w:rPr>
                        </w:pPr>
                        <w:r w:rsidRPr="006C335A">
                          <w:rPr>
                            <w:sz w:val="18"/>
                            <w:szCs w:val="18"/>
                          </w:rPr>
                          <w:t>$21,852</w:t>
                        </w:r>
                      </w:p>
                    </w:tc>
                  </w:tr>
                  <w:tr w:rsidR="000D637E" w:rsidRPr="006542AA" w:rsidTr="002D2239">
                    <w:trPr>
                      <w:cnfStyle w:val="000000100000"/>
                      <w:trHeight w:val="507"/>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6C335A" w:rsidRDefault="000D637E" w:rsidP="003A1E94">
                        <w:pPr>
                          <w:rPr>
                            <w:sz w:val="18"/>
                            <w:szCs w:val="18"/>
                          </w:rPr>
                        </w:pPr>
                        <w:r w:rsidRPr="006C335A">
                          <w:rPr>
                            <w:sz w:val="18"/>
                            <w:szCs w:val="18"/>
                          </w:rPr>
                          <w:t>Project components</w:t>
                        </w:r>
                      </w:p>
                    </w:tc>
                  </w:tr>
                  <w:tr w:rsidR="000D637E" w:rsidRPr="006542AA" w:rsidTr="002D2239">
                    <w:trPr>
                      <w:cnfStyle w:val="000000010000"/>
                      <w:trHeight w:val="794"/>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6542AA" w:rsidRDefault="000D637E" w:rsidP="003A1E94">
                        <w:pPr>
                          <w:jc w:val="center"/>
                          <w:rPr>
                            <w:sz w:val="18"/>
                            <w:szCs w:val="18"/>
                          </w:rPr>
                        </w:pPr>
                        <w:r>
                          <w:rPr>
                            <w:sz w:val="18"/>
                            <w:szCs w:val="18"/>
                          </w:rPr>
                          <w:t>K</w:t>
                        </w:r>
                      </w:p>
                    </w:tc>
                    <w:tc>
                      <w:tcPr>
                        <w:tcW w:w="4423" w:type="dxa"/>
                        <w:tcBorders>
                          <w:top w:val="single" w:sz="4" w:space="0" w:color="548DD4" w:themeColor="text2" w:themeTint="99"/>
                          <w:left w:val="nil"/>
                          <w:bottom w:val="single" w:sz="4" w:space="0" w:color="548DD4" w:themeColor="text2" w:themeTint="99"/>
                          <w:right w:val="nil"/>
                        </w:tcBorders>
                      </w:tcPr>
                      <w:p w:rsidR="000D637E" w:rsidRPr="009D63F5" w:rsidRDefault="000D637E" w:rsidP="00C71A53">
                        <w:pPr>
                          <w:pStyle w:val="ListParagraph"/>
                          <w:numPr>
                            <w:ilvl w:val="0"/>
                            <w:numId w:val="0"/>
                          </w:numPr>
                          <w:spacing w:after="0" w:line="240" w:lineRule="auto"/>
                          <w:ind w:left="360"/>
                          <w:contextualSpacing/>
                          <w:rPr>
                            <w:sz w:val="18"/>
                            <w:szCs w:val="18"/>
                          </w:rPr>
                        </w:pPr>
                      </w:p>
                      <w:p w:rsidR="000D637E" w:rsidRPr="009D63F5" w:rsidRDefault="000D637E" w:rsidP="008A56A0">
                        <w:pPr>
                          <w:pStyle w:val="ListParagraph"/>
                          <w:numPr>
                            <w:ilvl w:val="0"/>
                            <w:numId w:val="7"/>
                          </w:numPr>
                          <w:spacing w:after="0" w:line="240" w:lineRule="auto"/>
                          <w:ind w:left="360"/>
                          <w:contextualSpacing/>
                          <w:rPr>
                            <w:sz w:val="18"/>
                            <w:szCs w:val="18"/>
                          </w:rPr>
                        </w:pPr>
                        <w:r>
                          <w:rPr>
                            <w:sz w:val="18"/>
                            <w:szCs w:val="18"/>
                          </w:rPr>
                          <w:t>Land clearing for residential development</w:t>
                        </w:r>
                      </w:p>
                    </w:tc>
                    <w:tc>
                      <w:tcPr>
                        <w:tcW w:w="3684" w:type="dxa"/>
                        <w:tcBorders>
                          <w:top w:val="single" w:sz="4" w:space="0" w:color="548DD4" w:themeColor="text2" w:themeTint="99"/>
                          <w:left w:val="nil"/>
                          <w:bottom w:val="single" w:sz="4" w:space="0" w:color="548DD4" w:themeColor="text2" w:themeTint="99"/>
                          <w:right w:val="nil"/>
                        </w:tcBorders>
                        <w:vAlign w:val="center"/>
                      </w:tcPr>
                      <w:p w:rsidR="000D637E" w:rsidRPr="009D63F5" w:rsidRDefault="000D637E" w:rsidP="008F17D2">
                        <w:pPr>
                          <w:pStyle w:val="ListBullet"/>
                          <w:rPr>
                            <w:sz w:val="18"/>
                            <w:szCs w:val="18"/>
                          </w:rPr>
                        </w:pPr>
                        <w:r w:rsidRPr="00CA3ABF">
                          <w:rPr>
                            <w:sz w:val="18"/>
                            <w:szCs w:val="18"/>
                          </w:rPr>
                          <w:t>No additional cost</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6C335A" w:rsidRDefault="000D637E" w:rsidP="003A1E94">
                        <w:pPr>
                          <w:jc w:val="center"/>
                          <w:rPr>
                            <w:sz w:val="18"/>
                            <w:szCs w:val="18"/>
                          </w:rPr>
                        </w:pPr>
                        <w:r w:rsidRPr="006C335A">
                          <w:rPr>
                            <w:sz w:val="18"/>
                            <w:szCs w:val="18"/>
                          </w:rPr>
                          <w:t>N/A</w:t>
                        </w:r>
                      </w:p>
                    </w:tc>
                  </w:tr>
                  <w:tr w:rsidR="000D637E" w:rsidRPr="006542AA" w:rsidTr="002D2239">
                    <w:trPr>
                      <w:cnfStyle w:val="000000100000"/>
                      <w:trHeight w:val="164"/>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9D63F5" w:rsidDel="004A73B7" w:rsidRDefault="000D637E" w:rsidP="003A1E94">
                        <w:pPr>
                          <w:rPr>
                            <w:sz w:val="18"/>
                            <w:szCs w:val="18"/>
                          </w:rPr>
                        </w:pPr>
                        <w:r>
                          <w:rPr>
                            <w:sz w:val="18"/>
                            <w:szCs w:val="18"/>
                          </w:rPr>
                          <w:t>Adequacy of information and clarity of project scope</w:t>
                        </w:r>
                      </w:p>
                    </w:tc>
                  </w:tr>
                  <w:tr w:rsidR="000D637E" w:rsidRPr="006542AA" w:rsidTr="002D2239">
                    <w:trPr>
                      <w:cnfStyle w:val="000000010000"/>
                      <w:trHeight w:val="839"/>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6542AA" w:rsidRDefault="000D637E" w:rsidP="003A1E94">
                        <w:pPr>
                          <w:jc w:val="center"/>
                          <w:rPr>
                            <w:sz w:val="18"/>
                            <w:szCs w:val="18"/>
                          </w:rPr>
                        </w:pPr>
                        <w:r>
                          <w:rPr>
                            <w:sz w:val="18"/>
                            <w:szCs w:val="18"/>
                          </w:rPr>
                          <w:t>M</w:t>
                        </w:r>
                      </w:p>
                    </w:tc>
                    <w:tc>
                      <w:tcPr>
                        <w:tcW w:w="4423" w:type="dxa"/>
                        <w:tcBorders>
                          <w:top w:val="single" w:sz="4" w:space="0" w:color="548DD4" w:themeColor="text2" w:themeTint="99"/>
                          <w:left w:val="nil"/>
                          <w:bottom w:val="single" w:sz="4" w:space="0" w:color="548DD4" w:themeColor="text2" w:themeTint="99"/>
                          <w:right w:val="nil"/>
                        </w:tcBorders>
                      </w:tcPr>
                      <w:p w:rsidR="000D637E" w:rsidRPr="009D63F5" w:rsidRDefault="000D637E" w:rsidP="008F17D2">
                        <w:pPr>
                          <w:pStyle w:val="ListBullet"/>
                          <w:rPr>
                            <w:sz w:val="18"/>
                            <w:szCs w:val="18"/>
                          </w:rPr>
                        </w:pPr>
                        <w:r w:rsidRPr="00CA3ABF">
                          <w:rPr>
                            <w:sz w:val="18"/>
                            <w:szCs w:val="18"/>
                          </w:rPr>
                          <w:t>Site surveys for threatened species are partially complete.  Additional dry season surveys are required.</w:t>
                        </w:r>
                      </w:p>
                    </w:tc>
                    <w:tc>
                      <w:tcPr>
                        <w:tcW w:w="3684" w:type="dxa"/>
                        <w:tcBorders>
                          <w:top w:val="single" w:sz="4" w:space="0" w:color="548DD4" w:themeColor="text2" w:themeTint="99"/>
                          <w:left w:val="nil"/>
                          <w:bottom w:val="single" w:sz="4" w:space="0" w:color="548DD4" w:themeColor="text2" w:themeTint="99"/>
                          <w:right w:val="nil"/>
                        </w:tcBorders>
                      </w:tcPr>
                      <w:p w:rsidR="000D637E" w:rsidRPr="009D63F5" w:rsidRDefault="000D637E" w:rsidP="003A1E94">
                        <w:pPr>
                          <w:rPr>
                            <w:sz w:val="18"/>
                            <w:szCs w:val="18"/>
                          </w:rPr>
                        </w:pPr>
                        <w:r>
                          <w:rPr>
                            <w:sz w:val="18"/>
                            <w:szCs w:val="18"/>
                          </w:rPr>
                          <w:t>Site surveys (moderate complexity):</w:t>
                        </w:r>
                      </w:p>
                      <w:p w:rsidR="000D637E" w:rsidRPr="009D63F5" w:rsidRDefault="000D637E" w:rsidP="008A56A0">
                        <w:pPr>
                          <w:pStyle w:val="ListParagraph"/>
                          <w:numPr>
                            <w:ilvl w:val="0"/>
                            <w:numId w:val="7"/>
                          </w:numPr>
                          <w:spacing w:after="0" w:line="240" w:lineRule="auto"/>
                          <w:ind w:left="360"/>
                          <w:contextualSpacing/>
                          <w:rPr>
                            <w:sz w:val="18"/>
                            <w:szCs w:val="18"/>
                          </w:rPr>
                        </w:pPr>
                        <w:r>
                          <w:rPr>
                            <w:sz w:val="18"/>
                            <w:szCs w:val="18"/>
                          </w:rPr>
                          <w:t>Assessment Officer—18 days</w:t>
                        </w:r>
                      </w:p>
                      <w:p w:rsidR="000D637E" w:rsidRPr="009D63F5" w:rsidRDefault="000D637E" w:rsidP="008A56A0">
                        <w:pPr>
                          <w:pStyle w:val="ListParagraph"/>
                          <w:numPr>
                            <w:ilvl w:val="0"/>
                            <w:numId w:val="7"/>
                          </w:numPr>
                          <w:spacing w:after="0" w:line="240" w:lineRule="auto"/>
                          <w:ind w:left="360"/>
                          <w:contextualSpacing/>
                          <w:rPr>
                            <w:sz w:val="18"/>
                            <w:szCs w:val="18"/>
                          </w:rPr>
                        </w:pPr>
                        <w:r>
                          <w:rPr>
                            <w:sz w:val="18"/>
                            <w:szCs w:val="18"/>
                          </w:rPr>
                          <w:t>Assistant Director—6.5 days</w:t>
                        </w:r>
                      </w:p>
                      <w:p w:rsidR="000D637E" w:rsidRPr="009D63F5" w:rsidRDefault="000D637E" w:rsidP="008A56A0">
                        <w:pPr>
                          <w:pStyle w:val="ListParagraph"/>
                          <w:numPr>
                            <w:ilvl w:val="0"/>
                            <w:numId w:val="7"/>
                          </w:numPr>
                          <w:spacing w:after="0" w:line="240" w:lineRule="auto"/>
                          <w:ind w:left="360"/>
                          <w:contextualSpacing/>
                          <w:rPr>
                            <w:sz w:val="18"/>
                            <w:szCs w:val="18"/>
                          </w:rPr>
                        </w:pPr>
                        <w:r>
                          <w:rPr>
                            <w:sz w:val="18"/>
                            <w:szCs w:val="18"/>
                          </w:rPr>
                          <w:t>Director—2.5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6C335A" w:rsidRDefault="000D637E" w:rsidP="006C335A">
                        <w:pPr>
                          <w:jc w:val="center"/>
                          <w:rPr>
                            <w:sz w:val="18"/>
                            <w:szCs w:val="18"/>
                          </w:rPr>
                        </w:pPr>
                        <w:r w:rsidRPr="006C335A">
                          <w:rPr>
                            <w:sz w:val="18"/>
                            <w:szCs w:val="18"/>
                          </w:rPr>
                          <w:t>$14,248</w:t>
                        </w:r>
                      </w:p>
                    </w:tc>
                  </w:tr>
                  <w:tr w:rsidR="000D637E" w:rsidRPr="006542AA" w:rsidTr="002D2239">
                    <w:trPr>
                      <w:cnfStyle w:val="000000100000"/>
                      <w:trHeight w:val="1382"/>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6542AA" w:rsidRDefault="000D637E" w:rsidP="003A1E94">
                        <w:pPr>
                          <w:jc w:val="center"/>
                          <w:rPr>
                            <w:sz w:val="18"/>
                            <w:szCs w:val="18"/>
                          </w:rPr>
                        </w:pPr>
                        <w:r>
                          <w:rPr>
                            <w:sz w:val="18"/>
                            <w:szCs w:val="18"/>
                          </w:rPr>
                          <w:t>N</w:t>
                        </w:r>
                      </w:p>
                    </w:tc>
                    <w:tc>
                      <w:tcPr>
                        <w:tcW w:w="4423" w:type="dxa"/>
                        <w:tcBorders>
                          <w:top w:val="single" w:sz="4" w:space="0" w:color="548DD4" w:themeColor="text2" w:themeTint="99"/>
                          <w:left w:val="nil"/>
                          <w:bottom w:val="single" w:sz="4" w:space="0" w:color="548DD4" w:themeColor="text2" w:themeTint="99"/>
                          <w:right w:val="nil"/>
                        </w:tcBorders>
                      </w:tcPr>
                      <w:p w:rsidR="000D637E" w:rsidRPr="009D63F5" w:rsidRDefault="000D637E" w:rsidP="008F17D2">
                        <w:pPr>
                          <w:pStyle w:val="ListBullet"/>
                          <w:rPr>
                            <w:sz w:val="18"/>
                            <w:szCs w:val="18"/>
                          </w:rPr>
                        </w:pPr>
                        <w:r w:rsidRPr="00CA3ABF">
                          <w:rPr>
                            <w:sz w:val="18"/>
                            <w:szCs w:val="18"/>
                          </w:rPr>
                          <w:t>Clarification is required regarding the proposed management measures, avoidance and mitigation of important habitat.</w:t>
                        </w:r>
                      </w:p>
                    </w:tc>
                    <w:tc>
                      <w:tcPr>
                        <w:tcW w:w="3684" w:type="dxa"/>
                        <w:tcBorders>
                          <w:top w:val="single" w:sz="4" w:space="0" w:color="548DD4" w:themeColor="text2" w:themeTint="99"/>
                          <w:left w:val="nil"/>
                          <w:bottom w:val="single" w:sz="4" w:space="0" w:color="548DD4" w:themeColor="text2" w:themeTint="99"/>
                          <w:right w:val="nil"/>
                        </w:tcBorders>
                      </w:tcPr>
                      <w:p w:rsidR="000D637E" w:rsidRPr="009D63F5" w:rsidRDefault="000D637E" w:rsidP="003A1E94">
                        <w:pPr>
                          <w:pStyle w:val="ListParagraph"/>
                          <w:ind w:left="0"/>
                          <w:rPr>
                            <w:sz w:val="18"/>
                            <w:szCs w:val="18"/>
                          </w:rPr>
                        </w:pPr>
                        <w:r>
                          <w:rPr>
                            <w:sz w:val="18"/>
                            <w:szCs w:val="18"/>
                          </w:rPr>
                          <w:t>Management strategies (moderate complexity):</w:t>
                        </w:r>
                      </w:p>
                      <w:p w:rsidR="000D637E" w:rsidRPr="009D63F5" w:rsidRDefault="000D637E" w:rsidP="008A56A0">
                        <w:pPr>
                          <w:pStyle w:val="ListParagraph"/>
                          <w:numPr>
                            <w:ilvl w:val="0"/>
                            <w:numId w:val="7"/>
                          </w:numPr>
                          <w:spacing w:after="0" w:line="240" w:lineRule="auto"/>
                          <w:ind w:left="360"/>
                          <w:contextualSpacing/>
                          <w:rPr>
                            <w:sz w:val="18"/>
                            <w:szCs w:val="18"/>
                          </w:rPr>
                        </w:pPr>
                        <w:r>
                          <w:rPr>
                            <w:sz w:val="18"/>
                            <w:szCs w:val="18"/>
                          </w:rPr>
                          <w:t>Assessment Officer—18 days</w:t>
                        </w:r>
                      </w:p>
                      <w:p w:rsidR="000D637E" w:rsidRPr="009D63F5" w:rsidRDefault="000D637E" w:rsidP="008A56A0">
                        <w:pPr>
                          <w:pStyle w:val="ListParagraph"/>
                          <w:numPr>
                            <w:ilvl w:val="0"/>
                            <w:numId w:val="7"/>
                          </w:numPr>
                          <w:spacing w:after="0" w:line="240" w:lineRule="auto"/>
                          <w:ind w:left="360"/>
                          <w:contextualSpacing/>
                          <w:rPr>
                            <w:sz w:val="18"/>
                            <w:szCs w:val="18"/>
                          </w:rPr>
                        </w:pPr>
                        <w:r>
                          <w:rPr>
                            <w:sz w:val="18"/>
                            <w:szCs w:val="18"/>
                          </w:rPr>
                          <w:t>Assistant Director—6.5 days</w:t>
                        </w:r>
                      </w:p>
                      <w:p w:rsidR="000D637E" w:rsidRPr="009D63F5" w:rsidRDefault="000D637E" w:rsidP="008A56A0">
                        <w:pPr>
                          <w:pStyle w:val="ListParagraph"/>
                          <w:numPr>
                            <w:ilvl w:val="0"/>
                            <w:numId w:val="7"/>
                          </w:numPr>
                          <w:spacing w:after="0" w:line="240" w:lineRule="auto"/>
                          <w:ind w:left="360"/>
                          <w:contextualSpacing/>
                          <w:rPr>
                            <w:sz w:val="18"/>
                            <w:szCs w:val="18"/>
                          </w:rPr>
                        </w:pPr>
                        <w:r>
                          <w:rPr>
                            <w:sz w:val="18"/>
                            <w:szCs w:val="18"/>
                          </w:rPr>
                          <w:t>Director—2.5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6C335A" w:rsidRDefault="000D637E" w:rsidP="003A1E94">
                        <w:pPr>
                          <w:jc w:val="center"/>
                          <w:rPr>
                            <w:sz w:val="18"/>
                            <w:szCs w:val="18"/>
                          </w:rPr>
                        </w:pPr>
                        <w:r w:rsidRPr="006C335A">
                          <w:rPr>
                            <w:sz w:val="18"/>
                            <w:szCs w:val="18"/>
                          </w:rPr>
                          <w:t>$14,248</w:t>
                        </w:r>
                      </w:p>
                    </w:tc>
                  </w:tr>
                  <w:tr w:rsidR="000D637E" w:rsidRPr="006542AA" w:rsidTr="002D2239">
                    <w:trPr>
                      <w:cnfStyle w:val="000000010000"/>
                      <w:trHeight w:val="524"/>
                    </w:trPr>
                    <w:tc>
                      <w:tcPr>
                        <w:tcW w:w="10172"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6C335A" w:rsidRDefault="000D637E" w:rsidP="003A1E94">
                        <w:pPr>
                          <w:rPr>
                            <w:sz w:val="18"/>
                            <w:szCs w:val="18"/>
                          </w:rPr>
                        </w:pPr>
                        <w:r w:rsidRPr="006C335A">
                          <w:rPr>
                            <w:sz w:val="18"/>
                            <w:szCs w:val="18"/>
                          </w:rPr>
                          <w:t>Other legislation</w:t>
                        </w:r>
                      </w:p>
                    </w:tc>
                  </w:tr>
                  <w:tr w:rsidR="000D637E" w:rsidRPr="006542AA" w:rsidTr="002D2239">
                    <w:trPr>
                      <w:cnfStyle w:val="000000100000"/>
                      <w:trHeight w:val="1304"/>
                    </w:trPr>
                    <w:tc>
                      <w:tcPr>
                        <w:tcW w:w="737"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6542AA" w:rsidRDefault="000D637E" w:rsidP="003A1E94">
                        <w:pPr>
                          <w:jc w:val="center"/>
                          <w:rPr>
                            <w:sz w:val="18"/>
                            <w:szCs w:val="18"/>
                          </w:rPr>
                        </w:pPr>
                        <w:r>
                          <w:rPr>
                            <w:sz w:val="18"/>
                            <w:szCs w:val="18"/>
                          </w:rPr>
                          <w:t>L</w:t>
                        </w:r>
                      </w:p>
                    </w:tc>
                    <w:tc>
                      <w:tcPr>
                        <w:tcW w:w="4423" w:type="dxa"/>
                        <w:tcBorders>
                          <w:top w:val="single" w:sz="4" w:space="0" w:color="548DD4" w:themeColor="text2" w:themeTint="99"/>
                          <w:left w:val="nil"/>
                          <w:bottom w:val="single" w:sz="4" w:space="0" w:color="548DD4" w:themeColor="text2" w:themeTint="99"/>
                          <w:right w:val="nil"/>
                        </w:tcBorders>
                      </w:tcPr>
                      <w:p w:rsidR="000D637E" w:rsidRPr="006542AA" w:rsidRDefault="000D637E" w:rsidP="008A56A0">
                        <w:pPr>
                          <w:pStyle w:val="ListParagraph"/>
                          <w:numPr>
                            <w:ilvl w:val="0"/>
                            <w:numId w:val="7"/>
                          </w:numPr>
                          <w:spacing w:after="0" w:line="240" w:lineRule="auto"/>
                          <w:ind w:left="360"/>
                          <w:contextualSpacing/>
                          <w:rPr>
                            <w:sz w:val="18"/>
                            <w:szCs w:val="18"/>
                          </w:rPr>
                        </w:pPr>
                        <w:r w:rsidRPr="006542AA">
                          <w:rPr>
                            <w:sz w:val="18"/>
                            <w:szCs w:val="18"/>
                          </w:rPr>
                          <w:t xml:space="preserve">Coordination not required under section 160 of the EPBC Act. </w:t>
                        </w:r>
                      </w:p>
                      <w:p w:rsidR="000D637E" w:rsidRPr="006542AA" w:rsidRDefault="000D637E" w:rsidP="008A56A0">
                        <w:pPr>
                          <w:pStyle w:val="ListParagraph"/>
                          <w:numPr>
                            <w:ilvl w:val="0"/>
                            <w:numId w:val="7"/>
                          </w:numPr>
                          <w:spacing w:after="0" w:line="240" w:lineRule="auto"/>
                          <w:ind w:left="357" w:hanging="357"/>
                          <w:rPr>
                            <w:sz w:val="18"/>
                            <w:szCs w:val="18"/>
                          </w:rPr>
                        </w:pPr>
                        <w:r w:rsidRPr="006542AA">
                          <w:rPr>
                            <w:sz w:val="18"/>
                            <w:szCs w:val="18"/>
                          </w:rPr>
                          <w:t xml:space="preserve">There is a moderate level of complexity under the state planning legislation. Liaison will be required to streamline approval conditions. </w:t>
                        </w:r>
                      </w:p>
                    </w:tc>
                    <w:tc>
                      <w:tcPr>
                        <w:tcW w:w="3684" w:type="dxa"/>
                        <w:tcBorders>
                          <w:top w:val="single" w:sz="4" w:space="0" w:color="548DD4" w:themeColor="text2" w:themeTint="99"/>
                          <w:left w:val="nil"/>
                          <w:bottom w:val="single" w:sz="4" w:space="0" w:color="548DD4" w:themeColor="text2" w:themeTint="99"/>
                          <w:right w:val="nil"/>
                        </w:tcBorders>
                      </w:tcPr>
                      <w:p w:rsidR="000D637E" w:rsidRPr="006C335A" w:rsidRDefault="000D637E" w:rsidP="003A1E94">
                        <w:pPr>
                          <w:rPr>
                            <w:sz w:val="18"/>
                            <w:szCs w:val="18"/>
                          </w:rPr>
                        </w:pPr>
                        <w:r w:rsidRPr="006C335A">
                          <w:rPr>
                            <w:sz w:val="18"/>
                            <w:szCs w:val="18"/>
                          </w:rPr>
                          <w:t>Other legislation (moderate complexity):</w:t>
                        </w:r>
                      </w:p>
                      <w:p w:rsidR="000D637E" w:rsidRPr="006C335A" w:rsidRDefault="000D637E" w:rsidP="008A56A0">
                        <w:pPr>
                          <w:pStyle w:val="ListParagraph"/>
                          <w:numPr>
                            <w:ilvl w:val="0"/>
                            <w:numId w:val="7"/>
                          </w:numPr>
                          <w:spacing w:after="0" w:line="240" w:lineRule="auto"/>
                          <w:ind w:left="360"/>
                          <w:contextualSpacing/>
                          <w:rPr>
                            <w:sz w:val="18"/>
                            <w:szCs w:val="18"/>
                          </w:rPr>
                        </w:pPr>
                        <w:r w:rsidRPr="006C335A">
                          <w:rPr>
                            <w:sz w:val="18"/>
                            <w:szCs w:val="18"/>
                          </w:rPr>
                          <w:t>Assessment Officer—8 days</w:t>
                        </w:r>
                      </w:p>
                      <w:p w:rsidR="000D637E" w:rsidRPr="006C335A" w:rsidRDefault="000D637E" w:rsidP="008A56A0">
                        <w:pPr>
                          <w:pStyle w:val="ListParagraph"/>
                          <w:numPr>
                            <w:ilvl w:val="0"/>
                            <w:numId w:val="7"/>
                          </w:numPr>
                          <w:spacing w:after="0" w:line="240" w:lineRule="auto"/>
                          <w:ind w:left="360"/>
                          <w:contextualSpacing/>
                          <w:rPr>
                            <w:sz w:val="18"/>
                            <w:szCs w:val="18"/>
                          </w:rPr>
                        </w:pPr>
                        <w:r w:rsidRPr="006C335A">
                          <w:rPr>
                            <w:sz w:val="18"/>
                            <w:szCs w:val="18"/>
                          </w:rPr>
                          <w:t>Assistant Director—4 days</w:t>
                        </w:r>
                      </w:p>
                      <w:p w:rsidR="000D637E" w:rsidRPr="006C335A" w:rsidRDefault="000D637E" w:rsidP="008A56A0">
                        <w:pPr>
                          <w:pStyle w:val="ListParagraph"/>
                          <w:numPr>
                            <w:ilvl w:val="0"/>
                            <w:numId w:val="7"/>
                          </w:numPr>
                          <w:spacing w:after="0" w:line="240" w:lineRule="auto"/>
                          <w:ind w:left="360"/>
                          <w:contextualSpacing/>
                          <w:rPr>
                            <w:sz w:val="18"/>
                            <w:szCs w:val="18"/>
                          </w:rPr>
                        </w:pPr>
                        <w:r w:rsidRPr="006C335A">
                          <w:rPr>
                            <w:sz w:val="18"/>
                            <w:szCs w:val="18"/>
                          </w:rPr>
                          <w:t>Director—2 days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6C335A" w:rsidRDefault="000D637E" w:rsidP="006C335A">
                        <w:pPr>
                          <w:jc w:val="center"/>
                          <w:rPr>
                            <w:sz w:val="18"/>
                            <w:szCs w:val="18"/>
                          </w:rPr>
                        </w:pPr>
                        <w:r w:rsidRPr="006C335A">
                          <w:rPr>
                            <w:sz w:val="18"/>
                            <w:szCs w:val="18"/>
                          </w:rPr>
                          <w:t>$7,783</w:t>
                        </w:r>
                      </w:p>
                    </w:tc>
                  </w:tr>
                  <w:tr w:rsidR="000D637E" w:rsidRPr="0020764E" w:rsidTr="002D2239">
                    <w:trPr>
                      <w:cnfStyle w:val="000000010000"/>
                      <w:trHeight w:val="265"/>
                    </w:trPr>
                    <w:tc>
                      <w:tcPr>
                        <w:tcW w:w="8845"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0D637E" w:rsidRPr="006C335A" w:rsidRDefault="000D637E" w:rsidP="003A1E94">
                        <w:pPr>
                          <w:jc w:val="right"/>
                          <w:rPr>
                            <w:caps/>
                            <w:sz w:val="20"/>
                            <w:szCs w:val="20"/>
                          </w:rPr>
                        </w:pPr>
                        <w:r w:rsidRPr="006C335A">
                          <w:rPr>
                            <w:caps/>
                            <w:sz w:val="20"/>
                            <w:szCs w:val="20"/>
                          </w:rPr>
                          <w:t>Estimated complexity costs</w:t>
                        </w:r>
                      </w:p>
                    </w:tc>
                    <w:tc>
                      <w:tcPr>
                        <w:tcW w:w="1327"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0D637E" w:rsidRPr="006C335A" w:rsidRDefault="000D637E" w:rsidP="003A1E94">
                        <w:pPr>
                          <w:jc w:val="center"/>
                          <w:rPr>
                            <w:sz w:val="20"/>
                            <w:szCs w:val="20"/>
                          </w:rPr>
                        </w:pPr>
                        <w:r w:rsidRPr="006C335A">
                          <w:rPr>
                            <w:sz w:val="20"/>
                            <w:szCs w:val="20"/>
                          </w:rPr>
                          <w:t>$58,130</w:t>
                        </w:r>
                      </w:p>
                    </w:tc>
                  </w:tr>
                </w:tbl>
                <w:p w:rsidR="000D637E" w:rsidRPr="00C64B42" w:rsidRDefault="000D637E" w:rsidP="003A1E94">
                  <w:pPr>
                    <w:rPr>
                      <w:sz w:val="18"/>
                      <w:szCs w:val="18"/>
                    </w:rPr>
                  </w:pPr>
                  <w:r w:rsidRPr="00C64B42">
                    <w:rPr>
                      <w:sz w:val="18"/>
                      <w:szCs w:val="18"/>
                    </w:rPr>
                    <w:t xml:space="preserve">* Please refer to complexity </w:t>
                  </w:r>
                  <w:r>
                    <w:rPr>
                      <w:sz w:val="18"/>
                      <w:szCs w:val="18"/>
                    </w:rPr>
                    <w:t xml:space="preserve">fee </w:t>
                  </w:r>
                  <w:r w:rsidRPr="00C64B42">
                    <w:rPr>
                      <w:sz w:val="18"/>
                      <w:szCs w:val="18"/>
                    </w:rPr>
                    <w:t>matrix</w:t>
                  </w:r>
                </w:p>
                <w:p w:rsidR="000D637E" w:rsidRPr="009E0FBE" w:rsidRDefault="000D637E" w:rsidP="003A1E94">
                  <w:pPr>
                    <w:rPr>
                      <w:b/>
                      <w:sz w:val="18"/>
                      <w:szCs w:val="18"/>
                      <w:lang w:val="en-US"/>
                    </w:rPr>
                  </w:pPr>
                  <w:r w:rsidRPr="009E0FBE">
                    <w:rPr>
                      <w:b/>
                      <w:sz w:val="18"/>
                      <w:szCs w:val="18"/>
                      <w:lang w:val="en-US"/>
                    </w:rPr>
                    <w:t>Reduci</w:t>
                  </w:r>
                  <w:r>
                    <w:rPr>
                      <w:b/>
                      <w:sz w:val="18"/>
                      <w:szCs w:val="18"/>
                      <w:lang w:val="en-US"/>
                    </w:rPr>
                    <w:t>ng complexity fees for Example 2</w:t>
                  </w:r>
                </w:p>
                <w:p w:rsidR="000D637E" w:rsidRPr="00F661F6" w:rsidRDefault="000D637E" w:rsidP="003A1E94">
                  <w:pPr>
                    <w:rPr>
                      <w:sz w:val="18"/>
                      <w:szCs w:val="18"/>
                    </w:rPr>
                  </w:pPr>
                  <w:r w:rsidRPr="00F661F6">
                    <w:rPr>
                      <w:sz w:val="18"/>
                      <w:szCs w:val="18"/>
                      <w:lang w:val="en-US"/>
                    </w:rPr>
                    <w:t xml:space="preserve">The proponent in Example </w:t>
                  </w:r>
                  <w:r>
                    <w:rPr>
                      <w:sz w:val="18"/>
                      <w:szCs w:val="18"/>
                      <w:lang w:val="en-US"/>
                    </w:rPr>
                    <w:t>2</w:t>
                  </w:r>
                  <w:r w:rsidRPr="00F661F6">
                    <w:rPr>
                      <w:sz w:val="18"/>
                      <w:szCs w:val="18"/>
                      <w:lang w:val="en-US"/>
                    </w:rPr>
                    <w:t xml:space="preserve"> would have been advised of their maximum liability for complexity fees at the time of the controlled action or assessment approach decision, based on the information provided in their referral documentation. The proponent in Example </w:t>
                  </w:r>
                  <w:r>
                    <w:rPr>
                      <w:sz w:val="18"/>
                      <w:szCs w:val="18"/>
                      <w:lang w:val="en-US"/>
                    </w:rPr>
                    <w:t>2</w:t>
                  </w:r>
                  <w:r w:rsidRPr="00F661F6">
                    <w:rPr>
                      <w:sz w:val="18"/>
                      <w:szCs w:val="18"/>
                      <w:lang w:val="en-US"/>
                    </w:rPr>
                    <w:t xml:space="preserve"> has the opportunity to reduce their overall complexity fees for adequacy of information and clarity of project scope fees (shown in rows </w:t>
                  </w:r>
                  <w:r>
                    <w:rPr>
                      <w:sz w:val="18"/>
                      <w:szCs w:val="18"/>
                      <w:lang w:val="en-US"/>
                    </w:rPr>
                    <w:t>M, N and O</w:t>
                  </w:r>
                  <w:r w:rsidRPr="00F661F6">
                    <w:rPr>
                      <w:sz w:val="18"/>
                      <w:szCs w:val="18"/>
                      <w:lang w:val="en-US"/>
                    </w:rPr>
                    <w:t xml:space="preserve"> of the complexity </w:t>
                  </w:r>
                  <w:r>
                    <w:rPr>
                      <w:sz w:val="18"/>
                      <w:szCs w:val="18"/>
                      <w:lang w:val="en-US"/>
                    </w:rPr>
                    <w:t xml:space="preserve">fee </w:t>
                  </w:r>
                  <w:r w:rsidRPr="00F661F6">
                    <w:rPr>
                      <w:sz w:val="18"/>
                      <w:szCs w:val="18"/>
                      <w:lang w:val="en-US"/>
                    </w:rPr>
                    <w:t>matrix) by providing comprehensive information in their preliminary documentation (</w:t>
                  </w:r>
                  <w:r w:rsidRPr="007C2360">
                    <w:rPr>
                      <w:sz w:val="18"/>
                      <w:szCs w:val="18"/>
                      <w:lang w:val="en-US"/>
                    </w:rPr>
                    <w:t xml:space="preserve">stage 2, refer Figure </w:t>
                  </w:r>
                  <w:r>
                    <w:rPr>
                      <w:sz w:val="18"/>
                      <w:szCs w:val="18"/>
                      <w:lang w:val="en-US"/>
                    </w:rPr>
                    <w:t>10</w:t>
                  </w:r>
                  <w:r w:rsidRPr="007C2360">
                    <w:rPr>
                      <w:sz w:val="18"/>
                      <w:szCs w:val="18"/>
                      <w:lang w:val="en-US"/>
                    </w:rPr>
                    <w:t>) provided</w:t>
                  </w:r>
                  <w:r w:rsidRPr="00F661F6">
                    <w:rPr>
                      <w:sz w:val="18"/>
                      <w:szCs w:val="18"/>
                      <w:lang w:val="en-US"/>
                    </w:rPr>
                    <w:t xml:space="preserve"> to the </w:t>
                  </w:r>
                  <w:r>
                    <w:rPr>
                      <w:sz w:val="18"/>
                      <w:szCs w:val="18"/>
                      <w:lang w:val="en-US"/>
                    </w:rPr>
                    <w:t>D</w:t>
                  </w:r>
                  <w:r w:rsidRPr="00F661F6">
                    <w:rPr>
                      <w:sz w:val="18"/>
                      <w:szCs w:val="18"/>
                      <w:lang w:val="en-US"/>
                    </w:rPr>
                    <w:t>epartment. F</w:t>
                  </w:r>
                  <w:r>
                    <w:rPr>
                      <w:sz w:val="18"/>
                      <w:szCs w:val="18"/>
                      <w:lang w:val="en-US"/>
                    </w:rPr>
                    <w:t>or example if the proponent in E</w:t>
                  </w:r>
                  <w:r w:rsidRPr="00F661F6">
                    <w:rPr>
                      <w:sz w:val="18"/>
                      <w:szCs w:val="18"/>
                      <w:lang w:val="en-US"/>
                    </w:rPr>
                    <w:t xml:space="preserve">xample </w:t>
                  </w:r>
                  <w:r>
                    <w:rPr>
                      <w:sz w:val="18"/>
                      <w:szCs w:val="18"/>
                      <w:lang w:val="en-US"/>
                    </w:rPr>
                    <w:t>3</w:t>
                  </w:r>
                  <w:r w:rsidRPr="00F661F6">
                    <w:rPr>
                      <w:sz w:val="18"/>
                      <w:szCs w:val="18"/>
                      <w:lang w:val="en-US"/>
                    </w:rPr>
                    <w:t xml:space="preserve"> provides a higher quality of information in relation to site surveys and management </w:t>
                  </w:r>
                  <w:r w:rsidRPr="00AE107F">
                    <w:rPr>
                      <w:sz w:val="18"/>
                      <w:szCs w:val="18"/>
                      <w:lang w:val="en-US"/>
                    </w:rPr>
                    <w:t>measures in their preliminary documentation at stage 2, then their complexity fees will be reduced by up to $28,495.</w:t>
                  </w:r>
                </w:p>
              </w:txbxContent>
            </v:textbox>
            <w10:wrap type="none"/>
            <w10:anchorlock/>
          </v:shape>
        </w:pict>
      </w:r>
    </w:p>
    <w:p w:rsidR="003A1E94" w:rsidRDefault="00D30427" w:rsidP="003A1E94">
      <w:pPr>
        <w:rPr>
          <w:highlight w:val="yellow"/>
        </w:rPr>
      </w:pPr>
      <w:r w:rsidRPr="00D30427">
        <w:rPr>
          <w:lang w:val="en-US"/>
        </w:rPr>
      </w:r>
      <w:r w:rsidRPr="00D30427">
        <w:rPr>
          <w:lang w:val="en-US"/>
        </w:rPr>
        <w:pict>
          <v:shape id="_x0000_s1162" type="#_x0000_t202" style="width:525.1pt;height:696.1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62">
              <w:txbxContent>
                <w:p w:rsidR="000D637E" w:rsidRPr="007B1AFC" w:rsidRDefault="000D637E" w:rsidP="003A1E94">
                  <w:pPr>
                    <w:rPr>
                      <w:b/>
                      <w:color w:val="1F497D" w:themeColor="text2"/>
                      <w:sz w:val="18"/>
                      <w:szCs w:val="18"/>
                    </w:rPr>
                  </w:pPr>
                  <w:r>
                    <w:rPr>
                      <w:b/>
                      <w:color w:val="1F497D" w:themeColor="text2"/>
                      <w:sz w:val="18"/>
                      <w:szCs w:val="18"/>
                    </w:rPr>
                    <w:t>Example 3</w:t>
                  </w:r>
                  <w:r w:rsidRPr="007B1AFC">
                    <w:rPr>
                      <w:b/>
                      <w:color w:val="1F497D" w:themeColor="text2"/>
                      <w:sz w:val="18"/>
                      <w:szCs w:val="18"/>
                    </w:rPr>
                    <w:t xml:space="preserve"> — Residential development (preliminary documentation)</w:t>
                  </w:r>
                </w:p>
                <w:p w:rsidR="000D637E" w:rsidRPr="007B1AFC" w:rsidRDefault="000D637E" w:rsidP="003A1E94">
                  <w:pPr>
                    <w:rPr>
                      <w:sz w:val="18"/>
                      <w:szCs w:val="18"/>
                    </w:rPr>
                  </w:pPr>
                  <w:r w:rsidRPr="007B1AFC">
                    <w:rPr>
                      <w:b/>
                      <w:sz w:val="18"/>
                      <w:szCs w:val="18"/>
                    </w:rPr>
                    <w:t xml:space="preserve">Project description: </w:t>
                  </w:r>
                  <w:r w:rsidRPr="007B1AFC">
                    <w:rPr>
                      <w:sz w:val="18"/>
                      <w:szCs w:val="18"/>
                    </w:rPr>
                    <w:t xml:space="preserve">Building Homes Pty Ltd is proposing a residential development, which requires clearing and alteration of water courses in an area that provides important high quality habitat for a threatened species and ecological communities. </w:t>
                  </w:r>
                </w:p>
                <w:p w:rsidR="000D637E" w:rsidRPr="007B1AFC" w:rsidRDefault="000D637E" w:rsidP="003A1E94">
                  <w:pPr>
                    <w:rPr>
                      <w:sz w:val="18"/>
                      <w:szCs w:val="18"/>
                    </w:rPr>
                  </w:pPr>
                  <w:r w:rsidRPr="007B1AFC">
                    <w:rPr>
                      <w:sz w:val="18"/>
                      <w:szCs w:val="18"/>
                    </w:rPr>
                    <w:t>Total fee</w:t>
                  </w:r>
                </w:p>
                <w:tbl>
                  <w:tblPr>
                    <w:tblW w:w="9796" w:type="dxa"/>
                    <w:tblInd w:w="93" w:type="dxa"/>
                    <w:tblBorders>
                      <w:top w:val="single" w:sz="4" w:space="0" w:color="548DD4" w:themeColor="text2" w:themeTint="99"/>
                      <w:left w:val="single" w:sz="4" w:space="0" w:color="548DD4" w:themeColor="text2" w:themeTint="99"/>
                      <w:bottom w:val="single" w:sz="4" w:space="0" w:color="548DD4" w:themeColor="text2" w:themeTint="99"/>
                      <w:insideH w:val="single" w:sz="4" w:space="0" w:color="548DD4" w:themeColor="text2" w:themeTint="99"/>
                    </w:tblBorders>
                    <w:tblLayout w:type="fixed"/>
                    <w:tblLook w:val="04A0"/>
                  </w:tblPr>
                  <w:tblGrid>
                    <w:gridCol w:w="3984"/>
                    <w:gridCol w:w="1560"/>
                    <w:gridCol w:w="1275"/>
                    <w:gridCol w:w="851"/>
                    <w:gridCol w:w="567"/>
                    <w:gridCol w:w="1559"/>
                  </w:tblGrid>
                  <w:tr w:rsidR="000D637E" w:rsidRPr="007B1AFC" w:rsidTr="002D2239">
                    <w:trPr>
                      <w:trHeight w:val="600"/>
                    </w:trPr>
                    <w:tc>
                      <w:tcPr>
                        <w:tcW w:w="3984" w:type="dxa"/>
                        <w:tcBorders>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7B1AFC" w:rsidRDefault="000D637E" w:rsidP="003A1E94">
                        <w:pPr>
                          <w:jc w:val="center"/>
                          <w:rPr>
                            <w:rFonts w:ascii="Calibri" w:hAnsi="Calibri" w:cs="Calibri"/>
                            <w:b/>
                            <w:bCs/>
                            <w:color w:val="000000"/>
                            <w:sz w:val="18"/>
                            <w:szCs w:val="18"/>
                            <w:lang w:eastAsia="en-AU"/>
                          </w:rPr>
                        </w:pPr>
                        <w:r w:rsidRPr="007B1AFC">
                          <w:rPr>
                            <w:rFonts w:ascii="Calibri" w:hAnsi="Calibri" w:cs="Calibri"/>
                            <w:b/>
                            <w:bCs/>
                            <w:color w:val="000000"/>
                            <w:sz w:val="18"/>
                            <w:szCs w:val="18"/>
                            <w:lang w:eastAsia="en-AU"/>
                          </w:rPr>
                          <w:t>Activity</w:t>
                        </w:r>
                      </w:p>
                    </w:tc>
                    <w:tc>
                      <w:tcPr>
                        <w:tcW w:w="1560"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7B1AFC" w:rsidRDefault="000D637E" w:rsidP="00560598">
                        <w:pPr>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Base Costs (A)</w:t>
                        </w:r>
                      </w:p>
                    </w:tc>
                    <w:tc>
                      <w:tcPr>
                        <w:tcW w:w="2126" w:type="dxa"/>
                        <w:gridSpan w:val="2"/>
                        <w:tcBorders>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7B1AFC" w:rsidRDefault="000D637E" w:rsidP="003A1E94">
                        <w:pPr>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Complexity costs (B</w:t>
                        </w:r>
                        <w:r w:rsidRPr="007B1AFC">
                          <w:rPr>
                            <w:rFonts w:ascii="Calibri" w:hAnsi="Calibri" w:cs="Calibri"/>
                            <w:b/>
                            <w:bCs/>
                            <w:color w:val="000000"/>
                            <w:sz w:val="18"/>
                            <w:szCs w:val="18"/>
                            <w:lang w:eastAsia="en-AU"/>
                          </w:rPr>
                          <w:t>)</w:t>
                        </w:r>
                      </w:p>
                    </w:tc>
                    <w:tc>
                      <w:tcPr>
                        <w:tcW w:w="2126" w:type="dxa"/>
                        <w:gridSpan w:val="2"/>
                        <w:tcBorders>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7B1AFC" w:rsidRDefault="000D637E" w:rsidP="003A1E94">
                        <w:pPr>
                          <w:jc w:val="center"/>
                          <w:rPr>
                            <w:rFonts w:ascii="Calibri" w:hAnsi="Calibri" w:cs="Calibri"/>
                            <w:b/>
                            <w:bCs/>
                            <w:color w:val="000000"/>
                            <w:sz w:val="18"/>
                            <w:szCs w:val="18"/>
                            <w:lang w:eastAsia="en-AU"/>
                          </w:rPr>
                        </w:pPr>
                        <w:r>
                          <w:rPr>
                            <w:rFonts w:ascii="Calibri" w:hAnsi="Calibri" w:cs="Calibri"/>
                            <w:b/>
                            <w:bCs/>
                            <w:color w:val="000000"/>
                            <w:sz w:val="18"/>
                            <w:szCs w:val="18"/>
                            <w:lang w:eastAsia="en-AU"/>
                          </w:rPr>
                          <w:t>Total fee</w:t>
                        </w:r>
                        <w:r>
                          <w:rPr>
                            <w:rFonts w:ascii="Calibri" w:hAnsi="Calibri" w:cs="Calibri"/>
                            <w:b/>
                            <w:bCs/>
                            <w:color w:val="000000"/>
                            <w:sz w:val="18"/>
                            <w:szCs w:val="18"/>
                            <w:lang w:eastAsia="en-AU"/>
                          </w:rPr>
                          <w:br/>
                          <w:t xml:space="preserve">(A) + (B) </w:t>
                        </w:r>
                      </w:p>
                    </w:tc>
                  </w:tr>
                  <w:tr w:rsidR="000D637E" w:rsidRPr="007B1AFC" w:rsidTr="002D2239">
                    <w:trPr>
                      <w:trHeight w:val="600"/>
                    </w:trPr>
                    <w:tc>
                      <w:tcPr>
                        <w:tcW w:w="3984" w:type="dxa"/>
                        <w:shd w:val="clear" w:color="auto" w:fill="auto"/>
                        <w:vAlign w:val="center"/>
                        <w:hideMark/>
                      </w:tcPr>
                      <w:p w:rsidR="000D637E" w:rsidRPr="007B1AFC" w:rsidRDefault="000D637E" w:rsidP="003A1E94">
                        <w:pPr>
                          <w:rPr>
                            <w:rFonts w:ascii="Calibri" w:hAnsi="Calibri" w:cs="Calibri"/>
                            <w:color w:val="000000"/>
                            <w:sz w:val="18"/>
                            <w:szCs w:val="18"/>
                            <w:lang w:eastAsia="en-AU"/>
                          </w:rPr>
                        </w:pPr>
                        <w:r w:rsidRPr="007B1AFC">
                          <w:rPr>
                            <w:rFonts w:ascii="Calibri" w:hAnsi="Calibri" w:cs="Calibri"/>
                            <w:color w:val="000000"/>
                            <w:sz w:val="18"/>
                            <w:szCs w:val="18"/>
                            <w:lang w:eastAsia="en-AU"/>
                          </w:rPr>
                          <w:t>Residential development (</w:t>
                        </w:r>
                        <w:r w:rsidRPr="007B1AFC">
                          <w:rPr>
                            <w:rFonts w:ascii="Calibri" w:hAnsi="Calibri" w:cs="Calibri"/>
                            <w:i/>
                            <w:iCs/>
                            <w:color w:val="000000"/>
                            <w:sz w:val="18"/>
                            <w:szCs w:val="18"/>
                            <w:lang w:eastAsia="en-AU"/>
                          </w:rPr>
                          <w:t>Preliminary documentation</w:t>
                        </w:r>
                        <w:r w:rsidRPr="007B1AFC">
                          <w:rPr>
                            <w:rFonts w:ascii="Calibri" w:hAnsi="Calibri" w:cs="Calibri"/>
                            <w:color w:val="000000"/>
                            <w:sz w:val="18"/>
                            <w:szCs w:val="18"/>
                            <w:lang w:eastAsia="en-AU"/>
                          </w:rPr>
                          <w:t>)</w:t>
                        </w:r>
                      </w:p>
                    </w:tc>
                    <w:tc>
                      <w:tcPr>
                        <w:tcW w:w="1560" w:type="dxa"/>
                        <w:shd w:val="clear" w:color="auto" w:fill="auto"/>
                        <w:noWrap/>
                        <w:vAlign w:val="center"/>
                        <w:hideMark/>
                      </w:tcPr>
                      <w:p w:rsidR="000D637E" w:rsidRPr="007B1AFC" w:rsidRDefault="000D637E" w:rsidP="003A1E94">
                        <w:pPr>
                          <w:jc w:val="center"/>
                          <w:rPr>
                            <w:rFonts w:ascii="Calibri" w:hAnsi="Calibri" w:cs="Calibri"/>
                            <w:color w:val="000000"/>
                            <w:sz w:val="18"/>
                            <w:szCs w:val="18"/>
                            <w:lang w:eastAsia="en-AU"/>
                          </w:rPr>
                        </w:pPr>
                        <w:r w:rsidRPr="00926B85">
                          <w:rPr>
                            <w:sz w:val="18"/>
                            <w:szCs w:val="18"/>
                            <w:lang w:eastAsia="en-AU"/>
                          </w:rPr>
                          <w:t>$8,661</w:t>
                        </w:r>
                      </w:p>
                    </w:tc>
                    <w:tc>
                      <w:tcPr>
                        <w:tcW w:w="1275" w:type="dxa"/>
                        <w:shd w:val="clear" w:color="auto" w:fill="auto"/>
                        <w:noWrap/>
                        <w:vAlign w:val="center"/>
                        <w:hideMark/>
                      </w:tcPr>
                      <w:p w:rsidR="000D637E" w:rsidRPr="003C1A99" w:rsidRDefault="000D637E" w:rsidP="003C1A99">
                        <w:pPr>
                          <w:jc w:val="center"/>
                          <w:rPr>
                            <w:sz w:val="18"/>
                            <w:szCs w:val="18"/>
                            <w:lang w:eastAsia="en-AU"/>
                          </w:rPr>
                        </w:pPr>
                        <w:r w:rsidRPr="003C1A99">
                          <w:rPr>
                            <w:sz w:val="18"/>
                            <w:szCs w:val="18"/>
                            <w:lang w:eastAsia="en-AU"/>
                          </w:rPr>
                          <w:t>$29,635</w:t>
                        </w:r>
                      </w:p>
                    </w:tc>
                    <w:tc>
                      <w:tcPr>
                        <w:tcW w:w="1418" w:type="dxa"/>
                        <w:gridSpan w:val="2"/>
                        <w:shd w:val="clear" w:color="auto" w:fill="auto"/>
                        <w:noWrap/>
                        <w:vAlign w:val="center"/>
                        <w:hideMark/>
                      </w:tcPr>
                      <w:p w:rsidR="000D637E" w:rsidRPr="00AE107F" w:rsidRDefault="000D637E" w:rsidP="00B500C5">
                        <w:pPr>
                          <w:rPr>
                            <w:rFonts w:ascii="Calibri" w:hAnsi="Calibri" w:cs="Calibri"/>
                            <w:color w:val="000000"/>
                            <w:sz w:val="18"/>
                            <w:szCs w:val="18"/>
                            <w:lang w:eastAsia="en-AU"/>
                          </w:rPr>
                        </w:pPr>
                      </w:p>
                    </w:tc>
                    <w:tc>
                      <w:tcPr>
                        <w:tcW w:w="1559" w:type="dxa"/>
                        <w:tcBorders>
                          <w:right w:val="single" w:sz="4" w:space="0" w:color="548DD4" w:themeColor="text2" w:themeTint="99"/>
                        </w:tcBorders>
                        <w:shd w:val="clear" w:color="auto" w:fill="auto"/>
                        <w:noWrap/>
                        <w:vAlign w:val="center"/>
                        <w:hideMark/>
                      </w:tcPr>
                      <w:p w:rsidR="000D637E" w:rsidRPr="00AE107F" w:rsidRDefault="000D637E" w:rsidP="00AE107F">
                        <w:pPr>
                          <w:jc w:val="center"/>
                          <w:rPr>
                            <w:rFonts w:ascii="Calibri" w:hAnsi="Calibri" w:cs="Calibri"/>
                            <w:color w:val="000000"/>
                            <w:sz w:val="18"/>
                            <w:szCs w:val="18"/>
                            <w:lang w:eastAsia="en-AU"/>
                          </w:rPr>
                        </w:pPr>
                        <w:r w:rsidRPr="003C1A99">
                          <w:rPr>
                            <w:sz w:val="18"/>
                            <w:szCs w:val="18"/>
                            <w:lang w:eastAsia="en-AU"/>
                          </w:rPr>
                          <w:t>$38,296</w:t>
                        </w:r>
                      </w:p>
                    </w:tc>
                  </w:tr>
                </w:tbl>
                <w:p w:rsidR="000D637E" w:rsidRPr="007B1AFC" w:rsidRDefault="000D637E" w:rsidP="003A1E94">
                  <w:pPr>
                    <w:spacing w:after="120"/>
                    <w:outlineLvl w:val="0"/>
                    <w:rPr>
                      <w:sz w:val="18"/>
                      <w:szCs w:val="18"/>
                    </w:rPr>
                  </w:pPr>
                </w:p>
                <w:p w:rsidR="000D637E" w:rsidRPr="007B1AFC" w:rsidRDefault="000D637E" w:rsidP="003A1E94">
                  <w:pPr>
                    <w:rPr>
                      <w:sz w:val="18"/>
                      <w:szCs w:val="18"/>
                    </w:rPr>
                  </w:pPr>
                  <w:r w:rsidRPr="007B1AFC">
                    <w:rPr>
                      <w:sz w:val="18"/>
                      <w:szCs w:val="18"/>
                    </w:rPr>
                    <w:t xml:space="preserve">Additional complexity components (applicable fees for Example </w:t>
                  </w:r>
                  <w:r>
                    <w:rPr>
                      <w:sz w:val="18"/>
                      <w:szCs w:val="18"/>
                    </w:rPr>
                    <w:t>3</w:t>
                  </w:r>
                  <w:r w:rsidRPr="007B1AFC">
                    <w:rPr>
                      <w:sz w:val="18"/>
                      <w:szCs w:val="18"/>
                    </w:rPr>
                    <w:t>)</w:t>
                  </w:r>
                </w:p>
                <w:tbl>
                  <w:tblPr>
                    <w:tblStyle w:val="TableGrid"/>
                    <w:tblW w:w="0" w:type="auto"/>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709"/>
                    <w:gridCol w:w="4364"/>
                    <w:gridCol w:w="3149"/>
                    <w:gridCol w:w="1559"/>
                  </w:tblGrid>
                  <w:tr w:rsidR="000D637E" w:rsidRPr="007B1AFC" w:rsidTr="002D2239">
                    <w:trPr>
                      <w:cnfStyle w:val="10000000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0D637E" w:rsidRPr="007B1AFC" w:rsidRDefault="000D637E" w:rsidP="003A1E94">
                        <w:pPr>
                          <w:jc w:val="center"/>
                          <w:rPr>
                            <w:b/>
                            <w:sz w:val="18"/>
                            <w:szCs w:val="18"/>
                          </w:rPr>
                        </w:pPr>
                        <w:r w:rsidRPr="007B1AFC">
                          <w:rPr>
                            <w:b/>
                            <w:sz w:val="18"/>
                            <w:szCs w:val="18"/>
                          </w:rPr>
                          <w:t>Fee Ref.*</w:t>
                        </w:r>
                      </w:p>
                    </w:tc>
                    <w:tc>
                      <w:tcPr>
                        <w:tcW w:w="436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7B1AFC" w:rsidRDefault="000D637E" w:rsidP="003A1E94">
                        <w:pPr>
                          <w:jc w:val="center"/>
                          <w:rPr>
                            <w:b/>
                            <w:sz w:val="18"/>
                            <w:szCs w:val="18"/>
                          </w:rPr>
                        </w:pPr>
                        <w:r w:rsidRPr="007B1AFC">
                          <w:rPr>
                            <w:b/>
                            <w:sz w:val="18"/>
                            <w:szCs w:val="18"/>
                          </w:rPr>
                          <w:t>Project characteristics</w:t>
                        </w:r>
                      </w:p>
                    </w:tc>
                    <w:tc>
                      <w:tcPr>
                        <w:tcW w:w="314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7B1AFC" w:rsidRDefault="000D637E">
                        <w:pPr>
                          <w:jc w:val="center"/>
                          <w:rPr>
                            <w:b/>
                            <w:sz w:val="18"/>
                            <w:szCs w:val="18"/>
                          </w:rPr>
                        </w:pPr>
                        <w:r w:rsidRPr="007B1AFC">
                          <w:rPr>
                            <w:b/>
                            <w:sz w:val="18"/>
                            <w:szCs w:val="18"/>
                          </w:rPr>
                          <w:t>Additional resources required during the assessment process</w:t>
                        </w:r>
                      </w:p>
                    </w:tc>
                    <w:tc>
                      <w:tcPr>
                        <w:tcW w:w="155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7B1AFC" w:rsidRDefault="000D637E" w:rsidP="003A1E94">
                        <w:pPr>
                          <w:jc w:val="center"/>
                          <w:rPr>
                            <w:b/>
                            <w:sz w:val="18"/>
                            <w:szCs w:val="18"/>
                          </w:rPr>
                        </w:pPr>
                        <w:r w:rsidRPr="007B1AFC">
                          <w:rPr>
                            <w:b/>
                            <w:sz w:val="18"/>
                            <w:szCs w:val="18"/>
                          </w:rPr>
                          <w:t>Complexity costs</w:t>
                        </w:r>
                      </w:p>
                    </w:tc>
                  </w:tr>
                  <w:tr w:rsidR="000D637E" w:rsidRPr="007B1AFC" w:rsidTr="002D2239">
                    <w:trPr>
                      <w:cnfStyle w:val="000000100000"/>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7B1AFC" w:rsidRDefault="000D637E" w:rsidP="003A1E94">
                        <w:pPr>
                          <w:rPr>
                            <w:sz w:val="18"/>
                            <w:szCs w:val="18"/>
                          </w:rPr>
                        </w:pPr>
                        <w:r w:rsidRPr="007B1AFC">
                          <w:rPr>
                            <w:sz w:val="18"/>
                            <w:szCs w:val="18"/>
                          </w:rPr>
                          <w:t>Controlling provisions triggered</w:t>
                        </w:r>
                      </w:p>
                    </w:tc>
                  </w:tr>
                  <w:tr w:rsidR="000D637E" w:rsidRPr="007B1AFC" w:rsidTr="002D2239">
                    <w:trPr>
                      <w:cnfStyle w:val="00000001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7B1AFC" w:rsidRDefault="000D637E" w:rsidP="003A1E94">
                        <w:pPr>
                          <w:jc w:val="center"/>
                          <w:rPr>
                            <w:sz w:val="18"/>
                            <w:szCs w:val="18"/>
                          </w:rPr>
                        </w:pPr>
                        <w:r w:rsidRPr="007B1AFC">
                          <w:rPr>
                            <w:sz w:val="18"/>
                            <w:szCs w:val="18"/>
                          </w:rPr>
                          <w:t>A</w:t>
                        </w:r>
                      </w:p>
                    </w:tc>
                    <w:tc>
                      <w:tcPr>
                        <w:tcW w:w="4364" w:type="dxa"/>
                        <w:tcBorders>
                          <w:top w:val="single" w:sz="4" w:space="0" w:color="548DD4" w:themeColor="text2" w:themeTint="99"/>
                          <w:left w:val="nil"/>
                          <w:bottom w:val="single" w:sz="4" w:space="0" w:color="548DD4" w:themeColor="text2" w:themeTint="99"/>
                          <w:right w:val="nil"/>
                        </w:tcBorders>
                      </w:tcPr>
                      <w:p w:rsidR="000D637E" w:rsidRPr="00BA6714" w:rsidRDefault="000D637E" w:rsidP="008F17D2">
                        <w:pPr>
                          <w:pStyle w:val="ListBullet"/>
                          <w:rPr>
                            <w:sz w:val="18"/>
                            <w:szCs w:val="18"/>
                          </w:rPr>
                        </w:pPr>
                        <w:r w:rsidRPr="00CA3ABF">
                          <w:rPr>
                            <w:sz w:val="18"/>
                            <w:szCs w:val="18"/>
                          </w:rPr>
                          <w:t>Impacts are considered high complexity based on 8 EPBC Act listed threatened species / ecological communities requiring further assessment - 10 points</w:t>
                        </w:r>
                      </w:p>
                    </w:tc>
                    <w:tc>
                      <w:tcPr>
                        <w:tcW w:w="3149" w:type="dxa"/>
                        <w:tcBorders>
                          <w:top w:val="single" w:sz="4" w:space="0" w:color="548DD4" w:themeColor="text2" w:themeTint="99"/>
                          <w:left w:val="nil"/>
                          <w:bottom w:val="single" w:sz="4" w:space="0" w:color="548DD4" w:themeColor="text2" w:themeTint="99"/>
                          <w:right w:val="nil"/>
                        </w:tcBorders>
                      </w:tcPr>
                      <w:p w:rsidR="000D637E" w:rsidRPr="00BA6714" w:rsidRDefault="000D637E" w:rsidP="003A1E94">
                        <w:pPr>
                          <w:rPr>
                            <w:sz w:val="18"/>
                            <w:szCs w:val="18"/>
                          </w:rPr>
                        </w:pPr>
                        <w:r>
                          <w:rPr>
                            <w:sz w:val="18"/>
                            <w:szCs w:val="18"/>
                          </w:rPr>
                          <w:t>Threatened species (high complexity):</w:t>
                        </w:r>
                      </w:p>
                      <w:p w:rsidR="000D637E" w:rsidRPr="00BA6714" w:rsidRDefault="000D637E" w:rsidP="008A56A0">
                        <w:pPr>
                          <w:pStyle w:val="ListParagraph"/>
                          <w:numPr>
                            <w:ilvl w:val="0"/>
                            <w:numId w:val="7"/>
                          </w:numPr>
                          <w:spacing w:after="0" w:line="240" w:lineRule="auto"/>
                          <w:ind w:left="360"/>
                          <w:contextualSpacing/>
                          <w:rPr>
                            <w:sz w:val="18"/>
                            <w:szCs w:val="18"/>
                          </w:rPr>
                        </w:pPr>
                        <w:r>
                          <w:rPr>
                            <w:sz w:val="18"/>
                            <w:szCs w:val="18"/>
                          </w:rPr>
                          <w:t>Assessment Officer—24 days</w:t>
                        </w:r>
                      </w:p>
                      <w:p w:rsidR="000D637E" w:rsidRPr="00BA6714" w:rsidRDefault="000D637E" w:rsidP="008A56A0">
                        <w:pPr>
                          <w:pStyle w:val="ListParagraph"/>
                          <w:numPr>
                            <w:ilvl w:val="0"/>
                            <w:numId w:val="7"/>
                          </w:numPr>
                          <w:spacing w:after="0" w:line="240" w:lineRule="auto"/>
                          <w:ind w:left="360"/>
                          <w:contextualSpacing/>
                          <w:rPr>
                            <w:sz w:val="18"/>
                            <w:szCs w:val="18"/>
                          </w:rPr>
                        </w:pPr>
                        <w:r>
                          <w:rPr>
                            <w:sz w:val="18"/>
                            <w:szCs w:val="18"/>
                          </w:rPr>
                          <w:t>Assistant Director—12 days</w:t>
                        </w:r>
                      </w:p>
                      <w:p w:rsidR="000D637E" w:rsidRPr="00BA6714" w:rsidRDefault="000D637E" w:rsidP="008A56A0">
                        <w:pPr>
                          <w:pStyle w:val="ListParagraph"/>
                          <w:numPr>
                            <w:ilvl w:val="0"/>
                            <w:numId w:val="7"/>
                          </w:numPr>
                          <w:spacing w:after="0" w:line="240" w:lineRule="auto"/>
                          <w:ind w:left="360"/>
                          <w:contextualSpacing/>
                          <w:rPr>
                            <w:sz w:val="18"/>
                            <w:szCs w:val="18"/>
                          </w:rPr>
                        </w:pPr>
                        <w:r>
                          <w:rPr>
                            <w:sz w:val="18"/>
                            <w:szCs w:val="18"/>
                          </w:rPr>
                          <w:t>Director—4 days</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7B1AFC" w:rsidRDefault="000D637E" w:rsidP="003A1E94">
                        <w:pPr>
                          <w:jc w:val="center"/>
                          <w:rPr>
                            <w:sz w:val="18"/>
                            <w:szCs w:val="18"/>
                          </w:rPr>
                        </w:pPr>
                        <w:r w:rsidRPr="006C335A">
                          <w:rPr>
                            <w:sz w:val="18"/>
                            <w:szCs w:val="18"/>
                          </w:rPr>
                          <w:t>$21,852</w:t>
                        </w:r>
                      </w:p>
                    </w:tc>
                  </w:tr>
                  <w:tr w:rsidR="000D637E" w:rsidRPr="007B1AFC" w:rsidTr="002D2239">
                    <w:trPr>
                      <w:cnfStyle w:val="000000100000"/>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BA6714" w:rsidRDefault="000D637E" w:rsidP="003A1E94">
                        <w:pPr>
                          <w:rPr>
                            <w:sz w:val="18"/>
                            <w:szCs w:val="18"/>
                          </w:rPr>
                        </w:pPr>
                        <w:r>
                          <w:rPr>
                            <w:sz w:val="18"/>
                            <w:szCs w:val="18"/>
                          </w:rPr>
                          <w:t>Project components</w:t>
                        </w:r>
                      </w:p>
                    </w:tc>
                  </w:tr>
                  <w:tr w:rsidR="000D637E" w:rsidRPr="007B1AFC" w:rsidTr="002D2239">
                    <w:trPr>
                      <w:cnfStyle w:val="00000001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7B1AFC" w:rsidRDefault="000D637E" w:rsidP="003A1E94">
                        <w:pPr>
                          <w:jc w:val="center"/>
                          <w:rPr>
                            <w:sz w:val="18"/>
                            <w:szCs w:val="18"/>
                          </w:rPr>
                        </w:pPr>
                        <w:r>
                          <w:rPr>
                            <w:sz w:val="18"/>
                            <w:szCs w:val="18"/>
                          </w:rPr>
                          <w:t>K</w:t>
                        </w:r>
                      </w:p>
                    </w:tc>
                    <w:tc>
                      <w:tcPr>
                        <w:tcW w:w="4364" w:type="dxa"/>
                        <w:tcBorders>
                          <w:top w:val="single" w:sz="4" w:space="0" w:color="548DD4" w:themeColor="text2" w:themeTint="99"/>
                          <w:left w:val="nil"/>
                          <w:bottom w:val="single" w:sz="4" w:space="0" w:color="548DD4" w:themeColor="text2" w:themeTint="99"/>
                          <w:right w:val="nil"/>
                        </w:tcBorders>
                      </w:tcPr>
                      <w:p w:rsidR="000D637E" w:rsidRPr="00BA6714" w:rsidRDefault="000D637E" w:rsidP="008A56A0">
                        <w:pPr>
                          <w:pStyle w:val="ListParagraph"/>
                          <w:numPr>
                            <w:ilvl w:val="0"/>
                            <w:numId w:val="7"/>
                          </w:numPr>
                          <w:spacing w:after="0" w:line="240" w:lineRule="auto"/>
                          <w:ind w:left="360"/>
                          <w:contextualSpacing/>
                          <w:rPr>
                            <w:sz w:val="18"/>
                            <w:szCs w:val="18"/>
                          </w:rPr>
                        </w:pPr>
                        <w:r>
                          <w:rPr>
                            <w:sz w:val="18"/>
                            <w:szCs w:val="18"/>
                          </w:rPr>
                          <w:t>Land clearing for residential development</w:t>
                        </w:r>
                      </w:p>
                    </w:tc>
                    <w:tc>
                      <w:tcPr>
                        <w:tcW w:w="3149" w:type="dxa"/>
                        <w:tcBorders>
                          <w:top w:val="single" w:sz="4" w:space="0" w:color="548DD4" w:themeColor="text2" w:themeTint="99"/>
                          <w:left w:val="nil"/>
                          <w:bottom w:val="single" w:sz="4" w:space="0" w:color="548DD4" w:themeColor="text2" w:themeTint="99"/>
                          <w:right w:val="nil"/>
                        </w:tcBorders>
                        <w:vAlign w:val="center"/>
                      </w:tcPr>
                      <w:p w:rsidR="000D637E" w:rsidRPr="00BA6714" w:rsidRDefault="000D637E" w:rsidP="008F17D2">
                        <w:pPr>
                          <w:pStyle w:val="ListBullet"/>
                          <w:rPr>
                            <w:sz w:val="18"/>
                            <w:szCs w:val="18"/>
                          </w:rPr>
                        </w:pPr>
                        <w:r w:rsidRPr="00CA3ABF">
                          <w:rPr>
                            <w:sz w:val="18"/>
                            <w:szCs w:val="18"/>
                          </w:rPr>
                          <w:t>No additional cost</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7B1AFC" w:rsidRDefault="000D637E" w:rsidP="003A1E94">
                        <w:pPr>
                          <w:jc w:val="center"/>
                          <w:rPr>
                            <w:sz w:val="18"/>
                            <w:szCs w:val="18"/>
                          </w:rPr>
                        </w:pPr>
                        <w:r w:rsidRPr="007B1AFC">
                          <w:rPr>
                            <w:sz w:val="18"/>
                            <w:szCs w:val="18"/>
                          </w:rPr>
                          <w:t>N/A</w:t>
                        </w:r>
                      </w:p>
                    </w:tc>
                  </w:tr>
                  <w:tr w:rsidR="000D637E" w:rsidRPr="007B1AFC" w:rsidTr="002D2239">
                    <w:trPr>
                      <w:cnfStyle w:val="000000100000"/>
                      <w:trHeight w:val="164"/>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BA6714" w:rsidRDefault="000D637E" w:rsidP="003A1E94">
                        <w:pPr>
                          <w:rPr>
                            <w:sz w:val="18"/>
                            <w:szCs w:val="18"/>
                          </w:rPr>
                        </w:pPr>
                        <w:r>
                          <w:rPr>
                            <w:sz w:val="18"/>
                            <w:szCs w:val="18"/>
                          </w:rPr>
                          <w:t>Adequacy of information and clarity of project scope</w:t>
                        </w:r>
                      </w:p>
                    </w:tc>
                  </w:tr>
                  <w:tr w:rsidR="000D637E" w:rsidRPr="007B1AFC" w:rsidTr="002D2239">
                    <w:trPr>
                      <w:cnfStyle w:val="000000010000"/>
                      <w:trHeight w:val="85"/>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7B1AFC" w:rsidRDefault="000D637E" w:rsidP="003A1E94">
                        <w:pPr>
                          <w:jc w:val="center"/>
                          <w:rPr>
                            <w:sz w:val="18"/>
                            <w:szCs w:val="18"/>
                          </w:rPr>
                        </w:pPr>
                        <w:r>
                          <w:rPr>
                            <w:sz w:val="18"/>
                            <w:szCs w:val="18"/>
                          </w:rPr>
                          <w:t>M</w:t>
                        </w:r>
                      </w:p>
                    </w:tc>
                    <w:tc>
                      <w:tcPr>
                        <w:tcW w:w="4364" w:type="dxa"/>
                        <w:tcBorders>
                          <w:top w:val="single" w:sz="4" w:space="0" w:color="548DD4" w:themeColor="text2" w:themeTint="99"/>
                          <w:left w:val="nil"/>
                          <w:bottom w:val="single" w:sz="4" w:space="0" w:color="548DD4" w:themeColor="text2" w:themeTint="99"/>
                          <w:right w:val="nil"/>
                        </w:tcBorders>
                      </w:tcPr>
                      <w:p w:rsidR="000D637E" w:rsidRPr="00BA6714" w:rsidRDefault="000D637E" w:rsidP="008F17D2">
                        <w:pPr>
                          <w:pStyle w:val="ListBullet"/>
                          <w:rPr>
                            <w:sz w:val="18"/>
                            <w:szCs w:val="18"/>
                          </w:rPr>
                        </w:pPr>
                        <w:r w:rsidRPr="00CA3ABF">
                          <w:rPr>
                            <w:sz w:val="18"/>
                            <w:szCs w:val="18"/>
                          </w:rPr>
                          <w:t xml:space="preserve">Site surveys complete and adequate  </w:t>
                        </w:r>
                      </w:p>
                    </w:tc>
                    <w:tc>
                      <w:tcPr>
                        <w:tcW w:w="3149" w:type="dxa"/>
                        <w:tcBorders>
                          <w:top w:val="single" w:sz="4" w:space="0" w:color="548DD4" w:themeColor="text2" w:themeTint="99"/>
                          <w:left w:val="nil"/>
                          <w:bottom w:val="single" w:sz="4" w:space="0" w:color="548DD4" w:themeColor="text2" w:themeTint="99"/>
                          <w:right w:val="nil"/>
                        </w:tcBorders>
                        <w:vAlign w:val="center"/>
                      </w:tcPr>
                      <w:p w:rsidR="000D637E" w:rsidRPr="00BA6714" w:rsidRDefault="000D637E" w:rsidP="008F17D2">
                        <w:pPr>
                          <w:pStyle w:val="ListBullet"/>
                          <w:rPr>
                            <w:sz w:val="18"/>
                            <w:szCs w:val="18"/>
                          </w:rPr>
                        </w:pPr>
                        <w:r w:rsidRPr="00CA3ABF">
                          <w:rPr>
                            <w:sz w:val="18"/>
                            <w:szCs w:val="18"/>
                          </w:rPr>
                          <w:t>No additional cost</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7B1AFC" w:rsidRDefault="000D637E" w:rsidP="003A1E94">
                        <w:pPr>
                          <w:jc w:val="center"/>
                          <w:rPr>
                            <w:sz w:val="18"/>
                            <w:szCs w:val="18"/>
                          </w:rPr>
                        </w:pPr>
                        <w:r w:rsidRPr="007B1AFC">
                          <w:rPr>
                            <w:sz w:val="18"/>
                            <w:szCs w:val="18"/>
                          </w:rPr>
                          <w:t>N/A</w:t>
                        </w:r>
                      </w:p>
                    </w:tc>
                  </w:tr>
                  <w:tr w:rsidR="000D637E" w:rsidRPr="007B1AFC" w:rsidTr="002D2239">
                    <w:trPr>
                      <w:cnfStyle w:val="000000100000"/>
                      <w:trHeight w:val="341"/>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7B1AFC" w:rsidRDefault="000D637E" w:rsidP="003A1E94">
                        <w:pPr>
                          <w:jc w:val="center"/>
                          <w:rPr>
                            <w:sz w:val="18"/>
                            <w:szCs w:val="18"/>
                          </w:rPr>
                        </w:pPr>
                        <w:r>
                          <w:rPr>
                            <w:sz w:val="18"/>
                            <w:szCs w:val="18"/>
                          </w:rPr>
                          <w:t>N</w:t>
                        </w:r>
                      </w:p>
                    </w:tc>
                    <w:tc>
                      <w:tcPr>
                        <w:tcW w:w="4364" w:type="dxa"/>
                        <w:tcBorders>
                          <w:top w:val="single" w:sz="4" w:space="0" w:color="548DD4" w:themeColor="text2" w:themeTint="99"/>
                          <w:left w:val="nil"/>
                          <w:bottom w:val="single" w:sz="4" w:space="0" w:color="548DD4" w:themeColor="text2" w:themeTint="99"/>
                          <w:right w:val="nil"/>
                        </w:tcBorders>
                      </w:tcPr>
                      <w:p w:rsidR="000D637E" w:rsidRPr="00BA6714" w:rsidRDefault="000D637E" w:rsidP="008F17D2">
                        <w:pPr>
                          <w:pStyle w:val="ListBullet"/>
                          <w:rPr>
                            <w:sz w:val="18"/>
                            <w:szCs w:val="18"/>
                          </w:rPr>
                        </w:pPr>
                        <w:r w:rsidRPr="00CA3ABF">
                          <w:rPr>
                            <w:sz w:val="18"/>
                            <w:szCs w:val="18"/>
                          </w:rPr>
                          <w:t>Management measures are clearly defined and proven</w:t>
                        </w:r>
                      </w:p>
                    </w:tc>
                    <w:tc>
                      <w:tcPr>
                        <w:tcW w:w="3149" w:type="dxa"/>
                        <w:tcBorders>
                          <w:top w:val="single" w:sz="4" w:space="0" w:color="548DD4" w:themeColor="text2" w:themeTint="99"/>
                          <w:left w:val="nil"/>
                          <w:bottom w:val="single" w:sz="4" w:space="0" w:color="548DD4" w:themeColor="text2" w:themeTint="99"/>
                          <w:right w:val="nil"/>
                        </w:tcBorders>
                        <w:vAlign w:val="center"/>
                      </w:tcPr>
                      <w:p w:rsidR="000D637E" w:rsidRPr="00BA6714" w:rsidRDefault="000D637E" w:rsidP="008F17D2">
                        <w:pPr>
                          <w:pStyle w:val="ListBullet"/>
                          <w:rPr>
                            <w:sz w:val="18"/>
                            <w:szCs w:val="18"/>
                          </w:rPr>
                        </w:pPr>
                        <w:r w:rsidRPr="00CA3ABF">
                          <w:rPr>
                            <w:sz w:val="18"/>
                            <w:szCs w:val="18"/>
                          </w:rPr>
                          <w:t>No additional cost</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7B1AFC" w:rsidRDefault="000D637E" w:rsidP="003A1E94">
                        <w:pPr>
                          <w:jc w:val="center"/>
                          <w:rPr>
                            <w:sz w:val="18"/>
                            <w:szCs w:val="18"/>
                          </w:rPr>
                        </w:pPr>
                        <w:r w:rsidRPr="007B1AFC">
                          <w:rPr>
                            <w:sz w:val="18"/>
                            <w:szCs w:val="18"/>
                          </w:rPr>
                          <w:t>N/A</w:t>
                        </w:r>
                      </w:p>
                    </w:tc>
                  </w:tr>
                  <w:tr w:rsidR="000D637E" w:rsidRPr="007B1AFC" w:rsidTr="002D2239">
                    <w:trPr>
                      <w:cnfStyle w:val="000000010000"/>
                    </w:trPr>
                    <w:tc>
                      <w:tcPr>
                        <w:tcW w:w="9781"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0D637E" w:rsidRPr="00BA6714" w:rsidRDefault="000D637E" w:rsidP="003A1E94">
                        <w:pPr>
                          <w:rPr>
                            <w:sz w:val="18"/>
                            <w:szCs w:val="18"/>
                          </w:rPr>
                        </w:pPr>
                        <w:r>
                          <w:rPr>
                            <w:sz w:val="18"/>
                            <w:szCs w:val="18"/>
                          </w:rPr>
                          <w:t>Other legislation</w:t>
                        </w:r>
                      </w:p>
                    </w:tc>
                  </w:tr>
                  <w:tr w:rsidR="000D637E" w:rsidRPr="007B1AFC" w:rsidTr="002D2239">
                    <w:trPr>
                      <w:cnfStyle w:val="000000100000"/>
                    </w:trPr>
                    <w:tc>
                      <w:tcPr>
                        <w:tcW w:w="709"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7B1AFC" w:rsidRDefault="000D637E" w:rsidP="003A1E94">
                        <w:pPr>
                          <w:jc w:val="center"/>
                          <w:rPr>
                            <w:sz w:val="18"/>
                            <w:szCs w:val="18"/>
                          </w:rPr>
                        </w:pPr>
                        <w:r>
                          <w:rPr>
                            <w:sz w:val="18"/>
                            <w:szCs w:val="18"/>
                          </w:rPr>
                          <w:t>L</w:t>
                        </w:r>
                      </w:p>
                    </w:tc>
                    <w:tc>
                      <w:tcPr>
                        <w:tcW w:w="4364" w:type="dxa"/>
                        <w:tcBorders>
                          <w:top w:val="single" w:sz="4" w:space="0" w:color="548DD4" w:themeColor="text2" w:themeTint="99"/>
                          <w:left w:val="nil"/>
                          <w:bottom w:val="single" w:sz="4" w:space="0" w:color="548DD4" w:themeColor="text2" w:themeTint="99"/>
                          <w:right w:val="nil"/>
                        </w:tcBorders>
                      </w:tcPr>
                      <w:p w:rsidR="000D637E" w:rsidRPr="00BA6714" w:rsidRDefault="000D637E" w:rsidP="008A56A0">
                        <w:pPr>
                          <w:pStyle w:val="ListParagraph"/>
                          <w:numPr>
                            <w:ilvl w:val="0"/>
                            <w:numId w:val="7"/>
                          </w:numPr>
                          <w:spacing w:after="0" w:line="240" w:lineRule="auto"/>
                          <w:ind w:left="360"/>
                          <w:contextualSpacing/>
                          <w:rPr>
                            <w:sz w:val="18"/>
                            <w:szCs w:val="18"/>
                          </w:rPr>
                        </w:pPr>
                        <w:r>
                          <w:rPr>
                            <w:sz w:val="18"/>
                            <w:szCs w:val="18"/>
                          </w:rPr>
                          <w:t xml:space="preserve">Coordination not required under section 160 of the EPBC Act. </w:t>
                        </w:r>
                      </w:p>
                      <w:p w:rsidR="000D637E" w:rsidRPr="00BA6714" w:rsidRDefault="000D637E" w:rsidP="008A56A0">
                        <w:pPr>
                          <w:pStyle w:val="ListParagraph"/>
                          <w:numPr>
                            <w:ilvl w:val="0"/>
                            <w:numId w:val="7"/>
                          </w:numPr>
                          <w:spacing w:after="0" w:line="240" w:lineRule="auto"/>
                          <w:ind w:left="360"/>
                          <w:contextualSpacing/>
                          <w:rPr>
                            <w:sz w:val="18"/>
                            <w:szCs w:val="18"/>
                          </w:rPr>
                        </w:pPr>
                        <w:r>
                          <w:rPr>
                            <w:sz w:val="18"/>
                            <w:szCs w:val="18"/>
                          </w:rPr>
                          <w:t xml:space="preserve">There is a moderate level of complexity under the state planning legislation. Liaison will be required to streamline approval conditions. </w:t>
                        </w:r>
                      </w:p>
                    </w:tc>
                    <w:tc>
                      <w:tcPr>
                        <w:tcW w:w="3149" w:type="dxa"/>
                        <w:tcBorders>
                          <w:top w:val="single" w:sz="4" w:space="0" w:color="548DD4" w:themeColor="text2" w:themeTint="99"/>
                          <w:left w:val="nil"/>
                          <w:bottom w:val="single" w:sz="4" w:space="0" w:color="548DD4" w:themeColor="text2" w:themeTint="99"/>
                          <w:right w:val="nil"/>
                        </w:tcBorders>
                      </w:tcPr>
                      <w:p w:rsidR="000D637E" w:rsidRPr="00BA6714" w:rsidRDefault="000D637E" w:rsidP="003A1E94">
                        <w:pPr>
                          <w:pStyle w:val="ListParagraph"/>
                          <w:ind w:left="0"/>
                          <w:rPr>
                            <w:sz w:val="18"/>
                            <w:szCs w:val="18"/>
                          </w:rPr>
                        </w:pPr>
                        <w:r>
                          <w:rPr>
                            <w:sz w:val="18"/>
                            <w:szCs w:val="18"/>
                          </w:rPr>
                          <w:t>Other legislation (moderate complexity):</w:t>
                        </w:r>
                      </w:p>
                      <w:p w:rsidR="000D637E" w:rsidRPr="00BA6714" w:rsidRDefault="000D637E" w:rsidP="008A56A0">
                        <w:pPr>
                          <w:pStyle w:val="ListParagraph"/>
                          <w:numPr>
                            <w:ilvl w:val="0"/>
                            <w:numId w:val="7"/>
                          </w:numPr>
                          <w:spacing w:after="0" w:line="240" w:lineRule="auto"/>
                          <w:ind w:left="360"/>
                          <w:contextualSpacing/>
                          <w:rPr>
                            <w:sz w:val="18"/>
                            <w:szCs w:val="18"/>
                          </w:rPr>
                        </w:pPr>
                        <w:r>
                          <w:rPr>
                            <w:sz w:val="18"/>
                            <w:szCs w:val="18"/>
                          </w:rPr>
                          <w:t>Assessment Officer—8 days</w:t>
                        </w:r>
                      </w:p>
                      <w:p w:rsidR="000D637E" w:rsidRPr="00BA6714" w:rsidRDefault="000D637E" w:rsidP="008A56A0">
                        <w:pPr>
                          <w:pStyle w:val="ListParagraph"/>
                          <w:numPr>
                            <w:ilvl w:val="0"/>
                            <w:numId w:val="7"/>
                          </w:numPr>
                          <w:spacing w:after="0" w:line="240" w:lineRule="auto"/>
                          <w:ind w:left="360"/>
                          <w:contextualSpacing/>
                          <w:rPr>
                            <w:sz w:val="18"/>
                            <w:szCs w:val="18"/>
                          </w:rPr>
                        </w:pPr>
                        <w:r>
                          <w:rPr>
                            <w:sz w:val="18"/>
                            <w:szCs w:val="18"/>
                          </w:rPr>
                          <w:t>Assistant Director—4 days</w:t>
                        </w:r>
                      </w:p>
                      <w:p w:rsidR="000D637E" w:rsidRPr="00BA6714" w:rsidRDefault="000D637E" w:rsidP="008A56A0">
                        <w:pPr>
                          <w:pStyle w:val="ListParagraph"/>
                          <w:numPr>
                            <w:ilvl w:val="0"/>
                            <w:numId w:val="7"/>
                          </w:numPr>
                          <w:spacing w:after="0" w:line="240" w:lineRule="auto"/>
                          <w:ind w:left="360"/>
                          <w:contextualSpacing/>
                          <w:rPr>
                            <w:sz w:val="18"/>
                            <w:szCs w:val="18"/>
                          </w:rPr>
                        </w:pPr>
                        <w:r>
                          <w:rPr>
                            <w:sz w:val="18"/>
                            <w:szCs w:val="18"/>
                          </w:rPr>
                          <w:t>Director—2 days</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AE107F" w:rsidRDefault="000D637E" w:rsidP="003A1E94">
                        <w:pPr>
                          <w:jc w:val="center"/>
                          <w:rPr>
                            <w:sz w:val="18"/>
                            <w:szCs w:val="18"/>
                          </w:rPr>
                        </w:pPr>
                        <w:r w:rsidRPr="00AE107F">
                          <w:rPr>
                            <w:sz w:val="18"/>
                            <w:szCs w:val="18"/>
                          </w:rPr>
                          <w:t>$7,783</w:t>
                        </w:r>
                      </w:p>
                    </w:tc>
                  </w:tr>
                  <w:tr w:rsidR="000D637E" w:rsidRPr="007B1AFC" w:rsidTr="002D2239">
                    <w:trPr>
                      <w:cnfStyle w:val="000000010000"/>
                      <w:trHeight w:val="501"/>
                    </w:trPr>
                    <w:tc>
                      <w:tcPr>
                        <w:tcW w:w="8222"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0D637E" w:rsidRPr="007B1AFC" w:rsidRDefault="000D637E" w:rsidP="003A1E94">
                        <w:pPr>
                          <w:jc w:val="right"/>
                          <w:rPr>
                            <w:caps/>
                            <w:sz w:val="18"/>
                            <w:szCs w:val="18"/>
                          </w:rPr>
                        </w:pPr>
                        <w:r w:rsidRPr="007B1AFC">
                          <w:rPr>
                            <w:caps/>
                            <w:sz w:val="18"/>
                            <w:szCs w:val="18"/>
                          </w:rPr>
                          <w:t>Estimated complexity costs</w:t>
                        </w:r>
                      </w:p>
                    </w:tc>
                    <w:tc>
                      <w:tcPr>
                        <w:tcW w:w="1559"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0D637E" w:rsidRPr="007B1AFC" w:rsidRDefault="000D637E" w:rsidP="003A1E94">
                        <w:pPr>
                          <w:jc w:val="center"/>
                          <w:rPr>
                            <w:sz w:val="18"/>
                            <w:szCs w:val="18"/>
                          </w:rPr>
                        </w:pPr>
                        <w:r w:rsidRPr="00AE107F">
                          <w:rPr>
                            <w:sz w:val="18"/>
                            <w:szCs w:val="18"/>
                          </w:rPr>
                          <w:t>$29,635</w:t>
                        </w:r>
                      </w:p>
                    </w:tc>
                  </w:tr>
                </w:tbl>
                <w:p w:rsidR="000D637E" w:rsidRPr="007B1AFC" w:rsidRDefault="000D637E" w:rsidP="003A1E94">
                  <w:pPr>
                    <w:rPr>
                      <w:sz w:val="18"/>
                      <w:szCs w:val="18"/>
                    </w:rPr>
                  </w:pPr>
                  <w:r w:rsidRPr="007B1AFC">
                    <w:rPr>
                      <w:sz w:val="18"/>
                      <w:szCs w:val="18"/>
                    </w:rPr>
                    <w:t xml:space="preserve">* Please refer to complexity </w:t>
                  </w:r>
                  <w:r>
                    <w:rPr>
                      <w:sz w:val="18"/>
                      <w:szCs w:val="18"/>
                    </w:rPr>
                    <w:t xml:space="preserve">fee </w:t>
                  </w:r>
                  <w:r w:rsidRPr="007B1AFC">
                    <w:rPr>
                      <w:sz w:val="18"/>
                      <w:szCs w:val="18"/>
                    </w:rPr>
                    <w:t>matrix</w:t>
                  </w:r>
                </w:p>
                <w:p w:rsidR="000D637E" w:rsidRPr="00414EA1" w:rsidRDefault="000D637E" w:rsidP="003A1E94">
                  <w:pPr>
                    <w:rPr>
                      <w:b/>
                      <w:sz w:val="18"/>
                      <w:szCs w:val="18"/>
                      <w:lang w:val="en-US"/>
                    </w:rPr>
                  </w:pPr>
                  <w:r w:rsidRPr="00414EA1">
                    <w:rPr>
                      <w:b/>
                      <w:sz w:val="18"/>
                      <w:szCs w:val="18"/>
                      <w:lang w:val="en-US"/>
                    </w:rPr>
                    <w:t>Reduci</w:t>
                  </w:r>
                  <w:r>
                    <w:rPr>
                      <w:b/>
                      <w:sz w:val="18"/>
                      <w:szCs w:val="18"/>
                      <w:lang w:val="en-US"/>
                    </w:rPr>
                    <w:t>ng complexity fees for Example 3</w:t>
                  </w:r>
                </w:p>
                <w:p w:rsidR="000D637E" w:rsidRPr="00414EA1" w:rsidRDefault="000D637E" w:rsidP="003A1E94">
                  <w:pPr>
                    <w:rPr>
                      <w:sz w:val="18"/>
                      <w:szCs w:val="18"/>
                    </w:rPr>
                  </w:pPr>
                  <w:r w:rsidRPr="00414EA1">
                    <w:rPr>
                      <w:sz w:val="18"/>
                      <w:szCs w:val="18"/>
                      <w:lang w:val="en-US"/>
                    </w:rPr>
                    <w:t xml:space="preserve">Example </w:t>
                  </w:r>
                  <w:r>
                    <w:rPr>
                      <w:sz w:val="18"/>
                      <w:szCs w:val="18"/>
                      <w:lang w:val="en-US"/>
                    </w:rPr>
                    <w:t>3</w:t>
                  </w:r>
                  <w:r w:rsidRPr="00414EA1">
                    <w:rPr>
                      <w:sz w:val="18"/>
                      <w:szCs w:val="18"/>
                      <w:lang w:val="en-US"/>
                    </w:rPr>
                    <w:t xml:space="preserve"> demonstrates how the proponent was able to reduce their overall complexity fee by $2</w:t>
                  </w:r>
                  <w:r>
                    <w:rPr>
                      <w:sz w:val="18"/>
                      <w:szCs w:val="18"/>
                      <w:lang w:val="en-US"/>
                    </w:rPr>
                    <w:t>8,495</w:t>
                  </w:r>
                  <w:r w:rsidRPr="00414EA1">
                    <w:rPr>
                      <w:sz w:val="18"/>
                      <w:szCs w:val="18"/>
                      <w:lang w:val="en-US"/>
                    </w:rPr>
                    <w:t xml:space="preserve"> in comparison to the scenario in</w:t>
                  </w:r>
                  <w:r>
                    <w:rPr>
                      <w:sz w:val="18"/>
                      <w:szCs w:val="18"/>
                      <w:lang w:val="en-US"/>
                    </w:rPr>
                    <w:t xml:space="preserve"> Example 2.</w:t>
                  </w:r>
                  <w:r w:rsidRPr="00414EA1">
                    <w:rPr>
                      <w:sz w:val="18"/>
                      <w:szCs w:val="18"/>
                      <w:lang w:val="en-US"/>
                    </w:rPr>
                    <w:t xml:space="preserve"> The proponent in Example </w:t>
                  </w:r>
                  <w:r>
                    <w:rPr>
                      <w:sz w:val="18"/>
                      <w:szCs w:val="18"/>
                      <w:lang w:val="en-US"/>
                    </w:rPr>
                    <w:t>3</w:t>
                  </w:r>
                  <w:r w:rsidRPr="00414EA1">
                    <w:rPr>
                      <w:sz w:val="18"/>
                      <w:szCs w:val="18"/>
                      <w:lang w:val="en-US"/>
                    </w:rPr>
                    <w:t xml:space="preserve"> did not have fees set for adequacy of information and clarity of project scope fees (shown in rows </w:t>
                  </w:r>
                  <w:r>
                    <w:rPr>
                      <w:sz w:val="18"/>
                      <w:szCs w:val="18"/>
                      <w:lang w:val="en-US"/>
                    </w:rPr>
                    <w:t>M</w:t>
                  </w:r>
                  <w:r w:rsidRPr="00414EA1">
                    <w:rPr>
                      <w:sz w:val="18"/>
                      <w:szCs w:val="18"/>
                      <w:lang w:val="en-US"/>
                    </w:rPr>
                    <w:t xml:space="preserve"> and </w:t>
                  </w:r>
                  <w:r>
                    <w:rPr>
                      <w:sz w:val="18"/>
                      <w:szCs w:val="18"/>
                      <w:lang w:val="en-US"/>
                    </w:rPr>
                    <w:t>N</w:t>
                  </w:r>
                  <w:r w:rsidRPr="00414EA1">
                    <w:rPr>
                      <w:sz w:val="18"/>
                      <w:szCs w:val="18"/>
                      <w:lang w:val="en-US"/>
                    </w:rPr>
                    <w:t xml:space="preserve"> in complexity</w:t>
                  </w:r>
                  <w:r>
                    <w:rPr>
                      <w:sz w:val="18"/>
                      <w:szCs w:val="18"/>
                      <w:lang w:val="en-US"/>
                    </w:rPr>
                    <w:t xml:space="preserve"> fee</w:t>
                  </w:r>
                  <w:r w:rsidRPr="00414EA1">
                    <w:rPr>
                      <w:sz w:val="18"/>
                      <w:szCs w:val="18"/>
                      <w:lang w:val="en-US"/>
                    </w:rPr>
                    <w:t xml:space="preserve"> matrix). The proponent achieved this by providing sufficient information in relation to site surveys and management measures in the referral documentation to enable the </w:t>
                  </w:r>
                  <w:r>
                    <w:rPr>
                      <w:sz w:val="18"/>
                      <w:szCs w:val="18"/>
                      <w:lang w:val="en-US"/>
                    </w:rPr>
                    <w:t>Department</w:t>
                  </w:r>
                  <w:r w:rsidRPr="00414EA1">
                    <w:rPr>
                      <w:sz w:val="18"/>
                      <w:szCs w:val="18"/>
                      <w:lang w:val="en-US"/>
                    </w:rPr>
                    <w:t xml:space="preserve"> to meaningfully inform the delegate of the nature of the proposal.</w:t>
                  </w:r>
                </w:p>
              </w:txbxContent>
            </v:textbox>
            <w10:wrap type="none"/>
            <w10:anchorlock/>
          </v:shape>
        </w:pict>
      </w:r>
    </w:p>
    <w:p w:rsidR="003A1E94" w:rsidRPr="002F5E76" w:rsidRDefault="003A1E94" w:rsidP="001C0989">
      <w:pPr>
        <w:pStyle w:val="Heading3"/>
      </w:pPr>
      <w:bookmarkStart w:id="381" w:name="_Ref388534613"/>
      <w:bookmarkStart w:id="382" w:name="_Toc391541587"/>
      <w:r>
        <w:lastRenderedPageBreak/>
        <w:t>Public Environmental Report</w:t>
      </w:r>
      <w:r w:rsidR="006522B1">
        <w:t xml:space="preserve"> </w:t>
      </w:r>
      <w:r>
        <w:t>/</w:t>
      </w:r>
      <w:r w:rsidR="006522B1">
        <w:t xml:space="preserve"> </w:t>
      </w:r>
      <w:r w:rsidRPr="002F5E76">
        <w:t xml:space="preserve">Environmental Impact </w:t>
      </w:r>
      <w:r w:rsidR="0076446F">
        <w:t>Statement</w:t>
      </w:r>
      <w:bookmarkEnd w:id="381"/>
      <w:bookmarkEnd w:id="382"/>
    </w:p>
    <w:p w:rsidR="003A1E94" w:rsidRDefault="003A1E94" w:rsidP="003A1E94">
      <w:pPr>
        <w:rPr>
          <w:lang w:val="en-US"/>
        </w:rPr>
      </w:pPr>
      <w:r>
        <w:rPr>
          <w:lang w:val="en-US"/>
        </w:rPr>
        <w:t xml:space="preserve">Public environmental report and environmental impact statement are very similar assessment methods, </w:t>
      </w:r>
      <w:r w:rsidR="001D5727">
        <w:rPr>
          <w:lang w:val="en-US"/>
        </w:rPr>
        <w:t>with an</w:t>
      </w:r>
      <w:r w:rsidR="00EE1B30">
        <w:rPr>
          <w:lang w:val="en-US"/>
        </w:rPr>
        <w:t xml:space="preserve"> identical</w:t>
      </w:r>
      <w:r w:rsidR="00865E5D">
        <w:rPr>
          <w:lang w:val="en-US"/>
        </w:rPr>
        <w:t xml:space="preserve"> statutory process</w:t>
      </w:r>
      <w:r w:rsidR="00EE1B30">
        <w:rPr>
          <w:lang w:val="en-US"/>
        </w:rPr>
        <w:t xml:space="preserve"> </w:t>
      </w:r>
      <w:r w:rsidR="00865E5D">
        <w:rPr>
          <w:lang w:val="en-US"/>
        </w:rPr>
        <w:t>under the EPBC Act</w:t>
      </w:r>
      <w:r>
        <w:rPr>
          <w:lang w:val="en-US"/>
        </w:rPr>
        <w:t>. The base costs for these assessment methods are the same. Costs for both assessment methods are discussed in this section.</w:t>
      </w:r>
    </w:p>
    <w:p w:rsidR="003A1E94" w:rsidRPr="00F0720D" w:rsidRDefault="003A1E94" w:rsidP="003A1E94">
      <w:pPr>
        <w:rPr>
          <w:lang w:val="en-US"/>
        </w:rPr>
      </w:pPr>
      <w:r w:rsidRPr="00FC12C4">
        <w:rPr>
          <w:lang w:val="en-US"/>
        </w:rPr>
        <w:t xml:space="preserve">Base </w:t>
      </w:r>
      <w:r>
        <w:rPr>
          <w:lang w:val="en-US"/>
        </w:rPr>
        <w:t xml:space="preserve">public </w:t>
      </w:r>
      <w:r w:rsidRPr="00F0720D">
        <w:rPr>
          <w:lang w:val="en-US"/>
        </w:rPr>
        <w:t>environmental report and environmental impact statement fees (i.e. for low complexity projects) are based on 35 equivalent person-days for an Assessment Officer, 13</w:t>
      </w:r>
      <w:r w:rsidR="00C62D9B">
        <w:rPr>
          <w:lang w:val="en-US"/>
        </w:rPr>
        <w:t> </w:t>
      </w:r>
      <w:r w:rsidRPr="00F0720D">
        <w:rPr>
          <w:lang w:val="en-US"/>
        </w:rPr>
        <w:t xml:space="preserve">equivalent person-days for an Assistant Director, and five equivalent person-days for a Director, plus executive oversight. </w:t>
      </w:r>
    </w:p>
    <w:p w:rsidR="003A1E94" w:rsidRDefault="003A1E94" w:rsidP="003A1E94">
      <w:pPr>
        <w:rPr>
          <w:lang w:val="en-US"/>
        </w:rPr>
      </w:pPr>
      <w:r w:rsidRPr="00F0720D">
        <w:rPr>
          <w:lang w:val="en-US"/>
        </w:rPr>
        <w:t>Activities involved in a base public environmental</w:t>
      </w:r>
      <w:r>
        <w:rPr>
          <w:lang w:val="en-US"/>
        </w:rPr>
        <w:t xml:space="preserve"> report and environmental impact statement process</w:t>
      </w:r>
      <w:r w:rsidRPr="00FC12C4">
        <w:rPr>
          <w:lang w:val="en-US"/>
        </w:rPr>
        <w:t xml:space="preserve"> include: </w:t>
      </w:r>
    </w:p>
    <w:p w:rsidR="003A1E94" w:rsidRDefault="008F227E" w:rsidP="008F17D2">
      <w:pPr>
        <w:pStyle w:val="ListBullet"/>
        <w:rPr>
          <w:lang w:val="en-US"/>
        </w:rPr>
      </w:pPr>
      <w:r>
        <w:rPr>
          <w:lang w:val="en-US"/>
        </w:rPr>
        <w:t>A</w:t>
      </w:r>
      <w:r w:rsidR="003A1E94" w:rsidRPr="00FC12C4">
        <w:rPr>
          <w:lang w:val="en-US"/>
        </w:rPr>
        <w:t xml:space="preserve"> comprehensive review of project scope</w:t>
      </w:r>
      <w:r w:rsidR="008F17D2">
        <w:rPr>
          <w:lang w:val="en-US"/>
        </w:rPr>
        <w:t>,</w:t>
      </w:r>
      <w:r w:rsidR="003A1E94" w:rsidRPr="00FC12C4">
        <w:rPr>
          <w:lang w:val="en-US"/>
        </w:rPr>
        <w:t xml:space="preserve"> </w:t>
      </w:r>
    </w:p>
    <w:p w:rsidR="003A1E94" w:rsidRDefault="008F227E" w:rsidP="008F17D2">
      <w:pPr>
        <w:pStyle w:val="ListBullet"/>
        <w:rPr>
          <w:lang w:val="en-US"/>
        </w:rPr>
      </w:pPr>
      <w:r>
        <w:rPr>
          <w:lang w:val="en-US"/>
        </w:rPr>
        <w:t>C</w:t>
      </w:r>
      <w:r w:rsidR="003A1E94" w:rsidRPr="00FC12C4">
        <w:rPr>
          <w:lang w:val="en-US"/>
        </w:rPr>
        <w:t xml:space="preserve">onsultation with the </w:t>
      </w:r>
      <w:r w:rsidR="00B64DB5">
        <w:rPr>
          <w:lang w:val="en-US"/>
        </w:rPr>
        <w:t>applicant</w:t>
      </w:r>
      <w:r w:rsidR="008F17D2">
        <w:rPr>
          <w:lang w:val="en-US"/>
        </w:rPr>
        <w:t>,</w:t>
      </w:r>
      <w:r w:rsidR="003A1E94" w:rsidRPr="00FC12C4">
        <w:rPr>
          <w:lang w:val="en-US"/>
        </w:rPr>
        <w:t xml:space="preserve"> </w:t>
      </w:r>
    </w:p>
    <w:p w:rsidR="003A1E94" w:rsidRDefault="008F227E">
      <w:pPr>
        <w:pStyle w:val="ListBullet"/>
        <w:rPr>
          <w:lang w:val="en-US"/>
        </w:rPr>
      </w:pPr>
      <w:r>
        <w:rPr>
          <w:lang w:val="en-US"/>
        </w:rPr>
        <w:t>P</w:t>
      </w:r>
      <w:r w:rsidR="003A1E94" w:rsidRPr="00FC12C4">
        <w:rPr>
          <w:lang w:val="en-US"/>
        </w:rPr>
        <w:t>reparation of guidelines</w:t>
      </w:r>
      <w:r w:rsidR="008F17D2">
        <w:rPr>
          <w:lang w:val="en-US"/>
        </w:rPr>
        <w:t>,</w:t>
      </w:r>
      <w:r w:rsidR="003A1E94" w:rsidRPr="00FC12C4">
        <w:rPr>
          <w:lang w:val="en-US"/>
        </w:rPr>
        <w:t xml:space="preserve"> </w:t>
      </w:r>
    </w:p>
    <w:p w:rsidR="003A1E94" w:rsidRDefault="008F227E">
      <w:pPr>
        <w:pStyle w:val="ListBullet"/>
        <w:rPr>
          <w:lang w:val="en-US"/>
        </w:rPr>
      </w:pPr>
      <w:r>
        <w:rPr>
          <w:lang w:val="en-US"/>
        </w:rPr>
        <w:t>R</w:t>
      </w:r>
      <w:r w:rsidR="003A1E94" w:rsidRPr="00FC12C4">
        <w:rPr>
          <w:lang w:val="en-US"/>
        </w:rPr>
        <w:t>esearch and validation of assessment documentation</w:t>
      </w:r>
      <w:r w:rsidR="008F17D2">
        <w:rPr>
          <w:lang w:val="en-US"/>
        </w:rPr>
        <w:t>,</w:t>
      </w:r>
      <w:r w:rsidR="003A1E94" w:rsidRPr="00FC12C4">
        <w:rPr>
          <w:lang w:val="en-US"/>
        </w:rPr>
        <w:t xml:space="preserve"> </w:t>
      </w:r>
    </w:p>
    <w:p w:rsidR="003A1E94" w:rsidRDefault="008F227E">
      <w:pPr>
        <w:pStyle w:val="ListBullet"/>
        <w:rPr>
          <w:lang w:val="en-US"/>
        </w:rPr>
      </w:pPr>
      <w:r>
        <w:rPr>
          <w:lang w:val="en-US"/>
        </w:rPr>
        <w:t>S</w:t>
      </w:r>
      <w:r w:rsidR="003A1E94" w:rsidRPr="00FC12C4">
        <w:rPr>
          <w:lang w:val="en-US"/>
        </w:rPr>
        <w:t xml:space="preserve">ourcing of advice from other </w:t>
      </w:r>
      <w:r w:rsidR="001C2CB2">
        <w:rPr>
          <w:lang w:val="en-US"/>
        </w:rPr>
        <w:t>departmental</w:t>
      </w:r>
      <w:r w:rsidR="003A1E94" w:rsidRPr="00FC12C4">
        <w:rPr>
          <w:lang w:val="en-US"/>
        </w:rPr>
        <w:t xml:space="preserve"> areas responsible for specific aspects of the assessment</w:t>
      </w:r>
      <w:r w:rsidR="008F17D2">
        <w:rPr>
          <w:lang w:val="en-US"/>
        </w:rPr>
        <w:t>,</w:t>
      </w:r>
      <w:r w:rsidR="003A1E94" w:rsidRPr="00FC12C4">
        <w:rPr>
          <w:lang w:val="en-US"/>
        </w:rPr>
        <w:t xml:space="preserve"> </w:t>
      </w:r>
    </w:p>
    <w:p w:rsidR="003A1E94" w:rsidRDefault="008F227E">
      <w:pPr>
        <w:pStyle w:val="ListBullet"/>
        <w:rPr>
          <w:lang w:val="en-US"/>
        </w:rPr>
      </w:pPr>
      <w:r>
        <w:rPr>
          <w:lang w:val="en-US"/>
        </w:rPr>
        <w:t>P</w:t>
      </w:r>
      <w:r w:rsidR="003A1E94" w:rsidRPr="00FC12C4">
        <w:rPr>
          <w:lang w:val="en-US"/>
        </w:rPr>
        <w:t>reparation of advice to the Minister</w:t>
      </w:r>
      <w:r w:rsidR="008F17D2">
        <w:rPr>
          <w:lang w:val="en-US"/>
        </w:rPr>
        <w:t>,</w:t>
      </w:r>
      <w:r w:rsidR="003A1E94" w:rsidRPr="00FC12C4">
        <w:rPr>
          <w:lang w:val="en-US"/>
        </w:rPr>
        <w:t xml:space="preserve"> </w:t>
      </w:r>
    </w:p>
    <w:p w:rsidR="003A1E94" w:rsidRDefault="008F227E">
      <w:pPr>
        <w:pStyle w:val="ListBullet"/>
        <w:rPr>
          <w:lang w:val="en-US"/>
        </w:rPr>
      </w:pPr>
      <w:r>
        <w:rPr>
          <w:lang w:val="en-US"/>
        </w:rPr>
        <w:t>C</w:t>
      </w:r>
      <w:r w:rsidR="003A1E94">
        <w:rPr>
          <w:lang w:val="en-US"/>
        </w:rPr>
        <w:t>onsideration of advice</w:t>
      </w:r>
      <w:r w:rsidR="008F17D2">
        <w:rPr>
          <w:lang w:val="en-US"/>
        </w:rPr>
        <w:t>,</w:t>
      </w:r>
      <w:r w:rsidR="003A1E94" w:rsidRPr="00FC12C4">
        <w:rPr>
          <w:lang w:val="en-US"/>
        </w:rPr>
        <w:t xml:space="preserve"> </w:t>
      </w:r>
    </w:p>
    <w:p w:rsidR="003A1E94" w:rsidRDefault="008F227E">
      <w:pPr>
        <w:pStyle w:val="ListBullet"/>
        <w:rPr>
          <w:lang w:val="en-US"/>
        </w:rPr>
      </w:pPr>
      <w:r>
        <w:rPr>
          <w:lang w:val="en-US"/>
        </w:rPr>
        <w:t>D</w:t>
      </w:r>
      <w:r w:rsidR="003A1E94" w:rsidRPr="00FC12C4">
        <w:rPr>
          <w:lang w:val="en-US"/>
        </w:rPr>
        <w:t>ecision notification</w:t>
      </w:r>
      <w:r w:rsidR="008F17D2">
        <w:rPr>
          <w:lang w:val="en-US"/>
        </w:rPr>
        <w:t>,</w:t>
      </w:r>
      <w:r w:rsidR="003A1E94" w:rsidRPr="00FC12C4">
        <w:rPr>
          <w:lang w:val="en-US"/>
        </w:rPr>
        <w:t xml:space="preserve"> and </w:t>
      </w:r>
    </w:p>
    <w:p w:rsidR="003A1E94" w:rsidRDefault="008F227E">
      <w:pPr>
        <w:pStyle w:val="ListBullet"/>
        <w:rPr>
          <w:lang w:val="en-US"/>
        </w:rPr>
      </w:pPr>
      <w:r>
        <w:rPr>
          <w:lang w:val="en-US"/>
        </w:rPr>
        <w:t>D</w:t>
      </w:r>
      <w:r w:rsidR="003A1E94" w:rsidRPr="00FC12C4">
        <w:rPr>
          <w:lang w:val="en-US"/>
        </w:rPr>
        <w:t xml:space="preserve">atabase input. </w:t>
      </w:r>
    </w:p>
    <w:p w:rsidR="007B36D3" w:rsidRDefault="003A1E94" w:rsidP="001D5F70">
      <w:pPr>
        <w:rPr>
          <w:lang w:val="en-US"/>
        </w:rPr>
      </w:pPr>
      <w:r w:rsidRPr="00FC12C4">
        <w:rPr>
          <w:lang w:val="en-US"/>
        </w:rPr>
        <w:t xml:space="preserve">A summary of the </w:t>
      </w:r>
      <w:r>
        <w:rPr>
          <w:lang w:val="en-US"/>
        </w:rPr>
        <w:t>public environmental report and environmental impact statement</w:t>
      </w:r>
      <w:r w:rsidRPr="00FC12C4">
        <w:rPr>
          <w:lang w:val="en-US"/>
        </w:rPr>
        <w:t xml:space="preserve"> costs </w:t>
      </w:r>
      <w:r>
        <w:rPr>
          <w:lang w:val="en-US"/>
        </w:rPr>
        <w:t>is</w:t>
      </w:r>
      <w:r w:rsidRPr="00FC12C4">
        <w:rPr>
          <w:lang w:val="en-US"/>
        </w:rPr>
        <w:t xml:space="preserve"> outlined in</w:t>
      </w:r>
      <w:r w:rsidR="00451CEF">
        <w:rPr>
          <w:lang w:val="en-US"/>
        </w:rPr>
        <w:t xml:space="preserve"> </w:t>
      </w:r>
      <w:fldSimple w:instr=" REF _Ref388966817 \h  \* MERGEFORMAT ">
        <w:r w:rsidR="001D521C">
          <w:t xml:space="preserve">Table </w:t>
        </w:r>
        <w:r w:rsidR="001D521C">
          <w:rPr>
            <w:noProof/>
          </w:rPr>
          <w:t>8</w:t>
        </w:r>
      </w:fldSimple>
      <w:r w:rsidR="00F31DDC">
        <w:rPr>
          <w:lang w:val="en-US"/>
        </w:rPr>
        <w:t xml:space="preserve">, </w:t>
      </w:r>
      <w:r>
        <w:rPr>
          <w:lang w:val="en-US"/>
        </w:rPr>
        <w:t>and a</w:t>
      </w:r>
      <w:r w:rsidRPr="00FC12C4">
        <w:rPr>
          <w:lang w:val="en-US"/>
        </w:rPr>
        <w:t xml:space="preserve"> </w:t>
      </w:r>
      <w:r>
        <w:rPr>
          <w:lang w:val="en-US"/>
        </w:rPr>
        <w:t xml:space="preserve">break-down </w:t>
      </w:r>
      <w:r w:rsidRPr="00FC12C4">
        <w:rPr>
          <w:lang w:val="en-US"/>
        </w:rPr>
        <w:t xml:space="preserve">of </w:t>
      </w:r>
      <w:r>
        <w:rPr>
          <w:lang w:val="en-US"/>
        </w:rPr>
        <w:t xml:space="preserve">processes contributing to </w:t>
      </w:r>
      <w:r w:rsidRPr="00FC12C4">
        <w:rPr>
          <w:lang w:val="en-US"/>
        </w:rPr>
        <w:t xml:space="preserve">base costs for </w:t>
      </w:r>
      <w:r>
        <w:rPr>
          <w:lang w:val="en-US"/>
        </w:rPr>
        <w:t>public environmental report and environmental impact statement assessment is</w:t>
      </w:r>
      <w:r w:rsidRPr="00FC12C4">
        <w:rPr>
          <w:lang w:val="en-US"/>
        </w:rPr>
        <w:t xml:space="preserve"> outlined</w:t>
      </w:r>
      <w:r w:rsidR="00F31DDC">
        <w:rPr>
          <w:lang w:val="en-US"/>
        </w:rPr>
        <w:t xml:space="preserve"> in</w:t>
      </w:r>
      <w:r w:rsidR="001D5F70">
        <w:rPr>
          <w:lang w:val="en-US"/>
        </w:rPr>
        <w:t xml:space="preserve"> </w:t>
      </w:r>
      <w:r w:rsidR="00D30427">
        <w:rPr>
          <w:lang w:val="en-US"/>
        </w:rPr>
        <w:fldChar w:fldCharType="begin"/>
      </w:r>
      <w:r w:rsidR="001D5F70">
        <w:rPr>
          <w:lang w:val="en-US"/>
        </w:rPr>
        <w:instrText xml:space="preserve"> REF _Ref390254896 \h </w:instrText>
      </w:r>
      <w:r w:rsidR="00D30427">
        <w:rPr>
          <w:lang w:val="en-US"/>
        </w:rPr>
      </w:r>
      <w:r w:rsidR="00D30427">
        <w:rPr>
          <w:lang w:val="en-US"/>
        </w:rPr>
        <w:fldChar w:fldCharType="separate"/>
      </w:r>
      <w:r w:rsidR="001D521C">
        <w:t xml:space="preserve">Table </w:t>
      </w:r>
      <w:r w:rsidR="001D521C">
        <w:rPr>
          <w:noProof/>
        </w:rPr>
        <w:t>9</w:t>
      </w:r>
      <w:r w:rsidR="00D30427">
        <w:rPr>
          <w:lang w:val="en-US"/>
        </w:rPr>
        <w:fldChar w:fldCharType="end"/>
      </w:r>
      <w:r w:rsidR="007B36D3">
        <w:rPr>
          <w:lang w:val="en-US"/>
        </w:rPr>
        <w:t xml:space="preserve">. </w:t>
      </w:r>
      <w:bookmarkStart w:id="383" w:name="_Ref387068081"/>
      <w:bookmarkStart w:id="384" w:name="_Toc387069807"/>
      <w:bookmarkStart w:id="385" w:name="_Toc387073269"/>
    </w:p>
    <w:p w:rsidR="003760D9" w:rsidRDefault="003760D9" w:rsidP="007B36D3"/>
    <w:p w:rsidR="00A2650D" w:rsidRPr="007B36D3" w:rsidRDefault="00A2650D" w:rsidP="007B36D3">
      <w:pPr>
        <w:pStyle w:val="Caption"/>
      </w:pPr>
      <w:bookmarkStart w:id="386" w:name="_Ref388966817"/>
      <w:bookmarkStart w:id="387" w:name="_Toc391541652"/>
      <w:proofErr w:type="gramStart"/>
      <w:r>
        <w:t xml:space="preserve">Table </w:t>
      </w:r>
      <w:r w:rsidR="00D30427">
        <w:fldChar w:fldCharType="begin"/>
      </w:r>
      <w:r w:rsidR="00B06D9E">
        <w:instrText xml:space="preserve"> SEQ Table \* ARABIC </w:instrText>
      </w:r>
      <w:r w:rsidR="00D30427">
        <w:fldChar w:fldCharType="separate"/>
      </w:r>
      <w:r w:rsidR="001D521C">
        <w:rPr>
          <w:noProof/>
        </w:rPr>
        <w:t>8</w:t>
      </w:r>
      <w:r w:rsidR="00D30427">
        <w:fldChar w:fldCharType="end"/>
      </w:r>
      <w:bookmarkEnd w:id="383"/>
      <w:bookmarkEnd w:id="386"/>
      <w:r>
        <w:t>.</w:t>
      </w:r>
      <w:proofErr w:type="gramEnd"/>
      <w:r>
        <w:t xml:space="preserve"> </w:t>
      </w:r>
      <w:r w:rsidRPr="00A56227">
        <w:t>Summary of public environmental report and environmental impact statement costs</w:t>
      </w:r>
      <w:r>
        <w:t>.</w:t>
      </w:r>
      <w:bookmarkEnd w:id="384"/>
      <w:bookmarkEnd w:id="385"/>
      <w:bookmarkEnd w:id="387"/>
    </w:p>
    <w:tbl>
      <w:tblPr>
        <w:tblW w:w="8794" w:type="dxa"/>
        <w:tblInd w:w="10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2527"/>
        <w:gridCol w:w="1873"/>
        <w:gridCol w:w="2268"/>
        <w:gridCol w:w="2126"/>
      </w:tblGrid>
      <w:tr w:rsidR="003A1E94" w:rsidRPr="0087386A" w:rsidTr="000812F3">
        <w:trPr>
          <w:trHeight w:val="810"/>
        </w:trPr>
        <w:tc>
          <w:tcPr>
            <w:tcW w:w="25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Activity</w:t>
            </w:r>
          </w:p>
        </w:tc>
        <w:tc>
          <w:tcPr>
            <w:tcW w:w="187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Base costs</w:t>
            </w:r>
            <w:r w:rsidRPr="0087386A">
              <w:rPr>
                <w:b/>
                <w:sz w:val="20"/>
                <w:szCs w:val="20"/>
                <w:lang w:eastAsia="en-AU"/>
              </w:rPr>
              <w:br/>
              <w:t xml:space="preserve"> (A)</w:t>
            </w: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Complexity costs</w:t>
            </w:r>
          </w:p>
          <w:p w:rsidR="003A1E94" w:rsidRPr="0087386A" w:rsidRDefault="003A1E94" w:rsidP="00826033">
            <w:pPr>
              <w:jc w:val="center"/>
              <w:rPr>
                <w:b/>
                <w:sz w:val="20"/>
                <w:szCs w:val="20"/>
                <w:lang w:eastAsia="en-AU"/>
              </w:rPr>
            </w:pPr>
          </w:p>
        </w:tc>
        <w:tc>
          <w:tcPr>
            <w:tcW w:w="21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87386A" w:rsidRDefault="003A1E94" w:rsidP="003A1E94">
            <w:pPr>
              <w:jc w:val="center"/>
              <w:rPr>
                <w:b/>
                <w:sz w:val="20"/>
                <w:szCs w:val="20"/>
                <w:lang w:eastAsia="en-AU"/>
              </w:rPr>
            </w:pPr>
            <w:r w:rsidRPr="0087386A">
              <w:rPr>
                <w:b/>
                <w:sz w:val="20"/>
                <w:szCs w:val="20"/>
                <w:lang w:eastAsia="en-AU"/>
              </w:rPr>
              <w:t>Total fee</w:t>
            </w:r>
          </w:p>
          <w:p w:rsidR="003A1E94" w:rsidRPr="0087386A" w:rsidRDefault="003A1E94" w:rsidP="003A1E94">
            <w:pPr>
              <w:jc w:val="center"/>
              <w:rPr>
                <w:b/>
                <w:sz w:val="20"/>
                <w:szCs w:val="20"/>
                <w:lang w:eastAsia="en-AU"/>
              </w:rPr>
            </w:pPr>
            <w:r w:rsidRPr="0087386A">
              <w:rPr>
                <w:b/>
                <w:sz w:val="20"/>
                <w:szCs w:val="20"/>
                <w:lang w:eastAsia="en-AU"/>
              </w:rPr>
              <w:t>(A) + (B)</w:t>
            </w:r>
          </w:p>
        </w:tc>
      </w:tr>
      <w:tr w:rsidR="003A1E94" w:rsidRPr="0087386A" w:rsidTr="000812F3">
        <w:trPr>
          <w:trHeight w:val="630"/>
        </w:trPr>
        <w:tc>
          <w:tcPr>
            <w:tcW w:w="252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000000" w:fill="auto"/>
            <w:vAlign w:val="center"/>
            <w:hideMark/>
          </w:tcPr>
          <w:p w:rsidR="003A1E94" w:rsidRPr="0087386A" w:rsidRDefault="003A1E94" w:rsidP="003A1E94">
            <w:pPr>
              <w:jc w:val="center"/>
              <w:rPr>
                <w:rFonts w:eastAsia="SimSun"/>
                <w:b/>
                <w:color w:val="0070C0"/>
                <w:sz w:val="20"/>
                <w:szCs w:val="20"/>
                <w:lang w:val="en-US" w:eastAsia="en-AU"/>
              </w:rPr>
            </w:pPr>
            <w:r>
              <w:rPr>
                <w:sz w:val="20"/>
                <w:szCs w:val="20"/>
                <w:lang w:eastAsia="en-AU"/>
              </w:rPr>
              <w:t>Public environmental report</w:t>
            </w:r>
            <w:r w:rsidR="003760D9">
              <w:rPr>
                <w:sz w:val="20"/>
                <w:szCs w:val="20"/>
                <w:lang w:eastAsia="en-AU"/>
              </w:rPr>
              <w:t xml:space="preserve"> </w:t>
            </w:r>
            <w:r>
              <w:rPr>
                <w:sz w:val="20"/>
                <w:szCs w:val="20"/>
                <w:lang w:eastAsia="en-AU"/>
              </w:rPr>
              <w:t>/</w:t>
            </w:r>
            <w:r w:rsidR="003760D9">
              <w:rPr>
                <w:sz w:val="20"/>
                <w:szCs w:val="20"/>
                <w:lang w:eastAsia="en-AU"/>
              </w:rPr>
              <w:t xml:space="preserve"> </w:t>
            </w:r>
            <w:r w:rsidRPr="0087386A">
              <w:rPr>
                <w:sz w:val="20"/>
                <w:szCs w:val="20"/>
                <w:lang w:eastAsia="en-AU"/>
              </w:rPr>
              <w:t>Environmental impact statement</w:t>
            </w:r>
          </w:p>
        </w:tc>
        <w:tc>
          <w:tcPr>
            <w:tcW w:w="1873"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87386A" w:rsidRDefault="003A1E94" w:rsidP="006648A8">
            <w:pPr>
              <w:jc w:val="center"/>
              <w:rPr>
                <w:sz w:val="20"/>
                <w:szCs w:val="20"/>
                <w:lang w:eastAsia="en-AU"/>
              </w:rPr>
            </w:pPr>
            <w:r w:rsidRPr="004975A8">
              <w:rPr>
                <w:sz w:val="20"/>
                <w:szCs w:val="20"/>
                <w:lang w:eastAsia="en-AU"/>
              </w:rPr>
              <w:t>$</w:t>
            </w:r>
            <w:r w:rsidR="004975A8" w:rsidRPr="004975A8">
              <w:rPr>
                <w:sz w:val="20"/>
                <w:szCs w:val="20"/>
                <w:lang w:eastAsia="en-AU"/>
              </w:rPr>
              <w:t>30,202</w:t>
            </w:r>
            <w:r w:rsidR="00B51D11">
              <w:rPr>
                <w:rStyle w:val="FootnoteReference"/>
                <w:sz w:val="20"/>
                <w:szCs w:val="20"/>
                <w:lang w:eastAsia="en-AU"/>
              </w:rPr>
              <w:footnoteReference w:id="17"/>
            </w:r>
          </w:p>
        </w:tc>
        <w:tc>
          <w:tcPr>
            <w:tcW w:w="2268"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87386A" w:rsidRDefault="00826033" w:rsidP="003A1E94">
            <w:pPr>
              <w:jc w:val="center"/>
              <w:rPr>
                <w:sz w:val="20"/>
                <w:szCs w:val="20"/>
                <w:lang w:eastAsia="en-AU"/>
              </w:rPr>
            </w:pPr>
            <w:r>
              <w:rPr>
                <w:sz w:val="20"/>
                <w:szCs w:val="20"/>
                <w:lang w:eastAsia="en-AU"/>
              </w:rPr>
              <w:t>Determined on a case by case basis</w:t>
            </w:r>
          </w:p>
        </w:tc>
        <w:tc>
          <w:tcPr>
            <w:tcW w:w="212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3A1E94" w:rsidRPr="0087386A" w:rsidRDefault="00826033" w:rsidP="00B51D11">
            <w:pPr>
              <w:jc w:val="center"/>
              <w:rPr>
                <w:sz w:val="20"/>
                <w:szCs w:val="20"/>
                <w:lang w:eastAsia="en-AU"/>
              </w:rPr>
            </w:pPr>
            <w:r w:rsidRPr="004975A8">
              <w:rPr>
                <w:sz w:val="20"/>
                <w:szCs w:val="20"/>
                <w:lang w:eastAsia="en-AU"/>
              </w:rPr>
              <w:t>$30,202</w:t>
            </w:r>
            <w:r>
              <w:rPr>
                <w:sz w:val="20"/>
                <w:szCs w:val="20"/>
                <w:lang w:eastAsia="en-AU"/>
              </w:rPr>
              <w:t xml:space="preserve"> + (B)</w:t>
            </w:r>
            <w:r w:rsidR="006648A8">
              <w:rPr>
                <w:rStyle w:val="FootnoteReference"/>
                <w:sz w:val="20"/>
                <w:szCs w:val="20"/>
                <w:lang w:eastAsia="en-AU"/>
              </w:rPr>
              <w:t xml:space="preserve"> </w:t>
            </w:r>
          </w:p>
        </w:tc>
      </w:tr>
    </w:tbl>
    <w:p w:rsidR="00BE1C9D" w:rsidRDefault="00BE1C9D" w:rsidP="00BE1C9D">
      <w:pPr>
        <w:rPr>
          <w:rFonts w:asciiTheme="minorHAnsi" w:eastAsia="Times New Roman" w:hAnsiTheme="minorHAnsi" w:cstheme="minorHAnsi"/>
          <w:color w:val="4F81BD" w:themeColor="accent1"/>
          <w:sz w:val="20"/>
          <w:szCs w:val="20"/>
        </w:rPr>
      </w:pPr>
      <w:bookmarkStart w:id="388" w:name="_Ref387068095"/>
      <w:bookmarkStart w:id="389" w:name="_Ref387933590"/>
      <w:bookmarkStart w:id="390" w:name="_Toc387069808"/>
      <w:bookmarkStart w:id="391" w:name="_Toc387073270"/>
    </w:p>
    <w:p w:rsidR="003B0235" w:rsidRDefault="003B0235" w:rsidP="00A2650D">
      <w:pPr>
        <w:pStyle w:val="Caption"/>
      </w:pPr>
      <w:bookmarkStart w:id="392" w:name="_Ref388966368"/>
      <w:bookmarkStart w:id="393" w:name="_Ref388966357"/>
    </w:p>
    <w:p w:rsidR="00A2650D" w:rsidRDefault="00A2650D" w:rsidP="00A2650D">
      <w:pPr>
        <w:pStyle w:val="Caption"/>
      </w:pPr>
      <w:bookmarkStart w:id="394" w:name="_Ref390254896"/>
      <w:bookmarkStart w:id="395" w:name="_Toc391541653"/>
      <w:proofErr w:type="gramStart"/>
      <w:r>
        <w:t xml:space="preserve">Table </w:t>
      </w:r>
      <w:r w:rsidR="00D30427">
        <w:fldChar w:fldCharType="begin"/>
      </w:r>
      <w:r w:rsidR="00B06D9E">
        <w:instrText xml:space="preserve"> SEQ Table \* ARABIC </w:instrText>
      </w:r>
      <w:r w:rsidR="00D30427">
        <w:fldChar w:fldCharType="separate"/>
      </w:r>
      <w:r w:rsidR="001D521C">
        <w:rPr>
          <w:noProof/>
        </w:rPr>
        <w:t>9</w:t>
      </w:r>
      <w:r w:rsidR="00D30427">
        <w:fldChar w:fldCharType="end"/>
      </w:r>
      <w:bookmarkEnd w:id="388"/>
      <w:bookmarkEnd w:id="389"/>
      <w:bookmarkEnd w:id="392"/>
      <w:bookmarkEnd w:id="394"/>
      <w:r>
        <w:t>.</w:t>
      </w:r>
      <w:proofErr w:type="gramEnd"/>
      <w:r>
        <w:t xml:space="preserve"> </w:t>
      </w:r>
      <w:r w:rsidRPr="00E276E2">
        <w:t>Summary of Base costs (A) for public environmental report/environmental impact statement</w:t>
      </w:r>
      <w:r>
        <w:t>.</w:t>
      </w:r>
      <w:bookmarkEnd w:id="390"/>
      <w:bookmarkEnd w:id="391"/>
      <w:bookmarkEnd w:id="393"/>
      <w:bookmarkEnd w:id="395"/>
    </w:p>
    <w:tbl>
      <w:tblPr>
        <w:tblStyle w:val="TableGrid"/>
        <w:tblW w:w="9413"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CellMar>
          <w:left w:w="57" w:type="dxa"/>
          <w:right w:w="57" w:type="dxa"/>
        </w:tblCellMar>
        <w:tblLook w:val="04A0"/>
      </w:tblPr>
      <w:tblGrid>
        <w:gridCol w:w="4877"/>
        <w:gridCol w:w="1417"/>
        <w:gridCol w:w="1134"/>
        <w:gridCol w:w="993"/>
        <w:gridCol w:w="992"/>
      </w:tblGrid>
      <w:tr w:rsidR="003A1E94" w:rsidRPr="00F64587" w:rsidTr="000812F3">
        <w:trPr>
          <w:cnfStyle w:val="100000000000"/>
          <w:cantSplit/>
          <w:trHeight w:val="269"/>
          <w:tblHeader/>
        </w:trPr>
        <w:tc>
          <w:tcPr>
            <w:tcW w:w="4877" w:type="dxa"/>
            <w:tcBorders>
              <w:top w:val="nil"/>
              <w:left w:val="nil"/>
              <w:bottom w:val="single" w:sz="4" w:space="0" w:color="548DD4" w:themeColor="text2" w:themeTint="99"/>
              <w:right w:val="single" w:sz="4" w:space="0" w:color="548DD4" w:themeColor="text2" w:themeTint="99"/>
            </w:tcBorders>
          </w:tcPr>
          <w:p w:rsidR="003A1E94" w:rsidRPr="00F64587" w:rsidRDefault="003A1E94" w:rsidP="003A1E94">
            <w:pPr>
              <w:rPr>
                <w:sz w:val="20"/>
                <w:szCs w:val="20"/>
              </w:rPr>
            </w:pPr>
          </w:p>
        </w:tc>
        <w:tc>
          <w:tcPr>
            <w:tcW w:w="453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3A1E94" w:rsidRPr="00F64587" w:rsidRDefault="003A1E94" w:rsidP="003A1E94">
            <w:pPr>
              <w:jc w:val="center"/>
              <w:rPr>
                <w:b/>
                <w:sz w:val="20"/>
                <w:szCs w:val="20"/>
              </w:rPr>
            </w:pPr>
            <w:r w:rsidRPr="00F64587">
              <w:rPr>
                <w:b/>
                <w:sz w:val="20"/>
                <w:szCs w:val="20"/>
              </w:rPr>
              <w:t>Time (days)</w:t>
            </w:r>
          </w:p>
        </w:tc>
      </w:tr>
      <w:tr w:rsidR="003A1E94" w:rsidRPr="00F64587" w:rsidTr="000812F3">
        <w:trPr>
          <w:cnfStyle w:val="100000000000"/>
          <w:cantSplit/>
          <w:trHeight w:val="269"/>
          <w:tblHeader/>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C85C62" w:rsidRDefault="003A1E94" w:rsidP="003A1E94">
            <w:pPr>
              <w:jc w:val="center"/>
              <w:rPr>
                <w:b/>
                <w:sz w:val="20"/>
                <w:szCs w:val="20"/>
              </w:rPr>
            </w:pPr>
            <w:r w:rsidRPr="00C85C62">
              <w:rPr>
                <w:b/>
                <w:sz w:val="20"/>
                <w:szCs w:val="20"/>
              </w:rPr>
              <w:t>Stages of the assessment and approval process</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C85C62" w:rsidRDefault="003A1E94" w:rsidP="003A1E94">
            <w:pPr>
              <w:jc w:val="center"/>
              <w:rPr>
                <w:b/>
                <w:sz w:val="20"/>
                <w:szCs w:val="20"/>
              </w:rPr>
            </w:pPr>
            <w:r w:rsidRPr="00C85C62">
              <w:rPr>
                <w:b/>
                <w:sz w:val="20"/>
                <w:szCs w:val="20"/>
              </w:rPr>
              <w:t>Assessment Officer</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b/>
                <w:sz w:val="20"/>
                <w:szCs w:val="20"/>
              </w:rPr>
            </w:pPr>
            <w:r w:rsidRPr="00F64587">
              <w:rPr>
                <w:b/>
                <w:sz w:val="20"/>
                <w:szCs w:val="20"/>
              </w:rPr>
              <w:t>Assistant Director</w:t>
            </w:r>
          </w:p>
        </w:tc>
        <w:tc>
          <w:tcPr>
            <w:tcW w:w="9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b/>
                <w:sz w:val="20"/>
                <w:szCs w:val="20"/>
              </w:rPr>
            </w:pPr>
            <w:r w:rsidRPr="00F64587">
              <w:rPr>
                <w:b/>
                <w:sz w:val="20"/>
                <w:szCs w:val="20"/>
              </w:rPr>
              <w:t>Director</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b/>
                <w:sz w:val="20"/>
                <w:szCs w:val="20"/>
              </w:rPr>
            </w:pPr>
            <w:r w:rsidRPr="00F64587">
              <w:rPr>
                <w:b/>
                <w:sz w:val="20"/>
                <w:szCs w:val="20"/>
              </w:rPr>
              <w:t>Delegate</w:t>
            </w:r>
          </w:p>
        </w:tc>
      </w:tr>
      <w:tr w:rsidR="003A1E94" w:rsidRPr="00F64587" w:rsidTr="000812F3">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Stage 1: Draft project specific assessment guidelines</w:t>
            </w:r>
            <w:r w:rsidR="00B070C6">
              <w:rPr>
                <w:rStyle w:val="FootnoteReference"/>
                <w:sz w:val="20"/>
                <w:szCs w:val="20"/>
              </w:rPr>
              <w:footnoteReference w:id="18"/>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0.03</w:t>
            </w:r>
          </w:p>
        </w:tc>
      </w:tr>
      <w:tr w:rsidR="003A1E94" w:rsidRPr="00F64587" w:rsidTr="000812F3">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 xml:space="preserve">Stage 2: Liaise with </w:t>
            </w:r>
            <w:r w:rsidR="00B64DB5">
              <w:rPr>
                <w:sz w:val="20"/>
                <w:szCs w:val="20"/>
              </w:rPr>
              <w:t>applicant</w:t>
            </w:r>
            <w:r w:rsidRPr="00F64587">
              <w:rPr>
                <w:sz w:val="20"/>
                <w:szCs w:val="20"/>
              </w:rPr>
              <w:t xml:space="preserve"> and other regulators and review documents throughout preparation of draft environmental impact statement</w:t>
            </w:r>
            <w:r w:rsidR="0078258E">
              <w:rPr>
                <w:sz w:val="20"/>
                <w:szCs w:val="20"/>
              </w:rPr>
              <w:t xml:space="preserve"> / public environment report</w:t>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15</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5</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1</w:t>
            </w:r>
          </w:p>
        </w:tc>
      </w:tr>
      <w:tr w:rsidR="003A1E94" w:rsidRPr="00F64587" w:rsidTr="000812F3">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Stage 3: Review final environmental impact statement</w:t>
            </w:r>
            <w:r w:rsidR="0078258E">
              <w:rPr>
                <w:sz w:val="20"/>
                <w:szCs w:val="20"/>
              </w:rPr>
              <w:t xml:space="preserve"> / public environment report</w:t>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0.27</w:t>
            </w:r>
          </w:p>
        </w:tc>
      </w:tr>
      <w:tr w:rsidR="003A1E94" w:rsidRPr="00F64587" w:rsidTr="000812F3">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tcPr>
          <w:p w:rsidR="003A1E94" w:rsidRDefault="003A1E94" w:rsidP="003A1E94">
            <w:pPr>
              <w:rPr>
                <w:rFonts w:eastAsia="SimSun"/>
                <w:b/>
                <w:color w:val="0070C0"/>
                <w:sz w:val="20"/>
                <w:szCs w:val="20"/>
                <w:lang w:val="en-US"/>
              </w:rPr>
            </w:pPr>
            <w:r w:rsidRPr="00F64587">
              <w:rPr>
                <w:sz w:val="20"/>
                <w:szCs w:val="20"/>
              </w:rPr>
              <w:t>Stage 4: Prepare recommendation report, proposed and final decision</w:t>
            </w:r>
          </w:p>
        </w:tc>
        <w:tc>
          <w:tcPr>
            <w:tcW w:w="1417"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10</w:t>
            </w:r>
          </w:p>
        </w:tc>
        <w:tc>
          <w:tcPr>
            <w:tcW w:w="1134"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4</w:t>
            </w:r>
          </w:p>
        </w:tc>
        <w:tc>
          <w:tcPr>
            <w:tcW w:w="993" w:type="dxa"/>
            <w:tcBorders>
              <w:top w:val="single" w:sz="4" w:space="0" w:color="548DD4" w:themeColor="text2" w:themeTint="99"/>
              <w:left w:val="nil"/>
              <w:bottom w:val="single" w:sz="4" w:space="0" w:color="548DD4" w:themeColor="text2" w:themeTint="99"/>
              <w:right w:val="nil"/>
            </w:tcBorders>
            <w:vAlign w:val="center"/>
          </w:tcPr>
          <w:p w:rsidR="003A1E94" w:rsidRPr="00F64587" w:rsidRDefault="003A1E94" w:rsidP="003A1E94">
            <w:pPr>
              <w:jc w:val="center"/>
              <w:rPr>
                <w:sz w:val="20"/>
                <w:szCs w:val="20"/>
              </w:rPr>
            </w:pPr>
            <w:r w:rsidRPr="00F64587">
              <w:rPr>
                <w:sz w:val="20"/>
                <w:szCs w:val="20"/>
              </w:rPr>
              <w:t>2</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3A1E94" w:rsidRPr="00F64587" w:rsidRDefault="003A1E94" w:rsidP="003A1E94">
            <w:pPr>
              <w:jc w:val="center"/>
              <w:rPr>
                <w:sz w:val="20"/>
                <w:szCs w:val="20"/>
              </w:rPr>
            </w:pPr>
            <w:r w:rsidRPr="00F64587">
              <w:rPr>
                <w:sz w:val="20"/>
                <w:szCs w:val="20"/>
              </w:rPr>
              <w:t>0.4</w:t>
            </w:r>
          </w:p>
        </w:tc>
      </w:tr>
      <w:tr w:rsidR="003A1E94" w:rsidRPr="00F64587" w:rsidTr="000812F3">
        <w:trPr>
          <w:cnfStyle w:val="000000100000"/>
          <w:trHeight w:val="18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3A1E94" w:rsidRPr="00F64587" w:rsidRDefault="003A1E94" w:rsidP="003A1E94">
            <w:pPr>
              <w:jc w:val="right"/>
              <w:rPr>
                <w:sz w:val="20"/>
                <w:szCs w:val="20"/>
              </w:rPr>
            </w:pPr>
            <w:r w:rsidRPr="00F64587">
              <w:rPr>
                <w:sz w:val="20"/>
                <w:szCs w:val="20"/>
              </w:rPr>
              <w:t>TOTAL BASE COST</w:t>
            </w:r>
          </w:p>
        </w:tc>
        <w:tc>
          <w:tcPr>
            <w:tcW w:w="4536" w:type="dxa"/>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3A1E94" w:rsidRPr="00F64587" w:rsidRDefault="00EB0CA0" w:rsidP="003A1E94">
            <w:pPr>
              <w:jc w:val="center"/>
              <w:rPr>
                <w:sz w:val="20"/>
                <w:szCs w:val="20"/>
              </w:rPr>
            </w:pPr>
            <w:r>
              <w:rPr>
                <w:sz w:val="20"/>
                <w:szCs w:val="20"/>
              </w:rPr>
              <w:t>$30,202</w:t>
            </w:r>
            <w:r w:rsidR="00A1789F">
              <w:rPr>
                <w:rStyle w:val="FootnoteReference"/>
                <w:sz w:val="20"/>
                <w:szCs w:val="20"/>
              </w:rPr>
              <w:footnoteReference w:id="19"/>
            </w:r>
          </w:p>
        </w:tc>
      </w:tr>
    </w:tbl>
    <w:p w:rsidR="00473D71" w:rsidRPr="00473D71" w:rsidRDefault="003A1E94" w:rsidP="00473D71">
      <w:r w:rsidRPr="00FC12C4">
        <w:rPr>
          <w:b/>
        </w:rPr>
        <w:br/>
      </w:r>
      <w:r w:rsidRPr="00FC12C4">
        <w:rPr>
          <w:lang w:val="en-US"/>
        </w:rPr>
        <w:t xml:space="preserve">The fees </w:t>
      </w:r>
      <w:r>
        <w:rPr>
          <w:lang w:val="en-US"/>
        </w:rPr>
        <w:t xml:space="preserve">that </w:t>
      </w:r>
      <w:r w:rsidRPr="00FC12C4">
        <w:rPr>
          <w:lang w:val="en-US"/>
        </w:rPr>
        <w:t xml:space="preserve">are applicable at each stage of the </w:t>
      </w:r>
      <w:r>
        <w:rPr>
          <w:lang w:val="en-US"/>
        </w:rPr>
        <w:t>public environmental report and environmental impact statement</w:t>
      </w:r>
      <w:r w:rsidRPr="00FC12C4">
        <w:rPr>
          <w:lang w:val="en-US"/>
        </w:rPr>
        <w:t xml:space="preserve"> assessment process</w:t>
      </w:r>
      <w:r>
        <w:rPr>
          <w:lang w:val="en-US"/>
        </w:rPr>
        <w:t xml:space="preserve"> are outlined in the flowchart </w:t>
      </w:r>
      <w:r w:rsidR="00D30427">
        <w:rPr>
          <w:lang w:val="en-US"/>
        </w:rPr>
        <w:fldChar w:fldCharType="begin"/>
      </w:r>
      <w:r w:rsidR="008F227E">
        <w:rPr>
          <w:lang w:val="en-US"/>
        </w:rPr>
        <w:instrText xml:space="preserve"> REF _Ref387068124 \h </w:instrText>
      </w:r>
      <w:r w:rsidR="00D30427">
        <w:rPr>
          <w:lang w:val="en-US"/>
        </w:rPr>
      </w:r>
      <w:r w:rsidR="00D30427">
        <w:rPr>
          <w:lang w:val="en-US"/>
        </w:rPr>
        <w:fldChar w:fldCharType="separate"/>
      </w:r>
      <w:r w:rsidR="001D521C" w:rsidRPr="00BE1C9D">
        <w:t xml:space="preserve"> </w:t>
      </w:r>
      <w:r w:rsidR="001D521C">
        <w:t xml:space="preserve">Figure </w:t>
      </w:r>
      <w:r w:rsidR="001D521C">
        <w:rPr>
          <w:noProof/>
        </w:rPr>
        <w:t>11</w:t>
      </w:r>
      <w:r w:rsidR="00D30427">
        <w:rPr>
          <w:lang w:val="en-US"/>
        </w:rPr>
        <w:fldChar w:fldCharType="end"/>
      </w:r>
      <w:r w:rsidR="008F227E">
        <w:rPr>
          <w:lang w:val="en-US"/>
        </w:rPr>
        <w:t xml:space="preserve"> </w:t>
      </w:r>
      <w:r w:rsidR="00ED1FE5">
        <w:rPr>
          <w:lang w:val="en-US"/>
        </w:rPr>
        <w:t>below</w:t>
      </w:r>
      <w:r w:rsidR="00F31DDC">
        <w:rPr>
          <w:lang w:val="en-US"/>
        </w:rPr>
        <w:t>.</w:t>
      </w:r>
      <w:r w:rsidR="00473D71">
        <w:rPr>
          <w:lang w:val="en-US"/>
        </w:rPr>
        <w:t xml:space="preserve"> </w:t>
      </w:r>
    </w:p>
    <w:p w:rsidR="003A1E94" w:rsidRDefault="003A1E94" w:rsidP="003A1E94">
      <w:pPr>
        <w:rPr>
          <w:lang w:val="en-US"/>
        </w:rPr>
      </w:pPr>
      <w:r w:rsidRPr="00FC12C4">
        <w:rPr>
          <w:lang w:val="en-US"/>
        </w:rPr>
        <w:t xml:space="preserve">Complexity fees may be applicable to an assessment by </w:t>
      </w:r>
      <w:r>
        <w:rPr>
          <w:lang w:val="en-US"/>
        </w:rPr>
        <w:t>public environmental report and environmental impact statement</w:t>
      </w:r>
      <w:r w:rsidRPr="00FC12C4">
        <w:rPr>
          <w:lang w:val="en-US"/>
        </w:rPr>
        <w:t xml:space="preserve">. </w:t>
      </w:r>
      <w:r>
        <w:rPr>
          <w:lang w:val="en-US"/>
        </w:rPr>
        <w:t>Refer to</w:t>
      </w:r>
      <w:r w:rsidR="00F31DDC">
        <w:rPr>
          <w:lang w:val="en-US"/>
        </w:rPr>
        <w:t xml:space="preserve"> Example 4 to</w:t>
      </w:r>
      <w:r>
        <w:rPr>
          <w:lang w:val="en-US"/>
        </w:rPr>
        <w:t xml:space="preserve"> see </w:t>
      </w:r>
      <w:r w:rsidRPr="00FC12C4">
        <w:rPr>
          <w:lang w:val="en-US"/>
        </w:rPr>
        <w:t xml:space="preserve">how complexity fees could be applied to a proposed action assessed by </w:t>
      </w:r>
      <w:r>
        <w:rPr>
          <w:lang w:val="en-US"/>
        </w:rPr>
        <w:t>environmental impact statement</w:t>
      </w:r>
      <w:r w:rsidRPr="00FC12C4">
        <w:rPr>
          <w:lang w:val="en-US"/>
        </w:rPr>
        <w:t xml:space="preserve"> </w:t>
      </w:r>
      <w:r w:rsidR="00EE1B30">
        <w:rPr>
          <w:lang w:val="en-US"/>
        </w:rPr>
        <w:t xml:space="preserve">or public environment report </w:t>
      </w:r>
      <w:r w:rsidRPr="00FC12C4">
        <w:rPr>
          <w:lang w:val="en-US"/>
        </w:rPr>
        <w:t xml:space="preserve">under the EPBC Act. </w:t>
      </w:r>
      <w:r w:rsidR="00CA1607">
        <w:rPr>
          <w:lang w:val="en-US"/>
        </w:rPr>
        <w:t xml:space="preserve">Refer to </w:t>
      </w:r>
      <w:r w:rsidR="00D30427">
        <w:rPr>
          <w:lang w:val="en-US"/>
        </w:rPr>
        <w:fldChar w:fldCharType="begin"/>
      </w:r>
      <w:r w:rsidR="000C5CBC">
        <w:rPr>
          <w:lang w:val="en-US"/>
        </w:rPr>
        <w:instrText xml:space="preserve"> REF _Ref388972186 \r \h </w:instrText>
      </w:r>
      <w:r w:rsidR="00D30427">
        <w:rPr>
          <w:lang w:val="en-US"/>
        </w:rPr>
      </w:r>
      <w:r w:rsidR="00D30427">
        <w:rPr>
          <w:lang w:val="en-US"/>
        </w:rPr>
        <w:fldChar w:fldCharType="separate"/>
      </w:r>
      <w:r w:rsidR="001D521C">
        <w:rPr>
          <w:lang w:val="en-US"/>
        </w:rPr>
        <w:t>3.2.2.3</w:t>
      </w:r>
      <w:r w:rsidR="00D30427">
        <w:rPr>
          <w:lang w:val="en-US"/>
        </w:rPr>
        <w:fldChar w:fldCharType="end"/>
      </w:r>
      <w:r w:rsidR="00CA1607">
        <w:rPr>
          <w:lang w:val="en-US"/>
        </w:rPr>
        <w:t xml:space="preserve"> above for information about reducing complexity fees during the assessment process.</w:t>
      </w:r>
    </w:p>
    <w:p w:rsidR="005B4050" w:rsidRDefault="005B4050" w:rsidP="003A1E94">
      <w:pPr>
        <w:rPr>
          <w:lang w:val="en-US"/>
        </w:rPr>
      </w:pPr>
      <w:r>
        <w:rPr>
          <w:lang w:val="en-US"/>
        </w:rPr>
        <w:t>F</w:t>
      </w:r>
      <w:r w:rsidRPr="00473D71">
        <w:t>or an assessment by environmental impact statement, if standard guidelines are used under section 101A(2)(a) of the EPBC Act, the Stage 1 base cost fee of $4,031 plus 14% of complexity costs will not be applicable</w:t>
      </w:r>
      <w:r>
        <w:t xml:space="preserve"> and this will reduce the total costs payable. For</w:t>
      </w:r>
      <w:r w:rsidRPr="00473D71">
        <w:t xml:space="preserve"> an assessment by public environment report, if standard guidelines are used under section 96A(2)(a) of the EPBC Act, the Stage 1 base cost fee of $4,031 plus 14% of complexity costs will not be applicable</w:t>
      </w:r>
      <w:r>
        <w:t xml:space="preserve"> and this will reduce the total costs payable</w:t>
      </w:r>
      <w:r w:rsidRPr="00473D71">
        <w:t>.</w:t>
      </w:r>
    </w:p>
    <w:p w:rsidR="008226F4" w:rsidRDefault="008226F4">
      <w:pPr>
        <w:spacing w:after="0" w:line="240" w:lineRule="auto"/>
        <w:rPr>
          <w:noProof/>
          <w:lang w:eastAsia="en-AU"/>
        </w:rPr>
      </w:pPr>
      <w:r>
        <w:rPr>
          <w:noProof/>
          <w:lang w:eastAsia="en-AU"/>
        </w:rPr>
        <w:br w:type="page"/>
      </w:r>
    </w:p>
    <w:p w:rsidR="00BE1C9D" w:rsidRDefault="002D3FE5" w:rsidP="00BE1C9D">
      <w:pPr>
        <w:pStyle w:val="Caption"/>
      </w:pPr>
      <w:r>
        <w:rPr>
          <w:noProof/>
          <w:lang w:eastAsia="en-AU"/>
        </w:rPr>
        <w:lastRenderedPageBreak/>
        <w:drawing>
          <wp:inline distT="0" distB="0" distL="0" distR="0">
            <wp:extent cx="6030937" cy="8820150"/>
            <wp:effectExtent l="0" t="0" r="7913" b="0"/>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srcRect/>
                    <a:stretch>
                      <a:fillRect/>
                    </a:stretch>
                  </pic:blipFill>
                  <pic:spPr bwMode="auto">
                    <a:xfrm>
                      <a:off x="0" y="0"/>
                      <a:ext cx="6030937" cy="8820150"/>
                    </a:xfrm>
                    <a:prstGeom prst="rect">
                      <a:avLst/>
                    </a:prstGeom>
                    <a:noFill/>
                    <a:ln w="9525">
                      <a:noFill/>
                      <a:miter lim="800000"/>
                      <a:headEnd/>
                      <a:tailEnd/>
                    </a:ln>
                  </pic:spPr>
                </pic:pic>
              </a:graphicData>
            </a:graphic>
          </wp:inline>
        </w:drawing>
      </w:r>
      <w:bookmarkStart w:id="396" w:name="_Ref387068124"/>
      <w:bookmarkStart w:id="397" w:name="_Ref387068133"/>
      <w:bookmarkStart w:id="398" w:name="_Toc387072716"/>
      <w:r w:rsidR="00BE1C9D" w:rsidRPr="00BE1C9D">
        <w:t xml:space="preserve"> </w:t>
      </w:r>
      <w:bookmarkStart w:id="399" w:name="_Toc391541640"/>
      <w:proofErr w:type="gramStart"/>
      <w:r w:rsidR="00BE1C9D">
        <w:t xml:space="preserve">Figure </w:t>
      </w:r>
      <w:r w:rsidR="00D30427">
        <w:fldChar w:fldCharType="begin"/>
      </w:r>
      <w:r w:rsidR="00541DCF">
        <w:instrText xml:space="preserve"> SEQ Figure \* ARABIC </w:instrText>
      </w:r>
      <w:r w:rsidR="00D30427">
        <w:fldChar w:fldCharType="separate"/>
      </w:r>
      <w:r w:rsidR="001D521C">
        <w:rPr>
          <w:noProof/>
        </w:rPr>
        <w:t>11</w:t>
      </w:r>
      <w:r w:rsidR="00D30427">
        <w:fldChar w:fldCharType="end"/>
      </w:r>
      <w:bookmarkEnd w:id="396"/>
      <w:r w:rsidR="00BE1C9D">
        <w:t>.</w:t>
      </w:r>
      <w:proofErr w:type="gramEnd"/>
      <w:r w:rsidR="00BE1C9D">
        <w:t xml:space="preserve"> </w:t>
      </w:r>
      <w:r w:rsidR="00BE1C9D" w:rsidRPr="00B35C27">
        <w:t>Fee stages flowchart for public environmental report and environmental impact statement process.</w:t>
      </w:r>
      <w:bookmarkEnd w:id="397"/>
      <w:bookmarkEnd w:id="398"/>
      <w:bookmarkEnd w:id="399"/>
    </w:p>
    <w:p w:rsidR="003A1E94" w:rsidRDefault="00D30427" w:rsidP="003A1E94">
      <w:pPr>
        <w:rPr>
          <w:highlight w:val="yellow"/>
        </w:rPr>
      </w:pPr>
      <w:r>
        <w:pict>
          <v:shape id="_x0000_s1161" type="#_x0000_t202" style="width:513.05pt;height:740.3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61">
              <w:txbxContent>
                <w:p w:rsidR="000D637E" w:rsidRPr="00AF7F9B" w:rsidRDefault="000D637E" w:rsidP="003A1E94">
                  <w:pPr>
                    <w:rPr>
                      <w:b/>
                      <w:color w:val="1F497D" w:themeColor="text2"/>
                      <w:sz w:val="18"/>
                      <w:szCs w:val="18"/>
                    </w:rPr>
                  </w:pPr>
                  <w:r>
                    <w:rPr>
                      <w:b/>
                      <w:color w:val="1F497D" w:themeColor="text2"/>
                      <w:sz w:val="18"/>
                      <w:szCs w:val="18"/>
                    </w:rPr>
                    <w:t>Example 4</w:t>
                  </w:r>
                  <w:r w:rsidRPr="00AF7F9B">
                    <w:rPr>
                      <w:b/>
                      <w:color w:val="1F497D" w:themeColor="text2"/>
                      <w:sz w:val="18"/>
                      <w:szCs w:val="18"/>
                    </w:rPr>
                    <w:t xml:space="preserve"> - Mine, rail and port development</w:t>
                  </w:r>
                  <w:r>
                    <w:rPr>
                      <w:b/>
                      <w:color w:val="1F497D" w:themeColor="text2"/>
                      <w:sz w:val="18"/>
                      <w:szCs w:val="18"/>
                    </w:rPr>
                    <w:t xml:space="preserve"> with associated offshore dredging</w:t>
                  </w:r>
                  <w:r w:rsidRPr="00AF7F9B">
                    <w:rPr>
                      <w:b/>
                      <w:color w:val="1F497D" w:themeColor="text2"/>
                      <w:sz w:val="18"/>
                      <w:szCs w:val="18"/>
                    </w:rPr>
                    <w:t xml:space="preserve"> (</w:t>
                  </w:r>
                  <w:r>
                    <w:rPr>
                      <w:b/>
                      <w:color w:val="1F497D" w:themeColor="text2"/>
                      <w:sz w:val="18"/>
                      <w:szCs w:val="18"/>
                    </w:rPr>
                    <w:t>environmental impact statement/public environment report</w:t>
                  </w:r>
                  <w:r w:rsidRPr="00AF7F9B">
                    <w:rPr>
                      <w:b/>
                      <w:color w:val="1F497D" w:themeColor="text2"/>
                      <w:sz w:val="18"/>
                      <w:szCs w:val="18"/>
                    </w:rPr>
                    <w:t xml:space="preserve">) </w:t>
                  </w:r>
                </w:p>
                <w:p w:rsidR="000D637E" w:rsidRPr="00AF7F9B" w:rsidRDefault="000D637E" w:rsidP="003A1E94">
                  <w:pPr>
                    <w:rPr>
                      <w:sz w:val="18"/>
                      <w:szCs w:val="18"/>
                    </w:rPr>
                  </w:pPr>
                  <w:r w:rsidRPr="00AF7F9B">
                    <w:rPr>
                      <w:b/>
                      <w:sz w:val="18"/>
                      <w:szCs w:val="18"/>
                    </w:rPr>
                    <w:t>Project description</w:t>
                  </w:r>
                  <w:r w:rsidRPr="00AF7F9B">
                    <w:rPr>
                      <w:sz w:val="18"/>
                      <w:szCs w:val="18"/>
                    </w:rPr>
                    <w:t xml:space="preserve">: </w:t>
                  </w:r>
                  <w:r>
                    <w:rPr>
                      <w:sz w:val="18"/>
                      <w:szCs w:val="18"/>
                    </w:rPr>
                    <w:t>Mining</w:t>
                  </w:r>
                  <w:r w:rsidRPr="00AF7F9B">
                    <w:rPr>
                      <w:sz w:val="18"/>
                      <w:szCs w:val="18"/>
                    </w:rPr>
                    <w:t xml:space="preserve"> Pty Ltd is proposing the expansion of an existing mine that includes a widening of the mine’s footprint and a new rail line to a new onshore port facility. The development of the port facility also involves offshore dredging for the shipping channel and construction of a jetty for docking of ships. </w:t>
                  </w:r>
                </w:p>
                <w:p w:rsidR="000D637E" w:rsidRPr="00AF7F9B" w:rsidRDefault="000D637E" w:rsidP="003A1E94">
                  <w:pPr>
                    <w:rPr>
                      <w:sz w:val="18"/>
                      <w:szCs w:val="18"/>
                    </w:rPr>
                  </w:pPr>
                  <w:r w:rsidRPr="00AF7F9B">
                    <w:rPr>
                      <w:sz w:val="18"/>
                      <w:szCs w:val="18"/>
                    </w:rPr>
                    <w:t xml:space="preserve">Referral documentation does not provide alternative dredging footprints to reduce the impact on coral species within the Commonwealth marine area. Clarification is required as to whether the project timing can be altered to reduce impacts on migratory and threatened species. </w:t>
                  </w:r>
                </w:p>
                <w:p w:rsidR="000D637E" w:rsidRPr="00AF7F9B" w:rsidRDefault="000D637E" w:rsidP="003A1E94">
                  <w:pPr>
                    <w:rPr>
                      <w:b/>
                      <w:sz w:val="18"/>
                      <w:szCs w:val="18"/>
                    </w:rPr>
                  </w:pPr>
                  <w:r w:rsidRPr="00AF7F9B">
                    <w:rPr>
                      <w:sz w:val="18"/>
                      <w:szCs w:val="18"/>
                    </w:rPr>
                    <w:t>A high level of complexity under state legislation is required, and therefore liaison with the state is necessary to align assessment documentation with both state and EPBC Act requirements.</w:t>
                  </w:r>
                </w:p>
                <w:p w:rsidR="000D637E" w:rsidRPr="00AF7F9B" w:rsidRDefault="000D637E" w:rsidP="003A1E94">
                  <w:pPr>
                    <w:rPr>
                      <w:sz w:val="18"/>
                      <w:szCs w:val="18"/>
                    </w:rPr>
                  </w:pPr>
                  <w:r w:rsidRPr="00AF7F9B">
                    <w:rPr>
                      <w:sz w:val="18"/>
                      <w:szCs w:val="18"/>
                    </w:rPr>
                    <w:t>Total fee</w:t>
                  </w:r>
                </w:p>
                <w:tbl>
                  <w:tblPr>
                    <w:tblW w:w="9938" w:type="dxa"/>
                    <w:tblInd w:w="9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3417"/>
                    <w:gridCol w:w="1843"/>
                    <w:gridCol w:w="2268"/>
                    <w:gridCol w:w="2410"/>
                  </w:tblGrid>
                  <w:tr w:rsidR="000D637E" w:rsidRPr="00AF7F9B" w:rsidTr="000812F3">
                    <w:trPr>
                      <w:trHeight w:val="600"/>
                    </w:trPr>
                    <w:tc>
                      <w:tcPr>
                        <w:tcW w:w="3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AF7F9B" w:rsidRDefault="000D637E" w:rsidP="003A1E94">
                        <w:pPr>
                          <w:jc w:val="center"/>
                          <w:rPr>
                            <w:b/>
                            <w:sz w:val="18"/>
                            <w:szCs w:val="18"/>
                            <w:lang w:eastAsia="en-AU"/>
                          </w:rPr>
                        </w:pPr>
                        <w:r w:rsidRPr="00AF7F9B">
                          <w:rPr>
                            <w:b/>
                            <w:sz w:val="18"/>
                            <w:szCs w:val="18"/>
                            <w:lang w:eastAsia="en-AU"/>
                          </w:rPr>
                          <w:t>Activity</w:t>
                        </w:r>
                      </w:p>
                    </w:tc>
                    <w:tc>
                      <w:tcPr>
                        <w:tcW w:w="184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AF7F9B" w:rsidRDefault="000D637E" w:rsidP="003A1E94">
                        <w:pPr>
                          <w:jc w:val="center"/>
                          <w:rPr>
                            <w:b/>
                            <w:sz w:val="18"/>
                            <w:szCs w:val="18"/>
                            <w:lang w:eastAsia="en-AU"/>
                          </w:rPr>
                        </w:pPr>
                        <w:r w:rsidRPr="00AF7F9B">
                          <w:rPr>
                            <w:b/>
                            <w:sz w:val="18"/>
                            <w:szCs w:val="18"/>
                            <w:lang w:eastAsia="en-AU"/>
                          </w:rPr>
                          <w:t>Base costs (A)</w:t>
                        </w: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AF7F9B" w:rsidRDefault="000D637E" w:rsidP="003A1E94">
                        <w:pPr>
                          <w:jc w:val="center"/>
                          <w:rPr>
                            <w:b/>
                            <w:sz w:val="18"/>
                            <w:szCs w:val="18"/>
                            <w:lang w:eastAsia="en-AU"/>
                          </w:rPr>
                        </w:pPr>
                        <w:r>
                          <w:rPr>
                            <w:b/>
                            <w:sz w:val="18"/>
                            <w:szCs w:val="18"/>
                            <w:lang w:eastAsia="en-AU"/>
                          </w:rPr>
                          <w:t>Complexity costs (B)</w:t>
                        </w:r>
                      </w:p>
                    </w:tc>
                    <w:tc>
                      <w:tcPr>
                        <w:tcW w:w="241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AF7F9B" w:rsidRDefault="000D637E" w:rsidP="003A1E94">
                        <w:pPr>
                          <w:jc w:val="center"/>
                          <w:rPr>
                            <w:b/>
                            <w:sz w:val="18"/>
                            <w:szCs w:val="18"/>
                            <w:lang w:eastAsia="en-AU"/>
                          </w:rPr>
                        </w:pPr>
                        <w:r w:rsidRPr="00AF7F9B">
                          <w:rPr>
                            <w:b/>
                            <w:sz w:val="18"/>
                            <w:szCs w:val="18"/>
                            <w:lang w:eastAsia="en-AU"/>
                          </w:rPr>
                          <w:t>Total fee</w:t>
                        </w:r>
                        <w:r w:rsidRPr="00AF7F9B">
                          <w:rPr>
                            <w:b/>
                            <w:sz w:val="18"/>
                            <w:szCs w:val="18"/>
                            <w:lang w:eastAsia="en-AU"/>
                          </w:rPr>
                          <w:br/>
                          <w:t>(A) + (B)</w:t>
                        </w:r>
                      </w:p>
                    </w:tc>
                  </w:tr>
                  <w:tr w:rsidR="000D637E" w:rsidRPr="00AF7F9B" w:rsidTr="000812F3">
                    <w:trPr>
                      <w:trHeight w:val="465"/>
                    </w:trPr>
                    <w:tc>
                      <w:tcPr>
                        <w:tcW w:w="341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0D637E" w:rsidRDefault="000D637E">
                        <w:pPr>
                          <w:rPr>
                            <w:sz w:val="18"/>
                            <w:szCs w:val="18"/>
                            <w:lang w:eastAsia="en-AU"/>
                          </w:rPr>
                        </w:pPr>
                        <w:r w:rsidRPr="00AF7F9B">
                          <w:rPr>
                            <w:sz w:val="18"/>
                            <w:szCs w:val="18"/>
                            <w:lang w:eastAsia="en-AU"/>
                          </w:rPr>
                          <w:t>Mine, port</w:t>
                        </w:r>
                        <w:r>
                          <w:rPr>
                            <w:sz w:val="18"/>
                            <w:szCs w:val="18"/>
                            <w:lang w:eastAsia="en-AU"/>
                          </w:rPr>
                          <w:t>,</w:t>
                        </w:r>
                        <w:r w:rsidRPr="00AF7F9B">
                          <w:rPr>
                            <w:sz w:val="18"/>
                            <w:szCs w:val="18"/>
                            <w:lang w:eastAsia="en-AU"/>
                          </w:rPr>
                          <w:t xml:space="preserve"> rail development</w:t>
                        </w:r>
                        <w:r>
                          <w:rPr>
                            <w:sz w:val="18"/>
                            <w:szCs w:val="18"/>
                            <w:lang w:eastAsia="en-AU"/>
                          </w:rPr>
                          <w:t xml:space="preserve"> and offshore dredging</w:t>
                        </w:r>
                        <w:r w:rsidRPr="00AF7F9B">
                          <w:rPr>
                            <w:i/>
                            <w:iCs/>
                            <w:sz w:val="18"/>
                            <w:szCs w:val="18"/>
                            <w:lang w:eastAsia="en-AU"/>
                          </w:rPr>
                          <w:t xml:space="preserve"> </w:t>
                        </w:r>
                        <w:r w:rsidRPr="002E0B96">
                          <w:rPr>
                            <w:iCs/>
                            <w:sz w:val="18"/>
                            <w:szCs w:val="18"/>
                            <w:lang w:eastAsia="en-AU"/>
                          </w:rPr>
                          <w:t>(environmental impact statement/public environment report)</w:t>
                        </w:r>
                      </w:p>
                    </w:tc>
                    <w:tc>
                      <w:tcPr>
                        <w:tcW w:w="1843" w:type="dxa"/>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0D637E" w:rsidRPr="00B863AF" w:rsidRDefault="000D637E" w:rsidP="003A1E94">
                        <w:pPr>
                          <w:jc w:val="center"/>
                          <w:rPr>
                            <w:sz w:val="18"/>
                            <w:szCs w:val="18"/>
                            <w:lang w:eastAsia="en-AU"/>
                          </w:rPr>
                        </w:pPr>
                        <w:r w:rsidRPr="00B863AF">
                          <w:rPr>
                            <w:sz w:val="18"/>
                            <w:szCs w:val="18"/>
                            <w:lang w:eastAsia="en-AU"/>
                          </w:rPr>
                          <w:t>$30,202</w:t>
                        </w:r>
                      </w:p>
                    </w:tc>
                    <w:tc>
                      <w:tcPr>
                        <w:tcW w:w="2268" w:type="dxa"/>
                        <w:tcBorders>
                          <w:top w:val="single" w:sz="4" w:space="0" w:color="548DD4" w:themeColor="text2" w:themeTint="99"/>
                          <w:left w:val="nil"/>
                          <w:bottom w:val="single" w:sz="4" w:space="0" w:color="548DD4" w:themeColor="text2" w:themeTint="99"/>
                          <w:right w:val="nil"/>
                        </w:tcBorders>
                        <w:shd w:val="clear" w:color="auto" w:fill="auto"/>
                        <w:noWrap/>
                        <w:vAlign w:val="center"/>
                        <w:hideMark/>
                      </w:tcPr>
                      <w:p w:rsidR="000D637E" w:rsidRPr="00B863AF" w:rsidRDefault="000D637E" w:rsidP="00460586">
                        <w:pPr>
                          <w:jc w:val="center"/>
                          <w:rPr>
                            <w:sz w:val="18"/>
                            <w:szCs w:val="18"/>
                            <w:lang w:eastAsia="en-AU"/>
                          </w:rPr>
                        </w:pPr>
                        <w:r w:rsidRPr="00B863AF">
                          <w:rPr>
                            <w:sz w:val="18"/>
                            <w:szCs w:val="18"/>
                            <w:lang w:eastAsia="en-AU"/>
                          </w:rPr>
                          <w:t>$</w:t>
                        </w:r>
                        <w:r>
                          <w:rPr>
                            <w:sz w:val="18"/>
                            <w:szCs w:val="18"/>
                            <w:lang w:eastAsia="en-AU"/>
                          </w:rPr>
                          <w:t>361,790</w:t>
                        </w:r>
                      </w:p>
                    </w:tc>
                    <w:tc>
                      <w:tcPr>
                        <w:tcW w:w="2410"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0D637E" w:rsidRPr="00B863AF" w:rsidRDefault="000D637E" w:rsidP="00460586">
                        <w:pPr>
                          <w:jc w:val="center"/>
                          <w:rPr>
                            <w:sz w:val="18"/>
                            <w:szCs w:val="18"/>
                            <w:lang w:eastAsia="en-AU"/>
                          </w:rPr>
                        </w:pPr>
                        <w:r w:rsidRPr="00B863AF">
                          <w:rPr>
                            <w:sz w:val="18"/>
                            <w:szCs w:val="18"/>
                            <w:lang w:eastAsia="en-AU"/>
                          </w:rPr>
                          <w:t>$</w:t>
                        </w:r>
                        <w:r>
                          <w:rPr>
                            <w:sz w:val="18"/>
                            <w:szCs w:val="18"/>
                            <w:lang w:eastAsia="en-AU"/>
                          </w:rPr>
                          <w:t>391,992</w:t>
                        </w:r>
                      </w:p>
                    </w:tc>
                  </w:tr>
                </w:tbl>
                <w:p w:rsidR="000D637E" w:rsidRPr="00AF7F9B" w:rsidRDefault="000D637E" w:rsidP="003A1E94">
                  <w:pPr>
                    <w:rPr>
                      <w:sz w:val="18"/>
                      <w:szCs w:val="18"/>
                    </w:rPr>
                  </w:pPr>
                  <w:r w:rsidRPr="00AF7F9B">
                    <w:rPr>
                      <w:sz w:val="18"/>
                      <w:szCs w:val="18"/>
                    </w:rPr>
                    <w:t xml:space="preserve">Additional complexity components </w:t>
                  </w:r>
                  <w:r>
                    <w:rPr>
                      <w:sz w:val="18"/>
                      <w:szCs w:val="18"/>
                    </w:rPr>
                    <w:t>(applicable fees for Example 4)</w:t>
                  </w:r>
                </w:p>
                <w:tbl>
                  <w:tblPr>
                    <w:tblStyle w:val="TableGrid"/>
                    <w:tblW w:w="9923" w:type="dxa"/>
                    <w:tblInd w:w="108" w:type="dxa"/>
                    <w:tblLayout w:type="fixed"/>
                    <w:tblLook w:val="04A0"/>
                  </w:tblPr>
                  <w:tblGrid>
                    <w:gridCol w:w="851"/>
                    <w:gridCol w:w="3969"/>
                    <w:gridCol w:w="3827"/>
                    <w:gridCol w:w="1276"/>
                  </w:tblGrid>
                  <w:tr w:rsidR="000D637E" w:rsidRPr="00AF7F9B" w:rsidTr="00E237DB">
                    <w:trPr>
                      <w:cnfStyle w:val="100000000000"/>
                      <w:cantSplit/>
                      <w:trHeight w:val="643"/>
                      <w:tblHeader/>
                    </w:trPr>
                    <w:tc>
                      <w:tcPr>
                        <w:tcW w:w="8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AF7F9B" w:rsidRDefault="000D637E" w:rsidP="003A1E94">
                        <w:pPr>
                          <w:jc w:val="center"/>
                          <w:rPr>
                            <w:b/>
                            <w:sz w:val="18"/>
                            <w:szCs w:val="18"/>
                          </w:rPr>
                        </w:pPr>
                        <w:r w:rsidRPr="00AF7F9B">
                          <w:rPr>
                            <w:b/>
                            <w:sz w:val="18"/>
                            <w:szCs w:val="18"/>
                          </w:rPr>
                          <w:t>Fee Ref.*</w:t>
                        </w:r>
                      </w:p>
                    </w:tc>
                    <w:tc>
                      <w:tcPr>
                        <w:tcW w:w="396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AF7F9B" w:rsidRDefault="000D637E" w:rsidP="003A1E94">
                        <w:pPr>
                          <w:jc w:val="center"/>
                          <w:rPr>
                            <w:b/>
                            <w:sz w:val="18"/>
                            <w:szCs w:val="18"/>
                          </w:rPr>
                        </w:pPr>
                        <w:r w:rsidRPr="00AF7F9B">
                          <w:rPr>
                            <w:b/>
                            <w:sz w:val="18"/>
                            <w:szCs w:val="18"/>
                          </w:rPr>
                          <w:t>Project characteristics</w:t>
                        </w:r>
                      </w:p>
                    </w:tc>
                    <w:tc>
                      <w:tcPr>
                        <w:tcW w:w="38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AF7F9B" w:rsidRDefault="000D637E" w:rsidP="003A1E94">
                        <w:pPr>
                          <w:jc w:val="center"/>
                          <w:rPr>
                            <w:b/>
                            <w:sz w:val="18"/>
                            <w:szCs w:val="18"/>
                          </w:rPr>
                        </w:pPr>
                        <w:r w:rsidRPr="00AF7F9B">
                          <w:rPr>
                            <w:b/>
                            <w:sz w:val="18"/>
                            <w:szCs w:val="18"/>
                          </w:rPr>
                          <w:t>Additional resources required during the assessment process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AF7F9B" w:rsidRDefault="000D637E" w:rsidP="003A1E94">
                        <w:pPr>
                          <w:jc w:val="center"/>
                          <w:rPr>
                            <w:b/>
                            <w:sz w:val="18"/>
                            <w:szCs w:val="18"/>
                          </w:rPr>
                        </w:pPr>
                        <w:r w:rsidRPr="00AF7F9B">
                          <w:rPr>
                            <w:b/>
                            <w:sz w:val="18"/>
                            <w:szCs w:val="18"/>
                          </w:rPr>
                          <w:t>Complexity costs</w:t>
                        </w:r>
                      </w:p>
                    </w:tc>
                  </w:tr>
                  <w:tr w:rsidR="000D637E" w:rsidRPr="00AF7F9B" w:rsidTr="00E237DB">
                    <w:trPr>
                      <w:cnfStyle w:val="100000000000"/>
                      <w:cantSplit/>
                      <w:trHeight w:val="254"/>
                      <w:tblHeader/>
                    </w:trPr>
                    <w:tc>
                      <w:tcPr>
                        <w:tcW w:w="4820"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0D637E" w:rsidRPr="00AF7F9B" w:rsidRDefault="000D637E" w:rsidP="003A1E94">
                        <w:pPr>
                          <w:rPr>
                            <w:sz w:val="18"/>
                            <w:szCs w:val="18"/>
                          </w:rPr>
                        </w:pPr>
                        <w:r w:rsidRPr="00AF7F9B">
                          <w:rPr>
                            <w:sz w:val="18"/>
                            <w:szCs w:val="18"/>
                          </w:rPr>
                          <w:t>Controlling provisions triggered</w:t>
                        </w:r>
                      </w:p>
                    </w:tc>
                    <w:tc>
                      <w:tcPr>
                        <w:tcW w:w="3827"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0D637E" w:rsidRPr="00AF7F9B" w:rsidDel="0036147F" w:rsidRDefault="000D637E" w:rsidP="003A1E94">
                        <w:pPr>
                          <w:rPr>
                            <w:sz w:val="18"/>
                            <w:szCs w:val="18"/>
                          </w:rPr>
                        </w:pP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637E" w:rsidRPr="00AF7F9B" w:rsidDel="0036147F" w:rsidRDefault="000D637E" w:rsidP="003A1E94">
                        <w:pPr>
                          <w:rPr>
                            <w:sz w:val="18"/>
                            <w:szCs w:val="18"/>
                          </w:rPr>
                        </w:pPr>
                      </w:p>
                    </w:tc>
                  </w:tr>
                  <w:tr w:rsidR="000D637E" w:rsidRPr="00AF7F9B" w:rsidTr="000812F3">
                    <w:trPr>
                      <w:cnfStyle w:val="100000000000"/>
                      <w:cantSplit/>
                      <w:trHeight w:val="77"/>
                      <w:tblHeader/>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AF7F9B" w:rsidRDefault="000D637E" w:rsidP="003A1E94">
                        <w:pPr>
                          <w:jc w:val="center"/>
                          <w:rPr>
                            <w:sz w:val="18"/>
                            <w:szCs w:val="18"/>
                          </w:rPr>
                        </w:pPr>
                        <w:r w:rsidRPr="00AF7F9B">
                          <w:rPr>
                            <w:sz w:val="18"/>
                            <w:szCs w:val="18"/>
                          </w:rPr>
                          <w:t>A</w:t>
                        </w:r>
                      </w:p>
                    </w:tc>
                    <w:tc>
                      <w:tcPr>
                        <w:tcW w:w="3969" w:type="dxa"/>
                        <w:tcBorders>
                          <w:top w:val="single" w:sz="4" w:space="0" w:color="548DD4" w:themeColor="text2" w:themeTint="99"/>
                          <w:left w:val="nil"/>
                          <w:bottom w:val="single" w:sz="4" w:space="0" w:color="548DD4" w:themeColor="text2" w:themeTint="99"/>
                          <w:right w:val="nil"/>
                        </w:tcBorders>
                      </w:tcPr>
                      <w:p w:rsidR="000D637E" w:rsidRPr="00AF7F9B" w:rsidRDefault="000D637E" w:rsidP="003A1E94">
                        <w:pPr>
                          <w:pStyle w:val="ListParagraph"/>
                          <w:ind w:left="0"/>
                          <w:rPr>
                            <w:sz w:val="18"/>
                            <w:szCs w:val="18"/>
                          </w:rPr>
                        </w:pPr>
                        <w:r w:rsidRPr="00AF7F9B">
                          <w:rPr>
                            <w:sz w:val="18"/>
                            <w:szCs w:val="18"/>
                          </w:rPr>
                          <w:t>Impacts are considered high complexity based on 10 EPBC Act listed threatened species / ecological communities requiring further assessment - 12 points</w:t>
                        </w:r>
                      </w:p>
                    </w:tc>
                    <w:tc>
                      <w:tcPr>
                        <w:tcW w:w="3827" w:type="dxa"/>
                        <w:tcBorders>
                          <w:top w:val="single" w:sz="4" w:space="0" w:color="548DD4" w:themeColor="text2" w:themeTint="99"/>
                          <w:left w:val="nil"/>
                          <w:bottom w:val="single" w:sz="4" w:space="0" w:color="548DD4" w:themeColor="text2" w:themeTint="99"/>
                          <w:right w:val="nil"/>
                        </w:tcBorders>
                      </w:tcPr>
                      <w:p w:rsidR="000D637E" w:rsidRPr="00BB0D63" w:rsidRDefault="000D637E" w:rsidP="003A1E94">
                        <w:pPr>
                          <w:rPr>
                            <w:sz w:val="18"/>
                            <w:szCs w:val="18"/>
                          </w:rPr>
                        </w:pPr>
                        <w:r w:rsidRPr="00BB0D63">
                          <w:rPr>
                            <w:sz w:val="18"/>
                            <w:szCs w:val="18"/>
                          </w:rPr>
                          <w:t>Threatened species (high complexity):</w:t>
                        </w:r>
                      </w:p>
                      <w:p w:rsidR="000D637E" w:rsidRPr="00BB0D63" w:rsidRDefault="000D637E" w:rsidP="008A56A0">
                        <w:pPr>
                          <w:pStyle w:val="ListParagraph"/>
                          <w:numPr>
                            <w:ilvl w:val="0"/>
                            <w:numId w:val="7"/>
                          </w:numPr>
                          <w:spacing w:after="0" w:line="240" w:lineRule="auto"/>
                          <w:ind w:left="360"/>
                          <w:contextualSpacing/>
                          <w:rPr>
                            <w:sz w:val="18"/>
                            <w:szCs w:val="18"/>
                          </w:rPr>
                        </w:pPr>
                        <w:r w:rsidRPr="00BB0D63">
                          <w:rPr>
                            <w:sz w:val="18"/>
                            <w:szCs w:val="18"/>
                          </w:rPr>
                          <w:t>Assessment Officer—24 days</w:t>
                        </w:r>
                      </w:p>
                      <w:p w:rsidR="000D637E" w:rsidRPr="00BB0D63" w:rsidRDefault="000D637E" w:rsidP="008A56A0">
                        <w:pPr>
                          <w:pStyle w:val="ListParagraph"/>
                          <w:numPr>
                            <w:ilvl w:val="0"/>
                            <w:numId w:val="7"/>
                          </w:numPr>
                          <w:spacing w:after="0" w:line="240" w:lineRule="auto"/>
                          <w:ind w:left="360"/>
                          <w:contextualSpacing/>
                          <w:rPr>
                            <w:sz w:val="18"/>
                            <w:szCs w:val="18"/>
                          </w:rPr>
                        </w:pPr>
                        <w:r w:rsidRPr="00BB0D63">
                          <w:rPr>
                            <w:sz w:val="18"/>
                            <w:szCs w:val="18"/>
                          </w:rPr>
                          <w:t>Assistant Director—12 days</w:t>
                        </w:r>
                      </w:p>
                      <w:p w:rsidR="000D637E" w:rsidRPr="00BB0D63" w:rsidRDefault="000D637E" w:rsidP="008A56A0">
                        <w:pPr>
                          <w:pStyle w:val="ListParagraph"/>
                          <w:numPr>
                            <w:ilvl w:val="0"/>
                            <w:numId w:val="7"/>
                          </w:numPr>
                          <w:spacing w:after="0" w:line="240" w:lineRule="auto"/>
                          <w:ind w:left="360"/>
                          <w:contextualSpacing/>
                          <w:rPr>
                            <w:sz w:val="18"/>
                            <w:szCs w:val="18"/>
                          </w:rPr>
                        </w:pPr>
                        <w:r w:rsidRPr="00BB0D63">
                          <w:rPr>
                            <w:sz w:val="18"/>
                            <w:szCs w:val="18"/>
                          </w:rPr>
                          <w:t>Director—4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BB0D63" w:rsidRDefault="000D637E" w:rsidP="003A1E94">
                        <w:pPr>
                          <w:jc w:val="center"/>
                          <w:rPr>
                            <w:sz w:val="18"/>
                            <w:szCs w:val="18"/>
                          </w:rPr>
                        </w:pPr>
                        <w:r w:rsidRPr="00BB0D63">
                          <w:rPr>
                            <w:sz w:val="18"/>
                            <w:szCs w:val="18"/>
                          </w:rPr>
                          <w:t>$21,852</w:t>
                        </w:r>
                      </w:p>
                    </w:tc>
                  </w:tr>
                  <w:tr w:rsidR="000D637E" w:rsidRPr="00AF7F9B" w:rsidTr="000812F3">
                    <w:trPr>
                      <w:cnfStyle w:val="000000100000"/>
                      <w:trHeight w:val="952"/>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AF7F9B" w:rsidRDefault="000D637E" w:rsidP="003A1E94">
                        <w:pPr>
                          <w:jc w:val="center"/>
                          <w:rPr>
                            <w:sz w:val="18"/>
                            <w:szCs w:val="18"/>
                          </w:rPr>
                        </w:pPr>
                        <w:r w:rsidRPr="00AF7F9B">
                          <w:rPr>
                            <w:sz w:val="18"/>
                            <w:szCs w:val="18"/>
                          </w:rPr>
                          <w:t>B</w:t>
                        </w:r>
                      </w:p>
                    </w:tc>
                    <w:tc>
                      <w:tcPr>
                        <w:tcW w:w="3969" w:type="dxa"/>
                        <w:tcBorders>
                          <w:top w:val="single" w:sz="4" w:space="0" w:color="548DD4" w:themeColor="text2" w:themeTint="99"/>
                          <w:left w:val="nil"/>
                          <w:bottom w:val="single" w:sz="4" w:space="0" w:color="548DD4" w:themeColor="text2" w:themeTint="99"/>
                          <w:right w:val="nil"/>
                        </w:tcBorders>
                      </w:tcPr>
                      <w:p w:rsidR="000D637E" w:rsidRPr="00AF7F9B" w:rsidRDefault="000D637E" w:rsidP="003A1E94">
                        <w:pPr>
                          <w:pStyle w:val="ListParagraph"/>
                          <w:ind w:left="0"/>
                          <w:rPr>
                            <w:sz w:val="18"/>
                            <w:szCs w:val="18"/>
                          </w:rPr>
                        </w:pPr>
                        <w:r w:rsidRPr="00AF7F9B">
                          <w:rPr>
                            <w:sz w:val="18"/>
                            <w:szCs w:val="18"/>
                          </w:rPr>
                          <w:t>Migratory species: The port infrastructure is proposed to be constructed over habitat that provides foraging habitat for migratory species (one species category).</w:t>
                        </w:r>
                      </w:p>
                    </w:tc>
                    <w:tc>
                      <w:tcPr>
                        <w:tcW w:w="3827" w:type="dxa"/>
                        <w:tcBorders>
                          <w:top w:val="single" w:sz="4" w:space="0" w:color="548DD4" w:themeColor="text2" w:themeTint="99"/>
                          <w:left w:val="nil"/>
                          <w:bottom w:val="single" w:sz="4" w:space="0" w:color="548DD4" w:themeColor="text2" w:themeTint="99"/>
                          <w:right w:val="nil"/>
                        </w:tcBorders>
                      </w:tcPr>
                      <w:p w:rsidR="000D637E" w:rsidRPr="00BB0D63" w:rsidRDefault="000D637E" w:rsidP="003A1E94">
                        <w:pPr>
                          <w:rPr>
                            <w:sz w:val="18"/>
                            <w:szCs w:val="18"/>
                          </w:rPr>
                        </w:pPr>
                        <w:r w:rsidRPr="00BB0D63">
                          <w:rPr>
                            <w:sz w:val="18"/>
                            <w:szCs w:val="18"/>
                          </w:rPr>
                          <w:t>Migratory species (moderate complexity):</w:t>
                        </w:r>
                      </w:p>
                      <w:p w:rsidR="000D637E" w:rsidRPr="00BB0D63" w:rsidRDefault="000D637E" w:rsidP="008A56A0">
                        <w:pPr>
                          <w:pStyle w:val="ListParagraph"/>
                          <w:numPr>
                            <w:ilvl w:val="0"/>
                            <w:numId w:val="7"/>
                          </w:numPr>
                          <w:spacing w:after="0" w:line="240" w:lineRule="auto"/>
                          <w:ind w:left="360"/>
                          <w:contextualSpacing/>
                          <w:rPr>
                            <w:sz w:val="18"/>
                            <w:szCs w:val="18"/>
                          </w:rPr>
                        </w:pPr>
                        <w:r w:rsidRPr="00BB0D63">
                          <w:rPr>
                            <w:sz w:val="18"/>
                            <w:szCs w:val="18"/>
                          </w:rPr>
                          <w:t>Assessment Officer—6 days</w:t>
                        </w:r>
                      </w:p>
                      <w:p w:rsidR="000D637E" w:rsidRPr="00BB0D63" w:rsidRDefault="000D637E" w:rsidP="008A56A0">
                        <w:pPr>
                          <w:pStyle w:val="ListParagraph"/>
                          <w:numPr>
                            <w:ilvl w:val="0"/>
                            <w:numId w:val="7"/>
                          </w:numPr>
                          <w:spacing w:after="0" w:line="240" w:lineRule="auto"/>
                          <w:ind w:left="360"/>
                          <w:contextualSpacing/>
                          <w:rPr>
                            <w:sz w:val="18"/>
                            <w:szCs w:val="18"/>
                          </w:rPr>
                        </w:pPr>
                        <w:r w:rsidRPr="00BB0D63">
                          <w:rPr>
                            <w:sz w:val="18"/>
                            <w:szCs w:val="18"/>
                          </w:rPr>
                          <w:t>Assistant Director—3 days</w:t>
                        </w:r>
                      </w:p>
                      <w:p w:rsidR="000D637E" w:rsidRPr="00BB0D63" w:rsidRDefault="000D637E" w:rsidP="008A56A0">
                        <w:pPr>
                          <w:pStyle w:val="ListParagraph"/>
                          <w:numPr>
                            <w:ilvl w:val="0"/>
                            <w:numId w:val="7"/>
                          </w:numPr>
                          <w:spacing w:after="0" w:line="240" w:lineRule="auto"/>
                          <w:ind w:left="360"/>
                          <w:contextualSpacing/>
                          <w:rPr>
                            <w:sz w:val="18"/>
                            <w:szCs w:val="18"/>
                          </w:rPr>
                        </w:pPr>
                        <w:r w:rsidRPr="00BB0D63">
                          <w:rPr>
                            <w:sz w:val="18"/>
                            <w:szCs w:val="18"/>
                          </w:rPr>
                          <w:t>Director—1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BB0D63" w:rsidRDefault="000D637E" w:rsidP="00BB0D63">
                        <w:pPr>
                          <w:jc w:val="center"/>
                          <w:rPr>
                            <w:sz w:val="18"/>
                            <w:szCs w:val="18"/>
                          </w:rPr>
                        </w:pPr>
                        <w:r w:rsidRPr="00BB0D63">
                          <w:rPr>
                            <w:sz w:val="18"/>
                            <w:szCs w:val="18"/>
                          </w:rPr>
                          <w:t>$5,463</w:t>
                        </w:r>
                      </w:p>
                    </w:tc>
                  </w:tr>
                  <w:tr w:rsidR="000D637E" w:rsidRPr="00AF7F9B" w:rsidTr="00E237DB">
                    <w:trPr>
                      <w:cnfStyle w:val="000000010000"/>
                      <w:trHeight w:val="952"/>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AF7F9B" w:rsidRDefault="000D637E" w:rsidP="003A1E94">
                        <w:pPr>
                          <w:jc w:val="center"/>
                          <w:rPr>
                            <w:sz w:val="18"/>
                            <w:szCs w:val="18"/>
                          </w:rPr>
                        </w:pPr>
                        <w:r w:rsidRPr="00AF7F9B">
                          <w:rPr>
                            <w:sz w:val="18"/>
                            <w:szCs w:val="18"/>
                          </w:rPr>
                          <w:t>D</w:t>
                        </w:r>
                      </w:p>
                    </w:tc>
                    <w:tc>
                      <w:tcPr>
                        <w:tcW w:w="3969" w:type="dxa"/>
                        <w:tcBorders>
                          <w:top w:val="single" w:sz="4" w:space="0" w:color="548DD4" w:themeColor="text2" w:themeTint="99"/>
                          <w:left w:val="nil"/>
                          <w:bottom w:val="single" w:sz="4" w:space="0" w:color="548DD4" w:themeColor="text2" w:themeTint="99"/>
                          <w:right w:val="nil"/>
                        </w:tcBorders>
                      </w:tcPr>
                      <w:p w:rsidR="000D637E" w:rsidRPr="00AF7F9B" w:rsidRDefault="000D637E" w:rsidP="003A1E94">
                        <w:pPr>
                          <w:pStyle w:val="ListParagraph"/>
                          <w:ind w:left="0"/>
                          <w:rPr>
                            <w:sz w:val="18"/>
                            <w:szCs w:val="18"/>
                          </w:rPr>
                        </w:pPr>
                        <w:r w:rsidRPr="00AF7F9B">
                          <w:rPr>
                            <w:sz w:val="18"/>
                            <w:szCs w:val="18"/>
                          </w:rPr>
                          <w:t>Commonwealth marine area: This project will involve considerable dredging extending into the Commonwealth marine environment.  The dredge plume is likely to impact on some coral communities in the Commonwealth marine environment.</w:t>
                        </w:r>
                      </w:p>
                    </w:tc>
                    <w:tc>
                      <w:tcPr>
                        <w:tcW w:w="3827" w:type="dxa"/>
                        <w:tcBorders>
                          <w:top w:val="single" w:sz="4" w:space="0" w:color="548DD4" w:themeColor="text2" w:themeTint="99"/>
                          <w:left w:val="nil"/>
                          <w:bottom w:val="single" w:sz="4" w:space="0" w:color="548DD4" w:themeColor="text2" w:themeTint="99"/>
                          <w:right w:val="nil"/>
                        </w:tcBorders>
                      </w:tcPr>
                      <w:p w:rsidR="000D637E" w:rsidRPr="00BB0D63" w:rsidRDefault="000D637E" w:rsidP="003A1E94">
                        <w:pPr>
                          <w:rPr>
                            <w:sz w:val="18"/>
                            <w:szCs w:val="18"/>
                          </w:rPr>
                        </w:pPr>
                        <w:r w:rsidRPr="00BB0D63">
                          <w:rPr>
                            <w:sz w:val="18"/>
                            <w:szCs w:val="18"/>
                          </w:rPr>
                          <w:t>Commonwealth marine area (high complexity):</w:t>
                        </w:r>
                      </w:p>
                      <w:p w:rsidR="000D637E" w:rsidRPr="00BB0D63" w:rsidRDefault="000D637E" w:rsidP="008A56A0">
                        <w:pPr>
                          <w:numPr>
                            <w:ilvl w:val="0"/>
                            <w:numId w:val="7"/>
                          </w:numPr>
                          <w:spacing w:after="0" w:line="240" w:lineRule="auto"/>
                          <w:rPr>
                            <w:sz w:val="18"/>
                            <w:szCs w:val="18"/>
                          </w:rPr>
                        </w:pPr>
                        <w:r w:rsidRPr="00BB0D63">
                          <w:rPr>
                            <w:sz w:val="18"/>
                            <w:szCs w:val="18"/>
                          </w:rPr>
                          <w:t>Assessment Officer—24 days</w:t>
                        </w:r>
                      </w:p>
                      <w:p w:rsidR="000D637E" w:rsidRPr="00BB0D63" w:rsidRDefault="000D637E" w:rsidP="008A56A0">
                        <w:pPr>
                          <w:numPr>
                            <w:ilvl w:val="0"/>
                            <w:numId w:val="7"/>
                          </w:numPr>
                          <w:spacing w:after="0" w:line="240" w:lineRule="auto"/>
                          <w:rPr>
                            <w:sz w:val="18"/>
                            <w:szCs w:val="18"/>
                          </w:rPr>
                        </w:pPr>
                        <w:r w:rsidRPr="00BB0D63">
                          <w:rPr>
                            <w:sz w:val="18"/>
                            <w:szCs w:val="18"/>
                          </w:rPr>
                          <w:t>Assistant Director—12 days</w:t>
                        </w:r>
                      </w:p>
                      <w:p w:rsidR="000D637E" w:rsidRPr="00BB0D63" w:rsidRDefault="000D637E" w:rsidP="008A56A0">
                        <w:pPr>
                          <w:numPr>
                            <w:ilvl w:val="0"/>
                            <w:numId w:val="7"/>
                          </w:numPr>
                          <w:spacing w:after="0" w:line="240" w:lineRule="auto"/>
                          <w:rPr>
                            <w:sz w:val="18"/>
                            <w:szCs w:val="18"/>
                          </w:rPr>
                        </w:pPr>
                        <w:r w:rsidRPr="00BB0D63">
                          <w:rPr>
                            <w:sz w:val="18"/>
                            <w:szCs w:val="18"/>
                          </w:rPr>
                          <w:t>Director—4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BB0D63" w:rsidRDefault="000D637E" w:rsidP="00BB0D63">
                        <w:pPr>
                          <w:jc w:val="center"/>
                          <w:rPr>
                            <w:sz w:val="18"/>
                            <w:szCs w:val="18"/>
                          </w:rPr>
                        </w:pPr>
                        <w:r w:rsidRPr="00BB0D63">
                          <w:rPr>
                            <w:sz w:val="18"/>
                            <w:szCs w:val="18"/>
                          </w:rPr>
                          <w:t>$21</w:t>
                        </w:r>
                        <w:r>
                          <w:rPr>
                            <w:sz w:val="18"/>
                            <w:szCs w:val="18"/>
                          </w:rPr>
                          <w:t>,</w:t>
                        </w:r>
                        <w:r w:rsidRPr="00BB0D63">
                          <w:rPr>
                            <w:sz w:val="18"/>
                            <w:szCs w:val="18"/>
                          </w:rPr>
                          <w:t>852</w:t>
                        </w:r>
                      </w:p>
                    </w:tc>
                  </w:tr>
                  <w:tr w:rsidR="000D637E" w:rsidRPr="00AF7F9B" w:rsidTr="00E237DB">
                    <w:trPr>
                      <w:cnfStyle w:val="000000100000"/>
                      <w:trHeight w:val="165"/>
                    </w:trPr>
                    <w:tc>
                      <w:tcPr>
                        <w:tcW w:w="4820"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0D637E" w:rsidRPr="00AF7F9B" w:rsidRDefault="000D637E" w:rsidP="003A1E94">
                        <w:pPr>
                          <w:rPr>
                            <w:sz w:val="18"/>
                            <w:szCs w:val="18"/>
                          </w:rPr>
                        </w:pPr>
                        <w:r w:rsidRPr="00AF7F9B">
                          <w:rPr>
                            <w:sz w:val="18"/>
                            <w:szCs w:val="18"/>
                          </w:rPr>
                          <w:t>Project components</w:t>
                        </w:r>
                      </w:p>
                    </w:tc>
                    <w:tc>
                      <w:tcPr>
                        <w:tcW w:w="3827"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0D637E" w:rsidRPr="00AF7F9B" w:rsidRDefault="000D637E" w:rsidP="003A1E94">
                        <w:pPr>
                          <w:rPr>
                            <w:sz w:val="18"/>
                            <w:szCs w:val="18"/>
                          </w:rPr>
                        </w:pP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637E" w:rsidRPr="00AF7F9B" w:rsidRDefault="000D637E" w:rsidP="003A1E94">
                        <w:pPr>
                          <w:jc w:val="center"/>
                          <w:rPr>
                            <w:sz w:val="18"/>
                            <w:szCs w:val="18"/>
                          </w:rPr>
                        </w:pPr>
                      </w:p>
                    </w:tc>
                  </w:tr>
                  <w:tr w:rsidR="000D637E" w:rsidRPr="00AF7F9B" w:rsidTr="00E237DB">
                    <w:trPr>
                      <w:cnfStyle w:val="000000010000"/>
                      <w:trHeight w:val="1048"/>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AF7F9B" w:rsidRDefault="000D637E" w:rsidP="003A1E94">
                        <w:pPr>
                          <w:jc w:val="center"/>
                          <w:rPr>
                            <w:sz w:val="18"/>
                            <w:szCs w:val="18"/>
                          </w:rPr>
                        </w:pPr>
                        <w:r>
                          <w:rPr>
                            <w:sz w:val="18"/>
                            <w:szCs w:val="18"/>
                          </w:rPr>
                          <w:t>K</w:t>
                        </w:r>
                      </w:p>
                    </w:tc>
                    <w:tc>
                      <w:tcPr>
                        <w:tcW w:w="3969" w:type="dxa"/>
                        <w:tcBorders>
                          <w:top w:val="single" w:sz="4" w:space="0" w:color="548DD4" w:themeColor="text2" w:themeTint="99"/>
                          <w:left w:val="nil"/>
                          <w:bottom w:val="single" w:sz="4" w:space="0" w:color="548DD4" w:themeColor="text2" w:themeTint="99"/>
                          <w:right w:val="nil"/>
                        </w:tcBorders>
                      </w:tcPr>
                      <w:p w:rsidR="000D637E" w:rsidRPr="00AF7F9B" w:rsidRDefault="000D637E" w:rsidP="003A1E94">
                        <w:pPr>
                          <w:rPr>
                            <w:sz w:val="18"/>
                            <w:szCs w:val="18"/>
                          </w:rPr>
                        </w:pPr>
                        <w:r w:rsidRPr="00AF7F9B">
                          <w:rPr>
                            <w:sz w:val="18"/>
                            <w:szCs w:val="18"/>
                          </w:rPr>
                          <w:t>Four (very high complexity):</w:t>
                        </w:r>
                      </w:p>
                      <w:p w:rsidR="000D637E" w:rsidRPr="00AF7F9B" w:rsidRDefault="000D637E" w:rsidP="008A56A0">
                        <w:pPr>
                          <w:pStyle w:val="ListParagraph"/>
                          <w:numPr>
                            <w:ilvl w:val="0"/>
                            <w:numId w:val="7"/>
                          </w:numPr>
                          <w:spacing w:after="0" w:line="240" w:lineRule="auto"/>
                          <w:ind w:left="318" w:hanging="284"/>
                          <w:contextualSpacing/>
                          <w:rPr>
                            <w:sz w:val="18"/>
                            <w:szCs w:val="18"/>
                          </w:rPr>
                        </w:pPr>
                        <w:r w:rsidRPr="00AF7F9B">
                          <w:rPr>
                            <w:sz w:val="18"/>
                            <w:szCs w:val="18"/>
                          </w:rPr>
                          <w:t>mine</w:t>
                        </w:r>
                      </w:p>
                      <w:p w:rsidR="000D637E" w:rsidRPr="00AF7F9B" w:rsidRDefault="000D637E" w:rsidP="008A56A0">
                        <w:pPr>
                          <w:pStyle w:val="ListParagraph"/>
                          <w:numPr>
                            <w:ilvl w:val="0"/>
                            <w:numId w:val="7"/>
                          </w:numPr>
                          <w:spacing w:after="0" w:line="240" w:lineRule="auto"/>
                          <w:ind w:left="318" w:hanging="284"/>
                          <w:contextualSpacing/>
                          <w:rPr>
                            <w:sz w:val="18"/>
                            <w:szCs w:val="18"/>
                          </w:rPr>
                        </w:pPr>
                        <w:r w:rsidRPr="00AF7F9B">
                          <w:rPr>
                            <w:sz w:val="18"/>
                            <w:szCs w:val="18"/>
                          </w:rPr>
                          <w:t>rail line</w:t>
                        </w:r>
                      </w:p>
                      <w:p w:rsidR="000D637E" w:rsidRPr="00AF7F9B" w:rsidRDefault="000D637E" w:rsidP="008A56A0">
                        <w:pPr>
                          <w:pStyle w:val="ListParagraph"/>
                          <w:numPr>
                            <w:ilvl w:val="0"/>
                            <w:numId w:val="7"/>
                          </w:numPr>
                          <w:spacing w:after="0" w:line="240" w:lineRule="auto"/>
                          <w:ind w:left="318" w:hanging="284"/>
                          <w:contextualSpacing/>
                          <w:rPr>
                            <w:sz w:val="18"/>
                            <w:szCs w:val="18"/>
                          </w:rPr>
                        </w:pPr>
                        <w:r w:rsidRPr="00AF7F9B">
                          <w:rPr>
                            <w:sz w:val="18"/>
                            <w:szCs w:val="18"/>
                          </w:rPr>
                          <w:t>onshore infrastructure</w:t>
                        </w:r>
                      </w:p>
                      <w:p w:rsidR="000D637E" w:rsidRPr="00AF7F9B" w:rsidRDefault="000D637E" w:rsidP="008A56A0">
                        <w:pPr>
                          <w:pStyle w:val="ListParagraph"/>
                          <w:numPr>
                            <w:ilvl w:val="0"/>
                            <w:numId w:val="7"/>
                          </w:numPr>
                          <w:spacing w:after="0" w:line="240" w:lineRule="auto"/>
                          <w:ind w:left="318" w:hanging="284"/>
                          <w:contextualSpacing/>
                          <w:rPr>
                            <w:sz w:val="18"/>
                            <w:szCs w:val="18"/>
                          </w:rPr>
                        </w:pPr>
                        <w:proofErr w:type="gramStart"/>
                        <w:r w:rsidRPr="00AF7F9B">
                          <w:rPr>
                            <w:sz w:val="18"/>
                            <w:szCs w:val="18"/>
                          </w:rPr>
                          <w:t>offshore</w:t>
                        </w:r>
                        <w:proofErr w:type="gramEnd"/>
                        <w:r w:rsidRPr="00AF7F9B">
                          <w:rPr>
                            <w:sz w:val="18"/>
                            <w:szCs w:val="18"/>
                          </w:rPr>
                          <w:t xml:space="preserve"> dredging.</w:t>
                        </w:r>
                      </w:p>
                    </w:tc>
                    <w:tc>
                      <w:tcPr>
                        <w:tcW w:w="3827" w:type="dxa"/>
                        <w:tcBorders>
                          <w:top w:val="single" w:sz="4" w:space="0" w:color="548DD4" w:themeColor="text2" w:themeTint="99"/>
                          <w:left w:val="nil"/>
                          <w:bottom w:val="single" w:sz="4" w:space="0" w:color="548DD4" w:themeColor="text2" w:themeTint="99"/>
                          <w:right w:val="nil"/>
                        </w:tcBorders>
                      </w:tcPr>
                      <w:p w:rsidR="000D637E" w:rsidRPr="00AF7F9B" w:rsidRDefault="000D637E" w:rsidP="003A1E94">
                        <w:pPr>
                          <w:rPr>
                            <w:sz w:val="18"/>
                            <w:szCs w:val="18"/>
                          </w:rPr>
                        </w:pPr>
                        <w:r w:rsidRPr="00AF7F9B">
                          <w:rPr>
                            <w:sz w:val="18"/>
                            <w:szCs w:val="18"/>
                          </w:rPr>
                          <w:t xml:space="preserve">Each additional project component increases the </w:t>
                        </w:r>
                        <w:r>
                          <w:rPr>
                            <w:sz w:val="18"/>
                            <w:szCs w:val="18"/>
                          </w:rPr>
                          <w:t>Department</w:t>
                        </w:r>
                        <w:r w:rsidRPr="00AF7F9B">
                          <w:rPr>
                            <w:sz w:val="18"/>
                            <w:szCs w:val="18"/>
                          </w:rPr>
                          <w:t xml:space="preserve">’s workload by the basic assessment cost (that is, the cost of assessing one project component). </w:t>
                        </w:r>
                      </w:p>
                      <w:p w:rsidR="000D637E" w:rsidRPr="00AF7F9B" w:rsidRDefault="000D637E" w:rsidP="008A56A0">
                        <w:pPr>
                          <w:pStyle w:val="ListParagraph"/>
                          <w:numPr>
                            <w:ilvl w:val="0"/>
                            <w:numId w:val="7"/>
                          </w:numPr>
                          <w:spacing w:after="0" w:line="240" w:lineRule="auto"/>
                          <w:ind w:left="318" w:hanging="284"/>
                          <w:contextualSpacing/>
                          <w:rPr>
                            <w:sz w:val="18"/>
                            <w:szCs w:val="18"/>
                          </w:rPr>
                        </w:pPr>
                        <w:r w:rsidRPr="00AF7F9B">
                          <w:rPr>
                            <w:sz w:val="18"/>
                            <w:szCs w:val="18"/>
                          </w:rPr>
                          <w:t>Base cost of assessment x 3</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AF7F9B" w:rsidRDefault="000D637E" w:rsidP="00BB0D63">
                        <w:pPr>
                          <w:jc w:val="center"/>
                          <w:rPr>
                            <w:sz w:val="18"/>
                            <w:szCs w:val="18"/>
                          </w:rPr>
                        </w:pPr>
                        <w:r w:rsidRPr="00BB0D63">
                          <w:rPr>
                            <w:sz w:val="18"/>
                            <w:szCs w:val="18"/>
                          </w:rPr>
                          <w:t>$90,606</w:t>
                        </w:r>
                      </w:p>
                    </w:tc>
                  </w:tr>
                  <w:tr w:rsidR="000D637E" w:rsidRPr="00AF7F9B" w:rsidTr="00E237DB">
                    <w:trPr>
                      <w:cnfStyle w:val="000000100000"/>
                      <w:trHeight w:val="176"/>
                    </w:trPr>
                    <w:tc>
                      <w:tcPr>
                        <w:tcW w:w="8647"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0D637E" w:rsidRPr="00AF7F9B" w:rsidRDefault="000D637E" w:rsidP="003A1E94">
                        <w:pPr>
                          <w:rPr>
                            <w:sz w:val="18"/>
                            <w:szCs w:val="18"/>
                          </w:rPr>
                        </w:pPr>
                        <w:r w:rsidRPr="00AF7F9B">
                          <w:rPr>
                            <w:sz w:val="18"/>
                            <w:szCs w:val="18"/>
                          </w:rPr>
                          <w:t>Adequacy of information and clarity of project scope</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637E" w:rsidRPr="00AF7F9B" w:rsidRDefault="000D637E" w:rsidP="003A1E94">
                        <w:pPr>
                          <w:jc w:val="center"/>
                          <w:rPr>
                            <w:sz w:val="18"/>
                            <w:szCs w:val="18"/>
                          </w:rPr>
                        </w:pPr>
                      </w:p>
                    </w:tc>
                  </w:tr>
                  <w:tr w:rsidR="000D637E" w:rsidRPr="00AF7F9B" w:rsidTr="000812F3">
                    <w:trPr>
                      <w:cnfStyle w:val="000000010000"/>
                      <w:trHeight w:val="1048"/>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AF7F9B" w:rsidRDefault="000D637E" w:rsidP="003A1E94">
                        <w:pPr>
                          <w:jc w:val="center"/>
                          <w:rPr>
                            <w:sz w:val="18"/>
                            <w:szCs w:val="18"/>
                          </w:rPr>
                        </w:pPr>
                        <w:r>
                          <w:rPr>
                            <w:sz w:val="18"/>
                            <w:szCs w:val="18"/>
                          </w:rPr>
                          <w:t>M</w:t>
                        </w:r>
                      </w:p>
                    </w:tc>
                    <w:tc>
                      <w:tcPr>
                        <w:tcW w:w="3969" w:type="dxa"/>
                        <w:tcBorders>
                          <w:top w:val="single" w:sz="4" w:space="0" w:color="548DD4" w:themeColor="text2" w:themeTint="99"/>
                          <w:left w:val="nil"/>
                          <w:bottom w:val="single" w:sz="4" w:space="0" w:color="548DD4" w:themeColor="text2" w:themeTint="99"/>
                          <w:right w:val="nil"/>
                        </w:tcBorders>
                      </w:tcPr>
                      <w:p w:rsidR="000D637E" w:rsidRPr="00AF7F9B" w:rsidRDefault="000D637E" w:rsidP="003A1E94">
                        <w:pPr>
                          <w:rPr>
                            <w:sz w:val="18"/>
                            <w:szCs w:val="18"/>
                          </w:rPr>
                        </w:pPr>
                        <w:r w:rsidRPr="00AF7F9B">
                          <w:rPr>
                            <w:sz w:val="18"/>
                            <w:szCs w:val="18"/>
                          </w:rPr>
                          <w:t xml:space="preserve">No site surveys undertaken offshore, some site surveys undertaken along the rail line, but impacts are not adequately identified and further work is required.  </w:t>
                        </w:r>
                      </w:p>
                    </w:tc>
                    <w:tc>
                      <w:tcPr>
                        <w:tcW w:w="3827" w:type="dxa"/>
                        <w:tcBorders>
                          <w:top w:val="single" w:sz="4" w:space="0" w:color="548DD4" w:themeColor="text2" w:themeTint="99"/>
                          <w:left w:val="nil"/>
                          <w:bottom w:val="single" w:sz="4" w:space="0" w:color="548DD4" w:themeColor="text2" w:themeTint="99"/>
                          <w:right w:val="nil"/>
                        </w:tcBorders>
                      </w:tcPr>
                      <w:p w:rsidR="000D637E" w:rsidRPr="00AF7F9B" w:rsidRDefault="000D637E" w:rsidP="003A1E94">
                        <w:pPr>
                          <w:rPr>
                            <w:sz w:val="18"/>
                            <w:szCs w:val="18"/>
                          </w:rPr>
                        </w:pPr>
                        <w:r w:rsidRPr="00AF7F9B">
                          <w:rPr>
                            <w:sz w:val="18"/>
                            <w:szCs w:val="18"/>
                          </w:rPr>
                          <w:t>Site surveys (high complexity):</w:t>
                        </w:r>
                      </w:p>
                      <w:p w:rsidR="000D637E" w:rsidRPr="00BB0D63" w:rsidRDefault="000D637E" w:rsidP="008A56A0">
                        <w:pPr>
                          <w:numPr>
                            <w:ilvl w:val="0"/>
                            <w:numId w:val="7"/>
                          </w:numPr>
                          <w:spacing w:after="0" w:line="240" w:lineRule="auto"/>
                          <w:rPr>
                            <w:sz w:val="18"/>
                            <w:szCs w:val="18"/>
                          </w:rPr>
                        </w:pPr>
                        <w:r w:rsidRPr="00BB0D63">
                          <w:rPr>
                            <w:sz w:val="18"/>
                            <w:szCs w:val="18"/>
                          </w:rPr>
                          <w:t>Assessment Officer—70 days</w:t>
                        </w:r>
                      </w:p>
                      <w:p w:rsidR="000D637E" w:rsidRPr="00BB0D63" w:rsidRDefault="000D637E" w:rsidP="008A56A0">
                        <w:pPr>
                          <w:numPr>
                            <w:ilvl w:val="0"/>
                            <w:numId w:val="7"/>
                          </w:numPr>
                          <w:spacing w:after="0" w:line="240" w:lineRule="auto"/>
                          <w:rPr>
                            <w:sz w:val="18"/>
                            <w:szCs w:val="18"/>
                          </w:rPr>
                        </w:pPr>
                        <w:r w:rsidRPr="00BB0D63">
                          <w:rPr>
                            <w:sz w:val="18"/>
                            <w:szCs w:val="18"/>
                          </w:rPr>
                          <w:t>Assistant Director—26 days</w:t>
                        </w:r>
                      </w:p>
                      <w:p w:rsidR="000D637E" w:rsidRPr="00BB0D63" w:rsidRDefault="000D637E" w:rsidP="008A56A0">
                        <w:pPr>
                          <w:numPr>
                            <w:ilvl w:val="0"/>
                            <w:numId w:val="7"/>
                          </w:numPr>
                          <w:spacing w:after="0" w:line="240" w:lineRule="auto"/>
                          <w:rPr>
                            <w:sz w:val="18"/>
                            <w:szCs w:val="18"/>
                          </w:rPr>
                        </w:pPr>
                        <w:r w:rsidRPr="00BB0D63">
                          <w:rPr>
                            <w:sz w:val="18"/>
                            <w:szCs w:val="18"/>
                          </w:rPr>
                          <w:t>Director—10 days</w:t>
                        </w:r>
                      </w:p>
                      <w:p w:rsidR="000D637E" w:rsidRPr="00BB0D63" w:rsidRDefault="000D637E" w:rsidP="008A56A0">
                        <w:pPr>
                          <w:numPr>
                            <w:ilvl w:val="0"/>
                            <w:numId w:val="7"/>
                          </w:numPr>
                          <w:spacing w:after="0" w:line="240" w:lineRule="auto"/>
                          <w:rPr>
                            <w:sz w:val="18"/>
                            <w:szCs w:val="18"/>
                          </w:rPr>
                        </w:pPr>
                        <w:r w:rsidRPr="00BB0D63">
                          <w:rPr>
                            <w:sz w:val="18"/>
                            <w:szCs w:val="18"/>
                          </w:rPr>
                          <w:t>Delegate of the Minister—3.4 days</w:t>
                        </w:r>
                      </w:p>
                      <w:p w:rsidR="000D637E" w:rsidRPr="00AF7F9B" w:rsidRDefault="000D637E" w:rsidP="008A56A0">
                        <w:pPr>
                          <w:numPr>
                            <w:ilvl w:val="0"/>
                            <w:numId w:val="7"/>
                          </w:numPr>
                          <w:spacing w:after="0" w:line="240" w:lineRule="auto"/>
                          <w:rPr>
                            <w:sz w:val="18"/>
                            <w:szCs w:val="18"/>
                          </w:rPr>
                        </w:pPr>
                        <w:r w:rsidRPr="00BB0D63">
                          <w:rPr>
                            <w:sz w:val="18"/>
                            <w:szCs w:val="18"/>
                          </w:rPr>
                          <w:t>External expert—$21,912</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AF7F9B" w:rsidRDefault="000D637E" w:rsidP="003A1E94">
                        <w:pPr>
                          <w:jc w:val="center"/>
                          <w:rPr>
                            <w:sz w:val="18"/>
                            <w:szCs w:val="18"/>
                          </w:rPr>
                        </w:pPr>
                        <w:r>
                          <w:rPr>
                            <w:sz w:val="18"/>
                            <w:szCs w:val="18"/>
                          </w:rPr>
                          <w:t>$82,316</w:t>
                        </w:r>
                      </w:p>
                    </w:tc>
                  </w:tr>
                </w:tbl>
                <w:p w:rsidR="000D637E" w:rsidRPr="00AF7F9B" w:rsidRDefault="000D637E" w:rsidP="003A1E94">
                  <w:pPr>
                    <w:rPr>
                      <w:sz w:val="18"/>
                      <w:szCs w:val="18"/>
                    </w:rPr>
                  </w:pPr>
                  <w:r w:rsidRPr="00AF7F9B">
                    <w:rPr>
                      <w:sz w:val="18"/>
                      <w:szCs w:val="18"/>
                    </w:rPr>
                    <w:t xml:space="preserve">* Please refer to complexity </w:t>
                  </w:r>
                  <w:r>
                    <w:rPr>
                      <w:sz w:val="18"/>
                      <w:szCs w:val="18"/>
                    </w:rPr>
                    <w:t xml:space="preserve">fee </w:t>
                  </w:r>
                  <w:r w:rsidRPr="00AF7F9B">
                    <w:rPr>
                      <w:sz w:val="18"/>
                      <w:szCs w:val="18"/>
                    </w:rPr>
                    <w:t>matrix</w:t>
                  </w:r>
                </w:p>
              </w:txbxContent>
            </v:textbox>
            <w10:wrap type="none"/>
            <w10:anchorlock/>
          </v:shape>
        </w:pict>
      </w:r>
    </w:p>
    <w:p w:rsidR="003A1E94" w:rsidRDefault="00D30427" w:rsidP="003A1E94">
      <w:pPr>
        <w:rPr>
          <w:highlight w:val="yellow"/>
        </w:rPr>
      </w:pPr>
      <w:r w:rsidRPr="00D30427">
        <w:rPr>
          <w:lang w:val="en-US"/>
        </w:rPr>
      </w:r>
      <w:r w:rsidRPr="00D30427">
        <w:rPr>
          <w:lang w:val="en-US"/>
        </w:rPr>
        <w:pict>
          <v:shape id="_x0000_s1160" type="#_x0000_t202" style="width:512.3pt;height:355.8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60">
              <w:txbxContent>
                <w:p w:rsidR="000D637E" w:rsidRPr="00592E0A" w:rsidRDefault="000D637E" w:rsidP="003A1E94">
                  <w:pPr>
                    <w:rPr>
                      <w:b/>
                      <w:color w:val="1F497D" w:themeColor="text2"/>
                      <w:sz w:val="18"/>
                      <w:szCs w:val="18"/>
                    </w:rPr>
                  </w:pPr>
                  <w:r>
                    <w:rPr>
                      <w:b/>
                      <w:color w:val="1F497D" w:themeColor="text2"/>
                      <w:sz w:val="18"/>
                      <w:szCs w:val="18"/>
                    </w:rPr>
                    <w:t>Example 4</w:t>
                  </w:r>
                  <w:r w:rsidRPr="00592E0A">
                    <w:rPr>
                      <w:b/>
                      <w:color w:val="1F497D" w:themeColor="text2"/>
                      <w:sz w:val="18"/>
                      <w:szCs w:val="18"/>
                    </w:rPr>
                    <w:t xml:space="preserve"> (Continued) - Mine, Rail and Port development</w:t>
                  </w:r>
                  <w:r>
                    <w:rPr>
                      <w:b/>
                      <w:color w:val="1F497D" w:themeColor="text2"/>
                      <w:sz w:val="18"/>
                      <w:szCs w:val="18"/>
                    </w:rPr>
                    <w:t xml:space="preserve"> with associated offshore dredging</w:t>
                  </w:r>
                  <w:r w:rsidRPr="00592E0A">
                    <w:rPr>
                      <w:b/>
                      <w:color w:val="1F497D" w:themeColor="text2"/>
                      <w:sz w:val="18"/>
                      <w:szCs w:val="18"/>
                    </w:rPr>
                    <w:t xml:space="preserve"> (</w:t>
                  </w:r>
                  <w:r>
                    <w:rPr>
                      <w:b/>
                      <w:color w:val="1F497D" w:themeColor="text2"/>
                      <w:sz w:val="18"/>
                      <w:szCs w:val="18"/>
                    </w:rPr>
                    <w:t>environmental impact statement/public environment report</w:t>
                  </w:r>
                  <w:r w:rsidRPr="00592E0A">
                    <w:rPr>
                      <w:b/>
                      <w:color w:val="1F497D" w:themeColor="text2"/>
                      <w:sz w:val="18"/>
                      <w:szCs w:val="18"/>
                    </w:rPr>
                    <w:t xml:space="preserve">) </w:t>
                  </w:r>
                </w:p>
                <w:tbl>
                  <w:tblPr>
                    <w:tblStyle w:val="TableGrid"/>
                    <w:tblW w:w="9923" w:type="dxa"/>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851"/>
                    <w:gridCol w:w="2456"/>
                    <w:gridCol w:w="1513"/>
                    <w:gridCol w:w="1795"/>
                    <w:gridCol w:w="2032"/>
                    <w:gridCol w:w="1276"/>
                  </w:tblGrid>
                  <w:tr w:rsidR="000D637E" w:rsidRPr="00592E0A" w:rsidTr="00E237DB">
                    <w:trPr>
                      <w:cnfStyle w:val="1000000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592E0A" w:rsidRDefault="000D637E" w:rsidP="003A1E94">
                        <w:pPr>
                          <w:jc w:val="center"/>
                          <w:rPr>
                            <w:b/>
                            <w:sz w:val="18"/>
                            <w:szCs w:val="18"/>
                            <w:lang w:eastAsia="en-AU"/>
                          </w:rPr>
                        </w:pPr>
                        <w:r w:rsidRPr="00592E0A">
                          <w:rPr>
                            <w:b/>
                            <w:sz w:val="18"/>
                            <w:szCs w:val="18"/>
                            <w:lang w:eastAsia="en-AU"/>
                          </w:rPr>
                          <w:t>Fee Ref.*</w:t>
                        </w:r>
                      </w:p>
                    </w:tc>
                    <w:tc>
                      <w:tcPr>
                        <w:tcW w:w="3969"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592E0A" w:rsidRDefault="000D637E">
                        <w:pPr>
                          <w:jc w:val="center"/>
                          <w:rPr>
                            <w:b/>
                            <w:sz w:val="18"/>
                            <w:szCs w:val="18"/>
                            <w:lang w:eastAsia="en-AU"/>
                          </w:rPr>
                        </w:pPr>
                        <w:r w:rsidRPr="00592E0A">
                          <w:rPr>
                            <w:b/>
                            <w:sz w:val="18"/>
                            <w:szCs w:val="18"/>
                            <w:lang w:eastAsia="en-AU"/>
                          </w:rPr>
                          <w:t>Project characteristics</w:t>
                        </w:r>
                      </w:p>
                    </w:tc>
                    <w:tc>
                      <w:tcPr>
                        <w:tcW w:w="3827"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592E0A" w:rsidRDefault="000D637E">
                        <w:pPr>
                          <w:jc w:val="center"/>
                          <w:rPr>
                            <w:b/>
                            <w:sz w:val="18"/>
                            <w:szCs w:val="18"/>
                            <w:lang w:eastAsia="en-AU"/>
                          </w:rPr>
                        </w:pPr>
                        <w:r w:rsidRPr="00592E0A">
                          <w:rPr>
                            <w:b/>
                            <w:sz w:val="18"/>
                            <w:szCs w:val="18"/>
                            <w:lang w:eastAsia="en-AU"/>
                          </w:rPr>
                          <w:t>Additional resources required during the assessment process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592E0A" w:rsidRDefault="000D637E">
                        <w:pPr>
                          <w:jc w:val="center"/>
                          <w:rPr>
                            <w:rFonts w:cs="Calibri"/>
                            <w:b/>
                            <w:bCs/>
                            <w:color w:val="000000"/>
                            <w:sz w:val="18"/>
                            <w:szCs w:val="18"/>
                            <w:lang w:eastAsia="en-AU"/>
                          </w:rPr>
                        </w:pPr>
                        <w:r w:rsidRPr="00592E0A">
                          <w:rPr>
                            <w:b/>
                            <w:sz w:val="18"/>
                            <w:szCs w:val="18"/>
                          </w:rPr>
                          <w:t>Complexity costs</w:t>
                        </w:r>
                      </w:p>
                    </w:tc>
                  </w:tr>
                  <w:tr w:rsidR="000D637E" w:rsidRPr="00592E0A" w:rsidTr="00E237DB">
                    <w:trPr>
                      <w:cnfStyle w:val="000000100000"/>
                      <w:trHeight w:val="101"/>
                    </w:trPr>
                    <w:tc>
                      <w:tcPr>
                        <w:tcW w:w="8647" w:type="dxa"/>
                        <w:gridSpan w:val="5"/>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0D637E" w:rsidRPr="00592E0A" w:rsidRDefault="000D637E" w:rsidP="003A1E94">
                        <w:pPr>
                          <w:rPr>
                            <w:sz w:val="18"/>
                            <w:szCs w:val="18"/>
                          </w:rPr>
                        </w:pPr>
                        <w:r w:rsidRPr="00592E0A">
                          <w:rPr>
                            <w:sz w:val="18"/>
                            <w:szCs w:val="18"/>
                          </w:rPr>
                          <w:t>Adequacy of information and clarity of project scope (continued)</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637E" w:rsidRPr="00592E0A" w:rsidRDefault="000D637E" w:rsidP="003A1E94">
                        <w:pPr>
                          <w:jc w:val="center"/>
                          <w:rPr>
                            <w:sz w:val="18"/>
                            <w:szCs w:val="18"/>
                          </w:rPr>
                        </w:pPr>
                      </w:p>
                    </w:tc>
                  </w:tr>
                  <w:tr w:rsidR="000D637E" w:rsidRPr="00592E0A" w:rsidTr="00E237DB">
                    <w:trPr>
                      <w:cnfStyle w:val="000000010000"/>
                      <w:trHeight w:val="1252"/>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592E0A" w:rsidRDefault="000D637E" w:rsidP="003A1E94">
                        <w:pPr>
                          <w:jc w:val="center"/>
                          <w:rPr>
                            <w:sz w:val="18"/>
                            <w:szCs w:val="18"/>
                          </w:rPr>
                        </w:pPr>
                        <w:r>
                          <w:rPr>
                            <w:sz w:val="18"/>
                            <w:szCs w:val="18"/>
                          </w:rPr>
                          <w:t>N</w:t>
                        </w:r>
                      </w:p>
                    </w:tc>
                    <w:tc>
                      <w:tcPr>
                        <w:tcW w:w="3969" w:type="dxa"/>
                        <w:gridSpan w:val="2"/>
                        <w:tcBorders>
                          <w:top w:val="single" w:sz="4" w:space="0" w:color="548DD4" w:themeColor="text2" w:themeTint="99"/>
                          <w:left w:val="nil"/>
                          <w:bottom w:val="single" w:sz="4" w:space="0" w:color="548DD4" w:themeColor="text2" w:themeTint="99"/>
                          <w:right w:val="nil"/>
                        </w:tcBorders>
                      </w:tcPr>
                      <w:p w:rsidR="000D637E" w:rsidRPr="00592E0A" w:rsidRDefault="000D637E" w:rsidP="00CF1947">
                        <w:pPr>
                          <w:pStyle w:val="ListParagraph"/>
                          <w:ind w:left="0"/>
                          <w:rPr>
                            <w:sz w:val="18"/>
                            <w:szCs w:val="18"/>
                          </w:rPr>
                        </w:pPr>
                        <w:r w:rsidRPr="00592E0A">
                          <w:rPr>
                            <w:sz w:val="18"/>
                            <w:szCs w:val="18"/>
                          </w:rPr>
                          <w:t xml:space="preserve">The proponent has proposed broad management measures, but without necessary detail. </w:t>
                        </w:r>
                        <w:r>
                          <w:rPr>
                            <w:sz w:val="18"/>
                            <w:szCs w:val="18"/>
                          </w:rPr>
                          <w:t xml:space="preserve">This causes difficulty to assess the adequacy of the </w:t>
                        </w:r>
                        <w:r w:rsidRPr="00592E0A">
                          <w:rPr>
                            <w:sz w:val="18"/>
                            <w:szCs w:val="18"/>
                          </w:rPr>
                          <w:t>avoidance and mitigation measures</w:t>
                        </w:r>
                        <w:r>
                          <w:rPr>
                            <w:sz w:val="18"/>
                            <w:szCs w:val="18"/>
                          </w:rPr>
                          <w:t xml:space="preserve"> for important habitat</w:t>
                        </w:r>
                        <w:r w:rsidRPr="00592E0A">
                          <w:rPr>
                            <w:sz w:val="18"/>
                            <w:szCs w:val="18"/>
                          </w:rPr>
                          <w:t xml:space="preserve">. </w:t>
                        </w:r>
                      </w:p>
                    </w:tc>
                    <w:tc>
                      <w:tcPr>
                        <w:tcW w:w="3827" w:type="dxa"/>
                        <w:gridSpan w:val="2"/>
                        <w:tcBorders>
                          <w:top w:val="single" w:sz="4" w:space="0" w:color="548DD4" w:themeColor="text2" w:themeTint="99"/>
                          <w:left w:val="nil"/>
                          <w:bottom w:val="single" w:sz="4" w:space="0" w:color="548DD4" w:themeColor="text2" w:themeTint="99"/>
                          <w:right w:val="nil"/>
                        </w:tcBorders>
                      </w:tcPr>
                      <w:p w:rsidR="000D637E" w:rsidRPr="00C17480" w:rsidRDefault="000D637E" w:rsidP="003A1E94">
                        <w:pPr>
                          <w:rPr>
                            <w:sz w:val="18"/>
                            <w:szCs w:val="18"/>
                          </w:rPr>
                        </w:pPr>
                        <w:r w:rsidRPr="00C17480">
                          <w:rPr>
                            <w:sz w:val="18"/>
                            <w:szCs w:val="18"/>
                          </w:rPr>
                          <w:t>Management strategies (high complexity):</w:t>
                        </w:r>
                      </w:p>
                      <w:p w:rsidR="000D637E" w:rsidRPr="00C17480" w:rsidRDefault="000D637E" w:rsidP="008A56A0">
                        <w:pPr>
                          <w:pStyle w:val="ListParagraph"/>
                          <w:numPr>
                            <w:ilvl w:val="0"/>
                            <w:numId w:val="7"/>
                          </w:numPr>
                          <w:spacing w:after="0" w:line="240" w:lineRule="auto"/>
                          <w:ind w:left="318" w:hanging="284"/>
                          <w:contextualSpacing/>
                          <w:rPr>
                            <w:sz w:val="18"/>
                            <w:szCs w:val="18"/>
                          </w:rPr>
                        </w:pPr>
                        <w:r w:rsidRPr="00C17480">
                          <w:rPr>
                            <w:sz w:val="18"/>
                            <w:szCs w:val="18"/>
                          </w:rPr>
                          <w:t>Assessment Officer—70 days</w:t>
                        </w:r>
                      </w:p>
                      <w:p w:rsidR="000D637E" w:rsidRPr="00C17480" w:rsidRDefault="000D637E" w:rsidP="008A56A0">
                        <w:pPr>
                          <w:pStyle w:val="ListParagraph"/>
                          <w:numPr>
                            <w:ilvl w:val="0"/>
                            <w:numId w:val="7"/>
                          </w:numPr>
                          <w:spacing w:after="0" w:line="240" w:lineRule="auto"/>
                          <w:ind w:left="318" w:hanging="284"/>
                          <w:contextualSpacing/>
                          <w:rPr>
                            <w:sz w:val="18"/>
                            <w:szCs w:val="18"/>
                          </w:rPr>
                        </w:pPr>
                        <w:r w:rsidRPr="00C17480">
                          <w:rPr>
                            <w:sz w:val="18"/>
                            <w:szCs w:val="18"/>
                          </w:rPr>
                          <w:t>Assistant Director—26 days</w:t>
                        </w:r>
                      </w:p>
                      <w:p w:rsidR="000D637E" w:rsidRPr="00C17480" w:rsidRDefault="000D637E" w:rsidP="008A56A0">
                        <w:pPr>
                          <w:pStyle w:val="ListParagraph"/>
                          <w:numPr>
                            <w:ilvl w:val="0"/>
                            <w:numId w:val="7"/>
                          </w:numPr>
                          <w:spacing w:after="0" w:line="240" w:lineRule="auto"/>
                          <w:ind w:left="318" w:hanging="284"/>
                          <w:contextualSpacing/>
                          <w:rPr>
                            <w:sz w:val="18"/>
                            <w:szCs w:val="18"/>
                          </w:rPr>
                        </w:pPr>
                        <w:r w:rsidRPr="00C17480">
                          <w:rPr>
                            <w:sz w:val="18"/>
                            <w:szCs w:val="18"/>
                          </w:rPr>
                          <w:t>Director—10 days</w:t>
                        </w:r>
                      </w:p>
                      <w:p w:rsidR="000D637E" w:rsidRPr="00C17480" w:rsidRDefault="000D637E" w:rsidP="008A56A0">
                        <w:pPr>
                          <w:pStyle w:val="ListParagraph"/>
                          <w:numPr>
                            <w:ilvl w:val="0"/>
                            <w:numId w:val="7"/>
                          </w:numPr>
                          <w:spacing w:after="0" w:line="240" w:lineRule="auto"/>
                          <w:ind w:left="318" w:hanging="284"/>
                          <w:contextualSpacing/>
                          <w:rPr>
                            <w:sz w:val="18"/>
                            <w:szCs w:val="18"/>
                          </w:rPr>
                        </w:pPr>
                        <w:r w:rsidRPr="00C17480">
                          <w:rPr>
                            <w:sz w:val="18"/>
                            <w:szCs w:val="18"/>
                          </w:rPr>
                          <w:t>Delegate of the Minister—3.4 days</w:t>
                        </w:r>
                      </w:p>
                      <w:p w:rsidR="000D637E" w:rsidRPr="00C17480" w:rsidRDefault="000D637E" w:rsidP="008A56A0">
                        <w:pPr>
                          <w:pStyle w:val="ListParagraph"/>
                          <w:numPr>
                            <w:ilvl w:val="0"/>
                            <w:numId w:val="7"/>
                          </w:numPr>
                          <w:spacing w:after="0" w:line="240" w:lineRule="auto"/>
                          <w:ind w:left="318" w:hanging="284"/>
                          <w:contextualSpacing/>
                          <w:rPr>
                            <w:sz w:val="18"/>
                            <w:szCs w:val="18"/>
                          </w:rPr>
                        </w:pPr>
                        <w:r w:rsidRPr="00C17480">
                          <w:rPr>
                            <w:sz w:val="18"/>
                            <w:szCs w:val="18"/>
                          </w:rPr>
                          <w:t>External expert—$32,912</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C17480" w:rsidRDefault="000D637E" w:rsidP="00C17480">
                        <w:pPr>
                          <w:jc w:val="center"/>
                          <w:rPr>
                            <w:sz w:val="18"/>
                            <w:szCs w:val="18"/>
                          </w:rPr>
                        </w:pPr>
                        <w:r w:rsidRPr="00C17480">
                          <w:rPr>
                            <w:sz w:val="18"/>
                            <w:szCs w:val="18"/>
                          </w:rPr>
                          <w:t>$93,316</w:t>
                        </w:r>
                      </w:p>
                    </w:tc>
                  </w:tr>
                  <w:tr w:rsidR="000D637E"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592E0A" w:rsidRDefault="000D637E" w:rsidP="003A1E94">
                        <w:pPr>
                          <w:jc w:val="center"/>
                          <w:rPr>
                            <w:sz w:val="18"/>
                            <w:szCs w:val="18"/>
                          </w:rPr>
                        </w:pPr>
                        <w:r>
                          <w:rPr>
                            <w:sz w:val="18"/>
                            <w:szCs w:val="18"/>
                          </w:rPr>
                          <w:t>O</w:t>
                        </w:r>
                      </w:p>
                    </w:tc>
                    <w:tc>
                      <w:tcPr>
                        <w:tcW w:w="3969" w:type="dxa"/>
                        <w:gridSpan w:val="2"/>
                        <w:tcBorders>
                          <w:top w:val="single" w:sz="4" w:space="0" w:color="548DD4" w:themeColor="text2" w:themeTint="99"/>
                          <w:left w:val="nil"/>
                          <w:bottom w:val="single" w:sz="4" w:space="0" w:color="548DD4" w:themeColor="text2" w:themeTint="99"/>
                          <w:right w:val="nil"/>
                        </w:tcBorders>
                      </w:tcPr>
                      <w:p w:rsidR="000D637E" w:rsidRPr="00592E0A" w:rsidRDefault="000D637E" w:rsidP="003A1E94">
                        <w:pPr>
                          <w:rPr>
                            <w:sz w:val="18"/>
                            <w:szCs w:val="18"/>
                          </w:rPr>
                        </w:pPr>
                        <w:r w:rsidRPr="00592E0A">
                          <w:rPr>
                            <w:sz w:val="18"/>
                            <w:szCs w:val="18"/>
                          </w:rPr>
                          <w:t>The project scope includes alternative dredging footprints, but these alternatives are clearly defined.</w:t>
                        </w:r>
                      </w:p>
                    </w:tc>
                    <w:tc>
                      <w:tcPr>
                        <w:tcW w:w="3827" w:type="dxa"/>
                        <w:gridSpan w:val="2"/>
                        <w:tcBorders>
                          <w:top w:val="single" w:sz="4" w:space="0" w:color="548DD4" w:themeColor="text2" w:themeTint="99"/>
                          <w:left w:val="nil"/>
                          <w:bottom w:val="single" w:sz="4" w:space="0" w:color="548DD4" w:themeColor="text2" w:themeTint="99"/>
                          <w:right w:val="nil"/>
                        </w:tcBorders>
                      </w:tcPr>
                      <w:p w:rsidR="000D637E" w:rsidRPr="005777C8" w:rsidRDefault="000D637E" w:rsidP="003A1E94">
                        <w:pPr>
                          <w:rPr>
                            <w:sz w:val="18"/>
                            <w:szCs w:val="18"/>
                          </w:rPr>
                        </w:pPr>
                        <w:r w:rsidRPr="005777C8">
                          <w:rPr>
                            <w:sz w:val="18"/>
                            <w:szCs w:val="18"/>
                          </w:rPr>
                          <w:t>Project scope (moderate complexity):</w:t>
                        </w:r>
                      </w:p>
                      <w:p w:rsidR="000D637E" w:rsidRPr="005777C8" w:rsidRDefault="000D637E" w:rsidP="008A56A0">
                        <w:pPr>
                          <w:numPr>
                            <w:ilvl w:val="0"/>
                            <w:numId w:val="7"/>
                          </w:numPr>
                          <w:spacing w:after="0" w:line="240" w:lineRule="auto"/>
                          <w:rPr>
                            <w:sz w:val="18"/>
                            <w:szCs w:val="18"/>
                          </w:rPr>
                        </w:pPr>
                        <w:r w:rsidRPr="005777C8">
                          <w:rPr>
                            <w:sz w:val="18"/>
                            <w:szCs w:val="18"/>
                          </w:rPr>
                          <w:t>Assessment officer—18 days</w:t>
                        </w:r>
                      </w:p>
                      <w:p w:rsidR="000D637E" w:rsidRPr="005777C8" w:rsidRDefault="000D637E" w:rsidP="008A56A0">
                        <w:pPr>
                          <w:numPr>
                            <w:ilvl w:val="0"/>
                            <w:numId w:val="7"/>
                          </w:numPr>
                          <w:spacing w:after="0" w:line="240" w:lineRule="auto"/>
                          <w:rPr>
                            <w:sz w:val="18"/>
                            <w:szCs w:val="18"/>
                          </w:rPr>
                        </w:pPr>
                        <w:r w:rsidRPr="005777C8">
                          <w:rPr>
                            <w:sz w:val="18"/>
                            <w:szCs w:val="18"/>
                          </w:rPr>
                          <w:t>Assistant Director—6.5 days</w:t>
                        </w:r>
                      </w:p>
                      <w:p w:rsidR="000D637E" w:rsidRPr="005777C8" w:rsidRDefault="000D637E" w:rsidP="008A56A0">
                        <w:pPr>
                          <w:numPr>
                            <w:ilvl w:val="0"/>
                            <w:numId w:val="7"/>
                          </w:numPr>
                          <w:spacing w:after="0" w:line="240" w:lineRule="auto"/>
                          <w:rPr>
                            <w:sz w:val="18"/>
                            <w:szCs w:val="18"/>
                          </w:rPr>
                        </w:pPr>
                        <w:r w:rsidRPr="005777C8">
                          <w:rPr>
                            <w:sz w:val="18"/>
                            <w:szCs w:val="18"/>
                          </w:rPr>
                          <w:t>Director—2.5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5777C8" w:rsidRDefault="000D637E" w:rsidP="005777C8">
                        <w:pPr>
                          <w:jc w:val="center"/>
                          <w:rPr>
                            <w:sz w:val="18"/>
                            <w:szCs w:val="18"/>
                          </w:rPr>
                        </w:pPr>
                        <w:r w:rsidRPr="005777C8">
                          <w:rPr>
                            <w:sz w:val="18"/>
                            <w:szCs w:val="18"/>
                          </w:rPr>
                          <w:t>$14,248</w:t>
                        </w:r>
                      </w:p>
                    </w:tc>
                  </w:tr>
                  <w:tr w:rsidR="000D637E" w:rsidRPr="00592E0A" w:rsidTr="00E237DB">
                    <w:trPr>
                      <w:cnfStyle w:val="000000010000"/>
                    </w:trPr>
                    <w:tc>
                      <w:tcPr>
                        <w:tcW w:w="3307"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0D637E" w:rsidRPr="00592E0A" w:rsidRDefault="000D637E" w:rsidP="003A1E94">
                        <w:pPr>
                          <w:rPr>
                            <w:sz w:val="18"/>
                            <w:szCs w:val="18"/>
                          </w:rPr>
                        </w:pPr>
                        <w:r w:rsidRPr="00592E0A">
                          <w:rPr>
                            <w:sz w:val="18"/>
                            <w:szCs w:val="18"/>
                          </w:rPr>
                          <w:t>Other legislation</w:t>
                        </w:r>
                      </w:p>
                    </w:tc>
                    <w:tc>
                      <w:tcPr>
                        <w:tcW w:w="3308" w:type="dxa"/>
                        <w:gridSpan w:val="2"/>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0D637E" w:rsidRPr="00592E0A" w:rsidRDefault="000D637E" w:rsidP="003A1E94">
                        <w:pPr>
                          <w:rPr>
                            <w:sz w:val="18"/>
                            <w:szCs w:val="18"/>
                          </w:rPr>
                        </w:pPr>
                      </w:p>
                    </w:tc>
                    <w:tc>
                      <w:tcPr>
                        <w:tcW w:w="330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637E" w:rsidRPr="00592E0A" w:rsidRDefault="000D637E" w:rsidP="003A1E94">
                        <w:pPr>
                          <w:jc w:val="center"/>
                          <w:rPr>
                            <w:sz w:val="18"/>
                            <w:szCs w:val="18"/>
                          </w:rPr>
                        </w:pPr>
                      </w:p>
                    </w:tc>
                  </w:tr>
                  <w:tr w:rsidR="000D637E"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592E0A" w:rsidRDefault="000D637E" w:rsidP="003A1E94">
                        <w:pPr>
                          <w:jc w:val="center"/>
                          <w:rPr>
                            <w:sz w:val="18"/>
                            <w:szCs w:val="18"/>
                          </w:rPr>
                        </w:pPr>
                        <w:r>
                          <w:rPr>
                            <w:sz w:val="18"/>
                            <w:szCs w:val="18"/>
                          </w:rPr>
                          <w:t>L</w:t>
                        </w:r>
                      </w:p>
                    </w:tc>
                    <w:tc>
                      <w:tcPr>
                        <w:tcW w:w="3969" w:type="dxa"/>
                        <w:gridSpan w:val="2"/>
                        <w:tcBorders>
                          <w:top w:val="single" w:sz="4" w:space="0" w:color="548DD4" w:themeColor="text2" w:themeTint="99"/>
                          <w:left w:val="nil"/>
                          <w:bottom w:val="single" w:sz="4" w:space="0" w:color="548DD4" w:themeColor="text2" w:themeTint="99"/>
                          <w:right w:val="nil"/>
                        </w:tcBorders>
                      </w:tcPr>
                      <w:p w:rsidR="000D637E" w:rsidRPr="00592E0A" w:rsidRDefault="000D637E" w:rsidP="003A1E94">
                        <w:pPr>
                          <w:pStyle w:val="ListParagraph"/>
                          <w:ind w:left="0"/>
                          <w:rPr>
                            <w:sz w:val="18"/>
                            <w:szCs w:val="18"/>
                          </w:rPr>
                        </w:pPr>
                        <w:r w:rsidRPr="00592E0A">
                          <w:rPr>
                            <w:sz w:val="18"/>
                            <w:szCs w:val="18"/>
                          </w:rPr>
                          <w:t>A</w:t>
                        </w:r>
                        <w:r>
                          <w:rPr>
                            <w:sz w:val="18"/>
                            <w:szCs w:val="18"/>
                          </w:rPr>
                          <w:t xml:space="preserve"> very</w:t>
                        </w:r>
                        <w:r w:rsidRPr="00592E0A">
                          <w:rPr>
                            <w:sz w:val="18"/>
                            <w:szCs w:val="18"/>
                          </w:rPr>
                          <w:t xml:space="preserve"> high level of complexity under state legislation. Liaison with the state will be required to align assessment documentation with both state and EPBC Act requirements.</w:t>
                        </w:r>
                      </w:p>
                    </w:tc>
                    <w:tc>
                      <w:tcPr>
                        <w:tcW w:w="3827" w:type="dxa"/>
                        <w:gridSpan w:val="2"/>
                        <w:tcBorders>
                          <w:top w:val="single" w:sz="4" w:space="0" w:color="548DD4" w:themeColor="text2" w:themeTint="99"/>
                          <w:left w:val="nil"/>
                          <w:bottom w:val="single" w:sz="4" w:space="0" w:color="548DD4" w:themeColor="text2" w:themeTint="99"/>
                          <w:right w:val="nil"/>
                        </w:tcBorders>
                      </w:tcPr>
                      <w:p w:rsidR="000D637E" w:rsidRPr="00400847" w:rsidRDefault="000D637E" w:rsidP="003A1E94">
                        <w:pPr>
                          <w:rPr>
                            <w:sz w:val="18"/>
                            <w:szCs w:val="18"/>
                          </w:rPr>
                        </w:pPr>
                        <w:r w:rsidRPr="00400847">
                          <w:rPr>
                            <w:sz w:val="18"/>
                            <w:szCs w:val="18"/>
                          </w:rPr>
                          <w:t>Coordination with state legislation (</w:t>
                        </w:r>
                        <w:r>
                          <w:rPr>
                            <w:sz w:val="18"/>
                            <w:szCs w:val="18"/>
                          </w:rPr>
                          <w:t xml:space="preserve">very </w:t>
                        </w:r>
                        <w:r w:rsidRPr="00400847">
                          <w:rPr>
                            <w:sz w:val="18"/>
                            <w:szCs w:val="18"/>
                          </w:rPr>
                          <w:t>high complexity):</w:t>
                        </w:r>
                      </w:p>
                      <w:p w:rsidR="000D637E" w:rsidRPr="00400847" w:rsidRDefault="000D637E" w:rsidP="008A56A0">
                        <w:pPr>
                          <w:pStyle w:val="ListParagraph"/>
                          <w:numPr>
                            <w:ilvl w:val="0"/>
                            <w:numId w:val="7"/>
                          </w:numPr>
                          <w:spacing w:after="0" w:line="240" w:lineRule="auto"/>
                          <w:ind w:left="318" w:hanging="284"/>
                          <w:contextualSpacing/>
                          <w:rPr>
                            <w:sz w:val="18"/>
                            <w:szCs w:val="18"/>
                          </w:rPr>
                        </w:pPr>
                        <w:r w:rsidRPr="00400847">
                          <w:rPr>
                            <w:sz w:val="18"/>
                            <w:szCs w:val="18"/>
                          </w:rPr>
                          <w:t>Assessment Officer—</w:t>
                        </w:r>
                        <w:r>
                          <w:rPr>
                            <w:sz w:val="18"/>
                            <w:szCs w:val="18"/>
                          </w:rPr>
                          <w:t>32</w:t>
                        </w:r>
                        <w:r w:rsidRPr="00400847">
                          <w:rPr>
                            <w:sz w:val="18"/>
                            <w:szCs w:val="18"/>
                          </w:rPr>
                          <w:t xml:space="preserve"> days</w:t>
                        </w:r>
                      </w:p>
                      <w:p w:rsidR="000D637E" w:rsidRPr="00400847" w:rsidRDefault="000D637E" w:rsidP="008A56A0">
                        <w:pPr>
                          <w:pStyle w:val="ListParagraph"/>
                          <w:numPr>
                            <w:ilvl w:val="0"/>
                            <w:numId w:val="7"/>
                          </w:numPr>
                          <w:spacing w:after="0" w:line="240" w:lineRule="auto"/>
                          <w:ind w:left="318" w:hanging="284"/>
                          <w:contextualSpacing/>
                          <w:rPr>
                            <w:sz w:val="18"/>
                            <w:szCs w:val="18"/>
                          </w:rPr>
                        </w:pPr>
                        <w:r w:rsidRPr="00400847">
                          <w:rPr>
                            <w:sz w:val="18"/>
                            <w:szCs w:val="18"/>
                          </w:rPr>
                          <w:t>Assistant Director—</w:t>
                        </w:r>
                        <w:r>
                          <w:rPr>
                            <w:sz w:val="18"/>
                            <w:szCs w:val="18"/>
                          </w:rPr>
                          <w:t>16</w:t>
                        </w:r>
                        <w:r w:rsidRPr="00400847">
                          <w:rPr>
                            <w:sz w:val="18"/>
                            <w:szCs w:val="18"/>
                          </w:rPr>
                          <w:t xml:space="preserve"> days</w:t>
                        </w:r>
                      </w:p>
                      <w:p w:rsidR="000D637E" w:rsidRDefault="000D637E" w:rsidP="008A56A0">
                        <w:pPr>
                          <w:pStyle w:val="ListParagraph"/>
                          <w:numPr>
                            <w:ilvl w:val="0"/>
                            <w:numId w:val="7"/>
                          </w:numPr>
                          <w:spacing w:after="0" w:line="240" w:lineRule="auto"/>
                          <w:ind w:left="318" w:hanging="284"/>
                          <w:contextualSpacing/>
                          <w:rPr>
                            <w:sz w:val="18"/>
                            <w:szCs w:val="18"/>
                          </w:rPr>
                        </w:pPr>
                        <w:r w:rsidRPr="00400847">
                          <w:rPr>
                            <w:sz w:val="18"/>
                            <w:szCs w:val="18"/>
                          </w:rPr>
                          <w:t>Director—</w:t>
                        </w:r>
                        <w:r>
                          <w:rPr>
                            <w:sz w:val="18"/>
                            <w:szCs w:val="18"/>
                          </w:rPr>
                          <w:t>8</w:t>
                        </w:r>
                        <w:r w:rsidRPr="00400847">
                          <w:rPr>
                            <w:sz w:val="18"/>
                            <w:szCs w:val="18"/>
                          </w:rPr>
                          <w:t xml:space="preserve"> days</w:t>
                        </w:r>
                      </w:p>
                      <w:p w:rsidR="000D637E" w:rsidRPr="00400847" w:rsidRDefault="000D637E" w:rsidP="008A56A0">
                        <w:pPr>
                          <w:pStyle w:val="ListParagraph"/>
                          <w:numPr>
                            <w:ilvl w:val="0"/>
                            <w:numId w:val="7"/>
                          </w:numPr>
                          <w:spacing w:after="0" w:line="240" w:lineRule="auto"/>
                          <w:ind w:left="318" w:hanging="284"/>
                          <w:contextualSpacing/>
                          <w:rPr>
                            <w:sz w:val="18"/>
                            <w:szCs w:val="18"/>
                          </w:rPr>
                        </w:pPr>
                        <w:r>
                          <w:rPr>
                            <w:sz w:val="18"/>
                            <w:szCs w:val="18"/>
                          </w:rPr>
                          <w:t>Delegate of the Minister – 1 day</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400847" w:rsidRDefault="000D637E" w:rsidP="00460586">
                        <w:pPr>
                          <w:jc w:val="center"/>
                          <w:rPr>
                            <w:sz w:val="18"/>
                            <w:szCs w:val="18"/>
                          </w:rPr>
                        </w:pPr>
                        <w:r w:rsidRPr="00400847">
                          <w:rPr>
                            <w:sz w:val="18"/>
                            <w:szCs w:val="18"/>
                          </w:rPr>
                          <w:t>$</w:t>
                        </w:r>
                        <w:r>
                          <w:rPr>
                            <w:sz w:val="18"/>
                            <w:szCs w:val="18"/>
                          </w:rPr>
                          <w:t>32,138</w:t>
                        </w:r>
                      </w:p>
                    </w:tc>
                  </w:tr>
                  <w:tr w:rsidR="000D637E" w:rsidRPr="00FB7D4C" w:rsidTr="00E237DB">
                    <w:trPr>
                      <w:cnfStyle w:val="000000010000"/>
                      <w:trHeight w:val="501"/>
                    </w:trPr>
                    <w:tc>
                      <w:tcPr>
                        <w:tcW w:w="8647" w:type="dxa"/>
                        <w:gridSpan w:val="5"/>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0D637E" w:rsidRPr="00F730E3" w:rsidRDefault="000D637E" w:rsidP="003A1E94">
                        <w:pPr>
                          <w:jc w:val="right"/>
                          <w:rPr>
                            <w:caps/>
                            <w:sz w:val="20"/>
                            <w:szCs w:val="20"/>
                          </w:rPr>
                        </w:pPr>
                        <w:r w:rsidRPr="00F730E3">
                          <w:rPr>
                            <w:caps/>
                            <w:sz w:val="20"/>
                            <w:szCs w:val="20"/>
                          </w:rPr>
                          <w:t>Estimated complexity costs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0D637E" w:rsidRPr="00FB7D4C" w:rsidRDefault="000D637E" w:rsidP="00460586">
                        <w:pPr>
                          <w:jc w:val="center"/>
                          <w:rPr>
                            <w:sz w:val="20"/>
                            <w:szCs w:val="20"/>
                          </w:rPr>
                        </w:pPr>
                        <w:r w:rsidRPr="00C81CA8">
                          <w:rPr>
                            <w:sz w:val="20"/>
                            <w:szCs w:val="20"/>
                          </w:rPr>
                          <w:t>$361,790</w:t>
                        </w:r>
                      </w:p>
                    </w:tc>
                  </w:tr>
                </w:tbl>
                <w:p w:rsidR="000D637E" w:rsidRPr="00414EA1" w:rsidRDefault="000D637E" w:rsidP="003A1E94">
                  <w:pPr>
                    <w:rPr>
                      <w:sz w:val="18"/>
                      <w:szCs w:val="18"/>
                    </w:rPr>
                  </w:pPr>
                  <w:r w:rsidRPr="00414EA1">
                    <w:rPr>
                      <w:sz w:val="18"/>
                      <w:szCs w:val="18"/>
                    </w:rPr>
                    <w:t>* Please refer to complexity matrix</w:t>
                  </w:r>
                </w:p>
              </w:txbxContent>
            </v:textbox>
            <w10:wrap type="none"/>
            <w10:anchorlock/>
          </v:shape>
        </w:pict>
      </w:r>
    </w:p>
    <w:p w:rsidR="003E2924" w:rsidRDefault="003E2924">
      <w:pPr>
        <w:spacing w:after="0" w:line="240" w:lineRule="auto"/>
        <w:rPr>
          <w:rFonts w:cs="Arial"/>
          <w:b/>
          <w:i/>
        </w:rPr>
      </w:pPr>
      <w:r>
        <w:br w:type="page"/>
      </w:r>
    </w:p>
    <w:p w:rsidR="003A1E94" w:rsidRPr="00E030D8" w:rsidRDefault="00E5637D" w:rsidP="003A1E94">
      <w:pPr>
        <w:pStyle w:val="Heading3"/>
      </w:pPr>
      <w:bookmarkStart w:id="400" w:name="_Ref388515888"/>
      <w:bookmarkStart w:id="401" w:name="_Toc391541588"/>
      <w:r>
        <w:lastRenderedPageBreak/>
        <w:t>Assessment b</w:t>
      </w:r>
      <w:r w:rsidR="003A1E94">
        <w:t>ilateral agreement/Accredited assessment</w:t>
      </w:r>
      <w:bookmarkEnd w:id="400"/>
      <w:bookmarkEnd w:id="401"/>
    </w:p>
    <w:p w:rsidR="00832901" w:rsidRPr="0022151B" w:rsidRDefault="00832901" w:rsidP="00832901">
      <w:pPr>
        <w:rPr>
          <w:lang w:val="en-US"/>
        </w:rPr>
      </w:pPr>
      <w:r w:rsidRPr="0022151B">
        <w:rPr>
          <w:lang w:val="en-US"/>
        </w:rPr>
        <w:t xml:space="preserve">The Australian Government is committed to establishing a </w:t>
      </w:r>
      <w:r w:rsidR="001736F2" w:rsidRPr="0022151B">
        <w:rPr>
          <w:lang w:val="en-US"/>
        </w:rPr>
        <w:t>‘</w:t>
      </w:r>
      <w:r w:rsidRPr="0022151B">
        <w:rPr>
          <w:lang w:val="en-US"/>
        </w:rPr>
        <w:t>one stop shop</w:t>
      </w:r>
      <w:r w:rsidR="001736F2" w:rsidRPr="0022151B">
        <w:rPr>
          <w:lang w:val="en-US"/>
        </w:rPr>
        <w:t>’</w:t>
      </w:r>
      <w:r w:rsidRPr="0022151B">
        <w:rPr>
          <w:lang w:val="en-US"/>
        </w:rPr>
        <w:t xml:space="preserve"> for environmental approvals, and is negotiating approvals bilateral agreements with all states and territories. Where state and territory processes are accredited by the Commonwealth under the </w:t>
      </w:r>
      <w:r w:rsidR="001736F2" w:rsidRPr="0022151B">
        <w:rPr>
          <w:lang w:val="en-US"/>
        </w:rPr>
        <w:t>‘</w:t>
      </w:r>
      <w:r w:rsidRPr="0022151B">
        <w:rPr>
          <w:lang w:val="en-US"/>
        </w:rPr>
        <w:t>one stop shop</w:t>
      </w:r>
      <w:r w:rsidR="001736F2" w:rsidRPr="0022151B">
        <w:rPr>
          <w:lang w:val="en-US"/>
        </w:rPr>
        <w:t>’</w:t>
      </w:r>
      <w:r w:rsidRPr="0022151B">
        <w:rPr>
          <w:lang w:val="en-US"/>
        </w:rPr>
        <w:t>, an applicant will not need to refer an action to the Commonwealth for assessment, and the Commonwealth will not be involved in the assessment and approval process. Therefore, Commonwealth cost recovery will not apply to assessments undertaken under an approvals bilateral agreement.</w:t>
      </w:r>
      <w:r w:rsidR="00F20B20">
        <w:rPr>
          <w:lang w:val="en-US"/>
        </w:rPr>
        <w:t xml:space="preserve"> </w:t>
      </w:r>
      <w:r w:rsidR="00F20B20">
        <w:rPr>
          <w:lang w:eastAsia="en-AU"/>
        </w:rPr>
        <w:t>A state or territory may undertake their own cost recovery arrangements for these environmental assessments.</w:t>
      </w:r>
    </w:p>
    <w:p w:rsidR="00832901" w:rsidRPr="0022151B" w:rsidRDefault="00832901" w:rsidP="00832901">
      <w:pPr>
        <w:rPr>
          <w:lang w:val="en-US"/>
        </w:rPr>
      </w:pPr>
      <w:r w:rsidRPr="0022151B">
        <w:rPr>
          <w:lang w:val="en-US"/>
        </w:rPr>
        <w:t xml:space="preserve">If an approval bilateral agreement does not apply to an action it is possible that a state or territory and the Commonwealth may undertake a combined assessment of the same project. This could </w:t>
      </w:r>
      <w:proofErr w:type="gramStart"/>
      <w:r w:rsidRPr="0022151B">
        <w:rPr>
          <w:lang w:val="en-US"/>
        </w:rPr>
        <w:t>occur</w:t>
      </w:r>
      <w:proofErr w:type="gramEnd"/>
      <w:r w:rsidRPr="0022151B">
        <w:rPr>
          <w:lang w:val="en-US"/>
        </w:rPr>
        <w:t xml:space="preserve"> under two scenarios: if there is an assessment bilateral agreement between the Commonwealth and a particular state or territory, or where the Minister accredits a state process for a particular proposed action. In both these cases, the applicant must refer the project under both the state legislation and the EPBC Act. </w:t>
      </w:r>
    </w:p>
    <w:p w:rsidR="00832901" w:rsidRPr="0022151B" w:rsidRDefault="00832901" w:rsidP="00832901">
      <w:pPr>
        <w:rPr>
          <w:lang w:val="en-US"/>
        </w:rPr>
      </w:pPr>
      <w:r w:rsidRPr="0022151B">
        <w:rPr>
          <w:lang w:val="en-US"/>
        </w:rPr>
        <w:t xml:space="preserve">Activities undertaken by the Commonwealth as part of a base bilateral assessment or accredited assessment process could include: </w:t>
      </w:r>
    </w:p>
    <w:p w:rsidR="00832901" w:rsidRPr="0022151B" w:rsidRDefault="00832901" w:rsidP="00832901">
      <w:pPr>
        <w:pStyle w:val="ListBullet"/>
        <w:rPr>
          <w:lang w:val="en-US"/>
        </w:rPr>
      </w:pPr>
      <w:r w:rsidRPr="0022151B">
        <w:rPr>
          <w:lang w:val="en-US"/>
        </w:rPr>
        <w:t xml:space="preserve">Regular liaison with the state or territory departments, </w:t>
      </w:r>
    </w:p>
    <w:p w:rsidR="00832901" w:rsidRPr="0022151B" w:rsidRDefault="00832901" w:rsidP="00832901">
      <w:pPr>
        <w:pStyle w:val="ListBullet"/>
        <w:rPr>
          <w:lang w:val="en-US"/>
        </w:rPr>
      </w:pPr>
      <w:r w:rsidRPr="0022151B">
        <w:rPr>
          <w:lang w:val="en-US"/>
        </w:rPr>
        <w:t xml:space="preserve">Comprehensive review of project scope, </w:t>
      </w:r>
    </w:p>
    <w:p w:rsidR="00832901" w:rsidRPr="0022151B" w:rsidRDefault="00832901" w:rsidP="00832901">
      <w:pPr>
        <w:pStyle w:val="ListBullet"/>
        <w:rPr>
          <w:lang w:val="en-US"/>
        </w:rPr>
      </w:pPr>
      <w:r w:rsidRPr="0022151B">
        <w:rPr>
          <w:lang w:val="en-US"/>
        </w:rPr>
        <w:t xml:space="preserve">Consultation with the state or territory departments and, the applicant, if required, </w:t>
      </w:r>
    </w:p>
    <w:p w:rsidR="00832901" w:rsidRPr="0022151B" w:rsidRDefault="00832901" w:rsidP="00832901">
      <w:pPr>
        <w:pStyle w:val="ListBullet"/>
        <w:rPr>
          <w:lang w:val="en-US"/>
        </w:rPr>
      </w:pPr>
      <w:r w:rsidRPr="0022151B">
        <w:rPr>
          <w:lang w:val="en-US"/>
        </w:rPr>
        <w:t xml:space="preserve">Input into state or territory project assessment guidelines, </w:t>
      </w:r>
    </w:p>
    <w:p w:rsidR="00832901" w:rsidRPr="0022151B" w:rsidRDefault="00832901" w:rsidP="00832901">
      <w:pPr>
        <w:pStyle w:val="ListBullet"/>
        <w:rPr>
          <w:lang w:val="en-US"/>
        </w:rPr>
      </w:pPr>
      <w:r w:rsidRPr="0022151B">
        <w:rPr>
          <w:lang w:val="en-US"/>
        </w:rPr>
        <w:t xml:space="preserve">Research and validation of assessment documentation, </w:t>
      </w:r>
    </w:p>
    <w:p w:rsidR="00832901" w:rsidRPr="0022151B" w:rsidRDefault="00832901" w:rsidP="00832901">
      <w:pPr>
        <w:pStyle w:val="ListBullet"/>
        <w:rPr>
          <w:lang w:val="en-US"/>
        </w:rPr>
      </w:pPr>
      <w:r w:rsidRPr="0022151B">
        <w:rPr>
          <w:lang w:val="en-US"/>
        </w:rPr>
        <w:t xml:space="preserve">Sourcing of advice from other departmental areas, </w:t>
      </w:r>
    </w:p>
    <w:p w:rsidR="00832901" w:rsidRPr="0022151B" w:rsidRDefault="00832901" w:rsidP="00832901">
      <w:pPr>
        <w:pStyle w:val="ListBullet"/>
        <w:rPr>
          <w:lang w:val="en-US"/>
        </w:rPr>
      </w:pPr>
      <w:r w:rsidRPr="0022151B">
        <w:rPr>
          <w:lang w:val="en-US"/>
        </w:rPr>
        <w:t xml:space="preserve">Preparation of advice to the Minister, </w:t>
      </w:r>
    </w:p>
    <w:p w:rsidR="00832901" w:rsidRPr="0022151B" w:rsidRDefault="00832901" w:rsidP="00832901">
      <w:pPr>
        <w:pStyle w:val="ListBullet"/>
        <w:rPr>
          <w:lang w:val="en-US"/>
        </w:rPr>
      </w:pPr>
      <w:r w:rsidRPr="0022151B">
        <w:rPr>
          <w:lang w:val="en-US"/>
        </w:rPr>
        <w:t xml:space="preserve">Consideration of advice, </w:t>
      </w:r>
    </w:p>
    <w:p w:rsidR="00832901" w:rsidRPr="0022151B" w:rsidRDefault="00832901" w:rsidP="00832901">
      <w:pPr>
        <w:pStyle w:val="ListBullet"/>
        <w:rPr>
          <w:lang w:val="en-US"/>
        </w:rPr>
      </w:pPr>
      <w:r w:rsidRPr="0022151B">
        <w:rPr>
          <w:lang w:val="en-US"/>
        </w:rPr>
        <w:t xml:space="preserve">Decision notification, and </w:t>
      </w:r>
    </w:p>
    <w:p w:rsidR="00832901" w:rsidRPr="0022151B" w:rsidRDefault="00832901" w:rsidP="00832901">
      <w:pPr>
        <w:pStyle w:val="ListBullet"/>
        <w:rPr>
          <w:lang w:val="en-US"/>
        </w:rPr>
      </w:pPr>
      <w:r w:rsidRPr="0022151B">
        <w:rPr>
          <w:lang w:val="en-US"/>
        </w:rPr>
        <w:t xml:space="preserve">Database input. </w:t>
      </w:r>
    </w:p>
    <w:p w:rsidR="00832901" w:rsidRPr="0022151B" w:rsidRDefault="00832901" w:rsidP="00832901">
      <w:pPr>
        <w:rPr>
          <w:lang w:val="en-US"/>
        </w:rPr>
      </w:pPr>
      <w:r w:rsidRPr="0022151B">
        <w:rPr>
          <w:lang w:val="en-US"/>
        </w:rPr>
        <w:t xml:space="preserve">The costs for a bilateral or accredited assessment </w:t>
      </w:r>
      <w:r w:rsidR="003A6FB3" w:rsidRPr="0022151B">
        <w:rPr>
          <w:lang w:val="en-US"/>
        </w:rPr>
        <w:t>are</w:t>
      </w:r>
      <w:r w:rsidRPr="0022151B">
        <w:rPr>
          <w:lang w:val="en-US"/>
        </w:rPr>
        <w:t xml:space="preserve"> lower than those under the environmental impact statement assessment as the Department does not prepare the recommendation report. There will be no cost recovery by the Australian Government for assessment work undertaken by the states and territories under an assessment bilateral agreement. </w:t>
      </w:r>
    </w:p>
    <w:p w:rsidR="00832901" w:rsidRPr="00C81B51" w:rsidRDefault="00832901" w:rsidP="00832901">
      <w:pPr>
        <w:rPr>
          <w:lang w:val="en-US"/>
        </w:rPr>
      </w:pPr>
      <w:r w:rsidRPr="0022151B">
        <w:rPr>
          <w:lang w:val="en-US"/>
        </w:rPr>
        <w:t xml:space="preserve">The base costs for an assessment under a bilateral agreement or accredited assessment will be reviewed following implementation in late 2014 of the ‘one stop shop’ reforms to streamline state and Commonwealth environmental assessment processes. This is expected to reduce the base costs for an assessment under a bilateral agreement or accredited assessment, as the ‘one stop shop’ reforms are anticipated to encourage efficiencies in Commonwealth assessment processes. For example, the Department is working to develop joint standard terms of reference and outcomes-focused model conditions with each state and territory. Once implemented these </w:t>
      </w:r>
      <w:r w:rsidRPr="0022151B">
        <w:rPr>
          <w:lang w:val="en-US"/>
        </w:rPr>
        <w:lastRenderedPageBreak/>
        <w:t>reduce the need for Commonwealth officers to provide advice on individual projects assessed under an assessment bilateral agreement.</w:t>
      </w:r>
      <w:r w:rsidRPr="00C81B51">
        <w:rPr>
          <w:lang w:val="en-US"/>
        </w:rPr>
        <w:t xml:space="preserve"> </w:t>
      </w:r>
    </w:p>
    <w:p w:rsidR="00832901" w:rsidRDefault="00832901" w:rsidP="00832901">
      <w:pPr>
        <w:spacing w:after="0"/>
      </w:pPr>
      <w:r w:rsidRPr="00C81B51">
        <w:rPr>
          <w:lang w:val="en-US"/>
        </w:rPr>
        <w:t>A summary of the bilateral agreement</w:t>
      </w:r>
      <w:r w:rsidR="00451CEF" w:rsidRPr="00C81B51">
        <w:rPr>
          <w:lang w:val="en-US"/>
        </w:rPr>
        <w:t xml:space="preserve"> </w:t>
      </w:r>
      <w:r w:rsidRPr="00C81B51">
        <w:rPr>
          <w:lang w:val="en-US"/>
        </w:rPr>
        <w:t>/</w:t>
      </w:r>
      <w:r w:rsidR="00451CEF" w:rsidRPr="00C81B51">
        <w:rPr>
          <w:lang w:val="en-US"/>
        </w:rPr>
        <w:t xml:space="preserve"> </w:t>
      </w:r>
      <w:r w:rsidRPr="00C81B51">
        <w:rPr>
          <w:lang w:val="en-US"/>
        </w:rPr>
        <w:t xml:space="preserve">accredited assessment costs is outlined in </w:t>
      </w:r>
      <w:fldSimple w:instr=" REF _Ref387933509 \h  \* MERGEFORMAT ">
        <w:r w:rsidR="001D521C" w:rsidRPr="001D521C">
          <w:rPr>
            <w:lang w:val="en-US"/>
          </w:rPr>
          <w:t>Table 10</w:t>
        </w:r>
      </w:fldSimple>
      <w:r w:rsidRPr="00C81B51">
        <w:rPr>
          <w:lang w:val="en-US"/>
        </w:rPr>
        <w:t xml:space="preserve">. Base costs for bilateral agreements/accredited assessments are outlined in </w:t>
      </w:r>
      <w:fldSimple w:instr=" REF _Ref387068276 \h  \* MERGEFORMAT ">
        <w:r w:rsidR="001D521C" w:rsidRPr="001D521C">
          <w:rPr>
            <w:lang w:val="en-US"/>
          </w:rPr>
          <w:t>Table 11</w:t>
        </w:r>
      </w:fldSimple>
      <w:r w:rsidRPr="00C81B51">
        <w:rPr>
          <w:lang w:val="en-US"/>
        </w:rPr>
        <w:t xml:space="preserve">. </w:t>
      </w:r>
    </w:p>
    <w:p w:rsidR="00832901" w:rsidRPr="00473D71" w:rsidRDefault="00832901" w:rsidP="00832901">
      <w:pPr>
        <w:spacing w:after="0" w:line="240" w:lineRule="auto"/>
      </w:pPr>
    </w:p>
    <w:p w:rsidR="00911486" w:rsidRDefault="00911486" w:rsidP="00911486">
      <w:pPr>
        <w:pStyle w:val="Caption"/>
        <w:rPr>
          <w:lang w:val="en-US"/>
        </w:rPr>
      </w:pPr>
      <w:bookmarkStart w:id="402" w:name="_Ref387068268"/>
      <w:bookmarkStart w:id="403" w:name="_Ref387933509"/>
      <w:bookmarkStart w:id="404" w:name="_Toc387069809"/>
      <w:bookmarkStart w:id="405" w:name="_Toc387073271"/>
      <w:bookmarkStart w:id="406" w:name="_Toc391541654"/>
      <w:proofErr w:type="gramStart"/>
      <w:r>
        <w:t xml:space="preserve">Table </w:t>
      </w:r>
      <w:r w:rsidR="00D30427">
        <w:fldChar w:fldCharType="begin"/>
      </w:r>
      <w:r w:rsidR="00B06D9E">
        <w:instrText xml:space="preserve"> SEQ Table \* ARABIC </w:instrText>
      </w:r>
      <w:r w:rsidR="00D30427">
        <w:fldChar w:fldCharType="separate"/>
      </w:r>
      <w:r w:rsidR="001D521C">
        <w:rPr>
          <w:noProof/>
        </w:rPr>
        <w:t>10</w:t>
      </w:r>
      <w:r w:rsidR="00D30427">
        <w:fldChar w:fldCharType="end"/>
      </w:r>
      <w:bookmarkEnd w:id="402"/>
      <w:bookmarkEnd w:id="403"/>
      <w:r>
        <w:t>.</w:t>
      </w:r>
      <w:proofErr w:type="gramEnd"/>
      <w:r>
        <w:t xml:space="preserve"> </w:t>
      </w:r>
      <w:r w:rsidRPr="00A13262">
        <w:t>Summary of bilateral agreement / accredited assessment costs.</w:t>
      </w:r>
      <w:bookmarkEnd w:id="404"/>
      <w:bookmarkEnd w:id="405"/>
      <w:bookmarkEnd w:id="406"/>
    </w:p>
    <w:tbl>
      <w:tblPr>
        <w:tblW w:w="8794" w:type="dxa"/>
        <w:tblInd w:w="10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tblPr>
      <w:tblGrid>
        <w:gridCol w:w="2620"/>
        <w:gridCol w:w="1921"/>
        <w:gridCol w:w="2268"/>
        <w:gridCol w:w="1985"/>
      </w:tblGrid>
      <w:tr w:rsidR="003A1E94" w:rsidRPr="00F64587" w:rsidTr="00E237DB">
        <w:trPr>
          <w:trHeight w:val="945"/>
        </w:trPr>
        <w:tc>
          <w:tcPr>
            <w:tcW w:w="26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F64587" w:rsidRDefault="003A1E94" w:rsidP="003A1E94">
            <w:pPr>
              <w:jc w:val="center"/>
              <w:rPr>
                <w:b/>
                <w:sz w:val="20"/>
                <w:szCs w:val="20"/>
                <w:lang w:eastAsia="en-AU"/>
              </w:rPr>
            </w:pPr>
            <w:r w:rsidRPr="00F64587">
              <w:rPr>
                <w:b/>
                <w:sz w:val="20"/>
                <w:szCs w:val="20"/>
                <w:lang w:eastAsia="en-AU"/>
              </w:rPr>
              <w:t>Activity</w:t>
            </w:r>
          </w:p>
        </w:tc>
        <w:tc>
          <w:tcPr>
            <w:tcW w:w="192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F64587" w:rsidRDefault="003A1E94" w:rsidP="003A1E94">
            <w:pPr>
              <w:jc w:val="center"/>
              <w:rPr>
                <w:b/>
                <w:sz w:val="20"/>
                <w:szCs w:val="20"/>
                <w:lang w:eastAsia="en-AU"/>
              </w:rPr>
            </w:pPr>
            <w:r w:rsidRPr="00F64587">
              <w:rPr>
                <w:b/>
                <w:sz w:val="20"/>
                <w:szCs w:val="20"/>
                <w:lang w:eastAsia="en-AU"/>
              </w:rPr>
              <w:t>Base costs</w:t>
            </w:r>
            <w:r w:rsidRPr="00F64587">
              <w:rPr>
                <w:b/>
                <w:sz w:val="20"/>
                <w:szCs w:val="20"/>
                <w:lang w:eastAsia="en-AU"/>
              </w:rPr>
              <w:br/>
              <w:t xml:space="preserve"> (A)</w:t>
            </w:r>
          </w:p>
        </w:tc>
        <w:tc>
          <w:tcPr>
            <w:tcW w:w="226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Default="003A1E94" w:rsidP="00863340">
            <w:pPr>
              <w:spacing w:after="120"/>
              <w:jc w:val="center"/>
              <w:rPr>
                <w:rFonts w:cs="Arial"/>
                <w:b/>
                <w:caps/>
                <w:sz w:val="20"/>
                <w:szCs w:val="20"/>
                <w:lang w:eastAsia="en-AU"/>
              </w:rPr>
            </w:pPr>
            <w:r w:rsidRPr="00F64587">
              <w:rPr>
                <w:b/>
                <w:sz w:val="20"/>
                <w:szCs w:val="20"/>
                <w:lang w:eastAsia="en-AU"/>
              </w:rPr>
              <w:t>Complexity costs</w:t>
            </w:r>
            <w:r w:rsidR="00BB3B78">
              <w:rPr>
                <w:b/>
                <w:sz w:val="20"/>
                <w:szCs w:val="20"/>
                <w:lang w:eastAsia="en-AU"/>
              </w:rPr>
              <w:t xml:space="preserve"> </w:t>
            </w:r>
            <w:r w:rsidRPr="00F64587">
              <w:rPr>
                <w:b/>
                <w:sz w:val="20"/>
                <w:szCs w:val="20"/>
                <w:lang w:eastAsia="en-AU"/>
              </w:rPr>
              <w:t>(</w:t>
            </w:r>
            <w:r>
              <w:rPr>
                <w:b/>
                <w:sz w:val="20"/>
                <w:szCs w:val="20"/>
                <w:lang w:eastAsia="en-AU"/>
              </w:rPr>
              <w:t>B</w:t>
            </w:r>
            <w:r w:rsidRPr="00F64587">
              <w:rPr>
                <w:b/>
                <w:sz w:val="20"/>
                <w:szCs w:val="20"/>
                <w:lang w:eastAsia="en-AU"/>
              </w:rPr>
              <w:t>)</w:t>
            </w:r>
          </w:p>
        </w:tc>
        <w:tc>
          <w:tcPr>
            <w:tcW w:w="19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3A1E94" w:rsidRPr="00F64587" w:rsidRDefault="003A1E94" w:rsidP="003A1E94">
            <w:pPr>
              <w:jc w:val="center"/>
              <w:rPr>
                <w:b/>
                <w:sz w:val="20"/>
                <w:szCs w:val="20"/>
                <w:lang w:eastAsia="en-AU"/>
              </w:rPr>
            </w:pPr>
            <w:r w:rsidRPr="00F64587">
              <w:rPr>
                <w:b/>
                <w:sz w:val="20"/>
                <w:szCs w:val="20"/>
                <w:lang w:eastAsia="en-AU"/>
              </w:rPr>
              <w:t>Total fee</w:t>
            </w:r>
          </w:p>
          <w:p w:rsidR="003A1E94" w:rsidRPr="00F64587" w:rsidRDefault="003A1E94" w:rsidP="003A1E94">
            <w:pPr>
              <w:jc w:val="center"/>
              <w:rPr>
                <w:b/>
                <w:sz w:val="20"/>
                <w:szCs w:val="20"/>
                <w:lang w:eastAsia="en-AU"/>
              </w:rPr>
            </w:pPr>
            <w:r w:rsidRPr="00F64587">
              <w:rPr>
                <w:b/>
                <w:sz w:val="20"/>
                <w:szCs w:val="20"/>
                <w:lang w:eastAsia="en-AU"/>
              </w:rPr>
              <w:t>(A) + (B)</w:t>
            </w:r>
          </w:p>
        </w:tc>
      </w:tr>
      <w:tr w:rsidR="003A1E94" w:rsidRPr="00F64587" w:rsidTr="00E237DB">
        <w:trPr>
          <w:trHeight w:val="600"/>
        </w:trPr>
        <w:tc>
          <w:tcPr>
            <w:tcW w:w="262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3A1E94" w:rsidRPr="00F64587" w:rsidRDefault="003A1E94" w:rsidP="003A1E94">
            <w:pPr>
              <w:rPr>
                <w:sz w:val="20"/>
                <w:szCs w:val="20"/>
                <w:lang w:eastAsia="en-AU"/>
              </w:rPr>
            </w:pPr>
            <w:r w:rsidRPr="00F64587">
              <w:rPr>
                <w:sz w:val="20"/>
                <w:szCs w:val="20"/>
                <w:lang w:eastAsia="en-AU"/>
              </w:rPr>
              <w:t>Bilateral agreement / Accredited assessments</w:t>
            </w:r>
            <w:r w:rsidRPr="00F64587">
              <w:rPr>
                <w:rStyle w:val="FootnoteReference"/>
                <w:rFonts w:ascii="Calibri" w:hAnsi="Calibri" w:cs="Calibri"/>
                <w:color w:val="000000"/>
                <w:sz w:val="20"/>
                <w:szCs w:val="20"/>
                <w:lang w:eastAsia="en-AU"/>
              </w:rPr>
              <w:footnoteReference w:id="20"/>
            </w:r>
          </w:p>
        </w:tc>
        <w:tc>
          <w:tcPr>
            <w:tcW w:w="1921"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F64587" w:rsidRDefault="003A1E94" w:rsidP="00460586">
            <w:pPr>
              <w:jc w:val="center"/>
              <w:rPr>
                <w:sz w:val="20"/>
                <w:szCs w:val="20"/>
                <w:lang w:eastAsia="en-AU"/>
              </w:rPr>
            </w:pPr>
            <w:r w:rsidRPr="00BB3B78">
              <w:rPr>
                <w:sz w:val="20"/>
                <w:szCs w:val="20"/>
                <w:lang w:eastAsia="en-AU"/>
              </w:rPr>
              <w:t>$</w:t>
            </w:r>
            <w:r w:rsidR="00460586">
              <w:rPr>
                <w:sz w:val="20"/>
                <w:szCs w:val="20"/>
                <w:lang w:eastAsia="en-AU"/>
              </w:rPr>
              <w:t>26,043</w:t>
            </w:r>
          </w:p>
        </w:tc>
        <w:tc>
          <w:tcPr>
            <w:tcW w:w="2268" w:type="dxa"/>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3A1E94" w:rsidRPr="00F64587" w:rsidRDefault="00863340" w:rsidP="00863340">
            <w:pPr>
              <w:jc w:val="center"/>
              <w:rPr>
                <w:sz w:val="20"/>
                <w:szCs w:val="20"/>
                <w:lang w:eastAsia="en-AU"/>
              </w:rPr>
            </w:pPr>
            <w:r>
              <w:rPr>
                <w:sz w:val="20"/>
                <w:szCs w:val="20"/>
                <w:lang w:eastAsia="en-AU"/>
              </w:rPr>
              <w:t>Determined on a case by case basis</w:t>
            </w:r>
          </w:p>
        </w:tc>
        <w:tc>
          <w:tcPr>
            <w:tcW w:w="1985"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3A1E94" w:rsidRPr="00F64587" w:rsidRDefault="00863340" w:rsidP="00460586">
            <w:pPr>
              <w:jc w:val="center"/>
              <w:rPr>
                <w:sz w:val="20"/>
                <w:szCs w:val="20"/>
                <w:lang w:eastAsia="en-AU"/>
              </w:rPr>
            </w:pPr>
            <w:r w:rsidRPr="00BB3B78">
              <w:rPr>
                <w:sz w:val="20"/>
                <w:szCs w:val="20"/>
                <w:lang w:eastAsia="en-AU"/>
              </w:rPr>
              <w:t>$</w:t>
            </w:r>
            <w:r w:rsidR="00460586">
              <w:rPr>
                <w:sz w:val="20"/>
                <w:szCs w:val="20"/>
                <w:lang w:eastAsia="en-AU"/>
              </w:rPr>
              <w:t>26,043</w:t>
            </w:r>
            <w:r>
              <w:rPr>
                <w:sz w:val="20"/>
                <w:szCs w:val="20"/>
                <w:lang w:eastAsia="en-AU"/>
              </w:rPr>
              <w:t xml:space="preserve"> + (B)</w:t>
            </w:r>
            <w:r w:rsidR="00F4760C">
              <w:rPr>
                <w:rStyle w:val="FootnoteReference"/>
                <w:sz w:val="20"/>
                <w:szCs w:val="20"/>
                <w:lang w:eastAsia="en-AU"/>
              </w:rPr>
              <w:footnoteReference w:id="21"/>
            </w:r>
          </w:p>
        </w:tc>
      </w:tr>
    </w:tbl>
    <w:p w:rsidR="00911486" w:rsidRDefault="00911486" w:rsidP="00911486">
      <w:pPr>
        <w:pStyle w:val="Caption"/>
      </w:pPr>
    </w:p>
    <w:p w:rsidR="00911486" w:rsidRDefault="00911486" w:rsidP="00911486">
      <w:pPr>
        <w:pStyle w:val="Caption"/>
      </w:pPr>
      <w:bookmarkStart w:id="407" w:name="_Ref387068276"/>
      <w:bookmarkStart w:id="408" w:name="_Toc387069810"/>
      <w:bookmarkStart w:id="409" w:name="_Toc387073272"/>
      <w:bookmarkStart w:id="410" w:name="_Toc391541655"/>
      <w:proofErr w:type="gramStart"/>
      <w:r>
        <w:t xml:space="preserve">Table </w:t>
      </w:r>
      <w:r w:rsidR="00D30427">
        <w:fldChar w:fldCharType="begin"/>
      </w:r>
      <w:r w:rsidR="00B06D9E">
        <w:instrText xml:space="preserve"> SEQ Table \* ARABIC </w:instrText>
      </w:r>
      <w:r w:rsidR="00D30427">
        <w:fldChar w:fldCharType="separate"/>
      </w:r>
      <w:r w:rsidR="001D521C">
        <w:rPr>
          <w:noProof/>
        </w:rPr>
        <w:t>11</w:t>
      </w:r>
      <w:r w:rsidR="00D30427">
        <w:fldChar w:fldCharType="end"/>
      </w:r>
      <w:bookmarkEnd w:id="407"/>
      <w:r>
        <w:t>.</w:t>
      </w:r>
      <w:proofErr w:type="gramEnd"/>
      <w:r>
        <w:t xml:space="preserve"> </w:t>
      </w:r>
      <w:r w:rsidRPr="00096D82">
        <w:t>Summary of Base costs (A) for bilateral agreement / accredited assessment</w:t>
      </w:r>
      <w:r>
        <w:t>.</w:t>
      </w:r>
      <w:bookmarkEnd w:id="408"/>
      <w:bookmarkEnd w:id="409"/>
      <w:bookmarkEnd w:id="410"/>
    </w:p>
    <w:tbl>
      <w:tblPr>
        <w:tblStyle w:val="TableGrid"/>
        <w:tblW w:w="941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57" w:type="dxa"/>
          <w:right w:w="57" w:type="dxa"/>
        </w:tblCellMar>
        <w:tblLook w:val="04A0"/>
      </w:tblPr>
      <w:tblGrid>
        <w:gridCol w:w="4877"/>
        <w:gridCol w:w="1417"/>
        <w:gridCol w:w="1134"/>
        <w:gridCol w:w="993"/>
        <w:gridCol w:w="992"/>
      </w:tblGrid>
      <w:tr w:rsidR="003A1E94" w:rsidRPr="00F64587" w:rsidTr="00E237DB">
        <w:trPr>
          <w:cnfStyle w:val="100000000000"/>
          <w:trHeight w:val="269"/>
        </w:trPr>
        <w:tc>
          <w:tcPr>
            <w:tcW w:w="4877" w:type="dxa"/>
            <w:tcBorders>
              <w:top w:val="nil"/>
              <w:left w:val="nil"/>
              <w:bottom w:val="single" w:sz="4" w:space="0" w:color="548DD4" w:themeColor="text2" w:themeTint="99"/>
              <w:right w:val="single" w:sz="4" w:space="0" w:color="548DD4" w:themeColor="text2" w:themeTint="99"/>
            </w:tcBorders>
          </w:tcPr>
          <w:p w:rsidR="003A1E94" w:rsidRPr="00F64587" w:rsidRDefault="003A1E94" w:rsidP="003A1E94">
            <w:pPr>
              <w:rPr>
                <w:sz w:val="20"/>
                <w:szCs w:val="20"/>
              </w:rPr>
            </w:pPr>
          </w:p>
        </w:tc>
        <w:tc>
          <w:tcPr>
            <w:tcW w:w="453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3A1E94" w:rsidRPr="00F64587" w:rsidRDefault="003A1E94" w:rsidP="003A1E94">
            <w:pPr>
              <w:jc w:val="center"/>
              <w:rPr>
                <w:rFonts w:eastAsia="SimSun"/>
                <w:b/>
                <w:color w:val="0070C0"/>
                <w:sz w:val="20"/>
                <w:szCs w:val="20"/>
                <w:lang w:val="en-US"/>
              </w:rPr>
            </w:pPr>
            <w:r w:rsidRPr="00F64587">
              <w:rPr>
                <w:b/>
                <w:sz w:val="20"/>
                <w:szCs w:val="20"/>
              </w:rPr>
              <w:t>Time (days)</w:t>
            </w:r>
          </w:p>
        </w:tc>
      </w:tr>
      <w:tr w:rsidR="003A1E94" w:rsidRPr="00F64587" w:rsidTr="00E237DB">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Stages of the assessment and approval process</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Assessment Officer</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Assistant Director</w:t>
            </w:r>
          </w:p>
        </w:tc>
        <w:tc>
          <w:tcPr>
            <w:tcW w:w="9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Director</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3A1E94" w:rsidRPr="00F64587" w:rsidRDefault="003A1E94" w:rsidP="003A1E94">
            <w:pPr>
              <w:jc w:val="center"/>
              <w:rPr>
                <w:rFonts w:eastAsia="SimSun"/>
                <w:b/>
                <w:color w:val="0070C0"/>
                <w:sz w:val="20"/>
                <w:szCs w:val="20"/>
                <w:lang w:val="en-US"/>
              </w:rPr>
            </w:pPr>
            <w:r w:rsidRPr="00F64587">
              <w:rPr>
                <w:b/>
                <w:sz w:val="20"/>
                <w:szCs w:val="20"/>
              </w:rPr>
              <w:t>Delegate</w:t>
            </w:r>
          </w:p>
        </w:tc>
      </w:tr>
      <w:tr w:rsidR="003A1E94" w:rsidRPr="00F64587" w:rsidTr="00E237DB">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Pr="00F64587" w:rsidRDefault="003A1E94" w:rsidP="003A1E94">
            <w:pPr>
              <w:rPr>
                <w:rFonts w:eastAsia="SimSun"/>
                <w:b/>
                <w:color w:val="0070C0"/>
                <w:sz w:val="20"/>
                <w:szCs w:val="20"/>
                <w:lang w:val="en-US"/>
              </w:rPr>
            </w:pPr>
            <w:r w:rsidRPr="00F64587">
              <w:rPr>
                <w:sz w:val="20"/>
                <w:szCs w:val="20"/>
              </w:rPr>
              <w:t>Stage 1: Input into the project specific assessment guidelines</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0.5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3A1E94" w:rsidP="003A1E94">
            <w:pPr>
              <w:jc w:val="center"/>
              <w:rPr>
                <w:sz w:val="20"/>
                <w:szCs w:val="20"/>
              </w:rPr>
            </w:pPr>
            <w:r w:rsidRPr="00F64587">
              <w:rPr>
                <w:sz w:val="20"/>
                <w:szCs w:val="20"/>
              </w:rPr>
              <w:t>0.03</w:t>
            </w:r>
          </w:p>
        </w:tc>
      </w:tr>
      <w:tr w:rsidR="003A1E94" w:rsidRPr="00F64587" w:rsidTr="00E237DB">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Default="003A1E94" w:rsidP="003A1E94">
            <w:pPr>
              <w:rPr>
                <w:rFonts w:eastAsia="SimSun"/>
                <w:b/>
                <w:color w:val="0070C0"/>
                <w:sz w:val="20"/>
                <w:szCs w:val="20"/>
                <w:lang w:val="en-US"/>
              </w:rPr>
            </w:pPr>
            <w:r w:rsidRPr="00F64587">
              <w:rPr>
                <w:sz w:val="20"/>
                <w:szCs w:val="20"/>
              </w:rPr>
              <w:t xml:space="preserve">Stage 2: Liaison with </w:t>
            </w:r>
            <w:r w:rsidR="00B64DB5">
              <w:rPr>
                <w:sz w:val="20"/>
                <w:szCs w:val="20"/>
              </w:rPr>
              <w:t>applicant</w:t>
            </w:r>
            <w:r w:rsidRPr="00F64587">
              <w:rPr>
                <w:sz w:val="20"/>
                <w:szCs w:val="20"/>
              </w:rPr>
              <w:t xml:space="preserve"> and other regulators and review of documents throughout preparation of draft assessment documentation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15</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5</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6F1F2D" w:rsidP="003A1E94">
            <w:pPr>
              <w:jc w:val="center"/>
              <w:rPr>
                <w:sz w:val="20"/>
                <w:szCs w:val="20"/>
              </w:rPr>
            </w:pPr>
            <w:r>
              <w:rPr>
                <w:sz w:val="20"/>
                <w:szCs w:val="20"/>
              </w:rPr>
              <w:t>1</w:t>
            </w:r>
          </w:p>
        </w:tc>
      </w:tr>
      <w:tr w:rsidR="003A1E94" w:rsidRPr="00F64587" w:rsidTr="00E237DB">
        <w:trPr>
          <w:cnfStyle w:val="00000001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Pr="00F64587" w:rsidRDefault="003A1E94" w:rsidP="003A1E94">
            <w:pPr>
              <w:rPr>
                <w:rFonts w:eastAsia="SimSun"/>
                <w:b/>
                <w:color w:val="0070C0"/>
                <w:sz w:val="20"/>
                <w:szCs w:val="20"/>
                <w:lang w:val="en-US"/>
              </w:rPr>
            </w:pPr>
            <w:r w:rsidRPr="00F64587">
              <w:rPr>
                <w:sz w:val="20"/>
                <w:szCs w:val="20"/>
              </w:rPr>
              <w:t>Stage 3: Review final assessment documentation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5</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B7B04" w:rsidP="006F1F2D">
            <w:pPr>
              <w:jc w:val="center"/>
              <w:rPr>
                <w:sz w:val="20"/>
                <w:szCs w:val="20"/>
              </w:rPr>
            </w:pPr>
            <w:r>
              <w:rPr>
                <w:sz w:val="20"/>
                <w:szCs w:val="20"/>
              </w:rPr>
              <w:t>0</w:t>
            </w:r>
            <w:r w:rsidR="005B4BA3">
              <w:rPr>
                <w:sz w:val="20"/>
                <w:szCs w:val="20"/>
              </w:rPr>
              <w:t>.</w:t>
            </w:r>
            <w:r w:rsidR="006F1F2D">
              <w:rPr>
                <w:sz w:val="20"/>
                <w:szCs w:val="20"/>
              </w:rPr>
              <w:t>5</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6B7B04" w:rsidP="006F1F2D">
            <w:pPr>
              <w:jc w:val="center"/>
              <w:rPr>
                <w:sz w:val="20"/>
                <w:szCs w:val="20"/>
              </w:rPr>
            </w:pPr>
            <w:r>
              <w:rPr>
                <w:sz w:val="20"/>
                <w:szCs w:val="20"/>
              </w:rPr>
              <w:t>0.</w:t>
            </w:r>
            <w:r w:rsidR="006F1F2D">
              <w:rPr>
                <w:sz w:val="20"/>
                <w:szCs w:val="20"/>
              </w:rPr>
              <w:t>27</w:t>
            </w:r>
          </w:p>
        </w:tc>
      </w:tr>
      <w:tr w:rsidR="003A1E94" w:rsidRPr="00F64587" w:rsidTr="00E237DB">
        <w:trPr>
          <w:cnfStyle w:val="000000100000"/>
          <w:trHeight w:val="269"/>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tcPr>
          <w:p w:rsidR="003A1E94" w:rsidRPr="00F64587" w:rsidRDefault="003A1E94" w:rsidP="003A1E94">
            <w:pPr>
              <w:rPr>
                <w:rFonts w:eastAsia="SimSun"/>
                <w:b/>
                <w:color w:val="0070C0"/>
                <w:sz w:val="20"/>
                <w:szCs w:val="20"/>
                <w:lang w:val="en-US"/>
              </w:rPr>
            </w:pPr>
            <w:r w:rsidRPr="00F64587">
              <w:rPr>
                <w:sz w:val="20"/>
                <w:szCs w:val="20"/>
              </w:rPr>
              <w:t>Stage 4: Preparation of proposed and final decision</w:t>
            </w:r>
          </w:p>
        </w:tc>
        <w:tc>
          <w:tcPr>
            <w:tcW w:w="1417"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6</w:t>
            </w:r>
          </w:p>
        </w:tc>
        <w:tc>
          <w:tcPr>
            <w:tcW w:w="1134"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2</w:t>
            </w:r>
          </w:p>
        </w:tc>
        <w:tc>
          <w:tcPr>
            <w:tcW w:w="993" w:type="dxa"/>
            <w:tcBorders>
              <w:top w:val="single" w:sz="4" w:space="0" w:color="548DD4" w:themeColor="text2" w:themeTint="99"/>
              <w:left w:val="nil"/>
              <w:bottom w:val="single" w:sz="4" w:space="0" w:color="548DD4" w:themeColor="text2" w:themeTint="99"/>
              <w:right w:val="nil"/>
            </w:tcBorders>
            <w:shd w:val="clear" w:color="auto" w:fill="auto"/>
            <w:vAlign w:val="center"/>
          </w:tcPr>
          <w:p w:rsidR="003A1E94" w:rsidRPr="00F64587" w:rsidRDefault="006F1F2D" w:rsidP="003A1E94">
            <w:pPr>
              <w:jc w:val="center"/>
              <w:rPr>
                <w:sz w:val="20"/>
                <w:szCs w:val="20"/>
              </w:rPr>
            </w:pPr>
            <w:r>
              <w:rPr>
                <w:sz w:val="20"/>
                <w:szCs w:val="20"/>
              </w:rPr>
              <w:t>1</w:t>
            </w:r>
          </w:p>
        </w:tc>
        <w:tc>
          <w:tcPr>
            <w:tcW w:w="992"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3A1E94" w:rsidRPr="00F64587" w:rsidRDefault="006B7B04" w:rsidP="006F1F2D">
            <w:pPr>
              <w:jc w:val="center"/>
              <w:rPr>
                <w:sz w:val="20"/>
                <w:szCs w:val="20"/>
              </w:rPr>
            </w:pPr>
            <w:r>
              <w:rPr>
                <w:sz w:val="20"/>
                <w:szCs w:val="20"/>
              </w:rPr>
              <w:t>0.</w:t>
            </w:r>
            <w:r w:rsidR="006F1F2D">
              <w:rPr>
                <w:sz w:val="20"/>
                <w:szCs w:val="20"/>
              </w:rPr>
              <w:t>13</w:t>
            </w:r>
          </w:p>
        </w:tc>
      </w:tr>
      <w:tr w:rsidR="003A1E94" w:rsidRPr="00F64587" w:rsidTr="00E237DB">
        <w:trPr>
          <w:cnfStyle w:val="000000010000"/>
          <w:trHeight w:val="435"/>
        </w:trPr>
        <w:tc>
          <w:tcPr>
            <w:tcW w:w="4877"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3A1E94" w:rsidRPr="00F64587" w:rsidRDefault="003A1E94" w:rsidP="003A1E94">
            <w:pPr>
              <w:jc w:val="right"/>
              <w:rPr>
                <w:sz w:val="20"/>
                <w:szCs w:val="20"/>
              </w:rPr>
            </w:pPr>
            <w:r w:rsidRPr="00F64587">
              <w:rPr>
                <w:sz w:val="20"/>
                <w:szCs w:val="20"/>
              </w:rPr>
              <w:t>TOTAL BASE COST</w:t>
            </w:r>
          </w:p>
        </w:tc>
        <w:tc>
          <w:tcPr>
            <w:tcW w:w="4536" w:type="dxa"/>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3A1E94" w:rsidRPr="00F64587" w:rsidRDefault="00B06D9E" w:rsidP="003A1E94">
            <w:pPr>
              <w:jc w:val="center"/>
              <w:rPr>
                <w:sz w:val="20"/>
                <w:szCs w:val="20"/>
              </w:rPr>
            </w:pPr>
            <w:r w:rsidRPr="00460586">
              <w:rPr>
                <w:sz w:val="20"/>
                <w:szCs w:val="20"/>
              </w:rPr>
              <w:t>$</w:t>
            </w:r>
            <w:r w:rsidR="00460586">
              <w:rPr>
                <w:sz w:val="20"/>
                <w:szCs w:val="20"/>
                <w:lang w:eastAsia="en-AU"/>
              </w:rPr>
              <w:t>26,043</w:t>
            </w:r>
            <w:r w:rsidR="00F4760C" w:rsidRPr="0022151B">
              <w:rPr>
                <w:rStyle w:val="FootnoteReference"/>
                <w:sz w:val="20"/>
                <w:szCs w:val="20"/>
                <w:lang w:eastAsia="en-AU"/>
              </w:rPr>
              <w:footnoteReference w:id="22"/>
            </w:r>
          </w:p>
        </w:tc>
      </w:tr>
    </w:tbl>
    <w:p w:rsidR="00A664F2" w:rsidRDefault="00A664F2" w:rsidP="003A1E94">
      <w:pPr>
        <w:rPr>
          <w:lang w:val="en-US"/>
        </w:rPr>
      </w:pPr>
    </w:p>
    <w:p w:rsidR="005B3DE8" w:rsidRDefault="005472E3" w:rsidP="003A1E94">
      <w:pPr>
        <w:rPr>
          <w:lang w:val="en-US"/>
        </w:rPr>
      </w:pPr>
      <w:r w:rsidRPr="003B4C0F">
        <w:rPr>
          <w:lang w:val="en-US"/>
        </w:rPr>
        <w:t>The fees applicable at each stage of the bilateral agreement / accredited assessment process are outlined in the fee stages flowchart</w:t>
      </w:r>
      <w:r w:rsidR="005B3DE8" w:rsidRPr="003B4C0F">
        <w:rPr>
          <w:lang w:val="en-US"/>
        </w:rPr>
        <w:t xml:space="preserve">. </w:t>
      </w:r>
      <w:r w:rsidRPr="003B4C0F">
        <w:rPr>
          <w:lang w:val="en-US"/>
        </w:rPr>
        <w:t>Complexity fees may be applicable to an assessment by bilateral agreement/accredited assessment.</w:t>
      </w:r>
      <w:r w:rsidR="00A3498A">
        <w:rPr>
          <w:lang w:val="en-US"/>
        </w:rPr>
        <w:t xml:space="preserve"> See</w:t>
      </w:r>
      <w:r w:rsidR="00D30427">
        <w:rPr>
          <w:lang w:val="en-US"/>
        </w:rPr>
        <w:fldChar w:fldCharType="begin"/>
      </w:r>
      <w:r w:rsidR="00470374">
        <w:rPr>
          <w:lang w:val="en-US"/>
        </w:rPr>
        <w:instrText xml:space="preserve"> REF _Ref388542099 \h </w:instrText>
      </w:r>
      <w:r w:rsidR="00D30427">
        <w:rPr>
          <w:lang w:val="en-US"/>
        </w:rPr>
      </w:r>
      <w:r w:rsidR="00D30427">
        <w:rPr>
          <w:lang w:val="en-US"/>
        </w:rPr>
        <w:fldChar w:fldCharType="separate"/>
      </w:r>
      <w:r w:rsidR="001D521C" w:rsidRPr="00CC60C8">
        <w:t xml:space="preserve"> </w:t>
      </w:r>
      <w:r w:rsidR="001D521C">
        <w:t xml:space="preserve">Figure </w:t>
      </w:r>
      <w:r w:rsidR="001D521C">
        <w:rPr>
          <w:noProof/>
        </w:rPr>
        <w:t>12</w:t>
      </w:r>
      <w:r w:rsidR="00D30427">
        <w:rPr>
          <w:lang w:val="en-US"/>
        </w:rPr>
        <w:fldChar w:fldCharType="end"/>
      </w:r>
      <w:r w:rsidR="00A3498A">
        <w:rPr>
          <w:lang w:val="en-US"/>
        </w:rPr>
        <w:t xml:space="preserve"> below.</w:t>
      </w:r>
      <w:r w:rsidRPr="00FC12C4">
        <w:rPr>
          <w:lang w:val="en-US"/>
        </w:rPr>
        <w:t xml:space="preserve"> </w:t>
      </w:r>
      <w:r>
        <w:rPr>
          <w:lang w:val="en-US"/>
        </w:rPr>
        <w:t xml:space="preserve">Refer to Example 5 below to see </w:t>
      </w:r>
      <w:r w:rsidRPr="00FC12C4">
        <w:rPr>
          <w:lang w:val="en-US"/>
        </w:rPr>
        <w:t>how complexity fees could be applied to</w:t>
      </w:r>
      <w:r>
        <w:rPr>
          <w:lang w:val="en-US"/>
        </w:rPr>
        <w:t xml:space="preserve"> a proposed action assessed by b</w:t>
      </w:r>
      <w:r w:rsidRPr="00FC12C4">
        <w:rPr>
          <w:lang w:val="en-US"/>
        </w:rPr>
        <w:t xml:space="preserve">ilateral </w:t>
      </w:r>
      <w:r>
        <w:rPr>
          <w:lang w:val="en-US"/>
        </w:rPr>
        <w:t>a</w:t>
      </w:r>
      <w:r w:rsidRPr="00FC12C4">
        <w:rPr>
          <w:lang w:val="en-US"/>
        </w:rPr>
        <w:t>greement/</w:t>
      </w:r>
      <w:r>
        <w:rPr>
          <w:lang w:val="en-US"/>
        </w:rPr>
        <w:t>a</w:t>
      </w:r>
      <w:r w:rsidRPr="00FC12C4">
        <w:rPr>
          <w:lang w:val="en-US"/>
        </w:rPr>
        <w:t xml:space="preserve">ccredited </w:t>
      </w:r>
      <w:r>
        <w:rPr>
          <w:lang w:val="en-US"/>
        </w:rPr>
        <w:t>a</w:t>
      </w:r>
      <w:r w:rsidRPr="00FC12C4">
        <w:rPr>
          <w:lang w:val="en-US"/>
        </w:rPr>
        <w:t>ssessment under the EPBC</w:t>
      </w:r>
      <w:r>
        <w:rPr>
          <w:lang w:val="en-US"/>
        </w:rPr>
        <w:t> </w:t>
      </w:r>
      <w:r w:rsidRPr="00FC12C4">
        <w:rPr>
          <w:lang w:val="en-US"/>
        </w:rPr>
        <w:t>Act.</w:t>
      </w:r>
      <w:r>
        <w:rPr>
          <w:lang w:val="en-US"/>
        </w:rPr>
        <w:t xml:space="preserve"> Refer to section </w:t>
      </w:r>
      <w:r w:rsidR="00D30427">
        <w:rPr>
          <w:lang w:val="en-US"/>
        </w:rPr>
        <w:fldChar w:fldCharType="begin"/>
      </w:r>
      <w:r w:rsidR="00E232B0">
        <w:rPr>
          <w:lang w:val="en-US"/>
        </w:rPr>
        <w:instrText xml:space="preserve"> REF _Ref388972186 \r \h </w:instrText>
      </w:r>
      <w:r w:rsidR="00D30427">
        <w:rPr>
          <w:lang w:val="en-US"/>
        </w:rPr>
      </w:r>
      <w:r w:rsidR="00D30427">
        <w:rPr>
          <w:lang w:val="en-US"/>
        </w:rPr>
        <w:fldChar w:fldCharType="separate"/>
      </w:r>
      <w:r w:rsidR="001D521C">
        <w:rPr>
          <w:lang w:val="en-US"/>
        </w:rPr>
        <w:t>3.2.2.3</w:t>
      </w:r>
      <w:r w:rsidR="00D30427">
        <w:rPr>
          <w:lang w:val="en-US"/>
        </w:rPr>
        <w:fldChar w:fldCharType="end"/>
      </w:r>
      <w:r>
        <w:rPr>
          <w:lang w:val="en-US"/>
        </w:rPr>
        <w:t xml:space="preserve"> above for information about reducing complexity fees during the assessment process.</w:t>
      </w:r>
    </w:p>
    <w:p w:rsidR="00832901" w:rsidRDefault="00832901" w:rsidP="003A1E94">
      <w:pPr>
        <w:rPr>
          <w:lang w:val="en-US"/>
        </w:rPr>
        <w:sectPr w:rsidR="00832901" w:rsidSect="000005C0">
          <w:headerReference w:type="even" r:id="rId38"/>
          <w:headerReference w:type="default" r:id="rId39"/>
          <w:footerReference w:type="even" r:id="rId40"/>
          <w:footerReference w:type="default" r:id="rId41"/>
          <w:headerReference w:type="first" r:id="rId42"/>
          <w:footerReference w:type="first" r:id="rId43"/>
          <w:pgSz w:w="11906" w:h="16838"/>
          <w:pgMar w:top="993" w:right="1274" w:bottom="1440" w:left="1134" w:header="708" w:footer="708" w:gutter="0"/>
          <w:cols w:space="708"/>
          <w:docGrid w:linePitch="360"/>
        </w:sectPr>
      </w:pPr>
    </w:p>
    <w:p w:rsidR="00CC60C8" w:rsidRDefault="008213B5" w:rsidP="00CC60C8">
      <w:pPr>
        <w:pStyle w:val="Caption"/>
      </w:pPr>
      <w:bookmarkStart w:id="411" w:name="_Ref387068297"/>
      <w:bookmarkStart w:id="412" w:name="_Ref387068308"/>
      <w:r>
        <w:rPr>
          <w:noProof/>
          <w:lang w:eastAsia="en-AU"/>
        </w:rPr>
        <w:lastRenderedPageBreak/>
        <w:drawing>
          <wp:inline distT="0" distB="0" distL="0" distR="0">
            <wp:extent cx="6031230" cy="8820150"/>
            <wp:effectExtent l="0" t="0" r="762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srcRect/>
                    <a:stretch>
                      <a:fillRect/>
                    </a:stretch>
                  </pic:blipFill>
                  <pic:spPr bwMode="auto">
                    <a:xfrm>
                      <a:off x="0" y="0"/>
                      <a:ext cx="6031230" cy="8820150"/>
                    </a:xfrm>
                    <a:prstGeom prst="rect">
                      <a:avLst/>
                    </a:prstGeom>
                    <a:noFill/>
                    <a:ln w="9525">
                      <a:noFill/>
                      <a:miter lim="800000"/>
                      <a:headEnd/>
                      <a:tailEnd/>
                    </a:ln>
                  </pic:spPr>
                </pic:pic>
              </a:graphicData>
            </a:graphic>
          </wp:inline>
        </w:drawing>
      </w:r>
      <w:bookmarkStart w:id="413" w:name="_Ref387072258"/>
      <w:bookmarkStart w:id="414" w:name="_Ref388542099"/>
      <w:bookmarkStart w:id="415" w:name="_Toc387072717"/>
      <w:r w:rsidR="00CC60C8" w:rsidRPr="00CC60C8">
        <w:t xml:space="preserve"> </w:t>
      </w:r>
      <w:bookmarkStart w:id="416" w:name="_Toc391541641"/>
      <w:r w:rsidR="00CC60C8">
        <w:t xml:space="preserve">Figure </w:t>
      </w:r>
      <w:bookmarkEnd w:id="413"/>
      <w:r w:rsidR="00D30427">
        <w:fldChar w:fldCharType="begin"/>
      </w:r>
      <w:r w:rsidR="00CC60C8">
        <w:instrText xml:space="preserve"> SEQ Figure \* ARABIC </w:instrText>
      </w:r>
      <w:r w:rsidR="00D30427">
        <w:fldChar w:fldCharType="separate"/>
      </w:r>
      <w:r w:rsidR="001D521C">
        <w:rPr>
          <w:noProof/>
        </w:rPr>
        <w:t>12</w:t>
      </w:r>
      <w:r w:rsidR="00D30427">
        <w:fldChar w:fldCharType="end"/>
      </w:r>
      <w:bookmarkEnd w:id="414"/>
      <w:r w:rsidR="00CC60C8">
        <w:t xml:space="preserve">: </w:t>
      </w:r>
      <w:r w:rsidR="00CC60C8" w:rsidRPr="00B82873">
        <w:t>Fee stages flowchart for bilateral or accredited assessment process.</w:t>
      </w:r>
      <w:bookmarkEnd w:id="415"/>
      <w:bookmarkEnd w:id="416"/>
    </w:p>
    <w:bookmarkEnd w:id="411"/>
    <w:bookmarkEnd w:id="412"/>
    <w:p w:rsidR="003A1E94" w:rsidRDefault="00D30427" w:rsidP="003A1E94">
      <w:pPr>
        <w:rPr>
          <w:highlight w:val="yellow"/>
        </w:rPr>
      </w:pPr>
      <w:r>
        <w:pict>
          <v:shape id="_x0000_s1159" type="#_x0000_t202" style="width:516.8pt;height:747.7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59">
              <w:txbxContent>
                <w:p w:rsidR="000D637E" w:rsidRPr="0067320C" w:rsidRDefault="000D637E" w:rsidP="003A1E94">
                  <w:pPr>
                    <w:rPr>
                      <w:b/>
                      <w:color w:val="1F497D" w:themeColor="text2"/>
                      <w:sz w:val="16"/>
                      <w:szCs w:val="16"/>
                    </w:rPr>
                  </w:pPr>
                  <w:r>
                    <w:rPr>
                      <w:b/>
                      <w:color w:val="1F497D" w:themeColor="text2"/>
                      <w:sz w:val="16"/>
                      <w:szCs w:val="16"/>
                    </w:rPr>
                    <w:t>Example 5</w:t>
                  </w:r>
                  <w:r w:rsidRPr="0067320C">
                    <w:rPr>
                      <w:b/>
                      <w:color w:val="1F497D" w:themeColor="text2"/>
                      <w:sz w:val="16"/>
                      <w:szCs w:val="16"/>
                    </w:rPr>
                    <w:t>– Mine</w:t>
                  </w:r>
                  <w:r>
                    <w:rPr>
                      <w:b/>
                      <w:color w:val="1F497D" w:themeColor="text2"/>
                      <w:sz w:val="16"/>
                      <w:szCs w:val="16"/>
                    </w:rPr>
                    <w:t>,</w:t>
                  </w:r>
                  <w:r w:rsidRPr="0067320C">
                    <w:rPr>
                      <w:b/>
                      <w:color w:val="1F497D" w:themeColor="text2"/>
                      <w:sz w:val="16"/>
                      <w:szCs w:val="16"/>
                    </w:rPr>
                    <w:t xml:space="preserve"> Rail</w:t>
                  </w:r>
                  <w:r>
                    <w:rPr>
                      <w:b/>
                      <w:color w:val="1F497D" w:themeColor="text2"/>
                      <w:sz w:val="16"/>
                      <w:szCs w:val="16"/>
                    </w:rPr>
                    <w:t xml:space="preserve"> &amp; Port</w:t>
                  </w:r>
                  <w:r w:rsidRPr="0067320C">
                    <w:rPr>
                      <w:b/>
                      <w:color w:val="1F497D" w:themeColor="text2"/>
                      <w:sz w:val="16"/>
                      <w:szCs w:val="16"/>
                    </w:rPr>
                    <w:t xml:space="preserve"> </w:t>
                  </w:r>
                  <w:r>
                    <w:rPr>
                      <w:b/>
                      <w:color w:val="1F497D" w:themeColor="text2"/>
                      <w:sz w:val="16"/>
                      <w:szCs w:val="16"/>
                    </w:rPr>
                    <w:t xml:space="preserve">with associated offshore dredging </w:t>
                  </w:r>
                  <w:r w:rsidRPr="0067320C">
                    <w:rPr>
                      <w:b/>
                      <w:color w:val="1F497D" w:themeColor="text2"/>
                      <w:sz w:val="16"/>
                      <w:szCs w:val="16"/>
                    </w:rPr>
                    <w:t xml:space="preserve">(bilateral assessment) </w:t>
                  </w:r>
                </w:p>
                <w:p w:rsidR="000D637E" w:rsidRPr="00F80710" w:rsidRDefault="000D637E" w:rsidP="003A1E94">
                  <w:pPr>
                    <w:rPr>
                      <w:sz w:val="18"/>
                      <w:szCs w:val="18"/>
                    </w:rPr>
                  </w:pPr>
                  <w:r w:rsidRPr="00F80710">
                    <w:rPr>
                      <w:b/>
                      <w:sz w:val="18"/>
                      <w:szCs w:val="18"/>
                    </w:rPr>
                    <w:t>Project description</w:t>
                  </w:r>
                  <w:r w:rsidRPr="00F80710">
                    <w:rPr>
                      <w:sz w:val="18"/>
                      <w:szCs w:val="18"/>
                    </w:rPr>
                    <w:t>: Mining Pty Ltd is proposin</w:t>
                  </w:r>
                  <w:r>
                    <w:rPr>
                      <w:sz w:val="18"/>
                      <w:szCs w:val="18"/>
                    </w:rPr>
                    <w:t xml:space="preserve">g the new development of a mine, </w:t>
                  </w:r>
                  <w:r w:rsidRPr="00F80710">
                    <w:rPr>
                      <w:sz w:val="18"/>
                      <w:szCs w:val="18"/>
                    </w:rPr>
                    <w:t>rail line</w:t>
                  </w:r>
                  <w:r>
                    <w:rPr>
                      <w:sz w:val="18"/>
                      <w:szCs w:val="18"/>
                    </w:rPr>
                    <w:t xml:space="preserve"> and port</w:t>
                  </w:r>
                  <w:r w:rsidRPr="00F80710">
                    <w:rPr>
                      <w:sz w:val="18"/>
                      <w:szCs w:val="18"/>
                    </w:rPr>
                    <w:t>.</w:t>
                  </w:r>
                  <w:r>
                    <w:rPr>
                      <w:sz w:val="18"/>
                      <w:szCs w:val="18"/>
                    </w:rPr>
                    <w:t xml:space="preserve"> </w:t>
                  </w:r>
                  <w:r w:rsidRPr="00AF7F9B">
                    <w:rPr>
                      <w:sz w:val="18"/>
                      <w:szCs w:val="18"/>
                    </w:rPr>
                    <w:t xml:space="preserve">The development of the port facility also involves offshore dredging for the shipping channel and construction of a jetty for docking of ships. </w:t>
                  </w:r>
                  <w:r w:rsidRPr="00F80710">
                    <w:rPr>
                      <w:sz w:val="18"/>
                      <w:szCs w:val="18"/>
                    </w:rPr>
                    <w:t xml:space="preserve"> </w:t>
                  </w:r>
                </w:p>
                <w:p w:rsidR="000D637E" w:rsidRPr="00F80710" w:rsidRDefault="000D637E" w:rsidP="003A1E94">
                  <w:pPr>
                    <w:rPr>
                      <w:sz w:val="18"/>
                      <w:szCs w:val="18"/>
                    </w:rPr>
                  </w:pPr>
                  <w:r w:rsidRPr="00F80710">
                    <w:rPr>
                      <w:sz w:val="18"/>
                      <w:szCs w:val="18"/>
                    </w:rPr>
                    <w:t xml:space="preserve">The project involves the clearing and fragmentation of habitat for a number of threatened and migratory species. Site surveys are partially complete for all project components however impacts are not adequately identified and further work is required. The proponent has proposed broad management measures, however further clarification is required. </w:t>
                  </w:r>
                </w:p>
                <w:p w:rsidR="000D637E" w:rsidRPr="00F80710" w:rsidRDefault="000D637E" w:rsidP="003A1E94">
                  <w:pPr>
                    <w:rPr>
                      <w:sz w:val="18"/>
                      <w:szCs w:val="18"/>
                    </w:rPr>
                  </w:pPr>
                  <w:r w:rsidRPr="00F80710">
                    <w:rPr>
                      <w:sz w:val="18"/>
                      <w:szCs w:val="18"/>
                    </w:rPr>
                    <w:t>There is a low level of complexity under the state planning legislation. Liaison with the state will be required during the bilateral assessment process.</w:t>
                  </w:r>
                </w:p>
                <w:tbl>
                  <w:tblPr>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4480"/>
                    <w:gridCol w:w="1061"/>
                    <w:gridCol w:w="1541"/>
                    <w:gridCol w:w="2868"/>
                  </w:tblGrid>
                  <w:tr w:rsidR="000D637E" w:rsidRPr="0067320C" w:rsidTr="00F20B20">
                    <w:trPr>
                      <w:trHeight w:val="600"/>
                    </w:trPr>
                    <w:tc>
                      <w:tcPr>
                        <w:tcW w:w="4480" w:type="dxa"/>
                        <w:tcBorders>
                          <w:right w:val="single" w:sz="4" w:space="0" w:color="548DD4" w:themeColor="text2" w:themeTint="99"/>
                        </w:tcBorders>
                        <w:shd w:val="clear" w:color="auto" w:fill="C6D9F1" w:themeFill="text2" w:themeFillTint="33"/>
                        <w:vAlign w:val="center"/>
                        <w:hideMark/>
                      </w:tcPr>
                      <w:p w:rsidR="000D637E" w:rsidRPr="0067320C" w:rsidRDefault="000D637E" w:rsidP="003A1E94">
                        <w:pPr>
                          <w:jc w:val="center"/>
                          <w:rPr>
                            <w:b/>
                            <w:sz w:val="16"/>
                            <w:szCs w:val="16"/>
                            <w:lang w:eastAsia="en-AU"/>
                          </w:rPr>
                        </w:pPr>
                        <w:r w:rsidRPr="0067320C">
                          <w:rPr>
                            <w:b/>
                            <w:sz w:val="16"/>
                            <w:szCs w:val="16"/>
                            <w:lang w:eastAsia="en-AU"/>
                          </w:rPr>
                          <w:t>Activity</w:t>
                        </w:r>
                      </w:p>
                    </w:tc>
                    <w:tc>
                      <w:tcPr>
                        <w:tcW w:w="0" w:type="auto"/>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67320C" w:rsidRDefault="000D637E" w:rsidP="003A1E94">
                        <w:pPr>
                          <w:jc w:val="center"/>
                          <w:rPr>
                            <w:b/>
                            <w:sz w:val="16"/>
                            <w:szCs w:val="16"/>
                            <w:lang w:eastAsia="en-AU"/>
                          </w:rPr>
                        </w:pPr>
                        <w:r w:rsidRPr="0067320C">
                          <w:rPr>
                            <w:b/>
                            <w:sz w:val="16"/>
                            <w:szCs w:val="16"/>
                            <w:lang w:eastAsia="en-AU"/>
                          </w:rPr>
                          <w:t xml:space="preserve">Base costs </w:t>
                        </w:r>
                      </w:p>
                      <w:p w:rsidR="000D637E" w:rsidRPr="0067320C" w:rsidRDefault="000D637E" w:rsidP="003A1E94">
                        <w:pPr>
                          <w:jc w:val="center"/>
                          <w:rPr>
                            <w:b/>
                            <w:sz w:val="16"/>
                            <w:szCs w:val="16"/>
                            <w:lang w:eastAsia="en-AU"/>
                          </w:rPr>
                        </w:pPr>
                        <w:r w:rsidRPr="0067320C">
                          <w:rPr>
                            <w:b/>
                            <w:sz w:val="16"/>
                            <w:szCs w:val="16"/>
                            <w:lang w:eastAsia="en-AU"/>
                          </w:rPr>
                          <w:t>(A)</w:t>
                        </w:r>
                      </w:p>
                    </w:tc>
                    <w:tc>
                      <w:tcPr>
                        <w:tcW w:w="0" w:type="auto"/>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0D637E" w:rsidRPr="0067320C" w:rsidRDefault="000D637E" w:rsidP="003A1E94">
                        <w:pPr>
                          <w:jc w:val="center"/>
                          <w:rPr>
                            <w:b/>
                            <w:sz w:val="16"/>
                            <w:szCs w:val="16"/>
                            <w:lang w:eastAsia="en-AU"/>
                          </w:rPr>
                        </w:pPr>
                        <w:r w:rsidRPr="0067320C">
                          <w:rPr>
                            <w:b/>
                            <w:sz w:val="16"/>
                            <w:szCs w:val="16"/>
                            <w:lang w:eastAsia="en-AU"/>
                          </w:rPr>
                          <w:t xml:space="preserve">Complexity costs </w:t>
                        </w:r>
                      </w:p>
                      <w:p w:rsidR="000D637E" w:rsidRPr="0067320C" w:rsidRDefault="000D637E" w:rsidP="003A1E94">
                        <w:pPr>
                          <w:jc w:val="center"/>
                          <w:rPr>
                            <w:b/>
                            <w:sz w:val="16"/>
                            <w:szCs w:val="16"/>
                            <w:lang w:eastAsia="en-AU"/>
                          </w:rPr>
                        </w:pPr>
                        <w:r w:rsidRPr="0067320C">
                          <w:rPr>
                            <w:b/>
                            <w:sz w:val="16"/>
                            <w:szCs w:val="16"/>
                            <w:lang w:eastAsia="en-AU"/>
                          </w:rPr>
                          <w:t>(</w:t>
                        </w:r>
                        <w:r>
                          <w:rPr>
                            <w:b/>
                            <w:sz w:val="16"/>
                            <w:szCs w:val="16"/>
                            <w:lang w:eastAsia="en-AU"/>
                          </w:rPr>
                          <w:t>B</w:t>
                        </w:r>
                        <w:r w:rsidRPr="0067320C">
                          <w:rPr>
                            <w:b/>
                            <w:sz w:val="16"/>
                            <w:szCs w:val="16"/>
                            <w:lang w:eastAsia="en-AU"/>
                          </w:rPr>
                          <w:t>)</w:t>
                        </w:r>
                      </w:p>
                    </w:tc>
                    <w:tc>
                      <w:tcPr>
                        <w:tcW w:w="2868" w:type="dxa"/>
                        <w:tcBorders>
                          <w:left w:val="single" w:sz="4" w:space="0" w:color="548DD4" w:themeColor="text2" w:themeTint="99"/>
                        </w:tcBorders>
                        <w:shd w:val="clear" w:color="auto" w:fill="C6D9F1" w:themeFill="text2" w:themeFillTint="33"/>
                        <w:vAlign w:val="center"/>
                        <w:hideMark/>
                      </w:tcPr>
                      <w:p w:rsidR="000D637E" w:rsidRPr="0067320C" w:rsidRDefault="000D637E" w:rsidP="003A1E94">
                        <w:pPr>
                          <w:jc w:val="center"/>
                          <w:rPr>
                            <w:b/>
                            <w:sz w:val="16"/>
                            <w:szCs w:val="16"/>
                            <w:lang w:eastAsia="en-AU"/>
                          </w:rPr>
                        </w:pPr>
                        <w:r w:rsidRPr="0067320C">
                          <w:rPr>
                            <w:b/>
                            <w:sz w:val="16"/>
                            <w:szCs w:val="16"/>
                            <w:lang w:eastAsia="en-AU"/>
                          </w:rPr>
                          <w:t>Total fee</w:t>
                        </w:r>
                        <w:r w:rsidRPr="0067320C">
                          <w:rPr>
                            <w:b/>
                            <w:sz w:val="16"/>
                            <w:szCs w:val="16"/>
                            <w:lang w:eastAsia="en-AU"/>
                          </w:rPr>
                          <w:br/>
                          <w:t>(A) + (B)</w:t>
                        </w:r>
                      </w:p>
                    </w:tc>
                  </w:tr>
                  <w:tr w:rsidR="000D637E" w:rsidRPr="0067320C" w:rsidTr="00F20B20">
                    <w:trPr>
                      <w:trHeight w:val="395"/>
                    </w:trPr>
                    <w:tc>
                      <w:tcPr>
                        <w:tcW w:w="4480" w:type="dxa"/>
                        <w:shd w:val="clear" w:color="auto" w:fill="auto"/>
                        <w:vAlign w:val="center"/>
                        <w:hideMark/>
                      </w:tcPr>
                      <w:p w:rsidR="000D637E" w:rsidRDefault="000D637E">
                        <w:pPr>
                          <w:rPr>
                            <w:sz w:val="16"/>
                            <w:szCs w:val="16"/>
                            <w:lang w:eastAsia="en-AU"/>
                          </w:rPr>
                        </w:pPr>
                        <w:r w:rsidRPr="007E6BD5">
                          <w:rPr>
                            <w:sz w:val="16"/>
                            <w:szCs w:val="16"/>
                            <w:lang w:eastAsia="en-AU"/>
                          </w:rPr>
                          <w:t>Mine, port, rail development and offshore dredging</w:t>
                        </w:r>
                        <w:r w:rsidRPr="007E6BD5">
                          <w:rPr>
                            <w:i/>
                            <w:iCs/>
                            <w:sz w:val="16"/>
                            <w:szCs w:val="16"/>
                            <w:lang w:eastAsia="en-AU"/>
                          </w:rPr>
                          <w:t xml:space="preserve"> </w:t>
                        </w:r>
                        <w:r w:rsidRPr="0067320C">
                          <w:rPr>
                            <w:i/>
                            <w:iCs/>
                            <w:sz w:val="16"/>
                            <w:szCs w:val="16"/>
                            <w:lang w:eastAsia="en-AU"/>
                          </w:rPr>
                          <w:t>(Bilateral assessment)</w:t>
                        </w:r>
                      </w:p>
                    </w:tc>
                    <w:tc>
                      <w:tcPr>
                        <w:tcW w:w="0" w:type="auto"/>
                        <w:shd w:val="clear" w:color="auto" w:fill="auto"/>
                        <w:noWrap/>
                        <w:vAlign w:val="center"/>
                        <w:hideMark/>
                      </w:tcPr>
                      <w:p w:rsidR="000D637E" w:rsidRPr="0067320C" w:rsidRDefault="000D637E" w:rsidP="00A45F70">
                        <w:pPr>
                          <w:jc w:val="center"/>
                          <w:rPr>
                            <w:sz w:val="16"/>
                            <w:szCs w:val="16"/>
                            <w:lang w:eastAsia="en-AU"/>
                          </w:rPr>
                        </w:pPr>
                        <w:r w:rsidRPr="0067320C">
                          <w:rPr>
                            <w:sz w:val="16"/>
                            <w:szCs w:val="16"/>
                            <w:lang w:eastAsia="en-AU"/>
                          </w:rPr>
                          <w:t>$</w:t>
                        </w:r>
                        <w:r>
                          <w:rPr>
                            <w:sz w:val="16"/>
                            <w:szCs w:val="16"/>
                            <w:lang w:eastAsia="en-AU"/>
                          </w:rPr>
                          <w:t>26,043</w:t>
                        </w:r>
                      </w:p>
                    </w:tc>
                    <w:tc>
                      <w:tcPr>
                        <w:tcW w:w="0" w:type="auto"/>
                        <w:shd w:val="clear" w:color="auto" w:fill="auto"/>
                        <w:noWrap/>
                        <w:vAlign w:val="center"/>
                        <w:hideMark/>
                      </w:tcPr>
                      <w:p w:rsidR="000D637E" w:rsidRPr="0067320C" w:rsidRDefault="000D637E" w:rsidP="001103BD">
                        <w:pPr>
                          <w:jc w:val="center"/>
                          <w:rPr>
                            <w:sz w:val="16"/>
                            <w:szCs w:val="16"/>
                            <w:lang w:eastAsia="en-AU"/>
                          </w:rPr>
                        </w:pPr>
                        <w:r w:rsidRPr="0067320C">
                          <w:rPr>
                            <w:sz w:val="16"/>
                            <w:szCs w:val="16"/>
                            <w:lang w:eastAsia="en-AU"/>
                          </w:rPr>
                          <w:t>$</w:t>
                        </w:r>
                        <w:r>
                          <w:rPr>
                            <w:sz w:val="16"/>
                            <w:szCs w:val="16"/>
                            <w:lang w:eastAsia="en-AU"/>
                          </w:rPr>
                          <w:t>349,312</w:t>
                        </w:r>
                      </w:p>
                    </w:tc>
                    <w:tc>
                      <w:tcPr>
                        <w:tcW w:w="2868" w:type="dxa"/>
                        <w:shd w:val="clear" w:color="auto" w:fill="auto"/>
                        <w:noWrap/>
                        <w:vAlign w:val="center"/>
                        <w:hideMark/>
                      </w:tcPr>
                      <w:p w:rsidR="000D637E" w:rsidRPr="0067320C" w:rsidRDefault="000D637E" w:rsidP="00A45F70">
                        <w:pPr>
                          <w:jc w:val="center"/>
                          <w:rPr>
                            <w:sz w:val="16"/>
                            <w:szCs w:val="16"/>
                            <w:lang w:eastAsia="en-AU"/>
                          </w:rPr>
                        </w:pPr>
                        <w:r w:rsidRPr="0067320C">
                          <w:rPr>
                            <w:sz w:val="16"/>
                            <w:szCs w:val="16"/>
                            <w:lang w:eastAsia="en-AU"/>
                          </w:rPr>
                          <w:t>$</w:t>
                        </w:r>
                        <w:r>
                          <w:rPr>
                            <w:sz w:val="16"/>
                            <w:szCs w:val="16"/>
                            <w:lang w:eastAsia="en-AU"/>
                          </w:rPr>
                          <w:t>375,355</w:t>
                        </w:r>
                      </w:p>
                    </w:tc>
                  </w:tr>
                </w:tbl>
                <w:p w:rsidR="000D637E" w:rsidRPr="00F20B20" w:rsidRDefault="000D637E" w:rsidP="003A1E94">
                  <w:pPr>
                    <w:rPr>
                      <w:sz w:val="18"/>
                      <w:szCs w:val="18"/>
                    </w:rPr>
                  </w:pPr>
                  <w:r w:rsidRPr="00F20B20">
                    <w:rPr>
                      <w:sz w:val="18"/>
                      <w:szCs w:val="18"/>
                    </w:rPr>
                    <w:t>Additional complexity components (applicable fees for Example 5)</w:t>
                  </w:r>
                </w:p>
                <w:tbl>
                  <w:tblPr>
                    <w:tblStyle w:val="TableGrid"/>
                    <w:tblW w:w="0" w:type="auto"/>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one" w:sz="0" w:space="0" w:color="auto"/>
                    </w:tblBorders>
                    <w:tblLook w:val="04A0"/>
                  </w:tblPr>
                  <w:tblGrid>
                    <w:gridCol w:w="810"/>
                    <w:gridCol w:w="3806"/>
                    <w:gridCol w:w="3597"/>
                    <w:gridCol w:w="1715"/>
                  </w:tblGrid>
                  <w:tr w:rsidR="000D637E" w:rsidRPr="0067320C" w:rsidTr="00E237DB">
                    <w:trPr>
                      <w:cnfStyle w:val="100000000000"/>
                      <w:cantSplit/>
                      <w:trHeight w:val="761"/>
                      <w:tblHeader/>
                    </w:trPr>
                    <w:tc>
                      <w:tcPr>
                        <w:tcW w:w="810" w:type="dxa"/>
                        <w:tcBorders>
                          <w:bottom w:val="single" w:sz="4" w:space="0" w:color="548DD4" w:themeColor="text2" w:themeTint="99"/>
                          <w:right w:val="single" w:sz="4" w:space="0" w:color="548DD4" w:themeColor="text2" w:themeTint="99"/>
                        </w:tcBorders>
                        <w:shd w:val="clear" w:color="auto" w:fill="8DB3E2" w:themeFill="text2" w:themeFillTint="66"/>
                      </w:tcPr>
                      <w:p w:rsidR="000D637E" w:rsidRPr="0067320C" w:rsidRDefault="000D637E" w:rsidP="003A1E94">
                        <w:pPr>
                          <w:jc w:val="center"/>
                          <w:rPr>
                            <w:b/>
                            <w:sz w:val="16"/>
                            <w:szCs w:val="16"/>
                          </w:rPr>
                        </w:pPr>
                        <w:r w:rsidRPr="0067320C">
                          <w:rPr>
                            <w:b/>
                            <w:sz w:val="16"/>
                            <w:szCs w:val="16"/>
                          </w:rPr>
                          <w:t>Fee Ref.*</w:t>
                        </w:r>
                      </w:p>
                    </w:tc>
                    <w:tc>
                      <w:tcPr>
                        <w:tcW w:w="3806"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67320C" w:rsidRDefault="000D637E" w:rsidP="003A1E94">
                        <w:pPr>
                          <w:jc w:val="center"/>
                          <w:rPr>
                            <w:b/>
                            <w:sz w:val="16"/>
                            <w:szCs w:val="16"/>
                          </w:rPr>
                        </w:pPr>
                        <w:r w:rsidRPr="0067320C">
                          <w:rPr>
                            <w:b/>
                            <w:sz w:val="16"/>
                            <w:szCs w:val="16"/>
                          </w:rPr>
                          <w:t>Project characteristics</w:t>
                        </w:r>
                      </w:p>
                    </w:tc>
                    <w:tc>
                      <w:tcPr>
                        <w:tcW w:w="3597" w:type="dxa"/>
                        <w:tcBorders>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67320C" w:rsidRDefault="000D637E" w:rsidP="003A1E94">
                        <w:pPr>
                          <w:jc w:val="center"/>
                          <w:rPr>
                            <w:b/>
                            <w:sz w:val="16"/>
                            <w:szCs w:val="16"/>
                          </w:rPr>
                        </w:pPr>
                        <w:r w:rsidRPr="0067320C">
                          <w:rPr>
                            <w:b/>
                            <w:sz w:val="16"/>
                            <w:szCs w:val="16"/>
                          </w:rPr>
                          <w:t>Additional resources required during the assessment process</w:t>
                        </w:r>
                      </w:p>
                    </w:tc>
                    <w:tc>
                      <w:tcPr>
                        <w:tcW w:w="1715" w:type="dxa"/>
                        <w:tcBorders>
                          <w:left w:val="single" w:sz="4" w:space="0" w:color="548DD4" w:themeColor="text2" w:themeTint="99"/>
                          <w:bottom w:val="single" w:sz="4" w:space="0" w:color="548DD4" w:themeColor="text2" w:themeTint="99"/>
                        </w:tcBorders>
                        <w:shd w:val="clear" w:color="auto" w:fill="8DB3E2" w:themeFill="text2" w:themeFillTint="66"/>
                        <w:vAlign w:val="center"/>
                      </w:tcPr>
                      <w:p w:rsidR="000D637E" w:rsidRPr="0067320C" w:rsidRDefault="000D637E" w:rsidP="003A1E94">
                        <w:pPr>
                          <w:jc w:val="center"/>
                          <w:rPr>
                            <w:b/>
                            <w:sz w:val="16"/>
                            <w:szCs w:val="16"/>
                          </w:rPr>
                        </w:pPr>
                        <w:r w:rsidRPr="0067320C">
                          <w:rPr>
                            <w:b/>
                            <w:sz w:val="16"/>
                            <w:szCs w:val="16"/>
                          </w:rPr>
                          <w:t>Complexity costs</w:t>
                        </w:r>
                      </w:p>
                    </w:tc>
                  </w:tr>
                  <w:tr w:rsidR="000D637E" w:rsidRPr="0067320C" w:rsidTr="00E237DB">
                    <w:trPr>
                      <w:cnfStyle w:val="000000100000"/>
                      <w:cantSplit/>
                      <w:trHeight w:val="257"/>
                    </w:trPr>
                    <w:tc>
                      <w:tcPr>
                        <w:tcW w:w="4616" w:type="dxa"/>
                        <w:gridSpan w:val="2"/>
                        <w:shd w:val="clear" w:color="auto" w:fill="C6D9F1" w:themeFill="text2" w:themeFillTint="33"/>
                        <w:vAlign w:val="bottom"/>
                      </w:tcPr>
                      <w:p w:rsidR="000D637E" w:rsidRPr="0067320C" w:rsidRDefault="000D637E" w:rsidP="003A1E94">
                        <w:pPr>
                          <w:rPr>
                            <w:sz w:val="16"/>
                            <w:szCs w:val="16"/>
                          </w:rPr>
                        </w:pPr>
                        <w:r w:rsidRPr="0067320C">
                          <w:rPr>
                            <w:sz w:val="16"/>
                            <w:szCs w:val="16"/>
                          </w:rPr>
                          <w:t>Controlling provisions triggered</w:t>
                        </w:r>
                      </w:p>
                    </w:tc>
                    <w:tc>
                      <w:tcPr>
                        <w:tcW w:w="3597" w:type="dxa"/>
                        <w:shd w:val="clear" w:color="auto" w:fill="C6D9F1" w:themeFill="text2" w:themeFillTint="33"/>
                      </w:tcPr>
                      <w:p w:rsidR="000D637E" w:rsidRPr="0067320C" w:rsidRDefault="000D637E" w:rsidP="003A1E94">
                        <w:pPr>
                          <w:rPr>
                            <w:sz w:val="16"/>
                            <w:szCs w:val="16"/>
                          </w:rPr>
                        </w:pPr>
                      </w:p>
                    </w:tc>
                    <w:tc>
                      <w:tcPr>
                        <w:tcW w:w="1715" w:type="dxa"/>
                        <w:shd w:val="clear" w:color="auto" w:fill="C6D9F1" w:themeFill="text2" w:themeFillTint="33"/>
                      </w:tcPr>
                      <w:p w:rsidR="000D637E" w:rsidRPr="0067320C" w:rsidDel="00EE5F6F" w:rsidRDefault="000D637E" w:rsidP="003A1E94">
                        <w:pPr>
                          <w:rPr>
                            <w:sz w:val="16"/>
                            <w:szCs w:val="16"/>
                          </w:rPr>
                        </w:pPr>
                      </w:p>
                    </w:tc>
                  </w:tr>
                  <w:tr w:rsidR="000D637E" w:rsidRPr="0067320C" w:rsidTr="00E237DB">
                    <w:trPr>
                      <w:cnfStyle w:val="000000010000"/>
                      <w:cantSplit/>
                      <w:trHeight w:val="1029"/>
                    </w:trPr>
                    <w:tc>
                      <w:tcPr>
                        <w:tcW w:w="810" w:type="dxa"/>
                        <w:vAlign w:val="center"/>
                      </w:tcPr>
                      <w:p w:rsidR="000D637E" w:rsidRPr="0067320C" w:rsidRDefault="000D637E" w:rsidP="003A1E94">
                        <w:pPr>
                          <w:jc w:val="center"/>
                          <w:rPr>
                            <w:sz w:val="16"/>
                            <w:szCs w:val="16"/>
                          </w:rPr>
                        </w:pPr>
                        <w:r w:rsidRPr="00AF7F9B">
                          <w:rPr>
                            <w:sz w:val="18"/>
                            <w:szCs w:val="18"/>
                          </w:rPr>
                          <w:t>A</w:t>
                        </w:r>
                      </w:p>
                    </w:tc>
                    <w:tc>
                      <w:tcPr>
                        <w:tcW w:w="3806" w:type="dxa"/>
                      </w:tcPr>
                      <w:p w:rsidR="000D637E" w:rsidRPr="0067320C" w:rsidRDefault="000D637E" w:rsidP="003A1E94">
                        <w:pPr>
                          <w:pStyle w:val="ListParagraph"/>
                          <w:ind w:left="0"/>
                          <w:rPr>
                            <w:sz w:val="16"/>
                            <w:szCs w:val="16"/>
                          </w:rPr>
                        </w:pPr>
                        <w:r w:rsidRPr="00AF7F9B">
                          <w:rPr>
                            <w:sz w:val="18"/>
                            <w:szCs w:val="18"/>
                          </w:rPr>
                          <w:t>Impacts are considered high complexity based on 10 EPBC Act listed threatened species / ecological communities requiring further assessment - 12 points</w:t>
                        </w:r>
                      </w:p>
                    </w:tc>
                    <w:tc>
                      <w:tcPr>
                        <w:tcW w:w="3597" w:type="dxa"/>
                      </w:tcPr>
                      <w:p w:rsidR="000D637E" w:rsidRPr="00BB0D63" w:rsidRDefault="000D637E" w:rsidP="00A45F70">
                        <w:pPr>
                          <w:rPr>
                            <w:sz w:val="18"/>
                            <w:szCs w:val="18"/>
                          </w:rPr>
                        </w:pPr>
                        <w:r w:rsidRPr="00BB0D63">
                          <w:rPr>
                            <w:sz w:val="18"/>
                            <w:szCs w:val="18"/>
                          </w:rPr>
                          <w:t>Threatened species (high complexity):</w:t>
                        </w:r>
                      </w:p>
                      <w:p w:rsidR="000D637E" w:rsidRPr="00BB0D63" w:rsidRDefault="000D637E" w:rsidP="008A56A0">
                        <w:pPr>
                          <w:pStyle w:val="ListParagraph"/>
                          <w:numPr>
                            <w:ilvl w:val="0"/>
                            <w:numId w:val="7"/>
                          </w:numPr>
                          <w:spacing w:after="0" w:line="240" w:lineRule="auto"/>
                          <w:ind w:left="360"/>
                          <w:contextualSpacing/>
                          <w:rPr>
                            <w:sz w:val="18"/>
                            <w:szCs w:val="18"/>
                          </w:rPr>
                        </w:pPr>
                        <w:r w:rsidRPr="00BB0D63">
                          <w:rPr>
                            <w:sz w:val="18"/>
                            <w:szCs w:val="18"/>
                          </w:rPr>
                          <w:t>Assessment Officer—24 days</w:t>
                        </w:r>
                      </w:p>
                      <w:p w:rsidR="000D637E" w:rsidRPr="00BB0D63" w:rsidRDefault="000D637E" w:rsidP="008A56A0">
                        <w:pPr>
                          <w:pStyle w:val="ListParagraph"/>
                          <w:numPr>
                            <w:ilvl w:val="0"/>
                            <w:numId w:val="7"/>
                          </w:numPr>
                          <w:spacing w:after="0" w:line="240" w:lineRule="auto"/>
                          <w:ind w:left="360"/>
                          <w:contextualSpacing/>
                          <w:rPr>
                            <w:sz w:val="18"/>
                            <w:szCs w:val="18"/>
                          </w:rPr>
                        </w:pPr>
                        <w:r w:rsidRPr="00BB0D63">
                          <w:rPr>
                            <w:sz w:val="18"/>
                            <w:szCs w:val="18"/>
                          </w:rPr>
                          <w:t>Assistant Director—12 days</w:t>
                        </w:r>
                      </w:p>
                      <w:p w:rsidR="000D637E" w:rsidRPr="0067320C" w:rsidRDefault="000D637E" w:rsidP="008A56A0">
                        <w:pPr>
                          <w:pStyle w:val="ListParagraph"/>
                          <w:numPr>
                            <w:ilvl w:val="0"/>
                            <w:numId w:val="7"/>
                          </w:numPr>
                          <w:spacing w:after="0" w:line="240" w:lineRule="auto"/>
                          <w:ind w:left="459" w:hanging="459"/>
                          <w:contextualSpacing/>
                          <w:rPr>
                            <w:sz w:val="16"/>
                            <w:szCs w:val="16"/>
                          </w:rPr>
                        </w:pPr>
                        <w:r w:rsidRPr="00BB0D63">
                          <w:rPr>
                            <w:sz w:val="18"/>
                            <w:szCs w:val="18"/>
                          </w:rPr>
                          <w:t>Director—4 days</w:t>
                        </w:r>
                      </w:p>
                    </w:tc>
                    <w:tc>
                      <w:tcPr>
                        <w:tcW w:w="1715" w:type="dxa"/>
                        <w:vAlign w:val="center"/>
                      </w:tcPr>
                      <w:p w:rsidR="000D637E" w:rsidRPr="0067320C" w:rsidRDefault="000D637E" w:rsidP="003A1E94">
                        <w:pPr>
                          <w:jc w:val="center"/>
                          <w:rPr>
                            <w:sz w:val="16"/>
                            <w:szCs w:val="16"/>
                          </w:rPr>
                        </w:pPr>
                        <w:r w:rsidRPr="00BB0D63">
                          <w:rPr>
                            <w:sz w:val="18"/>
                            <w:szCs w:val="18"/>
                          </w:rPr>
                          <w:t>$21,852</w:t>
                        </w:r>
                      </w:p>
                    </w:tc>
                  </w:tr>
                  <w:tr w:rsidR="000D637E" w:rsidRPr="0067320C" w:rsidTr="00E237DB">
                    <w:trPr>
                      <w:cnfStyle w:val="000000100000"/>
                      <w:cantSplit/>
                      <w:trHeight w:val="993"/>
                    </w:trPr>
                    <w:tc>
                      <w:tcPr>
                        <w:tcW w:w="810" w:type="dxa"/>
                        <w:vAlign w:val="center"/>
                      </w:tcPr>
                      <w:p w:rsidR="000D637E" w:rsidRPr="0067320C" w:rsidDel="00EE5F6F" w:rsidRDefault="000D637E" w:rsidP="003A1E94">
                        <w:pPr>
                          <w:jc w:val="center"/>
                          <w:rPr>
                            <w:sz w:val="16"/>
                            <w:szCs w:val="16"/>
                          </w:rPr>
                        </w:pPr>
                        <w:r w:rsidRPr="00AF7F9B">
                          <w:rPr>
                            <w:sz w:val="18"/>
                            <w:szCs w:val="18"/>
                          </w:rPr>
                          <w:t>B</w:t>
                        </w:r>
                      </w:p>
                    </w:tc>
                    <w:tc>
                      <w:tcPr>
                        <w:tcW w:w="3806" w:type="dxa"/>
                      </w:tcPr>
                      <w:p w:rsidR="000D637E" w:rsidRPr="0067320C" w:rsidRDefault="000D637E" w:rsidP="003A1E94">
                        <w:pPr>
                          <w:pStyle w:val="ListParagraph"/>
                          <w:ind w:left="0"/>
                          <w:rPr>
                            <w:sz w:val="16"/>
                            <w:szCs w:val="16"/>
                          </w:rPr>
                        </w:pPr>
                        <w:r w:rsidRPr="00AF7F9B">
                          <w:rPr>
                            <w:sz w:val="18"/>
                            <w:szCs w:val="18"/>
                          </w:rPr>
                          <w:t>Migratory species: The port infrastructure is proposed to be constructed over habitat that provides foraging habitat for migratory species (one species category).</w:t>
                        </w:r>
                      </w:p>
                    </w:tc>
                    <w:tc>
                      <w:tcPr>
                        <w:tcW w:w="3597" w:type="dxa"/>
                      </w:tcPr>
                      <w:p w:rsidR="000D637E" w:rsidRPr="00BB0D63" w:rsidRDefault="000D637E" w:rsidP="00A45F70">
                        <w:pPr>
                          <w:rPr>
                            <w:sz w:val="18"/>
                            <w:szCs w:val="18"/>
                          </w:rPr>
                        </w:pPr>
                        <w:r w:rsidRPr="00BB0D63">
                          <w:rPr>
                            <w:sz w:val="18"/>
                            <w:szCs w:val="18"/>
                          </w:rPr>
                          <w:t>Migratory species (moderate complexity):</w:t>
                        </w:r>
                      </w:p>
                      <w:p w:rsidR="000D637E" w:rsidRPr="00BB0D63" w:rsidRDefault="000D637E" w:rsidP="008A56A0">
                        <w:pPr>
                          <w:pStyle w:val="ListParagraph"/>
                          <w:numPr>
                            <w:ilvl w:val="0"/>
                            <w:numId w:val="7"/>
                          </w:numPr>
                          <w:spacing w:after="0" w:line="240" w:lineRule="auto"/>
                          <w:ind w:left="360"/>
                          <w:contextualSpacing/>
                          <w:rPr>
                            <w:sz w:val="18"/>
                            <w:szCs w:val="18"/>
                          </w:rPr>
                        </w:pPr>
                        <w:r w:rsidRPr="00BB0D63">
                          <w:rPr>
                            <w:sz w:val="18"/>
                            <w:szCs w:val="18"/>
                          </w:rPr>
                          <w:t>Assessment Officer—6 days</w:t>
                        </w:r>
                      </w:p>
                      <w:p w:rsidR="000D637E" w:rsidRPr="00BB0D63" w:rsidRDefault="000D637E" w:rsidP="008A56A0">
                        <w:pPr>
                          <w:pStyle w:val="ListParagraph"/>
                          <w:numPr>
                            <w:ilvl w:val="0"/>
                            <w:numId w:val="7"/>
                          </w:numPr>
                          <w:spacing w:after="0" w:line="240" w:lineRule="auto"/>
                          <w:ind w:left="360"/>
                          <w:contextualSpacing/>
                          <w:rPr>
                            <w:sz w:val="18"/>
                            <w:szCs w:val="18"/>
                          </w:rPr>
                        </w:pPr>
                        <w:r w:rsidRPr="00BB0D63">
                          <w:rPr>
                            <w:sz w:val="18"/>
                            <w:szCs w:val="18"/>
                          </w:rPr>
                          <w:t>Assistant Director—3 days</w:t>
                        </w:r>
                      </w:p>
                      <w:p w:rsidR="000D637E" w:rsidRPr="0067320C" w:rsidRDefault="000D637E" w:rsidP="008A56A0">
                        <w:pPr>
                          <w:numPr>
                            <w:ilvl w:val="0"/>
                            <w:numId w:val="7"/>
                          </w:numPr>
                          <w:spacing w:after="0" w:line="240" w:lineRule="auto"/>
                          <w:ind w:left="459" w:hanging="426"/>
                          <w:rPr>
                            <w:sz w:val="16"/>
                            <w:szCs w:val="16"/>
                          </w:rPr>
                        </w:pPr>
                        <w:r w:rsidRPr="00BB0D63">
                          <w:rPr>
                            <w:sz w:val="18"/>
                            <w:szCs w:val="18"/>
                          </w:rPr>
                          <w:t>Director—1 days</w:t>
                        </w:r>
                      </w:p>
                    </w:tc>
                    <w:tc>
                      <w:tcPr>
                        <w:tcW w:w="1715" w:type="dxa"/>
                        <w:vAlign w:val="center"/>
                      </w:tcPr>
                      <w:p w:rsidR="000D637E" w:rsidRPr="0067320C" w:rsidDel="00EE5F6F" w:rsidRDefault="000D637E" w:rsidP="00937D18">
                        <w:pPr>
                          <w:jc w:val="center"/>
                          <w:rPr>
                            <w:sz w:val="16"/>
                            <w:szCs w:val="16"/>
                          </w:rPr>
                        </w:pPr>
                        <w:r w:rsidRPr="00BB0D63">
                          <w:rPr>
                            <w:sz w:val="18"/>
                            <w:szCs w:val="18"/>
                          </w:rPr>
                          <w:t>$5,463</w:t>
                        </w:r>
                      </w:p>
                    </w:tc>
                  </w:tr>
                  <w:tr w:rsidR="000D637E" w:rsidRPr="0067320C" w:rsidTr="00E237DB">
                    <w:trPr>
                      <w:cnfStyle w:val="000000010000"/>
                      <w:cantSplit/>
                      <w:trHeight w:val="993"/>
                    </w:trPr>
                    <w:tc>
                      <w:tcPr>
                        <w:tcW w:w="810" w:type="dxa"/>
                        <w:tcBorders>
                          <w:bottom w:val="single" w:sz="4" w:space="0" w:color="548DD4" w:themeColor="text2" w:themeTint="99"/>
                        </w:tcBorders>
                        <w:vAlign w:val="center"/>
                      </w:tcPr>
                      <w:p w:rsidR="000D637E" w:rsidRPr="00AF7F9B" w:rsidRDefault="000D637E" w:rsidP="00391E9A">
                        <w:pPr>
                          <w:jc w:val="center"/>
                          <w:rPr>
                            <w:sz w:val="18"/>
                            <w:szCs w:val="18"/>
                          </w:rPr>
                        </w:pPr>
                        <w:r w:rsidRPr="00AF7F9B">
                          <w:rPr>
                            <w:sz w:val="18"/>
                            <w:szCs w:val="18"/>
                          </w:rPr>
                          <w:t>D</w:t>
                        </w:r>
                      </w:p>
                    </w:tc>
                    <w:tc>
                      <w:tcPr>
                        <w:tcW w:w="3806" w:type="dxa"/>
                        <w:tcBorders>
                          <w:bottom w:val="single" w:sz="4" w:space="0" w:color="548DD4" w:themeColor="text2" w:themeTint="99"/>
                        </w:tcBorders>
                      </w:tcPr>
                      <w:p w:rsidR="000D637E" w:rsidRPr="00AF7F9B" w:rsidRDefault="000D637E" w:rsidP="00391E9A">
                        <w:pPr>
                          <w:pStyle w:val="ListParagraph"/>
                          <w:ind w:left="0"/>
                          <w:rPr>
                            <w:sz w:val="18"/>
                            <w:szCs w:val="18"/>
                          </w:rPr>
                        </w:pPr>
                        <w:r w:rsidRPr="00AF7F9B">
                          <w:rPr>
                            <w:sz w:val="18"/>
                            <w:szCs w:val="18"/>
                          </w:rPr>
                          <w:t>Commonwealth marine area: This project will involve considerable dredging extending into the Commonwealth marine environment.  The dredge plume is likely to impact on some coral communities in the Commonwealth marine environment.</w:t>
                        </w:r>
                      </w:p>
                    </w:tc>
                    <w:tc>
                      <w:tcPr>
                        <w:tcW w:w="3597" w:type="dxa"/>
                        <w:tcBorders>
                          <w:bottom w:val="single" w:sz="4" w:space="0" w:color="548DD4" w:themeColor="text2" w:themeTint="99"/>
                        </w:tcBorders>
                      </w:tcPr>
                      <w:p w:rsidR="000D637E" w:rsidRPr="00BB0D63" w:rsidRDefault="000D637E" w:rsidP="00A45F70">
                        <w:pPr>
                          <w:rPr>
                            <w:sz w:val="18"/>
                            <w:szCs w:val="18"/>
                          </w:rPr>
                        </w:pPr>
                        <w:r w:rsidRPr="00BB0D63">
                          <w:rPr>
                            <w:sz w:val="18"/>
                            <w:szCs w:val="18"/>
                          </w:rPr>
                          <w:t>Commonwealth marine area (high complexity):</w:t>
                        </w:r>
                      </w:p>
                      <w:p w:rsidR="000D637E" w:rsidRPr="00BB0D63" w:rsidRDefault="000D637E" w:rsidP="008A56A0">
                        <w:pPr>
                          <w:numPr>
                            <w:ilvl w:val="0"/>
                            <w:numId w:val="7"/>
                          </w:numPr>
                          <w:spacing w:after="0" w:line="240" w:lineRule="auto"/>
                          <w:rPr>
                            <w:sz w:val="18"/>
                            <w:szCs w:val="18"/>
                          </w:rPr>
                        </w:pPr>
                        <w:r w:rsidRPr="00BB0D63">
                          <w:rPr>
                            <w:sz w:val="18"/>
                            <w:szCs w:val="18"/>
                          </w:rPr>
                          <w:t>Assessment Officer—24 days</w:t>
                        </w:r>
                      </w:p>
                      <w:p w:rsidR="000D637E" w:rsidRPr="00BB0D63" w:rsidRDefault="000D637E" w:rsidP="008A56A0">
                        <w:pPr>
                          <w:numPr>
                            <w:ilvl w:val="0"/>
                            <w:numId w:val="7"/>
                          </w:numPr>
                          <w:spacing w:after="0" w:line="240" w:lineRule="auto"/>
                          <w:rPr>
                            <w:sz w:val="18"/>
                            <w:szCs w:val="18"/>
                          </w:rPr>
                        </w:pPr>
                        <w:r w:rsidRPr="00BB0D63">
                          <w:rPr>
                            <w:sz w:val="18"/>
                            <w:szCs w:val="18"/>
                          </w:rPr>
                          <w:t>Assistant Director—12 days</w:t>
                        </w:r>
                      </w:p>
                      <w:p w:rsidR="000D637E" w:rsidRPr="00BB0D63" w:rsidRDefault="000D637E" w:rsidP="008A56A0">
                        <w:pPr>
                          <w:numPr>
                            <w:ilvl w:val="0"/>
                            <w:numId w:val="7"/>
                          </w:numPr>
                          <w:spacing w:after="0" w:line="240" w:lineRule="auto"/>
                          <w:rPr>
                            <w:sz w:val="18"/>
                            <w:szCs w:val="18"/>
                          </w:rPr>
                        </w:pPr>
                        <w:r w:rsidRPr="00BB0D63">
                          <w:rPr>
                            <w:sz w:val="18"/>
                            <w:szCs w:val="18"/>
                          </w:rPr>
                          <w:t>Director—4 days</w:t>
                        </w:r>
                      </w:p>
                    </w:tc>
                    <w:tc>
                      <w:tcPr>
                        <w:tcW w:w="1715" w:type="dxa"/>
                        <w:tcBorders>
                          <w:bottom w:val="single" w:sz="4" w:space="0" w:color="548DD4" w:themeColor="text2" w:themeTint="99"/>
                        </w:tcBorders>
                        <w:vAlign w:val="center"/>
                      </w:tcPr>
                      <w:p w:rsidR="000D637E" w:rsidRPr="00BB0D63" w:rsidRDefault="000D637E" w:rsidP="00391E9A">
                        <w:pPr>
                          <w:jc w:val="center"/>
                          <w:rPr>
                            <w:sz w:val="18"/>
                            <w:szCs w:val="18"/>
                          </w:rPr>
                        </w:pPr>
                        <w:r w:rsidRPr="00BB0D63">
                          <w:rPr>
                            <w:sz w:val="18"/>
                            <w:szCs w:val="18"/>
                          </w:rPr>
                          <w:t>$21</w:t>
                        </w:r>
                        <w:r>
                          <w:rPr>
                            <w:sz w:val="18"/>
                            <w:szCs w:val="18"/>
                          </w:rPr>
                          <w:t>,</w:t>
                        </w:r>
                        <w:r w:rsidRPr="00BB0D63">
                          <w:rPr>
                            <w:sz w:val="18"/>
                            <w:szCs w:val="18"/>
                          </w:rPr>
                          <w:t>852</w:t>
                        </w:r>
                      </w:p>
                    </w:tc>
                  </w:tr>
                  <w:tr w:rsidR="000D637E" w:rsidRPr="0067320C" w:rsidTr="00E237DB">
                    <w:trPr>
                      <w:cnfStyle w:val="000000100000"/>
                      <w:cantSplit/>
                      <w:trHeight w:val="501"/>
                    </w:trPr>
                    <w:tc>
                      <w:tcPr>
                        <w:tcW w:w="4616" w:type="dxa"/>
                        <w:gridSpan w:val="2"/>
                        <w:shd w:val="clear" w:color="auto" w:fill="C6D9F1" w:themeFill="text2" w:themeFillTint="33"/>
                        <w:vAlign w:val="bottom"/>
                      </w:tcPr>
                      <w:p w:rsidR="000D637E" w:rsidRPr="0067320C" w:rsidRDefault="000D637E" w:rsidP="003A1E94">
                        <w:pPr>
                          <w:rPr>
                            <w:sz w:val="16"/>
                            <w:szCs w:val="16"/>
                          </w:rPr>
                        </w:pPr>
                        <w:r w:rsidRPr="0067320C">
                          <w:rPr>
                            <w:sz w:val="16"/>
                            <w:szCs w:val="16"/>
                          </w:rPr>
                          <w:t>Project components</w:t>
                        </w:r>
                      </w:p>
                    </w:tc>
                    <w:tc>
                      <w:tcPr>
                        <w:tcW w:w="3597" w:type="dxa"/>
                        <w:shd w:val="clear" w:color="auto" w:fill="C6D9F1" w:themeFill="text2" w:themeFillTint="33"/>
                      </w:tcPr>
                      <w:p w:rsidR="000D637E" w:rsidRPr="0067320C" w:rsidRDefault="000D637E" w:rsidP="003A1E94">
                        <w:pPr>
                          <w:pStyle w:val="ListParagraph"/>
                          <w:ind w:left="0"/>
                          <w:rPr>
                            <w:sz w:val="16"/>
                            <w:szCs w:val="16"/>
                          </w:rPr>
                        </w:pPr>
                      </w:p>
                    </w:tc>
                    <w:tc>
                      <w:tcPr>
                        <w:tcW w:w="1715" w:type="dxa"/>
                        <w:shd w:val="clear" w:color="auto" w:fill="C6D9F1" w:themeFill="text2" w:themeFillTint="33"/>
                      </w:tcPr>
                      <w:p w:rsidR="000D637E" w:rsidRPr="0067320C" w:rsidRDefault="000D637E" w:rsidP="003A1E94">
                        <w:pPr>
                          <w:jc w:val="center"/>
                          <w:rPr>
                            <w:sz w:val="16"/>
                            <w:szCs w:val="16"/>
                          </w:rPr>
                        </w:pPr>
                      </w:p>
                    </w:tc>
                  </w:tr>
                  <w:tr w:rsidR="000D637E" w:rsidRPr="0067320C" w:rsidTr="00E237DB">
                    <w:trPr>
                      <w:cnfStyle w:val="000000010000"/>
                      <w:cantSplit/>
                      <w:trHeight w:val="1282"/>
                    </w:trPr>
                    <w:tc>
                      <w:tcPr>
                        <w:tcW w:w="810" w:type="dxa"/>
                        <w:tcBorders>
                          <w:bottom w:val="single" w:sz="4" w:space="0" w:color="548DD4" w:themeColor="text2" w:themeTint="99"/>
                        </w:tcBorders>
                        <w:vAlign w:val="center"/>
                      </w:tcPr>
                      <w:p w:rsidR="000D637E" w:rsidRPr="003074D3" w:rsidRDefault="000D637E" w:rsidP="003A1E94">
                        <w:pPr>
                          <w:jc w:val="center"/>
                          <w:rPr>
                            <w:sz w:val="18"/>
                            <w:szCs w:val="18"/>
                          </w:rPr>
                        </w:pPr>
                        <w:r w:rsidRPr="003074D3">
                          <w:rPr>
                            <w:sz w:val="18"/>
                            <w:szCs w:val="18"/>
                          </w:rPr>
                          <w:t>K</w:t>
                        </w:r>
                      </w:p>
                    </w:tc>
                    <w:tc>
                      <w:tcPr>
                        <w:tcW w:w="3806" w:type="dxa"/>
                        <w:tcBorders>
                          <w:bottom w:val="single" w:sz="4" w:space="0" w:color="548DD4" w:themeColor="text2" w:themeTint="99"/>
                        </w:tcBorders>
                      </w:tcPr>
                      <w:p w:rsidR="000D637E" w:rsidRPr="006C70EA" w:rsidRDefault="000D637E" w:rsidP="003A1E94">
                        <w:pPr>
                          <w:pStyle w:val="ListParagraph"/>
                          <w:ind w:left="0"/>
                          <w:rPr>
                            <w:sz w:val="18"/>
                            <w:szCs w:val="18"/>
                          </w:rPr>
                        </w:pPr>
                        <w:r>
                          <w:rPr>
                            <w:sz w:val="18"/>
                            <w:szCs w:val="18"/>
                          </w:rPr>
                          <w:t>Four:</w:t>
                        </w:r>
                      </w:p>
                      <w:p w:rsidR="000D637E" w:rsidRDefault="000D637E">
                        <w:pPr>
                          <w:pStyle w:val="ListBullet"/>
                          <w:rPr>
                            <w:sz w:val="18"/>
                            <w:szCs w:val="18"/>
                          </w:rPr>
                        </w:pPr>
                        <w:r w:rsidRPr="00CA3ABF">
                          <w:rPr>
                            <w:sz w:val="18"/>
                            <w:szCs w:val="18"/>
                          </w:rPr>
                          <w:t>mine</w:t>
                        </w:r>
                      </w:p>
                      <w:p w:rsidR="000D637E" w:rsidRDefault="000D637E">
                        <w:pPr>
                          <w:pStyle w:val="ListBullet"/>
                          <w:rPr>
                            <w:sz w:val="18"/>
                            <w:szCs w:val="18"/>
                          </w:rPr>
                        </w:pPr>
                        <w:r w:rsidRPr="00CA3ABF">
                          <w:rPr>
                            <w:sz w:val="18"/>
                            <w:szCs w:val="18"/>
                          </w:rPr>
                          <w:t>rail line</w:t>
                        </w:r>
                      </w:p>
                      <w:p w:rsidR="000D637E" w:rsidRDefault="000D637E">
                        <w:pPr>
                          <w:pStyle w:val="ListBullet"/>
                          <w:rPr>
                            <w:sz w:val="18"/>
                            <w:szCs w:val="18"/>
                          </w:rPr>
                        </w:pPr>
                        <w:r w:rsidRPr="00CA3ABF">
                          <w:rPr>
                            <w:sz w:val="18"/>
                            <w:szCs w:val="18"/>
                          </w:rPr>
                          <w:t>onshore infrastructure</w:t>
                        </w:r>
                      </w:p>
                      <w:p w:rsidR="000D637E" w:rsidRDefault="000D637E">
                        <w:pPr>
                          <w:pStyle w:val="ListBullet"/>
                        </w:pPr>
                        <w:proofErr w:type="gramStart"/>
                        <w:r w:rsidRPr="00CA3ABF">
                          <w:rPr>
                            <w:sz w:val="18"/>
                            <w:szCs w:val="18"/>
                          </w:rPr>
                          <w:t>offshore</w:t>
                        </w:r>
                        <w:proofErr w:type="gramEnd"/>
                        <w:r w:rsidRPr="00CA3ABF">
                          <w:rPr>
                            <w:sz w:val="18"/>
                            <w:szCs w:val="18"/>
                          </w:rPr>
                          <w:t xml:space="preserve"> dredging.</w:t>
                        </w:r>
                      </w:p>
                    </w:tc>
                    <w:tc>
                      <w:tcPr>
                        <w:tcW w:w="3597" w:type="dxa"/>
                        <w:tcBorders>
                          <w:bottom w:val="single" w:sz="4" w:space="0" w:color="548DD4" w:themeColor="text2" w:themeTint="99"/>
                        </w:tcBorders>
                      </w:tcPr>
                      <w:p w:rsidR="000D637E" w:rsidRPr="006C70EA" w:rsidRDefault="000D637E" w:rsidP="003A1E94">
                        <w:pPr>
                          <w:rPr>
                            <w:sz w:val="18"/>
                            <w:szCs w:val="18"/>
                          </w:rPr>
                        </w:pPr>
                        <w:r>
                          <w:rPr>
                            <w:sz w:val="18"/>
                            <w:szCs w:val="18"/>
                          </w:rPr>
                          <w:t xml:space="preserve">Each additional project component increases the Department’s workload by the basic assessment cost (that is, the cost of assessing one project component). </w:t>
                        </w:r>
                      </w:p>
                      <w:p w:rsidR="000D637E" w:rsidRDefault="000D637E">
                        <w:pPr>
                          <w:pStyle w:val="ListBullet"/>
                          <w:rPr>
                            <w:sz w:val="18"/>
                            <w:szCs w:val="18"/>
                          </w:rPr>
                        </w:pPr>
                        <w:r w:rsidRPr="00CA3ABF">
                          <w:rPr>
                            <w:sz w:val="18"/>
                            <w:szCs w:val="18"/>
                          </w:rPr>
                          <w:t xml:space="preserve">Base cost of assessment x 3 </w:t>
                        </w:r>
                      </w:p>
                    </w:tc>
                    <w:tc>
                      <w:tcPr>
                        <w:tcW w:w="1715" w:type="dxa"/>
                        <w:tcBorders>
                          <w:bottom w:val="single" w:sz="4" w:space="0" w:color="548DD4" w:themeColor="text2" w:themeTint="99"/>
                        </w:tcBorders>
                        <w:vAlign w:val="center"/>
                      </w:tcPr>
                      <w:p w:rsidR="000D637E" w:rsidRPr="006C70EA" w:rsidRDefault="000D637E" w:rsidP="00A45F70">
                        <w:pPr>
                          <w:jc w:val="center"/>
                          <w:rPr>
                            <w:sz w:val="18"/>
                            <w:szCs w:val="18"/>
                          </w:rPr>
                        </w:pPr>
                        <w:r>
                          <w:rPr>
                            <w:sz w:val="18"/>
                            <w:szCs w:val="18"/>
                          </w:rPr>
                          <w:t>$78,128</w:t>
                        </w:r>
                      </w:p>
                    </w:tc>
                  </w:tr>
                  <w:tr w:rsidR="000D637E" w:rsidRPr="0067320C" w:rsidTr="00E237DB">
                    <w:trPr>
                      <w:cnfStyle w:val="000000100000"/>
                      <w:cantSplit/>
                      <w:trHeight w:val="223"/>
                    </w:trPr>
                    <w:tc>
                      <w:tcPr>
                        <w:tcW w:w="8213" w:type="dxa"/>
                        <w:gridSpan w:val="3"/>
                        <w:shd w:val="clear" w:color="auto" w:fill="C6D9F1" w:themeFill="text2" w:themeFillTint="33"/>
                        <w:vAlign w:val="bottom"/>
                      </w:tcPr>
                      <w:p w:rsidR="000D637E" w:rsidRPr="0067320C" w:rsidRDefault="000D637E" w:rsidP="003A1E94">
                        <w:pPr>
                          <w:rPr>
                            <w:sz w:val="16"/>
                            <w:szCs w:val="16"/>
                          </w:rPr>
                        </w:pPr>
                        <w:r w:rsidRPr="0067320C">
                          <w:rPr>
                            <w:sz w:val="16"/>
                            <w:szCs w:val="16"/>
                          </w:rPr>
                          <w:t>Adequacy of information and clarity of project scope</w:t>
                        </w:r>
                      </w:p>
                    </w:tc>
                    <w:tc>
                      <w:tcPr>
                        <w:tcW w:w="1715" w:type="dxa"/>
                        <w:shd w:val="clear" w:color="auto" w:fill="C6D9F1" w:themeFill="text2" w:themeFillTint="33"/>
                      </w:tcPr>
                      <w:p w:rsidR="000D637E" w:rsidRPr="0067320C" w:rsidRDefault="000D637E" w:rsidP="003A1E94">
                        <w:pPr>
                          <w:jc w:val="center"/>
                          <w:rPr>
                            <w:sz w:val="16"/>
                            <w:szCs w:val="16"/>
                          </w:rPr>
                        </w:pPr>
                      </w:p>
                    </w:tc>
                  </w:tr>
                  <w:tr w:rsidR="000D637E" w:rsidRPr="0067320C" w:rsidTr="00E237DB">
                    <w:trPr>
                      <w:cnfStyle w:val="000000010000"/>
                      <w:cantSplit/>
                      <w:trHeight w:val="710"/>
                    </w:trPr>
                    <w:tc>
                      <w:tcPr>
                        <w:tcW w:w="810" w:type="dxa"/>
                        <w:vAlign w:val="center"/>
                      </w:tcPr>
                      <w:p w:rsidR="000D637E" w:rsidRPr="0067320C" w:rsidRDefault="000D637E" w:rsidP="003A1E94">
                        <w:pPr>
                          <w:jc w:val="center"/>
                          <w:rPr>
                            <w:sz w:val="16"/>
                            <w:szCs w:val="16"/>
                          </w:rPr>
                        </w:pPr>
                        <w:r>
                          <w:rPr>
                            <w:sz w:val="16"/>
                            <w:szCs w:val="16"/>
                          </w:rPr>
                          <w:t>M</w:t>
                        </w:r>
                      </w:p>
                    </w:tc>
                    <w:tc>
                      <w:tcPr>
                        <w:tcW w:w="3806" w:type="dxa"/>
                      </w:tcPr>
                      <w:p w:rsidR="000D637E" w:rsidRPr="00AF7F9B" w:rsidRDefault="000D637E" w:rsidP="000C1B29">
                        <w:pPr>
                          <w:rPr>
                            <w:sz w:val="18"/>
                            <w:szCs w:val="18"/>
                          </w:rPr>
                        </w:pPr>
                        <w:r w:rsidRPr="00AF7F9B">
                          <w:rPr>
                            <w:sz w:val="18"/>
                            <w:szCs w:val="18"/>
                          </w:rPr>
                          <w:t xml:space="preserve">No site surveys undertaken offshore, some site surveys undertaken along the rail line, but impacts are not adequately identified and further work is required.  </w:t>
                        </w:r>
                      </w:p>
                    </w:tc>
                    <w:tc>
                      <w:tcPr>
                        <w:tcW w:w="3597" w:type="dxa"/>
                      </w:tcPr>
                      <w:p w:rsidR="000D637E" w:rsidRPr="00AF7F9B" w:rsidRDefault="000D637E" w:rsidP="00A45F70">
                        <w:pPr>
                          <w:rPr>
                            <w:sz w:val="18"/>
                            <w:szCs w:val="18"/>
                          </w:rPr>
                        </w:pPr>
                        <w:r w:rsidRPr="00AF7F9B">
                          <w:rPr>
                            <w:sz w:val="18"/>
                            <w:szCs w:val="18"/>
                          </w:rPr>
                          <w:t>Site surveys (high complexity):</w:t>
                        </w:r>
                      </w:p>
                      <w:p w:rsidR="000D637E" w:rsidRPr="00BB0D63" w:rsidRDefault="000D637E" w:rsidP="008A56A0">
                        <w:pPr>
                          <w:numPr>
                            <w:ilvl w:val="0"/>
                            <w:numId w:val="7"/>
                          </w:numPr>
                          <w:spacing w:after="0" w:line="240" w:lineRule="auto"/>
                          <w:rPr>
                            <w:sz w:val="18"/>
                            <w:szCs w:val="18"/>
                          </w:rPr>
                        </w:pPr>
                        <w:r w:rsidRPr="00BB0D63">
                          <w:rPr>
                            <w:sz w:val="18"/>
                            <w:szCs w:val="18"/>
                          </w:rPr>
                          <w:t>Assessment Officer—70 days</w:t>
                        </w:r>
                      </w:p>
                      <w:p w:rsidR="000D637E" w:rsidRPr="00BB0D63" w:rsidRDefault="000D637E" w:rsidP="008A56A0">
                        <w:pPr>
                          <w:numPr>
                            <w:ilvl w:val="0"/>
                            <w:numId w:val="7"/>
                          </w:numPr>
                          <w:spacing w:after="0" w:line="240" w:lineRule="auto"/>
                          <w:rPr>
                            <w:sz w:val="18"/>
                            <w:szCs w:val="18"/>
                          </w:rPr>
                        </w:pPr>
                        <w:r w:rsidRPr="00BB0D63">
                          <w:rPr>
                            <w:sz w:val="18"/>
                            <w:szCs w:val="18"/>
                          </w:rPr>
                          <w:t>Assistant Director—26 days</w:t>
                        </w:r>
                      </w:p>
                      <w:p w:rsidR="000D637E" w:rsidRPr="00BB0D63" w:rsidRDefault="000D637E" w:rsidP="008A56A0">
                        <w:pPr>
                          <w:numPr>
                            <w:ilvl w:val="0"/>
                            <w:numId w:val="7"/>
                          </w:numPr>
                          <w:spacing w:after="0" w:line="240" w:lineRule="auto"/>
                          <w:rPr>
                            <w:sz w:val="18"/>
                            <w:szCs w:val="18"/>
                          </w:rPr>
                        </w:pPr>
                        <w:r w:rsidRPr="00BB0D63">
                          <w:rPr>
                            <w:sz w:val="18"/>
                            <w:szCs w:val="18"/>
                          </w:rPr>
                          <w:t>Director—10 days</w:t>
                        </w:r>
                      </w:p>
                      <w:p w:rsidR="000D637E" w:rsidRPr="00BB0D63" w:rsidRDefault="000D637E" w:rsidP="008A56A0">
                        <w:pPr>
                          <w:numPr>
                            <w:ilvl w:val="0"/>
                            <w:numId w:val="7"/>
                          </w:numPr>
                          <w:spacing w:after="0" w:line="240" w:lineRule="auto"/>
                          <w:rPr>
                            <w:sz w:val="18"/>
                            <w:szCs w:val="18"/>
                          </w:rPr>
                        </w:pPr>
                        <w:r w:rsidRPr="00BB0D63">
                          <w:rPr>
                            <w:sz w:val="18"/>
                            <w:szCs w:val="18"/>
                          </w:rPr>
                          <w:t>Delegate of the Minister—3.4 days</w:t>
                        </w:r>
                      </w:p>
                      <w:p w:rsidR="000D637E" w:rsidRPr="00AF7F9B" w:rsidRDefault="000D637E" w:rsidP="008A56A0">
                        <w:pPr>
                          <w:numPr>
                            <w:ilvl w:val="0"/>
                            <w:numId w:val="7"/>
                          </w:numPr>
                          <w:spacing w:after="0" w:line="240" w:lineRule="auto"/>
                          <w:rPr>
                            <w:sz w:val="18"/>
                            <w:szCs w:val="18"/>
                          </w:rPr>
                        </w:pPr>
                        <w:r w:rsidRPr="00BB0D63">
                          <w:rPr>
                            <w:sz w:val="18"/>
                            <w:szCs w:val="18"/>
                          </w:rPr>
                          <w:t>External expert—$21,912</w:t>
                        </w:r>
                      </w:p>
                    </w:tc>
                    <w:tc>
                      <w:tcPr>
                        <w:tcW w:w="1715" w:type="dxa"/>
                        <w:vAlign w:val="center"/>
                      </w:tcPr>
                      <w:p w:rsidR="000D637E" w:rsidRPr="0067320C" w:rsidRDefault="000D637E" w:rsidP="00937D18">
                        <w:pPr>
                          <w:jc w:val="center"/>
                          <w:rPr>
                            <w:sz w:val="16"/>
                            <w:szCs w:val="16"/>
                          </w:rPr>
                        </w:pPr>
                        <w:r>
                          <w:rPr>
                            <w:sz w:val="18"/>
                            <w:szCs w:val="18"/>
                          </w:rPr>
                          <w:t>$82,316</w:t>
                        </w:r>
                      </w:p>
                    </w:tc>
                  </w:tr>
                </w:tbl>
                <w:p w:rsidR="000D637E" w:rsidRPr="00FB7D4C" w:rsidRDefault="000D637E" w:rsidP="001B4D59">
                  <w:pPr>
                    <w:rPr>
                      <w:sz w:val="20"/>
                      <w:szCs w:val="20"/>
                    </w:rPr>
                  </w:pPr>
                </w:p>
              </w:txbxContent>
            </v:textbox>
            <w10:wrap type="none"/>
            <w10:anchorlock/>
          </v:shape>
        </w:pict>
      </w:r>
    </w:p>
    <w:bookmarkStart w:id="417" w:name="_Toc346285332"/>
    <w:p w:rsidR="000B573E" w:rsidRDefault="00D30427">
      <w:r w:rsidRPr="00D30427">
        <w:rPr>
          <w:lang w:val="en-US"/>
        </w:rPr>
      </w:r>
      <w:r w:rsidRPr="00D30427">
        <w:rPr>
          <w:lang w:val="en-US"/>
        </w:rPr>
        <w:pict>
          <v:shape id="_x0000_s1158" type="#_x0000_t202" style="width:516.25pt;height:345.95pt;mso-left-percent:-10001;mso-top-percent:-10001;mso-position-horizontal:absolute;mso-position-horizontal-relative:char;mso-position-vertical:absolute;mso-position-vertical-relative:line;mso-left-percent:-10001;mso-top-percent:-10001;mso-width-relative:margin;mso-height-relative:margin" strokecolor="#1f497d [3215]" strokeweight="2pt">
            <v:textbox style="mso-next-textbox:#_x0000_s1158">
              <w:txbxContent>
                <w:p w:rsidR="000D637E" w:rsidRPr="00592E0A" w:rsidRDefault="000D637E" w:rsidP="003074D3">
                  <w:pPr>
                    <w:rPr>
                      <w:b/>
                      <w:color w:val="1F497D" w:themeColor="text2"/>
                      <w:sz w:val="18"/>
                      <w:szCs w:val="18"/>
                    </w:rPr>
                  </w:pPr>
                  <w:r>
                    <w:rPr>
                      <w:b/>
                      <w:color w:val="1F497D" w:themeColor="text2"/>
                      <w:sz w:val="18"/>
                      <w:szCs w:val="18"/>
                    </w:rPr>
                    <w:t>Example 5</w:t>
                  </w:r>
                  <w:r w:rsidRPr="00592E0A">
                    <w:rPr>
                      <w:b/>
                      <w:color w:val="1F497D" w:themeColor="text2"/>
                      <w:sz w:val="18"/>
                      <w:szCs w:val="18"/>
                    </w:rPr>
                    <w:t xml:space="preserve"> (Continued) - Mine, Rail and Port development (</w:t>
                  </w:r>
                  <w:r>
                    <w:rPr>
                      <w:b/>
                      <w:color w:val="1F497D" w:themeColor="text2"/>
                      <w:sz w:val="18"/>
                      <w:szCs w:val="18"/>
                    </w:rPr>
                    <w:t>bilateral assessment</w:t>
                  </w:r>
                  <w:r w:rsidRPr="00592E0A">
                    <w:rPr>
                      <w:b/>
                      <w:color w:val="1F497D" w:themeColor="text2"/>
                      <w:sz w:val="18"/>
                      <w:szCs w:val="18"/>
                    </w:rPr>
                    <w:t xml:space="preserve">) </w:t>
                  </w:r>
                </w:p>
                <w:tbl>
                  <w:tblPr>
                    <w:tblStyle w:val="TableGrid"/>
                    <w:tblW w:w="9923" w:type="dxa"/>
                    <w:tblInd w:w="108"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tblPr>
                  <w:tblGrid>
                    <w:gridCol w:w="851"/>
                    <w:gridCol w:w="3969"/>
                    <w:gridCol w:w="3827"/>
                    <w:gridCol w:w="1276"/>
                  </w:tblGrid>
                  <w:tr w:rsidR="000D637E" w:rsidRPr="00592E0A" w:rsidTr="00E237DB">
                    <w:trPr>
                      <w:cnfStyle w:val="1000000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592E0A" w:rsidRDefault="000D637E" w:rsidP="003A1E94">
                        <w:pPr>
                          <w:jc w:val="center"/>
                          <w:rPr>
                            <w:b/>
                            <w:sz w:val="18"/>
                            <w:szCs w:val="18"/>
                            <w:lang w:eastAsia="en-AU"/>
                          </w:rPr>
                        </w:pPr>
                        <w:r w:rsidRPr="00592E0A">
                          <w:rPr>
                            <w:b/>
                            <w:sz w:val="18"/>
                            <w:szCs w:val="18"/>
                            <w:lang w:eastAsia="en-AU"/>
                          </w:rPr>
                          <w:t>Fee Ref.*</w:t>
                        </w:r>
                      </w:p>
                    </w:tc>
                    <w:tc>
                      <w:tcPr>
                        <w:tcW w:w="396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592E0A" w:rsidRDefault="000D637E">
                        <w:pPr>
                          <w:jc w:val="center"/>
                          <w:rPr>
                            <w:b/>
                            <w:sz w:val="18"/>
                            <w:szCs w:val="18"/>
                            <w:lang w:eastAsia="en-AU"/>
                          </w:rPr>
                        </w:pPr>
                        <w:r w:rsidRPr="00592E0A">
                          <w:rPr>
                            <w:b/>
                            <w:sz w:val="18"/>
                            <w:szCs w:val="18"/>
                            <w:lang w:eastAsia="en-AU"/>
                          </w:rPr>
                          <w:t>Project characteristics</w:t>
                        </w:r>
                      </w:p>
                    </w:tc>
                    <w:tc>
                      <w:tcPr>
                        <w:tcW w:w="38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592E0A" w:rsidRDefault="000D637E">
                        <w:pPr>
                          <w:jc w:val="center"/>
                          <w:rPr>
                            <w:b/>
                            <w:sz w:val="18"/>
                            <w:szCs w:val="18"/>
                            <w:lang w:eastAsia="en-AU"/>
                          </w:rPr>
                        </w:pPr>
                        <w:r w:rsidRPr="00592E0A">
                          <w:rPr>
                            <w:b/>
                            <w:sz w:val="18"/>
                            <w:szCs w:val="18"/>
                            <w:lang w:eastAsia="en-AU"/>
                          </w:rPr>
                          <w:t>Additional resources required during the assessment process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D637E" w:rsidRPr="00592E0A" w:rsidRDefault="000D637E">
                        <w:pPr>
                          <w:jc w:val="center"/>
                          <w:rPr>
                            <w:rFonts w:cs="Calibri"/>
                            <w:b/>
                            <w:bCs/>
                            <w:color w:val="000000"/>
                            <w:sz w:val="18"/>
                            <w:szCs w:val="18"/>
                            <w:lang w:eastAsia="en-AU"/>
                          </w:rPr>
                        </w:pPr>
                        <w:r w:rsidRPr="00592E0A">
                          <w:rPr>
                            <w:b/>
                            <w:sz w:val="18"/>
                            <w:szCs w:val="18"/>
                          </w:rPr>
                          <w:t>Complexity costs</w:t>
                        </w:r>
                      </w:p>
                    </w:tc>
                  </w:tr>
                  <w:tr w:rsidR="000D637E" w:rsidRPr="00592E0A" w:rsidTr="00E237DB">
                    <w:trPr>
                      <w:cnfStyle w:val="000000100000"/>
                      <w:trHeight w:val="101"/>
                    </w:trPr>
                    <w:tc>
                      <w:tcPr>
                        <w:tcW w:w="8647"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0D637E" w:rsidRPr="00592E0A" w:rsidRDefault="000D637E" w:rsidP="003A1E94">
                        <w:pPr>
                          <w:rPr>
                            <w:sz w:val="18"/>
                            <w:szCs w:val="18"/>
                          </w:rPr>
                        </w:pPr>
                        <w:r w:rsidRPr="00592E0A">
                          <w:rPr>
                            <w:sz w:val="18"/>
                            <w:szCs w:val="18"/>
                          </w:rPr>
                          <w:t>Adequacy of information and clarity of project scope (continued)</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637E" w:rsidRPr="00592E0A" w:rsidRDefault="000D637E" w:rsidP="003A1E94">
                        <w:pPr>
                          <w:jc w:val="center"/>
                          <w:rPr>
                            <w:sz w:val="18"/>
                            <w:szCs w:val="18"/>
                          </w:rPr>
                        </w:pPr>
                      </w:p>
                    </w:tc>
                  </w:tr>
                  <w:tr w:rsidR="000D637E" w:rsidRPr="00592E0A" w:rsidTr="00E237DB">
                    <w:trPr>
                      <w:cnfStyle w:val="00000001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67320C" w:rsidRDefault="000D637E" w:rsidP="000C1B29">
                        <w:pPr>
                          <w:jc w:val="center"/>
                          <w:rPr>
                            <w:sz w:val="16"/>
                            <w:szCs w:val="16"/>
                          </w:rPr>
                        </w:pPr>
                        <w:r>
                          <w:rPr>
                            <w:sz w:val="16"/>
                            <w:szCs w:val="16"/>
                          </w:rPr>
                          <w:t>N</w:t>
                        </w:r>
                      </w:p>
                    </w:tc>
                    <w:tc>
                      <w:tcPr>
                        <w:tcW w:w="3969" w:type="dxa"/>
                        <w:tcBorders>
                          <w:top w:val="single" w:sz="4" w:space="0" w:color="548DD4" w:themeColor="text2" w:themeTint="99"/>
                          <w:left w:val="nil"/>
                          <w:bottom w:val="single" w:sz="4" w:space="0" w:color="548DD4" w:themeColor="text2" w:themeTint="99"/>
                          <w:right w:val="nil"/>
                        </w:tcBorders>
                      </w:tcPr>
                      <w:p w:rsidR="000D637E" w:rsidRPr="00592E0A" w:rsidRDefault="000D637E" w:rsidP="000C1B29">
                        <w:pPr>
                          <w:pStyle w:val="ListParagraph"/>
                          <w:ind w:left="0"/>
                          <w:rPr>
                            <w:sz w:val="18"/>
                            <w:szCs w:val="18"/>
                          </w:rPr>
                        </w:pPr>
                        <w:r w:rsidRPr="00592E0A">
                          <w:rPr>
                            <w:sz w:val="18"/>
                            <w:szCs w:val="18"/>
                          </w:rPr>
                          <w:t xml:space="preserve">The proponent has proposed broad management measures, but without necessary detail. </w:t>
                        </w:r>
                        <w:r>
                          <w:rPr>
                            <w:sz w:val="18"/>
                            <w:szCs w:val="18"/>
                          </w:rPr>
                          <w:t xml:space="preserve">This causes difficulty to assess the adequacy of the </w:t>
                        </w:r>
                        <w:r w:rsidRPr="00592E0A">
                          <w:rPr>
                            <w:sz w:val="18"/>
                            <w:szCs w:val="18"/>
                          </w:rPr>
                          <w:t>avoidance and mitigation measures</w:t>
                        </w:r>
                        <w:r>
                          <w:rPr>
                            <w:sz w:val="18"/>
                            <w:szCs w:val="18"/>
                          </w:rPr>
                          <w:t xml:space="preserve"> for important habitat</w:t>
                        </w:r>
                        <w:r w:rsidRPr="00592E0A">
                          <w:rPr>
                            <w:sz w:val="18"/>
                            <w:szCs w:val="18"/>
                          </w:rPr>
                          <w:t xml:space="preserve">. </w:t>
                        </w:r>
                      </w:p>
                    </w:tc>
                    <w:tc>
                      <w:tcPr>
                        <w:tcW w:w="3827" w:type="dxa"/>
                        <w:tcBorders>
                          <w:top w:val="single" w:sz="4" w:space="0" w:color="548DD4" w:themeColor="text2" w:themeTint="99"/>
                          <w:left w:val="nil"/>
                          <w:bottom w:val="single" w:sz="4" w:space="0" w:color="548DD4" w:themeColor="text2" w:themeTint="99"/>
                          <w:right w:val="nil"/>
                        </w:tcBorders>
                      </w:tcPr>
                      <w:p w:rsidR="000D637E" w:rsidRPr="00C17480" w:rsidRDefault="000D637E" w:rsidP="00B107EC">
                        <w:pPr>
                          <w:rPr>
                            <w:sz w:val="18"/>
                            <w:szCs w:val="18"/>
                          </w:rPr>
                        </w:pPr>
                        <w:r w:rsidRPr="00C17480">
                          <w:rPr>
                            <w:sz w:val="18"/>
                            <w:szCs w:val="18"/>
                          </w:rPr>
                          <w:t>Management strategies (high complexity):</w:t>
                        </w:r>
                      </w:p>
                      <w:p w:rsidR="000D637E" w:rsidRPr="00C17480" w:rsidRDefault="000D637E" w:rsidP="008A56A0">
                        <w:pPr>
                          <w:pStyle w:val="ListParagraph"/>
                          <w:numPr>
                            <w:ilvl w:val="0"/>
                            <w:numId w:val="7"/>
                          </w:numPr>
                          <w:spacing w:after="0" w:line="240" w:lineRule="auto"/>
                          <w:ind w:left="318" w:hanging="284"/>
                          <w:contextualSpacing/>
                          <w:rPr>
                            <w:sz w:val="18"/>
                            <w:szCs w:val="18"/>
                          </w:rPr>
                        </w:pPr>
                        <w:r w:rsidRPr="00C17480">
                          <w:rPr>
                            <w:sz w:val="18"/>
                            <w:szCs w:val="18"/>
                          </w:rPr>
                          <w:t>Assessment Officer—70 days</w:t>
                        </w:r>
                      </w:p>
                      <w:p w:rsidR="000D637E" w:rsidRPr="00C17480" w:rsidRDefault="000D637E" w:rsidP="008A56A0">
                        <w:pPr>
                          <w:pStyle w:val="ListParagraph"/>
                          <w:numPr>
                            <w:ilvl w:val="0"/>
                            <w:numId w:val="7"/>
                          </w:numPr>
                          <w:spacing w:after="0" w:line="240" w:lineRule="auto"/>
                          <w:ind w:left="318" w:hanging="284"/>
                          <w:contextualSpacing/>
                          <w:rPr>
                            <w:sz w:val="18"/>
                            <w:szCs w:val="18"/>
                          </w:rPr>
                        </w:pPr>
                        <w:r w:rsidRPr="00C17480">
                          <w:rPr>
                            <w:sz w:val="18"/>
                            <w:szCs w:val="18"/>
                          </w:rPr>
                          <w:t>Assistant Director—26 days</w:t>
                        </w:r>
                      </w:p>
                      <w:p w:rsidR="000D637E" w:rsidRPr="00C17480" w:rsidRDefault="000D637E" w:rsidP="008A56A0">
                        <w:pPr>
                          <w:pStyle w:val="ListParagraph"/>
                          <w:numPr>
                            <w:ilvl w:val="0"/>
                            <w:numId w:val="7"/>
                          </w:numPr>
                          <w:spacing w:after="0" w:line="240" w:lineRule="auto"/>
                          <w:ind w:left="318" w:hanging="284"/>
                          <w:contextualSpacing/>
                          <w:rPr>
                            <w:sz w:val="18"/>
                            <w:szCs w:val="18"/>
                          </w:rPr>
                        </w:pPr>
                        <w:r w:rsidRPr="00C17480">
                          <w:rPr>
                            <w:sz w:val="18"/>
                            <w:szCs w:val="18"/>
                          </w:rPr>
                          <w:t>Director—10 days</w:t>
                        </w:r>
                      </w:p>
                      <w:p w:rsidR="000D637E" w:rsidRPr="00C17480" w:rsidRDefault="000D637E" w:rsidP="008A56A0">
                        <w:pPr>
                          <w:pStyle w:val="ListParagraph"/>
                          <w:numPr>
                            <w:ilvl w:val="0"/>
                            <w:numId w:val="7"/>
                          </w:numPr>
                          <w:spacing w:after="0" w:line="240" w:lineRule="auto"/>
                          <w:ind w:left="318" w:hanging="284"/>
                          <w:contextualSpacing/>
                          <w:rPr>
                            <w:sz w:val="18"/>
                            <w:szCs w:val="18"/>
                          </w:rPr>
                        </w:pPr>
                        <w:r w:rsidRPr="00C17480">
                          <w:rPr>
                            <w:sz w:val="18"/>
                            <w:szCs w:val="18"/>
                          </w:rPr>
                          <w:t>Delegate of the Minister—3.4 days</w:t>
                        </w:r>
                      </w:p>
                      <w:p w:rsidR="000D637E" w:rsidRPr="00C17480" w:rsidRDefault="000D637E" w:rsidP="008A56A0">
                        <w:pPr>
                          <w:pStyle w:val="ListParagraph"/>
                          <w:numPr>
                            <w:ilvl w:val="0"/>
                            <w:numId w:val="7"/>
                          </w:numPr>
                          <w:spacing w:after="0" w:line="240" w:lineRule="auto"/>
                          <w:ind w:left="318" w:hanging="284"/>
                          <w:contextualSpacing/>
                          <w:rPr>
                            <w:sz w:val="18"/>
                            <w:szCs w:val="18"/>
                          </w:rPr>
                        </w:pPr>
                        <w:r w:rsidRPr="00C17480">
                          <w:rPr>
                            <w:sz w:val="18"/>
                            <w:szCs w:val="18"/>
                          </w:rPr>
                          <w:t>External expert—$32,912</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67320C" w:rsidDel="00EE5F6F" w:rsidRDefault="000D637E" w:rsidP="000C1B29">
                        <w:pPr>
                          <w:jc w:val="center"/>
                          <w:rPr>
                            <w:sz w:val="16"/>
                            <w:szCs w:val="16"/>
                          </w:rPr>
                        </w:pPr>
                        <w:r w:rsidRPr="00C17480">
                          <w:rPr>
                            <w:sz w:val="18"/>
                            <w:szCs w:val="18"/>
                          </w:rPr>
                          <w:t>$93,316</w:t>
                        </w:r>
                      </w:p>
                    </w:tc>
                  </w:tr>
                  <w:tr w:rsidR="000D637E"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Default="000D637E" w:rsidP="003A1E94">
                        <w:pPr>
                          <w:jc w:val="center"/>
                          <w:rPr>
                            <w:sz w:val="18"/>
                            <w:szCs w:val="18"/>
                          </w:rPr>
                        </w:pPr>
                        <w:r>
                          <w:rPr>
                            <w:sz w:val="18"/>
                            <w:szCs w:val="18"/>
                          </w:rPr>
                          <w:t>O</w:t>
                        </w:r>
                      </w:p>
                    </w:tc>
                    <w:tc>
                      <w:tcPr>
                        <w:tcW w:w="3969" w:type="dxa"/>
                        <w:tcBorders>
                          <w:top w:val="single" w:sz="4" w:space="0" w:color="548DD4" w:themeColor="text2" w:themeTint="99"/>
                          <w:left w:val="nil"/>
                          <w:bottom w:val="single" w:sz="4" w:space="0" w:color="548DD4" w:themeColor="text2" w:themeTint="99"/>
                          <w:right w:val="nil"/>
                        </w:tcBorders>
                      </w:tcPr>
                      <w:p w:rsidR="000D637E" w:rsidRPr="00592E0A" w:rsidRDefault="000D637E" w:rsidP="000C1B29">
                        <w:pPr>
                          <w:rPr>
                            <w:sz w:val="18"/>
                            <w:szCs w:val="18"/>
                          </w:rPr>
                        </w:pPr>
                        <w:r w:rsidRPr="00592E0A">
                          <w:rPr>
                            <w:sz w:val="18"/>
                            <w:szCs w:val="18"/>
                          </w:rPr>
                          <w:t>The project scope includes alternative dredging footprints, but these alternatives are clearly defined.</w:t>
                        </w:r>
                      </w:p>
                    </w:tc>
                    <w:tc>
                      <w:tcPr>
                        <w:tcW w:w="3827" w:type="dxa"/>
                        <w:tcBorders>
                          <w:top w:val="single" w:sz="4" w:space="0" w:color="548DD4" w:themeColor="text2" w:themeTint="99"/>
                          <w:left w:val="nil"/>
                          <w:bottom w:val="single" w:sz="4" w:space="0" w:color="548DD4" w:themeColor="text2" w:themeTint="99"/>
                          <w:right w:val="nil"/>
                        </w:tcBorders>
                      </w:tcPr>
                      <w:p w:rsidR="000D637E" w:rsidRPr="005777C8" w:rsidRDefault="000D637E" w:rsidP="00B107EC">
                        <w:pPr>
                          <w:rPr>
                            <w:sz w:val="18"/>
                            <w:szCs w:val="18"/>
                          </w:rPr>
                        </w:pPr>
                        <w:r w:rsidRPr="005777C8">
                          <w:rPr>
                            <w:sz w:val="18"/>
                            <w:szCs w:val="18"/>
                          </w:rPr>
                          <w:t>Project scope (moderate complexity):</w:t>
                        </w:r>
                      </w:p>
                      <w:p w:rsidR="000D637E" w:rsidRPr="005777C8" w:rsidRDefault="000D637E" w:rsidP="008A56A0">
                        <w:pPr>
                          <w:numPr>
                            <w:ilvl w:val="0"/>
                            <w:numId w:val="7"/>
                          </w:numPr>
                          <w:spacing w:after="0" w:line="240" w:lineRule="auto"/>
                          <w:rPr>
                            <w:sz w:val="18"/>
                            <w:szCs w:val="18"/>
                          </w:rPr>
                        </w:pPr>
                        <w:r w:rsidRPr="005777C8">
                          <w:rPr>
                            <w:sz w:val="18"/>
                            <w:szCs w:val="18"/>
                          </w:rPr>
                          <w:t>Assessment officer—18 days</w:t>
                        </w:r>
                      </w:p>
                      <w:p w:rsidR="000D637E" w:rsidRPr="005777C8" w:rsidRDefault="000D637E" w:rsidP="008A56A0">
                        <w:pPr>
                          <w:numPr>
                            <w:ilvl w:val="0"/>
                            <w:numId w:val="7"/>
                          </w:numPr>
                          <w:spacing w:after="0" w:line="240" w:lineRule="auto"/>
                          <w:rPr>
                            <w:sz w:val="18"/>
                            <w:szCs w:val="18"/>
                          </w:rPr>
                        </w:pPr>
                        <w:r w:rsidRPr="005777C8">
                          <w:rPr>
                            <w:sz w:val="18"/>
                            <w:szCs w:val="18"/>
                          </w:rPr>
                          <w:t>Assistant Director—6.5 days</w:t>
                        </w:r>
                      </w:p>
                      <w:p w:rsidR="000D637E" w:rsidRPr="005777C8" w:rsidRDefault="000D637E" w:rsidP="008A56A0">
                        <w:pPr>
                          <w:numPr>
                            <w:ilvl w:val="0"/>
                            <w:numId w:val="7"/>
                          </w:numPr>
                          <w:spacing w:after="0" w:line="240" w:lineRule="auto"/>
                          <w:rPr>
                            <w:sz w:val="18"/>
                            <w:szCs w:val="18"/>
                          </w:rPr>
                        </w:pPr>
                        <w:r w:rsidRPr="005777C8">
                          <w:rPr>
                            <w:sz w:val="18"/>
                            <w:szCs w:val="18"/>
                          </w:rPr>
                          <w:t>Director—2.5 days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5777C8" w:rsidRDefault="000D637E" w:rsidP="000C1B29">
                        <w:pPr>
                          <w:jc w:val="center"/>
                          <w:rPr>
                            <w:sz w:val="18"/>
                            <w:szCs w:val="18"/>
                          </w:rPr>
                        </w:pPr>
                        <w:r w:rsidRPr="005777C8">
                          <w:rPr>
                            <w:sz w:val="18"/>
                            <w:szCs w:val="18"/>
                          </w:rPr>
                          <w:t>$14,248</w:t>
                        </w:r>
                      </w:p>
                    </w:tc>
                  </w:tr>
                  <w:tr w:rsidR="000D637E" w:rsidRPr="00592E0A" w:rsidTr="00E237DB">
                    <w:trPr>
                      <w:cnfStyle w:val="000000010000"/>
                    </w:trPr>
                    <w:tc>
                      <w:tcPr>
                        <w:tcW w:w="4820"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0D637E" w:rsidRPr="00592E0A" w:rsidRDefault="000D637E" w:rsidP="003A1E94">
                        <w:pPr>
                          <w:rPr>
                            <w:sz w:val="18"/>
                            <w:szCs w:val="18"/>
                          </w:rPr>
                        </w:pPr>
                        <w:r w:rsidRPr="00592E0A">
                          <w:rPr>
                            <w:sz w:val="18"/>
                            <w:szCs w:val="18"/>
                          </w:rPr>
                          <w:t>Other legislation</w:t>
                        </w:r>
                      </w:p>
                    </w:tc>
                    <w:tc>
                      <w:tcPr>
                        <w:tcW w:w="3827" w:type="dxa"/>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0D637E" w:rsidRPr="00592E0A" w:rsidRDefault="000D637E" w:rsidP="003A1E94">
                        <w:pPr>
                          <w:rPr>
                            <w:sz w:val="18"/>
                            <w:szCs w:val="18"/>
                          </w:rPr>
                        </w:pP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637E" w:rsidRPr="00592E0A" w:rsidRDefault="000D637E" w:rsidP="003A1E94">
                        <w:pPr>
                          <w:jc w:val="center"/>
                          <w:rPr>
                            <w:sz w:val="18"/>
                            <w:szCs w:val="18"/>
                          </w:rPr>
                        </w:pPr>
                      </w:p>
                    </w:tc>
                  </w:tr>
                  <w:tr w:rsidR="000D637E" w:rsidRPr="00592E0A" w:rsidTr="00E237DB">
                    <w:trPr>
                      <w:cnfStyle w:val="000000100000"/>
                    </w:trPr>
                    <w:tc>
                      <w:tcPr>
                        <w:tcW w:w="851" w:type="dxa"/>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0D637E" w:rsidRPr="00592E0A" w:rsidRDefault="000D637E" w:rsidP="003A1E94">
                        <w:pPr>
                          <w:jc w:val="center"/>
                          <w:rPr>
                            <w:sz w:val="18"/>
                            <w:szCs w:val="18"/>
                          </w:rPr>
                        </w:pPr>
                        <w:r>
                          <w:rPr>
                            <w:sz w:val="18"/>
                            <w:szCs w:val="18"/>
                          </w:rPr>
                          <w:t>L</w:t>
                        </w:r>
                      </w:p>
                    </w:tc>
                    <w:tc>
                      <w:tcPr>
                        <w:tcW w:w="3969" w:type="dxa"/>
                        <w:tcBorders>
                          <w:top w:val="single" w:sz="4" w:space="0" w:color="548DD4" w:themeColor="text2" w:themeTint="99"/>
                          <w:left w:val="nil"/>
                          <w:bottom w:val="single" w:sz="4" w:space="0" w:color="548DD4" w:themeColor="text2" w:themeTint="99"/>
                          <w:right w:val="nil"/>
                        </w:tcBorders>
                      </w:tcPr>
                      <w:p w:rsidR="000D637E" w:rsidRPr="00592E0A" w:rsidRDefault="000D637E" w:rsidP="003A1E94">
                        <w:pPr>
                          <w:pStyle w:val="ListParagraph"/>
                          <w:ind w:left="0"/>
                          <w:rPr>
                            <w:sz w:val="18"/>
                            <w:szCs w:val="18"/>
                          </w:rPr>
                        </w:pPr>
                        <w:r w:rsidRPr="00592E0A">
                          <w:rPr>
                            <w:sz w:val="18"/>
                            <w:szCs w:val="18"/>
                          </w:rPr>
                          <w:t xml:space="preserve">A </w:t>
                        </w:r>
                        <w:r>
                          <w:rPr>
                            <w:sz w:val="18"/>
                            <w:szCs w:val="18"/>
                          </w:rPr>
                          <w:t xml:space="preserve">very </w:t>
                        </w:r>
                        <w:r w:rsidRPr="00592E0A">
                          <w:rPr>
                            <w:sz w:val="18"/>
                            <w:szCs w:val="18"/>
                          </w:rPr>
                          <w:t>high level of complexity under state legislation. Liaison with the state will be required to align assessment documentation with both state and EPBC Act requirements.</w:t>
                        </w:r>
                      </w:p>
                    </w:tc>
                    <w:tc>
                      <w:tcPr>
                        <w:tcW w:w="3827" w:type="dxa"/>
                        <w:tcBorders>
                          <w:top w:val="single" w:sz="4" w:space="0" w:color="548DD4" w:themeColor="text2" w:themeTint="99"/>
                          <w:left w:val="nil"/>
                          <w:bottom w:val="single" w:sz="4" w:space="0" w:color="548DD4" w:themeColor="text2" w:themeTint="99"/>
                          <w:right w:val="nil"/>
                        </w:tcBorders>
                      </w:tcPr>
                      <w:p w:rsidR="000D637E" w:rsidRPr="001738F4" w:rsidRDefault="000D637E" w:rsidP="00595D42">
                        <w:pPr>
                          <w:rPr>
                            <w:sz w:val="18"/>
                            <w:szCs w:val="18"/>
                          </w:rPr>
                        </w:pPr>
                        <w:r w:rsidRPr="001738F4">
                          <w:rPr>
                            <w:sz w:val="18"/>
                            <w:szCs w:val="18"/>
                          </w:rPr>
                          <w:t>Coordination with state legislation (very high complexity):</w:t>
                        </w:r>
                      </w:p>
                      <w:p w:rsidR="000D637E" w:rsidRPr="001738F4" w:rsidRDefault="000D637E" w:rsidP="008A56A0">
                        <w:pPr>
                          <w:pStyle w:val="ListParagraph"/>
                          <w:numPr>
                            <w:ilvl w:val="0"/>
                            <w:numId w:val="7"/>
                          </w:numPr>
                          <w:spacing w:after="0" w:line="240" w:lineRule="auto"/>
                          <w:ind w:left="318" w:hanging="284"/>
                          <w:contextualSpacing/>
                          <w:rPr>
                            <w:sz w:val="18"/>
                            <w:szCs w:val="18"/>
                          </w:rPr>
                        </w:pPr>
                        <w:r w:rsidRPr="001738F4">
                          <w:rPr>
                            <w:sz w:val="18"/>
                            <w:szCs w:val="18"/>
                          </w:rPr>
                          <w:t>Assessment Officer—32 days</w:t>
                        </w:r>
                      </w:p>
                      <w:p w:rsidR="000D637E" w:rsidRPr="001738F4" w:rsidRDefault="000D637E" w:rsidP="008A56A0">
                        <w:pPr>
                          <w:pStyle w:val="ListParagraph"/>
                          <w:numPr>
                            <w:ilvl w:val="0"/>
                            <w:numId w:val="7"/>
                          </w:numPr>
                          <w:spacing w:after="0" w:line="240" w:lineRule="auto"/>
                          <w:ind w:left="318" w:hanging="284"/>
                          <w:contextualSpacing/>
                          <w:rPr>
                            <w:sz w:val="18"/>
                            <w:szCs w:val="18"/>
                          </w:rPr>
                        </w:pPr>
                        <w:r w:rsidRPr="001738F4">
                          <w:rPr>
                            <w:sz w:val="18"/>
                            <w:szCs w:val="18"/>
                          </w:rPr>
                          <w:t>Assistant Director—16 days</w:t>
                        </w:r>
                      </w:p>
                      <w:p w:rsidR="000D637E" w:rsidRPr="001738F4" w:rsidRDefault="000D637E" w:rsidP="008A56A0">
                        <w:pPr>
                          <w:pStyle w:val="ListParagraph"/>
                          <w:numPr>
                            <w:ilvl w:val="0"/>
                            <w:numId w:val="7"/>
                          </w:numPr>
                          <w:spacing w:after="0" w:line="240" w:lineRule="auto"/>
                          <w:ind w:left="318" w:hanging="284"/>
                          <w:contextualSpacing/>
                          <w:rPr>
                            <w:sz w:val="18"/>
                            <w:szCs w:val="18"/>
                          </w:rPr>
                        </w:pPr>
                        <w:r w:rsidRPr="001738F4">
                          <w:rPr>
                            <w:sz w:val="18"/>
                            <w:szCs w:val="18"/>
                          </w:rPr>
                          <w:t>Director—8 days</w:t>
                        </w:r>
                      </w:p>
                      <w:p w:rsidR="000D637E" w:rsidRPr="001738F4" w:rsidRDefault="000D637E" w:rsidP="008A56A0">
                        <w:pPr>
                          <w:pStyle w:val="ListParagraph"/>
                          <w:numPr>
                            <w:ilvl w:val="0"/>
                            <w:numId w:val="7"/>
                          </w:numPr>
                          <w:spacing w:after="0" w:line="240" w:lineRule="auto"/>
                          <w:ind w:left="318" w:hanging="284"/>
                          <w:contextualSpacing/>
                          <w:rPr>
                            <w:sz w:val="18"/>
                            <w:szCs w:val="18"/>
                          </w:rPr>
                        </w:pPr>
                        <w:r w:rsidRPr="001738F4">
                          <w:rPr>
                            <w:sz w:val="18"/>
                            <w:szCs w:val="18"/>
                          </w:rPr>
                          <w:t>Delegate of the Minister – 1 day</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0D637E" w:rsidRPr="001738F4" w:rsidRDefault="000D637E" w:rsidP="00595D42">
                        <w:pPr>
                          <w:jc w:val="center"/>
                          <w:rPr>
                            <w:sz w:val="18"/>
                            <w:szCs w:val="18"/>
                          </w:rPr>
                        </w:pPr>
                        <w:r w:rsidRPr="001738F4">
                          <w:rPr>
                            <w:sz w:val="18"/>
                            <w:szCs w:val="18"/>
                          </w:rPr>
                          <w:t>$32,138</w:t>
                        </w:r>
                      </w:p>
                    </w:tc>
                  </w:tr>
                  <w:tr w:rsidR="000D637E" w:rsidRPr="00FB7D4C" w:rsidTr="00E237DB">
                    <w:trPr>
                      <w:cnfStyle w:val="000000010000"/>
                      <w:trHeight w:val="501"/>
                    </w:trPr>
                    <w:tc>
                      <w:tcPr>
                        <w:tcW w:w="8647" w:type="dxa"/>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0D637E" w:rsidRPr="00F730E3" w:rsidRDefault="000D637E" w:rsidP="003A1E94">
                        <w:pPr>
                          <w:jc w:val="right"/>
                          <w:rPr>
                            <w:caps/>
                            <w:sz w:val="20"/>
                            <w:szCs w:val="20"/>
                          </w:rPr>
                        </w:pPr>
                        <w:r w:rsidRPr="00F730E3">
                          <w:rPr>
                            <w:caps/>
                            <w:sz w:val="20"/>
                            <w:szCs w:val="20"/>
                          </w:rPr>
                          <w:t>Estimated complexity costs</w:t>
                        </w:r>
                      </w:p>
                    </w:tc>
                    <w:tc>
                      <w:tcPr>
                        <w:tcW w:w="127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0D637E" w:rsidRPr="00FB7D4C" w:rsidRDefault="000D637E" w:rsidP="005266CC">
                        <w:pPr>
                          <w:jc w:val="center"/>
                          <w:rPr>
                            <w:sz w:val="20"/>
                            <w:szCs w:val="20"/>
                          </w:rPr>
                        </w:pPr>
                        <w:r w:rsidRPr="00C17480">
                          <w:rPr>
                            <w:sz w:val="20"/>
                            <w:szCs w:val="20"/>
                          </w:rPr>
                          <w:t>$</w:t>
                        </w:r>
                        <w:r>
                          <w:rPr>
                            <w:sz w:val="20"/>
                            <w:szCs w:val="20"/>
                          </w:rPr>
                          <w:t>349,312</w:t>
                        </w:r>
                      </w:p>
                    </w:tc>
                  </w:tr>
                </w:tbl>
                <w:p w:rsidR="000D637E" w:rsidRPr="00414EA1" w:rsidRDefault="000D637E" w:rsidP="003074D3">
                  <w:pPr>
                    <w:rPr>
                      <w:sz w:val="18"/>
                      <w:szCs w:val="18"/>
                    </w:rPr>
                  </w:pPr>
                  <w:r w:rsidRPr="00414EA1">
                    <w:rPr>
                      <w:sz w:val="18"/>
                      <w:szCs w:val="18"/>
                    </w:rPr>
                    <w:t>* Please refer to complexity matrix</w:t>
                  </w:r>
                </w:p>
              </w:txbxContent>
            </v:textbox>
            <w10:wrap type="none"/>
            <w10:anchorlock/>
          </v:shape>
        </w:pict>
      </w:r>
    </w:p>
    <w:p w:rsidR="00BB1135" w:rsidRDefault="00BB1135">
      <w:pPr>
        <w:spacing w:after="0" w:line="240" w:lineRule="auto"/>
        <w:rPr>
          <w:rFonts w:cs="Arial"/>
          <w:b/>
          <w:i/>
        </w:rPr>
      </w:pPr>
      <w:r>
        <w:br w:type="page"/>
      </w:r>
    </w:p>
    <w:p w:rsidR="00B651CA" w:rsidRDefault="00B651CA" w:rsidP="006B619A">
      <w:pPr>
        <w:pStyle w:val="Heading3"/>
      </w:pPr>
      <w:bookmarkStart w:id="418" w:name="_Toc391541589"/>
      <w:r>
        <w:lastRenderedPageBreak/>
        <w:t>P</w:t>
      </w:r>
      <w:r w:rsidRPr="00BC77A1">
        <w:t>ublic inquiry</w:t>
      </w:r>
      <w:bookmarkEnd w:id="417"/>
      <w:bookmarkEnd w:id="418"/>
    </w:p>
    <w:p w:rsidR="00BB1135" w:rsidRDefault="00B651CA" w:rsidP="00B651CA">
      <w:r w:rsidRPr="00FC12C4">
        <w:t xml:space="preserve">The </w:t>
      </w:r>
      <w:r w:rsidR="00034C7D">
        <w:t xml:space="preserve">Minister will determine the </w:t>
      </w:r>
      <w:r w:rsidRPr="00FC12C4">
        <w:t xml:space="preserve">costs of an assessment by </w:t>
      </w:r>
      <w:r>
        <w:t>p</w:t>
      </w:r>
      <w:r w:rsidRPr="00FC12C4">
        <w:t xml:space="preserve">ublic </w:t>
      </w:r>
      <w:r>
        <w:t>i</w:t>
      </w:r>
      <w:r w:rsidRPr="00FC12C4">
        <w:t xml:space="preserve">nquiry on a case-by-case basis.  </w:t>
      </w:r>
      <w:r>
        <w:t>The exact costs will be dependent on the specifics of a project and therefore fees cannot be determined and fixed in regulations in advance, as opposed to the set fee structure for other assessment methods.</w:t>
      </w:r>
      <w:r w:rsidR="00BB1135" w:rsidRPr="00BB1135">
        <w:t xml:space="preserve"> </w:t>
      </w:r>
      <w:r w:rsidR="00BB1135">
        <w:t>Costs and associated revenue (fee for service) for assessments by public inquiry, as well as appropriate payment methods, will be determined by the Minister in consultation with the applicant</w:t>
      </w:r>
      <w:r w:rsidR="00BB1135" w:rsidRPr="007044B5">
        <w:t>.</w:t>
      </w:r>
      <w:r w:rsidR="00BB1135">
        <w:t xml:space="preserve"> </w:t>
      </w:r>
    </w:p>
    <w:p w:rsidR="00B651CA" w:rsidRPr="00BB1135" w:rsidRDefault="00BB1135" w:rsidP="00B651CA">
      <w:r>
        <w:t xml:space="preserve">The Minister will determine assessment fees based on a full recovery of relevant costs, consistent with the Cost Recovery Guidelines. </w:t>
      </w:r>
      <w:r w:rsidR="00B651CA" w:rsidRPr="00DB2E42">
        <w:rPr>
          <w:lang w:val="en-US"/>
        </w:rPr>
        <w:t xml:space="preserve">The </w:t>
      </w:r>
      <w:r w:rsidR="001C2CB2">
        <w:rPr>
          <w:lang w:val="en-US"/>
        </w:rPr>
        <w:t>departmental</w:t>
      </w:r>
      <w:r>
        <w:rPr>
          <w:lang w:val="en-US"/>
        </w:rPr>
        <w:t xml:space="preserve"> </w:t>
      </w:r>
      <w:r w:rsidR="00B651CA" w:rsidRPr="00DB2E42">
        <w:rPr>
          <w:lang w:val="en-US"/>
        </w:rPr>
        <w:t>costs for assessment by public inquiry would be directly related to the size and scope of the project that is being assessed</w:t>
      </w:r>
      <w:r w:rsidR="00B651CA">
        <w:rPr>
          <w:lang w:val="en-US"/>
        </w:rPr>
        <w:t xml:space="preserve">. </w:t>
      </w:r>
      <w:r w:rsidR="00B651CA" w:rsidRPr="00DB2E42">
        <w:rPr>
          <w:lang w:val="en-US"/>
        </w:rPr>
        <w:t>Considerations that could influence costs include the number of staff resources necessary to undertake the assessments, the size and expertise of the panel, the extent of independent expert advice</w:t>
      </w:r>
      <w:r w:rsidR="00B651CA">
        <w:rPr>
          <w:lang w:val="en-US"/>
        </w:rPr>
        <w:t xml:space="preserve"> </w:t>
      </w:r>
      <w:proofErr w:type="gramStart"/>
      <w:r w:rsidR="00B651CA" w:rsidRPr="00DB2E42">
        <w:rPr>
          <w:lang w:val="en-US"/>
        </w:rPr>
        <w:t>required,</w:t>
      </w:r>
      <w:proofErr w:type="gramEnd"/>
      <w:r w:rsidR="00B651CA" w:rsidRPr="00DB2E42">
        <w:rPr>
          <w:lang w:val="en-US"/>
        </w:rPr>
        <w:t xml:space="preserve"> the role and number of hearings during the assessment process and potentially the related travel to conduct and support these hearings. </w:t>
      </w:r>
    </w:p>
    <w:p w:rsidR="00B651CA" w:rsidRDefault="00EF677C" w:rsidP="00B651CA">
      <w:r>
        <w:t>The D</w:t>
      </w:r>
      <w:r w:rsidR="00B651CA" w:rsidRPr="0000449F">
        <w:t xml:space="preserve">epartment will establish guidelines on the costing methodology for case-by-case assessments. The guidelines will be provided to </w:t>
      </w:r>
      <w:r w:rsidR="00B64DB5">
        <w:t>applicant</w:t>
      </w:r>
      <w:r w:rsidR="00B651CA" w:rsidRPr="0000449F">
        <w:t xml:space="preserve">s to whom cost recovery applies. </w:t>
      </w:r>
      <w:r w:rsidR="00B651CA">
        <w:t xml:space="preserve">Costing methodology will be similar to that used for other assessment methods. </w:t>
      </w:r>
      <w:r w:rsidR="00B651CA" w:rsidRPr="00FC12C4">
        <w:t xml:space="preserve">The fee specified by the Minister may </w:t>
      </w:r>
      <w:r w:rsidR="00B651CA">
        <w:t xml:space="preserve">also </w:t>
      </w:r>
      <w:r w:rsidR="00B651CA" w:rsidRPr="00FC12C4">
        <w:t>include a requirement to make specified payments at particular points in the assessment, similar to that of other assessment processes.</w:t>
      </w:r>
      <w:r w:rsidR="00BB1135">
        <w:t xml:space="preserve"> </w:t>
      </w:r>
      <w:r w:rsidR="00BB1135" w:rsidRPr="001000E1">
        <w:t>An estimate of maximum fees applicable will be provided by the Minister</w:t>
      </w:r>
      <w:r w:rsidR="00BB1135">
        <w:t xml:space="preserve"> </w:t>
      </w:r>
      <w:r w:rsidR="00BB1135" w:rsidRPr="001000E1">
        <w:t xml:space="preserve">to the </w:t>
      </w:r>
      <w:r w:rsidR="00BB1135">
        <w:t>applicant prior to the assessment commencing, similar to other assessment methods.</w:t>
      </w:r>
    </w:p>
    <w:p w:rsidR="00B651CA" w:rsidRDefault="00EF677C" w:rsidP="00B651CA">
      <w:r>
        <w:t>The D</w:t>
      </w:r>
      <w:r w:rsidR="00B651CA">
        <w:t>epartment does not expect that assessments by p</w:t>
      </w:r>
      <w:r w:rsidR="00B651CA" w:rsidRPr="00FC12C4">
        <w:t xml:space="preserve">ublic </w:t>
      </w:r>
      <w:r w:rsidR="00B651CA">
        <w:t>i</w:t>
      </w:r>
      <w:r w:rsidR="00B651CA" w:rsidRPr="00FC12C4">
        <w:t>nquiry</w:t>
      </w:r>
      <w:r w:rsidR="00B651CA">
        <w:t xml:space="preserve"> will occur on a regular basis. </w:t>
      </w:r>
      <w:r w:rsidR="00CC710A">
        <w:t>The D</w:t>
      </w:r>
      <w:r w:rsidR="00BD7F50">
        <w:t>epartment has never conducted a public inquiry in the past.</w:t>
      </w:r>
      <w:r w:rsidR="00B651CA">
        <w:t xml:space="preserve"> Therefore, the costs and associated revenue for assessments by p</w:t>
      </w:r>
      <w:r w:rsidR="00B651CA" w:rsidRPr="00FC12C4">
        <w:t xml:space="preserve">ublic </w:t>
      </w:r>
      <w:r w:rsidR="00B651CA">
        <w:t>i</w:t>
      </w:r>
      <w:r w:rsidR="00B651CA" w:rsidRPr="00FC12C4">
        <w:t xml:space="preserve">nquiry </w:t>
      </w:r>
      <w:r w:rsidR="00B651CA">
        <w:t xml:space="preserve">are not included in the total costs and revenue documented in this </w:t>
      </w:r>
      <w:r w:rsidR="00CF20A5">
        <w:t>CRIS</w:t>
      </w:r>
      <w:r w:rsidR="00B651CA">
        <w:t>.</w:t>
      </w:r>
    </w:p>
    <w:p w:rsidR="00DB6464" w:rsidRDefault="00DB6464" w:rsidP="00B651CA">
      <w:r>
        <w:t xml:space="preserve">The fees for contingent activities and for post-approval action management plans may be applicable for an approval granted following an assessment by public inquiry (see sections </w:t>
      </w:r>
      <w:r w:rsidR="00D30427">
        <w:fldChar w:fldCharType="begin"/>
      </w:r>
      <w:r>
        <w:instrText xml:space="preserve"> REF _Ref387930335 \r \h </w:instrText>
      </w:r>
      <w:r w:rsidR="00D30427">
        <w:fldChar w:fldCharType="separate"/>
      </w:r>
      <w:r w:rsidR="001D521C">
        <w:t>3.3.9</w:t>
      </w:r>
      <w:r w:rsidR="00D30427">
        <w:fldChar w:fldCharType="end"/>
      </w:r>
      <w:r>
        <w:t xml:space="preserve"> and </w:t>
      </w:r>
      <w:r w:rsidR="00D30427">
        <w:fldChar w:fldCharType="begin"/>
      </w:r>
      <w:r>
        <w:instrText xml:space="preserve"> REF _Ref387930337 \r \h </w:instrText>
      </w:r>
      <w:r w:rsidR="00D30427">
        <w:fldChar w:fldCharType="separate"/>
      </w:r>
      <w:r w:rsidR="001D521C">
        <w:t>3.3.10</w:t>
      </w:r>
      <w:r w:rsidR="00D30427">
        <w:fldChar w:fldCharType="end"/>
      </w:r>
      <w:r>
        <w:t xml:space="preserve"> for further information).</w:t>
      </w:r>
    </w:p>
    <w:p w:rsidR="00FC4684" w:rsidRDefault="00FC4684">
      <w:pPr>
        <w:spacing w:after="0" w:line="240" w:lineRule="auto"/>
        <w:rPr>
          <w:rFonts w:cs="Arial"/>
          <w:b/>
          <w:i/>
        </w:rPr>
      </w:pPr>
      <w:bookmarkStart w:id="419" w:name="_Ref387391379"/>
      <w:bookmarkStart w:id="420" w:name="_Ref387391382"/>
      <w:bookmarkStart w:id="421" w:name="_Toc344895159"/>
      <w:bookmarkStart w:id="422" w:name="_Toc346285334"/>
      <w:r>
        <w:br w:type="page"/>
      </w:r>
    </w:p>
    <w:p w:rsidR="006F6CFE" w:rsidRDefault="006F6CFE" w:rsidP="006F6CFE">
      <w:pPr>
        <w:pStyle w:val="Heading3"/>
      </w:pPr>
      <w:bookmarkStart w:id="423" w:name="_Ref387930335"/>
      <w:bookmarkStart w:id="424" w:name="_Toc391541590"/>
      <w:r>
        <w:lastRenderedPageBreak/>
        <w:t>Action m</w:t>
      </w:r>
      <w:r w:rsidRPr="00FC12C4">
        <w:t xml:space="preserve">anagement plan </w:t>
      </w:r>
      <w:r>
        <w:t>(post approval)</w:t>
      </w:r>
      <w:bookmarkEnd w:id="419"/>
      <w:bookmarkEnd w:id="420"/>
      <w:bookmarkEnd w:id="423"/>
      <w:bookmarkEnd w:id="424"/>
    </w:p>
    <w:p w:rsidR="006F6CFE" w:rsidRPr="001E38AC" w:rsidRDefault="00034C7D" w:rsidP="006F6CFE">
      <w:pPr>
        <w:rPr>
          <w:lang w:val="en-US"/>
        </w:rPr>
      </w:pPr>
      <w:r>
        <w:rPr>
          <w:lang w:val="en-US"/>
        </w:rPr>
        <w:t xml:space="preserve">When the Minister grants an approval under the EPBC Act, the Minister may attach conditions to that approval. These approval conditions </w:t>
      </w:r>
      <w:r w:rsidR="006F6CFE">
        <w:rPr>
          <w:lang w:val="en-US"/>
        </w:rPr>
        <w:t xml:space="preserve">may require </w:t>
      </w:r>
      <w:r>
        <w:rPr>
          <w:lang w:val="en-US"/>
        </w:rPr>
        <w:t xml:space="preserve">the approval holder to develop and submit </w:t>
      </w:r>
      <w:r w:rsidR="006F6CFE">
        <w:rPr>
          <w:lang w:val="en-US"/>
        </w:rPr>
        <w:t xml:space="preserve">action management plans to </w:t>
      </w:r>
      <w:r w:rsidR="00D04E2E">
        <w:rPr>
          <w:lang w:val="en-US"/>
        </w:rPr>
        <w:t>the Minister for approval.</w:t>
      </w:r>
      <w:r w:rsidR="006F6CFE">
        <w:rPr>
          <w:lang w:val="en-US"/>
        </w:rPr>
        <w:t xml:space="preserve"> These plans </w:t>
      </w:r>
      <w:r>
        <w:rPr>
          <w:lang w:val="en-US"/>
        </w:rPr>
        <w:t>allow for adaptive management of an action</w:t>
      </w:r>
      <w:r w:rsidR="00EE1B30">
        <w:rPr>
          <w:lang w:val="en-US"/>
        </w:rPr>
        <w:t xml:space="preserve"> in the post approval stage,</w:t>
      </w:r>
      <w:r w:rsidR="001757BE">
        <w:rPr>
          <w:lang w:val="en-US"/>
        </w:rPr>
        <w:t xml:space="preserve"> ensuring</w:t>
      </w:r>
      <w:r w:rsidR="006F6CFE">
        <w:rPr>
          <w:lang w:val="en-US"/>
        </w:rPr>
        <w:t xml:space="preserve"> </w:t>
      </w:r>
      <w:r w:rsidR="001757BE">
        <w:rPr>
          <w:lang w:val="en-US"/>
        </w:rPr>
        <w:t>the approval h</w:t>
      </w:r>
      <w:r w:rsidR="00D04E2E">
        <w:rPr>
          <w:lang w:val="en-US"/>
        </w:rPr>
        <w:t>older develop</w:t>
      </w:r>
      <w:r w:rsidR="001757BE">
        <w:rPr>
          <w:lang w:val="en-US"/>
        </w:rPr>
        <w:t xml:space="preserve">s and implements </w:t>
      </w:r>
      <w:r w:rsidR="006F6CFE">
        <w:rPr>
          <w:lang w:val="en-US"/>
        </w:rPr>
        <w:t>measures to effectively manage impacts upon matters of national environmental significance</w:t>
      </w:r>
      <w:r w:rsidR="006F6CFE" w:rsidRPr="001E38AC">
        <w:rPr>
          <w:lang w:val="en-US"/>
        </w:rPr>
        <w:t>.</w:t>
      </w:r>
    </w:p>
    <w:p w:rsidR="006F6CFE" w:rsidRDefault="006F6CFE" w:rsidP="006F6CFE">
      <w:pPr>
        <w:rPr>
          <w:lang w:val="en-US"/>
        </w:rPr>
      </w:pPr>
      <w:r w:rsidRPr="001E38AC">
        <w:rPr>
          <w:lang w:val="en-US"/>
        </w:rPr>
        <w:t>The assessment of an action management plan requires on average five equivalent person-days for an Assessment Officer and one equivalent person-day for an Assistant Director, along with oversight by the Director and Assistant Secretary.</w:t>
      </w:r>
      <w:r w:rsidRPr="00FC12C4">
        <w:rPr>
          <w:lang w:val="en-US"/>
        </w:rPr>
        <w:t xml:space="preserve"> </w:t>
      </w:r>
    </w:p>
    <w:p w:rsidR="006C70EA" w:rsidRDefault="006F6CFE" w:rsidP="006F6CFE">
      <w:pPr>
        <w:rPr>
          <w:lang w:val="en-US"/>
        </w:rPr>
      </w:pPr>
      <w:proofErr w:type="gramStart"/>
      <w:r>
        <w:rPr>
          <w:lang w:val="en-US"/>
        </w:rPr>
        <w:t>Activities in the assessment of an action management plan</w:t>
      </w:r>
      <w:r w:rsidRPr="00FC12C4">
        <w:rPr>
          <w:lang w:val="en-US"/>
        </w:rPr>
        <w:t xml:space="preserve"> include</w:t>
      </w:r>
      <w:r w:rsidR="003B77C7">
        <w:rPr>
          <w:lang w:val="en-US"/>
        </w:rPr>
        <w:t>s</w:t>
      </w:r>
      <w:proofErr w:type="gramEnd"/>
      <w:r w:rsidRPr="00FC12C4">
        <w:rPr>
          <w:lang w:val="en-US"/>
        </w:rPr>
        <w:t xml:space="preserve">: </w:t>
      </w:r>
    </w:p>
    <w:p w:rsidR="000B573E" w:rsidRDefault="003A6FB3">
      <w:pPr>
        <w:pStyle w:val="ListBullet"/>
        <w:rPr>
          <w:lang w:val="en-US"/>
        </w:rPr>
      </w:pPr>
      <w:r>
        <w:rPr>
          <w:lang w:val="en-US"/>
        </w:rPr>
        <w:t>R</w:t>
      </w:r>
      <w:r w:rsidR="006F6CFE" w:rsidRPr="00FC12C4">
        <w:rPr>
          <w:lang w:val="en-US"/>
        </w:rPr>
        <w:t xml:space="preserve">eview of </w:t>
      </w:r>
      <w:r w:rsidR="006F6CFE">
        <w:rPr>
          <w:lang w:val="en-US"/>
        </w:rPr>
        <w:t xml:space="preserve">a proposed action </w:t>
      </w:r>
      <w:r w:rsidR="006F6CFE" w:rsidRPr="00FC12C4">
        <w:rPr>
          <w:lang w:val="en-US"/>
        </w:rPr>
        <w:t xml:space="preserve">management plan to ensure that </w:t>
      </w:r>
      <w:r w:rsidR="006F6CFE">
        <w:rPr>
          <w:lang w:val="en-US"/>
        </w:rPr>
        <w:t>it</w:t>
      </w:r>
      <w:r w:rsidR="006F6CFE" w:rsidRPr="00FC12C4">
        <w:rPr>
          <w:lang w:val="en-US"/>
        </w:rPr>
        <w:t xml:space="preserve"> adequately meets the requirement</w:t>
      </w:r>
      <w:r w:rsidR="006F6CFE">
        <w:rPr>
          <w:lang w:val="en-US"/>
        </w:rPr>
        <w:t>(s)</w:t>
      </w:r>
      <w:r w:rsidR="006F6CFE" w:rsidRPr="00FC12C4">
        <w:rPr>
          <w:lang w:val="en-US"/>
        </w:rPr>
        <w:t xml:space="preserve"> of the condition that </w:t>
      </w:r>
      <w:r w:rsidR="006F6CFE">
        <w:rPr>
          <w:lang w:val="en-US"/>
        </w:rPr>
        <w:t xml:space="preserve">triggers preparation of </w:t>
      </w:r>
      <w:r w:rsidR="006F6CFE" w:rsidRPr="00FC12C4">
        <w:rPr>
          <w:lang w:val="en-US"/>
        </w:rPr>
        <w:t xml:space="preserve">the plan, </w:t>
      </w:r>
    </w:p>
    <w:p w:rsidR="000B573E" w:rsidRDefault="003A6FB3">
      <w:pPr>
        <w:pStyle w:val="ListBullet"/>
        <w:rPr>
          <w:lang w:val="en-US"/>
        </w:rPr>
      </w:pPr>
      <w:r>
        <w:rPr>
          <w:lang w:val="en-US"/>
        </w:rPr>
        <w:t>C</w:t>
      </w:r>
      <w:r w:rsidR="006F6CFE" w:rsidRPr="00FC12C4">
        <w:rPr>
          <w:lang w:val="en-US"/>
        </w:rPr>
        <w:t xml:space="preserve">onsultation with the </w:t>
      </w:r>
      <w:r w:rsidR="00B64DB5">
        <w:rPr>
          <w:lang w:val="en-US"/>
        </w:rPr>
        <w:t>applicant</w:t>
      </w:r>
      <w:r w:rsidR="006F6CFE" w:rsidRPr="00FC12C4">
        <w:rPr>
          <w:lang w:val="en-US"/>
        </w:rPr>
        <w:t xml:space="preserve">, </w:t>
      </w:r>
    </w:p>
    <w:p w:rsidR="000B573E" w:rsidRDefault="003A6FB3">
      <w:pPr>
        <w:pStyle w:val="ListBullet"/>
        <w:rPr>
          <w:lang w:val="en-US"/>
        </w:rPr>
      </w:pPr>
      <w:r>
        <w:rPr>
          <w:lang w:val="en-US"/>
        </w:rPr>
        <w:t>R</w:t>
      </w:r>
      <w:r w:rsidR="003B77C7" w:rsidRPr="00FC12C4">
        <w:rPr>
          <w:lang w:val="en-US"/>
        </w:rPr>
        <w:t xml:space="preserve">esearch </w:t>
      </w:r>
      <w:r w:rsidR="006F6CFE" w:rsidRPr="00FC12C4">
        <w:rPr>
          <w:lang w:val="en-US"/>
        </w:rPr>
        <w:t>and validation</w:t>
      </w:r>
      <w:r w:rsidR="003B77C7">
        <w:rPr>
          <w:lang w:val="en-US"/>
        </w:rPr>
        <w:t xml:space="preserve"> of new information</w:t>
      </w:r>
      <w:r w:rsidR="006F6CFE" w:rsidRPr="00FC12C4">
        <w:rPr>
          <w:lang w:val="en-US"/>
        </w:rPr>
        <w:t xml:space="preserve">, </w:t>
      </w:r>
    </w:p>
    <w:p w:rsidR="000B573E" w:rsidRDefault="003A6FB3">
      <w:pPr>
        <w:pStyle w:val="ListBullet"/>
        <w:rPr>
          <w:lang w:val="en-US"/>
        </w:rPr>
      </w:pPr>
      <w:r>
        <w:rPr>
          <w:lang w:val="en-US"/>
        </w:rPr>
        <w:t>S</w:t>
      </w:r>
      <w:r w:rsidR="006F6CFE" w:rsidRPr="00FC12C4">
        <w:rPr>
          <w:lang w:val="en-US"/>
        </w:rPr>
        <w:t xml:space="preserve">ourcing of advice from other </w:t>
      </w:r>
      <w:r w:rsidR="001C2CB2">
        <w:rPr>
          <w:lang w:val="en-US"/>
        </w:rPr>
        <w:t>departmental</w:t>
      </w:r>
      <w:r w:rsidR="006F6CFE" w:rsidRPr="00FC12C4">
        <w:rPr>
          <w:lang w:val="en-US"/>
        </w:rPr>
        <w:t xml:space="preserve"> areas, </w:t>
      </w:r>
    </w:p>
    <w:p w:rsidR="000B573E" w:rsidRDefault="003A6FB3">
      <w:pPr>
        <w:pStyle w:val="ListBullet"/>
        <w:rPr>
          <w:lang w:val="en-US"/>
        </w:rPr>
      </w:pPr>
      <w:r>
        <w:rPr>
          <w:lang w:val="en-US"/>
        </w:rPr>
        <w:t>P</w:t>
      </w:r>
      <w:r w:rsidR="006F6CFE" w:rsidRPr="00FC12C4">
        <w:rPr>
          <w:lang w:val="en-US"/>
        </w:rPr>
        <w:t xml:space="preserve">reparation of advice to the Minister, </w:t>
      </w:r>
    </w:p>
    <w:p w:rsidR="000B573E" w:rsidRDefault="003A6FB3">
      <w:pPr>
        <w:pStyle w:val="ListBullet"/>
        <w:rPr>
          <w:lang w:val="en-US"/>
        </w:rPr>
      </w:pPr>
      <w:r>
        <w:rPr>
          <w:lang w:val="en-US"/>
        </w:rPr>
        <w:t>C</w:t>
      </w:r>
      <w:r w:rsidR="006F6CFE">
        <w:rPr>
          <w:lang w:val="en-US"/>
        </w:rPr>
        <w:t>onsideration of advice</w:t>
      </w:r>
      <w:r w:rsidR="006F6CFE" w:rsidRPr="00FC12C4">
        <w:rPr>
          <w:lang w:val="en-US"/>
        </w:rPr>
        <w:t>,</w:t>
      </w:r>
      <w:r w:rsidR="006F6CFE">
        <w:rPr>
          <w:lang w:val="en-US"/>
        </w:rPr>
        <w:t xml:space="preserve"> </w:t>
      </w:r>
      <w:r w:rsidR="003B77C7">
        <w:rPr>
          <w:lang w:val="en-US"/>
        </w:rPr>
        <w:t>and</w:t>
      </w:r>
    </w:p>
    <w:p w:rsidR="000B573E" w:rsidRDefault="003A6FB3">
      <w:pPr>
        <w:pStyle w:val="ListBullet"/>
        <w:rPr>
          <w:lang w:val="en-US"/>
        </w:rPr>
      </w:pPr>
      <w:r>
        <w:rPr>
          <w:lang w:val="en-US"/>
        </w:rPr>
        <w:t>D</w:t>
      </w:r>
      <w:r w:rsidR="006F6CFE" w:rsidRPr="00FC12C4">
        <w:rPr>
          <w:lang w:val="en-US"/>
        </w:rPr>
        <w:t>ecision notification.</w:t>
      </w:r>
      <w:r w:rsidR="006F6CFE">
        <w:rPr>
          <w:lang w:val="en-US"/>
        </w:rPr>
        <w:t xml:space="preserve"> </w:t>
      </w:r>
    </w:p>
    <w:p w:rsidR="000B573E" w:rsidRDefault="006F6CFE">
      <w:pPr>
        <w:rPr>
          <w:lang w:val="en-US"/>
        </w:rPr>
      </w:pPr>
      <w:r w:rsidRPr="007B09E6">
        <w:t>Should there be a requirement for further information that relates to a</w:t>
      </w:r>
      <w:r>
        <w:t>n</w:t>
      </w:r>
      <w:r w:rsidRPr="007B09E6">
        <w:t xml:space="preserve"> </w:t>
      </w:r>
      <w:r>
        <w:t xml:space="preserve">action </w:t>
      </w:r>
      <w:r w:rsidRPr="007B09E6">
        <w:t xml:space="preserve">management plan, the </w:t>
      </w:r>
      <w:r w:rsidR="00B64DB5">
        <w:t>applicant</w:t>
      </w:r>
      <w:r w:rsidRPr="007B09E6">
        <w:t xml:space="preserve"> can provide this information during the assessment process</w:t>
      </w:r>
      <w:r>
        <w:t xml:space="preserve"> (at no cost)</w:t>
      </w:r>
      <w:r w:rsidRPr="007B09E6">
        <w:t xml:space="preserve"> or elect to provide it following an approval as a post approval </w:t>
      </w:r>
      <w:r>
        <w:t xml:space="preserve">action </w:t>
      </w:r>
      <w:r w:rsidRPr="007B09E6">
        <w:t>management plan</w:t>
      </w:r>
      <w:r>
        <w:t xml:space="preserve"> (fees apply)</w:t>
      </w:r>
      <w:r w:rsidRPr="007B09E6">
        <w:t>.</w:t>
      </w:r>
    </w:p>
    <w:p w:rsidR="006F6CFE" w:rsidRDefault="006F6CFE" w:rsidP="006F6CFE">
      <w:pPr>
        <w:rPr>
          <w:lang w:val="en-US"/>
        </w:rPr>
      </w:pPr>
      <w:r w:rsidRPr="00FC12C4">
        <w:rPr>
          <w:lang w:val="en-US"/>
        </w:rPr>
        <w:t xml:space="preserve">A summary of the </w:t>
      </w:r>
      <w:r>
        <w:rPr>
          <w:lang w:val="en-US"/>
        </w:rPr>
        <w:t xml:space="preserve">action </w:t>
      </w:r>
      <w:r w:rsidRPr="00FC12C4">
        <w:rPr>
          <w:lang w:val="en-US"/>
        </w:rPr>
        <w:t xml:space="preserve">management plan assessment </w:t>
      </w:r>
      <w:r>
        <w:rPr>
          <w:lang w:val="en-US"/>
        </w:rPr>
        <w:t>costs</w:t>
      </w:r>
      <w:r w:rsidRPr="00FC12C4">
        <w:rPr>
          <w:lang w:val="en-US"/>
        </w:rPr>
        <w:t xml:space="preserve"> is outlined in</w:t>
      </w:r>
      <w:r w:rsidR="001E38AC">
        <w:rPr>
          <w:lang w:val="en-US"/>
        </w:rPr>
        <w:t xml:space="preserve"> </w:t>
      </w:r>
      <w:r w:rsidR="00D30427">
        <w:rPr>
          <w:lang w:val="en-US"/>
        </w:rPr>
        <w:fldChar w:fldCharType="begin"/>
      </w:r>
      <w:r w:rsidR="00D04E2E">
        <w:rPr>
          <w:lang w:val="en-US"/>
        </w:rPr>
        <w:instrText xml:space="preserve"> REF _Ref387068438 \h </w:instrText>
      </w:r>
      <w:r w:rsidR="00D30427">
        <w:rPr>
          <w:lang w:val="en-US"/>
        </w:rPr>
      </w:r>
      <w:r w:rsidR="00D30427">
        <w:rPr>
          <w:lang w:val="en-US"/>
        </w:rPr>
        <w:fldChar w:fldCharType="separate"/>
      </w:r>
      <w:r w:rsidR="001D521C">
        <w:t xml:space="preserve">Table </w:t>
      </w:r>
      <w:r w:rsidR="001D521C">
        <w:rPr>
          <w:noProof/>
        </w:rPr>
        <w:t>12</w:t>
      </w:r>
      <w:r w:rsidR="00D30427">
        <w:rPr>
          <w:lang w:val="en-US"/>
        </w:rPr>
        <w:fldChar w:fldCharType="end"/>
      </w:r>
      <w:r w:rsidRPr="005B0F37">
        <w:rPr>
          <w:lang w:val="en-US"/>
        </w:rPr>
        <w:t>.</w:t>
      </w:r>
    </w:p>
    <w:p w:rsidR="00E05346" w:rsidRDefault="00E05346" w:rsidP="00E05346">
      <w:pPr>
        <w:pStyle w:val="Caption"/>
        <w:rPr>
          <w:lang w:val="en-US"/>
        </w:rPr>
      </w:pPr>
      <w:bookmarkStart w:id="425" w:name="_Ref387068438"/>
      <w:bookmarkStart w:id="426" w:name="_Toc387069811"/>
      <w:bookmarkStart w:id="427" w:name="_Toc387073273"/>
      <w:bookmarkStart w:id="428" w:name="_Toc391541656"/>
      <w:proofErr w:type="gramStart"/>
      <w:r>
        <w:t xml:space="preserve">Table </w:t>
      </w:r>
      <w:r w:rsidR="00D30427">
        <w:fldChar w:fldCharType="begin"/>
      </w:r>
      <w:r w:rsidR="00B06D9E">
        <w:instrText xml:space="preserve"> SEQ Table \* ARABIC </w:instrText>
      </w:r>
      <w:r w:rsidR="00D30427">
        <w:fldChar w:fldCharType="separate"/>
      </w:r>
      <w:r w:rsidR="001D521C">
        <w:rPr>
          <w:noProof/>
        </w:rPr>
        <w:t>12</w:t>
      </w:r>
      <w:r w:rsidR="00D30427">
        <w:fldChar w:fldCharType="end"/>
      </w:r>
      <w:bookmarkEnd w:id="425"/>
      <w:r>
        <w:t>.</w:t>
      </w:r>
      <w:proofErr w:type="gramEnd"/>
      <w:r>
        <w:t xml:space="preserve"> </w:t>
      </w:r>
      <w:r w:rsidRPr="00162779">
        <w:t>Summary of action management plan assessment costs</w:t>
      </w:r>
      <w:r>
        <w:t>.</w:t>
      </w:r>
      <w:bookmarkEnd w:id="426"/>
      <w:bookmarkEnd w:id="427"/>
      <w:bookmarkEnd w:id="428"/>
    </w:p>
    <w:tbl>
      <w:tblPr>
        <w:tblW w:w="8936" w:type="dxa"/>
        <w:tblInd w:w="10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2620"/>
        <w:gridCol w:w="2063"/>
        <w:gridCol w:w="1985"/>
        <w:gridCol w:w="2268"/>
      </w:tblGrid>
      <w:tr w:rsidR="006F6CFE" w:rsidRPr="000431A6" w:rsidTr="00496B53">
        <w:trPr>
          <w:trHeight w:val="404"/>
        </w:trPr>
        <w:tc>
          <w:tcPr>
            <w:tcW w:w="2620" w:type="dxa"/>
            <w:tcBorders>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Activity</w:t>
            </w:r>
          </w:p>
        </w:tc>
        <w:tc>
          <w:tcPr>
            <w:tcW w:w="2063" w:type="dxa"/>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Base costs</w:t>
            </w:r>
            <w:r w:rsidRPr="000431A6">
              <w:rPr>
                <w:b/>
                <w:sz w:val="20"/>
                <w:szCs w:val="20"/>
                <w:lang w:eastAsia="en-AU"/>
              </w:rPr>
              <w:br/>
              <w:t xml:space="preserve"> (A)</w:t>
            </w:r>
          </w:p>
        </w:tc>
        <w:tc>
          <w:tcPr>
            <w:tcW w:w="1985" w:type="dxa"/>
            <w:tcBorders>
              <w:left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Complexity costs (</w:t>
            </w:r>
            <w:r>
              <w:rPr>
                <w:b/>
                <w:sz w:val="20"/>
                <w:szCs w:val="20"/>
                <w:lang w:eastAsia="en-AU"/>
              </w:rPr>
              <w:t>B</w:t>
            </w:r>
            <w:r w:rsidRPr="000431A6">
              <w:rPr>
                <w:b/>
                <w:sz w:val="20"/>
                <w:szCs w:val="20"/>
                <w:lang w:eastAsia="en-AU"/>
              </w:rPr>
              <w:t>)</w:t>
            </w:r>
          </w:p>
        </w:tc>
        <w:tc>
          <w:tcPr>
            <w:tcW w:w="2268" w:type="dxa"/>
            <w:tcBorders>
              <w:lef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Total fee</w:t>
            </w:r>
          </w:p>
          <w:p w:rsidR="006F6CFE" w:rsidRPr="000431A6" w:rsidRDefault="006F6CFE" w:rsidP="005867A8">
            <w:pPr>
              <w:jc w:val="center"/>
              <w:rPr>
                <w:b/>
                <w:sz w:val="20"/>
                <w:szCs w:val="20"/>
                <w:lang w:eastAsia="en-AU"/>
              </w:rPr>
            </w:pPr>
            <w:r w:rsidRPr="000431A6">
              <w:rPr>
                <w:b/>
                <w:sz w:val="20"/>
                <w:szCs w:val="20"/>
                <w:lang w:eastAsia="en-AU"/>
              </w:rPr>
              <w:t>(A) + (B)</w:t>
            </w:r>
          </w:p>
        </w:tc>
      </w:tr>
      <w:tr w:rsidR="006F6CFE" w:rsidRPr="00E51BC5" w:rsidTr="00496B53">
        <w:trPr>
          <w:trHeight w:val="326"/>
        </w:trPr>
        <w:tc>
          <w:tcPr>
            <w:tcW w:w="2620" w:type="dxa"/>
            <w:shd w:val="clear" w:color="auto" w:fill="auto"/>
            <w:vAlign w:val="bottom"/>
            <w:hideMark/>
          </w:tcPr>
          <w:p w:rsidR="006F6CFE" w:rsidRPr="00E51BC5" w:rsidRDefault="006F6CFE" w:rsidP="005867A8">
            <w:pPr>
              <w:rPr>
                <w:rFonts w:eastAsia="SimSun"/>
                <w:b/>
                <w:color w:val="0070C0"/>
                <w:sz w:val="20"/>
                <w:szCs w:val="20"/>
                <w:lang w:val="en-US" w:eastAsia="en-AU"/>
              </w:rPr>
            </w:pPr>
            <w:r w:rsidRPr="005D13D6">
              <w:rPr>
                <w:sz w:val="20"/>
                <w:szCs w:val="20"/>
                <w:lang w:eastAsia="en-AU"/>
              </w:rPr>
              <w:t>Action management plan assessment</w:t>
            </w:r>
            <w:r w:rsidRPr="005D13D6">
              <w:rPr>
                <w:rStyle w:val="FootnoteReference"/>
                <w:rFonts w:ascii="Calibri" w:hAnsi="Calibri" w:cs="Calibri"/>
                <w:color w:val="000000"/>
                <w:sz w:val="20"/>
                <w:szCs w:val="20"/>
                <w:lang w:eastAsia="en-AU"/>
              </w:rPr>
              <w:footnoteReference w:id="23"/>
            </w:r>
          </w:p>
        </w:tc>
        <w:tc>
          <w:tcPr>
            <w:tcW w:w="2063" w:type="dxa"/>
            <w:shd w:val="clear" w:color="auto" w:fill="auto"/>
            <w:vAlign w:val="center"/>
            <w:hideMark/>
          </w:tcPr>
          <w:p w:rsidR="006F6CFE" w:rsidRPr="00E51BC5" w:rsidRDefault="006F6CFE" w:rsidP="005867A8">
            <w:pPr>
              <w:jc w:val="center"/>
              <w:rPr>
                <w:sz w:val="20"/>
                <w:szCs w:val="20"/>
                <w:lang w:eastAsia="en-AU"/>
              </w:rPr>
            </w:pPr>
            <w:r w:rsidRPr="00D9393E">
              <w:rPr>
                <w:sz w:val="20"/>
                <w:szCs w:val="20"/>
                <w:lang w:eastAsia="en-AU"/>
              </w:rPr>
              <w:t>$3,</w:t>
            </w:r>
            <w:r w:rsidR="00D9393E" w:rsidRPr="00D9393E">
              <w:rPr>
                <w:sz w:val="20"/>
                <w:szCs w:val="20"/>
                <w:lang w:eastAsia="en-AU"/>
              </w:rPr>
              <w:t>233</w:t>
            </w:r>
          </w:p>
        </w:tc>
        <w:tc>
          <w:tcPr>
            <w:tcW w:w="1985" w:type="dxa"/>
            <w:shd w:val="clear" w:color="auto" w:fill="auto"/>
            <w:noWrap/>
            <w:vAlign w:val="center"/>
            <w:hideMark/>
          </w:tcPr>
          <w:p w:rsidR="006F6CFE" w:rsidRPr="00E51BC5" w:rsidRDefault="006F6CFE" w:rsidP="005867A8">
            <w:pPr>
              <w:jc w:val="center"/>
              <w:rPr>
                <w:sz w:val="20"/>
                <w:szCs w:val="20"/>
                <w:lang w:eastAsia="en-AU"/>
              </w:rPr>
            </w:pPr>
            <w:r w:rsidRPr="005D13D6">
              <w:rPr>
                <w:sz w:val="20"/>
                <w:szCs w:val="20"/>
                <w:lang w:eastAsia="en-AU"/>
              </w:rPr>
              <w:t>N/A</w:t>
            </w:r>
          </w:p>
        </w:tc>
        <w:tc>
          <w:tcPr>
            <w:tcW w:w="2268" w:type="dxa"/>
            <w:shd w:val="clear" w:color="auto" w:fill="auto"/>
            <w:vAlign w:val="center"/>
            <w:hideMark/>
          </w:tcPr>
          <w:p w:rsidR="006F6CFE" w:rsidRPr="00E51BC5" w:rsidRDefault="006F6CFE" w:rsidP="005867A8">
            <w:pPr>
              <w:jc w:val="center"/>
              <w:rPr>
                <w:sz w:val="20"/>
                <w:szCs w:val="20"/>
                <w:lang w:eastAsia="en-AU"/>
              </w:rPr>
            </w:pPr>
            <w:r w:rsidRPr="00D9393E">
              <w:rPr>
                <w:sz w:val="20"/>
                <w:szCs w:val="20"/>
                <w:lang w:eastAsia="en-AU"/>
              </w:rPr>
              <w:t>$</w:t>
            </w:r>
            <w:r w:rsidR="00D9393E" w:rsidRPr="00D9393E">
              <w:rPr>
                <w:sz w:val="20"/>
                <w:szCs w:val="20"/>
                <w:lang w:eastAsia="en-AU"/>
              </w:rPr>
              <w:t>3,233</w:t>
            </w:r>
          </w:p>
        </w:tc>
      </w:tr>
    </w:tbl>
    <w:p w:rsidR="00FC4684" w:rsidRDefault="00FC4684" w:rsidP="00FC4684">
      <w:bookmarkStart w:id="429" w:name="_Ref387068964"/>
      <w:bookmarkStart w:id="430" w:name="_Ref387068971"/>
    </w:p>
    <w:p w:rsidR="00FC4684" w:rsidRDefault="00FC4684" w:rsidP="00FC4684">
      <w:pPr>
        <w:rPr>
          <w:rFonts w:cs="Arial"/>
        </w:rPr>
      </w:pPr>
      <w:r>
        <w:br w:type="page"/>
      </w:r>
    </w:p>
    <w:p w:rsidR="000B573E" w:rsidRDefault="006F6CFE">
      <w:pPr>
        <w:pStyle w:val="Heading3"/>
        <w:spacing w:before="240"/>
      </w:pPr>
      <w:bookmarkStart w:id="431" w:name="_Ref387930337"/>
      <w:bookmarkStart w:id="432" w:name="_Toc391541591"/>
      <w:r w:rsidRPr="00767BDD">
        <w:lastRenderedPageBreak/>
        <w:t>Contingent</w:t>
      </w:r>
      <w:r w:rsidRPr="0080381B">
        <w:t xml:space="preserve"> activities</w:t>
      </w:r>
      <w:bookmarkEnd w:id="429"/>
      <w:bookmarkEnd w:id="430"/>
      <w:bookmarkEnd w:id="431"/>
      <w:bookmarkEnd w:id="432"/>
    </w:p>
    <w:p w:rsidR="006C4CA1" w:rsidRDefault="006C4CA1" w:rsidP="007B666C">
      <w:pPr>
        <w:rPr>
          <w:lang w:val="en-US"/>
        </w:rPr>
      </w:pPr>
      <w:r>
        <w:rPr>
          <w:lang w:val="en-US"/>
        </w:rPr>
        <w:t xml:space="preserve">Contingent fees relate to additional statutory steps </w:t>
      </w:r>
      <w:r w:rsidR="002C24A9">
        <w:rPr>
          <w:lang w:val="en-US"/>
        </w:rPr>
        <w:t xml:space="preserve">under the EPBC Act </w:t>
      </w:r>
      <w:r>
        <w:rPr>
          <w:lang w:val="en-US"/>
        </w:rPr>
        <w:t xml:space="preserve">which may be </w:t>
      </w:r>
      <w:r w:rsidR="001757BE">
        <w:rPr>
          <w:lang w:val="en-US"/>
        </w:rPr>
        <w:t xml:space="preserve">required </w:t>
      </w:r>
      <w:r>
        <w:rPr>
          <w:lang w:val="en-US"/>
        </w:rPr>
        <w:t>in certain circumstances.</w:t>
      </w:r>
      <w:r w:rsidR="00E80596">
        <w:rPr>
          <w:lang w:val="en-US"/>
        </w:rPr>
        <w:t xml:space="preserve"> The statutory bas</w:t>
      </w:r>
      <w:r w:rsidR="001757BE">
        <w:rPr>
          <w:lang w:val="en-US"/>
        </w:rPr>
        <w:t>e</w:t>
      </w:r>
      <w:r w:rsidR="00E80596">
        <w:rPr>
          <w:lang w:val="en-US"/>
        </w:rPr>
        <w:t>s for these contingent fees are outlined</w:t>
      </w:r>
      <w:r w:rsidR="002C24A9">
        <w:rPr>
          <w:lang w:val="en-US"/>
        </w:rPr>
        <w:t xml:space="preserve"> in </w:t>
      </w:r>
      <w:r w:rsidR="00D30427">
        <w:rPr>
          <w:lang w:val="en-US"/>
        </w:rPr>
        <w:fldChar w:fldCharType="begin"/>
      </w:r>
      <w:r w:rsidR="007B666C">
        <w:rPr>
          <w:lang w:val="en-US"/>
        </w:rPr>
        <w:instrText xml:space="preserve"> REF _Ref387068460 \h </w:instrText>
      </w:r>
      <w:r w:rsidR="00D30427">
        <w:rPr>
          <w:lang w:val="en-US"/>
        </w:rPr>
      </w:r>
      <w:r w:rsidR="00D30427">
        <w:rPr>
          <w:lang w:val="en-US"/>
        </w:rPr>
        <w:fldChar w:fldCharType="separate"/>
      </w:r>
      <w:r w:rsidR="001D521C">
        <w:t xml:space="preserve">Table </w:t>
      </w:r>
      <w:r w:rsidR="001D521C">
        <w:rPr>
          <w:noProof/>
        </w:rPr>
        <w:t>13</w:t>
      </w:r>
      <w:r w:rsidR="00D30427">
        <w:rPr>
          <w:lang w:val="en-US"/>
        </w:rPr>
        <w:fldChar w:fldCharType="end"/>
      </w:r>
      <w:r w:rsidR="007B666C">
        <w:rPr>
          <w:lang w:val="en-US"/>
        </w:rPr>
        <w:t xml:space="preserve"> </w:t>
      </w:r>
      <w:r w:rsidR="002C24A9">
        <w:rPr>
          <w:lang w:val="en-US"/>
        </w:rPr>
        <w:t>below</w:t>
      </w:r>
      <w:r w:rsidR="008226F4">
        <w:rPr>
          <w:lang w:val="en-US"/>
        </w:rPr>
        <w:t xml:space="preserve">. </w:t>
      </w:r>
      <w:r>
        <w:rPr>
          <w:lang w:val="en-US"/>
        </w:rPr>
        <w:t xml:space="preserve">These additional statutory steps relate to: </w:t>
      </w:r>
    </w:p>
    <w:p w:rsidR="000B573E" w:rsidRDefault="00D04E2E">
      <w:pPr>
        <w:pStyle w:val="ListBullet"/>
        <w:rPr>
          <w:lang w:val="en-US"/>
        </w:rPr>
      </w:pPr>
      <w:r>
        <w:rPr>
          <w:lang w:val="en-US"/>
        </w:rPr>
        <w:t>R</w:t>
      </w:r>
      <w:r w:rsidR="006C4CA1">
        <w:rPr>
          <w:lang w:val="en-US"/>
        </w:rPr>
        <w:t>equests for reconsideration</w:t>
      </w:r>
      <w:r w:rsidR="008F17D2">
        <w:rPr>
          <w:lang w:val="en-US"/>
        </w:rPr>
        <w:t>,</w:t>
      </w:r>
      <w:r w:rsidR="006C4CA1">
        <w:rPr>
          <w:lang w:val="en-US"/>
        </w:rPr>
        <w:t xml:space="preserve"> </w:t>
      </w:r>
    </w:p>
    <w:p w:rsidR="000B573E" w:rsidRDefault="00D04E2E">
      <w:pPr>
        <w:pStyle w:val="ListBullet"/>
        <w:rPr>
          <w:lang w:val="en-US"/>
        </w:rPr>
      </w:pPr>
      <w:r>
        <w:rPr>
          <w:lang w:val="en-US"/>
        </w:rPr>
        <w:t>W</w:t>
      </w:r>
      <w:r w:rsidR="006C4CA1">
        <w:rPr>
          <w:lang w:val="en-US"/>
        </w:rPr>
        <w:t>ork conducted post-approval relati</w:t>
      </w:r>
      <w:r w:rsidR="00E02BB5">
        <w:rPr>
          <w:lang w:val="en-US"/>
        </w:rPr>
        <w:t>ng to the variation of an action management plan or the conditions of approval</w:t>
      </w:r>
      <w:r w:rsidR="001757BE">
        <w:rPr>
          <w:lang w:val="en-US"/>
        </w:rPr>
        <w:t xml:space="preserve"> </w:t>
      </w:r>
      <w:r w:rsidR="006C4CA1">
        <w:rPr>
          <w:lang w:val="en-US"/>
        </w:rPr>
        <w:t xml:space="preserve"> at the </w:t>
      </w:r>
      <w:r w:rsidR="002C24A9">
        <w:rPr>
          <w:lang w:val="en-US"/>
        </w:rPr>
        <w:t>applicant’s request</w:t>
      </w:r>
      <w:r w:rsidR="008F17D2">
        <w:rPr>
          <w:lang w:val="en-US"/>
        </w:rPr>
        <w:t>,</w:t>
      </w:r>
      <w:r w:rsidR="002C24A9">
        <w:rPr>
          <w:lang w:val="en-US"/>
        </w:rPr>
        <w:t xml:space="preserve"> or</w:t>
      </w:r>
    </w:p>
    <w:p w:rsidR="000B573E" w:rsidRDefault="00D04E2E">
      <w:pPr>
        <w:pStyle w:val="ListBullet"/>
        <w:rPr>
          <w:lang w:val="en-US"/>
        </w:rPr>
      </w:pPr>
      <w:r>
        <w:rPr>
          <w:lang w:val="en-US"/>
        </w:rPr>
        <w:t>S</w:t>
      </w:r>
      <w:r w:rsidR="002C24A9">
        <w:rPr>
          <w:lang w:val="en-US"/>
        </w:rPr>
        <w:t xml:space="preserve">ituations where the applicant does not include adequate information in assessment documentation and </w:t>
      </w:r>
      <w:r w:rsidR="001757BE">
        <w:rPr>
          <w:lang w:val="en-US"/>
        </w:rPr>
        <w:t xml:space="preserve">the Minister must request </w:t>
      </w:r>
      <w:r w:rsidR="002C24A9">
        <w:rPr>
          <w:lang w:val="en-US"/>
        </w:rPr>
        <w:t>further information to assess the impacts of a project.</w:t>
      </w:r>
    </w:p>
    <w:p w:rsidR="003E7CAB" w:rsidRDefault="006F6CFE" w:rsidP="007B666C">
      <w:pPr>
        <w:rPr>
          <w:lang w:val="en-US"/>
        </w:rPr>
      </w:pPr>
      <w:r w:rsidRPr="00FC12C4">
        <w:rPr>
          <w:lang w:val="en-US"/>
        </w:rPr>
        <w:t>In these cases</w:t>
      </w:r>
      <w:r>
        <w:rPr>
          <w:lang w:val="en-US"/>
        </w:rPr>
        <w:t>,</w:t>
      </w:r>
      <w:r w:rsidRPr="00FC12C4">
        <w:rPr>
          <w:lang w:val="en-US"/>
        </w:rPr>
        <w:t xml:space="preserve"> additional </w:t>
      </w:r>
      <w:r w:rsidR="001C2CB2">
        <w:rPr>
          <w:lang w:val="en-US"/>
        </w:rPr>
        <w:t>departmental</w:t>
      </w:r>
      <w:r w:rsidRPr="00FC12C4">
        <w:rPr>
          <w:lang w:val="en-US"/>
        </w:rPr>
        <w:t xml:space="preserve"> staff time is required to review and address these issues, resulting in additional costs.</w:t>
      </w:r>
      <w:r>
        <w:rPr>
          <w:lang w:val="en-US"/>
        </w:rPr>
        <w:t xml:space="preserve"> These costs will not be included in the fee estimate at the time of a controlled action or assessment approach decision</w:t>
      </w:r>
      <w:r w:rsidRPr="00FC12C4">
        <w:rPr>
          <w:lang w:val="en-US"/>
        </w:rPr>
        <w:t>,</w:t>
      </w:r>
      <w:r>
        <w:rPr>
          <w:lang w:val="en-US"/>
        </w:rPr>
        <w:t xml:space="preserve"> as the requirement for them arises </w:t>
      </w:r>
      <w:r w:rsidR="00830577">
        <w:rPr>
          <w:lang w:val="en-US"/>
        </w:rPr>
        <w:t>only for some projects</w:t>
      </w:r>
      <w:r w:rsidR="00E02BB5">
        <w:rPr>
          <w:lang w:val="en-US"/>
        </w:rPr>
        <w:t xml:space="preserve"> (often at the request of the applicant)</w:t>
      </w:r>
      <w:r>
        <w:rPr>
          <w:lang w:val="en-US"/>
        </w:rPr>
        <w:t xml:space="preserve"> and cannot be determined in advance.</w:t>
      </w:r>
      <w:r w:rsidR="003E7CAB">
        <w:rPr>
          <w:lang w:val="en-US"/>
        </w:rPr>
        <w:t xml:space="preserve"> The fees for each of the contingent activities are shown in the schedule of fees at </w:t>
      </w:r>
      <w:r w:rsidR="003E7CAB">
        <w:t>Appendix A</w:t>
      </w:r>
      <w:r w:rsidR="003E7CAB">
        <w:rPr>
          <w:lang w:val="en-US"/>
        </w:rPr>
        <w:t xml:space="preserve">, and are detailed </w:t>
      </w:r>
      <w:r w:rsidR="003E7CAB" w:rsidRPr="00FC12C4">
        <w:rPr>
          <w:lang w:val="en-US"/>
        </w:rPr>
        <w:t>in</w:t>
      </w:r>
      <w:r w:rsidR="00A4438F">
        <w:rPr>
          <w:lang w:val="en-US"/>
        </w:rPr>
        <w:t xml:space="preserve"> </w:t>
      </w:r>
      <w:r w:rsidR="00D30427">
        <w:rPr>
          <w:lang w:val="en-US"/>
        </w:rPr>
        <w:fldChar w:fldCharType="begin"/>
      </w:r>
      <w:r w:rsidR="00A4438F">
        <w:rPr>
          <w:lang w:val="en-US"/>
        </w:rPr>
        <w:instrText xml:space="preserve"> REF _Ref387068460 \h </w:instrText>
      </w:r>
      <w:r w:rsidR="00D30427">
        <w:rPr>
          <w:lang w:val="en-US"/>
        </w:rPr>
      </w:r>
      <w:r w:rsidR="00D30427">
        <w:rPr>
          <w:lang w:val="en-US"/>
        </w:rPr>
        <w:fldChar w:fldCharType="separate"/>
      </w:r>
      <w:r w:rsidR="001D521C">
        <w:t xml:space="preserve">Table </w:t>
      </w:r>
      <w:r w:rsidR="001D521C">
        <w:rPr>
          <w:noProof/>
        </w:rPr>
        <w:t>13</w:t>
      </w:r>
      <w:r w:rsidR="00D30427">
        <w:rPr>
          <w:lang w:val="en-US"/>
        </w:rPr>
        <w:fldChar w:fldCharType="end"/>
      </w:r>
      <w:r w:rsidR="003E7CAB">
        <w:rPr>
          <w:lang w:val="en-US"/>
        </w:rPr>
        <w:t>.</w:t>
      </w:r>
    </w:p>
    <w:p w:rsidR="006F6CFE" w:rsidRDefault="00E02BB5" w:rsidP="006F6CFE">
      <w:pPr>
        <w:rPr>
          <w:lang w:val="en-US"/>
        </w:rPr>
      </w:pPr>
      <w:r>
        <w:rPr>
          <w:lang w:val="en-US"/>
        </w:rPr>
        <w:t>Assessment work undertaken by the Department in assessing c</w:t>
      </w:r>
      <w:r w:rsidR="006F6CFE">
        <w:rPr>
          <w:lang w:val="en-US"/>
        </w:rPr>
        <w:t>ontingent activities</w:t>
      </w:r>
      <w:r w:rsidR="006B5E4D">
        <w:rPr>
          <w:lang w:val="en-US"/>
        </w:rPr>
        <w:t xml:space="preserve"> relating to requests for reconsideration or the variation of an approval</w:t>
      </w:r>
      <w:r w:rsidR="006F6CFE" w:rsidRPr="00FC12C4">
        <w:rPr>
          <w:lang w:val="en-US"/>
        </w:rPr>
        <w:t xml:space="preserve"> </w:t>
      </w:r>
      <w:r>
        <w:rPr>
          <w:lang w:val="en-US"/>
        </w:rPr>
        <w:t xml:space="preserve">may </w:t>
      </w:r>
      <w:r w:rsidR="006F6CFE" w:rsidRPr="00FC12C4">
        <w:rPr>
          <w:lang w:val="en-US"/>
        </w:rPr>
        <w:t xml:space="preserve">include: </w:t>
      </w:r>
    </w:p>
    <w:p w:rsidR="000B573E" w:rsidRDefault="00D04E2E">
      <w:pPr>
        <w:pStyle w:val="ListBullet"/>
        <w:rPr>
          <w:lang w:val="en-US"/>
        </w:rPr>
      </w:pPr>
      <w:r>
        <w:rPr>
          <w:lang w:val="en-US"/>
        </w:rPr>
        <w:t>T</w:t>
      </w:r>
      <w:r w:rsidR="006F6CFE" w:rsidRPr="00FC12C4">
        <w:rPr>
          <w:lang w:val="en-US"/>
        </w:rPr>
        <w:t>he review and validation of new information</w:t>
      </w:r>
      <w:r w:rsidR="008F17D2">
        <w:rPr>
          <w:lang w:val="en-US"/>
        </w:rPr>
        <w:t>,</w:t>
      </w:r>
      <w:r w:rsidR="006F6CFE" w:rsidRPr="00FC12C4">
        <w:rPr>
          <w:lang w:val="en-US"/>
        </w:rPr>
        <w:t xml:space="preserve"> </w:t>
      </w:r>
    </w:p>
    <w:p w:rsidR="000B573E" w:rsidRDefault="00D04E2E">
      <w:pPr>
        <w:pStyle w:val="ListBullet"/>
        <w:rPr>
          <w:lang w:val="en-US"/>
        </w:rPr>
      </w:pPr>
      <w:r>
        <w:rPr>
          <w:lang w:val="en-US"/>
        </w:rPr>
        <w:t>A</w:t>
      </w:r>
      <w:r w:rsidR="006F6CFE" w:rsidRPr="00FC12C4">
        <w:rPr>
          <w:lang w:val="en-US"/>
        </w:rPr>
        <w:t xml:space="preserve">ssessment of the likely impact on matters of </w:t>
      </w:r>
      <w:r w:rsidR="006F6CFE">
        <w:rPr>
          <w:lang w:val="en-US"/>
        </w:rPr>
        <w:t>national environmental significance</w:t>
      </w:r>
      <w:r w:rsidR="006F6CFE" w:rsidRPr="00FC12C4">
        <w:rPr>
          <w:lang w:val="en-US"/>
        </w:rPr>
        <w:t xml:space="preserve"> related to any potential changes to the </w:t>
      </w:r>
      <w:r w:rsidR="0064623E" w:rsidRPr="00FC12C4">
        <w:rPr>
          <w:lang w:val="en-US"/>
        </w:rPr>
        <w:t>pro</w:t>
      </w:r>
      <w:r w:rsidR="0064623E">
        <w:rPr>
          <w:lang w:val="en-US"/>
        </w:rPr>
        <w:t>ject</w:t>
      </w:r>
      <w:r w:rsidR="008F17D2">
        <w:rPr>
          <w:lang w:val="en-US"/>
        </w:rPr>
        <w:t>,</w:t>
      </w:r>
      <w:r w:rsidR="006F6CFE" w:rsidRPr="00FC12C4">
        <w:rPr>
          <w:lang w:val="en-US"/>
        </w:rPr>
        <w:t xml:space="preserve"> </w:t>
      </w:r>
    </w:p>
    <w:p w:rsidR="000B573E" w:rsidRDefault="00D04E2E">
      <w:pPr>
        <w:pStyle w:val="ListBullet"/>
        <w:rPr>
          <w:lang w:val="en-US"/>
        </w:rPr>
      </w:pPr>
      <w:r>
        <w:rPr>
          <w:lang w:val="en-US"/>
        </w:rPr>
        <w:t>D</w:t>
      </w:r>
      <w:r w:rsidR="006F6CFE" w:rsidRPr="00FC12C4">
        <w:rPr>
          <w:lang w:val="en-US"/>
        </w:rPr>
        <w:t xml:space="preserve">iscussion with </w:t>
      </w:r>
      <w:r w:rsidR="00B64DB5">
        <w:rPr>
          <w:lang w:val="en-US"/>
        </w:rPr>
        <w:t>applicant</w:t>
      </w:r>
      <w:r w:rsidR="006F6CFE" w:rsidRPr="00FC12C4">
        <w:rPr>
          <w:lang w:val="en-US"/>
        </w:rPr>
        <w:t xml:space="preserve"> to ensure requirements are understood</w:t>
      </w:r>
      <w:r w:rsidR="008F17D2">
        <w:rPr>
          <w:lang w:val="en-US"/>
        </w:rPr>
        <w:t>,</w:t>
      </w:r>
      <w:r w:rsidR="006F6CFE" w:rsidRPr="00FC12C4">
        <w:rPr>
          <w:lang w:val="en-US"/>
        </w:rPr>
        <w:t xml:space="preserve"> </w:t>
      </w:r>
    </w:p>
    <w:p w:rsidR="006F6CFE" w:rsidRDefault="00D04E2E">
      <w:pPr>
        <w:pStyle w:val="ListBullet"/>
        <w:rPr>
          <w:lang w:val="en-US"/>
        </w:rPr>
      </w:pPr>
      <w:r>
        <w:rPr>
          <w:lang w:val="en-US"/>
        </w:rPr>
        <w:t>P</w:t>
      </w:r>
      <w:r w:rsidR="006F6CFE" w:rsidRPr="00FC12C4">
        <w:rPr>
          <w:lang w:val="en-US"/>
        </w:rPr>
        <w:t>reparation of draft statutory decision</w:t>
      </w:r>
      <w:r w:rsidR="008F17D2">
        <w:rPr>
          <w:lang w:val="en-US"/>
        </w:rPr>
        <w:t>,</w:t>
      </w:r>
      <w:r w:rsidR="006F6CFE" w:rsidRPr="00FC12C4">
        <w:rPr>
          <w:lang w:val="en-US"/>
        </w:rPr>
        <w:t xml:space="preserve"> and </w:t>
      </w:r>
    </w:p>
    <w:p w:rsidR="006F6CFE" w:rsidRDefault="00D04E2E">
      <w:pPr>
        <w:pStyle w:val="ListBullet"/>
        <w:rPr>
          <w:lang w:val="en-US"/>
        </w:rPr>
      </w:pPr>
      <w:r>
        <w:rPr>
          <w:lang w:val="en-US"/>
        </w:rPr>
        <w:t>N</w:t>
      </w:r>
      <w:r w:rsidR="006F6CFE" w:rsidRPr="00FC12C4">
        <w:rPr>
          <w:lang w:val="en-US"/>
        </w:rPr>
        <w:t>egotiation of any requirements on the basis of new information.</w:t>
      </w:r>
      <w:r w:rsidR="006F6CFE">
        <w:rPr>
          <w:lang w:val="en-US"/>
        </w:rPr>
        <w:t xml:space="preserve"> </w:t>
      </w:r>
    </w:p>
    <w:p w:rsidR="006F6CFE" w:rsidRDefault="006F6CFE" w:rsidP="006F6CFE">
      <w:pPr>
        <w:rPr>
          <w:lang w:val="en-US"/>
        </w:rPr>
      </w:pPr>
      <w:r w:rsidRPr="00FC12C4">
        <w:rPr>
          <w:lang w:val="en-US"/>
        </w:rPr>
        <w:t xml:space="preserve">If the Minister or delegate of the Minister needs to request additional information in either the referral or approval stage of an assessment due to substantial gap in information, then contingent fees for requesting additional information will be applicable. These </w:t>
      </w:r>
      <w:r>
        <w:rPr>
          <w:lang w:val="en-US"/>
        </w:rPr>
        <w:t>related activities</w:t>
      </w:r>
      <w:r w:rsidRPr="00FC12C4">
        <w:rPr>
          <w:lang w:val="en-US"/>
        </w:rPr>
        <w:t xml:space="preserve"> include: </w:t>
      </w:r>
    </w:p>
    <w:p w:rsidR="006F6CFE" w:rsidRDefault="00D04E2E" w:rsidP="008F17D2">
      <w:pPr>
        <w:pStyle w:val="ListBullet"/>
        <w:rPr>
          <w:lang w:val="en-US"/>
        </w:rPr>
      </w:pPr>
      <w:r>
        <w:rPr>
          <w:lang w:val="en-US"/>
        </w:rPr>
        <w:t>T</w:t>
      </w:r>
      <w:r w:rsidR="006F6CFE" w:rsidRPr="00FC12C4">
        <w:rPr>
          <w:lang w:val="en-US"/>
        </w:rPr>
        <w:t>he assessment of additional information required</w:t>
      </w:r>
      <w:r w:rsidR="008F17D2">
        <w:rPr>
          <w:lang w:val="en-US"/>
        </w:rPr>
        <w:t>,</w:t>
      </w:r>
      <w:r w:rsidR="006F6CFE" w:rsidRPr="00FC12C4">
        <w:rPr>
          <w:lang w:val="en-US"/>
        </w:rPr>
        <w:t xml:space="preserve"> </w:t>
      </w:r>
    </w:p>
    <w:p w:rsidR="006F6CFE" w:rsidRDefault="00D04E2E" w:rsidP="008F17D2">
      <w:pPr>
        <w:pStyle w:val="ListBullet"/>
        <w:rPr>
          <w:lang w:val="en-US"/>
        </w:rPr>
      </w:pPr>
      <w:r>
        <w:rPr>
          <w:lang w:val="en-US"/>
        </w:rPr>
        <w:t>D</w:t>
      </w:r>
      <w:r w:rsidR="006F6CFE" w:rsidRPr="00FC12C4">
        <w:rPr>
          <w:lang w:val="en-US"/>
        </w:rPr>
        <w:t xml:space="preserve">iscussion with </w:t>
      </w:r>
      <w:r w:rsidR="00B64DB5">
        <w:rPr>
          <w:lang w:val="en-US"/>
        </w:rPr>
        <w:t>applicant</w:t>
      </w:r>
      <w:r w:rsidR="006F6CFE" w:rsidRPr="00FC12C4">
        <w:rPr>
          <w:lang w:val="en-US"/>
        </w:rPr>
        <w:t xml:space="preserve"> to ensure requirements </w:t>
      </w:r>
      <w:r w:rsidR="006F6CFE">
        <w:rPr>
          <w:lang w:val="en-US"/>
        </w:rPr>
        <w:t xml:space="preserve">are </w:t>
      </w:r>
      <w:r w:rsidR="006F6CFE" w:rsidRPr="00FC12C4">
        <w:rPr>
          <w:lang w:val="en-US"/>
        </w:rPr>
        <w:t>understood</w:t>
      </w:r>
      <w:r w:rsidR="008F17D2">
        <w:rPr>
          <w:lang w:val="en-US"/>
        </w:rPr>
        <w:t>,</w:t>
      </w:r>
      <w:r w:rsidR="006F6CFE" w:rsidRPr="00FC12C4">
        <w:rPr>
          <w:lang w:val="en-US"/>
        </w:rPr>
        <w:t xml:space="preserve"> </w:t>
      </w:r>
    </w:p>
    <w:p w:rsidR="006F6CFE" w:rsidRDefault="00D04E2E">
      <w:pPr>
        <w:pStyle w:val="ListBullet"/>
        <w:rPr>
          <w:lang w:val="en-US"/>
        </w:rPr>
      </w:pPr>
      <w:r>
        <w:rPr>
          <w:lang w:val="en-US"/>
        </w:rPr>
        <w:t>R</w:t>
      </w:r>
      <w:r w:rsidR="006F6CFE" w:rsidRPr="00FC12C4">
        <w:rPr>
          <w:lang w:val="en-US"/>
        </w:rPr>
        <w:t>eview and validation of additional information</w:t>
      </w:r>
      <w:r w:rsidR="006F6CFE">
        <w:rPr>
          <w:lang w:val="en-US"/>
        </w:rPr>
        <w:t xml:space="preserve"> provided</w:t>
      </w:r>
      <w:r w:rsidR="008F17D2">
        <w:rPr>
          <w:lang w:val="en-US"/>
        </w:rPr>
        <w:t>,</w:t>
      </w:r>
      <w:r w:rsidR="006F6CFE" w:rsidRPr="00FC12C4">
        <w:rPr>
          <w:lang w:val="en-US"/>
        </w:rPr>
        <w:t xml:space="preserve"> </w:t>
      </w:r>
    </w:p>
    <w:p w:rsidR="006F6CFE" w:rsidRDefault="00D04E2E">
      <w:pPr>
        <w:pStyle w:val="ListBullet"/>
        <w:rPr>
          <w:lang w:val="en-US"/>
        </w:rPr>
      </w:pPr>
      <w:r>
        <w:rPr>
          <w:lang w:val="en-US"/>
        </w:rPr>
        <w:t>P</w:t>
      </w:r>
      <w:r w:rsidR="006F6CFE" w:rsidRPr="00FC12C4">
        <w:rPr>
          <w:lang w:val="en-US"/>
        </w:rPr>
        <w:t>reparation of statutory decision</w:t>
      </w:r>
      <w:r w:rsidR="008F17D2">
        <w:rPr>
          <w:lang w:val="en-US"/>
        </w:rPr>
        <w:t>,</w:t>
      </w:r>
      <w:r w:rsidR="006F6CFE" w:rsidRPr="00FC12C4">
        <w:rPr>
          <w:lang w:val="en-US"/>
        </w:rPr>
        <w:t xml:space="preserve"> and </w:t>
      </w:r>
    </w:p>
    <w:p w:rsidR="006F6CFE" w:rsidRDefault="00D04E2E">
      <w:pPr>
        <w:pStyle w:val="ListBullet"/>
        <w:rPr>
          <w:lang w:val="en-US"/>
        </w:rPr>
      </w:pPr>
      <w:r>
        <w:rPr>
          <w:lang w:val="en-US"/>
        </w:rPr>
        <w:t>N</w:t>
      </w:r>
      <w:r w:rsidR="006F6CFE" w:rsidRPr="00FC12C4">
        <w:rPr>
          <w:lang w:val="en-US"/>
        </w:rPr>
        <w:t xml:space="preserve">egotiation of any additional requirements on the basis of new information. </w:t>
      </w:r>
    </w:p>
    <w:p w:rsidR="00A4438F" w:rsidRDefault="00A4438F">
      <w:pPr>
        <w:rPr>
          <w:lang w:val="en-US"/>
        </w:rPr>
      </w:pPr>
    </w:p>
    <w:p w:rsidR="00A4438F" w:rsidRDefault="00A4438F">
      <w:pPr>
        <w:rPr>
          <w:lang w:val="en-US"/>
        </w:rPr>
      </w:pPr>
    </w:p>
    <w:p w:rsidR="000B573E" w:rsidRDefault="006F6CFE">
      <w:pPr>
        <w:rPr>
          <w:lang w:val="en-US"/>
        </w:rPr>
      </w:pPr>
      <w:r>
        <w:rPr>
          <w:lang w:val="en-US"/>
        </w:rPr>
        <w:lastRenderedPageBreak/>
        <w:t>C</w:t>
      </w:r>
      <w:r w:rsidRPr="00FC12C4">
        <w:rPr>
          <w:lang w:val="en-US"/>
        </w:rPr>
        <w:t>ontingent fees must be paid prior to the commencement of the related work.</w:t>
      </w:r>
      <w:r>
        <w:rPr>
          <w:lang w:val="en-US"/>
        </w:rPr>
        <w:t xml:space="preserve"> </w:t>
      </w:r>
      <w:r w:rsidR="00736BE5">
        <w:rPr>
          <w:lang w:val="en-US"/>
        </w:rPr>
        <w:t>For</w:t>
      </w:r>
      <w:r>
        <w:rPr>
          <w:lang w:val="en-US"/>
        </w:rPr>
        <w:t xml:space="preserve"> the request for additional information, </w:t>
      </w:r>
      <w:r w:rsidRPr="000A1897">
        <w:rPr>
          <w:lang w:val="en-US"/>
        </w:rPr>
        <w:t>this fee is only applicable for referrals</w:t>
      </w:r>
      <w:r w:rsidR="002C24A9">
        <w:rPr>
          <w:lang w:val="en-US"/>
        </w:rPr>
        <w:t>, the final stage of assessment</w:t>
      </w:r>
      <w:r w:rsidRPr="000A1897">
        <w:rPr>
          <w:lang w:val="en-US"/>
        </w:rPr>
        <w:t xml:space="preserve"> or post approval action management plans to ensure </w:t>
      </w:r>
      <w:r w:rsidR="00736BE5">
        <w:rPr>
          <w:lang w:val="en-US"/>
        </w:rPr>
        <w:t>that applicants are not charged for matters factored into the complexity fee</w:t>
      </w:r>
      <w:r w:rsidRPr="000A1897">
        <w:rPr>
          <w:lang w:val="en-US"/>
        </w:rPr>
        <w:t>.</w:t>
      </w:r>
      <w:r>
        <w:rPr>
          <w:lang w:val="en-US"/>
        </w:rPr>
        <w:t xml:space="preserve"> </w:t>
      </w:r>
    </w:p>
    <w:p w:rsidR="000B573E" w:rsidRDefault="006F6CFE">
      <w:pPr>
        <w:rPr>
          <w:lang w:val="en-US"/>
        </w:rPr>
      </w:pPr>
      <w:r>
        <w:rPr>
          <w:lang w:val="en-US"/>
        </w:rPr>
        <w:t>For additional requests relating to an assessment by environmental impact statement</w:t>
      </w:r>
      <w:r w:rsidR="003E7CAB">
        <w:rPr>
          <w:lang w:val="en-US"/>
        </w:rPr>
        <w:t xml:space="preserve"> or public environment report</w:t>
      </w:r>
      <w:r>
        <w:rPr>
          <w:lang w:val="en-US"/>
        </w:rPr>
        <w:t xml:space="preserve">, </w:t>
      </w:r>
      <w:r w:rsidRPr="000A1897">
        <w:rPr>
          <w:lang w:val="en-US"/>
        </w:rPr>
        <w:t xml:space="preserve">to ensure </w:t>
      </w:r>
      <w:r w:rsidR="00736BE5">
        <w:rPr>
          <w:lang w:val="en-US"/>
        </w:rPr>
        <w:t>applicants are not charged for matters factored into the complexity fee</w:t>
      </w:r>
      <w:r w:rsidRPr="000A1897">
        <w:rPr>
          <w:lang w:val="en-US"/>
        </w:rPr>
        <w:t xml:space="preserve">, this fee </w:t>
      </w:r>
      <w:r w:rsidR="003A6FB3">
        <w:rPr>
          <w:lang w:val="en-US"/>
        </w:rPr>
        <w:t>is</w:t>
      </w:r>
      <w:r w:rsidRPr="000A1897">
        <w:rPr>
          <w:lang w:val="en-US"/>
        </w:rPr>
        <w:t xml:space="preserve"> not be applicable if the additional information request relates to</w:t>
      </w:r>
      <w:r w:rsidR="00736BE5">
        <w:rPr>
          <w:lang w:val="en-US"/>
        </w:rPr>
        <w:t>:</w:t>
      </w:r>
      <w:r w:rsidRPr="000A1897">
        <w:rPr>
          <w:lang w:val="en-US"/>
        </w:rPr>
        <w:t xml:space="preserve"> </w:t>
      </w:r>
    </w:p>
    <w:p w:rsidR="00736BE5" w:rsidRDefault="00D04E2E">
      <w:pPr>
        <w:pStyle w:val="ListBullet"/>
        <w:rPr>
          <w:lang w:val="en-US"/>
        </w:rPr>
      </w:pPr>
      <w:r>
        <w:rPr>
          <w:lang w:val="en-US"/>
        </w:rPr>
        <w:t>S</w:t>
      </w:r>
      <w:r w:rsidR="006F6CFE" w:rsidRPr="000A1897">
        <w:rPr>
          <w:lang w:val="en-US"/>
        </w:rPr>
        <w:t xml:space="preserve">ite surveys/knowledge of the environment, </w:t>
      </w:r>
    </w:p>
    <w:p w:rsidR="00736BE5" w:rsidRDefault="00D04E2E">
      <w:pPr>
        <w:pStyle w:val="ListBullet"/>
        <w:rPr>
          <w:lang w:val="en-US"/>
        </w:rPr>
      </w:pPr>
      <w:r>
        <w:rPr>
          <w:lang w:val="en-US"/>
        </w:rPr>
        <w:t>M</w:t>
      </w:r>
      <w:r w:rsidR="006F6CFE" w:rsidRPr="000A1897">
        <w:rPr>
          <w:lang w:val="en-US"/>
        </w:rPr>
        <w:t>anagement measures</w:t>
      </w:r>
      <w:r w:rsidR="00874ED5">
        <w:rPr>
          <w:lang w:val="en-US"/>
        </w:rPr>
        <w:t>,</w:t>
      </w:r>
      <w:r w:rsidR="006F6CFE" w:rsidRPr="000A1897">
        <w:rPr>
          <w:lang w:val="en-US"/>
        </w:rPr>
        <w:t xml:space="preserve"> and </w:t>
      </w:r>
    </w:p>
    <w:p w:rsidR="00736BE5" w:rsidRDefault="00D04E2E">
      <w:pPr>
        <w:pStyle w:val="ListBullet"/>
        <w:rPr>
          <w:lang w:val="en-US"/>
        </w:rPr>
      </w:pPr>
      <w:r>
        <w:rPr>
          <w:lang w:val="en-US"/>
        </w:rPr>
        <w:t>P</w:t>
      </w:r>
      <w:r w:rsidR="006F6CFE" w:rsidRPr="000A1897">
        <w:rPr>
          <w:lang w:val="en-US"/>
        </w:rPr>
        <w:t>roject scope</w:t>
      </w:r>
      <w:r w:rsidR="006F6CFE">
        <w:rPr>
          <w:lang w:val="en-US"/>
        </w:rPr>
        <w:t>.</w:t>
      </w:r>
      <w:r w:rsidR="006F6CFE" w:rsidRPr="000A1897">
        <w:rPr>
          <w:lang w:val="en-US"/>
        </w:rPr>
        <w:t xml:space="preserve"> </w:t>
      </w:r>
    </w:p>
    <w:p w:rsidR="000B573E" w:rsidRDefault="006F6CFE">
      <w:pPr>
        <w:rPr>
          <w:lang w:val="en-US"/>
        </w:rPr>
      </w:pPr>
      <w:r>
        <w:rPr>
          <w:lang w:val="en-US"/>
        </w:rPr>
        <w:t>T</w:t>
      </w:r>
      <w:r w:rsidRPr="000A1897">
        <w:rPr>
          <w:lang w:val="en-US"/>
        </w:rPr>
        <w:t xml:space="preserve">hese costs are </w:t>
      </w:r>
      <w:r w:rsidR="00736BE5">
        <w:rPr>
          <w:lang w:val="en-US"/>
        </w:rPr>
        <w:t xml:space="preserve">already </w:t>
      </w:r>
      <w:r w:rsidRPr="000A1897">
        <w:rPr>
          <w:lang w:val="en-US"/>
        </w:rPr>
        <w:t xml:space="preserve">covered in the ‘Adequacy of Information and Clarity of Project Scope’ complexity fees (fees </w:t>
      </w:r>
      <w:r w:rsidR="001E38AC">
        <w:rPr>
          <w:lang w:val="en-US"/>
        </w:rPr>
        <w:t>M, N</w:t>
      </w:r>
      <w:r w:rsidRPr="000A1897">
        <w:rPr>
          <w:lang w:val="en-US"/>
        </w:rPr>
        <w:t xml:space="preserve"> and </w:t>
      </w:r>
      <w:r w:rsidR="001E38AC">
        <w:rPr>
          <w:lang w:val="en-US"/>
        </w:rPr>
        <w:t>O</w:t>
      </w:r>
      <w:r w:rsidRPr="000A1897">
        <w:rPr>
          <w:lang w:val="en-US"/>
        </w:rPr>
        <w:t xml:space="preserve"> in the complexity </w:t>
      </w:r>
      <w:r w:rsidR="00816688">
        <w:rPr>
          <w:lang w:val="en-US"/>
        </w:rPr>
        <w:t xml:space="preserve">fee </w:t>
      </w:r>
      <w:r w:rsidRPr="000A1897">
        <w:rPr>
          <w:lang w:val="en-US"/>
        </w:rPr>
        <w:t xml:space="preserve">matrix). The </w:t>
      </w:r>
      <w:r>
        <w:rPr>
          <w:lang w:val="en-US"/>
        </w:rPr>
        <w:t xml:space="preserve">fee associated with the </w:t>
      </w:r>
      <w:r w:rsidRPr="000A1897">
        <w:rPr>
          <w:lang w:val="en-US"/>
        </w:rPr>
        <w:t xml:space="preserve">request for additional information fee is </w:t>
      </w:r>
      <w:r w:rsidR="00736BE5">
        <w:rPr>
          <w:lang w:val="en-US"/>
        </w:rPr>
        <w:t xml:space="preserve">therefore </w:t>
      </w:r>
      <w:r w:rsidRPr="000A1897">
        <w:rPr>
          <w:lang w:val="en-US"/>
        </w:rPr>
        <w:t xml:space="preserve">only applicable </w:t>
      </w:r>
      <w:r w:rsidR="00803930" w:rsidRPr="000A1897">
        <w:rPr>
          <w:lang w:val="en-US"/>
        </w:rPr>
        <w:t>for an assessment by environmental impact statement</w:t>
      </w:r>
      <w:r w:rsidR="00803930">
        <w:rPr>
          <w:lang w:val="en-US"/>
        </w:rPr>
        <w:t xml:space="preserve"> or public environment report</w:t>
      </w:r>
      <w:r w:rsidR="00803930" w:rsidRPr="000A1897">
        <w:rPr>
          <w:lang w:val="en-US"/>
        </w:rPr>
        <w:t xml:space="preserve"> </w:t>
      </w:r>
      <w:r w:rsidR="00803930">
        <w:rPr>
          <w:lang w:val="en-US"/>
        </w:rPr>
        <w:t xml:space="preserve">where the Minister must </w:t>
      </w:r>
      <w:r w:rsidR="001D5727">
        <w:rPr>
          <w:lang w:val="en-US"/>
        </w:rPr>
        <w:t xml:space="preserve">make </w:t>
      </w:r>
      <w:r w:rsidR="001D5727" w:rsidRPr="000A1897">
        <w:rPr>
          <w:lang w:val="en-US"/>
        </w:rPr>
        <w:t>a</w:t>
      </w:r>
      <w:r w:rsidRPr="000A1897">
        <w:rPr>
          <w:lang w:val="en-US"/>
        </w:rPr>
        <w:t xml:space="preserve"> significant information request</w:t>
      </w:r>
      <w:r w:rsidR="00803930">
        <w:rPr>
          <w:lang w:val="en-US"/>
        </w:rPr>
        <w:t xml:space="preserve"> which would not have been necessary if the applicant had followed the assessment process.</w:t>
      </w:r>
      <w:r w:rsidRPr="000A1897">
        <w:rPr>
          <w:lang w:val="en-US"/>
        </w:rPr>
        <w:t xml:space="preserve"> </w:t>
      </w:r>
      <w:r w:rsidR="00803930">
        <w:rPr>
          <w:lang w:val="en-US"/>
        </w:rPr>
        <w:t>F</w:t>
      </w:r>
      <w:r w:rsidRPr="000A1897">
        <w:rPr>
          <w:lang w:val="en-US"/>
        </w:rPr>
        <w:t>or example</w:t>
      </w:r>
      <w:r w:rsidR="00803930">
        <w:rPr>
          <w:lang w:val="en-US"/>
        </w:rPr>
        <w:t>,</w:t>
      </w:r>
      <w:r w:rsidRPr="000A1897">
        <w:rPr>
          <w:lang w:val="en-US"/>
        </w:rPr>
        <w:t xml:space="preserve"> where a</w:t>
      </w:r>
      <w:r w:rsidR="00B64DB5">
        <w:rPr>
          <w:lang w:val="en-US"/>
        </w:rPr>
        <w:t>n</w:t>
      </w:r>
      <w:r w:rsidRPr="000A1897">
        <w:rPr>
          <w:lang w:val="en-US"/>
        </w:rPr>
        <w:t xml:space="preserve"> </w:t>
      </w:r>
      <w:r w:rsidR="00B64DB5">
        <w:rPr>
          <w:lang w:val="en-US"/>
        </w:rPr>
        <w:t>applicant</w:t>
      </w:r>
      <w:r w:rsidRPr="000A1897">
        <w:rPr>
          <w:lang w:val="en-US"/>
        </w:rPr>
        <w:t xml:space="preserve"> has not included critical information in their environmental impact statement </w:t>
      </w:r>
      <w:r w:rsidR="003E7CAB">
        <w:rPr>
          <w:lang w:val="en-US"/>
        </w:rPr>
        <w:t xml:space="preserve">or public environment report </w:t>
      </w:r>
      <w:r w:rsidRPr="000A1897">
        <w:rPr>
          <w:lang w:val="en-US"/>
        </w:rPr>
        <w:t xml:space="preserve">that was required </w:t>
      </w:r>
      <w:r w:rsidR="00803930">
        <w:rPr>
          <w:lang w:val="en-US"/>
        </w:rPr>
        <w:t>by</w:t>
      </w:r>
      <w:r w:rsidR="00803930" w:rsidRPr="000A1897">
        <w:rPr>
          <w:lang w:val="en-US"/>
        </w:rPr>
        <w:t xml:space="preserve"> </w:t>
      </w:r>
      <w:r w:rsidRPr="000A1897">
        <w:rPr>
          <w:lang w:val="en-US"/>
        </w:rPr>
        <w:t xml:space="preserve">the assessment </w:t>
      </w:r>
      <w:proofErr w:type="gramStart"/>
      <w:r w:rsidRPr="000A1897">
        <w:rPr>
          <w:lang w:val="en-US"/>
        </w:rPr>
        <w:t>guidelines</w:t>
      </w:r>
      <w:r w:rsidR="00803930">
        <w:rPr>
          <w:lang w:val="en-US"/>
        </w:rPr>
        <w:t>,</w:t>
      </w:r>
      <w:proofErr w:type="gramEnd"/>
      <w:r w:rsidR="003E7CAB">
        <w:rPr>
          <w:lang w:val="en-US"/>
        </w:rPr>
        <w:t xml:space="preserve"> and </w:t>
      </w:r>
      <w:r w:rsidR="00803930">
        <w:rPr>
          <w:lang w:val="en-US"/>
        </w:rPr>
        <w:t xml:space="preserve">the information </w:t>
      </w:r>
      <w:r w:rsidR="003E7CAB">
        <w:rPr>
          <w:lang w:val="en-US"/>
        </w:rPr>
        <w:t>is necessary for the</w:t>
      </w:r>
      <w:r w:rsidR="00803930">
        <w:rPr>
          <w:lang w:val="en-US"/>
        </w:rPr>
        <w:t xml:space="preserve"> final assessment report to be validly submitted to the Minister</w:t>
      </w:r>
      <w:r w:rsidRPr="000A1897">
        <w:rPr>
          <w:lang w:val="en-US"/>
        </w:rPr>
        <w:t>.</w:t>
      </w:r>
    </w:p>
    <w:p w:rsidR="006F6CFE" w:rsidRDefault="006F6CFE" w:rsidP="006F6CFE">
      <w:pPr>
        <w:rPr>
          <w:lang w:val="en-US"/>
        </w:rPr>
      </w:pPr>
      <w:r>
        <w:rPr>
          <w:lang w:val="en-US"/>
        </w:rPr>
        <w:t xml:space="preserve">The </w:t>
      </w:r>
      <w:r w:rsidR="00803930">
        <w:rPr>
          <w:lang w:val="en-US"/>
        </w:rPr>
        <w:t xml:space="preserve">applicant </w:t>
      </w:r>
      <w:r w:rsidR="003A6FB3">
        <w:rPr>
          <w:lang w:val="en-US"/>
        </w:rPr>
        <w:t xml:space="preserve">does </w:t>
      </w:r>
      <w:r w:rsidR="00803930">
        <w:rPr>
          <w:lang w:val="en-US"/>
        </w:rPr>
        <w:t xml:space="preserve">not need to pay a </w:t>
      </w:r>
      <w:r>
        <w:rPr>
          <w:lang w:val="en-US"/>
        </w:rPr>
        <w:t xml:space="preserve">fee for a reconsideration request where the </w:t>
      </w:r>
      <w:r w:rsidRPr="000A1897">
        <w:rPr>
          <w:lang w:val="en-US"/>
        </w:rPr>
        <w:t>reconsideration is requested by a thir</w:t>
      </w:r>
      <w:r>
        <w:rPr>
          <w:lang w:val="en-US"/>
        </w:rPr>
        <w:t>d party</w:t>
      </w:r>
      <w:r w:rsidR="00500158">
        <w:rPr>
          <w:lang w:val="en-US"/>
        </w:rPr>
        <w:t xml:space="preserve"> rather than the applicant</w:t>
      </w:r>
      <w:r w:rsidRPr="000A1897">
        <w:rPr>
          <w:lang w:val="en-US"/>
        </w:rPr>
        <w:t xml:space="preserve">. If the reconsideration results in a change to the original referral decision then fees will be revised, and an updated fee schedule will be provided to the </w:t>
      </w:r>
      <w:r w:rsidR="00B64DB5">
        <w:rPr>
          <w:lang w:val="en-US"/>
        </w:rPr>
        <w:t>applicant</w:t>
      </w:r>
      <w:r w:rsidRPr="000A1897">
        <w:rPr>
          <w:lang w:val="en-US"/>
        </w:rPr>
        <w:t xml:space="preserve"> if applicable.</w:t>
      </w:r>
    </w:p>
    <w:p w:rsidR="00D33099" w:rsidRDefault="003E7CAB">
      <w:pPr>
        <w:rPr>
          <w:lang w:val="en-US"/>
        </w:rPr>
      </w:pPr>
      <w:r>
        <w:rPr>
          <w:lang w:val="en-US"/>
        </w:rPr>
        <w:t xml:space="preserve">There </w:t>
      </w:r>
      <w:r w:rsidR="003A6FB3">
        <w:rPr>
          <w:lang w:val="en-US"/>
        </w:rPr>
        <w:t>is</w:t>
      </w:r>
      <w:r>
        <w:rPr>
          <w:lang w:val="en-US"/>
        </w:rPr>
        <w:t xml:space="preserve"> a fee for the variation of an action management plan and a separate fee for the administrative variation of an action management plan. These two different fees </w:t>
      </w:r>
      <w:proofErr w:type="spellStart"/>
      <w:r>
        <w:rPr>
          <w:lang w:val="en-US"/>
        </w:rPr>
        <w:t>recognise</w:t>
      </w:r>
      <w:proofErr w:type="spellEnd"/>
      <w:r>
        <w:rPr>
          <w:lang w:val="en-US"/>
        </w:rPr>
        <w:t xml:space="preserve"> that in some circumstances, the Department may be requested to approve a</w:t>
      </w:r>
      <w:r w:rsidR="00767BDD">
        <w:rPr>
          <w:lang w:val="en-US"/>
        </w:rPr>
        <w:t xml:space="preserve"> minor ‘administrative’ variation of an action management plan, such as a change of a name of an </w:t>
      </w:r>
      <w:r w:rsidR="00DB1E64">
        <w:rPr>
          <w:lang w:val="en-US"/>
        </w:rPr>
        <w:t>entity</w:t>
      </w:r>
      <w:r>
        <w:rPr>
          <w:lang w:val="en-US"/>
        </w:rPr>
        <w:t xml:space="preserve">. This will require less work by the Department, and in such scenario it </w:t>
      </w:r>
      <w:r w:rsidR="003A6FB3">
        <w:rPr>
          <w:lang w:val="en-US"/>
        </w:rPr>
        <w:t>is</w:t>
      </w:r>
      <w:r>
        <w:rPr>
          <w:lang w:val="en-US"/>
        </w:rPr>
        <w:t xml:space="preserve"> appropriate to charge a reduced fee for such work.</w:t>
      </w: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A4438F" w:rsidRDefault="00A4438F">
      <w:pPr>
        <w:rPr>
          <w:lang w:val="en-US"/>
        </w:rPr>
      </w:pPr>
    </w:p>
    <w:p w:rsidR="009E3B95" w:rsidRDefault="009E3B95">
      <w:pPr>
        <w:rPr>
          <w:lang w:val="en-US"/>
        </w:rPr>
      </w:pPr>
    </w:p>
    <w:p w:rsidR="009E3B95" w:rsidRDefault="009E3B95">
      <w:pPr>
        <w:rPr>
          <w:lang w:val="en-US"/>
        </w:rPr>
      </w:pPr>
    </w:p>
    <w:p w:rsidR="00692730" w:rsidRDefault="00692730" w:rsidP="00692730">
      <w:pPr>
        <w:pStyle w:val="Caption"/>
        <w:rPr>
          <w:lang w:val="en-US"/>
        </w:rPr>
      </w:pPr>
      <w:bookmarkStart w:id="433" w:name="_Ref387068460"/>
      <w:bookmarkStart w:id="434" w:name="_Toc387069812"/>
      <w:bookmarkStart w:id="435" w:name="_Toc387073274"/>
      <w:bookmarkStart w:id="436" w:name="_Toc391541657"/>
      <w:proofErr w:type="gramStart"/>
      <w:r>
        <w:t xml:space="preserve">Table </w:t>
      </w:r>
      <w:r w:rsidR="00D30427">
        <w:fldChar w:fldCharType="begin"/>
      </w:r>
      <w:r w:rsidR="00B06D9E">
        <w:instrText xml:space="preserve"> SEQ Table \* ARABIC </w:instrText>
      </w:r>
      <w:r w:rsidR="00D30427">
        <w:fldChar w:fldCharType="separate"/>
      </w:r>
      <w:r w:rsidR="001D521C">
        <w:rPr>
          <w:noProof/>
        </w:rPr>
        <w:t>13</w:t>
      </w:r>
      <w:r w:rsidR="00D30427">
        <w:fldChar w:fldCharType="end"/>
      </w:r>
      <w:bookmarkEnd w:id="433"/>
      <w:r>
        <w:t>.</w:t>
      </w:r>
      <w:proofErr w:type="gramEnd"/>
      <w:r>
        <w:t xml:space="preserve"> </w:t>
      </w:r>
      <w:r w:rsidRPr="006D4ACD">
        <w:t>Summary of contingent activity costs</w:t>
      </w:r>
      <w:r>
        <w:t>.</w:t>
      </w:r>
      <w:bookmarkEnd w:id="434"/>
      <w:bookmarkEnd w:id="435"/>
      <w:bookmarkEnd w:id="436"/>
    </w:p>
    <w:tbl>
      <w:tblPr>
        <w:tblW w:w="5236"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tblPr>
      <w:tblGrid>
        <w:gridCol w:w="2376"/>
        <w:gridCol w:w="2834"/>
        <w:gridCol w:w="1213"/>
        <w:gridCol w:w="1581"/>
        <w:gridCol w:w="2169"/>
      </w:tblGrid>
      <w:tr w:rsidR="00E80596" w:rsidRPr="000431A6" w:rsidTr="00257E3E">
        <w:trPr>
          <w:cantSplit/>
          <w:trHeight w:val="945"/>
          <w:tblHeader/>
        </w:trPr>
        <w:tc>
          <w:tcPr>
            <w:tcW w:w="1168"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Activity</w:t>
            </w:r>
          </w:p>
        </w:tc>
        <w:tc>
          <w:tcPr>
            <w:tcW w:w="1393" w:type="pct"/>
            <w:tcBorders>
              <w:bottom w:val="single" w:sz="4" w:space="0" w:color="548DD4" w:themeColor="text2" w:themeTint="99"/>
            </w:tcBorders>
            <w:shd w:val="clear" w:color="auto" w:fill="C6D9F1" w:themeFill="text2" w:themeFillTint="33"/>
          </w:tcPr>
          <w:p w:rsidR="00E80596" w:rsidRDefault="00E80596" w:rsidP="005867A8">
            <w:pPr>
              <w:jc w:val="center"/>
              <w:rPr>
                <w:b/>
                <w:sz w:val="20"/>
                <w:szCs w:val="20"/>
                <w:lang w:eastAsia="en-AU"/>
              </w:rPr>
            </w:pPr>
            <w:r>
              <w:rPr>
                <w:b/>
                <w:sz w:val="20"/>
                <w:szCs w:val="20"/>
                <w:lang w:eastAsia="en-AU"/>
              </w:rPr>
              <w:t>Section of EPBC Act authorising contingent activity</w:t>
            </w:r>
            <w:r w:rsidR="00B15CDE">
              <w:rPr>
                <w:b/>
                <w:sz w:val="20"/>
                <w:szCs w:val="20"/>
                <w:lang w:eastAsia="en-AU"/>
              </w:rPr>
              <w:t xml:space="preserve"> </w:t>
            </w:r>
          </w:p>
          <w:p w:rsidR="00B15CDE" w:rsidRPr="000431A6" w:rsidRDefault="00B15CDE" w:rsidP="00B15CDE">
            <w:pPr>
              <w:jc w:val="center"/>
              <w:rPr>
                <w:b/>
                <w:sz w:val="20"/>
                <w:szCs w:val="20"/>
                <w:lang w:eastAsia="en-AU"/>
              </w:rPr>
            </w:pPr>
          </w:p>
        </w:tc>
        <w:tc>
          <w:tcPr>
            <w:tcW w:w="596"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Base costs</w:t>
            </w:r>
            <w:r w:rsidRPr="000431A6">
              <w:rPr>
                <w:b/>
                <w:sz w:val="20"/>
                <w:szCs w:val="20"/>
                <w:lang w:eastAsia="en-AU"/>
              </w:rPr>
              <w:br/>
              <w:t xml:space="preserve"> (A)</w:t>
            </w:r>
          </w:p>
        </w:tc>
        <w:tc>
          <w:tcPr>
            <w:tcW w:w="777"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 xml:space="preserve">Complexity </w:t>
            </w:r>
            <w:r w:rsidRPr="000431A6">
              <w:rPr>
                <w:b/>
                <w:sz w:val="20"/>
                <w:szCs w:val="20"/>
                <w:lang w:eastAsia="en-AU"/>
              </w:rPr>
              <w:br/>
              <w:t xml:space="preserve"> costs</w:t>
            </w:r>
          </w:p>
          <w:p w:rsidR="00E80596" w:rsidRPr="000431A6" w:rsidRDefault="00E80596" w:rsidP="005867A8">
            <w:pPr>
              <w:jc w:val="center"/>
              <w:rPr>
                <w:b/>
                <w:sz w:val="20"/>
                <w:szCs w:val="20"/>
                <w:lang w:eastAsia="en-AU"/>
              </w:rPr>
            </w:pPr>
            <w:r w:rsidRPr="000431A6">
              <w:rPr>
                <w:b/>
                <w:sz w:val="20"/>
                <w:szCs w:val="20"/>
                <w:lang w:eastAsia="en-AU"/>
              </w:rPr>
              <w:t>(</w:t>
            </w:r>
            <w:r>
              <w:rPr>
                <w:b/>
                <w:sz w:val="20"/>
                <w:szCs w:val="20"/>
                <w:lang w:eastAsia="en-AU"/>
              </w:rPr>
              <w:t>B</w:t>
            </w:r>
            <w:r w:rsidRPr="000431A6">
              <w:rPr>
                <w:b/>
                <w:sz w:val="20"/>
                <w:szCs w:val="20"/>
                <w:lang w:eastAsia="en-AU"/>
              </w:rPr>
              <w:t>)</w:t>
            </w:r>
          </w:p>
        </w:tc>
        <w:tc>
          <w:tcPr>
            <w:tcW w:w="1066" w:type="pct"/>
            <w:tcBorders>
              <w:bottom w:val="single" w:sz="4" w:space="0" w:color="548DD4" w:themeColor="text2" w:themeTint="99"/>
            </w:tcBorders>
            <w:shd w:val="clear" w:color="auto" w:fill="C6D9F1" w:themeFill="text2" w:themeFillTint="33"/>
            <w:vAlign w:val="center"/>
            <w:hideMark/>
          </w:tcPr>
          <w:p w:rsidR="00E80596" w:rsidRPr="000431A6" w:rsidRDefault="00E80596" w:rsidP="005867A8">
            <w:pPr>
              <w:jc w:val="center"/>
              <w:rPr>
                <w:b/>
                <w:sz w:val="20"/>
                <w:szCs w:val="20"/>
                <w:lang w:eastAsia="en-AU"/>
              </w:rPr>
            </w:pPr>
            <w:r w:rsidRPr="000431A6">
              <w:rPr>
                <w:b/>
                <w:sz w:val="20"/>
                <w:szCs w:val="20"/>
                <w:lang w:eastAsia="en-AU"/>
              </w:rPr>
              <w:t>Total fee</w:t>
            </w:r>
            <w:r w:rsidRPr="000431A6">
              <w:rPr>
                <w:b/>
                <w:sz w:val="20"/>
                <w:szCs w:val="20"/>
                <w:lang w:eastAsia="en-AU"/>
              </w:rPr>
              <w:br/>
              <w:t xml:space="preserve"> (A) + (B)</w:t>
            </w:r>
          </w:p>
        </w:tc>
      </w:tr>
      <w:tr w:rsidR="00E80596" w:rsidRPr="007F4911" w:rsidTr="00257E3E">
        <w:trPr>
          <w:cantSplit/>
          <w:trHeight w:val="346"/>
        </w:trPr>
        <w:tc>
          <w:tcPr>
            <w:tcW w:w="1168" w:type="pct"/>
            <w:tcBorders>
              <w:right w:val="nil"/>
            </w:tcBorders>
            <w:shd w:val="clear" w:color="auto" w:fill="auto"/>
            <w:vAlign w:val="center"/>
            <w:hideMark/>
          </w:tcPr>
          <w:p w:rsidR="00E80596" w:rsidRPr="009949EE" w:rsidRDefault="00E80596" w:rsidP="008B5262">
            <w:pPr>
              <w:spacing w:after="0"/>
              <w:rPr>
                <w:sz w:val="20"/>
                <w:szCs w:val="20"/>
                <w:lang w:eastAsia="en-AU"/>
              </w:rPr>
            </w:pPr>
            <w:r w:rsidRPr="009949EE">
              <w:rPr>
                <w:sz w:val="20"/>
                <w:szCs w:val="20"/>
                <w:lang w:eastAsia="en-AU"/>
              </w:rPr>
              <w:t>Request additional information</w:t>
            </w:r>
          </w:p>
        </w:tc>
        <w:tc>
          <w:tcPr>
            <w:tcW w:w="1393" w:type="pct"/>
            <w:tcBorders>
              <w:left w:val="nil"/>
              <w:right w:val="nil"/>
            </w:tcBorders>
          </w:tcPr>
          <w:p w:rsidR="008B5262" w:rsidRDefault="00B15CDE" w:rsidP="008B5262">
            <w:pPr>
              <w:spacing w:after="0"/>
              <w:ind w:right="176"/>
              <w:rPr>
                <w:sz w:val="20"/>
                <w:szCs w:val="20"/>
                <w:lang w:eastAsia="en-AU"/>
              </w:rPr>
            </w:pPr>
            <w:r>
              <w:rPr>
                <w:sz w:val="20"/>
                <w:szCs w:val="20"/>
                <w:lang w:eastAsia="en-AU"/>
              </w:rPr>
              <w:t>Section 76</w:t>
            </w:r>
          </w:p>
          <w:p w:rsidR="008B5262" w:rsidRDefault="003A6FB3" w:rsidP="008B5262">
            <w:pPr>
              <w:spacing w:after="0"/>
              <w:ind w:right="176"/>
              <w:rPr>
                <w:sz w:val="20"/>
                <w:szCs w:val="20"/>
                <w:lang w:eastAsia="en-AU"/>
              </w:rPr>
            </w:pPr>
            <w:r>
              <w:rPr>
                <w:sz w:val="20"/>
                <w:szCs w:val="20"/>
                <w:lang w:eastAsia="en-AU"/>
              </w:rPr>
              <w:t>Section 89</w:t>
            </w:r>
            <w:r w:rsidR="00B15CDE">
              <w:rPr>
                <w:sz w:val="20"/>
                <w:szCs w:val="20"/>
                <w:lang w:eastAsia="en-AU"/>
              </w:rPr>
              <w:t xml:space="preserve"> </w:t>
            </w:r>
          </w:p>
          <w:p w:rsidR="00E80596" w:rsidRDefault="00E80596" w:rsidP="008B5262">
            <w:pPr>
              <w:spacing w:after="0"/>
              <w:ind w:right="176"/>
              <w:rPr>
                <w:sz w:val="20"/>
                <w:szCs w:val="20"/>
                <w:lang w:eastAsia="en-AU"/>
              </w:rPr>
            </w:pPr>
            <w:r>
              <w:rPr>
                <w:sz w:val="20"/>
                <w:szCs w:val="20"/>
                <w:lang w:eastAsia="en-AU"/>
              </w:rPr>
              <w:t>Section 132</w:t>
            </w:r>
          </w:p>
          <w:p w:rsidR="00B15CDE" w:rsidRPr="009949EE" w:rsidRDefault="000A19EF" w:rsidP="008B5262">
            <w:pPr>
              <w:spacing w:after="0"/>
              <w:ind w:right="176"/>
              <w:rPr>
                <w:sz w:val="20"/>
                <w:szCs w:val="20"/>
                <w:lang w:eastAsia="en-AU"/>
              </w:rPr>
            </w:pPr>
            <w:r w:rsidRPr="000A19EF">
              <w:rPr>
                <w:sz w:val="20"/>
                <w:szCs w:val="20"/>
                <w:lang w:eastAsia="en-AU"/>
              </w:rPr>
              <w:t>S</w:t>
            </w:r>
            <w:r w:rsidR="00CA3ABF" w:rsidRPr="000A19EF">
              <w:rPr>
                <w:sz w:val="20"/>
                <w:szCs w:val="20"/>
                <w:lang w:eastAsia="en-AU"/>
              </w:rPr>
              <w:t>ection 134(3D)</w:t>
            </w:r>
            <w:r>
              <w:rPr>
                <w:rStyle w:val="FootnoteReference"/>
                <w:sz w:val="20"/>
                <w:szCs w:val="20"/>
                <w:lang w:eastAsia="en-AU"/>
              </w:rPr>
              <w:footnoteReference w:id="24"/>
            </w:r>
          </w:p>
        </w:tc>
        <w:tc>
          <w:tcPr>
            <w:tcW w:w="596" w:type="pct"/>
            <w:tcBorders>
              <w:left w:val="nil"/>
              <w:right w:val="nil"/>
            </w:tcBorders>
            <w:shd w:val="clear" w:color="auto" w:fill="auto"/>
            <w:vAlign w:val="center"/>
            <w:hideMark/>
          </w:tcPr>
          <w:p w:rsidR="00E80596" w:rsidRPr="009949EE" w:rsidRDefault="00E80596" w:rsidP="008B5262">
            <w:pPr>
              <w:spacing w:after="0"/>
              <w:ind w:right="176"/>
              <w:jc w:val="right"/>
              <w:rPr>
                <w:sz w:val="20"/>
                <w:szCs w:val="20"/>
                <w:lang w:eastAsia="en-AU"/>
              </w:rPr>
            </w:pPr>
            <w:r w:rsidRPr="009949EE">
              <w:rPr>
                <w:sz w:val="20"/>
                <w:szCs w:val="20"/>
                <w:lang w:eastAsia="en-AU"/>
              </w:rPr>
              <w:t>$2,</w:t>
            </w:r>
            <w:r>
              <w:rPr>
                <w:sz w:val="20"/>
                <w:szCs w:val="20"/>
                <w:lang w:eastAsia="en-AU"/>
              </w:rPr>
              <w:t>544</w:t>
            </w:r>
          </w:p>
        </w:tc>
        <w:tc>
          <w:tcPr>
            <w:tcW w:w="777" w:type="pct"/>
            <w:tcBorders>
              <w:left w:val="nil"/>
              <w:right w:val="nil"/>
            </w:tcBorders>
            <w:shd w:val="clear" w:color="auto" w:fill="auto"/>
            <w:noWrap/>
            <w:vAlign w:val="center"/>
            <w:hideMark/>
          </w:tcPr>
          <w:p w:rsidR="00E80596" w:rsidRPr="009949EE" w:rsidRDefault="00E80596" w:rsidP="008B5262">
            <w:pPr>
              <w:spacing w:after="0"/>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8B5262">
            <w:pPr>
              <w:spacing w:after="0"/>
              <w:ind w:right="284"/>
              <w:jc w:val="right"/>
              <w:rPr>
                <w:sz w:val="20"/>
                <w:szCs w:val="20"/>
                <w:lang w:eastAsia="en-AU"/>
              </w:rPr>
            </w:pPr>
            <w:r w:rsidRPr="009949EE">
              <w:rPr>
                <w:sz w:val="20"/>
                <w:szCs w:val="20"/>
                <w:lang w:eastAsia="en-AU"/>
              </w:rPr>
              <w:t>$2,</w:t>
            </w:r>
            <w:r>
              <w:rPr>
                <w:sz w:val="20"/>
                <w:szCs w:val="20"/>
                <w:lang w:eastAsia="en-AU"/>
              </w:rPr>
              <w:t>544</w:t>
            </w:r>
          </w:p>
        </w:tc>
      </w:tr>
      <w:tr w:rsidR="00E80596" w:rsidRPr="007F4911" w:rsidTr="00257E3E">
        <w:trPr>
          <w:cantSplit/>
          <w:trHeight w:val="290"/>
        </w:trPr>
        <w:tc>
          <w:tcPr>
            <w:tcW w:w="1168" w:type="pct"/>
            <w:tcBorders>
              <w:right w:val="nil"/>
            </w:tcBorders>
            <w:shd w:val="clear" w:color="auto" w:fill="auto"/>
            <w:vAlign w:val="center"/>
            <w:hideMark/>
          </w:tcPr>
          <w:p w:rsidR="00E80596" w:rsidRPr="009949EE" w:rsidRDefault="00E80596" w:rsidP="008B5262">
            <w:pPr>
              <w:spacing w:after="0"/>
              <w:rPr>
                <w:sz w:val="20"/>
                <w:szCs w:val="20"/>
                <w:lang w:eastAsia="en-AU"/>
              </w:rPr>
            </w:pPr>
            <w:r w:rsidRPr="009949EE">
              <w:rPr>
                <w:sz w:val="20"/>
                <w:szCs w:val="20"/>
                <w:lang w:eastAsia="en-AU"/>
              </w:rPr>
              <w:t>Request additional information (environmental impact statement assessment</w:t>
            </w:r>
            <w:r>
              <w:rPr>
                <w:sz w:val="20"/>
                <w:szCs w:val="20"/>
                <w:lang w:eastAsia="en-AU"/>
              </w:rPr>
              <w:t xml:space="preserve"> and public environment report</w:t>
            </w:r>
            <w:r w:rsidRPr="009949EE">
              <w:rPr>
                <w:sz w:val="20"/>
                <w:szCs w:val="20"/>
                <w:lang w:eastAsia="en-AU"/>
              </w:rPr>
              <w:t>)</w:t>
            </w:r>
          </w:p>
        </w:tc>
        <w:tc>
          <w:tcPr>
            <w:tcW w:w="1393" w:type="pct"/>
            <w:tcBorders>
              <w:left w:val="nil"/>
              <w:right w:val="nil"/>
            </w:tcBorders>
          </w:tcPr>
          <w:p w:rsidR="00E80596" w:rsidRDefault="00E80596" w:rsidP="008B5262">
            <w:pPr>
              <w:spacing w:after="0"/>
              <w:ind w:right="176"/>
              <w:rPr>
                <w:sz w:val="20"/>
                <w:szCs w:val="20"/>
                <w:lang w:eastAsia="en-AU"/>
              </w:rPr>
            </w:pPr>
            <w:r>
              <w:rPr>
                <w:sz w:val="20"/>
                <w:szCs w:val="20"/>
                <w:lang w:eastAsia="en-AU"/>
              </w:rPr>
              <w:t>Section 132</w:t>
            </w:r>
          </w:p>
          <w:p w:rsidR="00B15CDE" w:rsidRDefault="000A19EF" w:rsidP="008B5262">
            <w:pPr>
              <w:spacing w:after="0"/>
              <w:ind w:right="176"/>
              <w:rPr>
                <w:sz w:val="20"/>
                <w:szCs w:val="20"/>
                <w:lang w:eastAsia="en-AU"/>
              </w:rPr>
            </w:pPr>
            <w:r w:rsidRPr="000A19EF">
              <w:rPr>
                <w:sz w:val="20"/>
                <w:szCs w:val="20"/>
                <w:lang w:eastAsia="en-AU"/>
              </w:rPr>
              <w:t>S</w:t>
            </w:r>
            <w:r w:rsidR="00CA3ABF" w:rsidRPr="000A19EF">
              <w:rPr>
                <w:sz w:val="20"/>
                <w:szCs w:val="20"/>
                <w:lang w:eastAsia="en-AU"/>
              </w:rPr>
              <w:t>ection 134(3D)</w:t>
            </w:r>
            <w:r>
              <w:rPr>
                <w:rStyle w:val="FootnoteReference"/>
                <w:sz w:val="20"/>
                <w:szCs w:val="20"/>
                <w:lang w:eastAsia="en-AU"/>
              </w:rPr>
              <w:footnoteReference w:id="25"/>
            </w:r>
          </w:p>
        </w:tc>
        <w:tc>
          <w:tcPr>
            <w:tcW w:w="596" w:type="pct"/>
            <w:tcBorders>
              <w:left w:val="nil"/>
              <w:right w:val="nil"/>
            </w:tcBorders>
            <w:shd w:val="clear" w:color="auto" w:fill="auto"/>
            <w:vAlign w:val="center"/>
            <w:hideMark/>
          </w:tcPr>
          <w:p w:rsidR="00E80596" w:rsidRPr="009949EE" w:rsidRDefault="00E80596" w:rsidP="008B5262">
            <w:pPr>
              <w:spacing w:after="0"/>
              <w:ind w:right="176"/>
              <w:jc w:val="right"/>
              <w:rPr>
                <w:sz w:val="20"/>
                <w:szCs w:val="20"/>
                <w:lang w:eastAsia="en-AU"/>
              </w:rPr>
            </w:pPr>
            <w:r>
              <w:rPr>
                <w:sz w:val="20"/>
                <w:szCs w:val="20"/>
                <w:lang w:eastAsia="en-AU"/>
              </w:rPr>
              <w:t>$13,087</w:t>
            </w:r>
          </w:p>
        </w:tc>
        <w:tc>
          <w:tcPr>
            <w:tcW w:w="777" w:type="pct"/>
            <w:tcBorders>
              <w:left w:val="nil"/>
              <w:right w:val="nil"/>
            </w:tcBorders>
            <w:shd w:val="clear" w:color="auto" w:fill="auto"/>
            <w:noWrap/>
            <w:vAlign w:val="center"/>
            <w:hideMark/>
          </w:tcPr>
          <w:p w:rsidR="00E80596" w:rsidRPr="009949EE" w:rsidRDefault="00E80596" w:rsidP="008B5262">
            <w:pPr>
              <w:spacing w:after="0"/>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8B5262">
            <w:pPr>
              <w:spacing w:after="0"/>
              <w:ind w:right="284"/>
              <w:jc w:val="right"/>
              <w:rPr>
                <w:sz w:val="20"/>
                <w:szCs w:val="20"/>
                <w:lang w:eastAsia="en-AU"/>
              </w:rPr>
            </w:pPr>
            <w:r>
              <w:rPr>
                <w:sz w:val="20"/>
                <w:szCs w:val="20"/>
                <w:lang w:eastAsia="en-AU"/>
              </w:rPr>
              <w:t>$13,087</w:t>
            </w:r>
          </w:p>
        </w:tc>
      </w:tr>
      <w:tr w:rsidR="00E80596" w:rsidRPr="007F4911" w:rsidTr="00257E3E">
        <w:trPr>
          <w:trHeight w:val="568"/>
        </w:trPr>
        <w:tc>
          <w:tcPr>
            <w:tcW w:w="1168" w:type="pct"/>
            <w:tcBorders>
              <w:right w:val="nil"/>
            </w:tcBorders>
            <w:shd w:val="clear" w:color="auto" w:fill="auto"/>
            <w:vAlign w:val="center"/>
            <w:hideMark/>
          </w:tcPr>
          <w:p w:rsidR="00E80596" w:rsidRPr="009949EE" w:rsidRDefault="00E80596" w:rsidP="008B5262">
            <w:pPr>
              <w:spacing w:after="0"/>
              <w:rPr>
                <w:sz w:val="20"/>
                <w:szCs w:val="20"/>
                <w:lang w:eastAsia="en-AU"/>
              </w:rPr>
            </w:pPr>
            <w:r w:rsidRPr="009949EE">
              <w:rPr>
                <w:sz w:val="20"/>
                <w:szCs w:val="20"/>
                <w:lang w:eastAsia="en-AU"/>
              </w:rPr>
              <w:t xml:space="preserve">Reconsideration request (made by the </w:t>
            </w:r>
            <w:r>
              <w:rPr>
                <w:sz w:val="20"/>
                <w:szCs w:val="20"/>
                <w:lang w:eastAsia="en-AU"/>
              </w:rPr>
              <w:t>applicant</w:t>
            </w:r>
            <w:r w:rsidRPr="009949EE">
              <w:rPr>
                <w:sz w:val="20"/>
                <w:szCs w:val="20"/>
                <w:lang w:eastAsia="en-AU"/>
              </w:rPr>
              <w:t xml:space="preserve"> of the action)</w:t>
            </w:r>
          </w:p>
        </w:tc>
        <w:tc>
          <w:tcPr>
            <w:tcW w:w="1393" w:type="pct"/>
            <w:tcBorders>
              <w:left w:val="nil"/>
              <w:right w:val="nil"/>
            </w:tcBorders>
          </w:tcPr>
          <w:p w:rsidR="00E80596" w:rsidRPr="009949EE" w:rsidRDefault="00E80596" w:rsidP="008B5262">
            <w:pPr>
              <w:ind w:right="176"/>
              <w:rPr>
                <w:sz w:val="20"/>
                <w:szCs w:val="20"/>
                <w:lang w:eastAsia="en-AU"/>
              </w:rPr>
            </w:pPr>
            <w:r>
              <w:rPr>
                <w:sz w:val="20"/>
                <w:szCs w:val="20"/>
                <w:lang w:eastAsia="en-AU"/>
              </w:rPr>
              <w:t>Division 3 of Part 7 of Chapter 4</w:t>
            </w:r>
          </w:p>
        </w:tc>
        <w:tc>
          <w:tcPr>
            <w:tcW w:w="596" w:type="pct"/>
            <w:tcBorders>
              <w:left w:val="nil"/>
              <w:right w:val="nil"/>
            </w:tcBorders>
            <w:shd w:val="clear" w:color="auto" w:fill="auto"/>
            <w:vAlign w:val="center"/>
            <w:hideMark/>
          </w:tcPr>
          <w:p w:rsidR="00E80596" w:rsidRPr="009949EE" w:rsidRDefault="00E80596" w:rsidP="009949EE">
            <w:pPr>
              <w:ind w:right="176"/>
              <w:jc w:val="right"/>
              <w:rPr>
                <w:sz w:val="20"/>
                <w:szCs w:val="20"/>
                <w:lang w:eastAsia="en-AU"/>
              </w:rPr>
            </w:pPr>
            <w:r w:rsidRPr="009949EE">
              <w:rPr>
                <w:sz w:val="20"/>
                <w:szCs w:val="20"/>
                <w:lang w:eastAsia="en-AU"/>
              </w:rPr>
              <w:t>$7,</w:t>
            </w:r>
            <w:r>
              <w:rPr>
                <w:sz w:val="20"/>
                <w:szCs w:val="20"/>
                <w:lang w:eastAsia="en-AU"/>
              </w:rPr>
              <w:t>423</w:t>
            </w:r>
          </w:p>
        </w:tc>
        <w:tc>
          <w:tcPr>
            <w:tcW w:w="777" w:type="pct"/>
            <w:tcBorders>
              <w:left w:val="nil"/>
              <w:right w:val="nil"/>
            </w:tcBorders>
            <w:shd w:val="clear" w:color="auto" w:fill="auto"/>
            <w:noWrap/>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5867A8">
            <w:pPr>
              <w:ind w:right="284"/>
              <w:jc w:val="right"/>
              <w:rPr>
                <w:sz w:val="20"/>
                <w:szCs w:val="20"/>
                <w:lang w:eastAsia="en-AU"/>
              </w:rPr>
            </w:pPr>
            <w:r w:rsidRPr="009949EE">
              <w:rPr>
                <w:sz w:val="20"/>
                <w:szCs w:val="20"/>
                <w:lang w:eastAsia="en-AU"/>
              </w:rPr>
              <w:t>$7,</w:t>
            </w:r>
            <w:r>
              <w:rPr>
                <w:sz w:val="20"/>
                <w:szCs w:val="20"/>
                <w:lang w:eastAsia="en-AU"/>
              </w:rPr>
              <w:t>423</w:t>
            </w:r>
          </w:p>
        </w:tc>
      </w:tr>
      <w:tr w:rsidR="00E80596" w:rsidRPr="007F4911" w:rsidTr="00257E3E">
        <w:trPr>
          <w:trHeight w:val="315"/>
        </w:trPr>
        <w:tc>
          <w:tcPr>
            <w:tcW w:w="1168" w:type="pct"/>
            <w:tcBorders>
              <w:right w:val="nil"/>
            </w:tcBorders>
            <w:shd w:val="clear" w:color="auto" w:fill="auto"/>
            <w:vAlign w:val="center"/>
            <w:hideMark/>
          </w:tcPr>
          <w:p w:rsidR="00E80596" w:rsidRPr="009949EE" w:rsidRDefault="00E80596" w:rsidP="005867A8">
            <w:pPr>
              <w:rPr>
                <w:sz w:val="20"/>
                <w:szCs w:val="20"/>
                <w:lang w:eastAsia="en-AU"/>
              </w:rPr>
            </w:pPr>
            <w:r w:rsidRPr="009949EE">
              <w:rPr>
                <w:sz w:val="20"/>
                <w:szCs w:val="20"/>
                <w:lang w:eastAsia="en-AU"/>
              </w:rPr>
              <w:t>Variation of conditions</w:t>
            </w:r>
          </w:p>
        </w:tc>
        <w:tc>
          <w:tcPr>
            <w:tcW w:w="1393" w:type="pct"/>
            <w:tcBorders>
              <w:left w:val="nil"/>
              <w:right w:val="nil"/>
            </w:tcBorders>
          </w:tcPr>
          <w:p w:rsidR="00E80596" w:rsidRPr="009949EE" w:rsidRDefault="00E80596" w:rsidP="008B5262">
            <w:pPr>
              <w:ind w:right="176"/>
              <w:rPr>
                <w:sz w:val="20"/>
                <w:szCs w:val="20"/>
                <w:lang w:eastAsia="en-AU"/>
              </w:rPr>
            </w:pPr>
            <w:r>
              <w:rPr>
                <w:sz w:val="20"/>
                <w:szCs w:val="20"/>
                <w:lang w:eastAsia="en-AU"/>
              </w:rPr>
              <w:t>Section 143</w:t>
            </w:r>
          </w:p>
        </w:tc>
        <w:tc>
          <w:tcPr>
            <w:tcW w:w="596" w:type="pct"/>
            <w:tcBorders>
              <w:left w:val="nil"/>
              <w:right w:val="nil"/>
            </w:tcBorders>
            <w:shd w:val="clear" w:color="auto" w:fill="auto"/>
            <w:vAlign w:val="center"/>
            <w:hideMark/>
          </w:tcPr>
          <w:p w:rsidR="00E80596" w:rsidRPr="009949EE" w:rsidRDefault="00E80596" w:rsidP="009949EE">
            <w:pPr>
              <w:ind w:right="176"/>
              <w:jc w:val="right"/>
              <w:rPr>
                <w:sz w:val="20"/>
                <w:szCs w:val="20"/>
                <w:lang w:eastAsia="en-AU"/>
              </w:rPr>
            </w:pPr>
            <w:r w:rsidRPr="009949EE">
              <w:rPr>
                <w:sz w:val="20"/>
                <w:szCs w:val="20"/>
                <w:lang w:eastAsia="en-AU"/>
              </w:rPr>
              <w:t>$3,</w:t>
            </w:r>
            <w:r>
              <w:rPr>
                <w:sz w:val="20"/>
                <w:szCs w:val="20"/>
                <w:lang w:eastAsia="en-AU"/>
              </w:rPr>
              <w:t>320</w:t>
            </w:r>
          </w:p>
        </w:tc>
        <w:tc>
          <w:tcPr>
            <w:tcW w:w="777" w:type="pct"/>
            <w:tcBorders>
              <w:left w:val="nil"/>
              <w:right w:val="nil"/>
            </w:tcBorders>
            <w:shd w:val="clear" w:color="auto" w:fill="auto"/>
            <w:noWrap/>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5867A8">
            <w:pPr>
              <w:ind w:right="284"/>
              <w:jc w:val="right"/>
              <w:rPr>
                <w:sz w:val="20"/>
                <w:szCs w:val="20"/>
                <w:lang w:eastAsia="en-AU"/>
              </w:rPr>
            </w:pPr>
            <w:r w:rsidRPr="009949EE">
              <w:rPr>
                <w:sz w:val="20"/>
                <w:szCs w:val="20"/>
                <w:lang w:eastAsia="en-AU"/>
              </w:rPr>
              <w:t>$3,</w:t>
            </w:r>
            <w:r>
              <w:rPr>
                <w:sz w:val="20"/>
                <w:szCs w:val="20"/>
                <w:lang w:eastAsia="en-AU"/>
              </w:rPr>
              <w:t>320</w:t>
            </w:r>
          </w:p>
        </w:tc>
      </w:tr>
      <w:tr w:rsidR="00E80596" w:rsidRPr="007F4911" w:rsidTr="00257E3E">
        <w:trPr>
          <w:trHeight w:val="514"/>
        </w:trPr>
        <w:tc>
          <w:tcPr>
            <w:tcW w:w="1168" w:type="pct"/>
            <w:tcBorders>
              <w:right w:val="nil"/>
            </w:tcBorders>
            <w:shd w:val="clear" w:color="auto" w:fill="auto"/>
            <w:vAlign w:val="center"/>
            <w:hideMark/>
          </w:tcPr>
          <w:p w:rsidR="00E80596" w:rsidRPr="009949EE" w:rsidRDefault="00E80596" w:rsidP="005867A8">
            <w:pPr>
              <w:rPr>
                <w:sz w:val="20"/>
                <w:szCs w:val="20"/>
                <w:lang w:eastAsia="en-AU"/>
              </w:rPr>
            </w:pPr>
            <w:r w:rsidRPr="009949EE">
              <w:rPr>
                <w:sz w:val="20"/>
                <w:szCs w:val="20"/>
                <w:lang w:eastAsia="en-AU"/>
              </w:rPr>
              <w:t>Variation of an action management plan under conditions of approval</w:t>
            </w:r>
          </w:p>
        </w:tc>
        <w:tc>
          <w:tcPr>
            <w:tcW w:w="1393" w:type="pct"/>
            <w:tcBorders>
              <w:left w:val="nil"/>
              <w:right w:val="nil"/>
            </w:tcBorders>
          </w:tcPr>
          <w:p w:rsidR="00E80596" w:rsidRPr="000A19EF" w:rsidRDefault="000A19EF" w:rsidP="008B5262">
            <w:pPr>
              <w:ind w:right="176"/>
              <w:rPr>
                <w:sz w:val="20"/>
                <w:szCs w:val="20"/>
                <w:lang w:eastAsia="en-AU"/>
              </w:rPr>
            </w:pPr>
            <w:r w:rsidRPr="000A19EF">
              <w:rPr>
                <w:sz w:val="20"/>
                <w:szCs w:val="20"/>
                <w:lang w:eastAsia="en-AU"/>
              </w:rPr>
              <w:t>S</w:t>
            </w:r>
            <w:r w:rsidR="00CA3ABF" w:rsidRPr="000A19EF">
              <w:rPr>
                <w:sz w:val="20"/>
                <w:szCs w:val="20"/>
                <w:lang w:eastAsia="en-AU"/>
              </w:rPr>
              <w:t>ection 143A</w:t>
            </w:r>
            <w:r w:rsidRPr="000A19EF">
              <w:rPr>
                <w:rStyle w:val="FootnoteReference"/>
                <w:sz w:val="20"/>
                <w:szCs w:val="20"/>
                <w:lang w:eastAsia="en-AU"/>
              </w:rPr>
              <w:footnoteReference w:id="26"/>
            </w:r>
          </w:p>
        </w:tc>
        <w:tc>
          <w:tcPr>
            <w:tcW w:w="596" w:type="pct"/>
            <w:tcBorders>
              <w:left w:val="nil"/>
              <w:right w:val="nil"/>
            </w:tcBorders>
            <w:shd w:val="clear" w:color="auto" w:fill="auto"/>
            <w:vAlign w:val="center"/>
            <w:hideMark/>
          </w:tcPr>
          <w:p w:rsidR="00E80596" w:rsidRPr="009949EE" w:rsidRDefault="00E80596" w:rsidP="00E400DB">
            <w:pPr>
              <w:ind w:right="176"/>
              <w:jc w:val="right"/>
              <w:rPr>
                <w:sz w:val="20"/>
                <w:szCs w:val="20"/>
                <w:lang w:eastAsia="en-AU"/>
              </w:rPr>
            </w:pPr>
            <w:r w:rsidRPr="009949EE">
              <w:rPr>
                <w:sz w:val="20"/>
                <w:szCs w:val="20"/>
                <w:lang w:eastAsia="en-AU"/>
              </w:rPr>
              <w:t>$3,</w:t>
            </w:r>
            <w:r>
              <w:rPr>
                <w:sz w:val="20"/>
                <w:szCs w:val="20"/>
                <w:lang w:eastAsia="en-AU"/>
              </w:rPr>
              <w:t>233</w:t>
            </w:r>
          </w:p>
        </w:tc>
        <w:tc>
          <w:tcPr>
            <w:tcW w:w="777" w:type="pct"/>
            <w:tcBorders>
              <w:left w:val="nil"/>
              <w:right w:val="nil"/>
            </w:tcBorders>
            <w:shd w:val="clear" w:color="auto" w:fill="auto"/>
            <w:noWrap/>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8D04C3">
            <w:pPr>
              <w:ind w:right="284"/>
              <w:jc w:val="right"/>
              <w:rPr>
                <w:sz w:val="20"/>
                <w:szCs w:val="20"/>
                <w:lang w:eastAsia="en-AU"/>
              </w:rPr>
            </w:pPr>
            <w:r w:rsidRPr="009949EE">
              <w:rPr>
                <w:sz w:val="20"/>
                <w:szCs w:val="20"/>
                <w:lang w:eastAsia="en-AU"/>
              </w:rPr>
              <w:t>$3,</w:t>
            </w:r>
            <w:r>
              <w:rPr>
                <w:sz w:val="20"/>
                <w:szCs w:val="20"/>
                <w:lang w:eastAsia="en-AU"/>
              </w:rPr>
              <w:t>233</w:t>
            </w:r>
          </w:p>
        </w:tc>
      </w:tr>
      <w:tr w:rsidR="00E80596" w:rsidRPr="007F4911" w:rsidTr="00257E3E">
        <w:trPr>
          <w:trHeight w:val="532"/>
        </w:trPr>
        <w:tc>
          <w:tcPr>
            <w:tcW w:w="1168" w:type="pct"/>
            <w:tcBorders>
              <w:right w:val="nil"/>
            </w:tcBorders>
            <w:shd w:val="clear" w:color="auto" w:fill="auto"/>
            <w:vAlign w:val="center"/>
            <w:hideMark/>
          </w:tcPr>
          <w:p w:rsidR="00E80596" w:rsidRPr="009949EE" w:rsidRDefault="00E80596" w:rsidP="005867A8">
            <w:pPr>
              <w:rPr>
                <w:sz w:val="20"/>
                <w:szCs w:val="20"/>
                <w:lang w:eastAsia="en-AU"/>
              </w:rPr>
            </w:pPr>
            <w:r w:rsidRPr="009949EE">
              <w:rPr>
                <w:sz w:val="20"/>
                <w:szCs w:val="20"/>
                <w:lang w:eastAsia="en-AU"/>
              </w:rPr>
              <w:t>Administrative variation to action management plan under conditions of approval</w:t>
            </w:r>
          </w:p>
        </w:tc>
        <w:tc>
          <w:tcPr>
            <w:tcW w:w="1393" w:type="pct"/>
            <w:tcBorders>
              <w:left w:val="nil"/>
              <w:right w:val="nil"/>
            </w:tcBorders>
          </w:tcPr>
          <w:p w:rsidR="00E80596" w:rsidRPr="000A19EF" w:rsidRDefault="000A19EF" w:rsidP="008B5262">
            <w:pPr>
              <w:ind w:right="176"/>
              <w:rPr>
                <w:sz w:val="20"/>
                <w:szCs w:val="20"/>
                <w:lang w:eastAsia="en-AU"/>
              </w:rPr>
            </w:pPr>
            <w:r w:rsidRPr="000A19EF">
              <w:rPr>
                <w:sz w:val="20"/>
                <w:szCs w:val="20"/>
                <w:lang w:eastAsia="en-AU"/>
              </w:rPr>
              <w:t>S</w:t>
            </w:r>
            <w:r w:rsidR="00CA3ABF" w:rsidRPr="000A19EF">
              <w:rPr>
                <w:sz w:val="20"/>
                <w:szCs w:val="20"/>
                <w:lang w:eastAsia="en-AU"/>
              </w:rPr>
              <w:t>ection 143A</w:t>
            </w:r>
            <w:r w:rsidRPr="000A19EF">
              <w:rPr>
                <w:rStyle w:val="FootnoteReference"/>
                <w:sz w:val="20"/>
                <w:szCs w:val="20"/>
                <w:lang w:eastAsia="en-AU"/>
              </w:rPr>
              <w:footnoteReference w:id="27"/>
            </w:r>
          </w:p>
        </w:tc>
        <w:tc>
          <w:tcPr>
            <w:tcW w:w="596" w:type="pct"/>
            <w:tcBorders>
              <w:left w:val="nil"/>
              <w:right w:val="nil"/>
            </w:tcBorders>
            <w:shd w:val="clear" w:color="auto" w:fill="auto"/>
            <w:vAlign w:val="center"/>
            <w:hideMark/>
          </w:tcPr>
          <w:p w:rsidR="00E80596" w:rsidRPr="009949EE" w:rsidRDefault="00E80596" w:rsidP="009949EE">
            <w:pPr>
              <w:ind w:right="176"/>
              <w:jc w:val="right"/>
              <w:rPr>
                <w:sz w:val="20"/>
                <w:szCs w:val="20"/>
                <w:lang w:eastAsia="en-AU"/>
              </w:rPr>
            </w:pPr>
            <w:r w:rsidRPr="009949EE">
              <w:rPr>
                <w:sz w:val="20"/>
                <w:szCs w:val="20"/>
                <w:lang w:eastAsia="en-AU"/>
              </w:rPr>
              <w:t>$9</w:t>
            </w:r>
            <w:r>
              <w:rPr>
                <w:sz w:val="20"/>
                <w:szCs w:val="20"/>
                <w:lang w:eastAsia="en-AU"/>
              </w:rPr>
              <w:t>43</w:t>
            </w:r>
          </w:p>
        </w:tc>
        <w:tc>
          <w:tcPr>
            <w:tcW w:w="777" w:type="pct"/>
            <w:tcBorders>
              <w:left w:val="nil"/>
              <w:right w:val="nil"/>
            </w:tcBorders>
            <w:shd w:val="clear" w:color="auto" w:fill="auto"/>
            <w:vAlign w:val="center"/>
            <w:hideMark/>
          </w:tcPr>
          <w:p w:rsidR="00E80596" w:rsidRPr="009949EE" w:rsidRDefault="00E80596" w:rsidP="005867A8">
            <w:pPr>
              <w:jc w:val="center"/>
              <w:rPr>
                <w:sz w:val="20"/>
                <w:szCs w:val="20"/>
                <w:lang w:eastAsia="en-AU"/>
              </w:rPr>
            </w:pPr>
            <w:r w:rsidRPr="009949EE">
              <w:rPr>
                <w:sz w:val="20"/>
                <w:szCs w:val="20"/>
                <w:lang w:eastAsia="en-AU"/>
              </w:rPr>
              <w:t>N/A</w:t>
            </w:r>
          </w:p>
        </w:tc>
        <w:tc>
          <w:tcPr>
            <w:tcW w:w="1066" w:type="pct"/>
            <w:tcBorders>
              <w:left w:val="nil"/>
            </w:tcBorders>
            <w:shd w:val="clear" w:color="auto" w:fill="auto"/>
            <w:vAlign w:val="center"/>
            <w:hideMark/>
          </w:tcPr>
          <w:p w:rsidR="00E80596" w:rsidRPr="009949EE" w:rsidRDefault="00E80596" w:rsidP="005867A8">
            <w:pPr>
              <w:ind w:right="284"/>
              <w:jc w:val="right"/>
              <w:rPr>
                <w:sz w:val="20"/>
                <w:szCs w:val="20"/>
                <w:lang w:eastAsia="en-AU"/>
              </w:rPr>
            </w:pPr>
            <w:r w:rsidRPr="009949EE">
              <w:rPr>
                <w:sz w:val="20"/>
                <w:szCs w:val="20"/>
                <w:lang w:eastAsia="en-AU"/>
              </w:rPr>
              <w:t>$9</w:t>
            </w:r>
            <w:r>
              <w:rPr>
                <w:sz w:val="20"/>
                <w:szCs w:val="20"/>
                <w:lang w:eastAsia="en-AU"/>
              </w:rPr>
              <w:t>43</w:t>
            </w:r>
          </w:p>
        </w:tc>
      </w:tr>
    </w:tbl>
    <w:p w:rsidR="006F6CFE" w:rsidRDefault="006F6CFE" w:rsidP="006F6CFE"/>
    <w:p w:rsidR="00A4438F" w:rsidRDefault="00A4438F" w:rsidP="006F6CFE"/>
    <w:p w:rsidR="00A4438F" w:rsidRDefault="00A4438F" w:rsidP="006F6CFE"/>
    <w:p w:rsidR="00A4438F" w:rsidRDefault="00A4438F" w:rsidP="006F6CFE"/>
    <w:p w:rsidR="00A4438F" w:rsidRDefault="00A4438F" w:rsidP="006F6CFE"/>
    <w:p w:rsidR="00A4438F" w:rsidRDefault="00A4438F" w:rsidP="006F6CFE"/>
    <w:p w:rsidR="00A4438F" w:rsidRDefault="00A4438F" w:rsidP="006F6CFE"/>
    <w:p w:rsidR="000A6F7A" w:rsidRDefault="000A6F7A" w:rsidP="006F6CFE"/>
    <w:p w:rsidR="00A26A5F" w:rsidRDefault="00A26A5F" w:rsidP="00A26A5F">
      <w:pPr>
        <w:pStyle w:val="Caption"/>
      </w:pPr>
      <w:bookmarkStart w:id="437" w:name="_Toc387069813"/>
      <w:bookmarkStart w:id="438" w:name="_Toc387073275"/>
      <w:bookmarkStart w:id="439" w:name="_Toc391541658"/>
      <w:proofErr w:type="gramStart"/>
      <w:r>
        <w:t xml:space="preserve">Table </w:t>
      </w:r>
      <w:r w:rsidR="00D30427">
        <w:fldChar w:fldCharType="begin"/>
      </w:r>
      <w:r w:rsidR="00B06D9E">
        <w:instrText xml:space="preserve"> SEQ Table \* ARABIC </w:instrText>
      </w:r>
      <w:r w:rsidR="00D30427">
        <w:fldChar w:fldCharType="separate"/>
      </w:r>
      <w:r w:rsidR="001D521C">
        <w:rPr>
          <w:noProof/>
        </w:rPr>
        <w:t>14</w:t>
      </w:r>
      <w:r w:rsidR="00D30427">
        <w:fldChar w:fldCharType="end"/>
      </w:r>
      <w:r>
        <w:t>.</w:t>
      </w:r>
      <w:proofErr w:type="gramEnd"/>
      <w:r>
        <w:t xml:space="preserve"> </w:t>
      </w:r>
      <w:r w:rsidRPr="002F40C9">
        <w:t>Summary of Base costs (A) for contingent activities</w:t>
      </w:r>
      <w:r>
        <w:t>.</w:t>
      </w:r>
      <w:bookmarkEnd w:id="437"/>
      <w:bookmarkEnd w:id="438"/>
      <w:bookmarkEnd w:id="439"/>
    </w:p>
    <w:tbl>
      <w:tblPr>
        <w:tblW w:w="10065"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1360"/>
        <w:gridCol w:w="2751"/>
        <w:gridCol w:w="1395"/>
        <w:gridCol w:w="1117"/>
        <w:gridCol w:w="983"/>
        <w:gridCol w:w="1253"/>
        <w:gridCol w:w="1206"/>
      </w:tblGrid>
      <w:tr w:rsidR="006F6CFE" w:rsidRPr="000431A6" w:rsidTr="00257E3E">
        <w:trPr>
          <w:cantSplit/>
          <w:trHeight w:val="300"/>
          <w:tblHeader/>
        </w:trPr>
        <w:tc>
          <w:tcPr>
            <w:tcW w:w="1360" w:type="dxa"/>
            <w:tcBorders>
              <w:top w:val="nil"/>
              <w:left w:val="nil"/>
              <w:bottom w:val="single" w:sz="4" w:space="0" w:color="548DD4" w:themeColor="text2" w:themeTint="99"/>
              <w:right w:val="nil"/>
            </w:tcBorders>
            <w:shd w:val="clear" w:color="auto" w:fill="auto"/>
            <w:noWrap/>
            <w:vAlign w:val="bottom"/>
            <w:hideMark/>
          </w:tcPr>
          <w:p w:rsidR="006F6CFE" w:rsidRPr="000431A6" w:rsidRDefault="006F6CFE" w:rsidP="005867A8">
            <w:pPr>
              <w:jc w:val="center"/>
              <w:rPr>
                <w:b/>
                <w:sz w:val="20"/>
                <w:szCs w:val="20"/>
                <w:lang w:eastAsia="en-AU"/>
              </w:rPr>
            </w:pPr>
          </w:p>
        </w:tc>
        <w:tc>
          <w:tcPr>
            <w:tcW w:w="2751" w:type="dxa"/>
            <w:tcBorders>
              <w:top w:val="nil"/>
              <w:left w:val="nil"/>
              <w:bottom w:val="single" w:sz="4" w:space="0" w:color="548DD4" w:themeColor="text2" w:themeTint="99"/>
              <w:right w:val="single" w:sz="4" w:space="0" w:color="548DD4" w:themeColor="text2" w:themeTint="99"/>
            </w:tcBorders>
            <w:shd w:val="clear" w:color="auto" w:fill="auto"/>
            <w:noWrap/>
            <w:vAlign w:val="bottom"/>
            <w:hideMark/>
          </w:tcPr>
          <w:p w:rsidR="006F6CFE" w:rsidRPr="000431A6" w:rsidRDefault="006F6CFE" w:rsidP="005867A8">
            <w:pPr>
              <w:jc w:val="center"/>
              <w:rPr>
                <w:b/>
                <w:sz w:val="20"/>
                <w:szCs w:val="20"/>
                <w:lang w:eastAsia="en-AU"/>
              </w:rPr>
            </w:pPr>
          </w:p>
        </w:tc>
        <w:tc>
          <w:tcPr>
            <w:tcW w:w="4748"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6F6CFE" w:rsidRPr="000431A6" w:rsidRDefault="006F6CFE" w:rsidP="005867A8">
            <w:pPr>
              <w:jc w:val="center"/>
              <w:rPr>
                <w:b/>
                <w:sz w:val="20"/>
                <w:szCs w:val="20"/>
                <w:lang w:eastAsia="en-AU"/>
              </w:rPr>
            </w:pPr>
            <w:r w:rsidRPr="000431A6">
              <w:rPr>
                <w:b/>
                <w:sz w:val="20"/>
                <w:szCs w:val="20"/>
                <w:lang w:eastAsia="en-AU"/>
              </w:rPr>
              <w:t>Time (days)</w:t>
            </w:r>
          </w:p>
        </w:tc>
        <w:tc>
          <w:tcPr>
            <w:tcW w:w="1206"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Total Base cost ($)</w:t>
            </w:r>
          </w:p>
        </w:tc>
      </w:tr>
      <w:tr w:rsidR="006F6CFE" w:rsidRPr="000431A6" w:rsidTr="00257E3E">
        <w:trPr>
          <w:cantSplit/>
          <w:trHeight w:val="600"/>
          <w:tblHeader/>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6F6CFE" w:rsidRPr="000431A6" w:rsidRDefault="006F6CFE" w:rsidP="005867A8">
            <w:pPr>
              <w:jc w:val="center"/>
              <w:rPr>
                <w:b/>
                <w:sz w:val="20"/>
                <w:szCs w:val="20"/>
                <w:lang w:eastAsia="en-AU"/>
              </w:rPr>
            </w:pPr>
            <w:r w:rsidRPr="000431A6">
              <w:rPr>
                <w:b/>
                <w:sz w:val="20"/>
                <w:szCs w:val="20"/>
                <w:lang w:eastAsia="en-AU"/>
              </w:rPr>
              <w:t>Activity</w:t>
            </w:r>
          </w:p>
        </w:tc>
        <w:tc>
          <w:tcPr>
            <w:tcW w:w="139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Assessment officer</w:t>
            </w:r>
          </w:p>
        </w:tc>
        <w:tc>
          <w:tcPr>
            <w:tcW w:w="11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Assistant Director</w:t>
            </w:r>
          </w:p>
        </w:tc>
        <w:tc>
          <w:tcPr>
            <w:tcW w:w="98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Director</w:t>
            </w:r>
          </w:p>
        </w:tc>
        <w:tc>
          <w:tcPr>
            <w:tcW w:w="125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r w:rsidRPr="000431A6">
              <w:rPr>
                <w:b/>
                <w:sz w:val="20"/>
                <w:szCs w:val="20"/>
                <w:lang w:eastAsia="en-AU"/>
              </w:rPr>
              <w:t>Delegate of the Minister</w:t>
            </w:r>
          </w:p>
        </w:tc>
        <w:tc>
          <w:tcPr>
            <w:tcW w:w="1206"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6F6CFE" w:rsidRPr="000431A6" w:rsidRDefault="006F6CFE" w:rsidP="005867A8">
            <w:pPr>
              <w:jc w:val="center"/>
              <w:rPr>
                <w:b/>
                <w:sz w:val="20"/>
                <w:szCs w:val="20"/>
                <w:lang w:eastAsia="en-AU"/>
              </w:rPr>
            </w:pPr>
          </w:p>
        </w:tc>
      </w:tr>
      <w:tr w:rsidR="006F6CFE" w:rsidRPr="007F4911" w:rsidTr="00257E3E">
        <w:trPr>
          <w:trHeight w:val="407"/>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Request additional information</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2.9</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1.1</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0.60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sidRPr="009949EE">
              <w:rPr>
                <w:sz w:val="20"/>
                <w:szCs w:val="20"/>
                <w:lang w:eastAsia="en-AU"/>
              </w:rPr>
              <w:t>$2,</w:t>
            </w:r>
            <w:r>
              <w:rPr>
                <w:sz w:val="20"/>
                <w:szCs w:val="20"/>
                <w:lang w:eastAsia="en-AU"/>
              </w:rPr>
              <w:t>544</w:t>
            </w:r>
          </w:p>
        </w:tc>
      </w:tr>
      <w:tr w:rsidR="006F6CFE" w:rsidRPr="007F4911" w:rsidTr="00257E3E">
        <w:trPr>
          <w:trHeight w:val="600"/>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Request additional information (environmental impact statement assessment</w:t>
            </w:r>
            <w:r w:rsidR="00F96031">
              <w:rPr>
                <w:sz w:val="20"/>
                <w:szCs w:val="20"/>
                <w:lang w:eastAsia="en-AU"/>
              </w:rPr>
              <w:t xml:space="preserve"> and public environment report</w:t>
            </w:r>
            <w:r w:rsidRPr="00572863">
              <w:rPr>
                <w:sz w:val="20"/>
                <w:szCs w:val="20"/>
                <w:lang w:eastAsia="en-AU"/>
              </w:rPr>
              <w:t>)</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10.0</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8.0</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4.00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0.40</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Pr>
                <w:sz w:val="20"/>
                <w:szCs w:val="20"/>
                <w:lang w:eastAsia="en-AU"/>
              </w:rPr>
              <w:t>$13,087</w:t>
            </w:r>
          </w:p>
        </w:tc>
      </w:tr>
      <w:tr w:rsidR="006F6CFE" w:rsidRPr="007F4911" w:rsidTr="00257E3E">
        <w:trPr>
          <w:trHeight w:val="600"/>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 xml:space="preserve">Reconsideration request (from the </w:t>
            </w:r>
            <w:r w:rsidR="00B64DB5">
              <w:rPr>
                <w:sz w:val="20"/>
                <w:szCs w:val="20"/>
                <w:lang w:eastAsia="en-AU"/>
              </w:rPr>
              <w:t>applicant</w:t>
            </w:r>
            <w:r w:rsidRPr="00572863">
              <w:rPr>
                <w:sz w:val="20"/>
                <w:szCs w:val="20"/>
                <w:lang w:eastAsia="en-AU"/>
              </w:rPr>
              <w:t xml:space="preserve"> of the action)</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8.9</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3.6</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1.00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0.20</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sidRPr="009949EE">
              <w:rPr>
                <w:sz w:val="20"/>
                <w:szCs w:val="20"/>
                <w:lang w:eastAsia="en-AU"/>
              </w:rPr>
              <w:t>$7,</w:t>
            </w:r>
            <w:r>
              <w:rPr>
                <w:sz w:val="20"/>
                <w:szCs w:val="20"/>
                <w:lang w:eastAsia="en-AU"/>
              </w:rPr>
              <w:t>423</w:t>
            </w:r>
          </w:p>
        </w:tc>
      </w:tr>
      <w:tr w:rsidR="006F6CFE" w:rsidRPr="007F4911" w:rsidTr="00257E3E">
        <w:trPr>
          <w:trHeight w:val="426"/>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Variation of conditions</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3.4</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2.1</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0.50</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sidRPr="009949EE">
              <w:rPr>
                <w:sz w:val="20"/>
                <w:szCs w:val="20"/>
                <w:lang w:eastAsia="en-AU"/>
              </w:rPr>
              <w:t>$3,</w:t>
            </w:r>
            <w:r>
              <w:rPr>
                <w:sz w:val="20"/>
                <w:szCs w:val="20"/>
                <w:lang w:eastAsia="en-AU"/>
              </w:rPr>
              <w:t>320</w:t>
            </w:r>
          </w:p>
        </w:tc>
      </w:tr>
      <w:tr w:rsidR="006F6CFE" w:rsidRPr="007F4911" w:rsidTr="00257E3E">
        <w:trPr>
          <w:trHeight w:val="534"/>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Variation of an action management plan under conditions of approval</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5.0</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1.0</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0.25</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BC3696" w:rsidP="005867A8">
            <w:pPr>
              <w:ind w:right="184"/>
              <w:jc w:val="right"/>
              <w:rPr>
                <w:sz w:val="20"/>
                <w:szCs w:val="20"/>
                <w:lang w:eastAsia="en-AU"/>
              </w:rPr>
            </w:pPr>
            <w:r w:rsidRPr="009949EE">
              <w:rPr>
                <w:sz w:val="20"/>
                <w:szCs w:val="20"/>
                <w:lang w:eastAsia="en-AU"/>
              </w:rPr>
              <w:t>$3,</w:t>
            </w:r>
            <w:r>
              <w:rPr>
                <w:sz w:val="20"/>
                <w:szCs w:val="20"/>
                <w:lang w:eastAsia="en-AU"/>
              </w:rPr>
              <w:t>23</w:t>
            </w:r>
            <w:r w:rsidR="008D04C3">
              <w:rPr>
                <w:sz w:val="20"/>
                <w:szCs w:val="20"/>
                <w:lang w:eastAsia="en-AU"/>
              </w:rPr>
              <w:t>3</w:t>
            </w:r>
          </w:p>
        </w:tc>
      </w:tr>
      <w:tr w:rsidR="006F6CFE" w:rsidRPr="007F4911" w:rsidTr="00257E3E">
        <w:trPr>
          <w:trHeight w:val="616"/>
        </w:trPr>
        <w:tc>
          <w:tcPr>
            <w:tcW w:w="4111"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6F6CFE" w:rsidRPr="007F4911" w:rsidRDefault="006F6CFE" w:rsidP="005867A8">
            <w:pPr>
              <w:rPr>
                <w:sz w:val="20"/>
                <w:szCs w:val="20"/>
                <w:lang w:eastAsia="en-AU"/>
              </w:rPr>
            </w:pPr>
            <w:r w:rsidRPr="00572863">
              <w:rPr>
                <w:sz w:val="20"/>
                <w:szCs w:val="20"/>
                <w:lang w:eastAsia="en-AU"/>
              </w:rPr>
              <w:t>Administrative variation of an action management plan under conditions of approval</w:t>
            </w:r>
          </w:p>
        </w:tc>
        <w:tc>
          <w:tcPr>
            <w:tcW w:w="1395"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40"/>
              <w:jc w:val="right"/>
              <w:rPr>
                <w:sz w:val="20"/>
                <w:szCs w:val="20"/>
                <w:lang w:eastAsia="en-AU"/>
              </w:rPr>
            </w:pPr>
            <w:r w:rsidRPr="009949EE">
              <w:rPr>
                <w:sz w:val="20"/>
                <w:szCs w:val="20"/>
                <w:lang w:eastAsia="en-AU"/>
              </w:rPr>
              <w:t>1.0</w:t>
            </w:r>
          </w:p>
        </w:tc>
        <w:tc>
          <w:tcPr>
            <w:tcW w:w="1117"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ind w:right="98"/>
              <w:jc w:val="right"/>
              <w:rPr>
                <w:sz w:val="20"/>
                <w:szCs w:val="20"/>
                <w:lang w:eastAsia="en-AU"/>
              </w:rPr>
            </w:pPr>
            <w:r w:rsidRPr="009949EE">
              <w:rPr>
                <w:sz w:val="20"/>
                <w:szCs w:val="20"/>
                <w:lang w:eastAsia="en-AU"/>
              </w:rPr>
              <w:t>0.5</w:t>
            </w:r>
          </w:p>
        </w:tc>
        <w:tc>
          <w:tcPr>
            <w:tcW w:w="98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312" w:type="dxa"/>
            </w:tcMar>
            <w:vAlign w:val="center"/>
            <w:hideMark/>
          </w:tcPr>
          <w:p w:rsidR="006F6CFE" w:rsidRPr="009949EE" w:rsidRDefault="006F6CFE" w:rsidP="005867A8">
            <w:pPr>
              <w:jc w:val="right"/>
              <w:rPr>
                <w:sz w:val="20"/>
                <w:szCs w:val="20"/>
                <w:lang w:eastAsia="en-AU"/>
              </w:rPr>
            </w:pPr>
            <w:r w:rsidRPr="009949EE">
              <w:rPr>
                <w:sz w:val="20"/>
                <w:szCs w:val="20"/>
                <w:lang w:eastAsia="en-AU"/>
              </w:rPr>
              <w:t>0.17</w:t>
            </w:r>
          </w:p>
        </w:tc>
        <w:tc>
          <w:tcPr>
            <w:tcW w:w="1253" w:type="dxa"/>
            <w:tcBorders>
              <w:top w:val="single" w:sz="4" w:space="0" w:color="548DD4" w:themeColor="text2" w:themeTint="99"/>
              <w:left w:val="nil"/>
              <w:bottom w:val="single" w:sz="4" w:space="0" w:color="548DD4" w:themeColor="text2" w:themeTint="99"/>
              <w:right w:val="nil"/>
            </w:tcBorders>
            <w:shd w:val="clear" w:color="auto" w:fill="auto"/>
            <w:noWrap/>
            <w:tcMar>
              <w:left w:w="57" w:type="dxa"/>
              <w:right w:w="255" w:type="dxa"/>
            </w:tcMar>
            <w:vAlign w:val="center"/>
            <w:hideMark/>
          </w:tcPr>
          <w:p w:rsidR="006F6CFE" w:rsidRPr="009949EE" w:rsidRDefault="006F6CFE" w:rsidP="005867A8">
            <w:pPr>
              <w:ind w:right="283"/>
              <w:jc w:val="right"/>
              <w:rPr>
                <w:sz w:val="20"/>
                <w:szCs w:val="20"/>
                <w:lang w:eastAsia="en-AU"/>
              </w:rPr>
            </w:pPr>
            <w:r w:rsidRPr="009949EE">
              <w:rPr>
                <w:sz w:val="20"/>
                <w:szCs w:val="20"/>
                <w:lang w:eastAsia="en-AU"/>
              </w:rPr>
              <w:t>0.03</w:t>
            </w:r>
          </w:p>
        </w:tc>
        <w:tc>
          <w:tcPr>
            <w:tcW w:w="120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6F6CFE" w:rsidRPr="009949EE" w:rsidRDefault="009949EE" w:rsidP="005867A8">
            <w:pPr>
              <w:ind w:right="184"/>
              <w:jc w:val="right"/>
              <w:rPr>
                <w:sz w:val="20"/>
                <w:szCs w:val="20"/>
                <w:lang w:eastAsia="en-AU"/>
              </w:rPr>
            </w:pPr>
            <w:r>
              <w:rPr>
                <w:sz w:val="20"/>
                <w:szCs w:val="20"/>
                <w:lang w:eastAsia="en-AU"/>
              </w:rPr>
              <w:t>$943</w:t>
            </w:r>
          </w:p>
        </w:tc>
      </w:tr>
    </w:tbl>
    <w:p w:rsidR="006265E0" w:rsidRDefault="006265E0">
      <w:pPr>
        <w:spacing w:after="0" w:line="240" w:lineRule="auto"/>
        <w:rPr>
          <w:rFonts w:cs="Arial"/>
          <w:b/>
          <w:i/>
        </w:rPr>
      </w:pPr>
      <w:r>
        <w:rPr>
          <w:rFonts w:cs="Arial"/>
          <w:b/>
          <w:i/>
        </w:rPr>
        <w:br w:type="page"/>
      </w:r>
    </w:p>
    <w:p w:rsidR="006F6CFE" w:rsidRDefault="006F6CFE" w:rsidP="006F6CFE">
      <w:pPr>
        <w:pStyle w:val="Heading3"/>
      </w:pPr>
      <w:bookmarkStart w:id="440" w:name="_Toc391541592"/>
      <w:r w:rsidRPr="00FC12C4">
        <w:lastRenderedPageBreak/>
        <w:t>Changes in cost base</w:t>
      </w:r>
      <w:bookmarkEnd w:id="440"/>
    </w:p>
    <w:p w:rsidR="001542D7" w:rsidRDefault="00C00D17" w:rsidP="001542D7">
      <w:r>
        <w:t>During the 2014-15</w:t>
      </w:r>
      <w:r w:rsidR="00040799">
        <w:t xml:space="preserve"> financial year the Department </w:t>
      </w:r>
      <w:r w:rsidR="00C25CE4">
        <w:t xml:space="preserve">does not anticipate significant capital expenditure </w:t>
      </w:r>
      <w:r w:rsidR="00040799">
        <w:t>nor increases in salary or supplier costs</w:t>
      </w:r>
      <w:r w:rsidR="001542D7">
        <w:t>.</w:t>
      </w:r>
      <w:r w:rsidR="00040799">
        <w:t xml:space="preserve">  If these expenses do increase, the Department will revise the cost recovery fees in accordance with the Australian Government’s Cost Recovery Guidelines.</w:t>
      </w:r>
    </w:p>
    <w:p w:rsidR="006F6CFE" w:rsidRDefault="006F6CFE" w:rsidP="006F6CFE">
      <w:pPr>
        <w:pStyle w:val="Heading3"/>
      </w:pPr>
      <w:bookmarkStart w:id="441" w:name="_Toc387064818"/>
      <w:bookmarkStart w:id="442" w:name="_Toc387065030"/>
      <w:bookmarkStart w:id="443" w:name="_Toc387065236"/>
      <w:bookmarkStart w:id="444" w:name="_Toc387065447"/>
      <w:bookmarkStart w:id="445" w:name="_Toc387065653"/>
      <w:bookmarkStart w:id="446" w:name="_Toc387065858"/>
      <w:bookmarkStart w:id="447" w:name="_Toc387066061"/>
      <w:bookmarkStart w:id="448" w:name="_Toc387066250"/>
      <w:bookmarkStart w:id="449" w:name="_Toc387069486"/>
      <w:bookmarkStart w:id="450" w:name="_Toc387069673"/>
      <w:bookmarkStart w:id="451" w:name="_Toc387069882"/>
      <w:bookmarkStart w:id="452" w:name="_Toc387070081"/>
      <w:bookmarkStart w:id="453" w:name="_Toc387072346"/>
      <w:bookmarkStart w:id="454" w:name="_Toc387072557"/>
      <w:bookmarkStart w:id="455" w:name="_Toc387392585"/>
      <w:bookmarkStart w:id="456" w:name="_Toc391541593"/>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t>Volume and/or demand assumptions</w:t>
      </w:r>
      <w:bookmarkEnd w:id="456"/>
    </w:p>
    <w:p w:rsidR="006F6CFE" w:rsidRDefault="006F6CFE" w:rsidP="006F6CFE">
      <w:r w:rsidRPr="00FC12C4">
        <w:t xml:space="preserve">The </w:t>
      </w:r>
      <w:r w:rsidRPr="00862D1A">
        <w:t xml:space="preserve">regulatory process </w:t>
      </w:r>
      <w:r w:rsidR="004356CD">
        <w:t>for</w:t>
      </w:r>
      <w:r w:rsidRPr="00862D1A">
        <w:t xml:space="preserve"> environmental impact assessments under the EPBC Act has been </w:t>
      </w:r>
      <w:r w:rsidR="006B6C7E" w:rsidRPr="00E00159">
        <w:t>operating since July 2000</w:t>
      </w:r>
      <w:r w:rsidRPr="00E00159">
        <w:t>.</w:t>
      </w:r>
      <w:r w:rsidRPr="00862D1A">
        <w:t xml:space="preserve"> Over this period, the number of referrals received by the Department has increased from 309 in 2001-02 to 4</w:t>
      </w:r>
      <w:r w:rsidR="00862D1A" w:rsidRPr="00862D1A">
        <w:t>39</w:t>
      </w:r>
      <w:r w:rsidRPr="00862D1A">
        <w:t xml:space="preserve"> in 201</w:t>
      </w:r>
      <w:r w:rsidR="00862D1A" w:rsidRPr="00862D1A">
        <w:t>2</w:t>
      </w:r>
      <w:r w:rsidRPr="00862D1A">
        <w:t>-1</w:t>
      </w:r>
      <w:r w:rsidR="00862D1A" w:rsidRPr="00862D1A">
        <w:t>3</w:t>
      </w:r>
      <w:r w:rsidR="004356CD">
        <w:t xml:space="preserve">. Over this time </w:t>
      </w:r>
      <w:r w:rsidRPr="00FC12C4">
        <w:t xml:space="preserve">the complexity of </w:t>
      </w:r>
      <w:r>
        <w:t xml:space="preserve">referred </w:t>
      </w:r>
      <w:r w:rsidRPr="00FC12C4">
        <w:t xml:space="preserve">projects has </w:t>
      </w:r>
      <w:r w:rsidR="004356CD">
        <w:t xml:space="preserve">also </w:t>
      </w:r>
      <w:r w:rsidRPr="00FC12C4">
        <w:t>increas</w:t>
      </w:r>
      <w:r>
        <w:t>ed</w:t>
      </w:r>
      <w:r w:rsidRPr="00FC12C4">
        <w:t xml:space="preserve">. </w:t>
      </w:r>
    </w:p>
    <w:p w:rsidR="007B2389" w:rsidRDefault="007B2389" w:rsidP="007B2389">
      <w:pPr>
        <w:pStyle w:val="ListParagraph"/>
        <w:numPr>
          <w:ilvl w:val="0"/>
          <w:numId w:val="0"/>
        </w:numPr>
      </w:pPr>
      <w:r>
        <w:t xml:space="preserve">To </w:t>
      </w:r>
      <w:r w:rsidRPr="007B2389">
        <w:t xml:space="preserve">provide an estimate </w:t>
      </w:r>
      <w:r>
        <w:t>of</w:t>
      </w:r>
      <w:r w:rsidRPr="007B2389">
        <w:t xml:space="preserve"> the demand</w:t>
      </w:r>
      <w:r>
        <w:t xml:space="preserve"> for the 2014-15 financial </w:t>
      </w:r>
      <w:proofErr w:type="gramStart"/>
      <w:r>
        <w:t>year</w:t>
      </w:r>
      <w:proofErr w:type="gramEnd"/>
      <w:r w:rsidRPr="007B2389">
        <w:t>, the Department assumed that the expected number of referrals, assessments and approvals/post-approvals</w:t>
      </w:r>
      <w:r>
        <w:t xml:space="preserve"> </w:t>
      </w:r>
      <w:r w:rsidRPr="007B2389">
        <w:t xml:space="preserve">under the EPBC </w:t>
      </w:r>
      <w:r>
        <w:t xml:space="preserve">Act </w:t>
      </w:r>
      <w:r w:rsidRPr="007B2389">
        <w:t>will be similar to the historic period of 1 July 2008 to 30 June 2009</w:t>
      </w:r>
      <w:r w:rsidR="00265FF7">
        <w:t>.</w:t>
      </w:r>
      <w:r w:rsidRPr="00FC12C4">
        <w:t xml:space="preserve"> </w:t>
      </w:r>
    </w:p>
    <w:p w:rsidR="006F6CFE" w:rsidRDefault="006F6CFE" w:rsidP="00E4159E">
      <w:r w:rsidRPr="00E00159">
        <w:t xml:space="preserve">Environmental impact assessments are usually not concluded within one financial year. Therefore, the volume of activities in any year </w:t>
      </w:r>
      <w:r w:rsidR="00D13EDC">
        <w:t>will</w:t>
      </w:r>
      <w:r w:rsidR="00D13EDC" w:rsidRPr="00E00159">
        <w:t xml:space="preserve"> </w:t>
      </w:r>
      <w:r w:rsidRPr="00E00159">
        <w:t xml:space="preserve">include new referrals and assessments </w:t>
      </w:r>
      <w:r w:rsidR="00D13EDC">
        <w:t>and</w:t>
      </w:r>
      <w:r w:rsidRPr="00E00159">
        <w:t xml:space="preserve"> assessments continu</w:t>
      </w:r>
      <w:r w:rsidR="00D13EDC">
        <w:t>ing</w:t>
      </w:r>
      <w:r w:rsidRPr="00E00159">
        <w:t xml:space="preserve"> from previous years</w:t>
      </w:r>
      <w:r w:rsidR="004356CD">
        <w:t>.</w:t>
      </w:r>
      <w:r w:rsidRPr="00E00159">
        <w:t xml:space="preserve"> </w:t>
      </w:r>
      <w:r w:rsidR="004356CD">
        <w:t>This</w:t>
      </w:r>
      <w:r w:rsidR="004356CD" w:rsidRPr="00E00159">
        <w:t xml:space="preserve"> </w:t>
      </w:r>
      <w:r w:rsidR="004356CD">
        <w:t xml:space="preserve">will </w:t>
      </w:r>
      <w:r w:rsidRPr="00E00159">
        <w:t xml:space="preserve">result in progressive increases </w:t>
      </w:r>
      <w:r w:rsidR="004356CD">
        <w:t xml:space="preserve">in the number of proposed actions subject to cost recovery </w:t>
      </w:r>
      <w:r w:rsidRPr="00E00159">
        <w:t xml:space="preserve">each year as more </w:t>
      </w:r>
      <w:r w:rsidR="004356CD">
        <w:t>actions</w:t>
      </w:r>
      <w:r w:rsidR="004356CD" w:rsidRPr="00E00159">
        <w:t xml:space="preserve"> </w:t>
      </w:r>
      <w:r w:rsidRPr="00E00159">
        <w:t xml:space="preserve">move through the various stages of assessment.  Similarly, the number of post-approval action management plan assessments </w:t>
      </w:r>
      <w:r w:rsidR="004356CD">
        <w:t xml:space="preserve">will </w:t>
      </w:r>
      <w:r w:rsidRPr="00E00159">
        <w:t>increas</w:t>
      </w:r>
      <w:r w:rsidR="00D04E2E">
        <w:t>e</w:t>
      </w:r>
      <w:r w:rsidRPr="00E00159">
        <w:t xml:space="preserve"> each year as more projects are approved</w:t>
      </w:r>
      <w:r w:rsidR="00767BDD">
        <w:t xml:space="preserve">. </w:t>
      </w:r>
      <w:r w:rsidRPr="00E00159">
        <w:t>The historical activity represented in</w:t>
      </w:r>
      <w:r w:rsidR="001E38AC" w:rsidRPr="00E00159">
        <w:t xml:space="preserve"> </w:t>
      </w:r>
      <w:r w:rsidR="00D30427">
        <w:fldChar w:fldCharType="begin"/>
      </w:r>
      <w:r w:rsidR="00D04E2E">
        <w:instrText xml:space="preserve"> REF _Ref387068554 \h </w:instrText>
      </w:r>
      <w:r w:rsidR="00D30427">
        <w:fldChar w:fldCharType="separate"/>
      </w:r>
      <w:r w:rsidR="001D521C">
        <w:t xml:space="preserve">Table </w:t>
      </w:r>
      <w:r w:rsidR="001D521C">
        <w:rPr>
          <w:noProof/>
        </w:rPr>
        <w:t>15</w:t>
      </w:r>
      <w:r w:rsidR="00D30427">
        <w:fldChar w:fldCharType="end"/>
      </w:r>
      <w:r w:rsidRPr="00E00159">
        <w:t xml:space="preserve">, </w:t>
      </w:r>
      <w:r w:rsidR="00D30427">
        <w:fldChar w:fldCharType="begin"/>
      </w:r>
      <w:r w:rsidR="00E4159E">
        <w:instrText xml:space="preserve"> REF _Ref390255065 \h </w:instrText>
      </w:r>
      <w:r w:rsidR="00D30427">
        <w:fldChar w:fldCharType="separate"/>
      </w:r>
      <w:r w:rsidR="001D521C" w:rsidRPr="00381185">
        <w:t xml:space="preserve">Table </w:t>
      </w:r>
      <w:r w:rsidR="001D521C">
        <w:rPr>
          <w:noProof/>
        </w:rPr>
        <w:t>16</w:t>
      </w:r>
      <w:r w:rsidR="00D30427">
        <w:fldChar w:fldCharType="end"/>
      </w:r>
      <w:r w:rsidR="00E4159E">
        <w:t xml:space="preserve">, </w:t>
      </w:r>
      <w:r w:rsidR="00D30427">
        <w:fldChar w:fldCharType="begin"/>
      </w:r>
      <w:r w:rsidR="00E4159E">
        <w:instrText xml:space="preserve"> REF _Ref390255070 \h </w:instrText>
      </w:r>
      <w:r w:rsidR="00D30427">
        <w:fldChar w:fldCharType="separate"/>
      </w:r>
      <w:r w:rsidR="001D521C" w:rsidRPr="00381185">
        <w:t xml:space="preserve">Table </w:t>
      </w:r>
      <w:r w:rsidR="001D521C">
        <w:rPr>
          <w:noProof/>
        </w:rPr>
        <w:t>17</w:t>
      </w:r>
      <w:r w:rsidR="00D30427">
        <w:fldChar w:fldCharType="end"/>
      </w:r>
      <w:r w:rsidR="00E4159E">
        <w:t xml:space="preserve"> </w:t>
      </w:r>
      <w:r w:rsidR="00652D85">
        <w:t xml:space="preserve">and </w:t>
      </w:r>
      <w:r w:rsidR="00D30427">
        <w:fldChar w:fldCharType="begin"/>
      </w:r>
      <w:r w:rsidR="0089779F">
        <w:instrText xml:space="preserve"> REF _Ref388454682 \h </w:instrText>
      </w:r>
      <w:r w:rsidR="00D30427">
        <w:fldChar w:fldCharType="separate"/>
      </w:r>
      <w:r w:rsidR="001D521C" w:rsidRPr="00381185">
        <w:t xml:space="preserve">Table </w:t>
      </w:r>
      <w:r w:rsidR="001D521C">
        <w:rPr>
          <w:noProof/>
        </w:rPr>
        <w:t>18</w:t>
      </w:r>
      <w:r w:rsidR="00D30427">
        <w:fldChar w:fldCharType="end"/>
      </w:r>
      <w:r w:rsidRPr="00E00159">
        <w:t xml:space="preserve"> forms the basis of th</w:t>
      </w:r>
      <w:r w:rsidR="001E38AC" w:rsidRPr="00E00159">
        <w:t>e forecast revenue and expenses.</w:t>
      </w:r>
    </w:p>
    <w:p w:rsidR="0089779F" w:rsidRDefault="0089779F" w:rsidP="0089779F">
      <w:pPr>
        <w:spacing w:after="0" w:line="240" w:lineRule="auto"/>
      </w:pPr>
    </w:p>
    <w:p w:rsidR="003747D2" w:rsidRPr="009C4800" w:rsidRDefault="003747D2" w:rsidP="003747D2">
      <w:pPr>
        <w:pStyle w:val="Caption"/>
        <w:rPr>
          <w:color w:val="FF0000"/>
        </w:rPr>
      </w:pPr>
      <w:bookmarkStart w:id="457" w:name="_Ref387068554"/>
      <w:bookmarkStart w:id="458" w:name="_Toc387069814"/>
      <w:bookmarkStart w:id="459" w:name="_Toc387073276"/>
      <w:bookmarkStart w:id="460" w:name="_Toc391541659"/>
      <w:proofErr w:type="gramStart"/>
      <w:r>
        <w:t xml:space="preserve">Table </w:t>
      </w:r>
      <w:r w:rsidR="00D30427">
        <w:fldChar w:fldCharType="begin"/>
      </w:r>
      <w:r w:rsidR="00B06D9E">
        <w:instrText xml:space="preserve"> SEQ Table \* ARABIC </w:instrText>
      </w:r>
      <w:r w:rsidR="00D30427">
        <w:fldChar w:fldCharType="separate"/>
      </w:r>
      <w:r w:rsidR="001D521C">
        <w:rPr>
          <w:noProof/>
        </w:rPr>
        <w:t>15</w:t>
      </w:r>
      <w:r w:rsidR="00D30427">
        <w:fldChar w:fldCharType="end"/>
      </w:r>
      <w:bookmarkEnd w:id="457"/>
      <w:r>
        <w:t>.</w:t>
      </w:r>
      <w:proofErr w:type="gramEnd"/>
      <w:r>
        <w:t xml:space="preserve"> </w:t>
      </w:r>
      <w:proofErr w:type="gramStart"/>
      <w:r w:rsidRPr="001E1299">
        <w:t xml:space="preserve">Referrals </w:t>
      </w:r>
      <w:r w:rsidR="00987AB1">
        <w:t>–</w:t>
      </w:r>
      <w:r w:rsidRPr="001E1299">
        <w:t xml:space="preserve"> </w:t>
      </w:r>
      <w:r w:rsidR="00987AB1">
        <w:t xml:space="preserve">estimated </w:t>
      </w:r>
      <w:r w:rsidRPr="001E1299">
        <w:t>activity volume</w:t>
      </w:r>
      <w:r>
        <w:t>.</w:t>
      </w:r>
      <w:bookmarkEnd w:id="458"/>
      <w:bookmarkEnd w:id="459"/>
      <w:bookmarkEnd w:id="460"/>
      <w:proofErr w:type="gramEnd"/>
    </w:p>
    <w:tbl>
      <w:tblPr>
        <w:tblW w:w="8505"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3479"/>
        <w:gridCol w:w="5026"/>
      </w:tblGrid>
      <w:tr w:rsidR="00F05EA5" w:rsidRPr="009B257F" w:rsidTr="00F05EA5">
        <w:trPr>
          <w:cantSplit/>
          <w:trHeight w:val="300"/>
          <w:tblHeader/>
        </w:trPr>
        <w:tc>
          <w:tcPr>
            <w:tcW w:w="347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F05EA5" w:rsidRPr="009B257F" w:rsidRDefault="00F05EA5" w:rsidP="003A6A0A">
            <w:pPr>
              <w:jc w:val="center"/>
              <w:rPr>
                <w:b/>
                <w:sz w:val="20"/>
                <w:szCs w:val="20"/>
              </w:rPr>
            </w:pPr>
            <w:r w:rsidRPr="009B257F">
              <w:rPr>
                <w:b/>
                <w:sz w:val="20"/>
                <w:szCs w:val="20"/>
              </w:rPr>
              <w:t>Activity</w:t>
            </w:r>
          </w:p>
        </w:tc>
        <w:tc>
          <w:tcPr>
            <w:tcW w:w="5026" w:type="dxa"/>
            <w:tcBorders>
              <w:top w:val="single" w:sz="4" w:space="0" w:color="548DD4" w:themeColor="text2" w:themeTint="99"/>
              <w:left w:val="single" w:sz="4" w:space="0" w:color="548DD4" w:themeColor="text2" w:themeTint="99"/>
              <w:bottom w:val="nil"/>
              <w:right w:val="single" w:sz="4" w:space="0" w:color="548DD4" w:themeColor="text2" w:themeTint="99"/>
            </w:tcBorders>
            <w:shd w:val="clear" w:color="auto" w:fill="8DB3E2" w:themeFill="text2" w:themeFillTint="66"/>
            <w:noWrap/>
            <w:vAlign w:val="center"/>
            <w:hideMark/>
          </w:tcPr>
          <w:p w:rsidR="00F05EA5" w:rsidRPr="009B257F" w:rsidRDefault="00F05EA5" w:rsidP="003A6A0A">
            <w:pPr>
              <w:jc w:val="center"/>
              <w:rPr>
                <w:b/>
                <w:sz w:val="20"/>
                <w:szCs w:val="20"/>
              </w:rPr>
            </w:pPr>
            <w:r>
              <w:rPr>
                <w:b/>
                <w:sz w:val="20"/>
                <w:szCs w:val="20"/>
              </w:rPr>
              <w:t>Estimated a</w:t>
            </w:r>
            <w:r w:rsidRPr="009B257F">
              <w:rPr>
                <w:b/>
                <w:sz w:val="20"/>
                <w:szCs w:val="20"/>
              </w:rPr>
              <w:t>ctivity volume</w:t>
            </w:r>
            <w:r w:rsidRPr="009B257F">
              <w:rPr>
                <w:rStyle w:val="FootnoteReference"/>
                <w:rFonts w:ascii="Calibri" w:hAnsi="Calibri" w:cs="Calibri"/>
                <w:color w:val="000000"/>
                <w:sz w:val="20"/>
                <w:szCs w:val="20"/>
              </w:rPr>
              <w:footnoteReference w:id="28"/>
            </w:r>
          </w:p>
        </w:tc>
      </w:tr>
      <w:tr w:rsidR="00D06D63" w:rsidRPr="009B257F" w:rsidTr="00F05EA5">
        <w:trPr>
          <w:cantSplit/>
          <w:trHeight w:val="300"/>
          <w:tblHeader/>
        </w:trPr>
        <w:tc>
          <w:tcPr>
            <w:tcW w:w="347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D06D63" w:rsidRPr="009B257F" w:rsidRDefault="00D06D63" w:rsidP="003A6A0A">
            <w:pPr>
              <w:jc w:val="center"/>
              <w:rPr>
                <w:b/>
                <w:sz w:val="20"/>
                <w:szCs w:val="20"/>
              </w:rPr>
            </w:pPr>
          </w:p>
        </w:tc>
        <w:tc>
          <w:tcPr>
            <w:tcW w:w="5026" w:type="dxa"/>
            <w:tcBorders>
              <w:top w:val="nil"/>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D06D63" w:rsidRDefault="00D06D63" w:rsidP="00D13EDC">
            <w:pPr>
              <w:spacing w:before="200"/>
              <w:jc w:val="center"/>
              <w:rPr>
                <w:rFonts w:cs="Arial"/>
                <w:b/>
                <w:sz w:val="20"/>
                <w:szCs w:val="20"/>
              </w:rPr>
            </w:pPr>
            <w:r w:rsidRPr="009B257F">
              <w:rPr>
                <w:b/>
                <w:sz w:val="20"/>
                <w:szCs w:val="20"/>
              </w:rPr>
              <w:t>201</w:t>
            </w:r>
            <w:r>
              <w:rPr>
                <w:b/>
                <w:sz w:val="20"/>
                <w:szCs w:val="20"/>
              </w:rPr>
              <w:t>4</w:t>
            </w:r>
            <w:r w:rsidRPr="009B257F">
              <w:rPr>
                <w:b/>
                <w:sz w:val="20"/>
                <w:szCs w:val="20"/>
              </w:rPr>
              <w:t>-1</w:t>
            </w:r>
            <w:r>
              <w:rPr>
                <w:b/>
                <w:sz w:val="20"/>
                <w:szCs w:val="20"/>
              </w:rPr>
              <w:t>5</w:t>
            </w:r>
          </w:p>
        </w:tc>
      </w:tr>
      <w:tr w:rsidR="00D06D63" w:rsidRPr="007F4911" w:rsidTr="00B0054D">
        <w:trPr>
          <w:trHeight w:val="300"/>
        </w:trPr>
        <w:tc>
          <w:tcPr>
            <w:tcW w:w="3479"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D06D63" w:rsidRPr="007F4911" w:rsidRDefault="00D06D63" w:rsidP="003A6A0A">
            <w:pPr>
              <w:rPr>
                <w:sz w:val="20"/>
                <w:szCs w:val="20"/>
              </w:rPr>
            </w:pPr>
            <w:r w:rsidRPr="00572863">
              <w:rPr>
                <w:sz w:val="20"/>
                <w:szCs w:val="20"/>
              </w:rPr>
              <w:t>Referrals (NCA/NCA-PM/clearly unacceptable/ withdrawn/stop clock)</w:t>
            </w:r>
          </w:p>
        </w:tc>
        <w:tc>
          <w:tcPr>
            <w:tcW w:w="5026" w:type="dxa"/>
            <w:tcBorders>
              <w:top w:val="single" w:sz="4" w:space="0" w:color="548DD4" w:themeColor="text2" w:themeTint="99"/>
              <w:left w:val="nil"/>
              <w:bottom w:val="single" w:sz="4" w:space="0" w:color="548DD4" w:themeColor="text2" w:themeTint="99"/>
              <w:right w:val="single" w:sz="4" w:space="0" w:color="548DD4" w:themeColor="text2" w:themeTint="99"/>
            </w:tcBorders>
          </w:tcPr>
          <w:p w:rsidR="00D06D63" w:rsidRDefault="00D06D63" w:rsidP="003A6A0A">
            <w:pPr>
              <w:spacing w:before="200"/>
              <w:jc w:val="center"/>
              <w:rPr>
                <w:sz w:val="20"/>
                <w:szCs w:val="20"/>
              </w:rPr>
            </w:pPr>
            <w:r w:rsidRPr="00572863">
              <w:rPr>
                <w:sz w:val="20"/>
                <w:szCs w:val="20"/>
              </w:rPr>
              <w:t>310</w:t>
            </w:r>
          </w:p>
        </w:tc>
      </w:tr>
      <w:tr w:rsidR="00D06D63" w:rsidRPr="007F4911" w:rsidTr="00B0054D">
        <w:trPr>
          <w:trHeight w:val="300"/>
        </w:trPr>
        <w:tc>
          <w:tcPr>
            <w:tcW w:w="3479"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D06D63" w:rsidRPr="007F4911" w:rsidRDefault="00D06D63" w:rsidP="003A6A0A">
            <w:pPr>
              <w:rPr>
                <w:sz w:val="20"/>
                <w:szCs w:val="20"/>
              </w:rPr>
            </w:pPr>
            <w:r w:rsidRPr="00572863">
              <w:rPr>
                <w:sz w:val="20"/>
                <w:szCs w:val="20"/>
              </w:rPr>
              <w:t>Referrals (CA decisions)</w:t>
            </w:r>
          </w:p>
        </w:tc>
        <w:tc>
          <w:tcPr>
            <w:tcW w:w="5026" w:type="dxa"/>
            <w:tcBorders>
              <w:top w:val="single" w:sz="4" w:space="0" w:color="548DD4" w:themeColor="text2" w:themeTint="99"/>
              <w:left w:val="nil"/>
              <w:bottom w:val="single" w:sz="4" w:space="0" w:color="548DD4" w:themeColor="text2" w:themeTint="99"/>
              <w:right w:val="single" w:sz="4" w:space="0" w:color="548DD4" w:themeColor="text2" w:themeTint="99"/>
            </w:tcBorders>
          </w:tcPr>
          <w:p w:rsidR="00D06D63" w:rsidRDefault="00D06D63" w:rsidP="003A6A0A">
            <w:pPr>
              <w:spacing w:before="200"/>
              <w:jc w:val="center"/>
              <w:rPr>
                <w:sz w:val="20"/>
                <w:szCs w:val="20"/>
              </w:rPr>
            </w:pPr>
            <w:r w:rsidRPr="00572863">
              <w:rPr>
                <w:sz w:val="20"/>
                <w:szCs w:val="20"/>
              </w:rPr>
              <w:t>128</w:t>
            </w:r>
          </w:p>
        </w:tc>
      </w:tr>
      <w:tr w:rsidR="00D06D63" w:rsidRPr="007F4911" w:rsidTr="00B0054D">
        <w:trPr>
          <w:trHeight w:val="315"/>
        </w:trPr>
        <w:tc>
          <w:tcPr>
            <w:tcW w:w="3479"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hideMark/>
          </w:tcPr>
          <w:p w:rsidR="00D06D63" w:rsidRPr="003F5A1C" w:rsidRDefault="00D06D63" w:rsidP="003A6A0A">
            <w:pPr>
              <w:jc w:val="right"/>
              <w:rPr>
                <w:caps/>
                <w:sz w:val="20"/>
                <w:szCs w:val="20"/>
              </w:rPr>
            </w:pPr>
            <w:r w:rsidRPr="003F5A1C">
              <w:rPr>
                <w:caps/>
                <w:sz w:val="20"/>
                <w:szCs w:val="20"/>
              </w:rPr>
              <w:t>Total referrals</w:t>
            </w:r>
          </w:p>
        </w:tc>
        <w:tc>
          <w:tcPr>
            <w:tcW w:w="502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D06D63" w:rsidRPr="00572863" w:rsidRDefault="00D06D63" w:rsidP="003A6A0A">
            <w:pPr>
              <w:jc w:val="center"/>
              <w:rPr>
                <w:sz w:val="20"/>
                <w:szCs w:val="20"/>
              </w:rPr>
            </w:pPr>
            <w:r w:rsidRPr="00572863">
              <w:rPr>
                <w:sz w:val="20"/>
                <w:szCs w:val="20"/>
              </w:rPr>
              <w:t>438</w:t>
            </w:r>
          </w:p>
        </w:tc>
      </w:tr>
    </w:tbl>
    <w:p w:rsidR="006F6CFE" w:rsidRDefault="006F6CFE" w:rsidP="006F6CFE"/>
    <w:p w:rsidR="0089779F" w:rsidRDefault="0089779F" w:rsidP="0041244F">
      <w:bookmarkStart w:id="461" w:name="_Ref346627921"/>
      <w:bookmarkStart w:id="462" w:name="_Toc387069815"/>
      <w:bookmarkStart w:id="463" w:name="_Toc387073277"/>
    </w:p>
    <w:p w:rsidR="0089779F" w:rsidRDefault="0089779F" w:rsidP="0089779F">
      <w:pPr>
        <w:rPr>
          <w:rFonts w:asciiTheme="minorHAnsi" w:eastAsia="Times New Roman" w:hAnsiTheme="minorHAnsi" w:cstheme="minorHAnsi"/>
          <w:color w:val="4F81BD" w:themeColor="accent1"/>
          <w:sz w:val="20"/>
          <w:szCs w:val="20"/>
        </w:rPr>
      </w:pPr>
    </w:p>
    <w:p w:rsidR="0041244F" w:rsidRDefault="0041244F" w:rsidP="0089779F">
      <w:pPr>
        <w:rPr>
          <w:rFonts w:asciiTheme="minorHAnsi" w:eastAsia="Times New Roman" w:hAnsiTheme="minorHAnsi" w:cstheme="minorHAnsi"/>
          <w:color w:val="4F81BD" w:themeColor="accent1"/>
          <w:sz w:val="20"/>
          <w:szCs w:val="20"/>
        </w:rPr>
      </w:pPr>
    </w:p>
    <w:p w:rsidR="003C2EB4" w:rsidRDefault="003C2EB4" w:rsidP="003C2EB4">
      <w:bookmarkStart w:id="464" w:name="_Ref388967009"/>
    </w:p>
    <w:p w:rsidR="003C2EB4" w:rsidRDefault="003C2EB4" w:rsidP="003C2EB4"/>
    <w:p w:rsidR="003C2EB4" w:rsidRDefault="003C2EB4" w:rsidP="003C2EB4"/>
    <w:p w:rsidR="007704E8" w:rsidRDefault="007704E8" w:rsidP="007704E8">
      <w:pPr>
        <w:pStyle w:val="Caption"/>
        <w:keepNext/>
      </w:pPr>
      <w:bookmarkStart w:id="465" w:name="_Ref390255065"/>
      <w:bookmarkStart w:id="466" w:name="_Toc391541660"/>
      <w:proofErr w:type="gramStart"/>
      <w:r w:rsidRPr="00381185">
        <w:t xml:space="preserve">Table </w:t>
      </w:r>
      <w:r w:rsidR="00D30427">
        <w:fldChar w:fldCharType="begin"/>
      </w:r>
      <w:r w:rsidR="00B06D9E">
        <w:instrText xml:space="preserve"> SEQ Table \* ARABIC \s 1 </w:instrText>
      </w:r>
      <w:r w:rsidR="00D30427">
        <w:fldChar w:fldCharType="separate"/>
      </w:r>
      <w:r w:rsidR="001D521C">
        <w:rPr>
          <w:noProof/>
        </w:rPr>
        <w:t>16</w:t>
      </w:r>
      <w:r w:rsidR="00D30427">
        <w:fldChar w:fldCharType="end"/>
      </w:r>
      <w:bookmarkEnd w:id="461"/>
      <w:bookmarkEnd w:id="464"/>
      <w:bookmarkEnd w:id="465"/>
      <w:r w:rsidR="00381185">
        <w:t>.</w:t>
      </w:r>
      <w:proofErr w:type="gramEnd"/>
      <w:r>
        <w:t xml:space="preserve"> </w:t>
      </w:r>
      <w:proofErr w:type="gramStart"/>
      <w:r w:rsidRPr="00746678">
        <w:t xml:space="preserve">Assessments </w:t>
      </w:r>
      <w:r w:rsidR="00987AB1">
        <w:t>–</w:t>
      </w:r>
      <w:r w:rsidRPr="00746678">
        <w:t xml:space="preserve"> </w:t>
      </w:r>
      <w:r w:rsidR="00987AB1">
        <w:t xml:space="preserve">estimated </w:t>
      </w:r>
      <w:r w:rsidRPr="00746678">
        <w:t>activity volume</w:t>
      </w:r>
      <w:r w:rsidR="00381185">
        <w:t>.</w:t>
      </w:r>
      <w:bookmarkEnd w:id="462"/>
      <w:bookmarkEnd w:id="463"/>
      <w:bookmarkEnd w:id="466"/>
      <w:proofErr w:type="gramEnd"/>
    </w:p>
    <w:tbl>
      <w:tblPr>
        <w:tblW w:w="4112" w:type="pct"/>
        <w:tblInd w:w="-3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1087"/>
        <w:gridCol w:w="46"/>
        <w:gridCol w:w="3028"/>
        <w:gridCol w:w="1149"/>
        <w:gridCol w:w="1149"/>
        <w:gridCol w:w="1294"/>
        <w:gridCol w:w="236"/>
      </w:tblGrid>
      <w:tr w:rsidR="00F05EA5" w:rsidRPr="009B257F" w:rsidTr="00F05EA5">
        <w:trPr>
          <w:cantSplit/>
          <w:trHeight w:val="965"/>
          <w:tblHeader/>
        </w:trPr>
        <w:tc>
          <w:tcPr>
            <w:tcW w:w="2604" w:type="pct"/>
            <w:gridSpan w:val="3"/>
            <w:tcBorders>
              <w:top w:val="single" w:sz="4" w:space="0" w:color="548DD4" w:themeColor="text2" w:themeTint="99"/>
              <w:left w:val="single" w:sz="4" w:space="0" w:color="548DD4" w:themeColor="text2" w:themeTint="99"/>
              <w:right w:val="single" w:sz="4" w:space="0" w:color="548DD4" w:themeColor="text2" w:themeTint="99"/>
            </w:tcBorders>
            <w:shd w:val="clear" w:color="auto" w:fill="8DB3E2" w:themeFill="text2" w:themeFillTint="66"/>
            <w:vAlign w:val="center"/>
            <w:hideMark/>
          </w:tcPr>
          <w:p w:rsidR="00F05EA5" w:rsidRPr="009B257F" w:rsidRDefault="00F05EA5" w:rsidP="003A6A0A">
            <w:pPr>
              <w:jc w:val="center"/>
              <w:rPr>
                <w:b/>
                <w:sz w:val="20"/>
                <w:szCs w:val="20"/>
              </w:rPr>
            </w:pPr>
            <w:r>
              <w:br w:type="page"/>
            </w:r>
            <w:r w:rsidRPr="009B257F">
              <w:rPr>
                <w:b/>
                <w:sz w:val="20"/>
                <w:szCs w:val="20"/>
              </w:rPr>
              <w:t>Activity</w:t>
            </w:r>
          </w:p>
        </w:tc>
        <w:tc>
          <w:tcPr>
            <w:tcW w:w="2396" w:type="pct"/>
            <w:gridSpan w:val="4"/>
            <w:tcBorders>
              <w:top w:val="single" w:sz="4" w:space="0" w:color="548DD4" w:themeColor="text2" w:themeTint="99"/>
              <w:left w:val="single" w:sz="4" w:space="0" w:color="548DD4" w:themeColor="text2" w:themeTint="99"/>
              <w:right w:val="single" w:sz="4" w:space="0" w:color="548DD4" w:themeColor="text2" w:themeTint="99"/>
            </w:tcBorders>
            <w:shd w:val="clear" w:color="auto" w:fill="8DB3E2" w:themeFill="text2" w:themeFillTint="66"/>
            <w:noWrap/>
            <w:vAlign w:val="center"/>
            <w:hideMark/>
          </w:tcPr>
          <w:p w:rsidR="00F05EA5" w:rsidRDefault="00F05EA5" w:rsidP="00987AB1">
            <w:pPr>
              <w:rPr>
                <w:rFonts w:cs="Arial"/>
                <w:b/>
                <w:caps/>
                <w:sz w:val="20"/>
                <w:szCs w:val="20"/>
              </w:rPr>
            </w:pPr>
            <w:r>
              <w:rPr>
                <w:b/>
                <w:sz w:val="20"/>
                <w:szCs w:val="20"/>
              </w:rPr>
              <w:t>Estimated a</w:t>
            </w:r>
            <w:r w:rsidRPr="009B257F">
              <w:rPr>
                <w:b/>
                <w:sz w:val="20"/>
                <w:szCs w:val="20"/>
              </w:rPr>
              <w:t>ctivity volume</w:t>
            </w:r>
            <w:r>
              <w:rPr>
                <w:rStyle w:val="FootnoteReference"/>
                <w:b/>
                <w:sz w:val="20"/>
                <w:szCs w:val="20"/>
              </w:rPr>
              <w:footnoteReference w:id="29"/>
            </w:r>
          </w:p>
          <w:p w:rsidR="00F05EA5" w:rsidRPr="009B257F" w:rsidRDefault="00F05EA5" w:rsidP="003A6A0A">
            <w:pPr>
              <w:jc w:val="center"/>
              <w:rPr>
                <w:b/>
                <w:sz w:val="20"/>
                <w:szCs w:val="20"/>
              </w:rPr>
            </w:pPr>
            <w:r>
              <w:rPr>
                <w:b/>
                <w:sz w:val="20"/>
                <w:szCs w:val="20"/>
              </w:rPr>
              <w:t>2014-15</w:t>
            </w:r>
          </w:p>
        </w:tc>
      </w:tr>
      <w:tr w:rsidR="00F05EA5" w:rsidRPr="00817780" w:rsidTr="00F05EA5">
        <w:trPr>
          <w:trHeight w:val="300"/>
        </w:trPr>
        <w:tc>
          <w:tcPr>
            <w:tcW w:w="2604"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hideMark/>
          </w:tcPr>
          <w:p w:rsidR="00F05EA5" w:rsidRPr="00817780" w:rsidRDefault="00F05EA5" w:rsidP="00213171">
            <w:pPr>
              <w:rPr>
                <w:sz w:val="20"/>
                <w:szCs w:val="20"/>
              </w:rPr>
            </w:pPr>
            <w:r w:rsidRPr="00817780">
              <w:rPr>
                <w:sz w:val="20"/>
                <w:szCs w:val="20"/>
              </w:rPr>
              <w:t>Assessment on referral information</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noWrap/>
            <w:vAlign w:val="bottom"/>
            <w:hideMark/>
          </w:tcPr>
          <w:p w:rsidR="00F05EA5" w:rsidRPr="00817780" w:rsidRDefault="00F05EA5" w:rsidP="003A6A0A">
            <w:pPr>
              <w:jc w:val="center"/>
              <w:rPr>
                <w:sz w:val="20"/>
                <w:szCs w:val="20"/>
              </w:rPr>
            </w:pPr>
          </w:p>
        </w:tc>
      </w:tr>
      <w:tr w:rsidR="00F05EA5" w:rsidRPr="00817780" w:rsidTr="00F05EA5">
        <w:trPr>
          <w:trHeight w:val="300"/>
        </w:trPr>
        <w:tc>
          <w:tcPr>
            <w:tcW w:w="709"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 xml:space="preserve">Stage1    </w:t>
            </w:r>
          </w:p>
        </w:tc>
        <w:tc>
          <w:tcPr>
            <w:tcW w:w="1895" w:type="pct"/>
            <w:tcBorders>
              <w:top w:val="single" w:sz="4" w:space="0" w:color="548DD4" w:themeColor="text2" w:themeTint="99"/>
              <w:left w:val="nil"/>
              <w:bottom w:val="single" w:sz="4" w:space="0" w:color="548DD4" w:themeColor="text2" w:themeTint="99"/>
              <w:right w:val="nil"/>
            </w:tcBorders>
            <w:shd w:val="clear" w:color="auto" w:fill="auto"/>
            <w:vAlign w:val="center"/>
          </w:tcPr>
          <w:p w:rsidR="00F05EA5" w:rsidRPr="00817780" w:rsidRDefault="00F05EA5" w:rsidP="003A6A0A">
            <w:pPr>
              <w:rPr>
                <w:sz w:val="20"/>
                <w:szCs w:val="20"/>
              </w:rPr>
            </w:pPr>
            <w:r>
              <w:rPr>
                <w:sz w:val="20"/>
                <w:szCs w:val="20"/>
              </w:rPr>
              <w:t>Prepare and publish draft recommendation report</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F05EA5" w:rsidRPr="00817780" w:rsidRDefault="00F05EA5" w:rsidP="00EF30AB">
            <w:pPr>
              <w:jc w:val="center"/>
              <w:rPr>
                <w:sz w:val="20"/>
                <w:szCs w:val="20"/>
              </w:rPr>
            </w:pPr>
            <w:r w:rsidRPr="00817780">
              <w:rPr>
                <w:sz w:val="20"/>
                <w:szCs w:val="20"/>
              </w:rPr>
              <w:t>5</w:t>
            </w:r>
          </w:p>
        </w:tc>
      </w:tr>
      <w:tr w:rsidR="00F05EA5" w:rsidRPr="00817780" w:rsidTr="00F05EA5">
        <w:trPr>
          <w:trHeight w:val="300"/>
        </w:trPr>
        <w:tc>
          <w:tcPr>
            <w:tcW w:w="709"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Stage 2</w:t>
            </w:r>
          </w:p>
        </w:tc>
        <w:tc>
          <w:tcPr>
            <w:tcW w:w="1895" w:type="pct"/>
            <w:tcBorders>
              <w:top w:val="single" w:sz="4" w:space="0" w:color="548DD4" w:themeColor="text2" w:themeTint="99"/>
              <w:left w:val="nil"/>
              <w:bottom w:val="single" w:sz="4" w:space="0" w:color="548DD4" w:themeColor="text2" w:themeTint="99"/>
              <w:right w:val="nil"/>
            </w:tcBorders>
            <w:shd w:val="clear" w:color="auto" w:fill="auto"/>
            <w:vAlign w:val="center"/>
          </w:tcPr>
          <w:p w:rsidR="00F05EA5" w:rsidRPr="00817780" w:rsidRDefault="00F05EA5" w:rsidP="003A6A0A">
            <w:pPr>
              <w:rPr>
                <w:sz w:val="20"/>
                <w:szCs w:val="20"/>
              </w:rPr>
            </w:pPr>
            <w:r>
              <w:rPr>
                <w:sz w:val="20"/>
                <w:szCs w:val="20"/>
              </w:rPr>
              <w:t>Review comments and finalise recommendation report</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F05EA5" w:rsidRPr="00817780" w:rsidRDefault="00F05EA5" w:rsidP="003A6A0A">
            <w:pPr>
              <w:jc w:val="center"/>
              <w:rPr>
                <w:sz w:val="20"/>
                <w:szCs w:val="20"/>
              </w:rPr>
            </w:pPr>
            <w:r>
              <w:rPr>
                <w:sz w:val="20"/>
                <w:szCs w:val="20"/>
              </w:rPr>
              <w:t>5</w:t>
            </w:r>
          </w:p>
        </w:tc>
      </w:tr>
      <w:tr w:rsidR="00F05EA5" w:rsidRPr="00817780" w:rsidTr="00F05EA5">
        <w:trPr>
          <w:trHeight w:val="300"/>
        </w:trPr>
        <w:tc>
          <w:tcPr>
            <w:tcW w:w="709"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Stage 3</w:t>
            </w:r>
          </w:p>
        </w:tc>
        <w:tc>
          <w:tcPr>
            <w:tcW w:w="1895" w:type="pct"/>
            <w:tcBorders>
              <w:top w:val="single" w:sz="4" w:space="0" w:color="548DD4" w:themeColor="text2" w:themeTint="99"/>
              <w:left w:val="nil"/>
              <w:bottom w:val="single" w:sz="4" w:space="0" w:color="548DD4" w:themeColor="text2" w:themeTint="99"/>
              <w:right w:val="nil"/>
            </w:tcBorders>
            <w:shd w:val="clear" w:color="auto" w:fill="auto"/>
            <w:vAlign w:val="center"/>
          </w:tcPr>
          <w:p w:rsidR="00F05EA5" w:rsidRPr="00817780" w:rsidRDefault="00F05EA5" w:rsidP="003A6A0A">
            <w:pPr>
              <w:rPr>
                <w:sz w:val="20"/>
                <w:szCs w:val="20"/>
              </w:rPr>
            </w:pPr>
            <w:r>
              <w:rPr>
                <w:sz w:val="20"/>
                <w:szCs w:val="20"/>
              </w:rPr>
              <w:t>Seek comments on draft decision and prepare final decision brief</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F05EA5" w:rsidRPr="00817780" w:rsidRDefault="00F05EA5" w:rsidP="003A6A0A">
            <w:pPr>
              <w:jc w:val="center"/>
              <w:rPr>
                <w:sz w:val="20"/>
                <w:szCs w:val="20"/>
              </w:rPr>
            </w:pPr>
            <w:r>
              <w:rPr>
                <w:sz w:val="20"/>
                <w:szCs w:val="20"/>
              </w:rPr>
              <w:t>3</w:t>
            </w:r>
          </w:p>
        </w:tc>
      </w:tr>
      <w:tr w:rsidR="000D2087" w:rsidRPr="00817780" w:rsidTr="004C25E6">
        <w:trPr>
          <w:trHeight w:val="300"/>
        </w:trPr>
        <w:tc>
          <w:tcPr>
            <w:tcW w:w="2604"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 xml:space="preserve">Preliminary documentation </w:t>
            </w: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jc w:val="center"/>
              <w:rPr>
                <w:sz w:val="20"/>
                <w:szCs w:val="20"/>
              </w:rPr>
            </w:pPr>
          </w:p>
        </w:tc>
      </w:tr>
      <w:tr w:rsidR="00F05EA5" w:rsidRPr="00817780" w:rsidTr="00F05EA5">
        <w:trPr>
          <w:trHeight w:val="325"/>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additional information request</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51</w:t>
            </w:r>
          </w:p>
        </w:tc>
      </w:tr>
      <w:tr w:rsidR="00F05EA5" w:rsidRPr="00817780" w:rsidTr="00F05EA5">
        <w:trPr>
          <w:trHeight w:val="506"/>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preliminary documentation and preparation of direction to publish</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46</w:t>
            </w:r>
          </w:p>
        </w:tc>
      </w:tr>
      <w:tr w:rsidR="00F05EA5" w:rsidRPr="00817780" w:rsidTr="00F05EA5">
        <w:trPr>
          <w:trHeight w:val="316"/>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comments and supplementary information</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18</w:t>
            </w:r>
          </w:p>
        </w:tc>
      </w:tr>
      <w:tr w:rsidR="00F05EA5" w:rsidRPr="00817780" w:rsidTr="00F05EA5">
        <w:trPr>
          <w:trHeight w:val="519"/>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recommendation report,  draft and final decision</w:t>
            </w:r>
          </w:p>
        </w:tc>
        <w:tc>
          <w:tcPr>
            <w:tcW w:w="239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18</w:t>
            </w:r>
          </w:p>
        </w:tc>
      </w:tr>
      <w:tr w:rsidR="000D2087" w:rsidRPr="00817780" w:rsidTr="004C25E6">
        <w:trPr>
          <w:trHeight w:val="300"/>
        </w:trPr>
        <w:tc>
          <w:tcPr>
            <w:tcW w:w="2604"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Public environmental report</w:t>
            </w: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jc w:val="center"/>
              <w:rPr>
                <w:sz w:val="20"/>
                <w:szCs w:val="20"/>
              </w:rPr>
            </w:pPr>
          </w:p>
        </w:tc>
      </w:tr>
      <w:tr w:rsidR="00F05EA5" w:rsidRPr="00817780" w:rsidTr="00F05EA5">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guidelines</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6</w:t>
            </w:r>
          </w:p>
        </w:tc>
      </w:tr>
      <w:tr w:rsidR="00F05EA5" w:rsidRPr="00817780" w:rsidTr="00F05EA5">
        <w:trPr>
          <w:trHeight w:val="507"/>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draft public environmental report and preparation of direction to publish</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6</w:t>
            </w:r>
          </w:p>
        </w:tc>
      </w:tr>
      <w:tr w:rsidR="00F05EA5" w:rsidRPr="00817780" w:rsidTr="00F05EA5">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final public environmental report</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0</w:t>
            </w:r>
          </w:p>
        </w:tc>
      </w:tr>
      <w:tr w:rsidR="00F05EA5" w:rsidRPr="00817780" w:rsidTr="00F05EA5">
        <w:trPr>
          <w:trHeight w:val="532"/>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924" w:type="pct"/>
            <w:gridSpan w:val="2"/>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w:t>
            </w:r>
            <w:r>
              <w:rPr>
                <w:sz w:val="20"/>
                <w:szCs w:val="20"/>
              </w:rPr>
              <w:t xml:space="preserve">tion of recommendation report, </w:t>
            </w:r>
            <w:r w:rsidRPr="00817780">
              <w:rPr>
                <w:sz w:val="20"/>
                <w:szCs w:val="20"/>
              </w:rPr>
              <w:t>draft and final decision</w:t>
            </w:r>
          </w:p>
        </w:tc>
        <w:tc>
          <w:tcPr>
            <w:tcW w:w="2396" w:type="pct"/>
            <w:gridSpan w:val="4"/>
            <w:tcBorders>
              <w:top w:val="single" w:sz="4" w:space="0" w:color="548DD4" w:themeColor="text2" w:themeTint="99"/>
              <w:left w:val="nil"/>
              <w:bottom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0</w:t>
            </w:r>
          </w:p>
        </w:tc>
      </w:tr>
    </w:tbl>
    <w:p w:rsidR="004C25E6" w:rsidRDefault="004C25E6"/>
    <w:tbl>
      <w:tblPr>
        <w:tblW w:w="4112" w:type="pct"/>
        <w:tblInd w:w="-3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tblPr>
      <w:tblGrid>
        <w:gridCol w:w="1086"/>
        <w:gridCol w:w="3026"/>
        <w:gridCol w:w="1198"/>
        <w:gridCol w:w="1149"/>
        <w:gridCol w:w="1294"/>
        <w:gridCol w:w="236"/>
      </w:tblGrid>
      <w:tr w:rsidR="00F05EA5" w:rsidRPr="009B257F" w:rsidTr="000A6F7A">
        <w:trPr>
          <w:cantSplit/>
          <w:trHeight w:val="965"/>
          <w:tblHeader/>
        </w:trPr>
        <w:tc>
          <w:tcPr>
            <w:tcW w:w="2574"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F05EA5" w:rsidRPr="009B257F" w:rsidRDefault="00F05EA5" w:rsidP="00F05EA5">
            <w:pPr>
              <w:jc w:val="center"/>
              <w:rPr>
                <w:b/>
                <w:sz w:val="20"/>
                <w:szCs w:val="20"/>
              </w:rPr>
            </w:pPr>
            <w:r>
              <w:lastRenderedPageBreak/>
              <w:br w:type="page"/>
            </w:r>
            <w:r w:rsidRPr="009B257F">
              <w:rPr>
                <w:b/>
                <w:sz w:val="20"/>
                <w:szCs w:val="20"/>
              </w:rPr>
              <w:t>Activity</w:t>
            </w:r>
          </w:p>
        </w:tc>
        <w:tc>
          <w:tcPr>
            <w:tcW w:w="2426"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noWrap/>
            <w:vAlign w:val="center"/>
            <w:hideMark/>
          </w:tcPr>
          <w:p w:rsidR="00F05EA5" w:rsidRDefault="00F05EA5" w:rsidP="00F05EA5">
            <w:pPr>
              <w:rPr>
                <w:rFonts w:cs="Arial"/>
                <w:b/>
                <w:caps/>
                <w:sz w:val="20"/>
                <w:szCs w:val="20"/>
              </w:rPr>
            </w:pPr>
            <w:r>
              <w:rPr>
                <w:b/>
                <w:sz w:val="20"/>
                <w:szCs w:val="20"/>
              </w:rPr>
              <w:t>Estimated a</w:t>
            </w:r>
            <w:r w:rsidRPr="009B257F">
              <w:rPr>
                <w:b/>
                <w:sz w:val="20"/>
                <w:szCs w:val="20"/>
              </w:rPr>
              <w:t>ctivity volume</w:t>
            </w:r>
            <w:r>
              <w:rPr>
                <w:rStyle w:val="FootnoteReference"/>
                <w:b/>
                <w:sz w:val="20"/>
                <w:szCs w:val="20"/>
              </w:rPr>
              <w:footnoteReference w:id="30"/>
            </w:r>
          </w:p>
          <w:p w:rsidR="00F05EA5" w:rsidRPr="009B257F" w:rsidRDefault="00F05EA5" w:rsidP="00F05EA5">
            <w:pPr>
              <w:jc w:val="center"/>
              <w:rPr>
                <w:b/>
                <w:sz w:val="20"/>
                <w:szCs w:val="20"/>
              </w:rPr>
            </w:pPr>
            <w:r>
              <w:rPr>
                <w:b/>
                <w:sz w:val="20"/>
                <w:szCs w:val="20"/>
              </w:rPr>
              <w:t>2014-15</w:t>
            </w:r>
          </w:p>
        </w:tc>
      </w:tr>
      <w:tr w:rsidR="000D2087" w:rsidRPr="00817780" w:rsidTr="000A6F7A">
        <w:trPr>
          <w:trHeight w:val="300"/>
        </w:trPr>
        <w:tc>
          <w:tcPr>
            <w:tcW w:w="2574"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Environmental impact statement</w:t>
            </w:r>
          </w:p>
        </w:tc>
        <w:tc>
          <w:tcPr>
            <w:tcW w:w="75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jc w:val="cente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jc w:val="center"/>
              <w:rPr>
                <w:sz w:val="20"/>
                <w:szCs w:val="20"/>
              </w:rPr>
            </w:pPr>
          </w:p>
        </w:tc>
      </w:tr>
      <w:tr w:rsidR="00F05EA5" w:rsidRPr="00817780" w:rsidTr="000A6F7A">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Pr>
                <w:sz w:val="20"/>
                <w:szCs w:val="20"/>
              </w:rPr>
              <w:t xml:space="preserve">Preparation of </w:t>
            </w:r>
            <w:r w:rsidRPr="00817780">
              <w:rPr>
                <w:sz w:val="20"/>
                <w:szCs w:val="20"/>
              </w:rPr>
              <w:t>guidelines</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15</w:t>
            </w:r>
          </w:p>
        </w:tc>
      </w:tr>
      <w:tr w:rsidR="00F05EA5" w:rsidRPr="00817780" w:rsidTr="000A6F7A">
        <w:trPr>
          <w:cantSplit/>
          <w:trHeight w:val="507"/>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draft environmental impact statement and preparation of direction to publish</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Pr>
                <w:sz w:val="20"/>
                <w:szCs w:val="20"/>
              </w:rPr>
              <w:t>11</w:t>
            </w:r>
          </w:p>
        </w:tc>
      </w:tr>
      <w:tr w:rsidR="00F05EA5" w:rsidRPr="00817780" w:rsidTr="000A6F7A">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of final environmental impact statement</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0</w:t>
            </w:r>
          </w:p>
        </w:tc>
      </w:tr>
      <w:tr w:rsidR="00F05EA5" w:rsidRPr="00817780" w:rsidTr="000A6F7A">
        <w:trPr>
          <w:trHeight w:val="532"/>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Preparation of recommendation report,  draft and final decision</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0</w:t>
            </w:r>
          </w:p>
        </w:tc>
      </w:tr>
      <w:tr w:rsidR="000D2087" w:rsidRPr="00817780" w:rsidTr="000A6F7A">
        <w:trPr>
          <w:trHeight w:val="300"/>
        </w:trPr>
        <w:tc>
          <w:tcPr>
            <w:tcW w:w="2574"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r w:rsidRPr="00817780">
              <w:rPr>
                <w:sz w:val="20"/>
                <w:szCs w:val="20"/>
              </w:rPr>
              <w:t>Bilateral agreement / Accredited assessment</w:t>
            </w:r>
          </w:p>
        </w:tc>
        <w:tc>
          <w:tcPr>
            <w:tcW w:w="75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p>
        </w:tc>
        <w:tc>
          <w:tcPr>
            <w:tcW w:w="719"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p>
        </w:tc>
        <w:tc>
          <w:tcPr>
            <w:tcW w:w="810"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noWrap/>
            <w:vAlign w:val="bottom"/>
            <w:hideMark/>
          </w:tcPr>
          <w:p w:rsidR="000D2087" w:rsidRPr="00817780" w:rsidRDefault="000D2087" w:rsidP="003A6A0A">
            <w:pPr>
              <w:rPr>
                <w:sz w:val="20"/>
                <w:szCs w:val="20"/>
              </w:rPr>
            </w:pPr>
          </w:p>
        </w:tc>
        <w:tc>
          <w:tcPr>
            <w:tcW w:w="14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0D2087" w:rsidRPr="00817780" w:rsidRDefault="000D2087" w:rsidP="003A6A0A">
            <w:pPr>
              <w:rPr>
                <w:sz w:val="20"/>
                <w:szCs w:val="20"/>
              </w:rPr>
            </w:pPr>
          </w:p>
        </w:tc>
      </w:tr>
      <w:tr w:rsidR="00F05EA5" w:rsidRPr="00817780" w:rsidTr="000A6F7A">
        <w:trPr>
          <w:trHeight w:val="300"/>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1</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Input into guidelines</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28</w:t>
            </w:r>
          </w:p>
        </w:tc>
      </w:tr>
      <w:tr w:rsidR="00F05EA5" w:rsidRPr="00817780" w:rsidTr="000A6F7A">
        <w:trPr>
          <w:trHeight w:val="492"/>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2</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 xml:space="preserve">Review and provide comment on </w:t>
            </w:r>
            <w:r>
              <w:rPr>
                <w:sz w:val="20"/>
                <w:szCs w:val="20"/>
              </w:rPr>
              <w:t>applicant</w:t>
            </w:r>
            <w:r w:rsidRPr="00817780">
              <w:rPr>
                <w:sz w:val="20"/>
                <w:szCs w:val="20"/>
              </w:rPr>
              <w:t xml:space="preserve">'s draft assessment documentation </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0</w:t>
            </w:r>
          </w:p>
        </w:tc>
      </w:tr>
      <w:tr w:rsidR="00F05EA5" w:rsidRPr="00817780" w:rsidTr="000A6F7A">
        <w:trPr>
          <w:trHeight w:val="414"/>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3</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 xml:space="preserve">Review and provide comment on </w:t>
            </w:r>
            <w:r>
              <w:rPr>
                <w:sz w:val="20"/>
                <w:szCs w:val="20"/>
              </w:rPr>
              <w:t>applicant</w:t>
            </w:r>
            <w:r w:rsidRPr="00817780">
              <w:rPr>
                <w:sz w:val="20"/>
                <w:szCs w:val="20"/>
              </w:rPr>
              <w:t xml:space="preserve">'s final assessment documentation </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817780" w:rsidRDefault="00F05EA5" w:rsidP="003A6A0A">
            <w:pPr>
              <w:jc w:val="center"/>
              <w:rPr>
                <w:sz w:val="20"/>
                <w:szCs w:val="20"/>
              </w:rPr>
            </w:pPr>
            <w:r w:rsidRPr="00817780">
              <w:rPr>
                <w:sz w:val="20"/>
                <w:szCs w:val="20"/>
              </w:rPr>
              <w:t>0</w:t>
            </w:r>
          </w:p>
        </w:tc>
      </w:tr>
      <w:tr w:rsidR="00F05EA5" w:rsidRPr="00D75C9C" w:rsidTr="000A6F7A">
        <w:trPr>
          <w:trHeight w:val="337"/>
        </w:trPr>
        <w:tc>
          <w:tcPr>
            <w:tcW w:w="68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F05EA5" w:rsidRPr="00817780" w:rsidRDefault="00F05EA5" w:rsidP="003A6A0A">
            <w:pPr>
              <w:jc w:val="center"/>
              <w:rPr>
                <w:sz w:val="20"/>
                <w:szCs w:val="20"/>
              </w:rPr>
            </w:pPr>
            <w:r w:rsidRPr="00817780">
              <w:rPr>
                <w:sz w:val="20"/>
                <w:szCs w:val="20"/>
              </w:rPr>
              <w:t>Stage 4</w:t>
            </w:r>
          </w:p>
        </w:tc>
        <w:tc>
          <w:tcPr>
            <w:tcW w:w="1894" w:type="pct"/>
            <w:tcBorders>
              <w:top w:val="single" w:sz="4" w:space="0" w:color="548DD4" w:themeColor="text2" w:themeTint="99"/>
              <w:left w:val="nil"/>
              <w:bottom w:val="single" w:sz="4" w:space="0" w:color="548DD4" w:themeColor="text2" w:themeTint="99"/>
              <w:right w:val="nil"/>
            </w:tcBorders>
            <w:shd w:val="clear" w:color="auto" w:fill="auto"/>
            <w:vAlign w:val="center"/>
            <w:hideMark/>
          </w:tcPr>
          <w:p w:rsidR="00F05EA5" w:rsidRPr="00817780" w:rsidRDefault="00F05EA5" w:rsidP="003A6A0A">
            <w:pPr>
              <w:rPr>
                <w:sz w:val="20"/>
                <w:szCs w:val="20"/>
              </w:rPr>
            </w:pPr>
            <w:r w:rsidRPr="00817780">
              <w:rPr>
                <w:sz w:val="20"/>
                <w:szCs w:val="20"/>
              </w:rPr>
              <w:t>Review state or territory’s assessment report and preparation of draft and final decision</w:t>
            </w:r>
          </w:p>
        </w:tc>
        <w:tc>
          <w:tcPr>
            <w:tcW w:w="2426"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F05EA5" w:rsidRPr="00D75C9C" w:rsidRDefault="00F05EA5" w:rsidP="003A6A0A">
            <w:pPr>
              <w:jc w:val="center"/>
              <w:rPr>
                <w:sz w:val="20"/>
                <w:szCs w:val="20"/>
              </w:rPr>
            </w:pPr>
            <w:r w:rsidRPr="00817780">
              <w:rPr>
                <w:sz w:val="20"/>
                <w:szCs w:val="20"/>
              </w:rPr>
              <w:t>0</w:t>
            </w:r>
          </w:p>
        </w:tc>
      </w:tr>
    </w:tbl>
    <w:p w:rsidR="00CF02E4" w:rsidRDefault="00CF02E4" w:rsidP="00CF02E4">
      <w:pPr>
        <w:spacing w:after="0" w:line="240" w:lineRule="auto"/>
        <w:rPr>
          <w:rFonts w:asciiTheme="minorHAnsi" w:eastAsia="Times New Roman" w:hAnsiTheme="minorHAnsi" w:cstheme="minorHAnsi"/>
          <w:b/>
          <w:bCs/>
          <w:color w:val="4F81BD" w:themeColor="accent1"/>
          <w:sz w:val="20"/>
          <w:szCs w:val="20"/>
        </w:rPr>
      </w:pPr>
      <w:bookmarkStart w:id="467" w:name="_Ref346283103"/>
      <w:bookmarkStart w:id="468" w:name="_Toc387069816"/>
      <w:bookmarkStart w:id="469" w:name="_Toc387073278"/>
      <w:bookmarkStart w:id="470" w:name="_Toc344895164"/>
      <w:bookmarkStart w:id="471" w:name="_Ref344903542"/>
      <w:bookmarkStart w:id="472" w:name="_Ref344987350"/>
      <w:bookmarkStart w:id="473" w:name="_Ref344987360"/>
      <w:bookmarkStart w:id="474" w:name="_Toc346285340"/>
      <w:bookmarkEnd w:id="421"/>
      <w:bookmarkEnd w:id="422"/>
    </w:p>
    <w:p w:rsidR="00992CBB" w:rsidRDefault="00992CBB" w:rsidP="00992CBB">
      <w:pPr>
        <w:pStyle w:val="Caption"/>
        <w:keepNext/>
      </w:pPr>
      <w:bookmarkStart w:id="475" w:name="_Ref390255070"/>
      <w:bookmarkStart w:id="476" w:name="_Toc391541661"/>
      <w:proofErr w:type="gramStart"/>
      <w:r w:rsidRPr="00381185">
        <w:t xml:space="preserve">Table </w:t>
      </w:r>
      <w:r w:rsidR="00D30427">
        <w:fldChar w:fldCharType="begin"/>
      </w:r>
      <w:r w:rsidR="00B06D9E">
        <w:instrText xml:space="preserve"> SEQ Table \* ARABIC \s 1 </w:instrText>
      </w:r>
      <w:r w:rsidR="00D30427">
        <w:fldChar w:fldCharType="separate"/>
      </w:r>
      <w:r w:rsidR="001D521C">
        <w:rPr>
          <w:noProof/>
        </w:rPr>
        <w:t>17</w:t>
      </w:r>
      <w:r w:rsidR="00D30427">
        <w:fldChar w:fldCharType="end"/>
      </w:r>
      <w:bookmarkEnd w:id="467"/>
      <w:bookmarkEnd w:id="475"/>
      <w:r w:rsidR="00381185">
        <w:t>.</w:t>
      </w:r>
      <w:proofErr w:type="gramEnd"/>
      <w:r>
        <w:t xml:space="preserve"> Post approval action management plans</w:t>
      </w:r>
      <w:r w:rsidRPr="00567312">
        <w:t xml:space="preserve"> </w:t>
      </w:r>
      <w:r w:rsidR="00987AB1">
        <w:t>–</w:t>
      </w:r>
      <w:r w:rsidRPr="00567312">
        <w:t xml:space="preserve"> </w:t>
      </w:r>
      <w:r w:rsidR="00987AB1">
        <w:t xml:space="preserve">estimated </w:t>
      </w:r>
      <w:r w:rsidRPr="00567312">
        <w:t>activity volume</w:t>
      </w:r>
      <w:r w:rsidR="00381185">
        <w:t>.</w:t>
      </w:r>
      <w:bookmarkEnd w:id="468"/>
      <w:bookmarkEnd w:id="469"/>
      <w:bookmarkEnd w:id="476"/>
    </w:p>
    <w:tbl>
      <w:tblPr>
        <w:tblW w:w="4086" w:type="pct"/>
        <w:tblInd w:w="-31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4A0"/>
      </w:tblPr>
      <w:tblGrid>
        <w:gridCol w:w="4112"/>
        <w:gridCol w:w="3826"/>
      </w:tblGrid>
      <w:tr w:rsidR="00BD0C0A" w:rsidRPr="009B257F" w:rsidTr="000A6F7A">
        <w:trPr>
          <w:cantSplit/>
          <w:trHeight w:val="227"/>
          <w:tblHeader/>
        </w:trPr>
        <w:tc>
          <w:tcPr>
            <w:tcW w:w="2590" w:type="pct"/>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BD0C0A" w:rsidRPr="009B257F" w:rsidRDefault="00BD0C0A" w:rsidP="003A6A0A">
            <w:pPr>
              <w:jc w:val="center"/>
              <w:rPr>
                <w:b/>
                <w:sz w:val="20"/>
                <w:szCs w:val="20"/>
              </w:rPr>
            </w:pPr>
            <w:r w:rsidRPr="009B257F">
              <w:rPr>
                <w:b/>
                <w:sz w:val="20"/>
                <w:szCs w:val="20"/>
              </w:rPr>
              <w:t>Activity</w:t>
            </w:r>
          </w:p>
        </w:tc>
        <w:tc>
          <w:tcPr>
            <w:tcW w:w="2410" w:type="pct"/>
            <w:tcBorders>
              <w:top w:val="single" w:sz="4" w:space="0" w:color="548DD4" w:themeColor="text2" w:themeTint="99"/>
              <w:left w:val="single" w:sz="4" w:space="0" w:color="548DD4" w:themeColor="text2" w:themeTint="99"/>
              <w:bottom w:val="nil"/>
              <w:right w:val="single" w:sz="4" w:space="0" w:color="548DD4" w:themeColor="text2" w:themeTint="99"/>
            </w:tcBorders>
            <w:shd w:val="clear" w:color="auto" w:fill="8DB3E2" w:themeFill="text2" w:themeFillTint="66"/>
            <w:noWrap/>
            <w:vAlign w:val="center"/>
            <w:hideMark/>
          </w:tcPr>
          <w:p w:rsidR="00BD0C0A" w:rsidRPr="009B257F" w:rsidRDefault="00987AB1" w:rsidP="00F05EA5">
            <w:pPr>
              <w:jc w:val="center"/>
              <w:rPr>
                <w:b/>
                <w:sz w:val="20"/>
                <w:szCs w:val="20"/>
              </w:rPr>
            </w:pPr>
            <w:r>
              <w:rPr>
                <w:b/>
                <w:sz w:val="20"/>
                <w:szCs w:val="20"/>
              </w:rPr>
              <w:t>Estimated a</w:t>
            </w:r>
            <w:r w:rsidR="00BD0C0A" w:rsidRPr="009B257F">
              <w:rPr>
                <w:b/>
                <w:sz w:val="20"/>
                <w:szCs w:val="20"/>
              </w:rPr>
              <w:t>ctivity volume</w:t>
            </w:r>
            <w:r w:rsidR="000B43A4">
              <w:rPr>
                <w:rStyle w:val="FootnoteReference"/>
                <w:b/>
                <w:sz w:val="20"/>
                <w:szCs w:val="20"/>
              </w:rPr>
              <w:footnoteReference w:id="31"/>
            </w:r>
          </w:p>
        </w:tc>
      </w:tr>
      <w:tr w:rsidR="00BD0C0A" w:rsidRPr="009B257F" w:rsidTr="000A6F7A">
        <w:trPr>
          <w:cantSplit/>
          <w:trHeight w:val="227"/>
          <w:tblHeader/>
        </w:trPr>
        <w:tc>
          <w:tcPr>
            <w:tcW w:w="2590" w:type="pct"/>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BD0C0A" w:rsidRPr="009B257F" w:rsidRDefault="00BD0C0A" w:rsidP="003A6A0A">
            <w:pPr>
              <w:jc w:val="center"/>
              <w:rPr>
                <w:b/>
                <w:sz w:val="20"/>
                <w:szCs w:val="20"/>
              </w:rPr>
            </w:pPr>
          </w:p>
        </w:tc>
        <w:tc>
          <w:tcPr>
            <w:tcW w:w="2410" w:type="pct"/>
            <w:tcBorders>
              <w:top w:val="nil"/>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noWrap/>
            <w:vAlign w:val="center"/>
            <w:hideMark/>
          </w:tcPr>
          <w:p w:rsidR="00BD0C0A" w:rsidRDefault="00987AB1" w:rsidP="00F05EA5">
            <w:pPr>
              <w:spacing w:before="200"/>
              <w:jc w:val="center"/>
              <w:rPr>
                <w:rFonts w:cs="Arial"/>
                <w:b/>
                <w:sz w:val="20"/>
                <w:szCs w:val="20"/>
              </w:rPr>
            </w:pPr>
            <w:r w:rsidRPr="009B257F">
              <w:rPr>
                <w:b/>
                <w:sz w:val="20"/>
                <w:szCs w:val="20"/>
              </w:rPr>
              <w:t>201</w:t>
            </w:r>
            <w:r>
              <w:rPr>
                <w:b/>
                <w:sz w:val="20"/>
                <w:szCs w:val="20"/>
              </w:rPr>
              <w:t>4</w:t>
            </w:r>
            <w:r w:rsidRPr="009B257F">
              <w:rPr>
                <w:b/>
                <w:sz w:val="20"/>
                <w:szCs w:val="20"/>
              </w:rPr>
              <w:t>-1</w:t>
            </w:r>
            <w:r>
              <w:rPr>
                <w:b/>
                <w:sz w:val="20"/>
                <w:szCs w:val="20"/>
              </w:rPr>
              <w:t>5</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 xml:space="preserve">Assessment on referral information </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93205B" w:rsidP="003A6A0A">
            <w:pPr>
              <w:jc w:val="center"/>
              <w:rPr>
                <w:sz w:val="20"/>
                <w:szCs w:val="20"/>
              </w:rPr>
            </w:pPr>
            <w:r w:rsidRPr="00BD0C0A">
              <w:rPr>
                <w:sz w:val="20"/>
                <w:szCs w:val="20"/>
              </w:rPr>
              <w:t>3</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 xml:space="preserve">Preliminary documentation </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93205B" w:rsidP="003A6A0A">
            <w:pPr>
              <w:jc w:val="center"/>
              <w:rPr>
                <w:sz w:val="20"/>
                <w:szCs w:val="20"/>
              </w:rPr>
            </w:pPr>
            <w:r w:rsidRPr="00BD0C0A">
              <w:rPr>
                <w:sz w:val="20"/>
                <w:szCs w:val="20"/>
              </w:rPr>
              <w:t>8</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Public environmental report</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93205B" w:rsidP="003A6A0A">
            <w:pPr>
              <w:jc w:val="center"/>
              <w:rPr>
                <w:sz w:val="20"/>
                <w:szCs w:val="20"/>
              </w:rPr>
            </w:pPr>
            <w:r>
              <w:rPr>
                <w:sz w:val="20"/>
                <w:szCs w:val="20"/>
              </w:rPr>
              <w:t>0</w:t>
            </w:r>
          </w:p>
        </w:tc>
      </w:tr>
      <w:tr w:rsidR="0093205B" w:rsidRPr="00BD0C0A" w:rsidTr="000A6F7A">
        <w:trPr>
          <w:trHeight w:val="30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 xml:space="preserve">Environmental impact statement </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BD0C0A" w:rsidRDefault="0093205B" w:rsidP="003A6A0A">
            <w:pPr>
              <w:jc w:val="center"/>
              <w:rPr>
                <w:sz w:val="20"/>
                <w:szCs w:val="20"/>
              </w:rPr>
            </w:pPr>
            <w:r w:rsidRPr="00BD0C0A">
              <w:rPr>
                <w:sz w:val="20"/>
                <w:szCs w:val="20"/>
              </w:rPr>
              <w:t>0</w:t>
            </w:r>
          </w:p>
        </w:tc>
      </w:tr>
      <w:tr w:rsidR="0093205B" w:rsidRPr="00B73D29" w:rsidTr="000A6F7A">
        <w:trPr>
          <w:trHeight w:val="330"/>
        </w:trPr>
        <w:tc>
          <w:tcPr>
            <w:tcW w:w="2590"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93205B" w:rsidRPr="00BD0C0A" w:rsidRDefault="0093205B" w:rsidP="003A6A0A">
            <w:pPr>
              <w:rPr>
                <w:sz w:val="20"/>
                <w:szCs w:val="20"/>
              </w:rPr>
            </w:pPr>
            <w:r w:rsidRPr="00BD0C0A">
              <w:rPr>
                <w:sz w:val="20"/>
                <w:szCs w:val="20"/>
              </w:rPr>
              <w:t>Bilateral agreement / Accredited assessment</w:t>
            </w:r>
          </w:p>
        </w:tc>
        <w:tc>
          <w:tcPr>
            <w:tcW w:w="241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93205B" w:rsidRPr="00572863" w:rsidRDefault="0093205B" w:rsidP="003A6A0A">
            <w:pPr>
              <w:jc w:val="center"/>
              <w:rPr>
                <w:sz w:val="20"/>
                <w:szCs w:val="20"/>
              </w:rPr>
            </w:pPr>
            <w:r w:rsidRPr="00BD0C0A">
              <w:rPr>
                <w:sz w:val="20"/>
                <w:szCs w:val="20"/>
              </w:rPr>
              <w:t>0</w:t>
            </w:r>
          </w:p>
        </w:tc>
      </w:tr>
    </w:tbl>
    <w:p w:rsidR="0093205B" w:rsidRDefault="0093205B">
      <w:pPr>
        <w:spacing w:after="0" w:line="240" w:lineRule="auto"/>
        <w:rPr>
          <w:rFonts w:asciiTheme="minorHAnsi" w:eastAsia="Times New Roman" w:hAnsiTheme="minorHAnsi" w:cstheme="minorHAnsi"/>
          <w:b/>
          <w:bCs/>
          <w:color w:val="4F81BD" w:themeColor="accent1"/>
          <w:sz w:val="20"/>
          <w:szCs w:val="20"/>
        </w:rPr>
      </w:pPr>
      <w:bookmarkStart w:id="477" w:name="_Ref387068567"/>
      <w:bookmarkStart w:id="478" w:name="_Toc387069817"/>
      <w:bookmarkStart w:id="479" w:name="_Toc387073279"/>
    </w:p>
    <w:p w:rsidR="00E5152C" w:rsidRDefault="00E5152C">
      <w:pPr>
        <w:spacing w:after="0" w:line="240" w:lineRule="auto"/>
        <w:rPr>
          <w:rFonts w:asciiTheme="minorHAnsi" w:eastAsia="Times New Roman" w:hAnsiTheme="minorHAnsi" w:cstheme="minorHAnsi"/>
          <w:b/>
          <w:bCs/>
          <w:color w:val="4F81BD" w:themeColor="accent1"/>
          <w:sz w:val="20"/>
          <w:szCs w:val="20"/>
        </w:rPr>
      </w:pPr>
    </w:p>
    <w:p w:rsidR="00652D85" w:rsidRDefault="00652D85" w:rsidP="00652D85">
      <w:pPr>
        <w:pStyle w:val="Caption"/>
        <w:keepNext/>
      </w:pPr>
      <w:bookmarkStart w:id="480" w:name="_Ref388454682"/>
      <w:bookmarkStart w:id="481" w:name="_Toc391541662"/>
      <w:proofErr w:type="gramStart"/>
      <w:r w:rsidRPr="00381185">
        <w:t xml:space="preserve">Table </w:t>
      </w:r>
      <w:r w:rsidR="00D30427">
        <w:fldChar w:fldCharType="begin"/>
      </w:r>
      <w:r>
        <w:instrText xml:space="preserve"> SEQ Table \* ARABIC \s 1 </w:instrText>
      </w:r>
      <w:r w:rsidR="00D30427">
        <w:fldChar w:fldCharType="separate"/>
      </w:r>
      <w:r w:rsidR="001D521C">
        <w:rPr>
          <w:noProof/>
        </w:rPr>
        <w:t>18</w:t>
      </w:r>
      <w:r w:rsidR="00D30427">
        <w:fldChar w:fldCharType="end"/>
      </w:r>
      <w:bookmarkEnd w:id="477"/>
      <w:bookmarkEnd w:id="480"/>
      <w:r>
        <w:t>.</w:t>
      </w:r>
      <w:proofErr w:type="gramEnd"/>
      <w:r>
        <w:t xml:space="preserve"> </w:t>
      </w:r>
      <w:proofErr w:type="gramStart"/>
      <w:r>
        <w:t>Contingent fees</w:t>
      </w:r>
      <w:r w:rsidRPr="00567312">
        <w:t xml:space="preserve"> </w:t>
      </w:r>
      <w:r w:rsidR="00987AB1">
        <w:t>–</w:t>
      </w:r>
      <w:r w:rsidRPr="00567312">
        <w:t xml:space="preserve"> </w:t>
      </w:r>
      <w:r w:rsidR="00987AB1">
        <w:t xml:space="preserve">estimated </w:t>
      </w:r>
      <w:r w:rsidRPr="00567312">
        <w:t>activity volume</w:t>
      </w:r>
      <w:r>
        <w:t>.</w:t>
      </w:r>
      <w:bookmarkEnd w:id="478"/>
      <w:bookmarkEnd w:id="479"/>
      <w:bookmarkEnd w:id="481"/>
      <w:proofErr w:type="gramEnd"/>
    </w:p>
    <w:tbl>
      <w:tblPr>
        <w:tblW w:w="4506"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ayout w:type="fixed"/>
        <w:tblLook w:val="04A0"/>
      </w:tblPr>
      <w:tblGrid>
        <w:gridCol w:w="4219"/>
        <w:gridCol w:w="4535"/>
      </w:tblGrid>
      <w:tr w:rsidR="00652D85" w:rsidRPr="009B257F" w:rsidTr="0093205B">
        <w:trPr>
          <w:cantSplit/>
          <w:trHeight w:val="300"/>
          <w:tblHeader/>
        </w:trPr>
        <w:tc>
          <w:tcPr>
            <w:tcW w:w="2410" w:type="pct"/>
            <w:vMerge w:val="restart"/>
            <w:tcBorders>
              <w:right w:val="single" w:sz="4" w:space="0" w:color="548DD4" w:themeColor="text2" w:themeTint="99"/>
            </w:tcBorders>
            <w:shd w:val="clear" w:color="auto" w:fill="8DB3E2" w:themeFill="text2" w:themeFillTint="66"/>
            <w:vAlign w:val="center"/>
            <w:hideMark/>
          </w:tcPr>
          <w:p w:rsidR="00652D85" w:rsidRPr="009B257F" w:rsidRDefault="00652D85" w:rsidP="00E5692F">
            <w:pPr>
              <w:jc w:val="center"/>
              <w:rPr>
                <w:b/>
                <w:sz w:val="20"/>
                <w:szCs w:val="20"/>
              </w:rPr>
            </w:pPr>
            <w:r w:rsidRPr="009B257F">
              <w:rPr>
                <w:b/>
                <w:sz w:val="20"/>
                <w:szCs w:val="20"/>
              </w:rPr>
              <w:t>Activity</w:t>
            </w:r>
          </w:p>
        </w:tc>
        <w:tc>
          <w:tcPr>
            <w:tcW w:w="2590" w:type="pct"/>
            <w:tcBorders>
              <w:left w:val="single" w:sz="4" w:space="0" w:color="548DD4" w:themeColor="text2" w:themeTint="99"/>
              <w:bottom w:val="nil"/>
            </w:tcBorders>
            <w:shd w:val="clear" w:color="auto" w:fill="8DB3E2" w:themeFill="text2" w:themeFillTint="66"/>
            <w:noWrap/>
            <w:vAlign w:val="center"/>
            <w:hideMark/>
          </w:tcPr>
          <w:p w:rsidR="00652D85" w:rsidRPr="009B257F" w:rsidRDefault="00987AB1" w:rsidP="0093205B">
            <w:pPr>
              <w:jc w:val="center"/>
              <w:rPr>
                <w:b/>
                <w:sz w:val="20"/>
                <w:szCs w:val="20"/>
              </w:rPr>
            </w:pPr>
            <w:r>
              <w:rPr>
                <w:b/>
                <w:sz w:val="20"/>
                <w:szCs w:val="20"/>
              </w:rPr>
              <w:t>Estimated a</w:t>
            </w:r>
            <w:r w:rsidRPr="009B257F">
              <w:rPr>
                <w:b/>
                <w:sz w:val="20"/>
                <w:szCs w:val="20"/>
              </w:rPr>
              <w:t xml:space="preserve">ctivity </w:t>
            </w:r>
            <w:r w:rsidR="00652D85" w:rsidRPr="009B257F">
              <w:rPr>
                <w:b/>
                <w:sz w:val="20"/>
                <w:szCs w:val="20"/>
              </w:rPr>
              <w:t>volume</w:t>
            </w:r>
            <w:r w:rsidR="000B43A4">
              <w:rPr>
                <w:rStyle w:val="FootnoteReference"/>
                <w:b/>
                <w:sz w:val="20"/>
                <w:szCs w:val="20"/>
              </w:rPr>
              <w:footnoteReference w:id="32"/>
            </w:r>
          </w:p>
        </w:tc>
      </w:tr>
      <w:tr w:rsidR="00652D85" w:rsidRPr="009B257F" w:rsidTr="0093205B">
        <w:trPr>
          <w:trHeight w:val="300"/>
          <w:tblHeader/>
        </w:trPr>
        <w:tc>
          <w:tcPr>
            <w:tcW w:w="2410" w:type="pct"/>
            <w:vMerge/>
            <w:tcBorders>
              <w:right w:val="single" w:sz="4" w:space="0" w:color="548DD4" w:themeColor="text2" w:themeTint="99"/>
            </w:tcBorders>
            <w:shd w:val="clear" w:color="auto" w:fill="8DB3E2" w:themeFill="text2" w:themeFillTint="66"/>
            <w:vAlign w:val="center"/>
            <w:hideMark/>
          </w:tcPr>
          <w:p w:rsidR="00652D85" w:rsidRPr="009B257F" w:rsidRDefault="00652D85" w:rsidP="00E5692F">
            <w:pPr>
              <w:jc w:val="center"/>
              <w:rPr>
                <w:b/>
                <w:sz w:val="20"/>
                <w:szCs w:val="20"/>
              </w:rPr>
            </w:pPr>
          </w:p>
        </w:tc>
        <w:tc>
          <w:tcPr>
            <w:tcW w:w="2590" w:type="pct"/>
            <w:tcBorders>
              <w:top w:val="nil"/>
              <w:left w:val="single" w:sz="4" w:space="0" w:color="548DD4" w:themeColor="text2" w:themeTint="99"/>
            </w:tcBorders>
            <w:shd w:val="clear" w:color="auto" w:fill="8DB3E2" w:themeFill="text2" w:themeFillTint="66"/>
            <w:noWrap/>
            <w:vAlign w:val="center"/>
            <w:hideMark/>
          </w:tcPr>
          <w:p w:rsidR="00652D85" w:rsidRDefault="00987AB1" w:rsidP="0093205B">
            <w:pPr>
              <w:spacing w:before="200"/>
              <w:jc w:val="center"/>
              <w:rPr>
                <w:rFonts w:cs="Arial"/>
                <w:b/>
                <w:sz w:val="20"/>
                <w:szCs w:val="20"/>
              </w:rPr>
            </w:pPr>
            <w:r w:rsidRPr="009B257F">
              <w:rPr>
                <w:b/>
                <w:sz w:val="20"/>
                <w:szCs w:val="20"/>
              </w:rPr>
              <w:t>201</w:t>
            </w:r>
            <w:r>
              <w:rPr>
                <w:b/>
                <w:sz w:val="20"/>
                <w:szCs w:val="20"/>
              </w:rPr>
              <w:t>4</w:t>
            </w:r>
            <w:r w:rsidRPr="009B257F">
              <w:rPr>
                <w:b/>
                <w:sz w:val="20"/>
                <w:szCs w:val="20"/>
              </w:rPr>
              <w:t>-1</w:t>
            </w:r>
            <w:r>
              <w:rPr>
                <w:b/>
                <w:sz w:val="20"/>
                <w:szCs w:val="20"/>
              </w:rPr>
              <w:t>5</w:t>
            </w:r>
          </w:p>
        </w:tc>
      </w:tr>
      <w:tr w:rsidR="0093205B" w:rsidRPr="00BD0C0A" w:rsidTr="0093205B">
        <w:trPr>
          <w:trHeight w:val="30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Request additional information</w:t>
            </w:r>
          </w:p>
        </w:tc>
        <w:tc>
          <w:tcPr>
            <w:tcW w:w="2590" w:type="pct"/>
            <w:shd w:val="clear" w:color="auto" w:fill="auto"/>
            <w:noWrap/>
            <w:vAlign w:val="bottom"/>
            <w:hideMark/>
          </w:tcPr>
          <w:p w:rsidR="0093205B" w:rsidRPr="00BD0C0A" w:rsidRDefault="0093205B" w:rsidP="00E5692F">
            <w:pPr>
              <w:jc w:val="center"/>
              <w:rPr>
                <w:sz w:val="20"/>
                <w:szCs w:val="20"/>
              </w:rPr>
            </w:pPr>
            <w:r>
              <w:rPr>
                <w:sz w:val="20"/>
                <w:szCs w:val="20"/>
              </w:rPr>
              <w:t>146</w:t>
            </w:r>
          </w:p>
        </w:tc>
      </w:tr>
      <w:tr w:rsidR="0093205B" w:rsidRPr="00BD0C0A" w:rsidTr="0093205B">
        <w:trPr>
          <w:trHeight w:val="300"/>
          <w:tblHeader/>
        </w:trPr>
        <w:tc>
          <w:tcPr>
            <w:tcW w:w="2410" w:type="pct"/>
            <w:shd w:val="clear" w:color="auto" w:fill="auto"/>
            <w:vAlign w:val="bottom"/>
            <w:hideMark/>
          </w:tcPr>
          <w:p w:rsidR="0093205B" w:rsidRPr="00B04AF0" w:rsidRDefault="0093205B" w:rsidP="002E0B96">
            <w:pPr>
              <w:rPr>
                <w:rFonts w:cs="Arial"/>
                <w:color w:val="000000"/>
                <w:sz w:val="20"/>
                <w:szCs w:val="20"/>
              </w:rPr>
            </w:pPr>
            <w:r w:rsidRPr="00B04AF0">
              <w:rPr>
                <w:rFonts w:cs="Arial"/>
                <w:color w:val="000000"/>
                <w:sz w:val="20"/>
                <w:szCs w:val="20"/>
              </w:rPr>
              <w:t>Request additional information (environmental impact statement/public environment report)</w:t>
            </w:r>
          </w:p>
        </w:tc>
        <w:tc>
          <w:tcPr>
            <w:tcW w:w="2590" w:type="pct"/>
            <w:shd w:val="clear" w:color="auto" w:fill="auto"/>
            <w:noWrap/>
            <w:vAlign w:val="bottom"/>
            <w:hideMark/>
          </w:tcPr>
          <w:p w:rsidR="0093205B" w:rsidRPr="00BD0C0A" w:rsidRDefault="0093205B" w:rsidP="00E5692F">
            <w:pPr>
              <w:jc w:val="center"/>
              <w:rPr>
                <w:sz w:val="20"/>
                <w:szCs w:val="20"/>
              </w:rPr>
            </w:pPr>
            <w:r>
              <w:rPr>
                <w:sz w:val="20"/>
                <w:szCs w:val="20"/>
              </w:rPr>
              <w:t>0</w:t>
            </w:r>
          </w:p>
        </w:tc>
      </w:tr>
      <w:tr w:rsidR="0093205B" w:rsidRPr="00BD0C0A" w:rsidTr="0093205B">
        <w:trPr>
          <w:trHeight w:val="30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Reconsideration request (from the applicant of the action)</w:t>
            </w:r>
          </w:p>
        </w:tc>
        <w:tc>
          <w:tcPr>
            <w:tcW w:w="2590" w:type="pct"/>
            <w:shd w:val="clear" w:color="auto" w:fill="auto"/>
            <w:noWrap/>
            <w:vAlign w:val="bottom"/>
            <w:hideMark/>
          </w:tcPr>
          <w:p w:rsidR="0093205B" w:rsidRPr="00BD0C0A" w:rsidRDefault="0093205B" w:rsidP="00E5692F">
            <w:pPr>
              <w:jc w:val="center"/>
              <w:rPr>
                <w:sz w:val="20"/>
                <w:szCs w:val="20"/>
              </w:rPr>
            </w:pPr>
            <w:r>
              <w:rPr>
                <w:sz w:val="20"/>
                <w:szCs w:val="20"/>
              </w:rPr>
              <w:t>11</w:t>
            </w:r>
          </w:p>
        </w:tc>
      </w:tr>
      <w:tr w:rsidR="0093205B" w:rsidRPr="00BD0C0A" w:rsidTr="0093205B">
        <w:trPr>
          <w:trHeight w:val="30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Variation of conditions</w:t>
            </w:r>
          </w:p>
        </w:tc>
        <w:tc>
          <w:tcPr>
            <w:tcW w:w="2590" w:type="pct"/>
            <w:shd w:val="clear" w:color="auto" w:fill="auto"/>
            <w:noWrap/>
            <w:vAlign w:val="bottom"/>
            <w:hideMark/>
          </w:tcPr>
          <w:p w:rsidR="0093205B" w:rsidRPr="00BD0C0A" w:rsidRDefault="0093205B" w:rsidP="00E5692F">
            <w:pPr>
              <w:jc w:val="center"/>
              <w:rPr>
                <w:sz w:val="20"/>
                <w:szCs w:val="20"/>
              </w:rPr>
            </w:pPr>
            <w:r>
              <w:rPr>
                <w:sz w:val="20"/>
                <w:szCs w:val="20"/>
              </w:rPr>
              <w:t>19</w:t>
            </w:r>
          </w:p>
        </w:tc>
      </w:tr>
      <w:tr w:rsidR="0093205B" w:rsidRPr="00B73D29" w:rsidTr="0093205B">
        <w:trPr>
          <w:trHeight w:val="33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Variation of a post approval action management plan under conditions of approval</w:t>
            </w:r>
          </w:p>
        </w:tc>
        <w:tc>
          <w:tcPr>
            <w:tcW w:w="2590" w:type="pct"/>
            <w:shd w:val="clear" w:color="auto" w:fill="auto"/>
            <w:noWrap/>
            <w:vAlign w:val="bottom"/>
            <w:hideMark/>
          </w:tcPr>
          <w:p w:rsidR="0093205B" w:rsidRPr="00572863" w:rsidRDefault="0093205B" w:rsidP="00E5692F">
            <w:pPr>
              <w:jc w:val="center"/>
              <w:rPr>
                <w:sz w:val="20"/>
                <w:szCs w:val="20"/>
              </w:rPr>
            </w:pPr>
            <w:r w:rsidRPr="00BD0C0A">
              <w:rPr>
                <w:sz w:val="20"/>
                <w:szCs w:val="20"/>
              </w:rPr>
              <w:t>0</w:t>
            </w:r>
          </w:p>
        </w:tc>
      </w:tr>
      <w:tr w:rsidR="0093205B" w:rsidRPr="00B73D29" w:rsidTr="0093205B">
        <w:trPr>
          <w:trHeight w:val="330"/>
          <w:tblHeader/>
        </w:trPr>
        <w:tc>
          <w:tcPr>
            <w:tcW w:w="2410" w:type="pct"/>
            <w:shd w:val="clear" w:color="auto" w:fill="auto"/>
            <w:vAlign w:val="bottom"/>
            <w:hideMark/>
          </w:tcPr>
          <w:p w:rsidR="0093205B" w:rsidRPr="00B04AF0" w:rsidRDefault="0093205B">
            <w:pPr>
              <w:rPr>
                <w:rFonts w:cs="Arial"/>
                <w:color w:val="000000"/>
                <w:sz w:val="20"/>
                <w:szCs w:val="20"/>
              </w:rPr>
            </w:pPr>
            <w:r w:rsidRPr="00B04AF0">
              <w:rPr>
                <w:rFonts w:cs="Arial"/>
                <w:color w:val="000000"/>
                <w:sz w:val="20"/>
                <w:szCs w:val="20"/>
              </w:rPr>
              <w:t>Administrative variation of a post approval action management plan under conditions of approval</w:t>
            </w:r>
          </w:p>
        </w:tc>
        <w:tc>
          <w:tcPr>
            <w:tcW w:w="2590" w:type="pct"/>
            <w:shd w:val="clear" w:color="auto" w:fill="auto"/>
            <w:noWrap/>
            <w:vAlign w:val="bottom"/>
            <w:hideMark/>
          </w:tcPr>
          <w:p w:rsidR="0093205B" w:rsidRPr="00572863" w:rsidRDefault="0093205B" w:rsidP="00E5692F">
            <w:pPr>
              <w:jc w:val="center"/>
              <w:rPr>
                <w:sz w:val="20"/>
                <w:szCs w:val="20"/>
              </w:rPr>
            </w:pPr>
            <w:r>
              <w:rPr>
                <w:sz w:val="20"/>
                <w:szCs w:val="20"/>
              </w:rPr>
              <w:t>0</w:t>
            </w:r>
          </w:p>
        </w:tc>
      </w:tr>
    </w:tbl>
    <w:p w:rsidR="00652D85" w:rsidRPr="00652D85" w:rsidRDefault="00652D85" w:rsidP="00652D85"/>
    <w:p w:rsidR="00B651CA" w:rsidRDefault="00B651CA" w:rsidP="000718C7">
      <w:pPr>
        <w:pStyle w:val="Heading3"/>
      </w:pPr>
      <w:bookmarkStart w:id="482" w:name="_Toc387064820"/>
      <w:bookmarkStart w:id="483" w:name="_Toc387065032"/>
      <w:bookmarkStart w:id="484" w:name="_Toc387065238"/>
      <w:bookmarkStart w:id="485" w:name="_Toc387065449"/>
      <w:bookmarkStart w:id="486" w:name="_Toc387065655"/>
      <w:bookmarkStart w:id="487" w:name="_Toc387065860"/>
      <w:bookmarkStart w:id="488" w:name="_Toc387066063"/>
      <w:bookmarkStart w:id="489" w:name="_Toc387066252"/>
      <w:bookmarkStart w:id="490" w:name="_Toc387069488"/>
      <w:bookmarkStart w:id="491" w:name="_Toc387069675"/>
      <w:bookmarkStart w:id="492" w:name="_Toc387069884"/>
      <w:bookmarkStart w:id="493" w:name="_Toc387070083"/>
      <w:bookmarkStart w:id="494" w:name="_Toc387072348"/>
      <w:bookmarkStart w:id="495" w:name="_Toc387072559"/>
      <w:bookmarkStart w:id="496" w:name="_Toc387392587"/>
      <w:bookmarkStart w:id="497" w:name="_Toc387064821"/>
      <w:bookmarkStart w:id="498" w:name="_Toc387065033"/>
      <w:bookmarkStart w:id="499" w:name="_Toc387065239"/>
      <w:bookmarkStart w:id="500" w:name="_Toc387065450"/>
      <w:bookmarkStart w:id="501" w:name="_Toc387065656"/>
      <w:bookmarkStart w:id="502" w:name="_Toc387065861"/>
      <w:bookmarkStart w:id="503" w:name="_Toc387066064"/>
      <w:bookmarkStart w:id="504" w:name="_Toc387066253"/>
      <w:bookmarkStart w:id="505" w:name="_Toc387069489"/>
      <w:bookmarkStart w:id="506" w:name="_Toc387069676"/>
      <w:bookmarkStart w:id="507" w:name="_Toc387069885"/>
      <w:bookmarkStart w:id="508" w:name="_Toc387070084"/>
      <w:bookmarkStart w:id="509" w:name="_Toc387072349"/>
      <w:bookmarkStart w:id="510" w:name="_Toc387072560"/>
      <w:bookmarkStart w:id="511" w:name="_Toc387392588"/>
      <w:bookmarkStart w:id="512" w:name="_Toc344895165"/>
      <w:bookmarkStart w:id="513" w:name="_Toc346285341"/>
      <w:bookmarkStart w:id="514" w:name="_Ref387054414"/>
      <w:bookmarkStart w:id="515" w:name="_Ref387250129"/>
      <w:bookmarkStart w:id="516" w:name="_Toc391541594"/>
      <w:bookmarkEnd w:id="470"/>
      <w:bookmarkEnd w:id="471"/>
      <w:bookmarkEnd w:id="472"/>
      <w:bookmarkEnd w:id="473"/>
      <w:bookmarkEnd w:id="474"/>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FC12C4">
        <w:t>Exemptions</w:t>
      </w:r>
      <w:bookmarkEnd w:id="512"/>
      <w:bookmarkEnd w:id="513"/>
      <w:r w:rsidR="004356CD">
        <w:t xml:space="preserve"> (environmental impact assessments)</w:t>
      </w:r>
      <w:bookmarkEnd w:id="514"/>
      <w:bookmarkEnd w:id="515"/>
      <w:bookmarkEnd w:id="516"/>
    </w:p>
    <w:p w:rsidR="0077743B" w:rsidRPr="000209BC" w:rsidRDefault="00AE411E" w:rsidP="00B651CA">
      <w:r w:rsidRPr="00FC12C4">
        <w:t xml:space="preserve">There are limited occasions where a proposed action referred under the EPBC Act will be exempt from the payment of fees. </w:t>
      </w:r>
      <w:r w:rsidR="00972F88">
        <w:t xml:space="preserve">The Australian Government will fund costs for environmental impact assessments where the applicant is exempt from cost recovery so other applicants will not cross subsidise these assessments. </w:t>
      </w:r>
      <w:r w:rsidR="0022133E" w:rsidRPr="00FC12C4">
        <w:t xml:space="preserve">The </w:t>
      </w:r>
      <w:r w:rsidR="004356CD">
        <w:t>Australian G</w:t>
      </w:r>
      <w:r w:rsidR="0022133E" w:rsidRPr="000209BC">
        <w:t xml:space="preserve">overnment has determined that it is appropriate to exempt </w:t>
      </w:r>
      <w:r w:rsidR="00A73FC0">
        <w:t xml:space="preserve">individuals and </w:t>
      </w:r>
      <w:r w:rsidR="0022133E" w:rsidRPr="000209BC">
        <w:t>small businesses from environmental impact assessments fees under the EPBC Act</w:t>
      </w:r>
      <w:r w:rsidR="0077743B" w:rsidRPr="000209BC">
        <w:t>, for the following reasons:</w:t>
      </w:r>
    </w:p>
    <w:p w:rsidR="005071D5" w:rsidRPr="000209BC" w:rsidRDefault="00936E24" w:rsidP="008F17D2">
      <w:pPr>
        <w:pStyle w:val="ListBullet"/>
      </w:pPr>
      <w:r w:rsidRPr="000209BC">
        <w:t xml:space="preserve">Small businesses </w:t>
      </w:r>
      <w:r w:rsidR="0077743B" w:rsidRPr="000209BC">
        <w:t>have a lower revenue base</w:t>
      </w:r>
      <w:r w:rsidR="00685FA1" w:rsidRPr="000209BC">
        <w:t xml:space="preserve"> than large companies</w:t>
      </w:r>
      <w:r w:rsidR="0077743B" w:rsidRPr="000209BC">
        <w:t>, which means they will be disproportionately impacted by cost recovery fees</w:t>
      </w:r>
      <w:r w:rsidR="005071D5" w:rsidRPr="000209BC">
        <w:t xml:space="preserve">. </w:t>
      </w:r>
    </w:p>
    <w:p w:rsidR="00AE411E" w:rsidRPr="000209BC" w:rsidRDefault="005071D5" w:rsidP="008F17D2">
      <w:pPr>
        <w:pStyle w:val="ListBullet"/>
      </w:pPr>
      <w:r w:rsidRPr="000209BC">
        <w:t xml:space="preserve">Cost recovery fees may provide a </w:t>
      </w:r>
      <w:r w:rsidR="006265E0">
        <w:t xml:space="preserve">disproportionate </w:t>
      </w:r>
      <w:r w:rsidRPr="000209BC">
        <w:t xml:space="preserve">disincentive for small businesses </w:t>
      </w:r>
      <w:r w:rsidR="00A73FC0">
        <w:t xml:space="preserve">and individuals </w:t>
      </w:r>
      <w:r w:rsidRPr="000209BC">
        <w:t xml:space="preserve">to refer their </w:t>
      </w:r>
      <w:r w:rsidR="0064623E" w:rsidRPr="000209BC">
        <w:t>pro</w:t>
      </w:r>
      <w:r w:rsidR="0064623E">
        <w:t>ject</w:t>
      </w:r>
      <w:r w:rsidR="0064623E" w:rsidRPr="000209BC">
        <w:t xml:space="preserve"> </w:t>
      </w:r>
      <w:r w:rsidRPr="000209BC">
        <w:t>to the Department.</w:t>
      </w:r>
    </w:p>
    <w:p w:rsidR="005071D5" w:rsidRPr="000209BC" w:rsidRDefault="005071D5" w:rsidP="008F17D2">
      <w:pPr>
        <w:pStyle w:val="ListBullet"/>
      </w:pPr>
      <w:r w:rsidRPr="000209BC">
        <w:t xml:space="preserve">The cost to the </w:t>
      </w:r>
      <w:r w:rsidR="00306C3F" w:rsidRPr="000209BC">
        <w:t>government</w:t>
      </w:r>
      <w:r w:rsidRPr="000209BC">
        <w:t xml:space="preserve"> of increasing compliance </w:t>
      </w:r>
      <w:r w:rsidR="00685FA1" w:rsidRPr="000209BC">
        <w:t xml:space="preserve">to investigate non-referred projects would be greater than the cost to the </w:t>
      </w:r>
      <w:r w:rsidR="00306C3F" w:rsidRPr="000209BC">
        <w:t xml:space="preserve">government </w:t>
      </w:r>
      <w:r w:rsidR="00685FA1" w:rsidRPr="000209BC">
        <w:t>of granting exemptions to small businesses</w:t>
      </w:r>
      <w:r w:rsidR="00A73FC0">
        <w:t xml:space="preserve"> and individuals</w:t>
      </w:r>
      <w:r w:rsidR="00685FA1" w:rsidRPr="000209BC">
        <w:t>.</w:t>
      </w:r>
    </w:p>
    <w:p w:rsidR="00B651CA" w:rsidRDefault="00B651CA" w:rsidP="00B651CA">
      <w:r w:rsidRPr="00FC12C4">
        <w:t>The definition of a small business is as specified in subdivision 328</w:t>
      </w:r>
      <w:r w:rsidR="000E6EA2">
        <w:t>-</w:t>
      </w:r>
      <w:r w:rsidRPr="00FC12C4">
        <w:t xml:space="preserve">C of </w:t>
      </w:r>
      <w:r w:rsidRPr="00F732F6">
        <w:t>the</w:t>
      </w:r>
      <w:r w:rsidRPr="00207605">
        <w:rPr>
          <w:i/>
        </w:rPr>
        <w:t xml:space="preserve"> Income Tax Assessment Act 1997</w:t>
      </w:r>
      <w:r w:rsidR="000E6EA2">
        <w:rPr>
          <w:i/>
        </w:rPr>
        <w:t xml:space="preserve"> </w:t>
      </w:r>
      <w:r w:rsidR="00CA3ABF" w:rsidRPr="00CA3ABF">
        <w:t>(</w:t>
      </w:r>
      <w:proofErr w:type="spellStart"/>
      <w:r w:rsidR="00CA3ABF" w:rsidRPr="00CA3ABF">
        <w:t>Cth</w:t>
      </w:r>
      <w:proofErr w:type="spellEnd"/>
      <w:r w:rsidR="00CA3ABF" w:rsidRPr="00CA3ABF">
        <w:t>)</w:t>
      </w:r>
      <w:r w:rsidRPr="00FC12C4">
        <w:t xml:space="preserve">. </w:t>
      </w:r>
    </w:p>
    <w:p w:rsidR="0041244F" w:rsidRDefault="0041244F"/>
    <w:p w:rsidR="000B573E" w:rsidRDefault="00972F88">
      <w:r>
        <w:lastRenderedPageBreak/>
        <w:t>As of June 2014</w:t>
      </w:r>
      <w:r w:rsidR="00B651CA" w:rsidRPr="00FC12C4">
        <w:t>, the definition under subdivision 328</w:t>
      </w:r>
      <w:r w:rsidR="00B651CA">
        <w:t>-C</w:t>
      </w:r>
      <w:r w:rsidR="00B651CA" w:rsidRPr="00FC12C4">
        <w:t xml:space="preserve"> of the</w:t>
      </w:r>
      <w:r w:rsidR="0089779F">
        <w:t xml:space="preserve"> Income Tax Assessment Act</w:t>
      </w:r>
      <w:r w:rsidR="00B651CA" w:rsidRPr="00FC12C4">
        <w:t xml:space="preserve"> was</w:t>
      </w:r>
      <w:r w:rsidR="00DB1E64">
        <w:t xml:space="preserve"> </w:t>
      </w:r>
      <w:r w:rsidR="00B651CA">
        <w:t>a</w:t>
      </w:r>
      <w:r w:rsidR="00B651CA" w:rsidRPr="00FC12C4">
        <w:t>n individual (such as a sole trader), partnership, tr</w:t>
      </w:r>
      <w:r w:rsidR="00AE411E">
        <w:t>ust or company with</w:t>
      </w:r>
      <w:r>
        <w:t>:</w:t>
      </w:r>
    </w:p>
    <w:p w:rsidR="00B651CA" w:rsidRDefault="00F22D62">
      <w:pPr>
        <w:pStyle w:val="ListBullet"/>
      </w:pPr>
      <w:r>
        <w:t>A</w:t>
      </w:r>
      <w:r w:rsidR="00AE411E">
        <w:t xml:space="preserve">ggregated </w:t>
      </w:r>
      <w:r w:rsidR="00B651CA" w:rsidRPr="00FC12C4">
        <w:t>turnover for the previous income year less than $2 million</w:t>
      </w:r>
      <w:r w:rsidR="008F17D2">
        <w:t>,</w:t>
      </w:r>
      <w:r w:rsidR="00B651CA" w:rsidRPr="00FC12C4">
        <w:t xml:space="preserve"> or </w:t>
      </w:r>
    </w:p>
    <w:p w:rsidR="00B651CA" w:rsidRDefault="00F22D62" w:rsidP="008F17D2">
      <w:pPr>
        <w:pStyle w:val="ListBullet"/>
      </w:pPr>
      <w:r>
        <w:t>E</w:t>
      </w:r>
      <w:r w:rsidR="00B651CA" w:rsidRPr="00FC12C4">
        <w:t>stimated aggregated turnover for the current year of less than $2</w:t>
      </w:r>
      <w:r w:rsidR="00B651CA">
        <w:t xml:space="preserve"> </w:t>
      </w:r>
      <w:r w:rsidR="00B651CA" w:rsidRPr="00FC12C4">
        <w:t>m</w:t>
      </w:r>
      <w:r w:rsidR="00B651CA">
        <w:t>illion</w:t>
      </w:r>
      <w:r w:rsidR="00B651CA" w:rsidRPr="00FC12C4">
        <w:t xml:space="preserve"> (if turnover for one of the previous two years was less tha</w:t>
      </w:r>
      <w:r w:rsidR="00B651CA">
        <w:t>n</w:t>
      </w:r>
      <w:r w:rsidR="00B651CA" w:rsidRPr="00FC12C4">
        <w:t xml:space="preserve"> $2 million).</w:t>
      </w:r>
    </w:p>
    <w:p w:rsidR="00B651CA" w:rsidRDefault="00B651CA" w:rsidP="00B651CA">
      <w:r w:rsidRPr="00FC12C4">
        <w:t xml:space="preserve">This definition may be updated from time to time in line with amendments to the </w:t>
      </w:r>
      <w:r w:rsidR="0089779F">
        <w:t>Income Tax Assessment Act</w:t>
      </w:r>
      <w:r w:rsidRPr="00FC12C4">
        <w:t>.</w:t>
      </w:r>
      <w:r w:rsidR="00016D08">
        <w:t xml:space="preserve"> </w:t>
      </w:r>
      <w:r w:rsidR="00A7739E">
        <w:t>T</w:t>
      </w:r>
      <w:r w:rsidR="000C2282">
        <w:t xml:space="preserve">he </w:t>
      </w:r>
      <w:r w:rsidRPr="00FC12C4">
        <w:t xml:space="preserve">following conditions </w:t>
      </w:r>
      <w:r>
        <w:t>will</w:t>
      </w:r>
      <w:r w:rsidRPr="00FC12C4">
        <w:t xml:space="preserve"> apply to exemptions for </w:t>
      </w:r>
      <w:r>
        <w:t>environmental impact assessments</w:t>
      </w:r>
      <w:r w:rsidRPr="00FC12C4">
        <w:t>:</w:t>
      </w:r>
    </w:p>
    <w:p w:rsidR="00BD1085" w:rsidRPr="000209BC" w:rsidRDefault="00B651CA" w:rsidP="008F17D2">
      <w:pPr>
        <w:pStyle w:val="ListBullet"/>
      </w:pPr>
      <w:r w:rsidRPr="00FC12C4">
        <w:t xml:space="preserve">Applicants claiming a small business exemption </w:t>
      </w:r>
      <w:r w:rsidR="0090340C">
        <w:t>are</w:t>
      </w:r>
      <w:r w:rsidRPr="00FC12C4">
        <w:t xml:space="preserve"> required </w:t>
      </w:r>
      <w:r>
        <w:t xml:space="preserve">to </w:t>
      </w:r>
      <w:r w:rsidRPr="00FC12C4">
        <w:t xml:space="preserve">sign a declaration on their </w:t>
      </w:r>
      <w:r>
        <w:t>referral</w:t>
      </w:r>
      <w:r w:rsidRPr="00FC12C4">
        <w:t xml:space="preserve"> form that they are a small business or </w:t>
      </w:r>
      <w:r>
        <w:t xml:space="preserve">an </w:t>
      </w:r>
      <w:r w:rsidR="00DA111A">
        <w:t>individual. The D</w:t>
      </w:r>
      <w:r w:rsidRPr="00FC12C4">
        <w:t xml:space="preserve">epartment </w:t>
      </w:r>
      <w:r w:rsidR="003740C9">
        <w:t>may</w:t>
      </w:r>
      <w:r w:rsidR="003740C9" w:rsidRPr="00FC12C4">
        <w:t xml:space="preserve"> </w:t>
      </w:r>
      <w:r w:rsidRPr="00FC12C4">
        <w:t>require proof from a</w:t>
      </w:r>
      <w:r w:rsidR="0090340C">
        <w:t>n</w:t>
      </w:r>
      <w:r w:rsidRPr="00FC12C4">
        <w:t xml:space="preserve"> </w:t>
      </w:r>
      <w:r w:rsidR="00B64DB5">
        <w:t>applicant</w:t>
      </w:r>
      <w:r w:rsidRPr="00FC12C4">
        <w:t xml:space="preserve"> in the form of a tax return </w:t>
      </w:r>
      <w:r>
        <w:t>for</w:t>
      </w:r>
      <w:r w:rsidRPr="00FC12C4">
        <w:t xml:space="preserve"> operation as a small business </w:t>
      </w:r>
      <w:r>
        <w:t xml:space="preserve">for </w:t>
      </w:r>
      <w:r w:rsidRPr="00FC12C4">
        <w:t xml:space="preserve">the </w:t>
      </w:r>
      <w:r w:rsidRPr="000209BC">
        <w:t xml:space="preserve">previous two financial years. </w:t>
      </w:r>
    </w:p>
    <w:p w:rsidR="00BD1085" w:rsidRPr="000209BC" w:rsidRDefault="00BD1085" w:rsidP="008F17D2">
      <w:pPr>
        <w:pStyle w:val="ListBullet"/>
      </w:pPr>
      <w:r w:rsidRPr="000209BC">
        <w:t xml:space="preserve">The small business or individual referring the action must also be the </w:t>
      </w:r>
      <w:r w:rsidR="00306C3F" w:rsidRPr="000209BC">
        <w:t>person proposing to take the action</w:t>
      </w:r>
      <w:r w:rsidRPr="000209BC">
        <w:t>. That is, they are not referring on another organisation</w:t>
      </w:r>
      <w:r w:rsidR="00D43FA5">
        <w:t>’</w:t>
      </w:r>
      <w:r w:rsidRPr="000209BC">
        <w:t>s behalf.</w:t>
      </w:r>
    </w:p>
    <w:p w:rsidR="000B573E" w:rsidRDefault="00B651CA">
      <w:pPr>
        <w:pStyle w:val="ListBullet"/>
      </w:pPr>
      <w:r w:rsidRPr="00FC12C4">
        <w:t>Where a transfer of an action occurs</w:t>
      </w:r>
      <w:r>
        <w:t xml:space="preserve"> (either during assessment and/or after the issuing of an approval) from an exempt entity to a non-exempt entity</w:t>
      </w:r>
      <w:r w:rsidRPr="00FC12C4">
        <w:t xml:space="preserve">, the transferee may be required to pay the full fee of the assessment before the </w:t>
      </w:r>
      <w:r w:rsidR="00A7739E">
        <w:t>Minister consents to the transfer</w:t>
      </w:r>
      <w:r w:rsidRPr="00FC12C4">
        <w:t xml:space="preserve">. </w:t>
      </w:r>
      <w:r>
        <w:t xml:space="preserve"> </w:t>
      </w:r>
    </w:p>
    <w:p w:rsidR="000B573E" w:rsidRDefault="00B651CA">
      <w:pPr>
        <w:pStyle w:val="ListBullet"/>
      </w:pPr>
      <w:r w:rsidRPr="00FC12C4">
        <w:t xml:space="preserve">If a person obtains a fee exemption, </w:t>
      </w:r>
      <w:r>
        <w:t xml:space="preserve">however </w:t>
      </w:r>
      <w:r w:rsidR="00D13EDC">
        <w:t>is later</w:t>
      </w:r>
      <w:r w:rsidRPr="00FC12C4">
        <w:t xml:space="preserve"> found not to qualify for the exemption, the </w:t>
      </w:r>
      <w:r>
        <w:t xml:space="preserve">full </w:t>
      </w:r>
      <w:r w:rsidRPr="00FC12C4">
        <w:t xml:space="preserve">fee </w:t>
      </w:r>
      <w:r w:rsidR="0090340C">
        <w:t>is</w:t>
      </w:r>
      <w:r w:rsidR="0090340C" w:rsidRPr="00FC12C4">
        <w:t xml:space="preserve"> </w:t>
      </w:r>
      <w:r w:rsidRPr="00FC12C4">
        <w:t xml:space="preserve">recoverable as a debt due to the Commonwealth. </w:t>
      </w:r>
      <w:r>
        <w:t xml:space="preserve">If assessment or approval </w:t>
      </w:r>
      <w:r w:rsidR="00D13EDC">
        <w:t xml:space="preserve">is </w:t>
      </w:r>
      <w:r>
        <w:t xml:space="preserve">underway, the approval decision or work on the assessment </w:t>
      </w:r>
      <w:r w:rsidR="00D13EDC">
        <w:t xml:space="preserve">will </w:t>
      </w:r>
      <w:r>
        <w:t xml:space="preserve">be suspended </w:t>
      </w:r>
      <w:r w:rsidRPr="00FC12C4">
        <w:t xml:space="preserve">until relevant fees </w:t>
      </w:r>
      <w:r w:rsidR="00D13EDC">
        <w:t>are</w:t>
      </w:r>
      <w:r w:rsidR="00D13EDC" w:rsidRPr="00FC12C4">
        <w:t xml:space="preserve"> </w:t>
      </w:r>
      <w:r w:rsidRPr="00FC12C4">
        <w:t>paid.</w:t>
      </w:r>
    </w:p>
    <w:p w:rsidR="000B573E" w:rsidRDefault="00B651CA">
      <w:pPr>
        <w:pStyle w:val="ListBullet"/>
      </w:pPr>
      <w:r w:rsidRPr="00FC12C4">
        <w:t xml:space="preserve">Commonwealth offence provisions apply to persons found to provide false or misleading information to the Commonwealth. </w:t>
      </w:r>
    </w:p>
    <w:p w:rsidR="00B651CA" w:rsidRDefault="00B651CA" w:rsidP="005C1AAF">
      <w:pPr>
        <w:pStyle w:val="Heading3"/>
      </w:pPr>
      <w:bookmarkStart w:id="517" w:name="_Toc387064823"/>
      <w:bookmarkStart w:id="518" w:name="_Toc387065035"/>
      <w:bookmarkStart w:id="519" w:name="_Toc387065241"/>
      <w:bookmarkStart w:id="520" w:name="_Toc387065452"/>
      <w:bookmarkStart w:id="521" w:name="_Toc387065658"/>
      <w:bookmarkStart w:id="522" w:name="_Toc387065863"/>
      <w:bookmarkStart w:id="523" w:name="_Toc387066066"/>
      <w:bookmarkStart w:id="524" w:name="_Toc387066255"/>
      <w:bookmarkStart w:id="525" w:name="_Toc387069491"/>
      <w:bookmarkStart w:id="526" w:name="_Toc387069678"/>
      <w:bookmarkStart w:id="527" w:name="_Toc387069887"/>
      <w:bookmarkStart w:id="528" w:name="_Toc387070086"/>
      <w:bookmarkStart w:id="529" w:name="_Toc387072351"/>
      <w:bookmarkStart w:id="530" w:name="_Toc387072562"/>
      <w:bookmarkStart w:id="531" w:name="_Toc387392590"/>
      <w:bookmarkStart w:id="532" w:name="_Toc343850283"/>
      <w:bookmarkStart w:id="533" w:name="_Toc344895166"/>
      <w:bookmarkStart w:id="534" w:name="_Toc346285342"/>
      <w:bookmarkStart w:id="535" w:name="_Ref388952948"/>
      <w:bookmarkStart w:id="536" w:name="_Ref388952951"/>
      <w:bookmarkStart w:id="537" w:name="_Toc391541595"/>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FC12C4">
        <w:t>Waivers</w:t>
      </w:r>
      <w:bookmarkEnd w:id="532"/>
      <w:bookmarkEnd w:id="533"/>
      <w:bookmarkEnd w:id="534"/>
      <w:bookmarkEnd w:id="535"/>
      <w:bookmarkEnd w:id="536"/>
      <w:bookmarkEnd w:id="537"/>
    </w:p>
    <w:p w:rsidR="00B651CA" w:rsidRDefault="00B651CA" w:rsidP="00B651CA">
      <w:r w:rsidRPr="00FC12C4">
        <w:t xml:space="preserve">In </w:t>
      </w:r>
      <w:r>
        <w:t>limited</w:t>
      </w:r>
      <w:r w:rsidRPr="00FC12C4">
        <w:t xml:space="preserve"> circumstances</w:t>
      </w:r>
      <w:r>
        <w:t>,</w:t>
      </w:r>
      <w:r w:rsidRPr="00FC12C4">
        <w:t xml:space="preserve"> the Minister may use discretionary power to waive </w:t>
      </w:r>
      <w:r w:rsidR="002719E1">
        <w:t xml:space="preserve">a </w:t>
      </w:r>
      <w:r w:rsidRPr="00FC12C4">
        <w:t>fee</w:t>
      </w:r>
      <w:r w:rsidR="00A303BF">
        <w:t xml:space="preserve"> or part of a fee</w:t>
      </w:r>
      <w:r w:rsidRPr="00FC12C4">
        <w:t xml:space="preserve"> under the EPBC</w:t>
      </w:r>
      <w:r>
        <w:t> </w:t>
      </w:r>
      <w:r w:rsidRPr="00FC12C4">
        <w:t xml:space="preserve">Act. Decisions on waiving fees </w:t>
      </w:r>
      <w:r w:rsidR="00025F13">
        <w:t>are</w:t>
      </w:r>
      <w:r>
        <w:t xml:space="preserve"> made </w:t>
      </w:r>
      <w:r w:rsidRPr="00FC12C4">
        <w:t xml:space="preserve">on a case by case basis. </w:t>
      </w:r>
      <w:r w:rsidR="00972F88">
        <w:t>The Australian Government will fund costs for environmental impact assessments where the Minister waives the applicant’s liability to pay cost recovery fees, so other applicants will not cross subsidise these assessments.</w:t>
      </w:r>
    </w:p>
    <w:p w:rsidR="00B651CA" w:rsidRDefault="00025F13" w:rsidP="00B651CA">
      <w:r>
        <w:t>The following are the criteria for the waiver of fees</w:t>
      </w:r>
      <w:r w:rsidR="00B651CA" w:rsidRPr="00FC12C4">
        <w:t>:</w:t>
      </w:r>
    </w:p>
    <w:p w:rsidR="000B573E" w:rsidRDefault="00B651CA">
      <w:pPr>
        <w:pStyle w:val="ListBullet"/>
      </w:pPr>
      <w:bookmarkStart w:id="538" w:name="_Ref380053776"/>
      <w:r w:rsidRPr="00FC12C4">
        <w:t xml:space="preserve">The Minister </w:t>
      </w:r>
      <w:r w:rsidR="002719E1">
        <w:t>determines in his or her sole discretion</w:t>
      </w:r>
      <w:r w:rsidRPr="00FC12C4">
        <w:t xml:space="preserve"> that the primary objective of the proposed action is to protect or conserve the environment (including heritage) consistent with </w:t>
      </w:r>
      <w:r w:rsidRPr="00C81B51">
        <w:t>the objectives of the EPBC Act</w:t>
      </w:r>
      <w:r w:rsidR="008F17D2" w:rsidRPr="00C81B51">
        <w:t>,</w:t>
      </w:r>
      <w:r w:rsidRPr="00C81B51">
        <w:t xml:space="preserve"> </w:t>
      </w:r>
      <w:bookmarkEnd w:id="538"/>
    </w:p>
    <w:p w:rsidR="000B23B5" w:rsidRPr="00C81B51" w:rsidRDefault="000B23B5" w:rsidP="000B23B5">
      <w:pPr>
        <w:pStyle w:val="ListBullet"/>
      </w:pPr>
      <w:r w:rsidRPr="00C81B51">
        <w:t xml:space="preserve">The Minister determines in his or her sole discretion that there are exceptional circumstances </w:t>
      </w:r>
      <w:r>
        <w:t xml:space="preserve">or it is in the public interest to waive </w:t>
      </w:r>
      <w:r w:rsidRPr="00C81B51">
        <w:t>a fee or part of a fee</w:t>
      </w:r>
      <w:r>
        <w:t>, or</w:t>
      </w:r>
    </w:p>
    <w:p w:rsidR="00D52A17" w:rsidRPr="00C81B51" w:rsidRDefault="00D52A17">
      <w:pPr>
        <w:pStyle w:val="ListBullet"/>
      </w:pPr>
      <w:r w:rsidRPr="00C81B51">
        <w:t xml:space="preserve">The Minister determines in his or her sole discretion that a stage of an assessment is not applicable </w:t>
      </w:r>
      <w:r>
        <w:t>and the app</w:t>
      </w:r>
      <w:r w:rsidR="000B23B5">
        <w:t>licable fee should be waived.</w:t>
      </w:r>
    </w:p>
    <w:p w:rsidR="00B651CA" w:rsidRPr="00682A27" w:rsidRDefault="00B651CA" w:rsidP="005A0A26">
      <w:pPr>
        <w:pStyle w:val="Heading3"/>
      </w:pPr>
      <w:bookmarkStart w:id="539" w:name="_Ref387054447"/>
      <w:bookmarkStart w:id="540" w:name="_Toc391541596"/>
      <w:r w:rsidRPr="00E84EA7">
        <w:lastRenderedPageBreak/>
        <w:t>Waiver application process</w:t>
      </w:r>
      <w:bookmarkEnd w:id="539"/>
      <w:bookmarkEnd w:id="540"/>
      <w:r w:rsidRPr="00682A27">
        <w:t xml:space="preserve"> </w:t>
      </w:r>
    </w:p>
    <w:p w:rsidR="002719E1" w:rsidRDefault="00972F88" w:rsidP="002719E1">
      <w:r>
        <w:t>A person may submit an a</w:t>
      </w:r>
      <w:r w:rsidR="00B651CA">
        <w:t xml:space="preserve">pplication for a fee waiver prior to or </w:t>
      </w:r>
      <w:r w:rsidR="00B651CA" w:rsidRPr="00182B4B">
        <w:t xml:space="preserve">at the same time </w:t>
      </w:r>
      <w:r w:rsidR="00B651CA">
        <w:t xml:space="preserve">as the proposed action is </w:t>
      </w:r>
      <w:r w:rsidR="00B651CA" w:rsidRPr="00182B4B">
        <w:t>referr</w:t>
      </w:r>
      <w:r w:rsidR="00B651CA">
        <w:t>ed under</w:t>
      </w:r>
      <w:r w:rsidR="00B651CA" w:rsidRPr="00182B4B">
        <w:t xml:space="preserve"> the EPBC</w:t>
      </w:r>
      <w:r w:rsidR="00B651CA">
        <w:t> </w:t>
      </w:r>
      <w:r w:rsidR="00B651CA" w:rsidRPr="00182B4B">
        <w:t xml:space="preserve">Act. </w:t>
      </w:r>
      <w:r w:rsidR="00B651CA">
        <w:t>The Minister will have 20 business days to make a decision on whether</w:t>
      </w:r>
      <w:r w:rsidR="006C18A2">
        <w:t xml:space="preserve"> the fee should be waived. </w:t>
      </w:r>
      <w:r w:rsidR="002719E1" w:rsidRPr="00FC12C4">
        <w:t>The Minister will have the right to refuse a fee waiver application at his or her discretion.</w:t>
      </w:r>
    </w:p>
    <w:p w:rsidR="00B651CA" w:rsidRDefault="006C18A2" w:rsidP="00B651CA">
      <w:r>
        <w:t>The D</w:t>
      </w:r>
      <w:r w:rsidR="00B651CA">
        <w:t>epartment will not commence work on the referral until the referral has been validated</w:t>
      </w:r>
      <w:r w:rsidR="00FA5B0C">
        <w:t xml:space="preserve"> -</w:t>
      </w:r>
      <w:r w:rsidR="00B651CA">
        <w:t xml:space="preserve"> i.e. until a fee waiver application has been processed and approved, or until relevant fees have been paid. </w:t>
      </w:r>
      <w:r w:rsidR="00B651CA" w:rsidRPr="00FC12C4">
        <w:t>Referrals submitted without a fee waiver approval will be subject to standard fees.</w:t>
      </w:r>
    </w:p>
    <w:p w:rsidR="00C8602C" w:rsidRDefault="00C8602C" w:rsidP="00C8602C">
      <w:pPr>
        <w:pStyle w:val="Heading3"/>
      </w:pPr>
      <w:bookmarkStart w:id="541" w:name="_Toc391541597"/>
      <w:r w:rsidRPr="009352D9">
        <w:t>Refunds</w:t>
      </w:r>
      <w:bookmarkEnd w:id="541"/>
      <w:r w:rsidRPr="009352D9">
        <w:t xml:space="preserve"> </w:t>
      </w:r>
    </w:p>
    <w:p w:rsidR="000B573E" w:rsidRDefault="00FA5B0C">
      <w:r>
        <w:t>T</w:t>
      </w:r>
      <w:r w:rsidR="00BE4371">
        <w:t>he Department will provide refunds of fees</w:t>
      </w:r>
      <w:r>
        <w:t xml:space="preserve"> in limited circumstances</w:t>
      </w:r>
      <w:r w:rsidR="000D4AAC">
        <w:t>, for instance, following</w:t>
      </w:r>
      <w:r w:rsidR="00561F65">
        <w:t xml:space="preserve"> a reconsideration of a fee</w:t>
      </w:r>
      <w:r w:rsidR="00BE4371">
        <w:t xml:space="preserve">. The Department considers </w:t>
      </w:r>
      <w:r w:rsidR="000D6A21">
        <w:t xml:space="preserve">partial </w:t>
      </w:r>
      <w:r w:rsidR="00BE4371">
        <w:t xml:space="preserve">refunds </w:t>
      </w:r>
      <w:r w:rsidR="00A303BF">
        <w:t xml:space="preserve">may </w:t>
      </w:r>
      <w:r w:rsidR="00BE4371">
        <w:t xml:space="preserve">be appropriate </w:t>
      </w:r>
      <w:r w:rsidR="002719E1">
        <w:t>if the Minister determines in his or her sole discretion that there are exceptional circumstances that warrant a partial refund of a fee</w:t>
      </w:r>
      <w:r w:rsidR="00BE4371">
        <w:t xml:space="preserve">. In these situations, </w:t>
      </w:r>
      <w:r w:rsidR="00CC0A8C">
        <w:t xml:space="preserve">the </w:t>
      </w:r>
      <w:r w:rsidR="00B64DB5">
        <w:t>applicant</w:t>
      </w:r>
      <w:r w:rsidR="00CC0A8C">
        <w:t xml:space="preserve"> will be eligible for </w:t>
      </w:r>
      <w:r w:rsidR="00BE4371">
        <w:t>a partial refund of the most recently paid Fee</w:t>
      </w:r>
      <w:r w:rsidR="00D638A8">
        <w:t> </w:t>
      </w:r>
      <w:r w:rsidR="00BE4371">
        <w:t>Point</w:t>
      </w:r>
      <w:r w:rsidR="00CC0A8C">
        <w:t>.</w:t>
      </w:r>
      <w:r w:rsidR="000D6A21">
        <w:t xml:space="preserve"> The Department will make a determination estimating the proportion of work completed</w:t>
      </w:r>
      <w:r w:rsidR="00B04631">
        <w:t xml:space="preserve"> since the most recent Fee Point was paid on a pro-rata basis</w:t>
      </w:r>
      <w:r w:rsidR="000D6A21">
        <w:t xml:space="preserve">. </w:t>
      </w:r>
    </w:p>
    <w:p w:rsidR="000B573E" w:rsidRDefault="00B04631">
      <w:r>
        <w:t xml:space="preserve">Referrals will not be eligible for partial </w:t>
      </w:r>
      <w:r w:rsidR="000D6A21" w:rsidRPr="00767BDD">
        <w:t>refunds</w:t>
      </w:r>
      <w:r>
        <w:t xml:space="preserve">, as their short timeframe makes it unreasonable to estimate the amount of work completed by the Department. </w:t>
      </w:r>
    </w:p>
    <w:p w:rsidR="000B573E" w:rsidRDefault="00561F65">
      <w:pPr>
        <w:pStyle w:val="Heading3"/>
      </w:pPr>
      <w:bookmarkStart w:id="542" w:name="_Toc391541598"/>
      <w:r>
        <w:t>Reconsideration of fees</w:t>
      </w:r>
      <w:bookmarkEnd w:id="542"/>
    </w:p>
    <w:p w:rsidR="000B573E" w:rsidRDefault="00561F65">
      <w:r>
        <w:t xml:space="preserve">A person may submit an application for a reconsideration of a method used to work out a fee (for instance, the method used to calculate the complexity fees) to the Department. The Department will have 30 business days to reconsider the fee. </w:t>
      </w:r>
      <w:r w:rsidR="009760FC">
        <w:t xml:space="preserve">If the fee is lowered following a reconsideration </w:t>
      </w:r>
      <w:r w:rsidR="00286BF0">
        <w:t xml:space="preserve">process </w:t>
      </w:r>
      <w:r w:rsidR="009760FC">
        <w:t>then the Department will provide a refund of the difference between the original fee and the reconsidered fee.</w:t>
      </w:r>
    </w:p>
    <w:p w:rsidR="008226F4" w:rsidRDefault="008226F4">
      <w:pPr>
        <w:spacing w:after="0" w:line="240" w:lineRule="auto"/>
        <w:rPr>
          <w:rFonts w:cs="Arial"/>
          <w:b/>
        </w:rPr>
      </w:pPr>
      <w:r>
        <w:br w:type="page"/>
      </w:r>
    </w:p>
    <w:p w:rsidR="00157E55" w:rsidRDefault="00157E55" w:rsidP="00157E55">
      <w:pPr>
        <w:pStyle w:val="Heading1"/>
      </w:pPr>
      <w:bookmarkStart w:id="543" w:name="_Ref387066385"/>
      <w:bookmarkStart w:id="544" w:name="_Ref387066386"/>
      <w:bookmarkStart w:id="545" w:name="_Toc391541599"/>
      <w:r>
        <w:lastRenderedPageBreak/>
        <w:t>STRATEGIC ASSESSMENTS</w:t>
      </w:r>
      <w:bookmarkEnd w:id="543"/>
      <w:bookmarkEnd w:id="544"/>
      <w:bookmarkEnd w:id="545"/>
    </w:p>
    <w:p w:rsidR="00EC1A7C" w:rsidRPr="00EC1A7C" w:rsidRDefault="00EC1A7C" w:rsidP="00EC1A7C">
      <w:pPr>
        <w:pStyle w:val="Heading2"/>
      </w:pPr>
      <w:bookmarkStart w:id="546" w:name="_Toc391541600"/>
      <w:r>
        <w:t>Outputs of the activity – Strategic Assessments</w:t>
      </w:r>
      <w:bookmarkEnd w:id="546"/>
    </w:p>
    <w:p w:rsidR="00007102" w:rsidRDefault="00007102" w:rsidP="006D093D">
      <w:pPr>
        <w:pStyle w:val="Heading3"/>
        <w:rPr>
          <w:lang w:val="en-US"/>
        </w:rPr>
      </w:pPr>
      <w:bookmarkStart w:id="547" w:name="_Toc391541601"/>
      <w:r w:rsidRPr="00007102">
        <w:rPr>
          <w:lang w:val="en-US"/>
        </w:rPr>
        <w:t>Description of activity – Strategic assessments</w:t>
      </w:r>
      <w:bookmarkEnd w:id="547"/>
    </w:p>
    <w:p w:rsidR="00FC2885" w:rsidRPr="00DA3BB9" w:rsidRDefault="00FC2885" w:rsidP="000C380F">
      <w:r w:rsidRPr="00DA3BB9">
        <w:t>The strategic assessment provisions (s</w:t>
      </w:r>
      <w:r w:rsidR="00E53212">
        <w:t xml:space="preserve">ection </w:t>
      </w:r>
      <w:r w:rsidRPr="00DA3BB9">
        <w:t xml:space="preserve">146) of the EPBC Act allow for the assessment and endorsement of a plan, policy or program </w:t>
      </w:r>
      <w:r w:rsidR="0064623E">
        <w:t>(the ‘</w:t>
      </w:r>
      <w:r w:rsidR="004E2198">
        <w:t>policy, plan or program</w:t>
      </w:r>
      <w:r w:rsidR="0064623E">
        <w:t xml:space="preserve">’) </w:t>
      </w:r>
      <w:r w:rsidRPr="00DA3BB9">
        <w:t xml:space="preserve">and the subsequent approval of actions or classes of actions if they are taken in accordance with the endorsed </w:t>
      </w:r>
      <w:r w:rsidR="004E2198">
        <w:t>policy, plan or program</w:t>
      </w:r>
      <w:r w:rsidRPr="00DA3BB9">
        <w:t xml:space="preserve">. A request to undertake a strategic assessment may be made by or on behalf of any person responsible for the adoption or implementation of </w:t>
      </w:r>
      <w:r w:rsidR="00194347">
        <w:t xml:space="preserve">a </w:t>
      </w:r>
      <w:r w:rsidR="004E2198">
        <w:t>policy, plan or program</w:t>
      </w:r>
      <w:r w:rsidR="00E53212">
        <w:t xml:space="preserve"> </w:t>
      </w:r>
      <w:r w:rsidR="001D5A6C">
        <w:t>(the ‘applicant’)</w:t>
      </w:r>
      <w:r w:rsidR="00194347">
        <w:t>. The D</w:t>
      </w:r>
      <w:r w:rsidRPr="00DA3BB9">
        <w:t xml:space="preserve">epartment provides advice and guidance to </w:t>
      </w:r>
      <w:r w:rsidR="00B64DB5">
        <w:t>applicant</w:t>
      </w:r>
      <w:r w:rsidRPr="00DA3BB9">
        <w:t xml:space="preserve">s throughout key stages of strategic assessment. The strategic assessment process is outlined in </w:t>
      </w:r>
      <w:r w:rsidR="00D30427">
        <w:fldChar w:fldCharType="begin"/>
      </w:r>
      <w:r w:rsidR="00F22D62">
        <w:instrText xml:space="preserve"> REF _Ref387068787 \h </w:instrText>
      </w:r>
      <w:r w:rsidR="00D30427">
        <w:fldChar w:fldCharType="separate"/>
      </w:r>
      <w:r w:rsidR="001D521C">
        <w:t xml:space="preserve">Figure </w:t>
      </w:r>
      <w:r w:rsidR="001D521C">
        <w:rPr>
          <w:noProof/>
        </w:rPr>
        <w:t>13</w:t>
      </w:r>
      <w:r w:rsidR="00D30427">
        <w:fldChar w:fldCharType="end"/>
      </w:r>
      <w:r w:rsidR="00565484">
        <w:t xml:space="preserve"> </w:t>
      </w:r>
      <w:r w:rsidRPr="00DA3BB9">
        <w:t>below.</w:t>
      </w:r>
    </w:p>
    <w:p w:rsidR="00BE58F6" w:rsidRPr="00056D27" w:rsidRDefault="00BE58F6" w:rsidP="00BE58F6">
      <w:r w:rsidRPr="00056D27">
        <w:t>C</w:t>
      </w:r>
      <w:r>
        <w:t xml:space="preserve">ost recovery for strategic assessments </w:t>
      </w:r>
      <w:r w:rsidR="00A7739E">
        <w:t>more</w:t>
      </w:r>
      <w:r>
        <w:t xml:space="preserve"> equitably share</w:t>
      </w:r>
      <w:r w:rsidR="00A7739E">
        <w:t>s</w:t>
      </w:r>
      <w:r>
        <w:t xml:space="preserve"> the costs of protecting the environment between the community and those who derive a private benefit from the ability to apply for a strategic assessment approval to undertake an activity otherwise prohibited by the EPBC Act. Cost recovery, by providing a source of funding related to the actual amount of assessment activity undertaken in the Department, </w:t>
      </w:r>
      <w:r w:rsidR="00A7739E">
        <w:t>improves</w:t>
      </w:r>
      <w:r w:rsidRPr="00056D27">
        <w:t xml:space="preserve"> the </w:t>
      </w:r>
      <w:r>
        <w:t>Department</w:t>
      </w:r>
      <w:r w:rsidRPr="00056D27">
        <w:t xml:space="preserve">’s ability to </w:t>
      </w:r>
      <w:r>
        <w:t xml:space="preserve">undertake strategic assessments </w:t>
      </w:r>
      <w:r w:rsidRPr="00056D27">
        <w:t>and respond to changes in demand for its services. It also provide</w:t>
      </w:r>
      <w:r w:rsidR="00A7739E">
        <w:t>s</w:t>
      </w:r>
      <w:r w:rsidRPr="00056D27">
        <w:t xml:space="preserve"> incentives to industry to undertake early engagement and incorporate the most environmentally acceptable outcomes into their business planning, as this may reduce the level of </w:t>
      </w:r>
      <w:r>
        <w:t xml:space="preserve">strategic </w:t>
      </w:r>
      <w:r w:rsidRPr="00056D27">
        <w:t xml:space="preserve">assessment required and therefore the costs payable. </w:t>
      </w:r>
    </w:p>
    <w:p w:rsidR="00FC2885" w:rsidRDefault="001D5A6C" w:rsidP="000C380F">
      <w:r>
        <w:t xml:space="preserve">For strategic assessments that are cost recovered, the applicant </w:t>
      </w:r>
      <w:r w:rsidR="00A7739E">
        <w:t>is</w:t>
      </w:r>
      <w:r>
        <w:t xml:space="preserve"> responsible for paying cost recovery fees for the strategic assessment </w:t>
      </w:r>
      <w:r w:rsidR="0064623E">
        <w:t xml:space="preserve">of the </w:t>
      </w:r>
      <w:r w:rsidR="004E2198">
        <w:t>policy, plan or program</w:t>
      </w:r>
      <w:r w:rsidR="0064623E">
        <w:t xml:space="preserve"> </w:t>
      </w:r>
      <w:r>
        <w:t xml:space="preserve">under the EPBC Act. The applicant for a strategic assessment may be a state or territory government or </w:t>
      </w:r>
      <w:r w:rsidR="00BA3E00">
        <w:t>a private entity</w:t>
      </w:r>
      <w:r>
        <w:t xml:space="preserve">. </w:t>
      </w:r>
    </w:p>
    <w:p w:rsidR="00BA3E00" w:rsidRDefault="000B573E" w:rsidP="000C380F">
      <w:r>
        <w:rPr>
          <w:noProof/>
          <w:lang w:eastAsia="en-AU"/>
        </w:rPr>
        <w:drawing>
          <wp:inline distT="0" distB="0" distL="0" distR="0">
            <wp:extent cx="4929505" cy="3342005"/>
            <wp:effectExtent l="19050" t="0" r="444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cstate="print"/>
                    <a:srcRect/>
                    <a:stretch>
                      <a:fillRect/>
                    </a:stretch>
                  </pic:blipFill>
                  <pic:spPr bwMode="auto">
                    <a:xfrm>
                      <a:off x="0" y="0"/>
                      <a:ext cx="4929505" cy="3342005"/>
                    </a:xfrm>
                    <a:prstGeom prst="rect">
                      <a:avLst/>
                    </a:prstGeom>
                    <a:noFill/>
                    <a:ln w="9525">
                      <a:noFill/>
                      <a:miter lim="800000"/>
                      <a:headEnd/>
                      <a:tailEnd/>
                    </a:ln>
                  </pic:spPr>
                </pic:pic>
              </a:graphicData>
            </a:graphic>
          </wp:inline>
        </w:drawing>
      </w:r>
    </w:p>
    <w:p w:rsidR="00D44332" w:rsidRDefault="00D44332" w:rsidP="00D44332">
      <w:pPr>
        <w:pStyle w:val="Caption"/>
      </w:pPr>
      <w:bookmarkStart w:id="548" w:name="_Ref387068787"/>
      <w:bookmarkStart w:id="549" w:name="_Toc387072718"/>
      <w:bookmarkStart w:id="550" w:name="_Toc391541642"/>
      <w:proofErr w:type="gramStart"/>
      <w:r>
        <w:t xml:space="preserve">Figure </w:t>
      </w:r>
      <w:r w:rsidR="00D30427">
        <w:fldChar w:fldCharType="begin"/>
      </w:r>
      <w:r w:rsidR="004D02C2">
        <w:instrText xml:space="preserve"> SEQ Figure \* ARABIC </w:instrText>
      </w:r>
      <w:r w:rsidR="00D30427">
        <w:fldChar w:fldCharType="separate"/>
      </w:r>
      <w:r w:rsidR="001D521C">
        <w:rPr>
          <w:noProof/>
        </w:rPr>
        <w:t>13</w:t>
      </w:r>
      <w:r w:rsidR="00D30427">
        <w:fldChar w:fldCharType="end"/>
      </w:r>
      <w:bookmarkEnd w:id="548"/>
      <w:r>
        <w:t>.</w:t>
      </w:r>
      <w:proofErr w:type="gramEnd"/>
      <w:r>
        <w:t xml:space="preserve"> </w:t>
      </w:r>
      <w:proofErr w:type="gramStart"/>
      <w:r w:rsidRPr="00234413">
        <w:t>Strategic assessments process</w:t>
      </w:r>
      <w:r>
        <w:t>.</w:t>
      </w:r>
      <w:bookmarkEnd w:id="549"/>
      <w:bookmarkEnd w:id="550"/>
      <w:proofErr w:type="gramEnd"/>
    </w:p>
    <w:p w:rsidR="00DB24C6" w:rsidRPr="00B4691A" w:rsidRDefault="00DB24C6" w:rsidP="0089779F">
      <w:pPr>
        <w:keepNext/>
      </w:pPr>
      <w:r w:rsidRPr="00B4691A">
        <w:lastRenderedPageBreak/>
        <w:t xml:space="preserve">Under cost recovery, there </w:t>
      </w:r>
      <w:r w:rsidR="00A7739E">
        <w:t>are</w:t>
      </w:r>
      <w:r w:rsidRPr="00B4691A">
        <w:t xml:space="preserve"> </w:t>
      </w:r>
      <w:r w:rsidR="00EF6EFE">
        <w:t>three</w:t>
      </w:r>
      <w:r w:rsidR="00EF6EFE" w:rsidRPr="00B4691A">
        <w:t xml:space="preserve"> </w:t>
      </w:r>
      <w:r w:rsidRPr="00B4691A">
        <w:t>streams of strategic assessments:</w:t>
      </w:r>
    </w:p>
    <w:p w:rsidR="000B573E" w:rsidRDefault="00CA3ABF">
      <w:pPr>
        <w:pStyle w:val="ListNumber"/>
      </w:pPr>
      <w:r w:rsidRPr="00CA3ABF">
        <w:t xml:space="preserve">Budget funded strategic assessments: </w:t>
      </w:r>
      <w:r w:rsidR="00DB24C6" w:rsidRPr="00767BDD">
        <w:t xml:space="preserve"> These </w:t>
      </w:r>
      <w:r w:rsidR="0064623E" w:rsidRPr="00767BDD">
        <w:t xml:space="preserve">strategic </w:t>
      </w:r>
      <w:r w:rsidR="00DB24C6" w:rsidRPr="00767BDD">
        <w:t>assessments</w:t>
      </w:r>
      <w:r w:rsidR="00F43181" w:rsidRPr="00767BDD">
        <w:t xml:space="preserve"> </w:t>
      </w:r>
      <w:r w:rsidR="00DB24C6" w:rsidRPr="00767BDD">
        <w:t xml:space="preserve">will not be subject to cost recovery and will be delivered through </w:t>
      </w:r>
      <w:r w:rsidR="001C2CB2">
        <w:t>departmental</w:t>
      </w:r>
      <w:r w:rsidR="00DB24C6" w:rsidRPr="00767BDD">
        <w:t xml:space="preserve"> budget funding.</w:t>
      </w:r>
    </w:p>
    <w:p w:rsidR="000B573E" w:rsidRDefault="00CA3ABF">
      <w:pPr>
        <w:pStyle w:val="ListNumber"/>
      </w:pPr>
      <w:r w:rsidRPr="00CA3ABF">
        <w:t>Cost recovered strategic assessments</w:t>
      </w:r>
      <w:r w:rsidR="00DB24C6" w:rsidRPr="00767BDD">
        <w:t xml:space="preserve">: </w:t>
      </w:r>
      <w:r w:rsidR="0064623E" w:rsidRPr="00767BDD">
        <w:t>S</w:t>
      </w:r>
      <w:r w:rsidR="00DB24C6" w:rsidRPr="00767BDD">
        <w:t>trategic assessment</w:t>
      </w:r>
      <w:r w:rsidR="00224565" w:rsidRPr="00767BDD">
        <w:t>s</w:t>
      </w:r>
      <w:r w:rsidR="00DB24C6" w:rsidRPr="00767BDD">
        <w:t xml:space="preserve"> that </w:t>
      </w:r>
      <w:r w:rsidR="00224565" w:rsidRPr="00C66C28">
        <w:t>are</w:t>
      </w:r>
      <w:r w:rsidR="00DB24C6" w:rsidRPr="00DB1E64">
        <w:t xml:space="preserve"> not delivered by</w:t>
      </w:r>
      <w:r w:rsidRPr="00CA3ABF">
        <w:t xml:space="preserve"> budget funding will be subject to cost recovery. </w:t>
      </w:r>
    </w:p>
    <w:p w:rsidR="000B573E" w:rsidRDefault="00CA3ABF">
      <w:pPr>
        <w:pStyle w:val="ListNumber"/>
      </w:pPr>
      <w:r w:rsidRPr="00CA3ABF">
        <w:t>Partial cost recovered strategic assessments</w:t>
      </w:r>
      <w:r w:rsidR="00EF6EFE" w:rsidRPr="00767BDD">
        <w:t>: Strategic assessments that have a mixture of cost recovery and budget funding.</w:t>
      </w:r>
    </w:p>
    <w:p w:rsidR="00DB24C6" w:rsidRDefault="00BB7E2D" w:rsidP="00DB24C6">
      <w:r>
        <w:t>The D</w:t>
      </w:r>
      <w:r w:rsidR="00DB24C6" w:rsidRPr="00C81A78">
        <w:t>epartment will prioritise b</w:t>
      </w:r>
      <w:r w:rsidR="00DB24C6">
        <w:t>udget funding for strategic assessments that are in the public interest and which deliver high value outcomes</w:t>
      </w:r>
      <w:r w:rsidR="00DB24C6" w:rsidRPr="00C81A78">
        <w:t>, particular</w:t>
      </w:r>
      <w:r w:rsidR="00DB24C6">
        <w:t>ly</w:t>
      </w:r>
      <w:r w:rsidR="00DB24C6" w:rsidRPr="00C81A78">
        <w:t xml:space="preserve"> those that provide the strongest contributions to the </w:t>
      </w:r>
      <w:r w:rsidR="00DB24C6">
        <w:t>objectives of the EPBC Act.</w:t>
      </w:r>
    </w:p>
    <w:p w:rsidR="00093EEA" w:rsidRPr="00AC1885" w:rsidRDefault="00093EEA" w:rsidP="00093EEA">
      <w:pPr>
        <w:pStyle w:val="Heading3"/>
      </w:pPr>
      <w:bookmarkStart w:id="551" w:name="_Toc379530376"/>
      <w:bookmarkStart w:id="552" w:name="_Toc391541602"/>
      <w:bookmarkStart w:id="553" w:name="_Toc343850795"/>
      <w:bookmarkStart w:id="554" w:name="_Toc344895173"/>
      <w:bookmarkStart w:id="555" w:name="_Toc346285349"/>
      <w:r w:rsidRPr="00AC1885">
        <w:t>Budget funded strategic assessments</w:t>
      </w:r>
      <w:bookmarkEnd w:id="551"/>
      <w:bookmarkEnd w:id="552"/>
    </w:p>
    <w:p w:rsidR="00E43A1C" w:rsidRDefault="00F86237" w:rsidP="00093EEA">
      <w:r w:rsidRPr="0084220F">
        <w:t xml:space="preserve">Strategic assessments that </w:t>
      </w:r>
      <w:r w:rsidR="00422C44">
        <w:t xml:space="preserve">primarily </w:t>
      </w:r>
      <w:r w:rsidRPr="0084220F">
        <w:t>provide benefits to the general public and community,</w:t>
      </w:r>
      <w:r>
        <w:t xml:space="preserve"> </w:t>
      </w:r>
      <w:r w:rsidRPr="0084220F">
        <w:t>rather than an identifiable beneficiary (or group of beneficiaries)</w:t>
      </w:r>
      <w:r w:rsidR="00A17977">
        <w:t>,</w:t>
      </w:r>
      <w:r>
        <w:t xml:space="preserve"> or that significantly </w:t>
      </w:r>
      <w:r w:rsidRPr="002A4732">
        <w:t>contribute to streamlining of environmental approvals</w:t>
      </w:r>
      <w:r w:rsidR="00A17977">
        <w:t xml:space="preserve"> – </w:t>
      </w:r>
      <w:r w:rsidRPr="002A4732">
        <w:t>removing duplication and reducing regulatory burden</w:t>
      </w:r>
      <w:r w:rsidRPr="0084220F">
        <w:t xml:space="preserve"> </w:t>
      </w:r>
      <w:r w:rsidR="00A17977">
        <w:t xml:space="preserve">– </w:t>
      </w:r>
      <w:r w:rsidRPr="0084220F">
        <w:t>will continue to be funded by the government, subject to funding availability.</w:t>
      </w:r>
      <w:r>
        <w:t xml:space="preserve"> </w:t>
      </w:r>
      <w:r w:rsidR="00767BDD">
        <w:t>The Australian Government will determine the relative priority of different b</w:t>
      </w:r>
      <w:r w:rsidR="00093EEA" w:rsidRPr="00873BDB">
        <w:t xml:space="preserve">udget funded strategic assessments to ensure that </w:t>
      </w:r>
      <w:r w:rsidR="00767BDD">
        <w:t xml:space="preserve">budget </w:t>
      </w:r>
      <w:r w:rsidR="00093EEA" w:rsidRPr="00873BDB">
        <w:t>spending</w:t>
      </w:r>
      <w:r w:rsidR="00767BDD">
        <w:t xml:space="preserve"> on these assessments</w:t>
      </w:r>
      <w:r w:rsidR="00093EEA" w:rsidRPr="00873BDB">
        <w:t xml:space="preserve"> is efficient, effective, economical and ethical. </w:t>
      </w:r>
    </w:p>
    <w:p w:rsidR="00093EEA" w:rsidRDefault="00F86237" w:rsidP="00093EEA">
      <w:r w:rsidRPr="00873BDB">
        <w:t>As the size and cost of strategic assessments varies, so does the number of assessments that can be undertaken within any given year within the limit of funding.</w:t>
      </w:r>
      <w:r>
        <w:t xml:space="preserve"> The</w:t>
      </w:r>
      <w:r w:rsidR="00093EEA" w:rsidRPr="00873BDB">
        <w:t xml:space="preserve"> Minister will make the final determination as to which strategic assessments </w:t>
      </w:r>
      <w:r w:rsidR="00A17977">
        <w:t>the government will</w:t>
      </w:r>
      <w:r w:rsidR="00093EEA" w:rsidRPr="00873BDB">
        <w:t xml:space="preserve"> prioritise for being budget funded, having regard to the objects of the EPBC Act. </w:t>
      </w:r>
    </w:p>
    <w:p w:rsidR="00E43A1C" w:rsidRDefault="00E43A1C" w:rsidP="00093EEA">
      <w:r>
        <w:t>The Australian Government has determined that strategic assessment provisions relating to Commonwealth managed fisheries (section 147 to section 154 of the EPBC Act) are not appropriate for cost recovery.</w:t>
      </w:r>
    </w:p>
    <w:p w:rsidR="00093EEA" w:rsidRDefault="00093EEA" w:rsidP="00093EEA">
      <w:pPr>
        <w:pStyle w:val="Heading3"/>
      </w:pPr>
      <w:bookmarkStart w:id="556" w:name="_Toc379530377"/>
      <w:bookmarkStart w:id="557" w:name="_Toc391541603"/>
      <w:r w:rsidRPr="006645E7">
        <w:t>Cost</w:t>
      </w:r>
      <w:r>
        <w:t xml:space="preserve"> recovered </w:t>
      </w:r>
      <w:r w:rsidRPr="00FC12C4">
        <w:t>strategic assessments</w:t>
      </w:r>
      <w:bookmarkEnd w:id="556"/>
      <w:bookmarkEnd w:id="557"/>
    </w:p>
    <w:p w:rsidR="00093EEA" w:rsidRPr="00FC12C4" w:rsidRDefault="00093EEA" w:rsidP="00093EEA">
      <w:r w:rsidRPr="00FC12C4">
        <w:t>The budget funding available to deliver strategic assessments is limited</w:t>
      </w:r>
      <w:r>
        <w:t>,</w:t>
      </w:r>
      <w:r w:rsidRPr="00FC12C4">
        <w:t xml:space="preserve"> </w:t>
      </w:r>
      <w:r>
        <w:t>against a backdrop of</w:t>
      </w:r>
      <w:r w:rsidRPr="00FC12C4">
        <w:t xml:space="preserve"> </w:t>
      </w:r>
      <w:r w:rsidR="0089779F">
        <w:t>continued</w:t>
      </w:r>
      <w:r w:rsidRPr="00FC12C4">
        <w:t xml:space="preserve"> development across Australia. </w:t>
      </w:r>
      <w:r w:rsidR="00767BDD">
        <w:t xml:space="preserve">In some cases, however, strategic assessments might deliver a private benefit, by enabling a private entity or group of private entities to have a strategic assessment done of a larger group of actions. In the long term, this may be more efficient and effective than seeking a number of separate EPBC Act approvals. </w:t>
      </w:r>
      <w:r w:rsidRPr="00FC12C4">
        <w:t xml:space="preserve">For the </w:t>
      </w:r>
      <w:r>
        <w:t>D</w:t>
      </w:r>
      <w:r w:rsidRPr="00FC12C4">
        <w:t xml:space="preserve">epartment to meet increasing </w:t>
      </w:r>
      <w:r>
        <w:t>demand</w:t>
      </w:r>
      <w:r w:rsidRPr="00FC12C4">
        <w:t xml:space="preserve"> and deliver more strategic assessments, </w:t>
      </w:r>
      <w:r>
        <w:t>the Australian Government has agreed to establish a mechanism for cost recovery of strategic assessments where appropriate</w:t>
      </w:r>
      <w:r w:rsidR="00767BDD">
        <w:t>, to enable private</w:t>
      </w:r>
      <w:r w:rsidR="00C66C28">
        <w:t xml:space="preserve"> entities to take advantage of strategic assessments, or to contribute to the cost where they derive a benefit from those assessments</w:t>
      </w:r>
      <w:r w:rsidRPr="00FC12C4">
        <w:t xml:space="preserve">. </w:t>
      </w:r>
    </w:p>
    <w:p w:rsidR="00093EEA" w:rsidRDefault="00093EEA" w:rsidP="00093EEA">
      <w:r>
        <w:t xml:space="preserve">Cost recovered </w:t>
      </w:r>
      <w:r w:rsidRPr="00FC12C4">
        <w:t xml:space="preserve">strategic assessments </w:t>
      </w:r>
      <w:r>
        <w:t xml:space="preserve">would be considered </w:t>
      </w:r>
      <w:r w:rsidRPr="00873BDB">
        <w:t>appropriate where</w:t>
      </w:r>
      <w:r>
        <w:t xml:space="preserve"> t</w:t>
      </w:r>
      <w:r w:rsidRPr="00FC12C4">
        <w:t>he outcome of the strategic assessment delivers a clear private benefit to an identifiable beneficiary (or identifiable group of beneficiaries), and charging would be efficient and effective</w:t>
      </w:r>
      <w:r>
        <w:t>.</w:t>
      </w:r>
    </w:p>
    <w:p w:rsidR="00093EEA" w:rsidRDefault="00093EEA" w:rsidP="00093EEA">
      <w:r w:rsidRPr="00FC12C4">
        <w:t>Due to the discretionary nature of strategic assessments, a</w:t>
      </w:r>
      <w:r w:rsidR="00B64DB5">
        <w:t>n</w:t>
      </w:r>
      <w:r w:rsidRPr="00FC12C4">
        <w:t xml:space="preserve"> </w:t>
      </w:r>
      <w:r w:rsidR="00B64DB5">
        <w:t>applicant</w:t>
      </w:r>
      <w:r w:rsidRPr="00FC12C4">
        <w:t xml:space="preserve"> must be willing to enter into an agreement with the Minister to have their </w:t>
      </w:r>
      <w:r w:rsidR="004E2198">
        <w:t>policy, plan or program</w:t>
      </w:r>
      <w:r w:rsidR="00E53212">
        <w:t xml:space="preserve"> </w:t>
      </w:r>
      <w:r>
        <w:t>assessed. T</w:t>
      </w:r>
      <w:r w:rsidRPr="00FC12C4">
        <w:t xml:space="preserve">he </w:t>
      </w:r>
      <w:r w:rsidR="00B64DB5">
        <w:t>applicant</w:t>
      </w:r>
      <w:r w:rsidRPr="00FC12C4">
        <w:t xml:space="preserve"> must </w:t>
      </w:r>
      <w:r>
        <w:t xml:space="preserve">also </w:t>
      </w:r>
      <w:r w:rsidRPr="00FC12C4">
        <w:t xml:space="preserve">agree to take responsibility for </w:t>
      </w:r>
      <w:r>
        <w:t xml:space="preserve">meeting the </w:t>
      </w:r>
      <w:r w:rsidRPr="00FC12C4">
        <w:t xml:space="preserve">costs of the </w:t>
      </w:r>
      <w:r>
        <w:t>assessment</w:t>
      </w:r>
      <w:r w:rsidRPr="00FC12C4">
        <w:t xml:space="preserve">. </w:t>
      </w:r>
      <w:r>
        <w:t xml:space="preserve">Cost recovery </w:t>
      </w:r>
      <w:r>
        <w:lastRenderedPageBreak/>
        <w:t>therefore cannot be imposed on a</w:t>
      </w:r>
      <w:r w:rsidR="00B64DB5">
        <w:t>n</w:t>
      </w:r>
      <w:r>
        <w:t xml:space="preserve"> </w:t>
      </w:r>
      <w:r w:rsidR="00B64DB5">
        <w:t>applicant</w:t>
      </w:r>
      <w:r>
        <w:t xml:space="preserve">. </w:t>
      </w:r>
      <w:r w:rsidRPr="00FC12C4">
        <w:t>Should a</w:t>
      </w:r>
      <w:r w:rsidR="00B64DB5">
        <w:t>n</w:t>
      </w:r>
      <w:r w:rsidRPr="00FC12C4">
        <w:t xml:space="preserve"> </w:t>
      </w:r>
      <w:r w:rsidR="00B64DB5">
        <w:t>applicant</w:t>
      </w:r>
      <w:r w:rsidRPr="00FC12C4">
        <w:t xml:space="preserve"> decline to take responsibility for </w:t>
      </w:r>
      <w:r>
        <w:t xml:space="preserve">meeting </w:t>
      </w:r>
      <w:r w:rsidRPr="00FC12C4">
        <w:t>the cost</w:t>
      </w:r>
      <w:r>
        <w:t>s</w:t>
      </w:r>
      <w:r w:rsidRPr="00FC12C4">
        <w:t xml:space="preserve"> of the </w:t>
      </w:r>
      <w:r>
        <w:t>assessment</w:t>
      </w:r>
      <w:r w:rsidRPr="00FC12C4">
        <w:t xml:space="preserve">, the strategic assessment would not </w:t>
      </w:r>
      <w:proofErr w:type="gramStart"/>
      <w:r w:rsidRPr="00FC12C4">
        <w:t>proceed</w:t>
      </w:r>
      <w:proofErr w:type="gramEnd"/>
      <w:r w:rsidRPr="00FC12C4">
        <w:t xml:space="preserve">. </w:t>
      </w:r>
    </w:p>
    <w:p w:rsidR="000B573E" w:rsidRDefault="007E144E">
      <w:pPr>
        <w:pStyle w:val="Heading4"/>
      </w:pPr>
      <w:r w:rsidRPr="000209BC">
        <w:t>Partial cost recovered strategic assessments</w:t>
      </w:r>
    </w:p>
    <w:p w:rsidR="00B049BB" w:rsidRPr="000209BC" w:rsidRDefault="0048392E" w:rsidP="001F0405">
      <w:r w:rsidRPr="000209BC">
        <w:t>There may be circumstances where a propos</w:t>
      </w:r>
      <w:r w:rsidR="00382CF4" w:rsidRPr="000209BC">
        <w:t>ed strategic assessment has both public and private benefit. In these situations, the government</w:t>
      </w:r>
      <w:r w:rsidRPr="000209BC">
        <w:t xml:space="preserve"> considers a mixture of budget funding and cost recovery will be appropriate. The </w:t>
      </w:r>
      <w:r w:rsidR="00382CF4" w:rsidRPr="000209BC">
        <w:t>Minister</w:t>
      </w:r>
      <w:r w:rsidRPr="000209BC">
        <w:t xml:space="preserve"> will determine the rate of budget funding for partial cost recovered strategic asses</w:t>
      </w:r>
      <w:r w:rsidR="00B049BB" w:rsidRPr="000209BC">
        <w:t>sments on a case by case basis. The amount of budget funding will aim to reflect the ratio of public v</w:t>
      </w:r>
      <w:r w:rsidR="00F22D62">
        <w:t>er</w:t>
      </w:r>
      <w:r w:rsidR="00B049BB" w:rsidRPr="000209BC">
        <w:t>s</w:t>
      </w:r>
      <w:r w:rsidR="00F22D62">
        <w:t>us</w:t>
      </w:r>
      <w:r w:rsidR="00B049BB" w:rsidRPr="000209BC">
        <w:t xml:space="preserve"> private benefit for each </w:t>
      </w:r>
      <w:r w:rsidR="004E2198">
        <w:t>policy, plan or program</w:t>
      </w:r>
      <w:r w:rsidR="00B049BB" w:rsidRPr="000209BC">
        <w:t>.</w:t>
      </w:r>
    </w:p>
    <w:p w:rsidR="0048392E" w:rsidRDefault="00B049BB" w:rsidP="001F0405">
      <w:r w:rsidRPr="000209BC">
        <w:t xml:space="preserve">For example, the </w:t>
      </w:r>
      <w:r w:rsidR="00382CF4" w:rsidRPr="000209BC">
        <w:t>Minister</w:t>
      </w:r>
      <w:r w:rsidRPr="000209BC">
        <w:t xml:space="preserve"> determines that a </w:t>
      </w:r>
      <w:r w:rsidR="004E2198">
        <w:t>policy, plan or program</w:t>
      </w:r>
      <w:r w:rsidR="0064623E" w:rsidRPr="000209BC">
        <w:t xml:space="preserve"> </w:t>
      </w:r>
      <w:r w:rsidRPr="000209BC">
        <w:t xml:space="preserve">as being 30% public benefit and 70% private benefit. The </w:t>
      </w:r>
      <w:r w:rsidR="00B64DB5">
        <w:t>applicant</w:t>
      </w:r>
      <w:r w:rsidR="00180AC1" w:rsidRPr="000209BC">
        <w:t xml:space="preserve"> would be eligible for partial cost recovery – and would receive a 30% reduction to their cost recovery fees.</w:t>
      </w:r>
    </w:p>
    <w:p w:rsidR="00093EEA" w:rsidRPr="005B1838" w:rsidRDefault="00093EEA" w:rsidP="00093EEA">
      <w:pPr>
        <w:pStyle w:val="Heading2"/>
      </w:pPr>
      <w:bookmarkStart w:id="558" w:name="_Toc387064832"/>
      <w:bookmarkStart w:id="559" w:name="_Toc387065044"/>
      <w:bookmarkStart w:id="560" w:name="_Toc387065250"/>
      <w:bookmarkStart w:id="561" w:name="_Toc387065461"/>
      <w:bookmarkStart w:id="562" w:name="_Toc387065667"/>
      <w:bookmarkStart w:id="563" w:name="_Toc387065872"/>
      <w:bookmarkStart w:id="564" w:name="_Toc387066075"/>
      <w:bookmarkStart w:id="565" w:name="_Toc387066264"/>
      <w:bookmarkStart w:id="566" w:name="_Toc387069500"/>
      <w:bookmarkStart w:id="567" w:name="_Toc387069687"/>
      <w:bookmarkStart w:id="568" w:name="_Toc387069896"/>
      <w:bookmarkStart w:id="569" w:name="_Toc387070095"/>
      <w:bookmarkStart w:id="570" w:name="_Toc387072360"/>
      <w:bookmarkStart w:id="571" w:name="_Toc387072571"/>
      <w:bookmarkStart w:id="572" w:name="_Toc387392600"/>
      <w:bookmarkStart w:id="573" w:name="_Toc379530378"/>
      <w:bookmarkStart w:id="574" w:name="_Toc391541604"/>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t>Effic</w:t>
      </w:r>
      <w:r w:rsidR="00EA28AE">
        <w:t xml:space="preserve">ient costs </w:t>
      </w:r>
      <w:r>
        <w:t>– Strategic assessments</w:t>
      </w:r>
      <w:bookmarkEnd w:id="573"/>
      <w:bookmarkEnd w:id="574"/>
    </w:p>
    <w:p w:rsidR="002E5288" w:rsidRDefault="002E5288" w:rsidP="002E5288">
      <w:bookmarkStart w:id="575" w:name="_Toc379530379"/>
      <w:r w:rsidRPr="00DA29BB">
        <w:t xml:space="preserve">The following steps </w:t>
      </w:r>
      <w:r>
        <w:t xml:space="preserve">outline the new </w:t>
      </w:r>
      <w:r w:rsidRPr="00DA29BB">
        <w:t xml:space="preserve">decision making </w:t>
      </w:r>
      <w:r>
        <w:t xml:space="preserve">process for </w:t>
      </w:r>
      <w:r w:rsidRPr="00DA29BB">
        <w:t>determin</w:t>
      </w:r>
      <w:r>
        <w:t>ing</w:t>
      </w:r>
      <w:r w:rsidRPr="00DA29BB">
        <w:t xml:space="preserve"> whether a strategic assessment </w:t>
      </w:r>
      <w:r>
        <w:t xml:space="preserve">would be suitable for </w:t>
      </w:r>
      <w:r w:rsidRPr="00DA29BB">
        <w:t>cost recover</w:t>
      </w:r>
      <w:r>
        <w:t>y</w:t>
      </w:r>
      <w:r w:rsidRPr="00DA29BB">
        <w:t>.</w:t>
      </w:r>
      <w:r>
        <w:t xml:space="preserve"> </w:t>
      </w:r>
    </w:p>
    <w:p w:rsidR="002B2485" w:rsidRDefault="002E5288" w:rsidP="002E5288">
      <w:pPr>
        <w:spacing w:after="0"/>
      </w:pPr>
      <w:r w:rsidRPr="002E5288">
        <w:rPr>
          <w:i/>
          <w:u w:val="single"/>
        </w:rPr>
        <w:t xml:space="preserve">Step 1 - Identification of </w:t>
      </w:r>
      <w:r w:rsidR="00B64DB5">
        <w:rPr>
          <w:i/>
          <w:u w:val="single"/>
        </w:rPr>
        <w:t>Applicant</w:t>
      </w:r>
      <w:r w:rsidRPr="002E5288">
        <w:rPr>
          <w:i/>
          <w:u w:val="single"/>
        </w:rPr>
        <w:t>/s</w:t>
      </w:r>
    </w:p>
    <w:p w:rsidR="002B2485" w:rsidRPr="002E5288" w:rsidRDefault="002B2485" w:rsidP="002E5288">
      <w:pPr>
        <w:spacing w:after="0"/>
        <w:rPr>
          <w:i/>
          <w:u w:val="single"/>
        </w:rPr>
      </w:pPr>
    </w:p>
    <w:p w:rsidR="000B573E" w:rsidRDefault="002E5288">
      <w:pPr>
        <w:spacing w:after="0"/>
      </w:pPr>
      <w:r>
        <w:t xml:space="preserve">Identification of the </w:t>
      </w:r>
      <w:r w:rsidR="00B64DB5">
        <w:t>applicant</w:t>
      </w:r>
      <w:r>
        <w:t xml:space="preserve">/s is the first step in determining whether it is appropriate for a strategic assessment to be cost recovered. </w:t>
      </w:r>
      <w:r w:rsidR="00B64DB5">
        <w:t>Applicant</w:t>
      </w:r>
      <w:r>
        <w:t>s could be</w:t>
      </w:r>
      <w:r w:rsidR="00235E04">
        <w:t xml:space="preserve"> state governments,</w:t>
      </w:r>
      <w:r>
        <w:t xml:space="preserve"> individuals, companies or groups of companies working for profit that seek a strategic assessment of a particular </w:t>
      </w:r>
      <w:r w:rsidR="004E2198">
        <w:t>policy, plan or program</w:t>
      </w:r>
      <w:r w:rsidR="00E13455">
        <w:t>.</w:t>
      </w:r>
    </w:p>
    <w:p w:rsidR="000B573E" w:rsidRDefault="000B573E">
      <w:pPr>
        <w:spacing w:after="0"/>
      </w:pPr>
    </w:p>
    <w:p w:rsidR="000B573E" w:rsidRDefault="002E5288">
      <w:r>
        <w:t>If a</w:t>
      </w:r>
      <w:r w:rsidR="00B64DB5">
        <w:t>n</w:t>
      </w:r>
      <w:r>
        <w:t xml:space="preserve"> </w:t>
      </w:r>
      <w:r w:rsidR="00B64DB5">
        <w:t>applicant</w:t>
      </w:r>
      <w:r>
        <w:t xml:space="preserve"> or group of </w:t>
      </w:r>
      <w:r w:rsidR="00B64DB5">
        <w:t>applicant</w:t>
      </w:r>
      <w:r>
        <w:t xml:space="preserve">s undertaking a </w:t>
      </w:r>
      <w:r w:rsidR="004E2198">
        <w:t>policy, plan or program</w:t>
      </w:r>
      <w:r>
        <w:t xml:space="preserve"> are clearly identifiable</w:t>
      </w:r>
      <w:r w:rsidR="00235E04">
        <w:t xml:space="preserve"> (that is, there is a small number of prospective approval holders)</w:t>
      </w:r>
      <w:r>
        <w:t>, then cost recovery may be appropriate (go to step 2 and 3 below).</w:t>
      </w:r>
    </w:p>
    <w:p w:rsidR="000B573E" w:rsidRDefault="002E5288">
      <w:r>
        <w:t xml:space="preserve">If </w:t>
      </w:r>
      <w:r w:rsidR="00B64DB5">
        <w:t xml:space="preserve">an applicant </w:t>
      </w:r>
      <w:r>
        <w:t xml:space="preserve">or a group of </w:t>
      </w:r>
      <w:r w:rsidR="00B64DB5">
        <w:t>applicant</w:t>
      </w:r>
      <w:r>
        <w:t>s cannot be clearly identified</w:t>
      </w:r>
      <w:r w:rsidR="00235E04">
        <w:t xml:space="preserve"> (there are a large number of prospective approval ho</w:t>
      </w:r>
      <w:r w:rsidR="007E4805">
        <w:t>ld</w:t>
      </w:r>
      <w:r w:rsidR="00235E04">
        <w:t>ers)</w:t>
      </w:r>
      <w:r>
        <w:t xml:space="preserve"> then budget funding should be considered, unless the </w:t>
      </w:r>
      <w:r w:rsidR="00235E04">
        <w:t>D</w:t>
      </w:r>
      <w:r>
        <w:t xml:space="preserve">epartment is over subscribed for budget funded strategic assessments (outlined above), noting, </w:t>
      </w:r>
      <w:r w:rsidR="00B64DB5">
        <w:t>applicant</w:t>
      </w:r>
      <w:r>
        <w:t xml:space="preserve">s will always have the right to seek an EPBC assessment under </w:t>
      </w:r>
      <w:r w:rsidR="007A6B5A">
        <w:t>P</w:t>
      </w:r>
      <w:r>
        <w:t>arts 7</w:t>
      </w:r>
      <w:r w:rsidR="007A6B5A">
        <w:t>—</w:t>
      </w:r>
      <w:r>
        <w:t xml:space="preserve">9 of the Act </w:t>
      </w:r>
    </w:p>
    <w:p w:rsidR="002E5288" w:rsidRDefault="002E5288" w:rsidP="002E5288">
      <w:pPr>
        <w:keepNext/>
        <w:spacing w:after="0"/>
        <w:rPr>
          <w:i/>
          <w:u w:val="single"/>
        </w:rPr>
      </w:pPr>
      <w:r w:rsidRPr="002E5288">
        <w:rPr>
          <w:i/>
          <w:u w:val="single"/>
        </w:rPr>
        <w:t xml:space="preserve">Step 2 - Determination of Commercial Benefit </w:t>
      </w:r>
    </w:p>
    <w:p w:rsidR="002B2485" w:rsidRPr="002E5288" w:rsidRDefault="002B2485" w:rsidP="002E5288">
      <w:pPr>
        <w:keepNext/>
        <w:spacing w:after="0"/>
        <w:rPr>
          <w:i/>
          <w:u w:val="single"/>
        </w:rPr>
      </w:pPr>
    </w:p>
    <w:p w:rsidR="002E5288" w:rsidRDefault="002E5288" w:rsidP="002E5288">
      <w:r>
        <w:t xml:space="preserve">The </w:t>
      </w:r>
      <w:r w:rsidR="00235E04">
        <w:t>D</w:t>
      </w:r>
      <w:r>
        <w:t xml:space="preserve">epartment will then consider whether the strategic assessment could provide a commercial benefit to the </w:t>
      </w:r>
      <w:r w:rsidR="00B64DB5">
        <w:t>applicant</w:t>
      </w:r>
      <w:r>
        <w:t>/s. This is of relevance to the cost recovery principle that ‘those who create the need for regulation should bear the costs’.</w:t>
      </w:r>
    </w:p>
    <w:p w:rsidR="002E5288" w:rsidRPr="00F756D3" w:rsidRDefault="002E5288" w:rsidP="002E5288">
      <w:r>
        <w:t>The assessment of a commercial benefit could be determined by, but is not li</w:t>
      </w:r>
      <w:r w:rsidR="00CC4B92">
        <w:t>mited to, the following factors:</w:t>
      </w:r>
    </w:p>
    <w:p w:rsidR="000B573E" w:rsidRDefault="007A6B5A">
      <w:pPr>
        <w:pStyle w:val="ListBullet"/>
      </w:pPr>
      <w:r>
        <w:t xml:space="preserve">The </w:t>
      </w:r>
      <w:r w:rsidR="002E5288">
        <w:t>s</w:t>
      </w:r>
      <w:r w:rsidR="002E5288" w:rsidRPr="00F03581">
        <w:t xml:space="preserve">tated mission/aim of the company or objective of the </w:t>
      </w:r>
      <w:r w:rsidR="004E2198">
        <w:t>policy, plan or program</w:t>
      </w:r>
      <w:r>
        <w:t>,</w:t>
      </w:r>
    </w:p>
    <w:p w:rsidR="000B573E" w:rsidRDefault="00F22D62">
      <w:pPr>
        <w:pStyle w:val="ListBullet"/>
      </w:pPr>
      <w:r>
        <w:t>P</w:t>
      </w:r>
      <w:r w:rsidR="002E5288" w:rsidRPr="00F03581">
        <w:t xml:space="preserve">rojected earnings to be generated from </w:t>
      </w:r>
      <w:r w:rsidR="00FA1D22">
        <w:t>projects under the policy, plan or program</w:t>
      </w:r>
      <w:r w:rsidR="007A6B5A">
        <w:t>, and</w:t>
      </w:r>
    </w:p>
    <w:p w:rsidR="000B573E" w:rsidRDefault="00F22D62">
      <w:pPr>
        <w:pStyle w:val="ListBullet"/>
      </w:pPr>
      <w:r>
        <w:t>W</w:t>
      </w:r>
      <w:r w:rsidR="002E5288">
        <w:t xml:space="preserve">hether a company, industry body or </w:t>
      </w:r>
      <w:r w:rsidR="00B64DB5">
        <w:t>applicant</w:t>
      </w:r>
      <w:r w:rsidR="002E5288">
        <w:t xml:space="preserve"> is acting on behalf of identifiable </w:t>
      </w:r>
      <w:r w:rsidR="00B64DB5">
        <w:t>applicant</w:t>
      </w:r>
      <w:r w:rsidR="00BB7E2D">
        <w:t>s</w:t>
      </w:r>
      <w:r w:rsidR="002E5288">
        <w:t xml:space="preserve"> or entities with clear and joint commercial interests. </w:t>
      </w:r>
    </w:p>
    <w:p w:rsidR="002E5288" w:rsidRDefault="002E5288" w:rsidP="002E5288">
      <w:r>
        <w:lastRenderedPageBreak/>
        <w:t xml:space="preserve">The information used to assess these criteria is largely publicly available, and could indicate the extent to which commercial factors and considerations are relevant to a cost recovery determination. If a commercial benefit is not identified, cost recovery may not be appropriate and alternative options may need to be discussed with the </w:t>
      </w:r>
      <w:r w:rsidR="00BB7E2D">
        <w:t>D</w:t>
      </w:r>
      <w:r>
        <w:t xml:space="preserve">epartment. If a clear commercial benefit is identified, step 3 will apply. </w:t>
      </w:r>
    </w:p>
    <w:p w:rsidR="002E5288" w:rsidRPr="002E5288" w:rsidRDefault="002E5288" w:rsidP="002E5288">
      <w:pPr>
        <w:spacing w:after="0"/>
        <w:rPr>
          <w:i/>
          <w:u w:val="single"/>
        </w:rPr>
      </w:pPr>
      <w:r w:rsidRPr="002E5288">
        <w:rPr>
          <w:i/>
          <w:u w:val="single"/>
        </w:rPr>
        <w:t>Step 3 - Ministerial Discretion</w:t>
      </w:r>
    </w:p>
    <w:p w:rsidR="002E5288" w:rsidRDefault="002E5288" w:rsidP="002E5288">
      <w:r>
        <w:t xml:space="preserve">The Minister </w:t>
      </w:r>
      <w:r w:rsidR="001D3010">
        <w:t>has</w:t>
      </w:r>
      <w:r>
        <w:t xml:space="preserve"> final discretion to determine whether a strategic assessment will be suitable for cost recovery. The Minister </w:t>
      </w:r>
      <w:r w:rsidR="001D3010">
        <w:t>has</w:t>
      </w:r>
      <w:r>
        <w:t xml:space="preserve"> some flexibility in making a final determination, but may take into consideration a broad range of factors to inform his or her decision, including:  </w:t>
      </w:r>
    </w:p>
    <w:p w:rsidR="000B573E" w:rsidRDefault="00F22D62">
      <w:pPr>
        <w:pStyle w:val="ListBullet"/>
      </w:pPr>
      <w:r>
        <w:t>W</w:t>
      </w:r>
      <w:r w:rsidR="002E5288">
        <w:t>hether cost recovery would drive efficiency in the assessment process</w:t>
      </w:r>
      <w:r w:rsidR="00431B6C">
        <w:t>,</w:t>
      </w:r>
    </w:p>
    <w:p w:rsidR="000B573E" w:rsidRDefault="00F22D62">
      <w:pPr>
        <w:pStyle w:val="ListBullet"/>
      </w:pPr>
      <w:r>
        <w:t xml:space="preserve">Whether </w:t>
      </w:r>
      <w:r w:rsidR="002E5288">
        <w:t>charging would be consistent with policy goals, including the development of regional capability and high-level strategic planning</w:t>
      </w:r>
      <w:r w:rsidR="00431B6C">
        <w:t>,</w:t>
      </w:r>
    </w:p>
    <w:p w:rsidR="000B573E" w:rsidRDefault="00F22D62">
      <w:pPr>
        <w:pStyle w:val="ListBullet"/>
      </w:pPr>
      <w:r>
        <w:t>W</w:t>
      </w:r>
      <w:r w:rsidR="002E5288">
        <w:t xml:space="preserve">illingness of </w:t>
      </w:r>
      <w:r w:rsidR="00B64DB5">
        <w:t>applicant</w:t>
      </w:r>
      <w:r w:rsidR="002E5288">
        <w:t>s to pay (</w:t>
      </w:r>
      <w:r w:rsidR="00CA3ABF" w:rsidRPr="00CA3ABF">
        <w:t xml:space="preserve">i.e. if a </w:t>
      </w:r>
      <w:r w:rsidR="004E2198">
        <w:t>policy, plan or program</w:t>
      </w:r>
      <w:r w:rsidR="00CA3ABF" w:rsidRPr="00CA3ABF">
        <w:t xml:space="preserve"> is not prioritised for budget funding due to the Department being over-subscribed, the applicant may still choose to pay</w:t>
      </w:r>
      <w:r w:rsidR="002E5288">
        <w:t>)</w:t>
      </w:r>
      <w:r w:rsidR="00431B6C">
        <w:t>,</w:t>
      </w:r>
    </w:p>
    <w:p w:rsidR="000B573E" w:rsidRDefault="00F22D62">
      <w:pPr>
        <w:pStyle w:val="ListBullet"/>
      </w:pPr>
      <w:r>
        <w:t>C</w:t>
      </w:r>
      <w:r w:rsidR="002E5288">
        <w:t>ost of the assessment, with consideration given to the total value of the project (</w:t>
      </w:r>
      <w:r w:rsidR="00CA3ABF" w:rsidRPr="00CA3ABF">
        <w:t xml:space="preserve">i.e. the Minister would assess whether cost recovery would undermine or prohibit the success of the </w:t>
      </w:r>
      <w:r w:rsidR="004E2198">
        <w:t>policy, plan or program</w:t>
      </w:r>
      <w:r w:rsidR="002E5288">
        <w:t>)</w:t>
      </w:r>
      <w:r w:rsidR="00431B6C">
        <w:t>,</w:t>
      </w:r>
    </w:p>
    <w:p w:rsidR="000B573E" w:rsidRDefault="00F22D62">
      <w:pPr>
        <w:pStyle w:val="ListBullet"/>
      </w:pPr>
      <w:r>
        <w:t>O</w:t>
      </w:r>
      <w:r w:rsidR="002E5288">
        <w:t xml:space="preserve">ther significant benefits to the community as a result of the </w:t>
      </w:r>
      <w:r w:rsidR="004E2198">
        <w:t>policy, plan or program</w:t>
      </w:r>
      <w:r w:rsidR="002E5288">
        <w:t>, including economic and social considerations</w:t>
      </w:r>
      <w:r w:rsidR="00431B6C">
        <w:t>,</w:t>
      </w:r>
    </w:p>
    <w:p w:rsidR="000B573E" w:rsidRDefault="00F22D62">
      <w:pPr>
        <w:pStyle w:val="ListBullet"/>
      </w:pPr>
      <w:r>
        <w:t>W</w:t>
      </w:r>
      <w:r w:rsidR="002E5288">
        <w:t>hether prioritising the strategic assessment for budget funding would be ethical, economic, efficient and effective</w:t>
      </w:r>
      <w:r w:rsidR="00431B6C">
        <w:t>, and</w:t>
      </w:r>
    </w:p>
    <w:p w:rsidR="000B573E" w:rsidRDefault="00F22D62">
      <w:pPr>
        <w:pStyle w:val="ListBullet"/>
      </w:pPr>
      <w:r>
        <w:t>T</w:t>
      </w:r>
      <w:r w:rsidR="002E5288">
        <w:t xml:space="preserve">he involvement of multiple stakeholders directly impacted by the </w:t>
      </w:r>
      <w:r w:rsidR="004E2198">
        <w:t>policy, plan or program</w:t>
      </w:r>
      <w:r w:rsidR="002E5288">
        <w:t>.</w:t>
      </w:r>
    </w:p>
    <w:p w:rsidR="002E5288" w:rsidRDefault="002E5288" w:rsidP="002E5288">
      <w:r w:rsidRPr="00FD4D07">
        <w:t xml:space="preserve">If the </w:t>
      </w:r>
      <w:r>
        <w:t xml:space="preserve">Minister determines that the </w:t>
      </w:r>
      <w:r w:rsidR="004E2198">
        <w:t>policy, plan or program</w:t>
      </w:r>
      <w:r w:rsidR="0064623E" w:rsidRPr="00FD4D07">
        <w:t xml:space="preserve"> </w:t>
      </w:r>
      <w:r>
        <w:t>is n</w:t>
      </w:r>
      <w:r w:rsidRPr="00FD4D07">
        <w:t xml:space="preserve">ot suitable for cost recovery, </w:t>
      </w:r>
      <w:r>
        <w:t xml:space="preserve">the </w:t>
      </w:r>
      <w:r w:rsidR="00BB7E2D">
        <w:t>D</w:t>
      </w:r>
      <w:r>
        <w:t xml:space="preserve">epartment would continue to provide advice to the </w:t>
      </w:r>
      <w:r w:rsidR="00B64DB5">
        <w:t>applicant</w:t>
      </w:r>
      <w:r>
        <w:t xml:space="preserve"> on alternative assessment methods if necessary, including the standard referral and assessment process under Part 7, 8 and 9 of the EPBC Act</w:t>
      </w:r>
      <w:r w:rsidR="00BB7E2D">
        <w:t xml:space="preserve">, or </w:t>
      </w:r>
      <w:r w:rsidR="00CA4E72">
        <w:t xml:space="preserve">whether the </w:t>
      </w:r>
      <w:r w:rsidR="004E2198">
        <w:t>policy, plan or program</w:t>
      </w:r>
      <w:r w:rsidR="0064623E">
        <w:t xml:space="preserve"> </w:t>
      </w:r>
      <w:r w:rsidR="00CA4E72">
        <w:t xml:space="preserve">is suitable for a </w:t>
      </w:r>
      <w:r w:rsidR="00BB7E2D">
        <w:t xml:space="preserve">budget funded strategic </w:t>
      </w:r>
      <w:r w:rsidR="00CA4E72">
        <w:t>assessment.</w:t>
      </w:r>
    </w:p>
    <w:p w:rsidR="00EA28AE" w:rsidRDefault="002E5288" w:rsidP="00AA48B9">
      <w:r w:rsidRPr="00843D9E">
        <w:t xml:space="preserve">If </w:t>
      </w:r>
      <w:r w:rsidR="00431B6C">
        <w:t xml:space="preserve">the Minister determines that </w:t>
      </w:r>
      <w:r w:rsidRPr="00843D9E">
        <w:t xml:space="preserve">cost recovery </w:t>
      </w:r>
      <w:r w:rsidR="00431B6C">
        <w:t>is</w:t>
      </w:r>
      <w:r w:rsidRPr="00843D9E">
        <w:t xml:space="preserve"> appropriate</w:t>
      </w:r>
      <w:r w:rsidR="001334D2">
        <w:t xml:space="preserve"> for the strategic assessment</w:t>
      </w:r>
      <w:r w:rsidR="00843D9E" w:rsidRPr="00843D9E">
        <w:t xml:space="preserve">, the </w:t>
      </w:r>
      <w:r w:rsidR="00B64DB5">
        <w:t>applicant</w:t>
      </w:r>
      <w:r w:rsidR="00843D9E" w:rsidRPr="00843D9E">
        <w:t xml:space="preserve"> and D</w:t>
      </w:r>
      <w:r w:rsidRPr="00843D9E">
        <w:t>epartment would agree costs prior to the assessment commencing</w:t>
      </w:r>
      <w:r w:rsidR="00380332">
        <w:t xml:space="preserve">. </w:t>
      </w:r>
      <w:r w:rsidRPr="00843D9E">
        <w:t>To agree costs, t</w:t>
      </w:r>
      <w:r w:rsidR="00380332">
        <w:t>he D</w:t>
      </w:r>
      <w:r w:rsidRPr="00843D9E">
        <w:t xml:space="preserve">epartment will write to the </w:t>
      </w:r>
      <w:r w:rsidR="00B64DB5">
        <w:t>applicant</w:t>
      </w:r>
      <w:r w:rsidRPr="00843D9E">
        <w:t xml:space="preserve"> with a proposed schedule of fees included in a contract, or service level agreement. This correspondence would seek the </w:t>
      </w:r>
      <w:r w:rsidR="00B64DB5">
        <w:t>applicant</w:t>
      </w:r>
      <w:r w:rsidRPr="00843D9E">
        <w:t xml:space="preserve">’s commitment to the strategic assessment and a response from the </w:t>
      </w:r>
      <w:r w:rsidR="00B64DB5">
        <w:t>applicant</w:t>
      </w:r>
      <w:r w:rsidRPr="00843D9E">
        <w:t xml:space="preserve"> confirming their agreement to proceed</w:t>
      </w:r>
      <w:r w:rsidR="007672DF">
        <w:t xml:space="preserve"> with the cost recovered strategic assessment</w:t>
      </w:r>
      <w:r w:rsidRPr="00843D9E">
        <w:t>.</w:t>
      </w:r>
    </w:p>
    <w:p w:rsidR="00C83D82" w:rsidRDefault="00C83D82" w:rsidP="00C83D82">
      <w:r w:rsidRPr="00C83D82">
        <w:rPr>
          <w:noProof/>
          <w:lang w:eastAsia="en-AU"/>
        </w:rPr>
        <w:lastRenderedPageBreak/>
        <w:drawing>
          <wp:inline distT="0" distB="0" distL="0" distR="0">
            <wp:extent cx="6590581" cy="2343513"/>
            <wp:effectExtent l="19050" t="0" r="719"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srcRect/>
                    <a:stretch>
                      <a:fillRect/>
                    </a:stretch>
                  </pic:blipFill>
                  <pic:spPr bwMode="auto">
                    <a:xfrm>
                      <a:off x="0" y="0"/>
                      <a:ext cx="6596482" cy="2345611"/>
                    </a:xfrm>
                    <a:prstGeom prst="rect">
                      <a:avLst/>
                    </a:prstGeom>
                    <a:noFill/>
                    <a:ln w="9525">
                      <a:noFill/>
                      <a:miter lim="800000"/>
                      <a:headEnd/>
                      <a:tailEnd/>
                    </a:ln>
                  </pic:spPr>
                </pic:pic>
              </a:graphicData>
            </a:graphic>
          </wp:inline>
        </w:drawing>
      </w:r>
    </w:p>
    <w:p w:rsidR="00C83D82" w:rsidRPr="00C83D82" w:rsidRDefault="00C83D82" w:rsidP="00C83D82">
      <w:pPr>
        <w:pStyle w:val="Caption"/>
      </w:pPr>
      <w:bookmarkStart w:id="576" w:name="_Ref387068650"/>
      <w:bookmarkStart w:id="577" w:name="_Toc387072719"/>
      <w:bookmarkStart w:id="578" w:name="_Toc391541643"/>
      <w:proofErr w:type="gramStart"/>
      <w:r>
        <w:t xml:space="preserve">Figure </w:t>
      </w:r>
      <w:r w:rsidR="00D30427">
        <w:fldChar w:fldCharType="begin"/>
      </w:r>
      <w:r w:rsidR="004D02C2">
        <w:instrText xml:space="preserve"> SEQ Figure \* ARABIC </w:instrText>
      </w:r>
      <w:r w:rsidR="00D30427">
        <w:fldChar w:fldCharType="separate"/>
      </w:r>
      <w:r w:rsidR="001D521C">
        <w:rPr>
          <w:noProof/>
        </w:rPr>
        <w:t>14</w:t>
      </w:r>
      <w:r w:rsidR="00D30427">
        <w:fldChar w:fldCharType="end"/>
      </w:r>
      <w:bookmarkEnd w:id="576"/>
      <w:r>
        <w:t>.</w:t>
      </w:r>
      <w:proofErr w:type="gramEnd"/>
      <w:r>
        <w:t xml:space="preserve"> Summary of Strategic assessment process for cost recovery</w:t>
      </w:r>
      <w:bookmarkEnd w:id="577"/>
      <w:bookmarkEnd w:id="578"/>
    </w:p>
    <w:p w:rsidR="00093EEA" w:rsidRDefault="00093EEA" w:rsidP="00093EEA">
      <w:pPr>
        <w:pStyle w:val="Heading3"/>
      </w:pPr>
      <w:bookmarkStart w:id="579" w:name="_Toc391541605"/>
      <w:r w:rsidRPr="00FC12C4">
        <w:t>Cost components</w:t>
      </w:r>
      <w:bookmarkEnd w:id="575"/>
      <w:bookmarkEnd w:id="579"/>
    </w:p>
    <w:p w:rsidR="00093EEA" w:rsidRPr="00FC12C4" w:rsidRDefault="00093EEA" w:rsidP="00093EEA">
      <w:r w:rsidRPr="00FC12C4">
        <w:t>Experience to date indicates that costs from one strategic assessment to another vary significantly, and there is no ‘one-size-fits-all’ cost model. The resourcing required to complete a strategic assessment depend</w:t>
      </w:r>
      <w:r>
        <w:t>s</w:t>
      </w:r>
      <w:r w:rsidRPr="00FC12C4">
        <w:t xml:space="preserve"> on a number of cost drivers, including the complexity or uncertainty of management planning arrangements and the size, scale, and environmental impacts (for example, </w:t>
      </w:r>
      <w:r>
        <w:t xml:space="preserve">the number of </w:t>
      </w:r>
      <w:r w:rsidRPr="00FC12C4">
        <w:t xml:space="preserve">matters of </w:t>
      </w:r>
      <w:r>
        <w:t>national environmental significance</w:t>
      </w:r>
      <w:r w:rsidRPr="00FC12C4">
        <w:t xml:space="preserve"> </w:t>
      </w:r>
      <w:r>
        <w:t>impacted</w:t>
      </w:r>
      <w:r w:rsidRPr="00FC12C4">
        <w:t xml:space="preserve">) of the </w:t>
      </w:r>
      <w:r w:rsidR="004E2198">
        <w:t>policy, plan or program</w:t>
      </w:r>
      <w:r w:rsidRPr="00FC12C4">
        <w:t xml:space="preserve">. </w:t>
      </w:r>
    </w:p>
    <w:p w:rsidR="00093EEA" w:rsidRPr="00C95D4F" w:rsidRDefault="00431B6C" w:rsidP="00093EEA">
      <w:r>
        <w:t>The d</w:t>
      </w:r>
      <w:r w:rsidR="00093EEA">
        <w:t>uration</w:t>
      </w:r>
      <w:r w:rsidR="00093EEA" w:rsidRPr="00FC12C4">
        <w:t xml:space="preserve"> of strategic assessments and </w:t>
      </w:r>
      <w:r w:rsidR="00093EEA">
        <w:t>associated</w:t>
      </w:r>
      <w:r w:rsidR="00093EEA" w:rsidRPr="00FC12C4">
        <w:t xml:space="preserve"> cost</w:t>
      </w:r>
      <w:r w:rsidR="00093EEA">
        <w:t>s</w:t>
      </w:r>
      <w:r w:rsidR="00093EEA" w:rsidRPr="00FC12C4">
        <w:t xml:space="preserve"> </w:t>
      </w:r>
      <w:r w:rsidR="00093EEA">
        <w:t xml:space="preserve">are also </w:t>
      </w:r>
      <w:r w:rsidR="00093EEA" w:rsidRPr="00FC12C4">
        <w:t xml:space="preserve">highly dependent on the </w:t>
      </w:r>
      <w:r w:rsidR="00B64DB5">
        <w:t>applicant</w:t>
      </w:r>
      <w:r w:rsidR="00093EEA" w:rsidRPr="00FC12C4">
        <w:t xml:space="preserve">’s responsiveness to requests for information from the </w:t>
      </w:r>
      <w:r w:rsidR="00093EEA">
        <w:t>D</w:t>
      </w:r>
      <w:r w:rsidR="00093EEA" w:rsidRPr="00FC12C4">
        <w:t xml:space="preserve">epartment, and </w:t>
      </w:r>
      <w:r w:rsidR="00093EEA">
        <w:t xml:space="preserve">whether </w:t>
      </w:r>
      <w:r w:rsidR="00093EEA" w:rsidRPr="00FC12C4">
        <w:t xml:space="preserve">the quality of information provided </w:t>
      </w:r>
      <w:r w:rsidR="00093EEA">
        <w:t>meets</w:t>
      </w:r>
      <w:r w:rsidR="00093EEA" w:rsidRPr="00FC12C4">
        <w:t xml:space="preserve"> legislative requirements for a robust assessment process. </w:t>
      </w:r>
      <w:r w:rsidR="00093EEA">
        <w:t xml:space="preserve">Where it is appropriate to do so, previous strategic assessments will be used as a guide to costing strategic assessments that are considered appropriate for cost recovery. </w:t>
      </w:r>
    </w:p>
    <w:p w:rsidR="00093EEA" w:rsidRDefault="00093EEA" w:rsidP="00093EEA">
      <w:pPr>
        <w:pStyle w:val="Heading3"/>
      </w:pPr>
      <w:bookmarkStart w:id="580" w:name="_Toc379530380"/>
      <w:bookmarkStart w:id="581" w:name="_Toc391541606"/>
      <w:r>
        <w:t xml:space="preserve">Base </w:t>
      </w:r>
      <w:r w:rsidRPr="00FC12C4">
        <w:t>costs</w:t>
      </w:r>
      <w:bookmarkEnd w:id="580"/>
      <w:bookmarkEnd w:id="581"/>
    </w:p>
    <w:p w:rsidR="00093EEA" w:rsidRPr="00FC12C4" w:rsidRDefault="00093EEA" w:rsidP="00093EEA">
      <w:r>
        <w:t>The current approach to delivering s</w:t>
      </w:r>
      <w:r w:rsidRPr="00FC12C4">
        <w:t xml:space="preserve">trategic assessments </w:t>
      </w:r>
      <w:r>
        <w:t xml:space="preserve">involves base </w:t>
      </w:r>
      <w:r w:rsidRPr="00FC12C4">
        <w:t xml:space="preserve">costs comprising </w:t>
      </w:r>
      <w:r>
        <w:t xml:space="preserve">salary and salary </w:t>
      </w:r>
      <w:r w:rsidRPr="00FC12C4">
        <w:t>on-costs</w:t>
      </w:r>
      <w:r>
        <w:t xml:space="preserve">, and </w:t>
      </w:r>
      <w:r w:rsidRPr="00FC12C4">
        <w:t>a</w:t>
      </w:r>
      <w:r>
        <w:t xml:space="preserve">n allocated share </w:t>
      </w:r>
      <w:r w:rsidRPr="00FC12C4">
        <w:t>of accommodation and property expenses, IT costs and human resources support</w:t>
      </w:r>
      <w:r>
        <w:t xml:space="preserve"> costs</w:t>
      </w:r>
      <w:r w:rsidRPr="00FC12C4">
        <w:t>.</w:t>
      </w:r>
    </w:p>
    <w:p w:rsidR="00093EEA" w:rsidRPr="00847272" w:rsidRDefault="00093EEA" w:rsidP="00093EEA">
      <w:r w:rsidRPr="00847272">
        <w:t>The approach for delivering strategic assessments involves a small team of dedicated staff working on a single strategic assessment. The team includes Project/Policy Officers to research and analyse reports, review and write briefing material, manage procurement processes, and visit project sites. An Assistant Director is required to lead each team of Project/Policy Officers and manage components of the assessment. A Director is required to manage a section comprising several teams, and provides strategic oversight. An Assistant Secretary is required to lead industry and government negotiations, facilitate stakeholder meetings and brief the Minister</w:t>
      </w:r>
      <w:r w:rsidR="00C66C28">
        <w:t>, and therefore part of an Assistant Secretary’s time is also factored into the costs</w:t>
      </w:r>
      <w:r w:rsidR="00DB1E64">
        <w:t>.</w:t>
      </w:r>
      <w:r w:rsidRPr="00847272">
        <w:t xml:space="preserve"> </w:t>
      </w:r>
    </w:p>
    <w:p w:rsidR="00093EEA" w:rsidRPr="00847272" w:rsidRDefault="00093EEA" w:rsidP="00093EEA">
      <w:r w:rsidRPr="00847272">
        <w:t xml:space="preserve">In some cases, strategic assessments require advice from specialist areas within the </w:t>
      </w:r>
      <w:r>
        <w:t>D</w:t>
      </w:r>
      <w:r w:rsidRPr="00847272">
        <w:t xml:space="preserve">epartment on issues relevant to the assessment, such as marine and heritage matters. These direct costs vary, and will depend on the requirements of the </w:t>
      </w:r>
      <w:r w:rsidR="004E2198">
        <w:t>policy, plan or program</w:t>
      </w:r>
      <w:r w:rsidRPr="00847272">
        <w:t>. The cost of advice from specialist areas uses a similar methodology as for the rest of the base costs attributable to a strategic assessment.</w:t>
      </w:r>
    </w:p>
    <w:p w:rsidR="00093EEA" w:rsidRPr="00847272" w:rsidRDefault="00093EEA" w:rsidP="00093EEA">
      <w:r w:rsidRPr="00847272">
        <w:lastRenderedPageBreak/>
        <w:t xml:space="preserve">The </w:t>
      </w:r>
      <w:r>
        <w:t>D</w:t>
      </w:r>
      <w:r w:rsidRPr="00847272">
        <w:t xml:space="preserve">epartment uses external experts where necessary to obtain advice on specialist matters. Additional expenses are also associated with visiting the project site, </w:t>
      </w:r>
      <w:r w:rsidR="00B64DB5">
        <w:t>applicant</w:t>
      </w:r>
      <w:r w:rsidRPr="00847272">
        <w:t xml:space="preserve"> and/or other regulators involved in the strategic assessment of the </w:t>
      </w:r>
      <w:r w:rsidR="004E2198">
        <w:t>policy, plan or program</w:t>
      </w:r>
      <w:r w:rsidRPr="00847272">
        <w:t xml:space="preserve">. These costs are commensurate with the size and complexity of a project, and are subject to </w:t>
      </w:r>
      <w:r w:rsidR="001C2CB2">
        <w:t>departmental</w:t>
      </w:r>
      <w:r w:rsidRPr="00847272">
        <w:t xml:space="preserve"> procurement policies to obtain best value for money in line with the broader </w:t>
      </w:r>
      <w:r w:rsidR="00720554">
        <w:t>Commonwealth Procurement Rules</w:t>
      </w:r>
      <w:r w:rsidR="00720554">
        <w:rPr>
          <w:rStyle w:val="FootnoteReference"/>
        </w:rPr>
        <w:footnoteReference w:id="33"/>
      </w:r>
      <w:r w:rsidRPr="00847272">
        <w:t>.</w:t>
      </w:r>
    </w:p>
    <w:p w:rsidR="000B573E" w:rsidRDefault="00055551">
      <w:pPr>
        <w:pStyle w:val="Heading2"/>
      </w:pPr>
      <w:bookmarkStart w:id="582" w:name="_Toc391541607"/>
      <w:r>
        <w:t>Charges for the activity</w:t>
      </w:r>
      <w:bookmarkEnd w:id="582"/>
      <w:r>
        <w:t xml:space="preserve"> </w:t>
      </w:r>
    </w:p>
    <w:p w:rsidR="00055551" w:rsidRDefault="00055551" w:rsidP="00055551">
      <w:pPr>
        <w:pStyle w:val="Heading3"/>
      </w:pPr>
      <w:bookmarkStart w:id="583" w:name="_Toc379530383"/>
      <w:bookmarkStart w:id="584" w:name="_Toc391541608"/>
      <w:r w:rsidRPr="00FC12C4">
        <w:t>Schedule of fees and charges</w:t>
      </w:r>
      <w:bookmarkEnd w:id="583"/>
      <w:bookmarkEnd w:id="584"/>
    </w:p>
    <w:p w:rsidR="00F96F44" w:rsidRPr="003B4038" w:rsidRDefault="00055551" w:rsidP="00121074">
      <w:pPr>
        <w:pStyle w:val="ListParagraph"/>
        <w:numPr>
          <w:ilvl w:val="0"/>
          <w:numId w:val="0"/>
        </w:numPr>
      </w:pPr>
      <w:r w:rsidRPr="00FC12C4">
        <w:t xml:space="preserve">Where </w:t>
      </w:r>
      <w:r w:rsidR="00431B6C">
        <w:t xml:space="preserve">the Minister considers that </w:t>
      </w:r>
      <w:r w:rsidRPr="00FC12C4">
        <w:t xml:space="preserve">cost recovery of strategic assessments </w:t>
      </w:r>
      <w:r>
        <w:t xml:space="preserve">is appropriate, the </w:t>
      </w:r>
      <w:r w:rsidR="00431B6C">
        <w:t xml:space="preserve">Minister will determine the </w:t>
      </w:r>
      <w:r>
        <w:t>total quantum of fees and payment schedule on a case by case basis and agreed with a</w:t>
      </w:r>
      <w:r w:rsidR="00A00653">
        <w:t>n</w:t>
      </w:r>
      <w:r>
        <w:t xml:space="preserve"> </w:t>
      </w:r>
      <w:r w:rsidR="00B64DB5">
        <w:t>applicant</w:t>
      </w:r>
      <w:r>
        <w:t xml:space="preserve"> prior to commencement of the strategic assessment.</w:t>
      </w:r>
      <w:r w:rsidRPr="00FC12C4">
        <w:t xml:space="preserve"> Fees will be based on the level of </w:t>
      </w:r>
      <w:r w:rsidR="001C2CB2">
        <w:t>departmental</w:t>
      </w:r>
      <w:r w:rsidRPr="00FC12C4">
        <w:t xml:space="preserve"> resourcing required to assess the </w:t>
      </w:r>
      <w:r w:rsidR="004E2198">
        <w:t>policy, plan or program</w:t>
      </w:r>
      <w:r>
        <w:t>,</w:t>
      </w:r>
      <w:r w:rsidR="00B528B6">
        <w:t xml:space="preserve"> and will also depend</w:t>
      </w:r>
      <w:r w:rsidRPr="00C80114">
        <w:t xml:space="preserve"> upon the length of the assessment.</w:t>
      </w:r>
      <w:r w:rsidR="00121074">
        <w:t xml:space="preserve"> </w:t>
      </w:r>
      <w:r w:rsidR="00431B6C">
        <w:t>The Department will calculate f</w:t>
      </w:r>
      <w:r w:rsidR="00121074" w:rsidRPr="003B4038">
        <w:t>ees prior to the beginning of the strategic assessment. Th</w:t>
      </w:r>
      <w:r w:rsidR="00431B6C">
        <w:t xml:space="preserve">e applicant and the Department </w:t>
      </w:r>
      <w:r w:rsidR="00121074" w:rsidRPr="003B4038">
        <w:t xml:space="preserve">will </w:t>
      </w:r>
      <w:r w:rsidR="00431B6C">
        <w:t xml:space="preserve">agree on the fees </w:t>
      </w:r>
      <w:r w:rsidR="00121074" w:rsidRPr="003B4038">
        <w:t xml:space="preserve">through an exchange of letters, initiated by the </w:t>
      </w:r>
      <w:r w:rsidR="00121074">
        <w:t>D</w:t>
      </w:r>
      <w:r w:rsidR="00121074" w:rsidRPr="003B4038">
        <w:t xml:space="preserve">epartment, prior to entering into the strategic assessment agreement, which is the first statutory step in the assessment process. The </w:t>
      </w:r>
      <w:r w:rsidR="00121074">
        <w:t>D</w:t>
      </w:r>
      <w:r w:rsidR="00121074" w:rsidRPr="003B4038">
        <w:t xml:space="preserve">epartment will write to the </w:t>
      </w:r>
      <w:r w:rsidR="00B64DB5">
        <w:t>applicant</w:t>
      </w:r>
      <w:r w:rsidR="00121074" w:rsidRPr="003B4038">
        <w:t xml:space="preserve"> with a proposed schedule of fees included in a contract, or service level agreement, applying the agreed costing methodology. </w:t>
      </w:r>
      <w:r w:rsidR="00431B6C">
        <w:t xml:space="preserve">The Department </w:t>
      </w:r>
      <w:r w:rsidR="00121074" w:rsidRPr="003B4038">
        <w:t xml:space="preserve">would seek the </w:t>
      </w:r>
      <w:r w:rsidR="00B64DB5">
        <w:t>applicant</w:t>
      </w:r>
      <w:r w:rsidR="00121074" w:rsidRPr="003B4038">
        <w:t xml:space="preserve">’s commitment to the strategic assessment and a response from the </w:t>
      </w:r>
      <w:r w:rsidR="00B64DB5">
        <w:t>applicant</w:t>
      </w:r>
      <w:r w:rsidR="00121074" w:rsidRPr="003B4038">
        <w:t xml:space="preserve"> confirming their agreement to proceed. Upon the </w:t>
      </w:r>
      <w:r w:rsidR="00B64DB5">
        <w:t>applicant</w:t>
      </w:r>
      <w:r w:rsidR="00121074" w:rsidRPr="003B4038">
        <w:t>’s agreement, the strategic assessment will commence.</w:t>
      </w:r>
      <w:r w:rsidR="00F96F44">
        <w:t xml:space="preserve"> The service level agreement will articulate the timing and quality of information that the </w:t>
      </w:r>
      <w:r w:rsidR="00B64DB5">
        <w:t>applicant</w:t>
      </w:r>
      <w:r w:rsidR="00F96F44">
        <w:t xml:space="preserve"> will need to provide in order to meet the timeframes</w:t>
      </w:r>
      <w:r w:rsidR="00431B6C">
        <w:t>, and the services that the Department will provide</w:t>
      </w:r>
      <w:r w:rsidR="00F96F44">
        <w:t>.</w:t>
      </w:r>
    </w:p>
    <w:p w:rsidR="000B573E" w:rsidRDefault="00121074">
      <w:pPr>
        <w:pStyle w:val="Heading4"/>
      </w:pPr>
      <w:bookmarkStart w:id="585" w:name="_Toc379530384"/>
      <w:r w:rsidRPr="003B4038">
        <w:t>Two tier charging model</w:t>
      </w:r>
    </w:p>
    <w:p w:rsidR="00121074" w:rsidRPr="003B4038" w:rsidRDefault="00121074" w:rsidP="00121074">
      <w:r w:rsidRPr="003B4038">
        <w:t xml:space="preserve">The strategic assessment costing model has two price tiers over the life of the assessment. Although the level of costs and fees may vary for each strategic assessment, the two price tier model </w:t>
      </w:r>
      <w:r w:rsidR="001D3010">
        <w:t>is</w:t>
      </w:r>
      <w:r w:rsidRPr="003B4038">
        <w:t xml:space="preserve"> standard for all assessments at tailored rates. The price tiers are linked to key stages of the assessment (refer Fee Summary Table below), </w:t>
      </w:r>
      <w:r w:rsidR="00B528B6">
        <w:t xml:space="preserve">and recognise the variation in </w:t>
      </w:r>
      <w:r w:rsidR="001C2CB2">
        <w:t>departmental</w:t>
      </w:r>
      <w:r w:rsidRPr="003B4038">
        <w:t xml:space="preserve"> effort required to complete each stage on a pro-rata basis:</w:t>
      </w:r>
    </w:p>
    <w:p w:rsidR="000B573E" w:rsidRDefault="00CA3ABF">
      <w:pPr>
        <w:pStyle w:val="ListBullet"/>
      </w:pPr>
      <w:r w:rsidRPr="00CA3ABF">
        <w:rPr>
          <w:b/>
        </w:rPr>
        <w:t>Tier 1:</w:t>
      </w:r>
      <w:r w:rsidR="00121074" w:rsidRPr="003B4038">
        <w:t xml:space="preserve"> The </w:t>
      </w:r>
      <w:r w:rsidR="00121074">
        <w:t>D</w:t>
      </w:r>
      <w:r w:rsidR="00121074" w:rsidRPr="003B4038">
        <w:t>epartment experiences the lowest costs within the first two stages of the project commencing</w:t>
      </w:r>
      <w:r w:rsidR="008F17D2">
        <w:t>,</w:t>
      </w:r>
      <w:r w:rsidR="00121074" w:rsidRPr="003B4038">
        <w:t xml:space="preserve"> the strategic agreement and terms of reference stages, which both occur over nine months in the hypothetical example. Approximately 20% of the total assessment effort is required during this period. Fees are comprised of apportioned costs across the entire period. </w:t>
      </w:r>
    </w:p>
    <w:p w:rsidR="000B573E" w:rsidRDefault="00CA3ABF">
      <w:pPr>
        <w:pStyle w:val="ListBullet"/>
      </w:pPr>
      <w:r w:rsidRPr="00CA3ABF">
        <w:rPr>
          <w:b/>
        </w:rPr>
        <w:t>Tier 2:</w:t>
      </w:r>
      <w:r w:rsidR="00121074" w:rsidRPr="003B4038">
        <w:t xml:space="preserve"> The start point for the Tier 2 charging rate is when </w:t>
      </w:r>
      <w:r w:rsidR="00B64DB5">
        <w:t xml:space="preserve">an applicant </w:t>
      </w:r>
      <w:r w:rsidR="00121074" w:rsidRPr="003B4038">
        <w:t xml:space="preserve">submits to the </w:t>
      </w:r>
      <w:r w:rsidR="00B42E8A">
        <w:t>Department</w:t>
      </w:r>
      <w:r w:rsidR="00121074" w:rsidRPr="003B4038">
        <w:t xml:space="preserve"> a first draft of either the ‘Plan, Policy or Program’ or the strategic assessment report for comment prior to their public release. The </w:t>
      </w:r>
      <w:r w:rsidR="0037491E">
        <w:t>D</w:t>
      </w:r>
      <w:r w:rsidR="00121074" w:rsidRPr="003B4038">
        <w:t xml:space="preserve">epartment experiences highest costs during the remaining stages of the project, which in the hypothetical example is the remaining 15 months. This amounts to 80% of the total assessment effort. Costs vary slightly from month to month during this period, but fees are comprised of apportioned costs across the entire period. </w:t>
      </w:r>
    </w:p>
    <w:p w:rsidR="00121074" w:rsidRPr="003B4038" w:rsidRDefault="00B77D11" w:rsidP="00121074">
      <w:pPr>
        <w:pStyle w:val="ListParagraph"/>
        <w:numPr>
          <w:ilvl w:val="0"/>
          <w:numId w:val="0"/>
        </w:numPr>
      </w:pPr>
      <w:r>
        <w:t xml:space="preserve">The Department </w:t>
      </w:r>
      <w:r w:rsidR="001D3010">
        <w:t>will usually</w:t>
      </w:r>
      <w:r>
        <w:t xml:space="preserve"> set f</w:t>
      </w:r>
      <w:r w:rsidR="00121074" w:rsidRPr="003B4038">
        <w:t>ees as a monthly rate and collect</w:t>
      </w:r>
      <w:r>
        <w:t xml:space="preserve"> fees</w:t>
      </w:r>
      <w:r w:rsidR="00121074" w:rsidRPr="003B4038">
        <w:t xml:space="preserve"> on a quarterly basis. Fees</w:t>
      </w:r>
      <w:r>
        <w:t xml:space="preserve"> </w:t>
      </w:r>
      <w:r w:rsidR="001D3010">
        <w:t>are</w:t>
      </w:r>
      <w:r w:rsidR="00121074" w:rsidRPr="003B4038">
        <w:t xml:space="preserve"> set within the two tier structure described above. Fee increments are closely linked to the </w:t>
      </w:r>
      <w:r w:rsidR="00121074" w:rsidRPr="003B4038">
        <w:lastRenderedPageBreak/>
        <w:t xml:space="preserve">actual costs incurred by the </w:t>
      </w:r>
      <w:r w:rsidR="0037491E">
        <w:t>D</w:t>
      </w:r>
      <w:r w:rsidR="00121074" w:rsidRPr="003B4038">
        <w:t>epartment over each stage of the assessment. The Tier 1 and Tier 2 fees will vary from project to project because costs are tailored to meet the individual requirements of each assessment. Quarterly fees are considered appropriate for staging fees across the total assessment period. Alternatively, fees could be set on a monthly basis if desired, though this would create an additional increase in administrative load for the processing of additional payments of lesser value.</w:t>
      </w:r>
    </w:p>
    <w:p w:rsidR="000B573E" w:rsidRDefault="00121074">
      <w:pPr>
        <w:pStyle w:val="Heading4"/>
      </w:pPr>
      <w:r w:rsidRPr="003B4038">
        <w:t>Accounting for change in project timeframes (</w:t>
      </w:r>
      <w:r w:rsidR="00DB1E64" w:rsidRPr="003B4038">
        <w:t>unforeseen</w:t>
      </w:r>
      <w:r w:rsidRPr="003B4038">
        <w:t xml:space="preserve"> circumstances)</w:t>
      </w:r>
    </w:p>
    <w:p w:rsidR="00121074" w:rsidRPr="003B4038" w:rsidRDefault="00121074" w:rsidP="00121074">
      <w:r w:rsidRPr="003B4038">
        <w:t xml:space="preserve">The duration of assessment stages can be variable due to a number of reasons outside of the control of the </w:t>
      </w:r>
      <w:r w:rsidR="00B42E8A">
        <w:t>Department</w:t>
      </w:r>
      <w:r w:rsidRPr="003B4038">
        <w:t xml:space="preserve">. The </w:t>
      </w:r>
      <w:r w:rsidR="00B42E8A">
        <w:t>Department</w:t>
      </w:r>
      <w:r w:rsidRPr="003B4038">
        <w:t xml:space="preserve"> </w:t>
      </w:r>
      <w:r w:rsidR="001D3010">
        <w:t>has</w:t>
      </w:r>
      <w:r w:rsidRPr="003B4038">
        <w:t xml:space="preserve"> some flexibility in cases where costing and/or time assumptions change during the assessment. For example:</w:t>
      </w:r>
    </w:p>
    <w:p w:rsidR="000B573E" w:rsidRDefault="00121074">
      <w:pPr>
        <w:pStyle w:val="ListBullet"/>
      </w:pPr>
      <w:r w:rsidRPr="003B4038">
        <w:t>If the assessment is delayed beyond the projected timeframe for</w:t>
      </w:r>
      <w:r w:rsidR="008133C6">
        <w:t xml:space="preserve"> any stage, additional charges </w:t>
      </w:r>
      <w:r w:rsidRPr="003B4038">
        <w:t xml:space="preserve">at monthly or quarterly rates depending on the length of delay will be applied until that stage of the assessment is completed. Additional charges will only apply where the delay is a result of the </w:t>
      </w:r>
      <w:r w:rsidR="00B64DB5">
        <w:t>applicant</w:t>
      </w:r>
      <w:r w:rsidRPr="003B4038">
        <w:t xml:space="preserve">’s actions or a lack thereof. Delays of this kind would result in higher costs for the </w:t>
      </w:r>
      <w:r w:rsidR="00B42E8A">
        <w:t>Department</w:t>
      </w:r>
      <w:r w:rsidRPr="003B4038">
        <w:t xml:space="preserve"> due to additional time taken to assess the </w:t>
      </w:r>
      <w:r w:rsidR="004E2198">
        <w:t>policy, plan or program</w:t>
      </w:r>
      <w:r w:rsidRPr="003B4038">
        <w:t>.</w:t>
      </w:r>
    </w:p>
    <w:p w:rsidR="000B573E" w:rsidRDefault="00121074">
      <w:pPr>
        <w:pStyle w:val="ListBullet"/>
      </w:pPr>
      <w:r w:rsidRPr="003B4038">
        <w:t xml:space="preserve">Conversely, if stages of the assessment are completed in a shorter timeframe, then lower costs will be experienced by the </w:t>
      </w:r>
      <w:r w:rsidR="0037491E">
        <w:t>D</w:t>
      </w:r>
      <w:r w:rsidRPr="003B4038">
        <w:t xml:space="preserve">epartment, and fees are reduced for the </w:t>
      </w:r>
      <w:r w:rsidR="00B64DB5">
        <w:t>applicant</w:t>
      </w:r>
      <w:r w:rsidRPr="003B4038">
        <w:t>.</w:t>
      </w:r>
    </w:p>
    <w:p w:rsidR="000B573E" w:rsidRDefault="00121074">
      <w:pPr>
        <w:pStyle w:val="Heading4"/>
      </w:pPr>
      <w:r w:rsidRPr="003B4038">
        <w:t xml:space="preserve">Accounting for extended project delays (driven by the </w:t>
      </w:r>
      <w:r w:rsidR="00B64DB5">
        <w:t>applicant</w:t>
      </w:r>
      <w:r w:rsidRPr="003B4038">
        <w:t>)</w:t>
      </w:r>
    </w:p>
    <w:p w:rsidR="00121074" w:rsidRPr="003B4038" w:rsidRDefault="00121074" w:rsidP="00121074">
      <w:r w:rsidRPr="003B4038">
        <w:t xml:space="preserve">The </w:t>
      </w:r>
      <w:r w:rsidR="0037491E">
        <w:t>D</w:t>
      </w:r>
      <w:r w:rsidRPr="003B4038">
        <w:t xml:space="preserve">epartment and/or </w:t>
      </w:r>
      <w:r w:rsidR="00B64DB5">
        <w:t>applicant</w:t>
      </w:r>
      <w:r w:rsidRPr="003B4038">
        <w:t xml:space="preserve"> </w:t>
      </w:r>
      <w:r w:rsidR="001D5727">
        <w:t>have</w:t>
      </w:r>
      <w:r w:rsidRPr="003B4038">
        <w:t xml:space="preserve"> the option to ‘pause’ the assessment if either party identifies that the assessment is likely to be on hold or delayed for a length of time. </w:t>
      </w:r>
      <w:r w:rsidR="00B77D11">
        <w:t>Either party can initiate t</w:t>
      </w:r>
      <w:r w:rsidRPr="003B4038">
        <w:t xml:space="preserve">he pause period, but </w:t>
      </w:r>
      <w:r w:rsidR="00B77D11">
        <w:t xml:space="preserve">both parties </w:t>
      </w:r>
      <w:r w:rsidRPr="003B4038">
        <w:t xml:space="preserve">must </w:t>
      </w:r>
      <w:r w:rsidR="00B77D11">
        <w:t>agree to the pause</w:t>
      </w:r>
      <w:r w:rsidRPr="003B4038">
        <w:t xml:space="preserve"> before </w:t>
      </w:r>
      <w:r w:rsidR="00B77D11">
        <w:t>it</w:t>
      </w:r>
      <w:r w:rsidRPr="003B4038">
        <w:t xml:space="preserve"> can come into effect.</w:t>
      </w:r>
    </w:p>
    <w:p w:rsidR="00121074" w:rsidRPr="003B4038" w:rsidRDefault="00121074" w:rsidP="00121074">
      <w:pPr>
        <w:pStyle w:val="ListParagraph"/>
        <w:numPr>
          <w:ilvl w:val="0"/>
          <w:numId w:val="0"/>
        </w:numPr>
      </w:pPr>
      <w:r w:rsidRPr="003B4038">
        <w:t xml:space="preserve">During these periods, the </w:t>
      </w:r>
      <w:r w:rsidR="001B73FB">
        <w:t>D</w:t>
      </w:r>
      <w:r w:rsidRPr="003B4038">
        <w:t>epartment will not undertake further work on the assessment and no fee will be charged, noting that:</w:t>
      </w:r>
    </w:p>
    <w:p w:rsidR="000B573E" w:rsidRDefault="00121074">
      <w:pPr>
        <w:pStyle w:val="ListBullet"/>
      </w:pPr>
      <w:r w:rsidRPr="003B4038">
        <w:t xml:space="preserve">The minimum pause period </w:t>
      </w:r>
      <w:r w:rsidR="001D3010">
        <w:t>is</w:t>
      </w:r>
      <w:r w:rsidRPr="003B4038">
        <w:t xml:space="preserve"> 1 month.</w:t>
      </w:r>
    </w:p>
    <w:p w:rsidR="000B573E" w:rsidRDefault="00121074">
      <w:pPr>
        <w:pStyle w:val="ListBullet"/>
      </w:pPr>
      <w:r w:rsidRPr="003B4038">
        <w:t xml:space="preserve">Once both parties agree that the assessment is to be put on hold, there would be a wind down fee at the Tier 2 rate for 1 month to close off the project temporarily. </w:t>
      </w:r>
    </w:p>
    <w:p w:rsidR="000B573E" w:rsidRDefault="00121074">
      <w:pPr>
        <w:pStyle w:val="ListBullet"/>
      </w:pPr>
      <w:r w:rsidRPr="003B4038">
        <w:t xml:space="preserve">The first month of assessment following recommencement would be charged at the Tier 2 rate which directly relates to the higher effort / time for the </w:t>
      </w:r>
      <w:r w:rsidR="00B42E8A">
        <w:t>Department</w:t>
      </w:r>
      <w:r w:rsidRPr="003B4038">
        <w:t xml:space="preserve"> to re-engage with the </w:t>
      </w:r>
      <w:r w:rsidR="004E2198">
        <w:t>policy, plan or program</w:t>
      </w:r>
      <w:r w:rsidR="00A00653" w:rsidRPr="003B4038">
        <w:t xml:space="preserve"> </w:t>
      </w:r>
      <w:r w:rsidRPr="003B4038">
        <w:t>and pick up where the assessment left off. This fee would apply regardless of the length of time the assessment has been dormant.</w:t>
      </w:r>
    </w:p>
    <w:p w:rsidR="003A2049" w:rsidRDefault="003A2049" w:rsidP="003A2049">
      <w:pPr>
        <w:pStyle w:val="Heading4"/>
      </w:pPr>
      <w:r>
        <w:t xml:space="preserve">Post approval management plan </w:t>
      </w:r>
      <w:r w:rsidR="00852BAF">
        <w:t xml:space="preserve">and contingent activity </w:t>
      </w:r>
      <w:r>
        <w:t xml:space="preserve">fees </w:t>
      </w:r>
    </w:p>
    <w:p w:rsidR="003A2049" w:rsidRDefault="003A2049" w:rsidP="003A2049">
      <w:r>
        <w:t>In circumstances where a policy, plan or program has been endorsed by the Minister, and the policy, plan or program or the strategic assessment approval provides for subsequent plans to manage impacts on matters of national environmental significance to be assessed and approved by the Minister, the Minister may consult with the applicant on the case by case fees to be paid for this assessment work.</w:t>
      </w:r>
    </w:p>
    <w:p w:rsidR="00852BAF" w:rsidRPr="003A2049" w:rsidRDefault="00852BAF" w:rsidP="003A2049">
      <w:r>
        <w:t xml:space="preserve">In addition, the Minister may consult with the applicant on the case by case fees to be paid for an additional strategic assessment approval under Part 10 of the EPBC Act, a variation to conditions </w:t>
      </w:r>
      <w:r>
        <w:lastRenderedPageBreak/>
        <w:t>of approval, or a variation of a post approval action management plan under conditions of approval.</w:t>
      </w:r>
    </w:p>
    <w:p w:rsidR="00055551" w:rsidRDefault="00055551" w:rsidP="00055551">
      <w:pPr>
        <w:pStyle w:val="Heading3"/>
      </w:pPr>
      <w:bookmarkStart w:id="586" w:name="_Toc387064838"/>
      <w:bookmarkStart w:id="587" w:name="_Toc387065050"/>
      <w:bookmarkStart w:id="588" w:name="_Toc387065256"/>
      <w:bookmarkStart w:id="589" w:name="_Toc387065467"/>
      <w:bookmarkStart w:id="590" w:name="_Toc387065673"/>
      <w:bookmarkStart w:id="591" w:name="_Toc387065878"/>
      <w:bookmarkStart w:id="592" w:name="_Toc387066081"/>
      <w:bookmarkStart w:id="593" w:name="_Toc387066270"/>
      <w:bookmarkStart w:id="594" w:name="_Toc387069506"/>
      <w:bookmarkStart w:id="595" w:name="_Toc387069693"/>
      <w:bookmarkStart w:id="596" w:name="_Toc387069902"/>
      <w:bookmarkStart w:id="597" w:name="_Toc387070101"/>
      <w:bookmarkStart w:id="598" w:name="_Toc387072366"/>
      <w:bookmarkStart w:id="599" w:name="_Toc387072577"/>
      <w:bookmarkStart w:id="600" w:name="_Toc387392606"/>
      <w:bookmarkStart w:id="601" w:name="_Toc391541609"/>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FC12C4">
        <w:t>Changes in cost base</w:t>
      </w:r>
      <w:bookmarkEnd w:id="585"/>
      <w:bookmarkEnd w:id="601"/>
    </w:p>
    <w:p w:rsidR="000B573E" w:rsidRDefault="00040799">
      <w:r>
        <w:t>During the 2014-15 financial year the Department does not anticipate significant capital expenditure nor increases in salary or supplier costs.  If these expenses do increase, the Department will revise the cost recovery fees in accordance with the Australian Government’s Cost Recovery Guidelines.</w:t>
      </w:r>
    </w:p>
    <w:p w:rsidR="00055551" w:rsidRDefault="00055551" w:rsidP="00055551">
      <w:pPr>
        <w:pStyle w:val="Heading3"/>
      </w:pPr>
      <w:bookmarkStart w:id="602" w:name="_Toc387064840"/>
      <w:bookmarkStart w:id="603" w:name="_Toc387065052"/>
      <w:bookmarkStart w:id="604" w:name="_Toc387065258"/>
      <w:bookmarkStart w:id="605" w:name="_Toc387065469"/>
      <w:bookmarkStart w:id="606" w:name="_Toc387065675"/>
      <w:bookmarkStart w:id="607" w:name="_Toc387065880"/>
      <w:bookmarkStart w:id="608" w:name="_Toc387066083"/>
      <w:bookmarkStart w:id="609" w:name="_Toc387066272"/>
      <w:bookmarkStart w:id="610" w:name="_Toc387069508"/>
      <w:bookmarkStart w:id="611" w:name="_Toc387069695"/>
      <w:bookmarkStart w:id="612" w:name="_Toc387069904"/>
      <w:bookmarkStart w:id="613" w:name="_Toc387070103"/>
      <w:bookmarkStart w:id="614" w:name="_Toc387072368"/>
      <w:bookmarkStart w:id="615" w:name="_Toc387072579"/>
      <w:bookmarkStart w:id="616" w:name="_Toc387392608"/>
      <w:bookmarkStart w:id="617" w:name="_Toc387064841"/>
      <w:bookmarkStart w:id="618" w:name="_Toc387065053"/>
      <w:bookmarkStart w:id="619" w:name="_Toc387065259"/>
      <w:bookmarkStart w:id="620" w:name="_Toc387065470"/>
      <w:bookmarkStart w:id="621" w:name="_Toc387065676"/>
      <w:bookmarkStart w:id="622" w:name="_Toc387065881"/>
      <w:bookmarkStart w:id="623" w:name="_Toc387066084"/>
      <w:bookmarkStart w:id="624" w:name="_Toc387066273"/>
      <w:bookmarkStart w:id="625" w:name="_Toc387069509"/>
      <w:bookmarkStart w:id="626" w:name="_Toc387069696"/>
      <w:bookmarkStart w:id="627" w:name="_Toc387069905"/>
      <w:bookmarkStart w:id="628" w:name="_Toc387070104"/>
      <w:bookmarkStart w:id="629" w:name="_Toc387072369"/>
      <w:bookmarkStart w:id="630" w:name="_Toc387072580"/>
      <w:bookmarkStart w:id="631" w:name="_Toc387392609"/>
      <w:bookmarkStart w:id="632" w:name="_Toc391541610"/>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FC12C4">
        <w:t>Volume and/or demand assumptions</w:t>
      </w:r>
      <w:bookmarkEnd w:id="632"/>
    </w:p>
    <w:p w:rsidR="00055551" w:rsidRPr="00FC12C4" w:rsidRDefault="00055551" w:rsidP="00055551">
      <w:r w:rsidRPr="00FC12C4">
        <w:t xml:space="preserve">Demand for cost recovered strategic assessments under a ‘fee for service’ model is difficult to predict. </w:t>
      </w:r>
      <w:r>
        <w:t xml:space="preserve">The </w:t>
      </w:r>
      <w:r w:rsidRPr="00FC12C4">
        <w:t>level of uptake of cost recovered strategic assessments</w:t>
      </w:r>
      <w:r>
        <w:t xml:space="preserve"> can only be assessed after the commencement of cost recovery</w:t>
      </w:r>
      <w:r w:rsidRPr="00FC12C4">
        <w:t>. </w:t>
      </w:r>
    </w:p>
    <w:p w:rsidR="00055551" w:rsidRPr="003B4038" w:rsidRDefault="00055551" w:rsidP="00055551">
      <w:r w:rsidRPr="003B4038">
        <w:t>The Department and the Minister will manage demand for budget funded strategic assessments by communicating the resource capacity to undertake additional assessments with stakeholders as pro</w:t>
      </w:r>
      <w:r w:rsidR="0064623E">
        <w:t>ject</w:t>
      </w:r>
      <w:r w:rsidRPr="003B4038">
        <w:t xml:space="preserve">s come forward. Given the tendency for </w:t>
      </w:r>
      <w:r w:rsidR="00B64DB5">
        <w:t>applicant</w:t>
      </w:r>
      <w:r w:rsidRPr="003B4038">
        <w:t xml:space="preserve">s of strategic assessments to engage early with the Department to negotiate a strategic assessment, this will provide sufficient lead time for the Department to manage demand for projects (both budget funded and cost recovered). </w:t>
      </w:r>
    </w:p>
    <w:p w:rsidR="00055551" w:rsidRPr="003B4038" w:rsidRDefault="00055551" w:rsidP="00055551">
      <w:pPr>
        <w:pStyle w:val="Heading3"/>
      </w:pPr>
      <w:bookmarkStart w:id="633" w:name="_Ref387064718"/>
      <w:bookmarkStart w:id="634" w:name="_Toc391541611"/>
      <w:r w:rsidRPr="003B4038">
        <w:t>Exemptions</w:t>
      </w:r>
      <w:r w:rsidR="001D3010">
        <w:t>, refunds</w:t>
      </w:r>
      <w:r w:rsidRPr="003B4038">
        <w:t xml:space="preserve"> and waivers (strategic assessments)</w:t>
      </w:r>
      <w:bookmarkEnd w:id="633"/>
      <w:bookmarkEnd w:id="634"/>
    </w:p>
    <w:p w:rsidR="00055551" w:rsidRPr="003B4038" w:rsidRDefault="00055551" w:rsidP="00055551">
      <w:r w:rsidRPr="003B4038">
        <w:t>There are no exemptions</w:t>
      </w:r>
      <w:r w:rsidR="00822635">
        <w:t>, refunds</w:t>
      </w:r>
      <w:r w:rsidRPr="003B4038">
        <w:t xml:space="preserve"> or fee waivers available for strategic assessments.</w:t>
      </w:r>
      <w:r w:rsidR="00B528B6" w:rsidRPr="00B528B6">
        <w:t xml:space="preserve"> </w:t>
      </w:r>
      <w:r w:rsidR="00B528B6">
        <w:t>As detailed above, the Department will consider whether a strategic assessment is suitable for budget funding or cost recovery, if it is suitable for budget funding then no fees will be payable.</w:t>
      </w:r>
    </w:p>
    <w:p w:rsidR="00B528B6" w:rsidRPr="00DB07C8" w:rsidRDefault="00B528B6" w:rsidP="00286BF0">
      <w:pPr>
        <w:pStyle w:val="Heading3"/>
      </w:pPr>
      <w:bookmarkStart w:id="635" w:name="_Toc391541612"/>
      <w:r w:rsidRPr="00DB07C8">
        <w:t>Reconsiderations</w:t>
      </w:r>
      <w:bookmarkEnd w:id="635"/>
    </w:p>
    <w:p w:rsidR="00B528B6" w:rsidRDefault="00B528B6" w:rsidP="00286BF0">
      <w:r>
        <w:t xml:space="preserve">There are no reconsiderations available for strategic assessments, as </w:t>
      </w:r>
      <w:r w:rsidR="00286BF0">
        <w:t>the reconsideration process</w:t>
      </w:r>
      <w:r>
        <w:t xml:space="preserve"> will not apply to case by case fees for assessments by strategic assessment. </w:t>
      </w:r>
      <w:r w:rsidR="00286BF0">
        <w:t xml:space="preserve">As detailed above, </w:t>
      </w:r>
      <w:r w:rsidR="006A61F7">
        <w:t>the Department and the applicant will agree the fees for a cost recovered strategic assessment</w:t>
      </w:r>
      <w:r>
        <w:t>.</w:t>
      </w:r>
    </w:p>
    <w:p w:rsidR="000E7411" w:rsidRDefault="000E7411" w:rsidP="00093EEA">
      <w:pPr>
        <w:pStyle w:val="Default"/>
        <w:jc w:val="both"/>
        <w:rPr>
          <w:rFonts w:asciiTheme="minorHAnsi" w:hAnsiTheme="minorHAnsi" w:cstheme="minorHAnsi"/>
          <w:color w:val="auto"/>
          <w:lang w:eastAsia="en-US"/>
        </w:rPr>
      </w:pPr>
    </w:p>
    <w:p w:rsidR="000E7411" w:rsidRDefault="00D30427" w:rsidP="00093EEA">
      <w:pPr>
        <w:pStyle w:val="Default"/>
        <w:jc w:val="both"/>
        <w:rPr>
          <w:rFonts w:asciiTheme="minorHAnsi" w:hAnsiTheme="minorHAnsi" w:cstheme="minorHAnsi"/>
          <w:color w:val="auto"/>
          <w:lang w:eastAsia="en-US"/>
        </w:rPr>
      </w:pPr>
      <w:r w:rsidRPr="00D30427">
        <w:pict>
          <v:shape id="_x0000_s1157" type="#_x0000_t202" style="width:472.3pt;height:371.05pt;mso-left-percent:-10001;mso-top-percent:-10001;mso-position-horizontal:absolute;mso-position-horizontal-relative:char;mso-position-vertical:absolute;mso-position-vertical-relative:line;mso-left-percent:-10001;mso-top-percent:-10001;mso-width-relative:margin;mso-height-relative:margin" strokecolor="#0070c0" strokeweight="2pt">
            <v:textbox style="mso-next-textbox:#_x0000_s1157">
              <w:txbxContent>
                <w:p w:rsidR="000D637E" w:rsidRPr="000E7411" w:rsidRDefault="000D637E" w:rsidP="00C94E19">
                  <w:pPr>
                    <w:rPr>
                      <w:b/>
                    </w:rPr>
                  </w:pPr>
                  <w:r w:rsidRPr="000E7411">
                    <w:rPr>
                      <w:b/>
                    </w:rPr>
                    <w:t>Strategic assessment costing model - case study: Hypothetical mining proposal</w:t>
                  </w:r>
                </w:p>
                <w:p w:rsidR="000D637E" w:rsidRPr="000E7411" w:rsidRDefault="000D637E" w:rsidP="00C94E19">
                  <w:pPr>
                    <w:rPr>
                      <w:b/>
                      <w:sz w:val="20"/>
                      <w:szCs w:val="20"/>
                    </w:rPr>
                  </w:pPr>
                  <w:r w:rsidRPr="000E7411">
                    <w:rPr>
                      <w:b/>
                      <w:sz w:val="20"/>
                      <w:szCs w:val="20"/>
                    </w:rPr>
                    <w:t>Case study introduction</w:t>
                  </w:r>
                </w:p>
                <w:p w:rsidR="000D637E" w:rsidRPr="000E7411" w:rsidRDefault="000D637E" w:rsidP="00C94E19">
                  <w:pPr>
                    <w:rPr>
                      <w:sz w:val="20"/>
                      <w:szCs w:val="20"/>
                    </w:rPr>
                  </w:pPr>
                  <w:r w:rsidRPr="000E7411">
                    <w:rPr>
                      <w:sz w:val="20"/>
                      <w:szCs w:val="20"/>
                    </w:rPr>
                    <w:t xml:space="preserve">In a hypothetical scenario the Australian and a state Government agree to a strategic assessment of a number of prospective and existing mining exploration licences for which applications to mine or expand are expected over the next few years. </w:t>
                  </w:r>
                  <w:r>
                    <w:rPr>
                      <w:sz w:val="20"/>
                      <w:szCs w:val="20"/>
                    </w:rPr>
                    <w:t xml:space="preserve">The state Government entity is the person responsible for the policy, plan or program. </w:t>
                  </w:r>
                  <w:r w:rsidRPr="000E7411">
                    <w:rPr>
                      <w:sz w:val="20"/>
                      <w:szCs w:val="20"/>
                    </w:rPr>
                    <w:t>Multiple mining companies in the strategic assessment area are participating in the strategic assessment. Undertaking the strategic assessment will likely reduce the need for mining companies to seek individual approvals under the EPBC Act. Individual mining companies will be the beneficiaries of the approval. The assessment is anticipated to take two years.</w:t>
                  </w:r>
                </w:p>
                <w:p w:rsidR="000D637E" w:rsidRPr="000E7411" w:rsidRDefault="000D637E" w:rsidP="00C94E19">
                  <w:pPr>
                    <w:rPr>
                      <w:b/>
                      <w:sz w:val="20"/>
                      <w:szCs w:val="20"/>
                    </w:rPr>
                  </w:pPr>
                  <w:r w:rsidRPr="000E7411">
                    <w:rPr>
                      <w:b/>
                      <w:sz w:val="20"/>
                      <w:szCs w:val="20"/>
                    </w:rPr>
                    <w:t>Costs of strategic assessments</w:t>
                  </w:r>
                </w:p>
                <w:p w:rsidR="000D637E" w:rsidRPr="000D5F2B" w:rsidRDefault="000D637E" w:rsidP="00C21EEB">
                  <w:pPr>
                    <w:rPr>
                      <w:sz w:val="20"/>
                      <w:szCs w:val="20"/>
                      <w:lang w:val="en-US"/>
                    </w:rPr>
                  </w:pPr>
                  <w:r w:rsidRPr="000E7411">
                    <w:rPr>
                      <w:sz w:val="20"/>
                      <w:szCs w:val="20"/>
                    </w:rPr>
                    <w:t xml:space="preserve">The primary costs to the </w:t>
                  </w:r>
                  <w:r>
                    <w:rPr>
                      <w:sz w:val="20"/>
                      <w:szCs w:val="20"/>
                    </w:rPr>
                    <w:t>Department</w:t>
                  </w:r>
                  <w:r w:rsidRPr="000E7411">
                    <w:rPr>
                      <w:sz w:val="20"/>
                      <w:szCs w:val="20"/>
                    </w:rPr>
                    <w:t xml:space="preserve"> for strategic assessments are staff time, including on-costs (IT, accommodation etc). Some ad-hoc consultancies may be required for some strategic </w:t>
                  </w:r>
                  <w:proofErr w:type="gramStart"/>
                  <w:r w:rsidRPr="000E7411">
                    <w:rPr>
                      <w:sz w:val="20"/>
                      <w:szCs w:val="20"/>
                    </w:rPr>
                    <w:t>assessments</w:t>
                  </w:r>
                  <w:r>
                    <w:rPr>
                      <w:sz w:val="20"/>
                      <w:szCs w:val="20"/>
                    </w:rPr>
                    <w:t>,</w:t>
                  </w:r>
                  <w:proofErr w:type="gramEnd"/>
                  <w:r w:rsidRPr="000E7411">
                    <w:rPr>
                      <w:sz w:val="20"/>
                      <w:szCs w:val="20"/>
                    </w:rPr>
                    <w:t xml:space="preserve"> however no consultancies are required in the hypothetical example. </w:t>
                  </w:r>
                </w:p>
                <w:p w:rsidR="000D637E" w:rsidRPr="000D5F2B" w:rsidRDefault="000D637E" w:rsidP="00C21EEB">
                  <w:pPr>
                    <w:pStyle w:val="ListParagraph"/>
                    <w:numPr>
                      <w:ilvl w:val="0"/>
                      <w:numId w:val="0"/>
                    </w:numPr>
                    <w:rPr>
                      <w:sz w:val="20"/>
                      <w:szCs w:val="20"/>
                      <w:u w:val="single"/>
                    </w:rPr>
                  </w:pPr>
                  <w:r w:rsidRPr="000D5F2B">
                    <w:rPr>
                      <w:sz w:val="20"/>
                      <w:szCs w:val="20"/>
                      <w:u w:val="single"/>
                    </w:rPr>
                    <w:t>Hypothetical strategic assessment costing tables</w:t>
                  </w:r>
                </w:p>
                <w:p w:rsidR="000D637E" w:rsidRPr="000D5F2B" w:rsidRDefault="000D637E" w:rsidP="00C21EEB">
                  <w:pPr>
                    <w:pStyle w:val="ListParagraph"/>
                    <w:numPr>
                      <w:ilvl w:val="0"/>
                      <w:numId w:val="0"/>
                    </w:numPr>
                    <w:rPr>
                      <w:sz w:val="20"/>
                      <w:szCs w:val="20"/>
                    </w:rPr>
                  </w:pPr>
                  <w:r w:rsidRPr="000D5F2B">
                    <w:rPr>
                      <w:sz w:val="20"/>
                      <w:szCs w:val="20"/>
                    </w:rPr>
                    <w:t>The tables below provide a summary of the costs associated with the hypothetical strategic assessment</w:t>
                  </w:r>
                  <w:r>
                    <w:rPr>
                      <w:sz w:val="20"/>
                      <w:szCs w:val="20"/>
                    </w:rPr>
                    <w:t>,</w:t>
                  </w:r>
                  <w:r w:rsidRPr="000D5F2B">
                    <w:rPr>
                      <w:sz w:val="20"/>
                      <w:szCs w:val="20"/>
                    </w:rPr>
                    <w:t xml:space="preserve"> and a breakdown of staff time for each stage which underpins this costing structure. It is proposed that the costing model for strategic assessments be established on the two tiered basis. These tables are used only as an example for the purposes of illustrating the strategic assessment costing process, noting that other strategic assessments will use the two tier costing model but may have different levels of costs, and therefore fees. </w:t>
                  </w:r>
                </w:p>
                <w:p w:rsidR="000D637E" w:rsidRPr="000E7411" w:rsidRDefault="000D637E" w:rsidP="00C94E19">
                  <w:pPr>
                    <w:rPr>
                      <w:sz w:val="20"/>
                      <w:szCs w:val="20"/>
                    </w:rPr>
                  </w:pPr>
                </w:p>
              </w:txbxContent>
            </v:textbox>
            <w10:wrap type="none"/>
            <w10:anchorlock/>
          </v:shape>
        </w:pict>
      </w:r>
    </w:p>
    <w:p w:rsidR="000E7411" w:rsidRDefault="000E7411" w:rsidP="00093EEA">
      <w:pPr>
        <w:pStyle w:val="Default"/>
        <w:jc w:val="both"/>
        <w:rPr>
          <w:rFonts w:asciiTheme="minorHAnsi" w:hAnsiTheme="minorHAnsi" w:cstheme="minorHAnsi"/>
          <w:color w:val="auto"/>
          <w:lang w:eastAsia="en-US"/>
        </w:rPr>
      </w:pPr>
    </w:p>
    <w:p w:rsidR="009E4E3C" w:rsidRDefault="009E4E3C" w:rsidP="009E4E3C">
      <w:bookmarkStart w:id="636" w:name="_Toc380053121"/>
      <w:bookmarkStart w:id="637" w:name="_Toc380065088"/>
      <w:bookmarkStart w:id="638" w:name="_Toc380142298"/>
      <w:bookmarkStart w:id="639" w:name="_Toc380737854"/>
      <w:bookmarkStart w:id="640" w:name="_Toc380737855"/>
      <w:bookmarkStart w:id="641" w:name="_Toc379530382"/>
      <w:bookmarkEnd w:id="636"/>
      <w:bookmarkEnd w:id="637"/>
      <w:bookmarkEnd w:id="638"/>
      <w:bookmarkEnd w:id="639"/>
      <w:bookmarkEnd w:id="640"/>
    </w:p>
    <w:p w:rsidR="00E712E9" w:rsidRDefault="00E712E9">
      <w:pPr>
        <w:spacing w:after="0" w:line="240" w:lineRule="auto"/>
      </w:pPr>
      <w:r>
        <w:br w:type="page"/>
      </w:r>
    </w:p>
    <w:tbl>
      <w:tblPr>
        <w:tblW w:w="10120" w:type="dxa"/>
        <w:jc w:val="center"/>
        <w:tblLook w:val="04A0"/>
      </w:tblPr>
      <w:tblGrid>
        <w:gridCol w:w="940"/>
        <w:gridCol w:w="1318"/>
        <w:gridCol w:w="1268"/>
        <w:gridCol w:w="1540"/>
        <w:gridCol w:w="1020"/>
        <w:gridCol w:w="1317"/>
        <w:gridCol w:w="1840"/>
        <w:gridCol w:w="1195"/>
      </w:tblGrid>
      <w:tr w:rsidR="00EB2585" w:rsidRPr="00EB2585" w:rsidTr="00AD39A5">
        <w:trPr>
          <w:trHeight w:val="375"/>
          <w:jc w:val="center"/>
        </w:trPr>
        <w:tc>
          <w:tcPr>
            <w:tcW w:w="10120" w:type="dxa"/>
            <w:gridSpan w:val="8"/>
            <w:tcBorders>
              <w:top w:val="nil"/>
              <w:left w:val="single" w:sz="8" w:space="0" w:color="000000"/>
              <w:bottom w:val="single" w:sz="8" w:space="0" w:color="000000"/>
              <w:right w:val="nil"/>
            </w:tcBorders>
            <w:shd w:val="clear" w:color="000000" w:fill="1F497D"/>
            <w:noWrap/>
            <w:vAlign w:val="bottom"/>
            <w:hideMark/>
          </w:tcPr>
          <w:p w:rsidR="00EB2585" w:rsidRPr="00EB2585" w:rsidRDefault="00EB2585" w:rsidP="00EB2585">
            <w:pPr>
              <w:spacing w:after="0" w:line="240" w:lineRule="auto"/>
              <w:jc w:val="center"/>
              <w:rPr>
                <w:rFonts w:eastAsia="Times New Roman" w:cs="Arial"/>
                <w:color w:val="FFFFFF"/>
                <w:sz w:val="28"/>
                <w:szCs w:val="28"/>
                <w:lang w:eastAsia="en-AU"/>
              </w:rPr>
            </w:pPr>
            <w:r w:rsidRPr="00EB2585">
              <w:rPr>
                <w:rFonts w:eastAsia="Times New Roman" w:cs="Arial"/>
                <w:color w:val="FFFFFF"/>
                <w:sz w:val="28"/>
                <w:szCs w:val="28"/>
                <w:lang w:eastAsia="en-AU"/>
              </w:rPr>
              <w:lastRenderedPageBreak/>
              <w:t>Fee summary - Hypothetical Strategic Assessment</w:t>
            </w:r>
          </w:p>
        </w:tc>
      </w:tr>
      <w:tr w:rsidR="00EB2585" w:rsidRPr="00EB2585" w:rsidTr="00AD39A5">
        <w:trPr>
          <w:trHeight w:val="915"/>
          <w:jc w:val="center"/>
        </w:trPr>
        <w:tc>
          <w:tcPr>
            <w:tcW w:w="940" w:type="dxa"/>
            <w:tcBorders>
              <w:top w:val="nil"/>
              <w:left w:val="single" w:sz="8" w:space="0" w:color="000000"/>
              <w:bottom w:val="single" w:sz="8" w:space="0" w:color="000000"/>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Price Period</w:t>
            </w:r>
          </w:p>
        </w:tc>
        <w:tc>
          <w:tcPr>
            <w:tcW w:w="1140" w:type="dxa"/>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Months</w:t>
            </w:r>
          </w:p>
        </w:tc>
        <w:tc>
          <w:tcPr>
            <w:tcW w:w="2800" w:type="dxa"/>
            <w:gridSpan w:val="2"/>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Assessment Stage</w:t>
            </w:r>
          </w:p>
        </w:tc>
        <w:tc>
          <w:tcPr>
            <w:tcW w:w="1020" w:type="dxa"/>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Monthly cost</w:t>
            </w:r>
          </w:p>
        </w:tc>
        <w:tc>
          <w:tcPr>
            <w:tcW w:w="1260" w:type="dxa"/>
            <w:tcBorders>
              <w:top w:val="nil"/>
              <w:left w:val="nil"/>
              <w:bottom w:val="single" w:sz="8" w:space="0" w:color="auto"/>
              <w:right w:val="nil"/>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Cumulative cost</w:t>
            </w:r>
          </w:p>
        </w:tc>
        <w:tc>
          <w:tcPr>
            <w:tcW w:w="1840" w:type="dxa"/>
            <w:tcBorders>
              <w:top w:val="nil"/>
              <w:left w:val="nil"/>
              <w:bottom w:val="single" w:sz="8" w:space="0" w:color="auto"/>
              <w:right w:val="single" w:sz="8" w:space="0" w:color="auto"/>
            </w:tcBorders>
            <w:shd w:val="clear" w:color="000000" w:fill="D8D8D8"/>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Total Costs</w:t>
            </w:r>
          </w:p>
        </w:tc>
        <w:tc>
          <w:tcPr>
            <w:tcW w:w="1120" w:type="dxa"/>
            <w:tcBorders>
              <w:top w:val="nil"/>
              <w:left w:val="nil"/>
              <w:bottom w:val="single" w:sz="8" w:space="0" w:color="auto"/>
              <w:right w:val="single" w:sz="8" w:space="0" w:color="auto"/>
            </w:tcBorders>
            <w:shd w:val="clear" w:color="auto" w:fill="auto"/>
            <w:vAlign w:val="center"/>
            <w:hideMark/>
          </w:tcPr>
          <w:p w:rsidR="00EB2585" w:rsidRPr="00EB2585" w:rsidRDefault="00EB2585" w:rsidP="00EB2585">
            <w:pPr>
              <w:spacing w:after="0" w:line="240" w:lineRule="auto"/>
              <w:jc w:val="center"/>
              <w:rPr>
                <w:rFonts w:eastAsia="Times New Roman" w:cs="Arial"/>
                <w:b/>
                <w:bCs/>
                <w:i/>
                <w:iCs/>
                <w:color w:val="000000"/>
                <w:lang w:eastAsia="en-AU"/>
              </w:rPr>
            </w:pPr>
            <w:r w:rsidRPr="00EB2585">
              <w:rPr>
                <w:rFonts w:eastAsia="Times New Roman" w:cs="Arial"/>
                <w:b/>
                <w:bCs/>
                <w:i/>
                <w:iCs/>
                <w:color w:val="000000"/>
                <w:lang w:eastAsia="en-AU"/>
              </w:rPr>
              <w:t>Rounded Quarterly fee</w:t>
            </w:r>
          </w:p>
        </w:tc>
      </w:tr>
      <w:tr w:rsidR="00EB2585" w:rsidRPr="00EB2585" w:rsidTr="00AD39A5">
        <w:trPr>
          <w:trHeight w:val="360"/>
          <w:jc w:val="center"/>
        </w:trPr>
        <w:tc>
          <w:tcPr>
            <w:tcW w:w="940" w:type="dxa"/>
            <w:vMerge w:val="restart"/>
            <w:tcBorders>
              <w:top w:val="nil"/>
              <w:left w:val="single" w:sz="8" w:space="0" w:color="000000"/>
              <w:bottom w:val="single" w:sz="8" w:space="0" w:color="000000"/>
              <w:right w:val="single" w:sz="4" w:space="0" w:color="auto"/>
            </w:tcBorders>
            <w:shd w:val="clear" w:color="000000" w:fill="B8CCE4"/>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Tier 1 Price Period</w:t>
            </w: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w:t>
            </w:r>
          </w:p>
        </w:tc>
        <w:tc>
          <w:tcPr>
            <w:tcW w:w="1260" w:type="dxa"/>
            <w:vMerge w:val="restart"/>
            <w:tcBorders>
              <w:top w:val="nil"/>
              <w:left w:val="nil"/>
              <w:bottom w:val="nil"/>
              <w:right w:val="dashed" w:sz="4" w:space="0" w:color="auto"/>
            </w:tcBorders>
            <w:shd w:val="clear" w:color="000000" w:fill="B8CCE4"/>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1 - Strategic agreement</w:t>
            </w:r>
          </w:p>
        </w:tc>
        <w:tc>
          <w:tcPr>
            <w:tcW w:w="1540" w:type="dxa"/>
            <w:tcBorders>
              <w:top w:val="nil"/>
              <w:left w:val="nil"/>
              <w:bottom w:val="nil"/>
              <w:right w:val="single"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nil"/>
              <w:bottom w:val="nil"/>
              <w:right w:val="nil"/>
            </w:tcBorders>
            <w:shd w:val="clear" w:color="000000" w:fill="B8CCE4"/>
            <w:noWrap/>
            <w:vAlign w:val="bottom"/>
            <w:hideMark/>
          </w:tcPr>
          <w:p w:rsidR="00EB2585" w:rsidRPr="00EB2585" w:rsidRDefault="00EB2585" w:rsidP="004B3617">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Pr>
                <w:rFonts w:eastAsia="Times New Roman" w:cs="Arial"/>
                <w:color w:val="000000"/>
                <w:lang w:eastAsia="en-AU"/>
              </w:rPr>
              <w:t>5</w:t>
            </w:r>
            <w:r w:rsidRPr="00EB2585">
              <w:rPr>
                <w:rFonts w:eastAsia="Times New Roman" w:cs="Arial"/>
                <w:color w:val="000000"/>
                <w:lang w:eastAsia="en-AU"/>
              </w:rPr>
              <w:t>,</w:t>
            </w:r>
            <w:r>
              <w:rPr>
                <w:rFonts w:eastAsia="Times New Roman" w:cs="Arial"/>
                <w:color w:val="000000"/>
                <w:lang w:eastAsia="en-AU"/>
              </w:rPr>
              <w:t>597</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single" w:sz="8" w:space="0" w:color="auto"/>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w:t>
            </w:r>
          </w:p>
        </w:tc>
        <w:tc>
          <w:tcPr>
            <w:tcW w:w="1260" w:type="dxa"/>
            <w:vMerge/>
            <w:tcBorders>
              <w:top w:val="nil"/>
              <w:left w:val="nil"/>
              <w:bottom w:val="nil"/>
              <w:right w:val="dashed"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bottom w:val="nil"/>
              <w:right w:val="single"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EB2585" w:rsidP="004B3617">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11,194</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3</w:t>
            </w:r>
          </w:p>
        </w:tc>
        <w:tc>
          <w:tcPr>
            <w:tcW w:w="1260" w:type="dxa"/>
            <w:vMerge/>
            <w:tcBorders>
              <w:top w:val="nil"/>
              <w:left w:val="nil"/>
              <w:bottom w:val="nil"/>
              <w:right w:val="dashed"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540" w:type="dxa"/>
            <w:vMerge w:val="restart"/>
            <w:tcBorders>
              <w:top w:val="nil"/>
              <w:left w:val="dashed" w:sz="4" w:space="0" w:color="auto"/>
              <w:bottom w:val="nil"/>
              <w:right w:val="single" w:sz="4" w:space="0" w:color="auto"/>
            </w:tcBorders>
            <w:shd w:val="clear" w:color="000000" w:fill="B8CCE4"/>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2 - Terms of reference</w:t>
            </w:r>
          </w:p>
        </w:tc>
        <w:tc>
          <w:tcPr>
            <w:tcW w:w="1020" w:type="dxa"/>
            <w:tcBorders>
              <w:top w:val="nil"/>
              <w:left w:val="nil"/>
              <w:bottom w:val="double" w:sz="6" w:space="0" w:color="auto"/>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double" w:sz="6" w:space="0" w:color="auto"/>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$16,791</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4B3617" w:rsidP="00EB2585">
            <w:pPr>
              <w:spacing w:after="0" w:line="240" w:lineRule="auto"/>
              <w:jc w:val="right"/>
              <w:rPr>
                <w:rFonts w:eastAsia="Times New Roman" w:cs="Arial"/>
                <w:i/>
                <w:iCs/>
                <w:color w:val="000000"/>
                <w:lang w:eastAsia="en-AU"/>
              </w:rPr>
            </w:pPr>
            <w:r>
              <w:rPr>
                <w:rFonts w:eastAsia="Times New Roman" w:cs="Arial"/>
                <w:i/>
                <w:iCs/>
                <w:color w:val="000000"/>
                <w:lang w:eastAsia="en-AU"/>
              </w:rPr>
              <w:t>$16,791</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4</w:t>
            </w:r>
          </w:p>
        </w:tc>
        <w:tc>
          <w:tcPr>
            <w:tcW w:w="1260" w:type="dxa"/>
            <w:tcBorders>
              <w:top w:val="nil"/>
              <w:left w:val="nil"/>
              <w:bottom w:val="nil"/>
              <w:right w:val="dashed" w:sz="4" w:space="0" w:color="auto"/>
            </w:tcBorders>
            <w:shd w:val="clear" w:color="000000" w:fill="B8CCE4"/>
            <w:vAlign w:val="center"/>
            <w:hideMark/>
          </w:tcPr>
          <w:p w:rsidR="00EB2585" w:rsidRPr="00EB2585" w:rsidRDefault="00EB2585" w:rsidP="00374222">
            <w:pPr>
              <w:spacing w:after="0" w:line="240" w:lineRule="auto"/>
              <w:jc w:val="center"/>
              <w:rPr>
                <w:rFonts w:eastAsia="Times New Roman" w:cs="Arial"/>
                <w:color w:val="000000"/>
                <w:lang w:eastAsia="en-AU"/>
              </w:rPr>
            </w:pPr>
            <w:r w:rsidRPr="00EB2585">
              <w:rPr>
                <w:rFonts w:eastAsia="Times New Roman" w:cs="Arial"/>
                <w:color w:val="000000"/>
                <w:lang w:eastAsia="en-AU"/>
              </w:rPr>
              <w:t>$</w:t>
            </w:r>
            <w:r w:rsidR="00374222">
              <w:rPr>
                <w:rFonts w:eastAsia="Times New Roman" w:cs="Arial"/>
                <w:color w:val="000000"/>
                <w:lang w:eastAsia="en-AU"/>
              </w:rPr>
              <w:t>38,000</w:t>
            </w:r>
          </w:p>
        </w:tc>
        <w:tc>
          <w:tcPr>
            <w:tcW w:w="1540" w:type="dxa"/>
            <w:vMerge/>
            <w:tcBorders>
              <w:top w:val="nil"/>
              <w:left w:val="dashed" w:sz="4" w:space="0" w:color="auto"/>
              <w:bottom w:val="nil"/>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$22,388</w:t>
            </w:r>
          </w:p>
        </w:tc>
        <w:tc>
          <w:tcPr>
            <w:tcW w:w="1840" w:type="dxa"/>
            <w:tcBorders>
              <w:top w:val="nil"/>
              <w:left w:val="nil"/>
              <w:bottom w:val="nil"/>
              <w:right w:val="single" w:sz="8" w:space="0" w:color="auto"/>
            </w:tcBorders>
            <w:shd w:val="clear" w:color="000000" w:fill="B8CCE4"/>
            <w:vAlign w:val="bottom"/>
            <w:hideMark/>
          </w:tcPr>
          <w:p w:rsidR="00EB2585" w:rsidRPr="00EB2585" w:rsidRDefault="00EB2585" w:rsidP="00EB2585">
            <w:pPr>
              <w:spacing w:after="0" w:line="240" w:lineRule="auto"/>
              <w:jc w:val="right"/>
              <w:rPr>
                <w:rFonts w:eastAsia="Times New Roman" w:cs="Arial"/>
                <w:b/>
                <w:bCs/>
                <w:i/>
                <w:iCs/>
                <w:color w:val="000000"/>
                <w:lang w:eastAsia="en-AU"/>
              </w:rPr>
            </w:pPr>
            <w:r w:rsidRPr="00EB2585">
              <w:rPr>
                <w:rFonts w:eastAsia="Times New Roman" w:cs="Arial"/>
                <w:b/>
                <w:bCs/>
                <w:i/>
                <w:iCs/>
                <w:color w:val="000000"/>
                <w:lang w:eastAsia="en-AU"/>
              </w:rPr>
              <w:t>Tier 1 Total Cost*</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5</w:t>
            </w:r>
          </w:p>
        </w:tc>
        <w:tc>
          <w:tcPr>
            <w:tcW w:w="1260" w:type="dxa"/>
            <w:tcBorders>
              <w:top w:val="nil"/>
              <w:left w:val="nil"/>
              <w:bottom w:val="nil"/>
              <w:right w:val="dashed"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$27,985</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374222" w:rsidP="00EB2585">
            <w:pPr>
              <w:spacing w:after="0" w:line="240" w:lineRule="auto"/>
              <w:jc w:val="right"/>
              <w:rPr>
                <w:rFonts w:eastAsia="Times New Roman" w:cs="Arial"/>
                <w:b/>
                <w:bCs/>
                <w:i/>
                <w:iCs/>
                <w:color w:val="000000"/>
                <w:lang w:eastAsia="en-AU"/>
              </w:rPr>
            </w:pPr>
            <w:r w:rsidRPr="00B65B8B">
              <w:rPr>
                <w:rFonts w:eastAsia="Times New Roman"/>
                <w:b/>
                <w:bCs/>
                <w:i/>
                <w:iCs/>
                <w:color w:val="000000"/>
              </w:rPr>
              <w:t>$5</w:t>
            </w:r>
            <w:r>
              <w:rPr>
                <w:rFonts w:eastAsia="Times New Roman"/>
                <w:b/>
                <w:bCs/>
                <w:i/>
                <w:iCs/>
                <w:color w:val="000000"/>
              </w:rPr>
              <w:t>0</w:t>
            </w:r>
            <w:r w:rsidRPr="00B65B8B">
              <w:rPr>
                <w:rFonts w:eastAsia="Times New Roman"/>
                <w:b/>
                <w:bCs/>
                <w:i/>
                <w:iCs/>
                <w:color w:val="000000"/>
              </w:rPr>
              <w:t>,3</w:t>
            </w:r>
            <w:r>
              <w:rPr>
                <w:rFonts w:eastAsia="Times New Roman"/>
                <w:b/>
                <w:bCs/>
                <w:i/>
                <w:iCs/>
                <w:color w:val="000000"/>
              </w:rPr>
              <w:t>75</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6</w:t>
            </w:r>
          </w:p>
        </w:tc>
        <w:tc>
          <w:tcPr>
            <w:tcW w:w="1260" w:type="dxa"/>
            <w:tcBorders>
              <w:top w:val="nil"/>
              <w:left w:val="nil"/>
              <w:bottom w:val="dashed" w:sz="4" w:space="0" w:color="auto"/>
              <w:right w:val="dashed" w:sz="4" w:space="0" w:color="auto"/>
            </w:tcBorders>
            <w:shd w:val="clear" w:color="000000" w:fill="B8CCE4"/>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noWrap/>
            <w:vAlign w:val="bottom"/>
            <w:hideMark/>
          </w:tcPr>
          <w:p w:rsidR="00EB2585" w:rsidRPr="00EB2585" w:rsidRDefault="00EB2585" w:rsidP="00374222">
            <w:pPr>
              <w:spacing w:after="0" w:line="240" w:lineRule="auto"/>
              <w:jc w:val="center"/>
              <w:rPr>
                <w:rFonts w:eastAsia="Times New Roman" w:cs="Arial"/>
                <w:color w:val="000000"/>
                <w:lang w:eastAsia="en-AU"/>
              </w:rPr>
            </w:pPr>
            <w:r w:rsidRPr="00EB2585">
              <w:rPr>
                <w:rFonts w:eastAsia="Times New Roman" w:cs="Arial"/>
                <w:color w:val="000000"/>
                <w:lang w:eastAsia="en-AU"/>
              </w:rPr>
              <w:t>$1</w:t>
            </w:r>
            <w:r w:rsidR="00374222">
              <w:rPr>
                <w:rFonts w:eastAsia="Times New Roman" w:cs="Arial"/>
                <w:color w:val="000000"/>
                <w:lang w:eastAsia="en-AU"/>
              </w:rPr>
              <w:t>2</w:t>
            </w:r>
            <w:r w:rsidRPr="00EB2585">
              <w:rPr>
                <w:rFonts w:eastAsia="Times New Roman" w:cs="Arial"/>
                <w:color w:val="000000"/>
                <w:lang w:eastAsia="en-AU"/>
              </w:rPr>
              <w:t>,</w:t>
            </w:r>
            <w:r w:rsidR="00374222">
              <w:rPr>
                <w:rFonts w:eastAsia="Times New Roman" w:cs="Arial"/>
                <w:color w:val="000000"/>
                <w:lang w:eastAsia="en-AU"/>
              </w:rPr>
              <w:t>375</w:t>
            </w:r>
          </w:p>
        </w:tc>
        <w:tc>
          <w:tcPr>
            <w:tcW w:w="1020" w:type="dxa"/>
            <w:tcBorders>
              <w:top w:val="nil"/>
              <w:left w:val="nil"/>
              <w:bottom w:val="double" w:sz="6" w:space="0" w:color="auto"/>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double" w:sz="6" w:space="0" w:color="auto"/>
              <w:right w:val="dashed" w:sz="4" w:space="0" w:color="auto"/>
            </w:tcBorders>
            <w:shd w:val="clear" w:color="000000" w:fill="B8CCE4"/>
            <w:noWrap/>
            <w:vAlign w:val="bottom"/>
            <w:hideMark/>
          </w:tcPr>
          <w:p w:rsidR="00EB2585" w:rsidRPr="00EB2585" w:rsidRDefault="004B3617" w:rsidP="004B3617">
            <w:pPr>
              <w:spacing w:after="0" w:line="240" w:lineRule="auto"/>
              <w:jc w:val="right"/>
              <w:rPr>
                <w:rFonts w:eastAsia="Times New Roman" w:cs="Arial"/>
                <w:color w:val="000000"/>
                <w:lang w:eastAsia="en-AU"/>
              </w:rPr>
            </w:pPr>
            <w:r>
              <w:rPr>
                <w:rFonts w:eastAsia="Times New Roman" w:cs="Arial"/>
                <w:color w:val="000000"/>
                <w:lang w:eastAsia="en-AU"/>
              </w:rPr>
              <w:t>$33</w:t>
            </w:r>
            <w:r w:rsidR="00EB2585" w:rsidRPr="00EB2585">
              <w:rPr>
                <w:rFonts w:eastAsia="Times New Roman" w:cs="Arial"/>
                <w:color w:val="000000"/>
                <w:lang w:eastAsia="en-AU"/>
              </w:rPr>
              <w:t>,5</w:t>
            </w:r>
            <w:r>
              <w:rPr>
                <w:rFonts w:eastAsia="Times New Roman" w:cs="Arial"/>
                <w:color w:val="000000"/>
                <w:lang w:eastAsia="en-AU"/>
              </w:rPr>
              <w:t>82</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4B3617" w:rsidP="00EB2585">
            <w:pPr>
              <w:spacing w:after="0" w:line="240" w:lineRule="auto"/>
              <w:jc w:val="right"/>
              <w:rPr>
                <w:rFonts w:eastAsia="Times New Roman" w:cs="Arial"/>
                <w:i/>
                <w:iCs/>
                <w:color w:val="000000"/>
                <w:lang w:eastAsia="en-AU"/>
              </w:rPr>
            </w:pPr>
            <w:r>
              <w:rPr>
                <w:rFonts w:eastAsia="Times New Roman" w:cs="Arial"/>
                <w:i/>
                <w:iCs/>
                <w:color w:val="000000"/>
                <w:lang w:eastAsia="en-AU"/>
              </w:rPr>
              <w:t>$16,791</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7</w:t>
            </w:r>
          </w:p>
        </w:tc>
        <w:tc>
          <w:tcPr>
            <w:tcW w:w="126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$39,179</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8</w:t>
            </w:r>
          </w:p>
        </w:tc>
        <w:tc>
          <w:tcPr>
            <w:tcW w:w="126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nil"/>
              <w:right w:val="single" w:sz="4" w:space="0" w:color="auto"/>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nil"/>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$44,</w:t>
            </w:r>
            <w:r w:rsidR="00EB2585" w:rsidRPr="00EB2585">
              <w:rPr>
                <w:rFonts w:eastAsia="Times New Roman" w:cs="Arial"/>
                <w:color w:val="000000"/>
                <w:lang w:eastAsia="en-AU"/>
              </w:rPr>
              <w:t>77</w:t>
            </w:r>
            <w:r>
              <w:rPr>
                <w:rFonts w:eastAsia="Times New Roman" w:cs="Arial"/>
                <w:color w:val="000000"/>
                <w:lang w:eastAsia="en-AU"/>
              </w:rPr>
              <w:t>6</w:t>
            </w:r>
          </w:p>
        </w:tc>
        <w:tc>
          <w:tcPr>
            <w:tcW w:w="1840" w:type="dxa"/>
            <w:tcBorders>
              <w:top w:val="nil"/>
              <w:left w:val="nil"/>
              <w:bottom w:val="nil"/>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nil"/>
              <w:left w:val="single" w:sz="8" w:space="0" w:color="000000"/>
              <w:bottom w:val="single" w:sz="8" w:space="0" w:color="000000"/>
              <w:right w:val="single" w:sz="4" w:space="0" w:color="auto"/>
            </w:tcBorders>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single" w:sz="8" w:space="0" w:color="auto"/>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9</w:t>
            </w:r>
          </w:p>
        </w:tc>
        <w:tc>
          <w:tcPr>
            <w:tcW w:w="1260" w:type="dxa"/>
            <w:tcBorders>
              <w:top w:val="nil"/>
              <w:left w:val="nil"/>
              <w:bottom w:val="single" w:sz="8" w:space="0" w:color="auto"/>
              <w:right w:val="nil"/>
            </w:tcBorders>
            <w:shd w:val="clear" w:color="000000" w:fill="B8CCE4"/>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 </w:t>
            </w:r>
          </w:p>
        </w:tc>
        <w:tc>
          <w:tcPr>
            <w:tcW w:w="1540" w:type="dxa"/>
            <w:tcBorders>
              <w:top w:val="nil"/>
              <w:left w:val="nil"/>
              <w:bottom w:val="single" w:sz="8" w:space="0" w:color="auto"/>
              <w:right w:val="single" w:sz="4" w:space="0" w:color="auto"/>
            </w:tcBorders>
            <w:shd w:val="clear" w:color="000000" w:fill="B8CCE4"/>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 </w:t>
            </w:r>
          </w:p>
        </w:tc>
        <w:tc>
          <w:tcPr>
            <w:tcW w:w="1020" w:type="dxa"/>
            <w:tcBorders>
              <w:top w:val="nil"/>
              <w:left w:val="nil"/>
              <w:bottom w:val="single" w:sz="8" w:space="0" w:color="auto"/>
              <w:right w:val="nil"/>
            </w:tcBorders>
            <w:shd w:val="clear" w:color="000000" w:fill="B8CCE4"/>
            <w:noWrap/>
            <w:vAlign w:val="bottom"/>
            <w:hideMark/>
          </w:tcPr>
          <w:p w:rsidR="00EB2585" w:rsidRPr="00EB2585" w:rsidRDefault="00EB2585"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4B3617">
              <w:rPr>
                <w:rFonts w:eastAsia="Times New Roman" w:cs="Arial"/>
                <w:color w:val="000000"/>
                <w:lang w:eastAsia="en-AU"/>
              </w:rPr>
              <w:t>5</w:t>
            </w:r>
            <w:r w:rsidR="004B3617" w:rsidRPr="00EB2585">
              <w:rPr>
                <w:rFonts w:eastAsia="Times New Roman" w:cs="Arial"/>
                <w:color w:val="000000"/>
                <w:lang w:eastAsia="en-AU"/>
              </w:rPr>
              <w:t>,</w:t>
            </w:r>
            <w:r w:rsidR="004B3617">
              <w:rPr>
                <w:rFonts w:eastAsia="Times New Roman" w:cs="Arial"/>
                <w:color w:val="000000"/>
                <w:lang w:eastAsia="en-AU"/>
              </w:rPr>
              <w:t>597</w:t>
            </w:r>
          </w:p>
        </w:tc>
        <w:tc>
          <w:tcPr>
            <w:tcW w:w="1260" w:type="dxa"/>
            <w:tcBorders>
              <w:top w:val="nil"/>
              <w:left w:val="nil"/>
              <w:bottom w:val="single" w:sz="8" w:space="0" w:color="auto"/>
              <w:right w:val="dashed" w:sz="4" w:space="0" w:color="auto"/>
            </w:tcBorders>
            <w:shd w:val="clear" w:color="000000" w:fill="B8CCE4"/>
            <w:noWrap/>
            <w:vAlign w:val="bottom"/>
            <w:hideMark/>
          </w:tcPr>
          <w:p w:rsidR="00EB2585" w:rsidRPr="00EB2585" w:rsidRDefault="004B3617" w:rsidP="00EB2585">
            <w:pPr>
              <w:spacing w:after="0" w:line="240" w:lineRule="auto"/>
              <w:jc w:val="right"/>
              <w:rPr>
                <w:rFonts w:eastAsia="Times New Roman" w:cs="Arial"/>
                <w:color w:val="000000"/>
                <w:lang w:eastAsia="en-AU"/>
              </w:rPr>
            </w:pPr>
            <w:r>
              <w:rPr>
                <w:rFonts w:eastAsia="Times New Roman" w:cs="Arial"/>
                <w:color w:val="000000"/>
                <w:lang w:eastAsia="en-AU"/>
              </w:rPr>
              <w:t>$50,373</w:t>
            </w:r>
          </w:p>
        </w:tc>
        <w:tc>
          <w:tcPr>
            <w:tcW w:w="1840" w:type="dxa"/>
            <w:tcBorders>
              <w:top w:val="nil"/>
              <w:left w:val="nil"/>
              <w:bottom w:val="single" w:sz="8" w:space="0" w:color="auto"/>
              <w:right w:val="single" w:sz="8" w:space="0" w:color="auto"/>
            </w:tcBorders>
            <w:shd w:val="clear" w:color="000000" w:fill="B8CCE4"/>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single" w:sz="8" w:space="0" w:color="auto"/>
              <w:right w:val="single" w:sz="8" w:space="0" w:color="auto"/>
            </w:tcBorders>
            <w:shd w:val="clear" w:color="auto" w:fill="auto"/>
            <w:noWrap/>
            <w:vAlign w:val="bottom"/>
            <w:hideMark/>
          </w:tcPr>
          <w:p w:rsidR="00EB2585" w:rsidRPr="00EB2585" w:rsidRDefault="004B3617" w:rsidP="00EB2585">
            <w:pPr>
              <w:spacing w:after="0" w:line="240" w:lineRule="auto"/>
              <w:jc w:val="right"/>
              <w:rPr>
                <w:rFonts w:eastAsia="Times New Roman" w:cs="Arial"/>
                <w:i/>
                <w:iCs/>
                <w:color w:val="000000"/>
                <w:lang w:eastAsia="en-AU"/>
              </w:rPr>
            </w:pPr>
            <w:r>
              <w:rPr>
                <w:rFonts w:eastAsia="Times New Roman" w:cs="Arial"/>
                <w:i/>
                <w:iCs/>
                <w:color w:val="000000"/>
                <w:lang w:eastAsia="en-AU"/>
              </w:rPr>
              <w:t>$16,791</w:t>
            </w:r>
          </w:p>
        </w:tc>
      </w:tr>
      <w:tr w:rsidR="00EB2585" w:rsidRPr="00EB2585" w:rsidTr="00AD39A5">
        <w:trPr>
          <w:trHeight w:val="300"/>
          <w:jc w:val="center"/>
        </w:trPr>
        <w:tc>
          <w:tcPr>
            <w:tcW w:w="940" w:type="dxa"/>
            <w:vMerge w:val="restart"/>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Tier 2 Price Period</w:t>
            </w:r>
          </w:p>
        </w:tc>
        <w:tc>
          <w:tcPr>
            <w:tcW w:w="1140" w:type="dxa"/>
            <w:tcBorders>
              <w:top w:val="single" w:sz="8" w:space="0" w:color="auto"/>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10</w:t>
            </w:r>
          </w:p>
        </w:tc>
        <w:tc>
          <w:tcPr>
            <w:tcW w:w="2800" w:type="dxa"/>
            <w:gridSpan w:val="2"/>
            <w:vMerge w:val="restart"/>
            <w:tcBorders>
              <w:top w:val="single" w:sz="8"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3- Department comments on Draft Biodiversity Plan of (</w:t>
            </w:r>
            <w:r w:rsidR="004E2198">
              <w:rPr>
                <w:rFonts w:eastAsia="Times New Roman" w:cs="Arial"/>
                <w:color w:val="000000"/>
                <w:lang w:eastAsia="en-AU"/>
              </w:rPr>
              <w:t>policy, plan or program</w:t>
            </w:r>
            <w:r w:rsidRPr="00EB2585">
              <w:rPr>
                <w:rFonts w:eastAsia="Times New Roman" w:cs="Arial"/>
                <w:color w:val="000000"/>
                <w:lang w:eastAsia="en-AU"/>
              </w:rPr>
              <w:t>) &amp; Strategic Assessment Report (SAR)</w:t>
            </w: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B2585" w:rsidP="00E1046C">
            <w:pPr>
              <w:spacing w:after="0" w:line="240" w:lineRule="auto"/>
              <w:jc w:val="right"/>
              <w:rPr>
                <w:rFonts w:eastAsia="Times New Roman" w:cs="Arial"/>
                <w:color w:val="000000"/>
                <w:lang w:eastAsia="en-AU"/>
              </w:rPr>
            </w:pPr>
            <w:r w:rsidRPr="00EB2585">
              <w:rPr>
                <w:rFonts w:eastAsia="Times New Roman" w:cs="Arial"/>
                <w:color w:val="000000"/>
                <w:lang w:eastAsia="en-AU"/>
              </w:rPr>
              <w:t>$1</w:t>
            </w:r>
            <w:r w:rsidR="00E1046C">
              <w:rPr>
                <w:rFonts w:eastAsia="Times New Roman" w:cs="Arial"/>
                <w:color w:val="000000"/>
                <w:lang w:eastAsia="en-AU"/>
              </w:rPr>
              <w:t>2</w:t>
            </w:r>
            <w:r w:rsidRPr="00EB2585">
              <w:rPr>
                <w:rFonts w:eastAsia="Times New Roman" w:cs="Arial"/>
                <w:color w:val="000000"/>
                <w:lang w:eastAsia="en-AU"/>
              </w:rPr>
              <w:t>,</w:t>
            </w:r>
            <w:r w:rsidR="00E1046C">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EB2585" w:rsidP="00816228">
            <w:pPr>
              <w:spacing w:after="0" w:line="240" w:lineRule="auto"/>
              <w:jc w:val="right"/>
              <w:rPr>
                <w:rFonts w:eastAsia="Times New Roman" w:cs="Arial"/>
                <w:color w:val="000000"/>
                <w:lang w:eastAsia="en-AU"/>
              </w:rPr>
            </w:pPr>
            <w:r w:rsidRPr="00EB2585">
              <w:rPr>
                <w:rFonts w:eastAsia="Times New Roman" w:cs="Arial"/>
                <w:color w:val="000000"/>
                <w:lang w:eastAsia="en-AU"/>
              </w:rPr>
              <w:t>$</w:t>
            </w:r>
            <w:r w:rsidR="00816228">
              <w:rPr>
                <w:rFonts w:eastAsia="Times New Roman" w:cs="Arial"/>
                <w:color w:val="000000"/>
                <w:lang w:eastAsia="en-AU"/>
              </w:rPr>
              <w:t>63,013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11</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$75,653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12</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double" w:sz="6" w:space="0" w:color="auto"/>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$88,293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B2585" w:rsidP="00094A6D">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sidR="00E1046C">
              <w:rPr>
                <w:rFonts w:eastAsia="Times New Roman" w:cs="Arial"/>
                <w:i/>
                <w:iCs/>
                <w:color w:val="000000"/>
                <w:lang w:eastAsia="en-AU"/>
              </w:rPr>
              <w:t>37</w:t>
            </w:r>
            <w:r w:rsidRPr="00EB2585">
              <w:rPr>
                <w:rFonts w:eastAsia="Times New Roman" w:cs="Arial"/>
                <w:i/>
                <w:iCs/>
                <w:color w:val="000000"/>
                <w:lang w:eastAsia="en-AU"/>
              </w:rPr>
              <w:t>,</w:t>
            </w:r>
            <w:r w:rsidR="00E1046C">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13</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$100,933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14</w:t>
            </w:r>
          </w:p>
        </w:tc>
        <w:tc>
          <w:tcPr>
            <w:tcW w:w="1260" w:type="dxa"/>
            <w:tcBorders>
              <w:top w:val="nil"/>
              <w:left w:val="nil"/>
              <w:bottom w:val="nil"/>
              <w:right w:val="nil"/>
            </w:tcBorders>
            <w:shd w:val="clear" w:color="auto" w:fill="B6DDE8" w:themeFill="accent5" w:themeFillTint="66"/>
            <w:noWrap/>
            <w:vAlign w:val="center"/>
            <w:hideMark/>
          </w:tcPr>
          <w:p w:rsidR="00EB2585" w:rsidRPr="00EB2585" w:rsidRDefault="00374222" w:rsidP="00EB2585">
            <w:pPr>
              <w:spacing w:after="0" w:line="240" w:lineRule="auto"/>
              <w:rPr>
                <w:rFonts w:eastAsia="Times New Roman" w:cs="Arial"/>
                <w:color w:val="000000"/>
                <w:lang w:eastAsia="en-AU"/>
              </w:rPr>
            </w:pPr>
            <w:r>
              <w:rPr>
                <w:rFonts w:eastAsia="Times New Roman" w:cs="Arial"/>
                <w:color w:val="000000"/>
                <w:lang w:eastAsia="en-AU"/>
              </w:rPr>
              <w:t>$85,406</w:t>
            </w:r>
          </w:p>
        </w:tc>
        <w:tc>
          <w:tcPr>
            <w:tcW w:w="1540" w:type="dxa"/>
            <w:tcBorders>
              <w:top w:val="nil"/>
              <w:left w:val="nil"/>
              <w:bottom w:val="nil"/>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$113,573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15</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double" w:sz="6" w:space="0" w:color="auto"/>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$126</w:t>
            </w:r>
            <w:r w:rsidR="00EB2585" w:rsidRPr="00EB2585">
              <w:rPr>
                <w:rFonts w:eastAsia="Times New Roman" w:cs="Arial"/>
                <w:color w:val="000000"/>
                <w:lang w:eastAsia="en-AU"/>
              </w:rPr>
              <w:t>,</w:t>
            </w:r>
            <w:r>
              <w:rPr>
                <w:rFonts w:eastAsia="Times New Roman" w:cs="Arial"/>
                <w:color w:val="000000"/>
                <w:lang w:eastAsia="en-AU"/>
              </w:rPr>
              <w:t>213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16</w:t>
            </w:r>
          </w:p>
        </w:tc>
        <w:tc>
          <w:tcPr>
            <w:tcW w:w="2800" w:type="dxa"/>
            <w:gridSpan w:val="2"/>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4 - Public consultation report</w:t>
            </w: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$138,853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jc w:val="right"/>
              <w:rPr>
                <w:rFonts w:eastAsia="Times New Roman" w:cs="Arial"/>
                <w:b/>
                <w:bCs/>
                <w:i/>
                <w:iCs/>
                <w:color w:val="000000"/>
                <w:lang w:eastAsia="en-AU"/>
              </w:rPr>
            </w:pPr>
            <w:r w:rsidRPr="00EB2585">
              <w:rPr>
                <w:rFonts w:eastAsia="Times New Roman" w:cs="Arial"/>
                <w:b/>
                <w:bCs/>
                <w:i/>
                <w:iCs/>
                <w:color w:val="000000"/>
                <w:lang w:eastAsia="en-AU"/>
              </w:rPr>
              <w:t>Tier 2 Total Cost*</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17</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374222" w:rsidP="00EB2585">
            <w:pPr>
              <w:spacing w:after="0" w:line="240" w:lineRule="auto"/>
              <w:rPr>
                <w:rFonts w:eastAsia="Times New Roman" w:cs="Arial"/>
                <w:color w:val="000000"/>
                <w:lang w:eastAsia="en-AU"/>
              </w:rPr>
            </w:pPr>
            <w:r>
              <w:rPr>
                <w:rFonts w:eastAsia="Times New Roman" w:cs="Arial"/>
                <w:color w:val="000000"/>
                <w:lang w:eastAsia="en-AU"/>
              </w:rPr>
              <w:t>$17</w:t>
            </w:r>
            <w:r w:rsidR="00EB2585" w:rsidRPr="00EB2585">
              <w:rPr>
                <w:rFonts w:eastAsia="Times New Roman" w:cs="Arial"/>
                <w:color w:val="000000"/>
                <w:lang w:eastAsia="en-AU"/>
              </w:rPr>
              <w:t>,178</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$151</w:t>
            </w:r>
            <w:r w:rsidR="00EB2585" w:rsidRPr="00EB2585">
              <w:rPr>
                <w:rFonts w:eastAsia="Times New Roman" w:cs="Arial"/>
                <w:color w:val="000000"/>
                <w:lang w:eastAsia="en-AU"/>
              </w:rPr>
              <w:t>,</w:t>
            </w:r>
            <w:r>
              <w:rPr>
                <w:rFonts w:eastAsia="Times New Roman" w:cs="Arial"/>
                <w:color w:val="000000"/>
                <w:lang w:eastAsia="en-AU"/>
              </w:rPr>
              <w:t>493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374222" w:rsidP="00EB2585">
            <w:pPr>
              <w:spacing w:after="0" w:line="240" w:lineRule="auto"/>
              <w:jc w:val="right"/>
              <w:rPr>
                <w:rFonts w:eastAsia="Times New Roman" w:cs="Arial"/>
                <w:b/>
                <w:bCs/>
                <w:i/>
                <w:iCs/>
                <w:color w:val="000000"/>
                <w:lang w:eastAsia="en-AU"/>
              </w:rPr>
            </w:pPr>
            <w:r>
              <w:rPr>
                <w:rFonts w:eastAsia="Times New Roman"/>
                <w:b/>
                <w:bCs/>
                <w:i/>
                <w:iCs/>
                <w:color w:val="000000"/>
              </w:rPr>
              <w:t>$189,607</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18</w:t>
            </w:r>
          </w:p>
        </w:tc>
        <w:tc>
          <w:tcPr>
            <w:tcW w:w="2800" w:type="dxa"/>
            <w:gridSpan w:val="2"/>
            <w:vMerge w:val="restart"/>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5 - Biodiversity Plan &amp; SAR (final)</w:t>
            </w:r>
          </w:p>
        </w:tc>
        <w:tc>
          <w:tcPr>
            <w:tcW w:w="1020" w:type="dxa"/>
            <w:tcBorders>
              <w:top w:val="nil"/>
              <w:left w:val="single" w:sz="4" w:space="0" w:color="auto"/>
              <w:bottom w:val="double" w:sz="6" w:space="0" w:color="auto"/>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$164</w:t>
            </w:r>
            <w:r w:rsidR="00EB2585" w:rsidRPr="00EB2585">
              <w:rPr>
                <w:rFonts w:eastAsia="Times New Roman" w:cs="Arial"/>
                <w:color w:val="000000"/>
                <w:lang w:eastAsia="en-AU"/>
              </w:rPr>
              <w:t>,</w:t>
            </w:r>
            <w:r>
              <w:rPr>
                <w:rFonts w:eastAsia="Times New Roman" w:cs="Arial"/>
                <w:color w:val="000000"/>
                <w:lang w:eastAsia="en-AU"/>
              </w:rPr>
              <w:t>133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19</w:t>
            </w:r>
          </w:p>
        </w:tc>
        <w:tc>
          <w:tcPr>
            <w:tcW w:w="2800" w:type="dxa"/>
            <w:gridSpan w:val="2"/>
            <w:vMerge/>
            <w:tcBorders>
              <w:top w:val="nil"/>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$176,773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20</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374222" w:rsidP="00EB2585">
            <w:pPr>
              <w:spacing w:after="0" w:line="240" w:lineRule="auto"/>
              <w:rPr>
                <w:rFonts w:eastAsia="Times New Roman" w:cs="Arial"/>
                <w:color w:val="000000"/>
                <w:lang w:eastAsia="en-AU"/>
              </w:rPr>
            </w:pPr>
            <w:r>
              <w:rPr>
                <w:rFonts w:eastAsia="Times New Roman" w:cs="Arial"/>
                <w:color w:val="000000"/>
                <w:lang w:eastAsia="en-AU"/>
              </w:rPr>
              <w:t>$23,747</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E1046C"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$189</w:t>
            </w:r>
            <w:r w:rsidR="00EB2585" w:rsidRPr="00EB2585">
              <w:rPr>
                <w:rFonts w:eastAsia="Times New Roman" w:cs="Arial"/>
                <w:color w:val="000000"/>
                <w:lang w:eastAsia="en-AU"/>
              </w:rPr>
              <w:t>,</w:t>
            </w:r>
            <w:r>
              <w:rPr>
                <w:rFonts w:eastAsia="Times New Roman" w:cs="Arial"/>
                <w:color w:val="000000"/>
                <w:lang w:eastAsia="en-AU"/>
              </w:rPr>
              <w:t>413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64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21</w:t>
            </w:r>
          </w:p>
        </w:tc>
        <w:tc>
          <w:tcPr>
            <w:tcW w:w="2800" w:type="dxa"/>
            <w:gridSpan w:val="2"/>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6 - Endorsed biodiversity plan</w:t>
            </w:r>
          </w:p>
        </w:tc>
        <w:tc>
          <w:tcPr>
            <w:tcW w:w="1020" w:type="dxa"/>
            <w:tcBorders>
              <w:top w:val="nil"/>
              <w:left w:val="single" w:sz="4" w:space="0" w:color="auto"/>
              <w:bottom w:val="double" w:sz="6" w:space="0" w:color="auto"/>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double" w:sz="6" w:space="0" w:color="auto"/>
              <w:right w:val="dashed" w:sz="4" w:space="0" w:color="auto"/>
            </w:tcBorders>
            <w:shd w:val="clear" w:color="auto" w:fill="B6DDE8" w:themeFill="accent5" w:themeFillTint="66"/>
            <w:noWrap/>
            <w:vAlign w:val="bottom"/>
            <w:hideMark/>
          </w:tcPr>
          <w:p w:rsidR="00EB2585" w:rsidRPr="00EB2585" w:rsidRDefault="00816228" w:rsidP="00816228">
            <w:pPr>
              <w:spacing w:after="0" w:line="240" w:lineRule="auto"/>
              <w:jc w:val="right"/>
              <w:rPr>
                <w:rFonts w:eastAsia="Times New Roman" w:cs="Arial"/>
                <w:color w:val="000000"/>
                <w:lang w:eastAsia="en-AU"/>
              </w:rPr>
            </w:pPr>
            <w:r>
              <w:rPr>
                <w:rFonts w:eastAsia="Times New Roman" w:cs="Arial"/>
                <w:color w:val="000000"/>
                <w:lang w:eastAsia="en-AU"/>
              </w:rPr>
              <w:t>$202</w:t>
            </w:r>
            <w:r w:rsidR="00EB2585" w:rsidRPr="00EB2585">
              <w:rPr>
                <w:rFonts w:eastAsia="Times New Roman" w:cs="Arial"/>
                <w:color w:val="000000"/>
                <w:lang w:eastAsia="en-AU"/>
              </w:rPr>
              <w:t>,</w:t>
            </w:r>
            <w:r>
              <w:rPr>
                <w:rFonts w:eastAsia="Times New Roman" w:cs="Arial"/>
                <w:color w:val="000000"/>
                <w:lang w:eastAsia="en-AU"/>
              </w:rPr>
              <w:t>053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double" w:sz="6"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dashed" w:sz="4"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22</w:t>
            </w:r>
          </w:p>
        </w:tc>
        <w:tc>
          <w:tcPr>
            <w:tcW w:w="1260" w:type="dxa"/>
            <w:tcBorders>
              <w:top w:val="nil"/>
              <w:left w:val="nil"/>
              <w:bottom w:val="dashed" w:sz="4" w:space="0" w:color="auto"/>
              <w:right w:val="nil"/>
            </w:tcBorders>
            <w:shd w:val="clear" w:color="auto" w:fill="B6DDE8" w:themeFill="accent5" w:themeFillTint="66"/>
            <w:noWrap/>
            <w:vAlign w:val="center"/>
            <w:hideMark/>
          </w:tcPr>
          <w:p w:rsidR="00EB2585" w:rsidRPr="00EB2585" w:rsidRDefault="00374222" w:rsidP="0055305A">
            <w:pPr>
              <w:spacing w:after="0" w:line="240" w:lineRule="auto"/>
              <w:rPr>
                <w:rFonts w:eastAsia="Times New Roman" w:cs="Arial"/>
                <w:color w:val="000000"/>
                <w:lang w:eastAsia="en-AU"/>
              </w:rPr>
            </w:pPr>
            <w:r>
              <w:rPr>
                <w:rFonts w:eastAsia="Times New Roman" w:cs="Arial"/>
                <w:color w:val="000000"/>
                <w:lang w:eastAsia="en-AU"/>
              </w:rPr>
              <w:t>$</w:t>
            </w:r>
            <w:r w:rsidR="0055305A">
              <w:rPr>
                <w:rFonts w:eastAsia="Times New Roman" w:cs="Arial"/>
                <w:color w:val="000000"/>
                <w:lang w:eastAsia="en-AU"/>
              </w:rPr>
              <w:t>3</w:t>
            </w:r>
            <w:r>
              <w:rPr>
                <w:rFonts w:eastAsia="Times New Roman" w:cs="Arial"/>
                <w:color w:val="000000"/>
                <w:lang w:eastAsia="en-AU"/>
              </w:rPr>
              <w:t>8,524</w:t>
            </w:r>
          </w:p>
        </w:tc>
        <w:tc>
          <w:tcPr>
            <w:tcW w:w="1540" w:type="dxa"/>
            <w:tcBorders>
              <w:top w:val="nil"/>
              <w:left w:val="nil"/>
              <w:bottom w:val="dashed" w:sz="4" w:space="0" w:color="auto"/>
              <w:right w:val="single" w:sz="4" w:space="0" w:color="auto"/>
            </w:tcBorders>
            <w:shd w:val="clear" w:color="auto" w:fill="B6DDE8" w:themeFill="accent5" w:themeFillTint="66"/>
            <w:noWrap/>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nil"/>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$214,693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00"/>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23</w:t>
            </w:r>
          </w:p>
        </w:tc>
        <w:tc>
          <w:tcPr>
            <w:tcW w:w="2800" w:type="dxa"/>
            <w:gridSpan w:val="2"/>
            <w:tcBorders>
              <w:top w:val="dashed" w:sz="4" w:space="0" w:color="auto"/>
              <w:left w:val="nil"/>
              <w:bottom w:val="nil"/>
              <w:right w:val="single" w:sz="4" w:space="0" w:color="auto"/>
            </w:tcBorders>
            <w:shd w:val="clear" w:color="auto" w:fill="B6DDE8" w:themeFill="accent5" w:themeFillTint="66"/>
            <w:vAlign w:val="center"/>
            <w:hideMark/>
          </w:tcPr>
          <w:p w:rsidR="00EB2585" w:rsidRPr="00EB2585" w:rsidRDefault="00EB2585" w:rsidP="000B41E9">
            <w:pPr>
              <w:spacing w:after="0" w:line="240" w:lineRule="auto"/>
              <w:rPr>
                <w:rFonts w:eastAsia="Times New Roman" w:cs="Arial"/>
                <w:color w:val="000000"/>
                <w:lang w:eastAsia="en-AU"/>
              </w:rPr>
            </w:pPr>
            <w:r w:rsidRPr="00EB2585">
              <w:rPr>
                <w:rFonts w:eastAsia="Times New Roman" w:cs="Arial"/>
                <w:color w:val="000000"/>
                <w:lang w:eastAsia="en-AU"/>
              </w:rPr>
              <w:t xml:space="preserve">7 - </w:t>
            </w:r>
            <w:r w:rsidR="000B41E9">
              <w:rPr>
                <w:rFonts w:eastAsia="Times New Roman" w:cs="Arial"/>
                <w:color w:val="000000"/>
                <w:lang w:eastAsia="en-AU"/>
              </w:rPr>
              <w:t>Preparation of briefing for approval decision</w:t>
            </w:r>
          </w:p>
        </w:tc>
        <w:tc>
          <w:tcPr>
            <w:tcW w:w="1020" w:type="dxa"/>
            <w:tcBorders>
              <w:top w:val="nil"/>
              <w:left w:val="single" w:sz="4" w:space="0" w:color="auto"/>
              <w:bottom w:val="nil"/>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nil"/>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$227,333</w:t>
            </w:r>
          </w:p>
        </w:tc>
        <w:tc>
          <w:tcPr>
            <w:tcW w:w="1840" w:type="dxa"/>
            <w:tcBorders>
              <w:top w:val="nil"/>
              <w:left w:val="nil"/>
              <w:bottom w:val="nil"/>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nil"/>
              <w:right w:val="single" w:sz="8" w:space="0" w:color="auto"/>
            </w:tcBorders>
            <w:shd w:val="clear" w:color="auto" w:fill="auto"/>
            <w:noWrap/>
            <w:vAlign w:val="bottom"/>
            <w:hideMark/>
          </w:tcPr>
          <w:p w:rsidR="00EB2585" w:rsidRPr="00EB2585" w:rsidRDefault="00EB2585" w:rsidP="00EB2585">
            <w:pPr>
              <w:spacing w:after="0" w:line="240" w:lineRule="auto"/>
              <w:rPr>
                <w:rFonts w:eastAsia="Times New Roman" w:cs="Arial"/>
                <w:i/>
                <w:iCs/>
                <w:color w:val="000000"/>
                <w:lang w:eastAsia="en-AU"/>
              </w:rPr>
            </w:pPr>
            <w:r w:rsidRPr="00EB2585">
              <w:rPr>
                <w:rFonts w:eastAsia="Times New Roman" w:cs="Arial"/>
                <w:i/>
                <w:iCs/>
                <w:color w:val="000000"/>
                <w:lang w:eastAsia="en-AU"/>
              </w:rPr>
              <w:t> </w:t>
            </w:r>
          </w:p>
        </w:tc>
      </w:tr>
      <w:tr w:rsidR="00EB2585" w:rsidRPr="00EB2585" w:rsidTr="00AD39A5">
        <w:trPr>
          <w:trHeight w:val="315"/>
          <w:jc w:val="center"/>
        </w:trPr>
        <w:tc>
          <w:tcPr>
            <w:tcW w:w="940" w:type="dxa"/>
            <w:vMerge/>
            <w:tcBorders>
              <w:top w:val="single" w:sz="8" w:space="0" w:color="auto"/>
              <w:left w:val="single" w:sz="8" w:space="0" w:color="000000"/>
              <w:bottom w:val="single" w:sz="8" w:space="0" w:color="000000"/>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single" w:sz="8" w:space="0" w:color="auto"/>
              <w:right w:val="nil"/>
            </w:tcBorders>
            <w:shd w:val="clear" w:color="auto" w:fill="B6DDE8" w:themeFill="accent5" w:themeFillTint="66"/>
            <w:noWrap/>
            <w:vAlign w:val="bottom"/>
            <w:hideMark/>
          </w:tcPr>
          <w:p w:rsidR="00EB2585" w:rsidRPr="00EB2585" w:rsidRDefault="00EB2585" w:rsidP="00EB2585">
            <w:pPr>
              <w:spacing w:after="0" w:line="240" w:lineRule="auto"/>
              <w:jc w:val="center"/>
              <w:rPr>
                <w:rFonts w:eastAsia="Times New Roman" w:cs="Arial"/>
                <w:color w:val="000000"/>
                <w:lang w:eastAsia="en-AU"/>
              </w:rPr>
            </w:pPr>
            <w:r w:rsidRPr="00EB2585">
              <w:rPr>
                <w:rFonts w:eastAsia="Times New Roman" w:cs="Arial"/>
                <w:color w:val="000000"/>
                <w:lang w:eastAsia="en-AU"/>
              </w:rPr>
              <w:t>24</w:t>
            </w:r>
          </w:p>
        </w:tc>
        <w:tc>
          <w:tcPr>
            <w:tcW w:w="1260" w:type="dxa"/>
            <w:tcBorders>
              <w:top w:val="nil"/>
              <w:left w:val="nil"/>
              <w:bottom w:val="single" w:sz="8" w:space="0" w:color="auto"/>
              <w:right w:val="nil"/>
            </w:tcBorders>
            <w:shd w:val="clear" w:color="auto" w:fill="B6DDE8" w:themeFill="accent5" w:themeFillTint="66"/>
            <w:vAlign w:val="center"/>
            <w:hideMark/>
          </w:tcPr>
          <w:p w:rsidR="00EB2585" w:rsidRPr="00EB2585" w:rsidRDefault="00EB2585" w:rsidP="00374222">
            <w:pPr>
              <w:spacing w:after="0" w:line="240" w:lineRule="auto"/>
              <w:rPr>
                <w:rFonts w:eastAsia="Times New Roman" w:cs="Arial"/>
                <w:color w:val="000000"/>
                <w:lang w:eastAsia="en-AU"/>
              </w:rPr>
            </w:pPr>
            <w:r w:rsidRPr="00EB2585">
              <w:rPr>
                <w:rFonts w:eastAsia="Times New Roman" w:cs="Arial"/>
                <w:color w:val="000000"/>
                <w:lang w:eastAsia="en-AU"/>
              </w:rPr>
              <w:t>$2</w:t>
            </w:r>
            <w:r w:rsidR="00374222">
              <w:rPr>
                <w:rFonts w:eastAsia="Times New Roman" w:cs="Arial"/>
                <w:color w:val="000000"/>
                <w:lang w:eastAsia="en-AU"/>
              </w:rPr>
              <w:t>4</w:t>
            </w:r>
            <w:r w:rsidRPr="00EB2585">
              <w:rPr>
                <w:rFonts w:eastAsia="Times New Roman" w:cs="Arial"/>
                <w:color w:val="000000"/>
                <w:lang w:eastAsia="en-AU"/>
              </w:rPr>
              <w:t>,</w:t>
            </w:r>
            <w:r w:rsidR="00374222">
              <w:rPr>
                <w:rFonts w:eastAsia="Times New Roman" w:cs="Arial"/>
                <w:color w:val="000000"/>
                <w:lang w:eastAsia="en-AU"/>
              </w:rPr>
              <w:t>751</w:t>
            </w:r>
          </w:p>
        </w:tc>
        <w:tc>
          <w:tcPr>
            <w:tcW w:w="1540" w:type="dxa"/>
            <w:tcBorders>
              <w:top w:val="nil"/>
              <w:left w:val="nil"/>
              <w:bottom w:val="single" w:sz="8" w:space="0" w:color="auto"/>
              <w:right w:val="single" w:sz="4" w:space="0" w:color="auto"/>
            </w:tcBorders>
            <w:shd w:val="clear" w:color="auto" w:fill="B6DDE8" w:themeFill="accent5" w:themeFillTint="66"/>
            <w:vAlign w:val="center"/>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 </w:t>
            </w:r>
          </w:p>
        </w:tc>
        <w:tc>
          <w:tcPr>
            <w:tcW w:w="1020" w:type="dxa"/>
            <w:tcBorders>
              <w:top w:val="nil"/>
              <w:left w:val="nil"/>
              <w:bottom w:val="single" w:sz="8" w:space="0" w:color="auto"/>
              <w:right w:val="nil"/>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sidRPr="00EB2585">
              <w:rPr>
                <w:rFonts w:eastAsia="Times New Roman" w:cs="Arial"/>
                <w:color w:val="000000"/>
                <w:lang w:eastAsia="en-AU"/>
              </w:rPr>
              <w:t>$1</w:t>
            </w:r>
            <w:r>
              <w:rPr>
                <w:rFonts w:eastAsia="Times New Roman" w:cs="Arial"/>
                <w:color w:val="000000"/>
                <w:lang w:eastAsia="en-AU"/>
              </w:rPr>
              <w:t>2</w:t>
            </w:r>
            <w:r w:rsidRPr="00EB2585">
              <w:rPr>
                <w:rFonts w:eastAsia="Times New Roman" w:cs="Arial"/>
                <w:color w:val="000000"/>
                <w:lang w:eastAsia="en-AU"/>
              </w:rPr>
              <w:t>,</w:t>
            </w:r>
            <w:r>
              <w:rPr>
                <w:rFonts w:eastAsia="Times New Roman" w:cs="Arial"/>
                <w:color w:val="000000"/>
                <w:lang w:eastAsia="en-AU"/>
              </w:rPr>
              <w:t>640</w:t>
            </w:r>
          </w:p>
        </w:tc>
        <w:tc>
          <w:tcPr>
            <w:tcW w:w="1260" w:type="dxa"/>
            <w:tcBorders>
              <w:top w:val="nil"/>
              <w:left w:val="nil"/>
              <w:bottom w:val="single" w:sz="8" w:space="0" w:color="auto"/>
              <w:right w:val="dashed" w:sz="4" w:space="0" w:color="auto"/>
            </w:tcBorders>
            <w:shd w:val="clear" w:color="auto" w:fill="B6DDE8" w:themeFill="accent5" w:themeFillTint="66"/>
            <w:noWrap/>
            <w:vAlign w:val="bottom"/>
            <w:hideMark/>
          </w:tcPr>
          <w:p w:rsidR="00EB2585" w:rsidRPr="00EB2585" w:rsidRDefault="00816228" w:rsidP="00EB2585">
            <w:pPr>
              <w:spacing w:after="0" w:line="240" w:lineRule="auto"/>
              <w:jc w:val="right"/>
              <w:rPr>
                <w:rFonts w:eastAsia="Times New Roman" w:cs="Arial"/>
                <w:color w:val="000000"/>
                <w:lang w:eastAsia="en-AU"/>
              </w:rPr>
            </w:pPr>
            <w:r>
              <w:rPr>
                <w:rFonts w:eastAsia="Times New Roman" w:cs="Arial"/>
                <w:color w:val="000000"/>
                <w:lang w:eastAsia="en-AU"/>
              </w:rPr>
              <w:t>$239,973</w:t>
            </w:r>
          </w:p>
        </w:tc>
        <w:tc>
          <w:tcPr>
            <w:tcW w:w="1840" w:type="dxa"/>
            <w:tcBorders>
              <w:top w:val="nil"/>
              <w:left w:val="nil"/>
              <w:bottom w:val="single" w:sz="8" w:space="0" w:color="auto"/>
              <w:right w:val="single" w:sz="8" w:space="0" w:color="auto"/>
            </w:tcBorders>
            <w:shd w:val="clear" w:color="auto" w:fill="B6DDE8" w:themeFill="accent5" w:themeFillTint="66"/>
            <w:noWrap/>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 </w:t>
            </w:r>
          </w:p>
        </w:tc>
        <w:tc>
          <w:tcPr>
            <w:tcW w:w="1120" w:type="dxa"/>
            <w:tcBorders>
              <w:top w:val="nil"/>
              <w:left w:val="nil"/>
              <w:bottom w:val="single" w:sz="8" w:space="0" w:color="auto"/>
              <w:right w:val="single" w:sz="8" w:space="0" w:color="auto"/>
            </w:tcBorders>
            <w:shd w:val="clear" w:color="auto" w:fill="auto"/>
            <w:noWrap/>
            <w:vAlign w:val="bottom"/>
            <w:hideMark/>
          </w:tcPr>
          <w:p w:rsidR="00EB2585" w:rsidRPr="00EB2585" w:rsidRDefault="00E1046C" w:rsidP="00EB2585">
            <w:pPr>
              <w:spacing w:after="0" w:line="240" w:lineRule="auto"/>
              <w:jc w:val="right"/>
              <w:rPr>
                <w:rFonts w:eastAsia="Times New Roman" w:cs="Arial"/>
                <w:i/>
                <w:iCs/>
                <w:color w:val="000000"/>
                <w:lang w:eastAsia="en-AU"/>
              </w:rPr>
            </w:pPr>
            <w:r w:rsidRPr="00EB2585">
              <w:rPr>
                <w:rFonts w:eastAsia="Times New Roman" w:cs="Arial"/>
                <w:i/>
                <w:iCs/>
                <w:color w:val="000000"/>
                <w:lang w:eastAsia="en-AU"/>
              </w:rPr>
              <w:t>$</w:t>
            </w:r>
            <w:r>
              <w:rPr>
                <w:rFonts w:eastAsia="Times New Roman" w:cs="Arial"/>
                <w:i/>
                <w:iCs/>
                <w:color w:val="000000"/>
                <w:lang w:eastAsia="en-AU"/>
              </w:rPr>
              <w:t>37</w:t>
            </w:r>
            <w:r w:rsidRPr="00EB2585">
              <w:rPr>
                <w:rFonts w:eastAsia="Times New Roman" w:cs="Arial"/>
                <w:i/>
                <w:iCs/>
                <w:color w:val="000000"/>
                <w:lang w:eastAsia="en-AU"/>
              </w:rPr>
              <w:t>,</w:t>
            </w:r>
            <w:r>
              <w:rPr>
                <w:rFonts w:eastAsia="Times New Roman" w:cs="Arial"/>
                <w:i/>
                <w:iCs/>
                <w:color w:val="000000"/>
                <w:lang w:eastAsia="en-AU"/>
              </w:rPr>
              <w:t>92</w:t>
            </w:r>
            <w:r w:rsidR="00094A6D">
              <w:rPr>
                <w:rFonts w:eastAsia="Times New Roman" w:cs="Arial"/>
                <w:i/>
                <w:iCs/>
                <w:color w:val="000000"/>
                <w:lang w:eastAsia="en-AU"/>
              </w:rPr>
              <w:t>0</w:t>
            </w:r>
          </w:p>
        </w:tc>
      </w:tr>
      <w:tr w:rsidR="00EB2585" w:rsidRPr="00EB2585" w:rsidTr="00EB2585">
        <w:trPr>
          <w:trHeight w:val="615"/>
          <w:jc w:val="center"/>
        </w:trPr>
        <w:tc>
          <w:tcPr>
            <w:tcW w:w="9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1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0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840" w:type="dxa"/>
            <w:tcBorders>
              <w:top w:val="nil"/>
              <w:left w:val="single" w:sz="8" w:space="0" w:color="auto"/>
              <w:bottom w:val="single" w:sz="8" w:space="0" w:color="auto"/>
              <w:right w:val="nil"/>
            </w:tcBorders>
            <w:shd w:val="clear" w:color="auto" w:fill="auto"/>
            <w:vAlign w:val="bottom"/>
            <w:hideMark/>
          </w:tcPr>
          <w:p w:rsidR="00EB2585" w:rsidRPr="00EB2585" w:rsidRDefault="00EB2585" w:rsidP="00EB2585">
            <w:pPr>
              <w:spacing w:after="0" w:line="240" w:lineRule="auto"/>
              <w:rPr>
                <w:rFonts w:eastAsia="Times New Roman" w:cs="Arial"/>
                <w:b/>
                <w:bCs/>
                <w:i/>
                <w:iCs/>
                <w:color w:val="000000"/>
                <w:lang w:eastAsia="en-AU"/>
              </w:rPr>
            </w:pPr>
            <w:r w:rsidRPr="00EB2585">
              <w:rPr>
                <w:rFonts w:eastAsia="Times New Roman" w:cs="Arial"/>
                <w:b/>
                <w:bCs/>
                <w:i/>
                <w:iCs/>
                <w:color w:val="000000"/>
                <w:lang w:eastAsia="en-AU"/>
              </w:rPr>
              <w:t>Fee Total**</w:t>
            </w:r>
          </w:p>
        </w:tc>
        <w:tc>
          <w:tcPr>
            <w:tcW w:w="1120" w:type="dxa"/>
            <w:tcBorders>
              <w:top w:val="nil"/>
              <w:left w:val="nil"/>
              <w:bottom w:val="single" w:sz="8" w:space="0" w:color="auto"/>
              <w:right w:val="single" w:sz="8" w:space="0" w:color="auto"/>
            </w:tcBorders>
            <w:shd w:val="clear" w:color="auto" w:fill="auto"/>
            <w:noWrap/>
            <w:vAlign w:val="bottom"/>
            <w:hideMark/>
          </w:tcPr>
          <w:p w:rsidR="00EB2585" w:rsidRPr="00EB2585" w:rsidRDefault="00374222" w:rsidP="00EB2585">
            <w:pPr>
              <w:spacing w:after="0" w:line="240" w:lineRule="auto"/>
              <w:jc w:val="right"/>
              <w:rPr>
                <w:rFonts w:eastAsia="Times New Roman" w:cs="Arial"/>
                <w:b/>
                <w:bCs/>
                <w:i/>
                <w:iCs/>
                <w:color w:val="000000"/>
                <w:lang w:eastAsia="en-AU"/>
              </w:rPr>
            </w:pPr>
            <w:r w:rsidRPr="00374222">
              <w:rPr>
                <w:rFonts w:eastAsia="Times New Roman" w:cs="Arial"/>
                <w:b/>
                <w:bCs/>
                <w:i/>
                <w:iCs/>
                <w:color w:val="000000"/>
                <w:lang w:eastAsia="en-AU"/>
              </w:rPr>
              <w:t>$239,981</w:t>
            </w:r>
          </w:p>
        </w:tc>
      </w:tr>
      <w:tr w:rsidR="00EB2585" w:rsidRPr="00EB2585" w:rsidTr="00EB2585">
        <w:trPr>
          <w:trHeight w:val="300"/>
          <w:jc w:val="center"/>
        </w:trPr>
        <w:tc>
          <w:tcPr>
            <w:tcW w:w="2080" w:type="dxa"/>
            <w:gridSpan w:val="2"/>
            <w:tcBorders>
              <w:top w:val="nil"/>
              <w:left w:val="nil"/>
              <w:bottom w:val="nil"/>
              <w:right w:val="nil"/>
            </w:tcBorders>
            <w:shd w:val="clear" w:color="auto" w:fill="auto"/>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Monthly cost</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2560" w:type="dxa"/>
            <w:gridSpan w:val="2"/>
            <w:tcBorders>
              <w:top w:val="nil"/>
              <w:left w:val="nil"/>
              <w:bottom w:val="nil"/>
              <w:right w:val="nil"/>
            </w:tcBorders>
            <w:shd w:val="clear" w:color="auto" w:fill="auto"/>
            <w:noWrap/>
            <w:vAlign w:val="bottom"/>
            <w:hideMark/>
          </w:tcPr>
          <w:p w:rsidR="00EB2585" w:rsidRPr="00EB2585" w:rsidRDefault="00EB2585" w:rsidP="00EB2585">
            <w:pPr>
              <w:spacing w:after="0" w:line="240" w:lineRule="auto"/>
              <w:jc w:val="center"/>
              <w:rPr>
                <w:rFonts w:eastAsia="Times New Roman" w:cs="Arial"/>
                <w:b/>
                <w:bCs/>
                <w:color w:val="000000"/>
                <w:lang w:eastAsia="en-AU"/>
              </w:rPr>
            </w:pPr>
            <w:r w:rsidRPr="00EB2585">
              <w:rPr>
                <w:rFonts w:eastAsia="Times New Roman" w:cs="Arial"/>
                <w:b/>
                <w:bCs/>
                <w:color w:val="000000"/>
                <w:lang w:eastAsia="en-AU"/>
              </w:rPr>
              <w:t>Monthly fees (rounded)</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8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1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r>
      <w:tr w:rsidR="00EB2585" w:rsidRPr="00EB2585" w:rsidTr="006C28E8">
        <w:trPr>
          <w:trHeight w:val="300"/>
          <w:jc w:val="center"/>
        </w:trPr>
        <w:tc>
          <w:tcPr>
            <w:tcW w:w="940" w:type="dxa"/>
            <w:tcBorders>
              <w:top w:val="nil"/>
              <w:left w:val="nil"/>
              <w:right w:val="nil"/>
            </w:tcBorders>
            <w:shd w:val="clear" w:color="000000" w:fill="8DB4E3"/>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Tier1</w:t>
            </w:r>
          </w:p>
        </w:tc>
        <w:tc>
          <w:tcPr>
            <w:tcW w:w="1140" w:type="dxa"/>
            <w:tcBorders>
              <w:top w:val="nil"/>
              <w:left w:val="nil"/>
              <w:right w:val="nil"/>
            </w:tcBorders>
            <w:shd w:val="clear" w:color="000000" w:fill="8DB4E3"/>
            <w:noWrap/>
            <w:vAlign w:val="bottom"/>
            <w:hideMark/>
          </w:tcPr>
          <w:p w:rsidR="00EB2585" w:rsidRPr="00EB2585" w:rsidRDefault="00D31AC4" w:rsidP="00EB2585">
            <w:pPr>
              <w:spacing w:after="0" w:line="240" w:lineRule="auto"/>
              <w:jc w:val="right"/>
              <w:rPr>
                <w:rFonts w:eastAsia="Times New Roman" w:cs="Arial"/>
                <w:color w:val="000000"/>
                <w:lang w:eastAsia="en-AU"/>
              </w:rPr>
            </w:pPr>
            <w:r>
              <w:rPr>
                <w:rFonts w:eastAsia="Times New Roman" w:cs="Arial"/>
                <w:color w:val="000000"/>
                <w:lang w:eastAsia="en-AU"/>
              </w:rPr>
              <w:t>$5,597.22</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right w:val="nil"/>
            </w:tcBorders>
            <w:shd w:val="clear" w:color="000000" w:fill="8DB4E3"/>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Tier1</w:t>
            </w:r>
          </w:p>
        </w:tc>
        <w:tc>
          <w:tcPr>
            <w:tcW w:w="1020" w:type="dxa"/>
            <w:tcBorders>
              <w:top w:val="nil"/>
              <w:left w:val="nil"/>
              <w:right w:val="nil"/>
            </w:tcBorders>
            <w:shd w:val="clear" w:color="000000" w:fill="8DB4E3"/>
            <w:noWrap/>
            <w:vAlign w:val="bottom"/>
            <w:hideMark/>
          </w:tcPr>
          <w:p w:rsidR="00EB2585" w:rsidRPr="00EB2585" w:rsidRDefault="00D31AC4" w:rsidP="00D31AC4">
            <w:pPr>
              <w:spacing w:after="0" w:line="240" w:lineRule="auto"/>
              <w:jc w:val="right"/>
              <w:rPr>
                <w:rFonts w:eastAsia="Times New Roman" w:cs="Arial"/>
                <w:color w:val="000000"/>
                <w:lang w:eastAsia="en-AU"/>
              </w:rPr>
            </w:pPr>
            <w:r>
              <w:rPr>
                <w:rFonts w:eastAsia="Times New Roman" w:cs="Arial"/>
                <w:color w:val="000000"/>
                <w:lang w:eastAsia="en-AU"/>
              </w:rPr>
              <w:t>$5</w:t>
            </w:r>
            <w:r w:rsidR="00EB2585" w:rsidRPr="00EB2585">
              <w:rPr>
                <w:rFonts w:eastAsia="Times New Roman" w:cs="Arial"/>
                <w:color w:val="000000"/>
                <w:lang w:eastAsia="en-AU"/>
              </w:rPr>
              <w:t>,</w:t>
            </w:r>
            <w:r>
              <w:rPr>
                <w:rFonts w:eastAsia="Times New Roman" w:cs="Arial"/>
                <w:color w:val="000000"/>
                <w:lang w:eastAsia="en-AU"/>
              </w:rPr>
              <w:t>597</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8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1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r>
      <w:tr w:rsidR="00EB2585" w:rsidRPr="00EB2585" w:rsidTr="006C28E8">
        <w:trPr>
          <w:trHeight w:val="300"/>
          <w:jc w:val="center"/>
        </w:trPr>
        <w:tc>
          <w:tcPr>
            <w:tcW w:w="940" w:type="dxa"/>
            <w:tcBorders>
              <w:top w:val="nil"/>
              <w:left w:val="nil"/>
              <w:bottom w:val="nil"/>
              <w:right w:val="nil"/>
            </w:tcBorders>
            <w:shd w:val="clear" w:color="000000" w:fill="B6DDE8" w:themeFill="accent5" w:themeFillTint="66"/>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Tier2</w:t>
            </w:r>
          </w:p>
        </w:tc>
        <w:tc>
          <w:tcPr>
            <w:tcW w:w="1140" w:type="dxa"/>
            <w:tcBorders>
              <w:top w:val="nil"/>
              <w:left w:val="nil"/>
              <w:bottom w:val="nil"/>
              <w:right w:val="nil"/>
            </w:tcBorders>
            <w:shd w:val="clear" w:color="000000" w:fill="B6DDE8" w:themeFill="accent5" w:themeFillTint="66"/>
            <w:noWrap/>
            <w:vAlign w:val="bottom"/>
            <w:hideMark/>
          </w:tcPr>
          <w:p w:rsidR="00EB2585" w:rsidRPr="00EB2585" w:rsidRDefault="003C3109" w:rsidP="00EB2585">
            <w:pPr>
              <w:spacing w:after="0" w:line="240" w:lineRule="auto"/>
              <w:jc w:val="right"/>
              <w:rPr>
                <w:rFonts w:eastAsia="Times New Roman" w:cs="Arial"/>
                <w:color w:val="000000"/>
                <w:lang w:eastAsia="en-AU"/>
              </w:rPr>
            </w:pPr>
            <w:r>
              <w:rPr>
                <w:rFonts w:eastAsia="Times New Roman" w:cs="Arial"/>
                <w:color w:val="000000"/>
                <w:lang w:eastAsia="en-AU"/>
              </w:rPr>
              <w:t>$12,640.47</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color w:val="000000"/>
                <w:lang w:eastAsia="en-AU"/>
              </w:rPr>
            </w:pPr>
          </w:p>
        </w:tc>
        <w:tc>
          <w:tcPr>
            <w:tcW w:w="1540" w:type="dxa"/>
            <w:tcBorders>
              <w:top w:val="nil"/>
              <w:left w:val="nil"/>
              <w:bottom w:val="nil"/>
              <w:right w:val="nil"/>
            </w:tcBorders>
            <w:shd w:val="clear" w:color="000000" w:fill="B6DDE8" w:themeFill="accent5" w:themeFillTint="66"/>
            <w:noWrap/>
            <w:vAlign w:val="bottom"/>
            <w:hideMark/>
          </w:tcPr>
          <w:p w:rsidR="00EB2585" w:rsidRPr="00EB2585" w:rsidRDefault="00EB2585" w:rsidP="00EB2585">
            <w:pPr>
              <w:spacing w:after="0" w:line="240" w:lineRule="auto"/>
              <w:rPr>
                <w:rFonts w:eastAsia="Times New Roman" w:cs="Arial"/>
                <w:color w:val="000000"/>
                <w:lang w:eastAsia="en-AU"/>
              </w:rPr>
            </w:pPr>
            <w:r w:rsidRPr="00EB2585">
              <w:rPr>
                <w:rFonts w:eastAsia="Times New Roman" w:cs="Arial"/>
                <w:color w:val="000000"/>
                <w:lang w:eastAsia="en-AU"/>
              </w:rPr>
              <w:t>Tier2</w:t>
            </w:r>
          </w:p>
        </w:tc>
        <w:tc>
          <w:tcPr>
            <w:tcW w:w="1020" w:type="dxa"/>
            <w:tcBorders>
              <w:top w:val="nil"/>
              <w:left w:val="nil"/>
              <w:bottom w:val="nil"/>
              <w:right w:val="nil"/>
            </w:tcBorders>
            <w:shd w:val="clear" w:color="000000" w:fill="B6DDE8" w:themeFill="accent5" w:themeFillTint="66"/>
            <w:noWrap/>
            <w:vAlign w:val="bottom"/>
            <w:hideMark/>
          </w:tcPr>
          <w:p w:rsidR="00EB2585" w:rsidRPr="00EB2585" w:rsidRDefault="00EB2585" w:rsidP="0055305A">
            <w:pPr>
              <w:spacing w:after="0" w:line="240" w:lineRule="auto"/>
              <w:jc w:val="right"/>
              <w:rPr>
                <w:rFonts w:eastAsia="Times New Roman" w:cs="Arial"/>
                <w:color w:val="000000"/>
                <w:lang w:eastAsia="en-AU"/>
              </w:rPr>
            </w:pPr>
            <w:r w:rsidRPr="00EB2585">
              <w:rPr>
                <w:rFonts w:eastAsia="Times New Roman" w:cs="Arial"/>
                <w:color w:val="000000"/>
                <w:lang w:eastAsia="en-AU"/>
              </w:rPr>
              <w:t>$1</w:t>
            </w:r>
            <w:r w:rsidR="00D31AC4">
              <w:rPr>
                <w:rFonts w:eastAsia="Times New Roman" w:cs="Arial"/>
                <w:color w:val="000000"/>
                <w:lang w:eastAsia="en-AU"/>
              </w:rPr>
              <w:t>2</w:t>
            </w:r>
            <w:r w:rsidRPr="00EB2585">
              <w:rPr>
                <w:rFonts w:eastAsia="Times New Roman" w:cs="Arial"/>
                <w:color w:val="000000"/>
                <w:lang w:eastAsia="en-AU"/>
              </w:rPr>
              <w:t>,</w:t>
            </w:r>
            <w:r w:rsidR="0055305A">
              <w:rPr>
                <w:rFonts w:eastAsia="Times New Roman" w:cs="Arial"/>
                <w:color w:val="000000"/>
                <w:lang w:eastAsia="en-AU"/>
              </w:rPr>
              <w:t>640</w:t>
            </w:r>
          </w:p>
        </w:tc>
        <w:tc>
          <w:tcPr>
            <w:tcW w:w="126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84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c>
          <w:tcPr>
            <w:tcW w:w="1120" w:type="dxa"/>
            <w:tcBorders>
              <w:top w:val="nil"/>
              <w:left w:val="nil"/>
              <w:bottom w:val="nil"/>
              <w:right w:val="nil"/>
            </w:tcBorders>
            <w:shd w:val="clear" w:color="auto" w:fill="auto"/>
            <w:noWrap/>
            <w:vAlign w:val="bottom"/>
            <w:hideMark/>
          </w:tcPr>
          <w:p w:rsidR="00EB2585" w:rsidRPr="00EB2585" w:rsidRDefault="00EB2585" w:rsidP="00EB2585">
            <w:pPr>
              <w:spacing w:after="0" w:line="240" w:lineRule="auto"/>
              <w:rPr>
                <w:rFonts w:eastAsia="Times New Roman" w:cs="Arial"/>
                <w:b/>
                <w:bCs/>
                <w:color w:val="000000"/>
                <w:lang w:eastAsia="en-AU"/>
              </w:rPr>
            </w:pPr>
          </w:p>
        </w:tc>
      </w:tr>
      <w:tr w:rsidR="00EB2585" w:rsidRPr="00EB2585" w:rsidTr="00EB2585">
        <w:trPr>
          <w:trHeight w:val="300"/>
          <w:jc w:val="center"/>
        </w:trPr>
        <w:tc>
          <w:tcPr>
            <w:tcW w:w="10120" w:type="dxa"/>
            <w:gridSpan w:val="8"/>
            <w:vMerge w:val="restart"/>
            <w:tcBorders>
              <w:top w:val="nil"/>
              <w:left w:val="nil"/>
              <w:bottom w:val="nil"/>
              <w:right w:val="nil"/>
            </w:tcBorders>
            <w:shd w:val="clear" w:color="auto" w:fill="auto"/>
            <w:vAlign w:val="bottom"/>
            <w:hideMark/>
          </w:tcPr>
          <w:p w:rsidR="00EB2585" w:rsidRPr="00EB2585" w:rsidRDefault="00EB2585" w:rsidP="00EB2585">
            <w:pPr>
              <w:spacing w:after="0" w:line="240" w:lineRule="auto"/>
              <w:rPr>
                <w:rFonts w:eastAsia="Times New Roman" w:cs="Arial"/>
                <w:i/>
                <w:iCs/>
                <w:color w:val="000000"/>
                <w:sz w:val="18"/>
                <w:szCs w:val="18"/>
                <w:lang w:eastAsia="en-AU"/>
              </w:rPr>
            </w:pPr>
            <w:r w:rsidRPr="00EB2585">
              <w:rPr>
                <w:rFonts w:eastAsia="Times New Roman" w:cs="Arial"/>
                <w:i/>
                <w:iCs/>
                <w:color w:val="000000"/>
                <w:sz w:val="18"/>
                <w:szCs w:val="18"/>
                <w:lang w:eastAsia="en-AU"/>
              </w:rPr>
              <w:t>*Monthly costs for Tier 1 and Tier 2 are rounded to the nearest dollar. Cumulative costs are based on the sum of un-rounded monthly costs. The cumulative costs vary slightly when compared to the Total costs for Tier 1 and Tier 2 because of rounding. Tier 1 and Tier 2 Total costs are the true cost of the assessment.</w:t>
            </w:r>
          </w:p>
        </w:tc>
      </w:tr>
      <w:tr w:rsidR="00EB2585" w:rsidRPr="00EB2585" w:rsidTr="00EB2585">
        <w:trPr>
          <w:trHeight w:val="615"/>
          <w:jc w:val="center"/>
        </w:trPr>
        <w:tc>
          <w:tcPr>
            <w:tcW w:w="10120" w:type="dxa"/>
            <w:gridSpan w:val="8"/>
            <w:vMerge/>
            <w:tcBorders>
              <w:top w:val="nil"/>
              <w:left w:val="nil"/>
              <w:bottom w:val="nil"/>
              <w:right w:val="nil"/>
            </w:tcBorders>
            <w:vAlign w:val="center"/>
            <w:hideMark/>
          </w:tcPr>
          <w:p w:rsidR="00EB2585" w:rsidRPr="00EB2585" w:rsidRDefault="00EB2585" w:rsidP="00EB2585">
            <w:pPr>
              <w:spacing w:after="0" w:line="240" w:lineRule="auto"/>
              <w:rPr>
                <w:rFonts w:eastAsia="Times New Roman" w:cs="Arial"/>
                <w:i/>
                <w:iCs/>
                <w:color w:val="000000"/>
                <w:sz w:val="18"/>
                <w:szCs w:val="18"/>
                <w:lang w:eastAsia="en-AU"/>
              </w:rPr>
            </w:pPr>
          </w:p>
        </w:tc>
      </w:tr>
      <w:tr w:rsidR="00EB2585" w:rsidRPr="00EB2585" w:rsidTr="00EB2585">
        <w:trPr>
          <w:trHeight w:val="300"/>
          <w:jc w:val="center"/>
        </w:trPr>
        <w:tc>
          <w:tcPr>
            <w:tcW w:w="10120" w:type="dxa"/>
            <w:gridSpan w:val="8"/>
            <w:vMerge w:val="restart"/>
            <w:tcBorders>
              <w:top w:val="nil"/>
              <w:left w:val="nil"/>
              <w:bottom w:val="nil"/>
              <w:right w:val="nil"/>
            </w:tcBorders>
            <w:shd w:val="clear" w:color="auto" w:fill="auto"/>
            <w:vAlign w:val="bottom"/>
            <w:hideMark/>
          </w:tcPr>
          <w:p w:rsidR="00EB2585" w:rsidRPr="00EB2585" w:rsidRDefault="00EB2585" w:rsidP="00996C07">
            <w:pPr>
              <w:spacing w:after="0" w:line="240" w:lineRule="auto"/>
              <w:rPr>
                <w:rFonts w:eastAsia="Times New Roman" w:cs="Arial"/>
                <w:i/>
                <w:iCs/>
                <w:color w:val="000000"/>
                <w:sz w:val="18"/>
                <w:szCs w:val="18"/>
                <w:lang w:eastAsia="en-AU"/>
              </w:rPr>
            </w:pPr>
            <w:r w:rsidRPr="00EB2585">
              <w:rPr>
                <w:rFonts w:eastAsia="Times New Roman" w:cs="Arial"/>
                <w:i/>
                <w:iCs/>
                <w:color w:val="000000"/>
                <w:sz w:val="18"/>
                <w:szCs w:val="18"/>
                <w:lang w:eastAsia="en-AU"/>
              </w:rPr>
              <w:t>** The variat</w:t>
            </w:r>
            <w:r w:rsidR="009835E1">
              <w:rPr>
                <w:rFonts w:eastAsia="Times New Roman" w:cs="Arial"/>
                <w:i/>
                <w:iCs/>
                <w:color w:val="000000"/>
                <w:sz w:val="18"/>
                <w:szCs w:val="18"/>
                <w:lang w:eastAsia="en-AU"/>
              </w:rPr>
              <w:t>ion between the Total</w:t>
            </w:r>
            <w:r w:rsidR="00DA09C5">
              <w:rPr>
                <w:rFonts w:eastAsia="Times New Roman" w:cs="Arial"/>
                <w:i/>
                <w:iCs/>
                <w:color w:val="000000"/>
                <w:sz w:val="18"/>
                <w:szCs w:val="18"/>
                <w:lang w:eastAsia="en-AU"/>
              </w:rPr>
              <w:t xml:space="preserve"> cumulative</w:t>
            </w:r>
            <w:r w:rsidR="009835E1">
              <w:rPr>
                <w:rFonts w:eastAsia="Times New Roman" w:cs="Arial"/>
                <w:i/>
                <w:iCs/>
                <w:color w:val="000000"/>
                <w:sz w:val="18"/>
                <w:szCs w:val="18"/>
                <w:lang w:eastAsia="en-AU"/>
              </w:rPr>
              <w:t xml:space="preserve"> cost ($239,973</w:t>
            </w:r>
            <w:r w:rsidRPr="00EB2585">
              <w:rPr>
                <w:rFonts w:eastAsia="Times New Roman" w:cs="Arial"/>
                <w:i/>
                <w:iCs/>
                <w:color w:val="000000"/>
                <w:sz w:val="18"/>
                <w:szCs w:val="18"/>
                <w:lang w:eastAsia="en-AU"/>
              </w:rPr>
              <w:t xml:space="preserve">) and the </w:t>
            </w:r>
            <w:r w:rsidR="009835E1">
              <w:rPr>
                <w:rFonts w:eastAsia="Times New Roman" w:cs="Arial"/>
                <w:i/>
                <w:iCs/>
                <w:color w:val="000000"/>
                <w:sz w:val="18"/>
                <w:szCs w:val="18"/>
                <w:lang w:eastAsia="en-AU"/>
              </w:rPr>
              <w:t>Fee Total ($239,981</w:t>
            </w:r>
            <w:r w:rsidRPr="00EB2585">
              <w:rPr>
                <w:rFonts w:eastAsia="Times New Roman" w:cs="Arial"/>
                <w:i/>
                <w:iCs/>
                <w:color w:val="000000"/>
                <w:sz w:val="18"/>
                <w:szCs w:val="18"/>
                <w:lang w:eastAsia="en-AU"/>
              </w:rPr>
              <w:t>)</w:t>
            </w:r>
            <w:r w:rsidR="00996C07">
              <w:rPr>
                <w:rFonts w:eastAsia="Times New Roman" w:cs="Arial"/>
                <w:i/>
                <w:iCs/>
                <w:color w:val="000000"/>
                <w:sz w:val="18"/>
                <w:szCs w:val="18"/>
                <w:lang w:eastAsia="en-AU"/>
              </w:rPr>
              <w:t xml:space="preserve"> </w:t>
            </w:r>
            <w:r w:rsidRPr="00EB2585">
              <w:rPr>
                <w:rFonts w:eastAsia="Times New Roman" w:cs="Arial"/>
                <w:i/>
                <w:iCs/>
                <w:color w:val="000000"/>
                <w:sz w:val="18"/>
                <w:szCs w:val="18"/>
                <w:lang w:eastAsia="en-AU"/>
              </w:rPr>
              <w:t>in the hypothetical strategic assessment is $</w:t>
            </w:r>
            <w:r w:rsidR="009835E1">
              <w:rPr>
                <w:rFonts w:eastAsia="Times New Roman" w:cs="Arial"/>
                <w:i/>
                <w:iCs/>
                <w:color w:val="000000"/>
                <w:sz w:val="18"/>
                <w:szCs w:val="18"/>
                <w:lang w:eastAsia="en-AU"/>
              </w:rPr>
              <w:t>8</w:t>
            </w:r>
            <w:r w:rsidRPr="00EB2585">
              <w:rPr>
                <w:rFonts w:eastAsia="Times New Roman" w:cs="Arial"/>
                <w:i/>
                <w:iCs/>
                <w:color w:val="000000"/>
                <w:sz w:val="18"/>
                <w:szCs w:val="18"/>
                <w:lang w:eastAsia="en-AU"/>
              </w:rPr>
              <w:t>, or approximately 0.00</w:t>
            </w:r>
            <w:r w:rsidR="00996C07">
              <w:rPr>
                <w:rFonts w:eastAsia="Times New Roman" w:cs="Arial"/>
                <w:i/>
                <w:iCs/>
                <w:color w:val="000000"/>
                <w:sz w:val="18"/>
                <w:szCs w:val="18"/>
                <w:lang w:eastAsia="en-AU"/>
              </w:rPr>
              <w:t>3</w:t>
            </w:r>
            <w:r w:rsidRPr="00EB2585">
              <w:rPr>
                <w:rFonts w:eastAsia="Times New Roman" w:cs="Arial"/>
                <w:i/>
                <w:iCs/>
                <w:color w:val="000000"/>
                <w:sz w:val="18"/>
                <w:szCs w:val="18"/>
                <w:lang w:eastAsia="en-AU"/>
              </w:rPr>
              <w:t xml:space="preserve">% of the Total cost. The variation is due to the rounding of fees based on monthly costs. </w:t>
            </w:r>
          </w:p>
        </w:tc>
      </w:tr>
      <w:tr w:rsidR="00EB2585" w:rsidRPr="00EB2585" w:rsidTr="00EB2585">
        <w:trPr>
          <w:trHeight w:val="300"/>
          <w:jc w:val="center"/>
        </w:trPr>
        <w:tc>
          <w:tcPr>
            <w:tcW w:w="10120" w:type="dxa"/>
            <w:gridSpan w:val="8"/>
            <w:vMerge/>
            <w:tcBorders>
              <w:top w:val="nil"/>
              <w:left w:val="nil"/>
              <w:bottom w:val="nil"/>
              <w:right w:val="nil"/>
            </w:tcBorders>
            <w:vAlign w:val="center"/>
            <w:hideMark/>
          </w:tcPr>
          <w:p w:rsidR="00EB2585" w:rsidRPr="00EB2585" w:rsidRDefault="00EB2585" w:rsidP="00EB2585">
            <w:pPr>
              <w:spacing w:after="0" w:line="240" w:lineRule="auto"/>
              <w:rPr>
                <w:rFonts w:eastAsia="Times New Roman" w:cs="Arial"/>
                <w:i/>
                <w:iCs/>
                <w:color w:val="000000"/>
                <w:sz w:val="18"/>
                <w:szCs w:val="18"/>
                <w:lang w:eastAsia="en-AU"/>
              </w:rPr>
            </w:pPr>
          </w:p>
        </w:tc>
      </w:tr>
    </w:tbl>
    <w:p w:rsidR="009E4E3C" w:rsidRDefault="009E4E3C">
      <w:pPr>
        <w:spacing w:after="0" w:line="240" w:lineRule="auto"/>
      </w:pPr>
    </w:p>
    <w:p w:rsidR="009E4E3C" w:rsidRDefault="009E4E3C">
      <w:pPr>
        <w:spacing w:after="0" w:line="240" w:lineRule="auto"/>
        <w:sectPr w:rsidR="009E4E3C" w:rsidSect="000005C0">
          <w:pgSz w:w="11906" w:h="16838"/>
          <w:pgMar w:top="993" w:right="1274" w:bottom="1440" w:left="1134" w:header="708" w:footer="708" w:gutter="0"/>
          <w:cols w:space="708"/>
          <w:docGrid w:linePitch="360"/>
        </w:sectPr>
      </w:pPr>
    </w:p>
    <w:tbl>
      <w:tblPr>
        <w:tblW w:w="4594" w:type="pct"/>
        <w:jc w:val="center"/>
        <w:tblLook w:val="04A0"/>
      </w:tblPr>
      <w:tblGrid>
        <w:gridCol w:w="223"/>
        <w:gridCol w:w="125"/>
        <w:gridCol w:w="166"/>
        <w:gridCol w:w="3375"/>
        <w:gridCol w:w="1041"/>
        <w:gridCol w:w="1041"/>
        <w:gridCol w:w="1098"/>
        <w:gridCol w:w="235"/>
        <w:gridCol w:w="34"/>
        <w:gridCol w:w="262"/>
        <w:gridCol w:w="225"/>
        <w:gridCol w:w="607"/>
        <w:gridCol w:w="97"/>
        <w:gridCol w:w="720"/>
        <w:gridCol w:w="333"/>
        <w:gridCol w:w="239"/>
        <w:gridCol w:w="946"/>
        <w:gridCol w:w="656"/>
        <w:gridCol w:w="672"/>
        <w:gridCol w:w="1339"/>
      </w:tblGrid>
      <w:tr w:rsidR="00C47D08" w:rsidRPr="00B65B8B" w:rsidTr="00C47D08">
        <w:trPr>
          <w:gridAfter w:val="2"/>
          <w:wAfter w:w="750" w:type="pct"/>
          <w:trHeight w:val="324"/>
          <w:jc w:val="center"/>
        </w:trPr>
        <w:tc>
          <w:tcPr>
            <w:tcW w:w="130"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color w:val="000000"/>
                <w:sz w:val="24"/>
                <w:szCs w:val="24"/>
              </w:rPr>
            </w:pPr>
            <w:r w:rsidRPr="00B65B8B">
              <w:rPr>
                <w:rFonts w:eastAsia="Times New Roman"/>
                <w:color w:val="000000"/>
                <w:sz w:val="24"/>
                <w:szCs w:val="24"/>
              </w:rPr>
              <w:lastRenderedPageBreak/>
              <w:t> </w:t>
            </w:r>
          </w:p>
        </w:tc>
        <w:tc>
          <w:tcPr>
            <w:tcW w:w="2588" w:type="pct"/>
            <w:gridSpan w:val="6"/>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i/>
                <w:iCs/>
                <w:color w:val="FFFFFF" w:themeColor="background1"/>
                <w:sz w:val="24"/>
                <w:szCs w:val="24"/>
              </w:rPr>
            </w:pPr>
            <w:r w:rsidRPr="00B65B8B">
              <w:rPr>
                <w:rFonts w:eastAsia="Times New Roman"/>
                <w:b/>
                <w:i/>
                <w:iCs/>
                <w:color w:val="FFFFFF" w:themeColor="background1"/>
                <w:sz w:val="24"/>
                <w:szCs w:val="24"/>
              </w:rPr>
              <w:t xml:space="preserve">ASL </w:t>
            </w:r>
            <w:proofErr w:type="spellStart"/>
            <w:r w:rsidRPr="00B65B8B">
              <w:rPr>
                <w:rFonts w:eastAsia="Times New Roman"/>
                <w:b/>
                <w:i/>
                <w:iCs/>
                <w:color w:val="FFFFFF" w:themeColor="background1"/>
                <w:sz w:val="24"/>
                <w:szCs w:val="24"/>
              </w:rPr>
              <w:t>costings</w:t>
            </w:r>
            <w:proofErr w:type="spellEnd"/>
            <w:r w:rsidRPr="00B65B8B">
              <w:rPr>
                <w:rFonts w:eastAsia="Times New Roman"/>
                <w:b/>
                <w:i/>
                <w:iCs/>
                <w:color w:val="FFFFFF" w:themeColor="background1"/>
                <w:sz w:val="24"/>
                <w:szCs w:val="24"/>
              </w:rPr>
              <w:t xml:space="preserve"> - weighted against each stage of assessment</w:t>
            </w:r>
          </w:p>
        </w:tc>
        <w:tc>
          <w:tcPr>
            <w:tcW w:w="194" w:type="pct"/>
            <w:gridSpan w:val="3"/>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226" w:type="pct"/>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304"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213"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c>
          <w:tcPr>
            <w:tcW w:w="596" w:type="pct"/>
            <w:gridSpan w:val="2"/>
            <w:tcBorders>
              <w:top w:val="nil"/>
              <w:left w:val="nil"/>
              <w:bottom w:val="nil"/>
              <w:right w:val="nil"/>
            </w:tcBorders>
            <w:shd w:val="clear" w:color="auto" w:fill="4F81BD" w:themeFill="accent1"/>
            <w:noWrap/>
            <w:vAlign w:val="bottom"/>
            <w:hideMark/>
          </w:tcPr>
          <w:p w:rsidR="00C47D08" w:rsidRPr="00B65B8B" w:rsidRDefault="00C47D08" w:rsidP="009E4E3C">
            <w:pPr>
              <w:rPr>
                <w:rFonts w:eastAsia="Times New Roman"/>
                <w:b/>
                <w:color w:val="000000"/>
                <w:sz w:val="24"/>
                <w:szCs w:val="24"/>
              </w:rPr>
            </w:pPr>
            <w:r w:rsidRPr="00B65B8B">
              <w:rPr>
                <w:rFonts w:eastAsia="Times New Roman"/>
                <w:b/>
                <w:color w:val="000000"/>
                <w:sz w:val="24"/>
                <w:szCs w:val="24"/>
              </w:rPr>
              <w:t> </w:t>
            </w:r>
          </w:p>
        </w:tc>
      </w:tr>
      <w:tr w:rsidR="00C47D08" w:rsidRPr="00B65B8B" w:rsidTr="00AD39A5">
        <w:tblPrEx>
          <w:jc w:val="left"/>
        </w:tblPrEx>
        <w:trPr>
          <w:trHeight w:val="180"/>
        </w:trPr>
        <w:tc>
          <w:tcPr>
            <w:tcW w:w="192" w:type="pct"/>
            <w:gridSpan w:val="3"/>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1256"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387"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387"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509" w:type="pct"/>
            <w:gridSpan w:val="3"/>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182"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262"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392"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441"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494" w:type="pct"/>
            <w:gridSpan w:val="2"/>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r w:rsidR="00C47D08" w:rsidRPr="00B65B8B" w:rsidTr="00AD39A5">
        <w:tblPrEx>
          <w:jc w:val="left"/>
        </w:tblPrEx>
        <w:trPr>
          <w:trHeight w:val="599"/>
        </w:trPr>
        <w:tc>
          <w:tcPr>
            <w:tcW w:w="1448" w:type="pct"/>
            <w:gridSpan w:val="4"/>
            <w:tcBorders>
              <w:top w:val="single" w:sz="4" w:space="0" w:color="000000" w:themeColor="text1"/>
              <w:left w:val="single" w:sz="4" w:space="0" w:color="000000" w:themeColor="text1"/>
              <w:bottom w:val="single" w:sz="4" w:space="0" w:color="000000" w:themeColor="text1"/>
            </w:tcBorders>
            <w:shd w:val="clear" w:color="000000" w:fill="D8D8D8"/>
            <w:hideMark/>
          </w:tcPr>
          <w:p w:rsidR="00C47D08" w:rsidRPr="00B65B8B" w:rsidRDefault="00C47D08" w:rsidP="009E4E3C">
            <w:pPr>
              <w:rPr>
                <w:rFonts w:eastAsia="Times New Roman"/>
                <w:b/>
                <w:bCs/>
                <w:color w:val="000000"/>
              </w:rPr>
            </w:pPr>
            <w:r w:rsidRPr="00B65B8B">
              <w:rPr>
                <w:rFonts w:eastAsia="Times New Roman"/>
                <w:b/>
                <w:bCs/>
                <w:color w:val="000000"/>
              </w:rPr>
              <w:t>Stage of Assessment</w:t>
            </w:r>
          </w:p>
        </w:tc>
        <w:tc>
          <w:tcPr>
            <w:tcW w:w="387" w:type="pct"/>
            <w:tcBorders>
              <w:top w:val="single" w:sz="4" w:space="0" w:color="000000" w:themeColor="text1"/>
              <w:bottom w:val="single" w:sz="4" w:space="0" w:color="000000" w:themeColor="text1"/>
            </w:tcBorders>
            <w:shd w:val="clear" w:color="000000" w:fill="D8D8D8"/>
            <w:hideMark/>
          </w:tcPr>
          <w:p w:rsidR="00C47D08" w:rsidRPr="00B65B8B" w:rsidRDefault="00C47D08" w:rsidP="009E4E3C">
            <w:pPr>
              <w:rPr>
                <w:rFonts w:eastAsia="Times New Roman"/>
                <w:b/>
                <w:bCs/>
                <w:color w:val="000000"/>
                <w:sz w:val="18"/>
                <w:szCs w:val="18"/>
              </w:rPr>
            </w:pPr>
            <w:r w:rsidRPr="00B65B8B">
              <w:rPr>
                <w:rFonts w:eastAsia="Times New Roman"/>
                <w:b/>
                <w:bCs/>
                <w:color w:val="000000"/>
                <w:sz w:val="18"/>
                <w:szCs w:val="18"/>
              </w:rPr>
              <w:t>Months per stage</w:t>
            </w:r>
          </w:p>
        </w:tc>
        <w:tc>
          <w:tcPr>
            <w:tcW w:w="387" w:type="pct"/>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SES (1) Days</w:t>
            </w:r>
          </w:p>
        </w:tc>
        <w:tc>
          <w:tcPr>
            <w:tcW w:w="409" w:type="pct"/>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EL 2</w:t>
            </w:r>
            <w:r w:rsidRPr="00B65B8B">
              <w:rPr>
                <w:rFonts w:eastAsia="Times New Roman"/>
                <w:b/>
                <w:bCs/>
                <w:color w:val="000000"/>
                <w:sz w:val="18"/>
                <w:szCs w:val="18"/>
              </w:rPr>
              <w:br/>
              <w:t>Days</w:t>
            </w:r>
          </w:p>
        </w:tc>
        <w:tc>
          <w:tcPr>
            <w:tcW w:w="282" w:type="pct"/>
            <w:gridSpan w:val="4"/>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EL 1 Days</w:t>
            </w:r>
          </w:p>
        </w:tc>
        <w:tc>
          <w:tcPr>
            <w:tcW w:w="262" w:type="pct"/>
            <w:gridSpan w:val="2"/>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APS 5/6 Days</w:t>
            </w:r>
          </w:p>
        </w:tc>
        <w:tc>
          <w:tcPr>
            <w:tcW w:w="392" w:type="pct"/>
            <w:gridSpan w:val="2"/>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ASL costs</w:t>
            </w:r>
          </w:p>
        </w:tc>
        <w:tc>
          <w:tcPr>
            <w:tcW w:w="441" w:type="pct"/>
            <w:gridSpan w:val="2"/>
            <w:tcBorders>
              <w:top w:val="single" w:sz="4" w:space="0" w:color="000000" w:themeColor="text1"/>
              <w:bottom w:val="single" w:sz="4" w:space="0" w:color="000000" w:themeColor="text1"/>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 of resource allocation</w:t>
            </w:r>
          </w:p>
        </w:tc>
        <w:tc>
          <w:tcPr>
            <w:tcW w:w="494" w:type="pct"/>
            <w:gridSpan w:val="2"/>
            <w:tcBorders>
              <w:top w:val="single" w:sz="4" w:space="0" w:color="000000" w:themeColor="text1"/>
              <w:bottom w:val="single" w:sz="4" w:space="0" w:color="000000" w:themeColor="text1"/>
              <w:right w:val="dashed" w:sz="4" w:space="0" w:color="auto"/>
            </w:tcBorders>
            <w:shd w:val="clear" w:color="000000" w:fill="D8D8D8"/>
            <w:hideMark/>
          </w:tcPr>
          <w:p w:rsidR="00C47D08" w:rsidRPr="00B65B8B" w:rsidRDefault="00C47D08" w:rsidP="009E4E3C">
            <w:pPr>
              <w:jc w:val="center"/>
              <w:rPr>
                <w:rFonts w:eastAsia="Times New Roman"/>
                <w:b/>
                <w:bCs/>
                <w:color w:val="000000"/>
                <w:sz w:val="18"/>
                <w:szCs w:val="18"/>
              </w:rPr>
            </w:pPr>
            <w:r w:rsidRPr="00B65B8B">
              <w:rPr>
                <w:rFonts w:eastAsia="Times New Roman"/>
                <w:b/>
                <w:bCs/>
                <w:color w:val="000000"/>
                <w:sz w:val="18"/>
                <w:szCs w:val="18"/>
              </w:rPr>
              <w:t>Total cost per stage</w:t>
            </w:r>
          </w:p>
        </w:tc>
        <w:tc>
          <w:tcPr>
            <w:tcW w:w="499" w:type="pct"/>
            <w:tcBorders>
              <w:top w:val="nil"/>
              <w:left w:val="nil"/>
              <w:bottom w:val="single" w:sz="4" w:space="0" w:color="000000" w:themeColor="text1"/>
              <w:right w:val="nil"/>
            </w:tcBorders>
            <w:shd w:val="clear" w:color="auto" w:fill="auto"/>
            <w:noWrap/>
            <w:vAlign w:val="bottom"/>
            <w:hideMark/>
          </w:tcPr>
          <w:p w:rsidR="00C47D08" w:rsidRPr="00B65B8B" w:rsidRDefault="00C47D08" w:rsidP="009E4E3C">
            <w:pPr>
              <w:rPr>
                <w:rFonts w:eastAsia="Times New Roman"/>
                <w:color w:val="000000"/>
              </w:rPr>
            </w:pPr>
            <w:r w:rsidRPr="00B65B8B">
              <w:rPr>
                <w:rFonts w:eastAsia="Times New Roman"/>
                <w:color w:val="000000"/>
              </w:rPr>
              <w:t> </w:t>
            </w:r>
          </w:p>
        </w:tc>
      </w:tr>
      <w:tr w:rsidR="00C47D08" w:rsidRPr="00B65B8B" w:rsidTr="00AD39A5">
        <w:tblPrEx>
          <w:jc w:val="left"/>
        </w:tblPrEx>
        <w:trPr>
          <w:trHeight w:val="730"/>
        </w:trPr>
        <w:tc>
          <w:tcPr>
            <w:tcW w:w="192" w:type="pct"/>
            <w:gridSpan w:val="3"/>
            <w:tcBorders>
              <w:top w:val="single" w:sz="4" w:space="0" w:color="000000" w:themeColor="text1"/>
              <w:left w:val="single" w:sz="4" w:space="0" w:color="000000" w:themeColor="text1"/>
              <w:right w:val="nil"/>
            </w:tcBorders>
            <w:shd w:val="clear" w:color="000000" w:fill="B8CCE4"/>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1</w:t>
            </w:r>
          </w:p>
        </w:tc>
        <w:tc>
          <w:tcPr>
            <w:tcW w:w="1256" w:type="pct"/>
            <w:tcBorders>
              <w:top w:val="single" w:sz="4" w:space="0" w:color="000000" w:themeColor="text1"/>
              <w:left w:val="nil"/>
              <w:right w:val="nil"/>
            </w:tcBorders>
            <w:shd w:val="clear" w:color="000000" w:fill="B8CCE4"/>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Strategic Agreement</w:t>
            </w:r>
          </w:p>
        </w:tc>
        <w:tc>
          <w:tcPr>
            <w:tcW w:w="387" w:type="pct"/>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w:t>
            </w:r>
          </w:p>
        </w:tc>
        <w:tc>
          <w:tcPr>
            <w:tcW w:w="387" w:type="pct"/>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282" w:type="pct"/>
            <w:gridSpan w:val="4"/>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262" w:type="pct"/>
            <w:gridSpan w:val="2"/>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36</w:t>
            </w:r>
          </w:p>
        </w:tc>
        <w:tc>
          <w:tcPr>
            <w:tcW w:w="392" w:type="pct"/>
            <w:gridSpan w:val="2"/>
            <w:tcBorders>
              <w:top w:val="single" w:sz="4" w:space="0" w:color="000000" w:themeColor="text1"/>
              <w:left w:val="nil"/>
              <w:right w:val="nil"/>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$38,000</w:t>
            </w:r>
          </w:p>
        </w:tc>
        <w:tc>
          <w:tcPr>
            <w:tcW w:w="441" w:type="pct"/>
            <w:gridSpan w:val="2"/>
            <w:tcBorders>
              <w:top w:val="single" w:sz="4" w:space="0" w:color="000000" w:themeColor="text1"/>
              <w:left w:val="nil"/>
              <w:right w:val="nil"/>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16%</w:t>
            </w:r>
          </w:p>
        </w:tc>
        <w:tc>
          <w:tcPr>
            <w:tcW w:w="494" w:type="pct"/>
            <w:gridSpan w:val="2"/>
            <w:tcBorders>
              <w:top w:val="single" w:sz="4" w:space="0" w:color="000000" w:themeColor="text1"/>
              <w:left w:val="nil"/>
              <w:right w:val="dashed" w:sz="4" w:space="0" w:color="auto"/>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$38,000</w:t>
            </w:r>
          </w:p>
        </w:tc>
        <w:tc>
          <w:tcPr>
            <w:tcW w:w="499" w:type="pct"/>
            <w:tcBorders>
              <w:top w:val="single" w:sz="4" w:space="0" w:color="000000" w:themeColor="text1"/>
              <w:left w:val="nil"/>
              <w:right w:val="single" w:sz="4" w:space="0" w:color="000000" w:themeColor="text1"/>
            </w:tcBorders>
            <w:shd w:val="clear" w:color="000000" w:fill="B8CCE4"/>
            <w:vAlign w:val="bottom"/>
            <w:hideMark/>
          </w:tcPr>
          <w:p w:rsidR="00C47D08" w:rsidRPr="00B65B8B" w:rsidRDefault="00C47D08" w:rsidP="009E4E3C">
            <w:pPr>
              <w:jc w:val="right"/>
              <w:rPr>
                <w:rFonts w:eastAsia="Times New Roman"/>
                <w:i/>
                <w:iCs/>
                <w:color w:val="000000"/>
              </w:rPr>
            </w:pPr>
            <w:r w:rsidRPr="00B65B8B">
              <w:rPr>
                <w:rFonts w:eastAsia="Times New Roman"/>
                <w:i/>
                <w:iCs/>
                <w:color w:val="000000"/>
              </w:rPr>
              <w:t>Tier 1 Total Cost</w:t>
            </w:r>
          </w:p>
        </w:tc>
      </w:tr>
      <w:tr w:rsidR="00C47D08" w:rsidRPr="00B65B8B" w:rsidTr="00AD39A5">
        <w:tblPrEx>
          <w:jc w:val="left"/>
        </w:tblPrEx>
        <w:trPr>
          <w:trHeight w:val="324"/>
        </w:trPr>
        <w:tc>
          <w:tcPr>
            <w:tcW w:w="192" w:type="pct"/>
            <w:gridSpan w:val="3"/>
            <w:tcBorders>
              <w:top w:val="nil"/>
              <w:left w:val="single" w:sz="4" w:space="0" w:color="000000" w:themeColor="text1"/>
              <w:bottom w:val="single" w:sz="4" w:space="0" w:color="000000" w:themeColor="text1"/>
            </w:tcBorders>
            <w:shd w:val="clear" w:color="000000" w:fill="B8CCE4"/>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2</w:t>
            </w:r>
          </w:p>
        </w:tc>
        <w:tc>
          <w:tcPr>
            <w:tcW w:w="1256" w:type="pct"/>
            <w:tcBorders>
              <w:top w:val="nil"/>
              <w:bottom w:val="single" w:sz="4" w:space="0" w:color="000000" w:themeColor="text1"/>
            </w:tcBorders>
            <w:shd w:val="clear" w:color="000000" w:fill="B8CCE4"/>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Terms of Reference</w:t>
            </w:r>
          </w:p>
        </w:tc>
        <w:tc>
          <w:tcPr>
            <w:tcW w:w="387" w:type="pct"/>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9</w:t>
            </w:r>
          </w:p>
        </w:tc>
        <w:tc>
          <w:tcPr>
            <w:tcW w:w="387" w:type="pct"/>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3.33</w:t>
            </w:r>
          </w:p>
        </w:tc>
        <w:tc>
          <w:tcPr>
            <w:tcW w:w="282" w:type="pct"/>
            <w:gridSpan w:val="4"/>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62" w:type="pct"/>
            <w:gridSpan w:val="2"/>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392" w:type="pct"/>
            <w:gridSpan w:val="2"/>
            <w:tcBorders>
              <w:top w:val="nil"/>
              <w:bottom w:val="single" w:sz="4" w:space="0" w:color="000000" w:themeColor="text1"/>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$12,375</w:t>
            </w:r>
          </w:p>
        </w:tc>
        <w:tc>
          <w:tcPr>
            <w:tcW w:w="441" w:type="pct"/>
            <w:gridSpan w:val="2"/>
            <w:tcBorders>
              <w:top w:val="nil"/>
              <w:bottom w:val="single" w:sz="4" w:space="0" w:color="000000" w:themeColor="text1"/>
            </w:tcBorders>
            <w:shd w:val="clear" w:color="000000" w:fill="B8CCE4"/>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5%</w:t>
            </w:r>
          </w:p>
        </w:tc>
        <w:tc>
          <w:tcPr>
            <w:tcW w:w="494" w:type="pct"/>
            <w:gridSpan w:val="2"/>
            <w:tcBorders>
              <w:top w:val="nil"/>
              <w:bottom w:val="single" w:sz="4" w:space="0" w:color="000000" w:themeColor="text1"/>
              <w:right w:val="dashed" w:sz="4" w:space="0" w:color="auto"/>
            </w:tcBorders>
            <w:shd w:val="clear" w:color="000000" w:fill="B8CCE4"/>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$12,375</w:t>
            </w:r>
          </w:p>
        </w:tc>
        <w:tc>
          <w:tcPr>
            <w:tcW w:w="499" w:type="pct"/>
            <w:tcBorders>
              <w:left w:val="nil"/>
              <w:bottom w:val="single" w:sz="4" w:space="0" w:color="000000" w:themeColor="text1"/>
              <w:right w:val="single" w:sz="4" w:space="0" w:color="000000" w:themeColor="text1"/>
            </w:tcBorders>
            <w:shd w:val="clear" w:color="000000" w:fill="B8CCE4"/>
            <w:vAlign w:val="center"/>
            <w:hideMark/>
          </w:tcPr>
          <w:p w:rsidR="00C47D08" w:rsidRPr="00B65B8B" w:rsidRDefault="00C47D08" w:rsidP="000C4369">
            <w:pPr>
              <w:jc w:val="right"/>
              <w:rPr>
                <w:rFonts w:eastAsia="Times New Roman"/>
                <w:b/>
                <w:bCs/>
                <w:i/>
                <w:iCs/>
                <w:color w:val="000000"/>
              </w:rPr>
            </w:pPr>
            <w:r w:rsidRPr="00B65B8B">
              <w:rPr>
                <w:rFonts w:eastAsia="Times New Roman"/>
                <w:b/>
                <w:bCs/>
                <w:i/>
                <w:iCs/>
                <w:color w:val="000000"/>
              </w:rPr>
              <w:t>$5</w:t>
            </w:r>
            <w:r w:rsidR="000C4369">
              <w:rPr>
                <w:rFonts w:eastAsia="Times New Roman"/>
                <w:b/>
                <w:bCs/>
                <w:i/>
                <w:iCs/>
                <w:color w:val="000000"/>
              </w:rPr>
              <w:t>0</w:t>
            </w:r>
            <w:r w:rsidRPr="00B65B8B">
              <w:rPr>
                <w:rFonts w:eastAsia="Times New Roman"/>
                <w:b/>
                <w:bCs/>
                <w:i/>
                <w:iCs/>
                <w:color w:val="000000"/>
              </w:rPr>
              <w:t>,3</w:t>
            </w:r>
            <w:r w:rsidR="000C4369">
              <w:rPr>
                <w:rFonts w:eastAsia="Times New Roman"/>
                <w:b/>
                <w:bCs/>
                <w:i/>
                <w:iCs/>
                <w:color w:val="000000"/>
              </w:rPr>
              <w:t>75</w:t>
            </w:r>
          </w:p>
        </w:tc>
      </w:tr>
      <w:tr w:rsidR="00C47D08" w:rsidRPr="00B65B8B" w:rsidTr="00AD39A5">
        <w:tblPrEx>
          <w:jc w:val="left"/>
        </w:tblPrEx>
        <w:trPr>
          <w:trHeight w:val="615"/>
        </w:trPr>
        <w:tc>
          <w:tcPr>
            <w:tcW w:w="192" w:type="pct"/>
            <w:gridSpan w:val="3"/>
            <w:tcBorders>
              <w:top w:val="single" w:sz="4" w:space="0" w:color="000000" w:themeColor="text1"/>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3</w:t>
            </w:r>
          </w:p>
        </w:tc>
        <w:tc>
          <w:tcPr>
            <w:tcW w:w="1256" w:type="pct"/>
            <w:tcBorders>
              <w:top w:val="single" w:sz="4" w:space="0" w:color="000000" w:themeColor="text1"/>
            </w:tcBorders>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Draft Biodiversity Plan (</w:t>
            </w:r>
            <w:r w:rsidR="004E2198">
              <w:rPr>
                <w:rFonts w:eastAsia="Times New Roman"/>
                <w:b/>
                <w:bCs/>
                <w:color w:val="000000"/>
                <w:sz w:val="20"/>
                <w:szCs w:val="20"/>
              </w:rPr>
              <w:t>policy, plan or program</w:t>
            </w:r>
            <w:r w:rsidRPr="00B65B8B">
              <w:rPr>
                <w:rFonts w:eastAsia="Times New Roman"/>
                <w:b/>
                <w:bCs/>
                <w:color w:val="000000"/>
                <w:sz w:val="20"/>
                <w:szCs w:val="20"/>
              </w:rPr>
              <w:t>) &amp; Strategic Assessment Report (SAR)</w:t>
            </w:r>
          </w:p>
        </w:tc>
        <w:tc>
          <w:tcPr>
            <w:tcW w:w="387" w:type="pct"/>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w:t>
            </w:r>
          </w:p>
        </w:tc>
        <w:tc>
          <w:tcPr>
            <w:tcW w:w="387" w:type="pct"/>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23.33</w:t>
            </w:r>
          </w:p>
        </w:tc>
        <w:tc>
          <w:tcPr>
            <w:tcW w:w="282" w:type="pct"/>
            <w:gridSpan w:val="4"/>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46.67</w:t>
            </w:r>
          </w:p>
        </w:tc>
        <w:tc>
          <w:tcPr>
            <w:tcW w:w="262" w:type="pct"/>
            <w:gridSpan w:val="2"/>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80</w:t>
            </w:r>
          </w:p>
        </w:tc>
        <w:tc>
          <w:tcPr>
            <w:tcW w:w="392" w:type="pct"/>
            <w:gridSpan w:val="2"/>
            <w:tcBorders>
              <w:top w:val="single" w:sz="4" w:space="0" w:color="000000" w:themeColor="text1"/>
            </w:tcBorders>
            <w:shd w:val="clear" w:color="auto" w:fill="B6DDE8" w:themeFill="accent5" w:themeFillTint="66"/>
            <w:hideMark/>
          </w:tcPr>
          <w:p w:rsidR="00C47D08" w:rsidRPr="00B65B8B" w:rsidRDefault="00C47D08" w:rsidP="000C4369">
            <w:pPr>
              <w:jc w:val="center"/>
              <w:rPr>
                <w:rFonts w:eastAsia="Times New Roman"/>
                <w:color w:val="000000"/>
                <w:sz w:val="20"/>
                <w:szCs w:val="20"/>
              </w:rPr>
            </w:pPr>
            <w:r w:rsidRPr="00B65B8B">
              <w:rPr>
                <w:rFonts w:eastAsia="Times New Roman"/>
                <w:color w:val="000000"/>
                <w:sz w:val="20"/>
                <w:szCs w:val="20"/>
              </w:rPr>
              <w:t>$8</w:t>
            </w:r>
            <w:r w:rsidR="000C4369">
              <w:rPr>
                <w:rFonts w:eastAsia="Times New Roman"/>
                <w:color w:val="000000"/>
                <w:sz w:val="20"/>
                <w:szCs w:val="20"/>
              </w:rPr>
              <w:t>5</w:t>
            </w:r>
            <w:r w:rsidRPr="00B65B8B">
              <w:rPr>
                <w:rFonts w:eastAsia="Times New Roman"/>
                <w:color w:val="000000"/>
                <w:sz w:val="20"/>
                <w:szCs w:val="20"/>
              </w:rPr>
              <w:t>,</w:t>
            </w:r>
            <w:r w:rsidR="000C4369">
              <w:rPr>
                <w:rFonts w:eastAsia="Times New Roman"/>
                <w:color w:val="000000"/>
                <w:sz w:val="20"/>
                <w:szCs w:val="20"/>
              </w:rPr>
              <w:t>406</w:t>
            </w:r>
          </w:p>
        </w:tc>
        <w:tc>
          <w:tcPr>
            <w:tcW w:w="441" w:type="pct"/>
            <w:gridSpan w:val="2"/>
            <w:tcBorders>
              <w:top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36%</w:t>
            </w:r>
          </w:p>
        </w:tc>
        <w:tc>
          <w:tcPr>
            <w:tcW w:w="494" w:type="pct"/>
            <w:gridSpan w:val="2"/>
            <w:tcBorders>
              <w:top w:val="single" w:sz="4" w:space="0" w:color="000000" w:themeColor="text1"/>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sidRPr="00B65B8B">
              <w:rPr>
                <w:rFonts w:eastAsia="Times New Roman"/>
                <w:color w:val="000000"/>
                <w:sz w:val="20"/>
                <w:szCs w:val="20"/>
              </w:rPr>
              <w:t>$8</w:t>
            </w:r>
            <w:r>
              <w:rPr>
                <w:rFonts w:eastAsia="Times New Roman"/>
                <w:color w:val="000000"/>
                <w:sz w:val="20"/>
                <w:szCs w:val="20"/>
              </w:rPr>
              <w:t>5</w:t>
            </w:r>
            <w:r w:rsidRPr="00B65B8B">
              <w:rPr>
                <w:rFonts w:eastAsia="Times New Roman"/>
                <w:color w:val="000000"/>
                <w:sz w:val="20"/>
                <w:szCs w:val="20"/>
              </w:rPr>
              <w:t>,</w:t>
            </w:r>
            <w:r>
              <w:rPr>
                <w:rFonts w:eastAsia="Times New Roman"/>
                <w:color w:val="000000"/>
                <w:sz w:val="20"/>
                <w:szCs w:val="20"/>
              </w:rPr>
              <w:t>406</w:t>
            </w:r>
          </w:p>
        </w:tc>
        <w:tc>
          <w:tcPr>
            <w:tcW w:w="499" w:type="pct"/>
            <w:vMerge w:val="restart"/>
            <w:tcBorders>
              <w:top w:val="single" w:sz="4" w:space="0" w:color="000000" w:themeColor="text1"/>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jc w:val="right"/>
              <w:rPr>
                <w:rFonts w:eastAsia="Times New Roman"/>
                <w:i/>
                <w:iCs/>
                <w:color w:val="000000"/>
              </w:rPr>
            </w:pPr>
            <w:r w:rsidRPr="00B65B8B">
              <w:rPr>
                <w:rFonts w:eastAsia="Times New Roman"/>
                <w:i/>
                <w:iCs/>
                <w:color w:val="000000"/>
              </w:rPr>
              <w:t>Tier 2 Total Cost</w:t>
            </w:r>
          </w:p>
        </w:tc>
      </w:tr>
      <w:tr w:rsidR="00C47D08" w:rsidRPr="00B65B8B" w:rsidTr="00AD39A5">
        <w:tblPrEx>
          <w:jc w:val="left"/>
        </w:tblPrEx>
        <w:trPr>
          <w:trHeight w:val="372"/>
        </w:trPr>
        <w:tc>
          <w:tcPr>
            <w:tcW w:w="192" w:type="pct"/>
            <w:gridSpan w:val="3"/>
            <w:tcBorders>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4</w:t>
            </w:r>
          </w:p>
        </w:tc>
        <w:tc>
          <w:tcPr>
            <w:tcW w:w="1256" w:type="pct"/>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Public consultation report</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3.33</w:t>
            </w:r>
          </w:p>
        </w:tc>
        <w:tc>
          <w:tcPr>
            <w:tcW w:w="282" w:type="pct"/>
            <w:gridSpan w:val="4"/>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62"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392" w:type="pct"/>
            <w:gridSpan w:val="2"/>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$17,178</w:t>
            </w:r>
          </w:p>
        </w:tc>
        <w:tc>
          <w:tcPr>
            <w:tcW w:w="441"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7%</w:t>
            </w:r>
          </w:p>
        </w:tc>
        <w:tc>
          <w:tcPr>
            <w:tcW w:w="494" w:type="pct"/>
            <w:gridSpan w:val="2"/>
            <w:tcBorders>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$17,178</w:t>
            </w:r>
          </w:p>
        </w:tc>
        <w:tc>
          <w:tcPr>
            <w:tcW w:w="499" w:type="pct"/>
            <w:vMerge/>
            <w:tcBorders>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rPr>
                <w:rFonts w:eastAsia="Times New Roman"/>
                <w:i/>
                <w:iCs/>
                <w:color w:val="000000"/>
              </w:rPr>
            </w:pPr>
          </w:p>
        </w:tc>
      </w:tr>
      <w:tr w:rsidR="00C47D08" w:rsidRPr="00B65B8B" w:rsidTr="00AD39A5">
        <w:tblPrEx>
          <w:jc w:val="left"/>
        </w:tblPrEx>
        <w:trPr>
          <w:trHeight w:val="356"/>
        </w:trPr>
        <w:tc>
          <w:tcPr>
            <w:tcW w:w="192" w:type="pct"/>
            <w:gridSpan w:val="3"/>
            <w:tcBorders>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5</w:t>
            </w:r>
          </w:p>
        </w:tc>
        <w:tc>
          <w:tcPr>
            <w:tcW w:w="1256" w:type="pct"/>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Biodiversity Plan &amp; SAR (final)</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w:t>
            </w:r>
          </w:p>
        </w:tc>
        <w:tc>
          <w:tcPr>
            <w:tcW w:w="409"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82" w:type="pct"/>
            <w:gridSpan w:val="4"/>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13.33</w:t>
            </w:r>
          </w:p>
        </w:tc>
        <w:tc>
          <w:tcPr>
            <w:tcW w:w="262"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392" w:type="pct"/>
            <w:gridSpan w:val="2"/>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$23,747</w:t>
            </w:r>
          </w:p>
        </w:tc>
        <w:tc>
          <w:tcPr>
            <w:tcW w:w="441"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494" w:type="pct"/>
            <w:gridSpan w:val="2"/>
            <w:tcBorders>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$23,747</w:t>
            </w:r>
          </w:p>
        </w:tc>
        <w:tc>
          <w:tcPr>
            <w:tcW w:w="499" w:type="pct"/>
            <w:vMerge/>
            <w:tcBorders>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rPr>
                <w:rFonts w:eastAsia="Times New Roman"/>
                <w:i/>
                <w:iCs/>
                <w:color w:val="000000"/>
              </w:rPr>
            </w:pPr>
          </w:p>
        </w:tc>
      </w:tr>
      <w:tr w:rsidR="00C47D08" w:rsidRPr="00B65B8B" w:rsidTr="00AD39A5">
        <w:tblPrEx>
          <w:jc w:val="left"/>
        </w:tblPrEx>
        <w:trPr>
          <w:trHeight w:val="372"/>
        </w:trPr>
        <w:tc>
          <w:tcPr>
            <w:tcW w:w="192" w:type="pct"/>
            <w:gridSpan w:val="3"/>
            <w:tcBorders>
              <w:left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6</w:t>
            </w:r>
          </w:p>
        </w:tc>
        <w:tc>
          <w:tcPr>
            <w:tcW w:w="1256" w:type="pct"/>
            <w:shd w:val="clear" w:color="auto" w:fill="B6DDE8" w:themeFill="accent5" w:themeFillTint="66"/>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Endorsed Biodiversity Plan</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387"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409" w:type="pct"/>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282" w:type="pct"/>
            <w:gridSpan w:val="4"/>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262"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35</w:t>
            </w:r>
          </w:p>
        </w:tc>
        <w:tc>
          <w:tcPr>
            <w:tcW w:w="392" w:type="pct"/>
            <w:gridSpan w:val="2"/>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$38,524</w:t>
            </w:r>
          </w:p>
        </w:tc>
        <w:tc>
          <w:tcPr>
            <w:tcW w:w="441" w:type="pct"/>
            <w:gridSpan w:val="2"/>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16%</w:t>
            </w:r>
          </w:p>
        </w:tc>
        <w:tc>
          <w:tcPr>
            <w:tcW w:w="494" w:type="pct"/>
            <w:gridSpan w:val="2"/>
            <w:tcBorders>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$38,524</w:t>
            </w:r>
          </w:p>
        </w:tc>
        <w:tc>
          <w:tcPr>
            <w:tcW w:w="499" w:type="pct"/>
            <w:vMerge/>
            <w:tcBorders>
              <w:left w:val="dashed" w:sz="4" w:space="0" w:color="auto"/>
              <w:right w:val="single" w:sz="4" w:space="0" w:color="000000" w:themeColor="text1"/>
            </w:tcBorders>
            <w:shd w:val="clear" w:color="auto" w:fill="B6DDE8" w:themeFill="accent5" w:themeFillTint="66"/>
            <w:vAlign w:val="center"/>
            <w:hideMark/>
          </w:tcPr>
          <w:p w:rsidR="00C47D08" w:rsidRPr="00B65B8B" w:rsidRDefault="00C47D08" w:rsidP="009E4E3C">
            <w:pPr>
              <w:rPr>
                <w:rFonts w:eastAsia="Times New Roman"/>
                <w:i/>
                <w:iCs/>
                <w:color w:val="000000"/>
              </w:rPr>
            </w:pPr>
          </w:p>
        </w:tc>
      </w:tr>
      <w:tr w:rsidR="00C47D08" w:rsidRPr="00B65B8B" w:rsidTr="00AD39A5">
        <w:tblPrEx>
          <w:jc w:val="left"/>
        </w:tblPrEx>
        <w:trPr>
          <w:trHeight w:val="340"/>
        </w:trPr>
        <w:tc>
          <w:tcPr>
            <w:tcW w:w="192" w:type="pct"/>
            <w:gridSpan w:val="3"/>
            <w:tcBorders>
              <w:top w:val="nil"/>
              <w:left w:val="single" w:sz="4" w:space="0" w:color="000000" w:themeColor="text1"/>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b/>
                <w:bCs/>
                <w:color w:val="000000"/>
                <w:sz w:val="20"/>
                <w:szCs w:val="20"/>
              </w:rPr>
            </w:pPr>
            <w:r w:rsidRPr="00B65B8B">
              <w:rPr>
                <w:rFonts w:eastAsia="Times New Roman"/>
                <w:b/>
                <w:bCs/>
                <w:color w:val="000000"/>
                <w:sz w:val="20"/>
                <w:szCs w:val="20"/>
              </w:rPr>
              <w:t>7</w:t>
            </w:r>
          </w:p>
        </w:tc>
        <w:tc>
          <w:tcPr>
            <w:tcW w:w="1256" w:type="pct"/>
            <w:tcBorders>
              <w:top w:val="nil"/>
              <w:bottom w:val="single" w:sz="4" w:space="0" w:color="000000" w:themeColor="text1"/>
            </w:tcBorders>
            <w:shd w:val="clear" w:color="auto" w:fill="B6DDE8" w:themeFill="accent5" w:themeFillTint="66"/>
            <w:hideMark/>
          </w:tcPr>
          <w:p w:rsidR="00C47D08" w:rsidRPr="00B65B8B" w:rsidRDefault="000B41E9" w:rsidP="009E4E3C">
            <w:pPr>
              <w:rPr>
                <w:rFonts w:eastAsia="Times New Roman"/>
                <w:b/>
                <w:bCs/>
                <w:color w:val="000000"/>
                <w:sz w:val="20"/>
                <w:szCs w:val="20"/>
              </w:rPr>
            </w:pPr>
            <w:r>
              <w:rPr>
                <w:rFonts w:eastAsia="Times New Roman"/>
                <w:b/>
                <w:bCs/>
                <w:color w:val="000000"/>
                <w:sz w:val="20"/>
                <w:szCs w:val="20"/>
              </w:rPr>
              <w:t>Preparation of briefing for approval decision</w:t>
            </w:r>
          </w:p>
        </w:tc>
        <w:tc>
          <w:tcPr>
            <w:tcW w:w="387" w:type="pct"/>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387" w:type="pct"/>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w:t>
            </w:r>
          </w:p>
        </w:tc>
        <w:tc>
          <w:tcPr>
            <w:tcW w:w="409" w:type="pct"/>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6.67</w:t>
            </w:r>
          </w:p>
        </w:tc>
        <w:tc>
          <w:tcPr>
            <w:tcW w:w="282" w:type="pct"/>
            <w:gridSpan w:val="4"/>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13.33</w:t>
            </w:r>
          </w:p>
        </w:tc>
        <w:tc>
          <w:tcPr>
            <w:tcW w:w="262" w:type="pct"/>
            <w:gridSpan w:val="2"/>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20</w:t>
            </w:r>
          </w:p>
        </w:tc>
        <w:tc>
          <w:tcPr>
            <w:tcW w:w="392" w:type="pct"/>
            <w:gridSpan w:val="2"/>
            <w:tcBorders>
              <w:top w:val="nil"/>
              <w:bottom w:val="single" w:sz="4" w:space="0" w:color="000000" w:themeColor="text1"/>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$24,751</w:t>
            </w:r>
          </w:p>
        </w:tc>
        <w:tc>
          <w:tcPr>
            <w:tcW w:w="441" w:type="pct"/>
            <w:gridSpan w:val="2"/>
            <w:tcBorders>
              <w:top w:val="nil"/>
              <w:bottom w:val="single" w:sz="4" w:space="0" w:color="000000" w:themeColor="text1"/>
            </w:tcBorders>
            <w:shd w:val="clear" w:color="auto" w:fill="B6DDE8" w:themeFill="accent5" w:themeFillTint="66"/>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10%</w:t>
            </w:r>
          </w:p>
        </w:tc>
        <w:tc>
          <w:tcPr>
            <w:tcW w:w="494" w:type="pct"/>
            <w:gridSpan w:val="2"/>
            <w:tcBorders>
              <w:top w:val="nil"/>
              <w:bottom w:val="single" w:sz="4" w:space="0" w:color="000000" w:themeColor="text1"/>
              <w:right w:val="dashed" w:sz="4" w:space="0" w:color="auto"/>
            </w:tcBorders>
            <w:shd w:val="clear" w:color="auto" w:fill="B6DDE8" w:themeFill="accent5" w:themeFillTint="66"/>
            <w:hideMark/>
          </w:tcPr>
          <w:p w:rsidR="00C47D08" w:rsidRPr="00B65B8B" w:rsidRDefault="000C4369" w:rsidP="009E4E3C">
            <w:pPr>
              <w:jc w:val="center"/>
              <w:rPr>
                <w:rFonts w:eastAsia="Times New Roman"/>
                <w:color w:val="000000"/>
                <w:sz w:val="20"/>
                <w:szCs w:val="20"/>
              </w:rPr>
            </w:pPr>
            <w:r>
              <w:rPr>
                <w:rFonts w:eastAsia="Times New Roman"/>
                <w:color w:val="000000"/>
                <w:sz w:val="20"/>
                <w:szCs w:val="20"/>
              </w:rPr>
              <w:t>$24,751</w:t>
            </w:r>
          </w:p>
        </w:tc>
        <w:tc>
          <w:tcPr>
            <w:tcW w:w="499" w:type="pct"/>
            <w:tcBorders>
              <w:left w:val="dashed" w:sz="4" w:space="0" w:color="auto"/>
              <w:bottom w:val="single" w:sz="4" w:space="0" w:color="000000" w:themeColor="text1"/>
              <w:right w:val="single" w:sz="4" w:space="0" w:color="000000" w:themeColor="text1"/>
            </w:tcBorders>
            <w:shd w:val="clear" w:color="auto" w:fill="B6DDE8" w:themeFill="accent5" w:themeFillTint="66"/>
            <w:vAlign w:val="center"/>
            <w:hideMark/>
          </w:tcPr>
          <w:p w:rsidR="00C47D08" w:rsidRPr="00B65B8B" w:rsidRDefault="000C4369" w:rsidP="009E4E3C">
            <w:pPr>
              <w:jc w:val="right"/>
              <w:rPr>
                <w:rFonts w:eastAsia="Times New Roman"/>
                <w:b/>
                <w:bCs/>
                <w:i/>
                <w:iCs/>
                <w:color w:val="000000"/>
              </w:rPr>
            </w:pPr>
            <w:r>
              <w:rPr>
                <w:rFonts w:eastAsia="Times New Roman"/>
                <w:b/>
                <w:bCs/>
                <w:i/>
                <w:iCs/>
                <w:color w:val="000000"/>
              </w:rPr>
              <w:t>$189,607</w:t>
            </w:r>
          </w:p>
        </w:tc>
      </w:tr>
      <w:tr w:rsidR="00C47D08" w:rsidRPr="00B65B8B" w:rsidTr="00AD39A5">
        <w:tblPrEx>
          <w:jc w:val="left"/>
        </w:tblPrEx>
        <w:trPr>
          <w:trHeight w:val="571"/>
        </w:trPr>
        <w:tc>
          <w:tcPr>
            <w:tcW w:w="192" w:type="pct"/>
            <w:gridSpan w:val="3"/>
            <w:tcBorders>
              <w:top w:val="single" w:sz="4" w:space="0" w:color="000000" w:themeColor="text1"/>
              <w:left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8</w:t>
            </w:r>
          </w:p>
        </w:tc>
        <w:tc>
          <w:tcPr>
            <w:tcW w:w="1256" w:type="pct"/>
            <w:tcBorders>
              <w:top w:val="single" w:sz="4" w:space="0" w:color="000000" w:themeColor="text1"/>
            </w:tcBorders>
            <w:shd w:val="clear" w:color="auto" w:fill="EEECE1" w:themeFill="background2"/>
            <w:hideMark/>
          </w:tcPr>
          <w:p w:rsidR="00C47D08" w:rsidRPr="00B65B8B" w:rsidRDefault="00C47D08" w:rsidP="009E4E3C">
            <w:pPr>
              <w:rPr>
                <w:rFonts w:eastAsia="Times New Roman"/>
                <w:color w:val="000000"/>
                <w:sz w:val="20"/>
                <w:szCs w:val="20"/>
              </w:rPr>
            </w:pPr>
            <w:r w:rsidRPr="00B65B8B">
              <w:rPr>
                <w:rFonts w:eastAsia="Times New Roman"/>
                <w:color w:val="000000"/>
                <w:sz w:val="20"/>
                <w:szCs w:val="20"/>
              </w:rPr>
              <w:t>Post-approval work plan</w:t>
            </w:r>
          </w:p>
        </w:tc>
        <w:tc>
          <w:tcPr>
            <w:tcW w:w="387" w:type="pct"/>
            <w:tcBorders>
              <w:top w:val="single" w:sz="4" w:space="0" w:color="000000" w:themeColor="text1"/>
            </w:tcBorders>
            <w:shd w:val="clear" w:color="auto" w:fill="EEECE1" w:themeFill="background2"/>
            <w:hideMark/>
          </w:tcPr>
          <w:p w:rsidR="00C47D08" w:rsidRPr="00B65B8B" w:rsidRDefault="001D6AE5" w:rsidP="009E4E3C">
            <w:pPr>
              <w:jc w:val="center"/>
              <w:rPr>
                <w:rFonts w:eastAsia="Times New Roman"/>
                <w:color w:val="000000"/>
                <w:sz w:val="20"/>
                <w:szCs w:val="20"/>
              </w:rPr>
            </w:pPr>
            <w:r w:rsidRPr="00B65B8B">
              <w:rPr>
                <w:rFonts w:eastAsia="Times New Roman"/>
                <w:color w:val="000000"/>
                <w:sz w:val="20"/>
                <w:szCs w:val="20"/>
              </w:rPr>
              <w:t>N/A</w:t>
            </w:r>
          </w:p>
        </w:tc>
        <w:tc>
          <w:tcPr>
            <w:tcW w:w="387" w:type="pct"/>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09" w:type="pct"/>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82" w:type="pct"/>
            <w:gridSpan w:val="4"/>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62" w:type="pct"/>
            <w:gridSpan w:val="2"/>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392" w:type="pct"/>
            <w:gridSpan w:val="2"/>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41" w:type="pct"/>
            <w:gridSpan w:val="2"/>
            <w:tcBorders>
              <w:top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94" w:type="pct"/>
            <w:gridSpan w:val="2"/>
            <w:tcBorders>
              <w:top w:val="single" w:sz="4" w:space="0" w:color="000000" w:themeColor="text1"/>
              <w:right w:val="dashed" w:sz="4" w:space="0" w:color="auto"/>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$0</w:t>
            </w:r>
          </w:p>
        </w:tc>
        <w:tc>
          <w:tcPr>
            <w:tcW w:w="499" w:type="pct"/>
            <w:tcBorders>
              <w:top w:val="single" w:sz="4" w:space="0" w:color="000000" w:themeColor="text1"/>
              <w:left w:val="nil"/>
              <w:right w:val="single" w:sz="4" w:space="0" w:color="000000" w:themeColor="text1"/>
            </w:tcBorders>
            <w:shd w:val="clear" w:color="auto" w:fill="EEECE1" w:themeFill="background2"/>
            <w:hideMark/>
          </w:tcPr>
          <w:p w:rsidR="00C47D08" w:rsidRPr="00B65B8B" w:rsidRDefault="00C47D08" w:rsidP="009E4E3C">
            <w:pPr>
              <w:jc w:val="center"/>
              <w:rPr>
                <w:rFonts w:eastAsia="Times New Roman"/>
                <w:i/>
                <w:iCs/>
                <w:color w:val="000000"/>
                <w:sz w:val="20"/>
                <w:szCs w:val="20"/>
              </w:rPr>
            </w:pPr>
            <w:r w:rsidRPr="00B65B8B">
              <w:rPr>
                <w:rFonts w:eastAsia="Times New Roman"/>
                <w:i/>
                <w:iCs/>
                <w:color w:val="000000"/>
                <w:sz w:val="20"/>
                <w:szCs w:val="20"/>
              </w:rPr>
              <w:t>Not Cost Recoverable</w:t>
            </w:r>
          </w:p>
        </w:tc>
      </w:tr>
      <w:tr w:rsidR="00C47D08" w:rsidRPr="00B65B8B" w:rsidTr="00AD39A5">
        <w:tblPrEx>
          <w:jc w:val="left"/>
        </w:tblPrEx>
        <w:trPr>
          <w:trHeight w:val="307"/>
        </w:trPr>
        <w:tc>
          <w:tcPr>
            <w:tcW w:w="192" w:type="pct"/>
            <w:gridSpan w:val="3"/>
            <w:tcBorders>
              <w:top w:val="nil"/>
              <w:left w:val="single" w:sz="4" w:space="0" w:color="000000" w:themeColor="text1"/>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9</w:t>
            </w:r>
          </w:p>
        </w:tc>
        <w:tc>
          <w:tcPr>
            <w:tcW w:w="1256" w:type="pct"/>
            <w:tcBorders>
              <w:top w:val="nil"/>
              <w:bottom w:val="single" w:sz="4" w:space="0" w:color="000000" w:themeColor="text1"/>
            </w:tcBorders>
            <w:shd w:val="clear" w:color="auto" w:fill="EEECE1" w:themeFill="background2"/>
            <w:hideMark/>
          </w:tcPr>
          <w:p w:rsidR="00C47D08" w:rsidRPr="00B65B8B" w:rsidRDefault="00C47D08" w:rsidP="009E4E3C">
            <w:pPr>
              <w:rPr>
                <w:rFonts w:eastAsia="Times New Roman"/>
                <w:color w:val="000000"/>
                <w:sz w:val="20"/>
                <w:szCs w:val="20"/>
              </w:rPr>
            </w:pPr>
            <w:r w:rsidRPr="00B65B8B">
              <w:rPr>
                <w:rFonts w:eastAsia="Times New Roman"/>
                <w:color w:val="000000"/>
                <w:sz w:val="20"/>
                <w:szCs w:val="20"/>
              </w:rPr>
              <w:t>Review &amp; ‘</w:t>
            </w:r>
            <w:proofErr w:type="spellStart"/>
            <w:r w:rsidRPr="00B65B8B">
              <w:rPr>
                <w:rFonts w:eastAsia="Times New Roman"/>
                <w:color w:val="000000"/>
                <w:sz w:val="20"/>
                <w:szCs w:val="20"/>
              </w:rPr>
              <w:t>learnings</w:t>
            </w:r>
            <w:proofErr w:type="spellEnd"/>
            <w:r w:rsidRPr="00B65B8B">
              <w:rPr>
                <w:rFonts w:eastAsia="Times New Roman"/>
                <w:color w:val="000000"/>
                <w:sz w:val="20"/>
                <w:szCs w:val="20"/>
              </w:rPr>
              <w:t>’</w:t>
            </w:r>
          </w:p>
        </w:tc>
        <w:tc>
          <w:tcPr>
            <w:tcW w:w="387" w:type="pct"/>
            <w:tcBorders>
              <w:top w:val="nil"/>
              <w:bottom w:val="single" w:sz="4" w:space="0" w:color="000000" w:themeColor="text1"/>
            </w:tcBorders>
            <w:shd w:val="clear" w:color="auto" w:fill="EEECE1" w:themeFill="background2"/>
            <w:hideMark/>
          </w:tcPr>
          <w:p w:rsidR="00C47D08" w:rsidRPr="00B65B8B" w:rsidRDefault="001D6AE5" w:rsidP="009E4E3C">
            <w:pPr>
              <w:jc w:val="center"/>
              <w:rPr>
                <w:rFonts w:eastAsia="Times New Roman"/>
                <w:color w:val="000000"/>
                <w:sz w:val="20"/>
                <w:szCs w:val="20"/>
              </w:rPr>
            </w:pPr>
            <w:r w:rsidRPr="00B65B8B">
              <w:rPr>
                <w:rFonts w:eastAsia="Times New Roman"/>
                <w:color w:val="000000"/>
                <w:sz w:val="20"/>
                <w:szCs w:val="20"/>
              </w:rPr>
              <w:t>N/A</w:t>
            </w:r>
          </w:p>
        </w:tc>
        <w:tc>
          <w:tcPr>
            <w:tcW w:w="387" w:type="pct"/>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09" w:type="pct"/>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82" w:type="pct"/>
            <w:gridSpan w:val="4"/>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262" w:type="pct"/>
            <w:gridSpan w:val="2"/>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392" w:type="pct"/>
            <w:gridSpan w:val="2"/>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41" w:type="pct"/>
            <w:gridSpan w:val="2"/>
            <w:tcBorders>
              <w:top w:val="nil"/>
              <w:bottom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N/A</w:t>
            </w:r>
          </w:p>
        </w:tc>
        <w:tc>
          <w:tcPr>
            <w:tcW w:w="494" w:type="pct"/>
            <w:gridSpan w:val="2"/>
            <w:tcBorders>
              <w:top w:val="nil"/>
              <w:bottom w:val="single" w:sz="4" w:space="0" w:color="000000" w:themeColor="text1"/>
              <w:right w:val="dashed" w:sz="4" w:space="0" w:color="auto"/>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$0</w:t>
            </w:r>
          </w:p>
        </w:tc>
        <w:tc>
          <w:tcPr>
            <w:tcW w:w="499" w:type="pct"/>
            <w:tcBorders>
              <w:left w:val="nil"/>
              <w:bottom w:val="double" w:sz="6" w:space="0" w:color="auto"/>
              <w:right w:val="single" w:sz="4" w:space="0" w:color="000000" w:themeColor="text1"/>
            </w:tcBorders>
            <w:shd w:val="clear" w:color="auto" w:fill="EEECE1" w:themeFill="background2"/>
            <w:hideMark/>
          </w:tcPr>
          <w:p w:rsidR="00C47D08" w:rsidRPr="00B65B8B" w:rsidRDefault="00C47D08" w:rsidP="009E4E3C">
            <w:pPr>
              <w:jc w:val="center"/>
              <w:rPr>
                <w:rFonts w:eastAsia="Times New Roman"/>
                <w:color w:val="000000"/>
                <w:sz w:val="20"/>
                <w:szCs w:val="20"/>
              </w:rPr>
            </w:pPr>
            <w:r w:rsidRPr="00B65B8B">
              <w:rPr>
                <w:rFonts w:eastAsia="Times New Roman"/>
                <w:color w:val="000000"/>
                <w:sz w:val="20"/>
                <w:szCs w:val="20"/>
              </w:rPr>
              <w:t> </w:t>
            </w:r>
          </w:p>
        </w:tc>
      </w:tr>
      <w:tr w:rsidR="00C47D08" w:rsidRPr="00B65B8B" w:rsidTr="00AD39A5">
        <w:tblPrEx>
          <w:jc w:val="left"/>
        </w:tblPrEx>
        <w:trPr>
          <w:trHeight w:val="356"/>
        </w:trPr>
        <w:tc>
          <w:tcPr>
            <w:tcW w:w="192" w:type="pct"/>
            <w:gridSpan w:val="3"/>
            <w:tcBorders>
              <w:top w:val="single" w:sz="4" w:space="0" w:color="000000" w:themeColor="text1"/>
              <w:left w:val="single" w:sz="4" w:space="0" w:color="000000" w:themeColor="text1"/>
              <w:bottom w:val="single" w:sz="4" w:space="0" w:color="000000" w:themeColor="text1"/>
              <w:right w:val="nil"/>
            </w:tcBorders>
            <w:shd w:val="clear" w:color="auto" w:fill="auto"/>
            <w:hideMark/>
          </w:tcPr>
          <w:p w:rsidR="00C47D08" w:rsidRPr="00B65B8B" w:rsidRDefault="00C47D08" w:rsidP="009E4E3C">
            <w:pPr>
              <w:rPr>
                <w:rFonts w:eastAsia="Times New Roman"/>
                <w:b/>
                <w:bCs/>
                <w:color w:val="000000"/>
                <w:sz w:val="20"/>
                <w:szCs w:val="20"/>
              </w:rPr>
            </w:pPr>
            <w:r w:rsidRPr="00B65B8B">
              <w:rPr>
                <w:rFonts w:eastAsia="Times New Roman"/>
                <w:b/>
                <w:bCs/>
                <w:color w:val="000000"/>
                <w:sz w:val="20"/>
                <w:szCs w:val="20"/>
              </w:rPr>
              <w:t> </w:t>
            </w:r>
          </w:p>
        </w:tc>
        <w:tc>
          <w:tcPr>
            <w:tcW w:w="1256"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rPr>
                <w:rFonts w:eastAsia="Times New Roman"/>
                <w:b/>
                <w:bCs/>
                <w:i/>
                <w:iCs/>
                <w:color w:val="000000"/>
                <w:sz w:val="20"/>
                <w:szCs w:val="20"/>
              </w:rPr>
            </w:pPr>
            <w:r w:rsidRPr="00B65B8B">
              <w:rPr>
                <w:rFonts w:eastAsia="Times New Roman"/>
                <w:b/>
                <w:bCs/>
                <w:i/>
                <w:iCs/>
                <w:color w:val="000000"/>
                <w:sz w:val="20"/>
                <w:szCs w:val="20"/>
              </w:rPr>
              <w:t>Total</w:t>
            </w:r>
          </w:p>
        </w:tc>
        <w:tc>
          <w:tcPr>
            <w:tcW w:w="387"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24*</w:t>
            </w:r>
          </w:p>
        </w:tc>
        <w:tc>
          <w:tcPr>
            <w:tcW w:w="387"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9</w:t>
            </w:r>
          </w:p>
        </w:tc>
        <w:tc>
          <w:tcPr>
            <w:tcW w:w="409" w:type="pct"/>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63.3</w:t>
            </w:r>
          </w:p>
        </w:tc>
        <w:tc>
          <w:tcPr>
            <w:tcW w:w="282" w:type="pct"/>
            <w:gridSpan w:val="4"/>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126.7</w:t>
            </w:r>
          </w:p>
        </w:tc>
        <w:tc>
          <w:tcPr>
            <w:tcW w:w="262" w:type="pct"/>
            <w:gridSpan w:val="2"/>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221</w:t>
            </w:r>
          </w:p>
        </w:tc>
        <w:tc>
          <w:tcPr>
            <w:tcW w:w="392" w:type="pct"/>
            <w:gridSpan w:val="2"/>
            <w:tcBorders>
              <w:top w:val="single" w:sz="4" w:space="0" w:color="000000" w:themeColor="text1"/>
              <w:left w:val="nil"/>
              <w:bottom w:val="single" w:sz="4" w:space="0" w:color="000000" w:themeColor="text1"/>
              <w:right w:val="nil"/>
            </w:tcBorders>
            <w:shd w:val="clear" w:color="auto" w:fill="auto"/>
            <w:hideMark/>
          </w:tcPr>
          <w:p w:rsidR="00C47D08" w:rsidRPr="00B65B8B" w:rsidRDefault="000C4369" w:rsidP="009E4E3C">
            <w:pPr>
              <w:jc w:val="center"/>
              <w:rPr>
                <w:rFonts w:eastAsia="Times New Roman"/>
                <w:b/>
                <w:bCs/>
                <w:i/>
                <w:iCs/>
                <w:color w:val="000000"/>
                <w:sz w:val="20"/>
                <w:szCs w:val="20"/>
              </w:rPr>
            </w:pPr>
            <w:r>
              <w:rPr>
                <w:rFonts w:eastAsia="Times New Roman"/>
                <w:b/>
                <w:bCs/>
                <w:i/>
                <w:iCs/>
                <w:color w:val="000000"/>
                <w:sz w:val="20"/>
                <w:szCs w:val="20"/>
              </w:rPr>
              <w:t>$239,981</w:t>
            </w:r>
          </w:p>
        </w:tc>
        <w:tc>
          <w:tcPr>
            <w:tcW w:w="441" w:type="pct"/>
            <w:gridSpan w:val="2"/>
            <w:tcBorders>
              <w:top w:val="single" w:sz="4" w:space="0" w:color="000000" w:themeColor="text1"/>
              <w:left w:val="nil"/>
              <w:bottom w:val="single" w:sz="4" w:space="0" w:color="000000" w:themeColor="text1"/>
              <w:right w:val="nil"/>
            </w:tcBorders>
            <w:shd w:val="clear" w:color="auto" w:fill="auto"/>
            <w:hideMark/>
          </w:tcPr>
          <w:p w:rsidR="00C47D08" w:rsidRPr="00B65B8B" w:rsidRDefault="00C47D08" w:rsidP="009E4E3C">
            <w:pPr>
              <w:jc w:val="center"/>
              <w:rPr>
                <w:rFonts w:eastAsia="Times New Roman"/>
                <w:b/>
                <w:bCs/>
                <w:i/>
                <w:iCs/>
                <w:color w:val="000000"/>
                <w:sz w:val="20"/>
                <w:szCs w:val="20"/>
              </w:rPr>
            </w:pPr>
            <w:r w:rsidRPr="00B65B8B">
              <w:rPr>
                <w:rFonts w:eastAsia="Times New Roman"/>
                <w:b/>
                <w:bCs/>
                <w:i/>
                <w:iCs/>
                <w:color w:val="000000"/>
                <w:sz w:val="20"/>
                <w:szCs w:val="20"/>
              </w:rPr>
              <w:t>100%</w:t>
            </w:r>
          </w:p>
        </w:tc>
        <w:tc>
          <w:tcPr>
            <w:tcW w:w="494" w:type="pct"/>
            <w:gridSpan w:val="2"/>
            <w:tcBorders>
              <w:top w:val="single" w:sz="4" w:space="0" w:color="000000" w:themeColor="text1"/>
              <w:left w:val="nil"/>
              <w:bottom w:val="single" w:sz="4" w:space="0" w:color="000000" w:themeColor="text1"/>
              <w:right w:val="dashed" w:sz="4" w:space="0" w:color="auto"/>
            </w:tcBorders>
            <w:shd w:val="clear" w:color="auto" w:fill="auto"/>
            <w:hideMark/>
          </w:tcPr>
          <w:p w:rsidR="00C47D08" w:rsidRPr="00B65B8B" w:rsidRDefault="000C4369" w:rsidP="009E4E3C">
            <w:pPr>
              <w:jc w:val="center"/>
              <w:rPr>
                <w:rFonts w:eastAsia="Times New Roman"/>
                <w:b/>
                <w:bCs/>
                <w:i/>
                <w:iCs/>
                <w:color w:val="000000"/>
                <w:sz w:val="20"/>
                <w:szCs w:val="20"/>
              </w:rPr>
            </w:pPr>
            <w:r>
              <w:rPr>
                <w:rFonts w:eastAsia="Times New Roman"/>
                <w:b/>
                <w:bCs/>
                <w:i/>
                <w:iCs/>
                <w:color w:val="000000"/>
                <w:sz w:val="20"/>
                <w:szCs w:val="20"/>
              </w:rPr>
              <w:t>$239,981</w:t>
            </w: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r w:rsidR="00C47D08" w:rsidRPr="00B65B8B" w:rsidTr="00AD39A5">
        <w:tblPrEx>
          <w:jc w:val="left"/>
        </w:tblPrEx>
        <w:trPr>
          <w:trHeight w:val="324"/>
        </w:trPr>
        <w:tc>
          <w:tcPr>
            <w:tcW w:w="83" w:type="pct"/>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746" w:type="pct"/>
            <w:gridSpan w:val="9"/>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i/>
                <w:iCs/>
                <w:color w:val="000000"/>
                <w:sz w:val="20"/>
                <w:szCs w:val="20"/>
              </w:rPr>
            </w:pPr>
            <w:r w:rsidRPr="00B65B8B">
              <w:rPr>
                <w:rFonts w:eastAsia="Times New Roman"/>
                <w:i/>
                <w:iCs/>
                <w:color w:val="000000"/>
                <w:sz w:val="20"/>
                <w:szCs w:val="20"/>
              </w:rPr>
              <w:t>* Stage 1 and stage 2 periods run concurrently (9 months total)</w:t>
            </w:r>
          </w:p>
        </w:tc>
        <w:tc>
          <w:tcPr>
            <w:tcW w:w="83" w:type="pct"/>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62"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392"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41"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4" w:type="pct"/>
            <w:gridSpan w:val="2"/>
            <w:tcBorders>
              <w:top w:val="single" w:sz="4" w:space="0" w:color="000000" w:themeColor="text1"/>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r w:rsidR="00C47D08" w:rsidRPr="00B65B8B" w:rsidTr="00C47D08">
        <w:tblPrEx>
          <w:jc w:val="left"/>
        </w:tblPrEx>
        <w:trPr>
          <w:trHeight w:val="324"/>
        </w:trPr>
        <w:tc>
          <w:tcPr>
            <w:tcW w:w="83"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746" w:type="pct"/>
            <w:gridSpan w:val="9"/>
            <w:tcBorders>
              <w:top w:val="nil"/>
              <w:left w:val="nil"/>
              <w:bottom w:val="nil"/>
              <w:right w:val="nil"/>
            </w:tcBorders>
            <w:shd w:val="clear" w:color="auto" w:fill="auto"/>
            <w:noWrap/>
            <w:vAlign w:val="bottom"/>
            <w:hideMark/>
          </w:tcPr>
          <w:p w:rsidR="00C47D08" w:rsidRPr="00B65B8B" w:rsidRDefault="00C47D08" w:rsidP="009E4E3C">
            <w:pPr>
              <w:rPr>
                <w:rFonts w:eastAsia="Times New Roman"/>
                <w:i/>
                <w:iCs/>
                <w:color w:val="000000"/>
                <w:sz w:val="20"/>
                <w:szCs w:val="20"/>
              </w:rPr>
            </w:pPr>
            <w:r w:rsidRPr="00B65B8B">
              <w:rPr>
                <w:rFonts w:eastAsia="Times New Roman"/>
                <w:i/>
                <w:iCs/>
                <w:color w:val="000000"/>
                <w:sz w:val="20"/>
                <w:szCs w:val="20"/>
              </w:rPr>
              <w:t>Costing assumptions: EL days applies a 1/3 - 2/3 ration of EL2 -EL1 time</w:t>
            </w:r>
          </w:p>
        </w:tc>
        <w:tc>
          <w:tcPr>
            <w:tcW w:w="83"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262"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392"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41"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4" w:type="pct"/>
            <w:gridSpan w:val="2"/>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c>
          <w:tcPr>
            <w:tcW w:w="499" w:type="pct"/>
            <w:tcBorders>
              <w:top w:val="nil"/>
              <w:left w:val="nil"/>
              <w:bottom w:val="nil"/>
              <w:right w:val="nil"/>
            </w:tcBorders>
            <w:shd w:val="clear" w:color="auto" w:fill="auto"/>
            <w:noWrap/>
            <w:vAlign w:val="bottom"/>
            <w:hideMark/>
          </w:tcPr>
          <w:p w:rsidR="00C47D08" w:rsidRPr="00B65B8B" w:rsidRDefault="00C47D08" w:rsidP="009E4E3C">
            <w:pPr>
              <w:rPr>
                <w:rFonts w:eastAsia="Times New Roman"/>
                <w:color w:val="000000"/>
              </w:rPr>
            </w:pPr>
          </w:p>
        </w:tc>
      </w:tr>
    </w:tbl>
    <w:p w:rsidR="00F1526C" w:rsidRDefault="00F1526C" w:rsidP="00093EEA">
      <w:pPr>
        <w:pStyle w:val="Heading1"/>
        <w:sectPr w:rsidR="00F1526C" w:rsidSect="000005C0">
          <w:pgSz w:w="16838" w:h="11906" w:orient="landscape"/>
          <w:pgMar w:top="1134" w:right="993" w:bottom="1274" w:left="1440" w:header="708" w:footer="708" w:gutter="0"/>
          <w:cols w:space="708"/>
          <w:docGrid w:linePitch="360"/>
        </w:sectPr>
      </w:pPr>
    </w:p>
    <w:p w:rsidR="003E7BC2" w:rsidRDefault="003E7BC2" w:rsidP="008F227E">
      <w:pPr>
        <w:pStyle w:val="Heading1"/>
      </w:pPr>
      <w:bookmarkStart w:id="642" w:name="_Toc391541613"/>
      <w:bookmarkEnd w:id="553"/>
      <w:bookmarkEnd w:id="554"/>
      <w:bookmarkEnd w:id="555"/>
      <w:bookmarkEnd w:id="641"/>
      <w:r>
        <w:lastRenderedPageBreak/>
        <w:t>RISK ASSESSMENT</w:t>
      </w:r>
      <w:bookmarkEnd w:id="642"/>
    </w:p>
    <w:p w:rsidR="00AA533D" w:rsidRPr="000209BC" w:rsidRDefault="00AA533D" w:rsidP="00AA533D">
      <w:r w:rsidRPr="000209BC">
        <w:t>The most likely risks identified were:</w:t>
      </w:r>
    </w:p>
    <w:p w:rsidR="000B573E" w:rsidRDefault="007E51ED">
      <w:pPr>
        <w:pStyle w:val="ListBullet"/>
      </w:pPr>
      <w:r w:rsidRPr="000209BC">
        <w:t>C</w:t>
      </w:r>
      <w:r w:rsidR="00874512" w:rsidRPr="000209BC">
        <w:t>ost recovery fees creating a disincentive to refer projects to the Department</w:t>
      </w:r>
      <w:r w:rsidR="00994150" w:rsidRPr="000209BC">
        <w:t xml:space="preserve">, necessitating an increase in compliance costs and undermining the cost recovery arrangements. </w:t>
      </w:r>
    </w:p>
    <w:p w:rsidR="000B573E" w:rsidRDefault="007E51ED">
      <w:pPr>
        <w:pStyle w:val="ListBullet"/>
      </w:pPr>
      <w:r w:rsidRPr="000209BC">
        <w:t>I</w:t>
      </w:r>
      <w:r w:rsidR="00117BD5" w:rsidRPr="000209BC">
        <w:t xml:space="preserve">nherent risks in implementing </w:t>
      </w:r>
      <w:r w:rsidR="007B023A" w:rsidRPr="000209BC">
        <w:t>n</w:t>
      </w:r>
      <w:r w:rsidR="00117BD5" w:rsidRPr="000209BC">
        <w:t xml:space="preserve">ew and complex </w:t>
      </w:r>
      <w:r w:rsidR="007B023A" w:rsidRPr="000209BC">
        <w:t>cost recovery arrangements</w:t>
      </w:r>
      <w:r w:rsidRPr="000209BC">
        <w:t>.</w:t>
      </w:r>
    </w:p>
    <w:p w:rsidR="000B573E" w:rsidRDefault="007E51ED">
      <w:pPr>
        <w:pStyle w:val="ListBullet"/>
      </w:pPr>
      <w:r w:rsidRPr="000209BC">
        <w:t>M</w:t>
      </w:r>
      <w:r w:rsidR="00B10A56" w:rsidRPr="000209BC">
        <w:t xml:space="preserve">isunderstanding </w:t>
      </w:r>
      <w:r w:rsidR="007B023A" w:rsidRPr="000209BC">
        <w:t xml:space="preserve">of </w:t>
      </w:r>
      <w:r w:rsidR="00B10A56" w:rsidRPr="000209BC">
        <w:t>how complexity fees are calculated</w:t>
      </w:r>
      <w:r w:rsidR="00994150" w:rsidRPr="000209BC">
        <w:t>, which could manifest in errors in how these fees are calculated and stakeholder concern</w:t>
      </w:r>
      <w:r w:rsidRPr="000209BC">
        <w:t>.</w:t>
      </w:r>
    </w:p>
    <w:p w:rsidR="007E51ED" w:rsidRPr="000209BC" w:rsidRDefault="007E51ED" w:rsidP="00730CD7">
      <w:r w:rsidRPr="000209BC">
        <w:t>The</w:t>
      </w:r>
      <w:r w:rsidR="00664C7E" w:rsidRPr="000209BC">
        <w:t xml:space="preserve"> Department will address these</w:t>
      </w:r>
      <w:r w:rsidRPr="000209BC">
        <w:t xml:space="preserve"> risks by:</w:t>
      </w:r>
    </w:p>
    <w:p w:rsidR="000B573E" w:rsidRDefault="00664C7E">
      <w:pPr>
        <w:pStyle w:val="ListBullet"/>
      </w:pPr>
      <w:r w:rsidRPr="000209BC">
        <w:t xml:space="preserve">Providing exemptions for </w:t>
      </w:r>
      <w:r w:rsidR="007F0CA7">
        <w:t xml:space="preserve">individuals and </w:t>
      </w:r>
      <w:r w:rsidRPr="000209BC">
        <w:t>small businesses</w:t>
      </w:r>
      <w:r w:rsidR="008D4342" w:rsidRPr="000209BC">
        <w:t xml:space="preserve">, as </w:t>
      </w:r>
      <w:r w:rsidR="007F0CA7">
        <w:t xml:space="preserve">individuals and </w:t>
      </w:r>
      <w:r w:rsidR="008D4342" w:rsidRPr="000209BC">
        <w:t>small businesses are the most likely to find cost recovery fees a disincentive to refer</w:t>
      </w:r>
      <w:r w:rsidRPr="000209BC">
        <w:t>.</w:t>
      </w:r>
    </w:p>
    <w:p w:rsidR="000B573E" w:rsidRDefault="00664C7E">
      <w:pPr>
        <w:pStyle w:val="ListBullet"/>
      </w:pPr>
      <w:r w:rsidRPr="000209BC">
        <w:t>Providing gui</w:t>
      </w:r>
      <w:r w:rsidR="007F0CA7">
        <w:t xml:space="preserve">dance material and training to </w:t>
      </w:r>
      <w:r w:rsidR="001C2CB2">
        <w:t>departmental</w:t>
      </w:r>
      <w:r w:rsidRPr="000209BC">
        <w:t xml:space="preserve"> staff.</w:t>
      </w:r>
    </w:p>
    <w:p w:rsidR="000B573E" w:rsidRDefault="007F0CA7">
      <w:pPr>
        <w:pStyle w:val="ListBullet"/>
      </w:pPr>
      <w:r>
        <w:t xml:space="preserve">Provide guidance material to </w:t>
      </w:r>
      <w:r w:rsidR="001C2CB2">
        <w:t>departmental</w:t>
      </w:r>
      <w:r w:rsidR="00664C7E" w:rsidRPr="000209BC">
        <w:t xml:space="preserve"> staff and </w:t>
      </w:r>
      <w:r w:rsidR="00B64DB5">
        <w:t>applicant</w:t>
      </w:r>
      <w:r w:rsidR="00664C7E" w:rsidRPr="000209BC">
        <w:t>s on how complexity fees are calculated</w:t>
      </w:r>
      <w:r w:rsidR="008D4342" w:rsidRPr="000209BC">
        <w:t>.</w:t>
      </w:r>
    </w:p>
    <w:p w:rsidR="000B573E" w:rsidRDefault="00AA533D">
      <w:r>
        <w:t xml:space="preserve">Impacts on the community will be limited to businesses and individuals who undertake actions which require referral under the EPBC Act. The levels of fee payable will vary according to </w:t>
      </w:r>
      <w:r w:rsidR="00664C7E">
        <w:t>complexity of the project</w:t>
      </w:r>
      <w:r w:rsidR="007C0880">
        <w:t xml:space="preserve"> and small businesses and individuals may be subject to an exemption from fees</w:t>
      </w:r>
      <w:r>
        <w:t xml:space="preserve">. These charges </w:t>
      </w:r>
      <w:r w:rsidR="007C0880">
        <w:t>will</w:t>
      </w:r>
      <w:r>
        <w:t xml:space="preserve"> have a moderate impact on those people affected, but the fact that the </w:t>
      </w:r>
      <w:r w:rsidR="001B32D9">
        <w:t xml:space="preserve">cost recovery arrangements are </w:t>
      </w:r>
      <w:r>
        <w:t xml:space="preserve">new may generate more concern about the costs. </w:t>
      </w:r>
    </w:p>
    <w:p w:rsidR="000B573E" w:rsidRDefault="00AA533D">
      <w:r>
        <w:t xml:space="preserve">Significant consultation on the </w:t>
      </w:r>
      <w:r w:rsidR="007C0880">
        <w:t xml:space="preserve">program </w:t>
      </w:r>
      <w:r>
        <w:t>has been carried out to address possible stakeholder concerns</w:t>
      </w:r>
      <w:r w:rsidR="007C0880">
        <w:t>. Chapter 6 below provides further detail on the stakeholder consultation. The</w:t>
      </w:r>
      <w:r>
        <w:t xml:space="preserve"> risk of stakeholders not understanding the process or having issues with implementation can be addressed through:</w:t>
      </w:r>
    </w:p>
    <w:p w:rsidR="000B573E" w:rsidRDefault="007F0CA7">
      <w:pPr>
        <w:pStyle w:val="ListBullet"/>
      </w:pPr>
      <w:r>
        <w:t>E</w:t>
      </w:r>
      <w:r w:rsidR="00AA533D">
        <w:t>nsuring that efficient business systems are in place to manage cost recovery</w:t>
      </w:r>
    </w:p>
    <w:p w:rsidR="000B573E" w:rsidRDefault="007F0CA7">
      <w:pPr>
        <w:pStyle w:val="ListBullet"/>
      </w:pPr>
      <w:r>
        <w:t>C</w:t>
      </w:r>
      <w:r w:rsidR="00AA533D">
        <w:t>ommunicating with stakeholders about the policy and the basis for fee calculations, and</w:t>
      </w:r>
    </w:p>
    <w:p w:rsidR="000B573E" w:rsidRDefault="00DB1E64">
      <w:pPr>
        <w:pStyle w:val="ListBullet"/>
      </w:pPr>
      <w:r>
        <w:t>Reporting</w:t>
      </w:r>
      <w:r w:rsidR="00AA533D">
        <w:t xml:space="preserve"> on non-financial performance indicators to show the </w:t>
      </w:r>
      <w:r w:rsidR="00260B2B">
        <w:t>D</w:t>
      </w:r>
      <w:r w:rsidR="00AA533D">
        <w:t>epartment’s commitment to improving processes.</w:t>
      </w:r>
    </w:p>
    <w:p w:rsidR="00AA533D" w:rsidRPr="00EF53FF" w:rsidRDefault="00AA533D" w:rsidP="00AA533D">
      <w:r>
        <w:t xml:space="preserve">The </w:t>
      </w:r>
      <w:r w:rsidR="00E50F49">
        <w:t>D</w:t>
      </w:r>
      <w:r>
        <w:t xml:space="preserve">epartment will also manage potential confusion about the interaction between </w:t>
      </w:r>
      <w:r w:rsidR="001736F2">
        <w:t>‘</w:t>
      </w:r>
      <w:r>
        <w:t>one stop shop</w:t>
      </w:r>
      <w:r w:rsidR="001736F2">
        <w:t>’</w:t>
      </w:r>
      <w:r>
        <w:t xml:space="preserve"> and cost recovery through its stakeholder engagement </w:t>
      </w:r>
      <w:r w:rsidR="00CC4B92">
        <w:t>plan</w:t>
      </w:r>
      <w:r>
        <w:t>.</w:t>
      </w:r>
    </w:p>
    <w:p w:rsidR="00BC6B5B" w:rsidRDefault="00BC6B5B">
      <w:pPr>
        <w:spacing w:after="0" w:line="240" w:lineRule="auto"/>
        <w:rPr>
          <w:rFonts w:cs="Arial"/>
          <w:b/>
        </w:rPr>
      </w:pPr>
      <w:r>
        <w:br w:type="page"/>
      </w:r>
    </w:p>
    <w:p w:rsidR="00963D92" w:rsidRPr="00DC1EA2" w:rsidRDefault="00DA4337" w:rsidP="00963D92">
      <w:pPr>
        <w:pStyle w:val="Heading1"/>
      </w:pPr>
      <w:bookmarkStart w:id="643" w:name="_Toc391541614"/>
      <w:r w:rsidRPr="00DC1EA2">
        <w:lastRenderedPageBreak/>
        <w:t>STAKEHOLDER ENGAGEMENT</w:t>
      </w:r>
      <w:bookmarkEnd w:id="643"/>
    </w:p>
    <w:p w:rsidR="000B573E" w:rsidRPr="00655DBD" w:rsidRDefault="00822635">
      <w:r w:rsidRPr="00655DBD">
        <w:t xml:space="preserve">The Department has conducted consultations on these cost recovery arrangements at a number of stages. </w:t>
      </w:r>
      <w:r w:rsidR="00512543" w:rsidRPr="00655DBD">
        <w:t>The Department has responded to comments prov</w:t>
      </w:r>
      <w:r w:rsidR="009148A1" w:rsidRPr="00655DBD">
        <w:t xml:space="preserve">ided during those consultations. See below for details </w:t>
      </w:r>
      <w:r w:rsidRPr="00655DBD">
        <w:t>of these consultations and how the Department responded to comments received</w:t>
      </w:r>
      <w:r w:rsidR="009148A1" w:rsidRPr="00655DBD">
        <w:t>.</w:t>
      </w:r>
    </w:p>
    <w:p w:rsidR="0089779F" w:rsidRDefault="0089779F">
      <w:r w:rsidRPr="00655DBD">
        <w:t xml:space="preserve">Significantly, the Department released both a consultation paper in 2011 and a draft CRIS in 2012. The Department wrote to over 600 stakeholders informing them about cost recovery and inviting them to comment on the CRIS. The Department received </w:t>
      </w:r>
      <w:r w:rsidR="00293C4C" w:rsidRPr="00655DBD">
        <w:t>80 submissions on the consultation paper and 38 on the draft CRIS. The Department also invited nineteen key stakeholders to a stakeholder workshop in 2012, which nine invitees attended.</w:t>
      </w:r>
    </w:p>
    <w:p w:rsidR="00B70D15" w:rsidRDefault="00B70D15" w:rsidP="00B70D15">
      <w:pPr>
        <w:pStyle w:val="Heading2"/>
      </w:pPr>
      <w:bookmarkStart w:id="644" w:name="_Toc391541615"/>
      <w:r>
        <w:t>Information provided on 2014 implementation of cost recovery arrangements</w:t>
      </w:r>
      <w:bookmarkEnd w:id="644"/>
    </w:p>
    <w:p w:rsidR="000B573E" w:rsidRDefault="00512543">
      <w:r>
        <w:t>For the</w:t>
      </w:r>
      <w:r w:rsidRPr="000209BC">
        <w:t xml:space="preserve"> cost recovery arrangements</w:t>
      </w:r>
      <w:r>
        <w:t xml:space="preserve"> contained within this CRIS</w:t>
      </w:r>
      <w:r w:rsidRPr="000209BC">
        <w:t>, stakeholders have been informed of the changes. In particular stakeholders have been</w:t>
      </w:r>
      <w:r>
        <w:t xml:space="preserve"> informed that the arrangements to be implemented in 2014</w:t>
      </w:r>
      <w:r w:rsidR="007F0CA7">
        <w:t>-</w:t>
      </w:r>
      <w:r>
        <w:t>15 are</w:t>
      </w:r>
      <w:r w:rsidRPr="000209BC">
        <w:t xml:space="preserve">: </w:t>
      </w:r>
    </w:p>
    <w:p w:rsidR="000B573E" w:rsidRDefault="00332492">
      <w:pPr>
        <w:pStyle w:val="ListBullet"/>
      </w:pPr>
      <w:r>
        <w:t>B</w:t>
      </w:r>
      <w:r w:rsidR="00512543" w:rsidRPr="000209BC">
        <w:t>ased on assessment me</w:t>
      </w:r>
      <w:r>
        <w:t>thods currently in the EPBC Act.</w:t>
      </w:r>
      <w:r w:rsidR="00512543" w:rsidRPr="000209BC">
        <w:t xml:space="preserve"> </w:t>
      </w:r>
      <w:r>
        <w:t>T</w:t>
      </w:r>
      <w:r w:rsidR="00512543" w:rsidRPr="000209BC">
        <w:t xml:space="preserve">hat is, assessment by </w:t>
      </w:r>
      <w:r w:rsidR="007F0CA7">
        <w:t>a</w:t>
      </w:r>
      <w:r w:rsidR="00512543" w:rsidRPr="000209BC">
        <w:t xml:space="preserve">ssessment on </w:t>
      </w:r>
      <w:r w:rsidR="007F0CA7">
        <w:t>r</w:t>
      </w:r>
      <w:r w:rsidR="00512543" w:rsidRPr="000209BC">
        <w:t xml:space="preserve">eferral </w:t>
      </w:r>
      <w:r w:rsidR="007F0CA7">
        <w:t>i</w:t>
      </w:r>
      <w:r w:rsidR="00512543" w:rsidRPr="000209BC">
        <w:t xml:space="preserve">nformation, preliminary documentation, </w:t>
      </w:r>
      <w:r w:rsidR="007F0CA7">
        <w:t>public environment report</w:t>
      </w:r>
      <w:r w:rsidR="00512543" w:rsidRPr="000209BC">
        <w:t>, environmental impact statements, public inquiry, and assessment under a bilateral agreement or accredited assessment</w:t>
      </w:r>
      <w:r>
        <w:t>.</w:t>
      </w:r>
      <w:r w:rsidR="00512543" w:rsidRPr="000209BC">
        <w:t xml:space="preserve"> </w:t>
      </w:r>
    </w:p>
    <w:p w:rsidR="000B573E" w:rsidRDefault="00332492">
      <w:pPr>
        <w:pStyle w:val="ListBullet"/>
      </w:pPr>
      <w:r>
        <w:t>A</w:t>
      </w:r>
      <w:r w:rsidR="00512543" w:rsidRPr="000209BC">
        <w:t xml:space="preserve">nticipated to be operational for a one year period and to be revised once the financial impact of the </w:t>
      </w:r>
      <w:r w:rsidR="001736F2">
        <w:t>‘</w:t>
      </w:r>
      <w:r w:rsidR="00512543" w:rsidRPr="000209BC">
        <w:t>one stop shop</w:t>
      </w:r>
      <w:r w:rsidR="001736F2">
        <w:t>’</w:t>
      </w:r>
      <w:r w:rsidR="00512543" w:rsidRPr="000209BC">
        <w:t xml:space="preserve"> reforms is known.</w:t>
      </w:r>
    </w:p>
    <w:p w:rsidR="000B573E" w:rsidRDefault="00512543">
      <w:r w:rsidRPr="000209BC">
        <w:t xml:space="preserve">The Department wrote to stakeholders, including repeat referrers under the EPBC Act, peak industry bodies, relevant non-government organisations and relevant state and territory departments and agencies, outlining the proposed cost recovery measures and noting how </w:t>
      </w:r>
      <w:r w:rsidR="0089779F">
        <w:t xml:space="preserve">the Department has taken into account </w:t>
      </w:r>
      <w:r w:rsidRPr="000209BC">
        <w:t xml:space="preserve">previous stakeholder comments </w:t>
      </w:r>
      <w:r w:rsidR="0089779F">
        <w:t>in the</w:t>
      </w:r>
      <w:r w:rsidRPr="000209BC">
        <w:t xml:space="preserve"> measures</w:t>
      </w:r>
      <w:r w:rsidR="0089779F">
        <w:t xml:space="preserve"> described in this CRIS</w:t>
      </w:r>
      <w:r w:rsidRPr="000209BC">
        <w:t>.</w:t>
      </w:r>
    </w:p>
    <w:p w:rsidR="000B573E" w:rsidRDefault="00512543">
      <w:r w:rsidRPr="000209BC">
        <w:t>The Department has updated its website to reflect that cost recovery measures will commence in 2014 in the form o</w:t>
      </w:r>
      <w:r w:rsidR="00822635">
        <w:t>utlined in this CRIS, and has provided information in the form of questions and answers</w:t>
      </w:r>
      <w:r w:rsidRPr="000209BC">
        <w:t>.</w:t>
      </w:r>
      <w:r w:rsidR="00822635">
        <w:t xml:space="preserve"> The Department has a cost recovery mailbox (</w:t>
      </w:r>
      <w:hyperlink r:id="rId47" w:history="1">
        <w:r w:rsidR="00822635" w:rsidRPr="00D66096">
          <w:rPr>
            <w:rStyle w:val="Hyperlink"/>
          </w:rPr>
          <w:t>epbc.costrecovery@environment.gov.au</w:t>
        </w:r>
      </w:hyperlink>
      <w:r w:rsidR="00822635">
        <w:t>) for ongoing feedback on the cost recovery arrangements.</w:t>
      </w:r>
    </w:p>
    <w:p w:rsidR="000B573E" w:rsidRDefault="00512543">
      <w:r w:rsidRPr="000209BC">
        <w:t xml:space="preserve">The Department will continue to keep stakeholders informed </w:t>
      </w:r>
      <w:r>
        <w:t>about the implementation of cost recovery measures.</w:t>
      </w:r>
    </w:p>
    <w:p w:rsidR="00865972" w:rsidRDefault="00B70D15">
      <w:pPr>
        <w:pStyle w:val="Heading2"/>
      </w:pPr>
      <w:bookmarkStart w:id="645" w:name="_Toc391541616"/>
      <w:r>
        <w:t>How the final CRIS addresses issues raised in stakeholder consultation</w:t>
      </w:r>
      <w:bookmarkEnd w:id="645"/>
    </w:p>
    <w:p w:rsidR="000B573E" w:rsidRDefault="00512543" w:rsidP="00865972">
      <w:pPr>
        <w:pStyle w:val="Heading3"/>
      </w:pPr>
      <w:bookmarkStart w:id="646" w:name="_Toc391541617"/>
      <w:r>
        <w:t xml:space="preserve">2011 </w:t>
      </w:r>
      <w:r w:rsidR="00D2021F">
        <w:t>Consultation paper</w:t>
      </w:r>
      <w:bookmarkEnd w:id="646"/>
    </w:p>
    <w:p w:rsidR="000B573E" w:rsidRDefault="00325B4B">
      <w:r w:rsidRPr="000209BC">
        <w:t>In September 2011 a consultation paper on proposed cost recovery measures under the EPBC Act was published</w:t>
      </w:r>
      <w:r w:rsidR="00D2021F">
        <w:t xml:space="preserve">. The Department received </w:t>
      </w:r>
      <w:r w:rsidRPr="000209BC">
        <w:t xml:space="preserve">80 submissions </w:t>
      </w:r>
      <w:r w:rsidR="00D2021F">
        <w:t>on the consultation paper</w:t>
      </w:r>
      <w:r w:rsidRPr="000209BC">
        <w:t>. Written comment was sought from peak industry bodies, relevant non-government organisations and relevant state and territory departments and agencies. Commonwealth agencies were also consulted.</w:t>
      </w:r>
    </w:p>
    <w:p w:rsidR="00D2021F" w:rsidRDefault="00D2021F" w:rsidP="00D2021F">
      <w:pPr>
        <w:pStyle w:val="ListParagraph"/>
        <w:numPr>
          <w:ilvl w:val="0"/>
          <w:numId w:val="0"/>
        </w:numPr>
        <w:autoSpaceDE w:val="0"/>
        <w:autoSpaceDN w:val="0"/>
        <w:adjustRightInd w:val="0"/>
      </w:pPr>
      <w:r>
        <w:t xml:space="preserve">The key issues arising from </w:t>
      </w:r>
      <w:r w:rsidRPr="002C0756">
        <w:t xml:space="preserve">the 80 submissions received during the public consultation period for the consultation paper </w:t>
      </w:r>
      <w:r>
        <w:t>(</w:t>
      </w:r>
      <w:r w:rsidRPr="002C0756">
        <w:t>September-October</w:t>
      </w:r>
      <w:r>
        <w:t>,</w:t>
      </w:r>
      <w:r w:rsidRPr="002C0756">
        <w:t xml:space="preserve"> 2011</w:t>
      </w:r>
      <w:r>
        <w:t>) included:</w:t>
      </w:r>
    </w:p>
    <w:p w:rsidR="000B573E" w:rsidRDefault="00332492">
      <w:pPr>
        <w:pStyle w:val="ListBullet"/>
      </w:pPr>
      <w:r>
        <w:lastRenderedPageBreak/>
        <w:t>S</w:t>
      </w:r>
      <w:r w:rsidR="00D2021F" w:rsidRPr="00407BA1">
        <w:t>ome stakeholder groups were concerned by the imposition of a fee for service. However, most stakeholders were willing to pay for improved service, streamlined assessments and incre</w:t>
      </w:r>
      <w:r w:rsidR="00D2021F">
        <w:t>ased transparency in the system,</w:t>
      </w:r>
      <w:r w:rsidR="00D2021F" w:rsidRPr="00407BA1">
        <w:t xml:space="preserve">  </w:t>
      </w:r>
    </w:p>
    <w:p w:rsidR="000B573E" w:rsidRDefault="00332492">
      <w:pPr>
        <w:pStyle w:val="ListBullet"/>
      </w:pPr>
      <w:r>
        <w:t>S</w:t>
      </w:r>
      <w:r w:rsidR="00D2021F" w:rsidRPr="00407BA1">
        <w:t>takeholders generally agreed that cost recovery should be accompanied by service level standards and some stakeholders considered that fees should be ref</w:t>
      </w:r>
      <w:r w:rsidR="00D2021F">
        <w:t xml:space="preserve">unded if standards are not met, </w:t>
      </w:r>
    </w:p>
    <w:p w:rsidR="000B573E" w:rsidRDefault="00332492">
      <w:pPr>
        <w:pStyle w:val="ListBullet"/>
      </w:pPr>
      <w:r>
        <w:t>S</w:t>
      </w:r>
      <w:r w:rsidR="00D2021F" w:rsidRPr="00407BA1">
        <w:t>takeholders were broadly supportive of the reforms to the relevant regulatory activities that cost recovery will enable; in particular, tailored guidelines on referrals and assessments, consistent national standards for the listing of threatened species and ecological communities and online tracking for assessments and permit applications</w:t>
      </w:r>
      <w:r w:rsidR="00D2021F">
        <w:t>,</w:t>
      </w:r>
      <w:r w:rsidR="00D2021F" w:rsidRPr="00407BA1">
        <w:t xml:space="preserve"> and</w:t>
      </w:r>
    </w:p>
    <w:p w:rsidR="000B573E" w:rsidRDefault="00332492">
      <w:pPr>
        <w:pStyle w:val="ListBullet"/>
      </w:pPr>
      <w:r>
        <w:t>M</w:t>
      </w:r>
      <w:r w:rsidR="00D2021F" w:rsidRPr="00407BA1">
        <w:t>any stakeholders commented that full cost recovery could create a disincentive to refer projects.</w:t>
      </w:r>
    </w:p>
    <w:p w:rsidR="00D2021F" w:rsidRDefault="00D2021F" w:rsidP="00D2021F">
      <w:pPr>
        <w:pStyle w:val="ListParagraph"/>
        <w:numPr>
          <w:ilvl w:val="0"/>
          <w:numId w:val="0"/>
        </w:numPr>
        <w:autoSpaceDE w:val="0"/>
        <w:autoSpaceDN w:val="0"/>
        <w:adjustRightInd w:val="0"/>
      </w:pPr>
      <w:bookmarkStart w:id="647" w:name="_Toc343850228"/>
      <w:r w:rsidRPr="009604D4">
        <w:t>F</w:t>
      </w:r>
      <w:r w:rsidRPr="00BC77A1">
        <w:t>ollowing consultation in 2011, the following changes were made to the cos</w:t>
      </w:r>
      <w:r>
        <w:t xml:space="preserve">t recovery arrangements, and </w:t>
      </w:r>
      <w:r w:rsidR="007F0CA7">
        <w:t xml:space="preserve">are detailed in this </w:t>
      </w:r>
      <w:r>
        <w:t>CRIS</w:t>
      </w:r>
      <w:r w:rsidRPr="00BC77A1">
        <w:t>:</w:t>
      </w:r>
      <w:bookmarkEnd w:id="647"/>
    </w:p>
    <w:p w:rsidR="000B573E" w:rsidRDefault="00D2021F">
      <w:pPr>
        <w:pStyle w:val="ListBullet"/>
      </w:pPr>
      <w:bookmarkStart w:id="648" w:name="_Toc343850229"/>
      <w:r>
        <w:t>For e</w:t>
      </w:r>
      <w:r w:rsidRPr="00407BA1">
        <w:t>nvironmental impact assessment</w:t>
      </w:r>
      <w:bookmarkEnd w:id="648"/>
      <w:r>
        <w:t xml:space="preserve"> charges, the Department revised the cost recovery policy to:</w:t>
      </w:r>
    </w:p>
    <w:p w:rsidR="000B573E" w:rsidRDefault="00D2021F">
      <w:pPr>
        <w:pStyle w:val="ListBullet2"/>
      </w:pPr>
      <w:bookmarkStart w:id="649" w:name="_Toc343850230"/>
      <w:r>
        <w:t>Remove t</w:t>
      </w:r>
      <w:r w:rsidRPr="00407BA1">
        <w:t>he proposed business improvement charge</w:t>
      </w:r>
      <w:bookmarkEnd w:id="649"/>
      <w:r>
        <w:t>,</w:t>
      </w:r>
    </w:p>
    <w:p w:rsidR="000B573E" w:rsidRDefault="00D2021F">
      <w:pPr>
        <w:pStyle w:val="ListBullet2"/>
      </w:pPr>
      <w:bookmarkStart w:id="650" w:name="_Toc343850231"/>
      <w:r>
        <w:t>Include f</w:t>
      </w:r>
      <w:r w:rsidRPr="00407BA1">
        <w:t xml:space="preserve">ee exemptions for environmental impact assessments </w:t>
      </w:r>
      <w:r>
        <w:t>for</w:t>
      </w:r>
      <w:r w:rsidRPr="00407BA1">
        <w:t xml:space="preserve"> small business</w:t>
      </w:r>
      <w:bookmarkEnd w:id="650"/>
      <w:r w:rsidR="007F0CA7">
        <w:t>es and individuals</w:t>
      </w:r>
      <w:r>
        <w:t>,</w:t>
      </w:r>
    </w:p>
    <w:p w:rsidR="000B573E" w:rsidRDefault="00D2021F">
      <w:pPr>
        <w:pStyle w:val="ListBullet2"/>
      </w:pPr>
      <w:bookmarkStart w:id="651" w:name="_Toc343850232"/>
      <w:r>
        <w:t xml:space="preserve">Provide for </w:t>
      </w:r>
      <w:r w:rsidRPr="00407BA1">
        <w:t xml:space="preserve">Ministerial consideration of fee waiver applications </w:t>
      </w:r>
      <w:r>
        <w:t xml:space="preserve">in limited circumstances, </w:t>
      </w:r>
      <w:r w:rsidRPr="00407BA1">
        <w:t>and</w:t>
      </w:r>
      <w:bookmarkEnd w:id="651"/>
      <w:r w:rsidRPr="00407BA1">
        <w:t xml:space="preserve"> </w:t>
      </w:r>
    </w:p>
    <w:p w:rsidR="000B573E" w:rsidRDefault="00D2021F">
      <w:pPr>
        <w:pStyle w:val="ListBullet2"/>
      </w:pPr>
      <w:bookmarkStart w:id="652" w:name="_Toc343850233"/>
      <w:r>
        <w:t>Remove c</w:t>
      </w:r>
      <w:r w:rsidRPr="00407BA1">
        <w:t>ost recovery of post-approval audits.</w:t>
      </w:r>
      <w:bookmarkEnd w:id="652"/>
    </w:p>
    <w:p w:rsidR="000B573E" w:rsidRDefault="00D2021F">
      <w:pPr>
        <w:pStyle w:val="ListBullet"/>
      </w:pPr>
      <w:bookmarkStart w:id="653" w:name="_Toc343850239"/>
      <w:r w:rsidRPr="00407BA1">
        <w:t xml:space="preserve">Strategic assessments will be delivered </w:t>
      </w:r>
      <w:proofErr w:type="gramStart"/>
      <w:r w:rsidRPr="00407BA1">
        <w:t>under</w:t>
      </w:r>
      <w:proofErr w:type="gramEnd"/>
      <w:r w:rsidRPr="00407BA1">
        <w:t xml:space="preserve"> two separate funding streams - budget funded and cost recover</w:t>
      </w:r>
      <w:r w:rsidR="007F0CA7">
        <w:t>ed (full and partial)</w:t>
      </w:r>
      <w:r w:rsidRPr="00407BA1">
        <w:t>.</w:t>
      </w:r>
      <w:bookmarkEnd w:id="653"/>
    </w:p>
    <w:p w:rsidR="000B573E" w:rsidRDefault="00D2021F" w:rsidP="00865972">
      <w:pPr>
        <w:pStyle w:val="Heading3"/>
      </w:pPr>
      <w:bookmarkStart w:id="654" w:name="_Toc391541618"/>
      <w:r>
        <w:t>Draft Cost Recovery Impact Statement</w:t>
      </w:r>
      <w:r w:rsidR="00865972">
        <w:t xml:space="preserve"> 2012</w:t>
      </w:r>
      <w:bookmarkEnd w:id="654"/>
    </w:p>
    <w:p w:rsidR="000B573E" w:rsidRDefault="00325B4B">
      <w:r w:rsidRPr="000209BC">
        <w:t xml:space="preserve">The </w:t>
      </w:r>
      <w:r w:rsidR="00512543">
        <w:t xml:space="preserve">Department published the draft </w:t>
      </w:r>
      <w:r w:rsidRPr="000209BC">
        <w:t>Cost Recovery Impact Statement in May 2012</w:t>
      </w:r>
      <w:r w:rsidR="00D2021F">
        <w:t>,</w:t>
      </w:r>
      <w:r w:rsidR="007B7AB1">
        <w:rPr>
          <w:rStyle w:val="FootnoteReference"/>
        </w:rPr>
        <w:footnoteReference w:id="34"/>
      </w:r>
      <w:r w:rsidRPr="000209BC">
        <w:t xml:space="preserve"> with a six week consultation period</w:t>
      </w:r>
      <w:r w:rsidR="00D2021F">
        <w:t>.</w:t>
      </w:r>
      <w:r w:rsidRPr="000209BC">
        <w:t xml:space="preserve"> </w:t>
      </w:r>
      <w:r w:rsidR="00D2021F">
        <w:t xml:space="preserve">The Department hosted </w:t>
      </w:r>
      <w:r w:rsidRPr="000209BC">
        <w:t xml:space="preserve">a stakeholder workshop </w:t>
      </w:r>
      <w:r w:rsidR="00D2021F">
        <w:t xml:space="preserve">to discuss the Cost Recovery Impact Statement </w:t>
      </w:r>
      <w:r w:rsidRPr="000209BC">
        <w:t>in June 2012.</w:t>
      </w:r>
      <w:r w:rsidR="00D2021F">
        <w:t xml:space="preserve"> </w:t>
      </w:r>
      <w:r w:rsidRPr="000209BC">
        <w:t xml:space="preserve">Written comment was </w:t>
      </w:r>
      <w:r w:rsidR="00D2021F">
        <w:t xml:space="preserve">specifically </w:t>
      </w:r>
      <w:r w:rsidRPr="000209BC">
        <w:t>sought from repeat referrers under the EPBC Act, peak industry bodies, relevant non-government organisations and relevant state and territory departments and agencies.</w:t>
      </w:r>
    </w:p>
    <w:p w:rsidR="000B573E" w:rsidRDefault="00325B4B">
      <w:pPr>
        <w:rPr>
          <w:lang w:eastAsia="en-AU"/>
        </w:rPr>
      </w:pPr>
      <w:r w:rsidRPr="000209BC">
        <w:rPr>
          <w:lang w:eastAsia="en-AU"/>
        </w:rPr>
        <w:t>The Department gave thorough consideration to the range of verbal and written stakeholder feedback received during the consultation period. The cost recovery model has been revised to take account of the comments received.</w:t>
      </w:r>
    </w:p>
    <w:p w:rsidR="00512543" w:rsidRPr="007D0593" w:rsidRDefault="00512543" w:rsidP="00512543">
      <w:pPr>
        <w:pStyle w:val="ListParagraph"/>
        <w:numPr>
          <w:ilvl w:val="0"/>
          <w:numId w:val="0"/>
        </w:numPr>
        <w:autoSpaceDE w:val="0"/>
        <w:autoSpaceDN w:val="0"/>
        <w:adjustRightInd w:val="0"/>
      </w:pPr>
      <w:r w:rsidRPr="007D0593">
        <w:t xml:space="preserve">Key issues arising from the 38 submissions received during the public consultation period for the previous draft CRIS in May-June 2012 included </w:t>
      </w:r>
      <w:proofErr w:type="gramStart"/>
      <w:r w:rsidRPr="007D0593">
        <w:t>that stakeholders</w:t>
      </w:r>
      <w:proofErr w:type="gramEnd"/>
      <w:r w:rsidRPr="007D0593">
        <w:t>:</w:t>
      </w:r>
    </w:p>
    <w:p w:rsidR="000B573E" w:rsidRDefault="00332492">
      <w:pPr>
        <w:pStyle w:val="ListBullet"/>
      </w:pPr>
      <w:r>
        <w:t>W</w:t>
      </w:r>
      <w:r w:rsidR="00512543" w:rsidRPr="00407BA1">
        <w:t>ere concerned about the imposition of a fee for service. However, most stakeholders were willing to pay fees provided that there is a commitment to improved service, including through increased compl</w:t>
      </w:r>
      <w:r w:rsidR="00512543">
        <w:t>iance with statutory timeframes,</w:t>
      </w:r>
    </w:p>
    <w:p w:rsidR="000B573E" w:rsidRDefault="00332492">
      <w:pPr>
        <w:pStyle w:val="ListBullet"/>
      </w:pPr>
      <w:r>
        <w:lastRenderedPageBreak/>
        <w:t>W</w:t>
      </w:r>
      <w:r w:rsidR="00512543" w:rsidRPr="00407BA1">
        <w:t xml:space="preserve">ere supportive of several changes made to the cost recovery model as a result of stakeholder comments on the Cost Recovery Consultation Paper 2011, particularly the removal of the business improvement charge and fees for post approval audits, and the introduction </w:t>
      </w:r>
      <w:r w:rsidR="00512543">
        <w:t>of the small business exemption,</w:t>
      </w:r>
    </w:p>
    <w:p w:rsidR="00512543" w:rsidRPr="00407BA1" w:rsidRDefault="00332492" w:rsidP="00512543">
      <w:pPr>
        <w:pStyle w:val="ListBullet"/>
        <w:rPr>
          <w:rFonts w:cs="Arial"/>
          <w:lang w:eastAsia="en-AU"/>
        </w:rPr>
      </w:pPr>
      <w:r>
        <w:rPr>
          <w:rFonts w:cs="Arial"/>
          <w:lang w:eastAsia="en-AU"/>
        </w:rPr>
        <w:t>E</w:t>
      </w:r>
      <w:r w:rsidR="00512543" w:rsidRPr="00407BA1">
        <w:rPr>
          <w:rFonts w:cs="Arial"/>
          <w:lang w:eastAsia="en-AU"/>
        </w:rPr>
        <w:t xml:space="preserve">mphasised the need to ensure transparency and certainty for business around the setting of fees by the </w:t>
      </w:r>
      <w:r w:rsidR="004B7221">
        <w:rPr>
          <w:rFonts w:cs="Arial"/>
          <w:lang w:eastAsia="en-AU"/>
        </w:rPr>
        <w:t>D</w:t>
      </w:r>
      <w:r w:rsidR="00512543" w:rsidRPr="00407BA1">
        <w:rPr>
          <w:rFonts w:cs="Arial"/>
          <w:lang w:eastAsia="en-AU"/>
        </w:rPr>
        <w:t>epartment, particularly around complexity fees, contingent fees and strategic assessments. Stakeholders were supportive of a clear review mechanism in the case of disagreement about</w:t>
      </w:r>
      <w:r w:rsidR="00512543">
        <w:rPr>
          <w:rFonts w:cs="Arial"/>
          <w:lang w:eastAsia="en-AU"/>
        </w:rPr>
        <w:t xml:space="preserve"> the fees set by the </w:t>
      </w:r>
      <w:r w:rsidR="00ED5421">
        <w:rPr>
          <w:rFonts w:cs="Arial"/>
          <w:lang w:eastAsia="en-AU"/>
        </w:rPr>
        <w:t>D</w:t>
      </w:r>
      <w:r w:rsidR="00512543">
        <w:rPr>
          <w:rFonts w:cs="Arial"/>
          <w:lang w:eastAsia="en-AU"/>
        </w:rPr>
        <w:t>epartment,</w:t>
      </w:r>
    </w:p>
    <w:p w:rsidR="00512543" w:rsidRPr="00407BA1" w:rsidRDefault="00332492" w:rsidP="00512543">
      <w:pPr>
        <w:pStyle w:val="ListBullet"/>
        <w:rPr>
          <w:rFonts w:cs="Arial"/>
          <w:lang w:eastAsia="en-AU"/>
        </w:rPr>
      </w:pPr>
      <w:r>
        <w:rPr>
          <w:rFonts w:cs="Arial"/>
          <w:lang w:eastAsia="en-AU"/>
        </w:rPr>
        <w:t>S</w:t>
      </w:r>
      <w:r w:rsidR="00512543" w:rsidRPr="00407BA1">
        <w:rPr>
          <w:rFonts w:cs="Arial"/>
          <w:lang w:eastAsia="en-AU"/>
        </w:rPr>
        <w:t>ought a commitment to review the CRIS after two to three years, rather than the</w:t>
      </w:r>
      <w:r w:rsidR="00512543">
        <w:rPr>
          <w:rFonts w:cs="Arial"/>
          <w:lang w:eastAsia="en-AU"/>
        </w:rPr>
        <w:t xml:space="preserve"> previously</w:t>
      </w:r>
      <w:r w:rsidR="00ED5421">
        <w:rPr>
          <w:rFonts w:cs="Arial"/>
          <w:lang w:eastAsia="en-AU"/>
        </w:rPr>
        <w:t xml:space="preserve"> </w:t>
      </w:r>
      <w:r w:rsidR="00512543">
        <w:rPr>
          <w:rFonts w:cs="Arial"/>
          <w:lang w:eastAsia="en-AU"/>
        </w:rPr>
        <w:t>proposed five years,</w:t>
      </w:r>
      <w:r w:rsidR="00512543" w:rsidRPr="00407BA1">
        <w:rPr>
          <w:rFonts w:cs="Arial"/>
          <w:lang w:eastAsia="en-AU"/>
        </w:rPr>
        <w:t xml:space="preserve"> and</w:t>
      </w:r>
    </w:p>
    <w:p w:rsidR="00512543" w:rsidRPr="00407BA1" w:rsidRDefault="00332492" w:rsidP="00512543">
      <w:pPr>
        <w:pStyle w:val="ListBullet"/>
        <w:rPr>
          <w:rFonts w:cs="Arial"/>
          <w:lang w:eastAsia="en-AU"/>
        </w:rPr>
      </w:pPr>
      <w:r>
        <w:rPr>
          <w:rFonts w:cs="Arial"/>
          <w:lang w:eastAsia="en-AU"/>
        </w:rPr>
        <w:t>S</w:t>
      </w:r>
      <w:r w:rsidR="00512543" w:rsidRPr="00407BA1">
        <w:rPr>
          <w:rFonts w:cs="Arial"/>
          <w:lang w:eastAsia="en-AU"/>
        </w:rPr>
        <w:t>ought additional exemptions or waivers to cost recovery.</w:t>
      </w:r>
    </w:p>
    <w:p w:rsidR="00512543" w:rsidRDefault="00512543" w:rsidP="00512543">
      <w:pPr>
        <w:pStyle w:val="ListBullet"/>
        <w:numPr>
          <w:ilvl w:val="0"/>
          <w:numId w:val="0"/>
        </w:numPr>
      </w:pPr>
      <w:r>
        <w:rPr>
          <w:lang w:eastAsia="en-AU"/>
        </w:rPr>
        <w:t>The D</w:t>
      </w:r>
      <w:r w:rsidRPr="005B6CDD">
        <w:rPr>
          <w:lang w:eastAsia="en-AU"/>
        </w:rPr>
        <w:t xml:space="preserve">epartment gave thorough consideration to the range of verbal and written stakeholder feedback received during the consultation period. As a result of this feedback, the </w:t>
      </w:r>
      <w:r>
        <w:rPr>
          <w:lang w:eastAsia="en-AU"/>
        </w:rPr>
        <w:t>Department made the following changes to</w:t>
      </w:r>
      <w:r w:rsidRPr="005B6CDD">
        <w:rPr>
          <w:lang w:eastAsia="en-AU"/>
        </w:rPr>
        <w:t xml:space="preserve"> the cost r</w:t>
      </w:r>
      <w:r>
        <w:t>ecovery model:</w:t>
      </w:r>
    </w:p>
    <w:p w:rsidR="00512543" w:rsidRDefault="00332492" w:rsidP="00512543">
      <w:pPr>
        <w:pStyle w:val="ListBullet"/>
        <w:rPr>
          <w:lang w:eastAsia="en-AU"/>
        </w:rPr>
      </w:pPr>
      <w:r>
        <w:rPr>
          <w:lang w:eastAsia="en-AU"/>
        </w:rPr>
        <w:t>P</w:t>
      </w:r>
      <w:r w:rsidR="00512543">
        <w:rPr>
          <w:lang w:eastAsia="en-AU"/>
        </w:rPr>
        <w:t>roviding detail on contingent fees;</w:t>
      </w:r>
    </w:p>
    <w:p w:rsidR="00ED5421" w:rsidRDefault="00ED5421" w:rsidP="00512543">
      <w:pPr>
        <w:pStyle w:val="ListBullet"/>
        <w:rPr>
          <w:lang w:eastAsia="en-AU"/>
        </w:rPr>
      </w:pPr>
      <w:r>
        <w:rPr>
          <w:lang w:eastAsia="en-AU"/>
        </w:rPr>
        <w:t>Providing a mechanism for reconsideration of a method used by the Department to calculate fees;</w:t>
      </w:r>
    </w:p>
    <w:p w:rsidR="00512543" w:rsidRDefault="00332492" w:rsidP="00512543">
      <w:pPr>
        <w:pStyle w:val="ListBullet"/>
        <w:rPr>
          <w:lang w:eastAsia="en-AU"/>
        </w:rPr>
      </w:pPr>
      <w:r>
        <w:rPr>
          <w:lang w:eastAsia="en-AU"/>
        </w:rPr>
        <w:t>A</w:t>
      </w:r>
      <w:r w:rsidR="00512543" w:rsidRPr="00ED7F62">
        <w:rPr>
          <w:lang w:eastAsia="en-AU"/>
        </w:rPr>
        <w:t xml:space="preserve"> commitment to </w:t>
      </w:r>
      <w:r w:rsidR="00512543" w:rsidRPr="003C12F7">
        <w:rPr>
          <w:lang w:eastAsia="en-AU"/>
        </w:rPr>
        <w:t>the</w:t>
      </w:r>
      <w:r w:rsidR="00512543">
        <w:rPr>
          <w:lang w:eastAsia="en-AU"/>
        </w:rPr>
        <w:t xml:space="preserve"> </w:t>
      </w:r>
      <w:r w:rsidR="00512543" w:rsidRPr="00ED7F62">
        <w:rPr>
          <w:lang w:eastAsia="en-AU"/>
        </w:rPr>
        <w:t>development of guidance material on strategic assessments</w:t>
      </w:r>
      <w:r w:rsidR="00512543">
        <w:rPr>
          <w:lang w:eastAsia="en-AU"/>
        </w:rPr>
        <w:t>;</w:t>
      </w:r>
    </w:p>
    <w:p w:rsidR="00512543" w:rsidRDefault="00332492" w:rsidP="00512543">
      <w:pPr>
        <w:pStyle w:val="ListBullet"/>
        <w:rPr>
          <w:lang w:eastAsia="en-AU"/>
        </w:rPr>
      </w:pPr>
      <w:r>
        <w:rPr>
          <w:lang w:eastAsia="en-AU"/>
        </w:rPr>
        <w:t>C</w:t>
      </w:r>
      <w:r w:rsidR="00512543" w:rsidRPr="008B56FB">
        <w:rPr>
          <w:lang w:eastAsia="en-AU"/>
        </w:rPr>
        <w:t>larification on the staging of fees and timing of payments;</w:t>
      </w:r>
    </w:p>
    <w:p w:rsidR="00512543" w:rsidRPr="00407BA1" w:rsidRDefault="00332492" w:rsidP="00512543">
      <w:pPr>
        <w:pStyle w:val="ListBullet"/>
        <w:rPr>
          <w:lang w:eastAsia="en-AU"/>
        </w:rPr>
      </w:pPr>
      <w:r>
        <w:rPr>
          <w:lang w:eastAsia="en-AU"/>
        </w:rPr>
        <w:t>C</w:t>
      </w:r>
      <w:r w:rsidR="00512543" w:rsidRPr="00407BA1">
        <w:rPr>
          <w:lang w:eastAsia="en-AU"/>
        </w:rPr>
        <w:t xml:space="preserve">larification on the charging structure of the complexity </w:t>
      </w:r>
      <w:r w:rsidR="00816688">
        <w:rPr>
          <w:lang w:eastAsia="en-AU"/>
        </w:rPr>
        <w:t xml:space="preserve">fee </w:t>
      </w:r>
      <w:r w:rsidR="00512543" w:rsidRPr="00407BA1">
        <w:rPr>
          <w:lang w:eastAsia="en-AU"/>
        </w:rPr>
        <w:t>matrix; and</w:t>
      </w:r>
    </w:p>
    <w:p w:rsidR="00512543" w:rsidRDefault="00332492" w:rsidP="00512543">
      <w:pPr>
        <w:pStyle w:val="ListBullet"/>
        <w:rPr>
          <w:lang w:eastAsia="en-AU"/>
        </w:rPr>
      </w:pPr>
      <w:r>
        <w:rPr>
          <w:lang w:eastAsia="en-AU"/>
        </w:rPr>
        <w:t>C</w:t>
      </w:r>
      <w:r w:rsidR="00512543" w:rsidRPr="008B56FB">
        <w:rPr>
          <w:lang w:eastAsia="en-AU"/>
        </w:rPr>
        <w:t>larification of intra/</w:t>
      </w:r>
      <w:r w:rsidR="00DB1E64" w:rsidRPr="008B56FB">
        <w:rPr>
          <w:lang w:eastAsia="en-AU"/>
        </w:rPr>
        <w:t>inter-governmental</w:t>
      </w:r>
      <w:r w:rsidR="00512543" w:rsidRPr="008B56FB">
        <w:rPr>
          <w:lang w:eastAsia="en-AU"/>
        </w:rPr>
        <w:t xml:space="preserve"> charging arrangements</w:t>
      </w:r>
      <w:r w:rsidR="00512543">
        <w:rPr>
          <w:lang w:eastAsia="en-AU"/>
        </w:rPr>
        <w:t>.</w:t>
      </w:r>
    </w:p>
    <w:p w:rsidR="00512543" w:rsidRDefault="00512543" w:rsidP="00512543">
      <w:r>
        <w:t xml:space="preserve">A number of stakeholders sought a commitment to improved services and efficiency following the introduction of cost recovery. The </w:t>
      </w:r>
      <w:r w:rsidR="00ED5421">
        <w:t>D</w:t>
      </w:r>
      <w:r>
        <w:t xml:space="preserve">epartment’s highest priority in improving services will be to improve compliance with statutory timeframes. A client service charter has been developed and is available on the </w:t>
      </w:r>
      <w:r w:rsidR="00F63B93">
        <w:t>D</w:t>
      </w:r>
      <w:r>
        <w:t>epartment’s website (</w:t>
      </w:r>
      <w:r w:rsidR="00CA3ABF" w:rsidRPr="00CA3ABF">
        <w:rPr>
          <w:color w:val="548DD4" w:themeColor="text2" w:themeTint="99"/>
          <w:u w:val="single"/>
        </w:rPr>
        <w:t>http://www.environment.gov.au/resource/environmental-impact-assessment-client-service-charter</w:t>
      </w:r>
      <w:r>
        <w:t>).</w:t>
      </w:r>
    </w:p>
    <w:p w:rsidR="000B573E" w:rsidRDefault="000B573E"/>
    <w:p w:rsidR="00BC6B5B" w:rsidRDefault="00BC6B5B">
      <w:pPr>
        <w:spacing w:after="0" w:line="240" w:lineRule="auto"/>
        <w:rPr>
          <w:rFonts w:cs="Arial"/>
          <w:b/>
        </w:rPr>
      </w:pPr>
      <w:r>
        <w:br w:type="page"/>
      </w:r>
    </w:p>
    <w:p w:rsidR="00DA4337" w:rsidRDefault="004E59F2" w:rsidP="004E59F2">
      <w:pPr>
        <w:pStyle w:val="Heading1"/>
      </w:pPr>
      <w:bookmarkStart w:id="655" w:name="_Toc391541619"/>
      <w:r>
        <w:lastRenderedPageBreak/>
        <w:t>FINANCIAL ESTIMATES</w:t>
      </w:r>
      <w:bookmarkEnd w:id="655"/>
    </w:p>
    <w:p w:rsidR="00AF656A" w:rsidRPr="00200CBE" w:rsidRDefault="00AF656A" w:rsidP="008440EA">
      <w:pPr>
        <w:pStyle w:val="Heading2"/>
      </w:pPr>
      <w:bookmarkStart w:id="656" w:name="_Toc343850280"/>
      <w:bookmarkStart w:id="657" w:name="_Toc344895163"/>
      <w:bookmarkStart w:id="658" w:name="_Toc346285339"/>
      <w:bookmarkStart w:id="659" w:name="_Toc391541620"/>
      <w:r w:rsidRPr="00200CBE">
        <w:t>Projected revenue and expenses</w:t>
      </w:r>
      <w:bookmarkEnd w:id="656"/>
      <w:bookmarkEnd w:id="657"/>
      <w:bookmarkEnd w:id="658"/>
      <w:bookmarkEnd w:id="659"/>
      <w:r w:rsidRPr="00200CBE">
        <w:t xml:space="preserve"> </w:t>
      </w:r>
    </w:p>
    <w:p w:rsidR="00AF656A" w:rsidRPr="00F96F44" w:rsidRDefault="00AF656A" w:rsidP="00AF656A">
      <w:pPr>
        <w:rPr>
          <w:color w:val="000000" w:themeColor="text1"/>
        </w:rPr>
      </w:pPr>
      <w:r w:rsidRPr="00200CBE">
        <w:t xml:space="preserve">Projected revenue and expenses are based on the cost/fee of each activity being applied to the forecast demand for relevant activity when statutory decision points (fee points) fall within a corresponding financial year. </w:t>
      </w:r>
      <w:r w:rsidR="00CD15D3" w:rsidRPr="000209BC">
        <w:t>Demand for 2014</w:t>
      </w:r>
      <w:r w:rsidR="000666B1" w:rsidRPr="000209BC">
        <w:t>-1</w:t>
      </w:r>
      <w:r w:rsidR="00CD15D3" w:rsidRPr="000209BC">
        <w:t>5</w:t>
      </w:r>
      <w:r w:rsidR="000666B1" w:rsidRPr="000209BC">
        <w:t xml:space="preserve"> </w:t>
      </w:r>
      <w:r w:rsidRPr="000209BC">
        <w:t>is based on the actual</w:t>
      </w:r>
      <w:r w:rsidR="000666B1" w:rsidRPr="000209BC">
        <w:t xml:space="preserve"> activity volumes from 2008-09</w:t>
      </w:r>
      <w:r w:rsidRPr="000209BC">
        <w:rPr>
          <w:color w:val="000000" w:themeColor="text1"/>
        </w:rPr>
        <w:t>.</w:t>
      </w:r>
    </w:p>
    <w:p w:rsidR="00AF656A" w:rsidRPr="00200CBE" w:rsidRDefault="00AF656A" w:rsidP="00AF656A">
      <w:r w:rsidRPr="00F96F44">
        <w:t>Based on historical data, the forecast assumes 50% of the assessments comprise only base costs (no additional complexity costs), and 50% of</w:t>
      </w:r>
      <w:r w:rsidR="000666B1" w:rsidRPr="00F96F44">
        <w:t xml:space="preserve"> the assessments comprise base </w:t>
      </w:r>
      <w:r w:rsidRPr="00F96F44">
        <w:t>and complexity costs. The level of complexity is likely to correlate to the assessment approach, and therefore 50% of preliminary documentation assessments were determined to be of moderate</w:t>
      </w:r>
      <w:r w:rsidRPr="00200CBE">
        <w:t xml:space="preserve"> complexity, and 50% of environmental impact statement/</w:t>
      </w:r>
      <w:r w:rsidR="00ED5421">
        <w:t>public environment report/</w:t>
      </w:r>
      <w:r w:rsidRPr="00200CBE">
        <w:t xml:space="preserve">bilateral agreement/accredited assessment were determined to be of high complexity. However, the </w:t>
      </w:r>
      <w:r w:rsidR="00C16300">
        <w:t>Department</w:t>
      </w:r>
      <w:r w:rsidRPr="00200CBE">
        <w:t xml:space="preserve"> has seen a recent increase in high and very high complexity for environmental impact statement</w:t>
      </w:r>
      <w:r w:rsidR="00ED5421">
        <w:t>, public environment report</w:t>
      </w:r>
      <w:r w:rsidRPr="00200CBE">
        <w:t xml:space="preserve"> and bilateral agreement/accredited assessment which are not accounted for in these estimates of expenses and revenue, to ensure that they are not overestimated based on what may be a short-term fluctuation. To account for significant demand fluctuations, the ‘pay as you go’ fee points will allow the </w:t>
      </w:r>
      <w:r w:rsidR="00C16300">
        <w:t>Department</w:t>
      </w:r>
      <w:r w:rsidRPr="00200CBE">
        <w:t xml:space="preserve"> to ensure that the appropriate resources are allocated for such projects. </w:t>
      </w:r>
    </w:p>
    <w:p w:rsidR="00AF656A" w:rsidRPr="00200CBE" w:rsidRDefault="00AF656A" w:rsidP="00AF656A">
      <w:r w:rsidRPr="00200CBE">
        <w:t>The volumes of post-approval management plans relating to various types of assessment methods have been estimated based on the historical numbers of post-approval action management plans which were included in approval conditions:</w:t>
      </w:r>
    </w:p>
    <w:p w:rsidR="000B573E" w:rsidRDefault="000666B1">
      <w:pPr>
        <w:pStyle w:val="ListBullet"/>
      </w:pPr>
      <w:r>
        <w:t>Assessment on referral information - 1</w:t>
      </w:r>
    </w:p>
    <w:p w:rsidR="000B573E" w:rsidRDefault="00AF656A">
      <w:pPr>
        <w:pStyle w:val="ListBullet"/>
      </w:pPr>
      <w:r w:rsidRPr="00200CBE">
        <w:t>Preliminary documentation - 2</w:t>
      </w:r>
    </w:p>
    <w:p w:rsidR="000B573E" w:rsidRDefault="00AF656A">
      <w:pPr>
        <w:pStyle w:val="ListBullet"/>
      </w:pPr>
      <w:r w:rsidRPr="00200CBE">
        <w:t xml:space="preserve">Environmental impact statement </w:t>
      </w:r>
      <w:r w:rsidR="000666B1">
        <w:t>–</w:t>
      </w:r>
      <w:r w:rsidRPr="00200CBE">
        <w:t xml:space="preserve"> 5</w:t>
      </w:r>
    </w:p>
    <w:p w:rsidR="000B573E" w:rsidRDefault="000666B1">
      <w:pPr>
        <w:pStyle w:val="ListBullet"/>
      </w:pPr>
      <w:r>
        <w:t>Public environment report - 5</w:t>
      </w:r>
    </w:p>
    <w:p w:rsidR="000B573E" w:rsidRDefault="00AF656A">
      <w:pPr>
        <w:pStyle w:val="ListBullet"/>
      </w:pPr>
      <w:r w:rsidRPr="00200CBE">
        <w:t>Bilateral agreement/Accredited assessment - 5</w:t>
      </w:r>
    </w:p>
    <w:p w:rsidR="00AF656A" w:rsidRPr="00F36214" w:rsidRDefault="00D30427" w:rsidP="00AF656A">
      <w:r>
        <w:rPr>
          <w:lang w:val="en-US"/>
        </w:rPr>
        <w:fldChar w:fldCharType="begin"/>
      </w:r>
      <w:r w:rsidR="008D6B38">
        <w:rPr>
          <w:lang w:val="en-US"/>
        </w:rPr>
        <w:instrText xml:space="preserve"> REF _Ref388967324 \h </w:instrText>
      </w:r>
      <w:r>
        <w:rPr>
          <w:lang w:val="en-US"/>
        </w:rPr>
      </w:r>
      <w:r>
        <w:rPr>
          <w:lang w:val="en-US"/>
        </w:rPr>
        <w:fldChar w:fldCharType="separate"/>
      </w:r>
      <w:r w:rsidR="001D521C" w:rsidRPr="00F36214">
        <w:t xml:space="preserve">Table </w:t>
      </w:r>
      <w:r w:rsidR="001D521C">
        <w:rPr>
          <w:noProof/>
        </w:rPr>
        <w:t>19</w:t>
      </w:r>
      <w:r>
        <w:rPr>
          <w:lang w:val="en-US"/>
        </w:rPr>
        <w:fldChar w:fldCharType="end"/>
      </w:r>
      <w:r w:rsidR="008D6B38">
        <w:rPr>
          <w:lang w:val="en-US"/>
        </w:rPr>
        <w:t xml:space="preserve">, </w:t>
      </w:r>
      <w:r>
        <w:rPr>
          <w:lang w:val="en-US"/>
        </w:rPr>
        <w:fldChar w:fldCharType="begin"/>
      </w:r>
      <w:r w:rsidR="008D6B38">
        <w:rPr>
          <w:lang w:val="en-US"/>
        </w:rPr>
        <w:instrText xml:space="preserve"> REF _Ref388967327 \h </w:instrText>
      </w:r>
      <w:r>
        <w:rPr>
          <w:lang w:val="en-US"/>
        </w:rPr>
      </w:r>
      <w:r>
        <w:rPr>
          <w:lang w:val="en-US"/>
        </w:rPr>
        <w:fldChar w:fldCharType="separate"/>
      </w:r>
      <w:r w:rsidR="001D521C" w:rsidRPr="00F36214">
        <w:t xml:space="preserve">Table </w:t>
      </w:r>
      <w:r w:rsidR="001D521C">
        <w:rPr>
          <w:noProof/>
        </w:rPr>
        <w:t>20</w:t>
      </w:r>
      <w:r>
        <w:rPr>
          <w:lang w:val="en-US"/>
        </w:rPr>
        <w:fldChar w:fldCharType="end"/>
      </w:r>
      <w:r w:rsidR="008D6B38">
        <w:rPr>
          <w:lang w:val="en-US"/>
        </w:rPr>
        <w:t xml:space="preserve">, </w:t>
      </w:r>
      <w:r>
        <w:rPr>
          <w:lang w:val="en-US"/>
        </w:rPr>
        <w:fldChar w:fldCharType="begin"/>
      </w:r>
      <w:r w:rsidR="008D6B38">
        <w:rPr>
          <w:lang w:val="en-US"/>
        </w:rPr>
        <w:instrText xml:space="preserve"> REF _Ref388967329 \h </w:instrText>
      </w:r>
      <w:r>
        <w:rPr>
          <w:lang w:val="en-US"/>
        </w:rPr>
      </w:r>
      <w:r>
        <w:rPr>
          <w:lang w:val="en-US"/>
        </w:rPr>
        <w:fldChar w:fldCharType="separate"/>
      </w:r>
      <w:r w:rsidR="001D521C" w:rsidRPr="00F36214">
        <w:t xml:space="preserve">Table </w:t>
      </w:r>
      <w:r w:rsidR="001D521C">
        <w:rPr>
          <w:noProof/>
        </w:rPr>
        <w:t>21</w:t>
      </w:r>
      <w:r>
        <w:rPr>
          <w:lang w:val="en-US"/>
        </w:rPr>
        <w:fldChar w:fldCharType="end"/>
      </w:r>
      <w:r w:rsidR="008D6B38">
        <w:rPr>
          <w:lang w:val="en-US"/>
        </w:rPr>
        <w:t xml:space="preserve">, </w:t>
      </w:r>
      <w:r>
        <w:rPr>
          <w:lang w:val="en-US"/>
        </w:rPr>
        <w:fldChar w:fldCharType="begin"/>
      </w:r>
      <w:r w:rsidR="008D6B38">
        <w:rPr>
          <w:lang w:val="en-US"/>
        </w:rPr>
        <w:instrText xml:space="preserve"> REF _Ref387073213 \h </w:instrText>
      </w:r>
      <w:r>
        <w:rPr>
          <w:lang w:val="en-US"/>
        </w:rPr>
      </w:r>
      <w:r>
        <w:rPr>
          <w:lang w:val="en-US"/>
        </w:rPr>
        <w:fldChar w:fldCharType="separate"/>
      </w:r>
      <w:r w:rsidR="001D521C" w:rsidRPr="00F36214">
        <w:t xml:space="preserve">Table </w:t>
      </w:r>
      <w:r w:rsidR="001D521C">
        <w:rPr>
          <w:noProof/>
        </w:rPr>
        <w:t>22</w:t>
      </w:r>
      <w:r>
        <w:rPr>
          <w:lang w:val="en-US"/>
        </w:rPr>
        <w:fldChar w:fldCharType="end"/>
      </w:r>
      <w:r w:rsidR="008D6B38">
        <w:rPr>
          <w:lang w:val="en-US"/>
        </w:rPr>
        <w:t xml:space="preserve"> and </w:t>
      </w:r>
      <w:r>
        <w:rPr>
          <w:lang w:val="en-US"/>
        </w:rPr>
        <w:fldChar w:fldCharType="begin"/>
      </w:r>
      <w:r w:rsidR="008D6B38">
        <w:rPr>
          <w:lang w:val="en-US"/>
        </w:rPr>
        <w:instrText xml:space="preserve"> REF _Ref387073216 \h </w:instrText>
      </w:r>
      <w:r>
        <w:rPr>
          <w:lang w:val="en-US"/>
        </w:rPr>
      </w:r>
      <w:r>
        <w:rPr>
          <w:lang w:val="en-US"/>
        </w:rPr>
        <w:fldChar w:fldCharType="separate"/>
      </w:r>
      <w:r w:rsidR="001D521C" w:rsidRPr="00F36214">
        <w:t xml:space="preserve">Table </w:t>
      </w:r>
      <w:r w:rsidR="001D521C">
        <w:rPr>
          <w:noProof/>
        </w:rPr>
        <w:t>23</w:t>
      </w:r>
      <w:r>
        <w:rPr>
          <w:lang w:val="en-US"/>
        </w:rPr>
        <w:fldChar w:fldCharType="end"/>
      </w:r>
      <w:r w:rsidR="008D6B38">
        <w:rPr>
          <w:lang w:val="en-US"/>
        </w:rPr>
        <w:t xml:space="preserve"> </w:t>
      </w:r>
      <w:r w:rsidR="00B06D9E" w:rsidRPr="00F36214">
        <w:rPr>
          <w:lang w:val="en-US"/>
        </w:rPr>
        <w:t>outline forecast expenses and revenue for environmental impact assessments.</w:t>
      </w:r>
      <w:r w:rsidR="00B06D9E" w:rsidRPr="00F36214">
        <w:t xml:space="preserve"> </w:t>
      </w:r>
    </w:p>
    <w:p w:rsidR="000B573E" w:rsidRPr="00F36214" w:rsidRDefault="00EF3F01">
      <w:pPr>
        <w:pStyle w:val="Caption"/>
      </w:pPr>
      <w:bookmarkStart w:id="660" w:name="_Ref387073172"/>
      <w:bookmarkStart w:id="661" w:name="_Ref388967324"/>
      <w:bookmarkStart w:id="662" w:name="_Toc387073280"/>
      <w:bookmarkStart w:id="663" w:name="_Toc391541663"/>
      <w:proofErr w:type="gramStart"/>
      <w:r w:rsidRPr="00F36214">
        <w:t>Table</w:t>
      </w:r>
      <w:bookmarkEnd w:id="660"/>
      <w:r w:rsidRPr="00F36214">
        <w:t xml:space="preserve"> </w:t>
      </w:r>
      <w:r w:rsidR="00D30427" w:rsidRPr="00F36214">
        <w:fldChar w:fldCharType="begin"/>
      </w:r>
      <w:r w:rsidRPr="00F36214">
        <w:instrText xml:space="preserve"> SEQ Table \* ARABIC </w:instrText>
      </w:r>
      <w:r w:rsidR="00D30427" w:rsidRPr="00F36214">
        <w:fldChar w:fldCharType="separate"/>
      </w:r>
      <w:r w:rsidR="001D521C">
        <w:rPr>
          <w:noProof/>
        </w:rPr>
        <w:t>19</w:t>
      </w:r>
      <w:r w:rsidR="00D30427" w:rsidRPr="00F36214">
        <w:fldChar w:fldCharType="end"/>
      </w:r>
      <w:bookmarkEnd w:id="661"/>
      <w:r w:rsidRPr="00F36214">
        <w:t>.</w:t>
      </w:r>
      <w:proofErr w:type="gramEnd"/>
      <w:r w:rsidRPr="00F36214">
        <w:t xml:space="preserve"> Referrals (expenses and revenue summary)</w:t>
      </w:r>
      <w:bookmarkEnd w:id="662"/>
      <w:bookmarkEnd w:id="663"/>
    </w:p>
    <w:tbl>
      <w:tblPr>
        <w:tblW w:w="8720" w:type="dxa"/>
        <w:tblInd w:w="91"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tblPr>
      <w:tblGrid>
        <w:gridCol w:w="1896"/>
        <w:gridCol w:w="1693"/>
        <w:gridCol w:w="5131"/>
      </w:tblGrid>
      <w:tr w:rsidR="004A60A9" w:rsidRPr="00F36214" w:rsidTr="004F7CB7">
        <w:trPr>
          <w:trHeight w:val="352"/>
        </w:trPr>
        <w:tc>
          <w:tcPr>
            <w:tcW w:w="3589" w:type="dxa"/>
            <w:gridSpan w:val="2"/>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000000" w:fill="8DB3E2" w:themeFill="text2" w:themeFillTint="66"/>
            <w:vAlign w:val="center"/>
            <w:hideMark/>
          </w:tcPr>
          <w:p w:rsidR="004A60A9" w:rsidRPr="00F36214" w:rsidRDefault="004A60A9" w:rsidP="00A02D65">
            <w:pPr>
              <w:jc w:val="center"/>
              <w:rPr>
                <w:b/>
                <w:sz w:val="20"/>
                <w:szCs w:val="20"/>
                <w:lang w:eastAsia="en-AU"/>
              </w:rPr>
            </w:pPr>
            <w:r w:rsidRPr="00F36214">
              <w:rPr>
                <w:b/>
                <w:sz w:val="20"/>
                <w:szCs w:val="20"/>
                <w:lang w:eastAsia="en-AU"/>
              </w:rPr>
              <w:t>Referrals</w:t>
            </w:r>
          </w:p>
        </w:tc>
        <w:tc>
          <w:tcPr>
            <w:tcW w:w="513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000000" w:fill="8DB3E2" w:themeFill="text2" w:themeFillTint="66"/>
            <w:vAlign w:val="center"/>
            <w:hideMark/>
          </w:tcPr>
          <w:p w:rsidR="004A60A9" w:rsidRPr="00F36214" w:rsidRDefault="004A60A9" w:rsidP="00A02D65">
            <w:pPr>
              <w:jc w:val="center"/>
              <w:rPr>
                <w:b/>
                <w:sz w:val="20"/>
                <w:szCs w:val="20"/>
                <w:lang w:eastAsia="en-AU"/>
              </w:rPr>
            </w:pPr>
            <w:r w:rsidRPr="00F36214">
              <w:rPr>
                <w:b/>
                <w:sz w:val="20"/>
                <w:szCs w:val="20"/>
                <w:lang w:eastAsia="en-AU"/>
              </w:rPr>
              <w:t>2014-15 ($mil)</w:t>
            </w:r>
          </w:p>
        </w:tc>
      </w:tr>
      <w:tr w:rsidR="000005C0" w:rsidRPr="00F36214" w:rsidTr="004F7CB7">
        <w:trPr>
          <w:trHeight w:val="87"/>
        </w:trPr>
        <w:tc>
          <w:tcPr>
            <w:tcW w:w="1896"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0005C0" w:rsidRPr="00F36214" w:rsidRDefault="000005C0">
            <w:pPr>
              <w:rPr>
                <w:sz w:val="18"/>
                <w:szCs w:val="18"/>
                <w:lang w:eastAsia="en-AU"/>
              </w:rPr>
            </w:pPr>
            <w:r w:rsidRPr="00F36214">
              <w:rPr>
                <w:sz w:val="18"/>
                <w:szCs w:val="18"/>
                <w:lang w:eastAsia="en-AU"/>
              </w:rPr>
              <w:t> </w:t>
            </w:r>
          </w:p>
          <w:p w:rsidR="000005C0" w:rsidRPr="00F36214" w:rsidRDefault="000005C0">
            <w:pPr>
              <w:rPr>
                <w:sz w:val="18"/>
                <w:szCs w:val="18"/>
                <w:lang w:eastAsia="en-AU"/>
              </w:rPr>
            </w:pPr>
            <w:r w:rsidRPr="00F36214">
              <w:rPr>
                <w:sz w:val="18"/>
                <w:szCs w:val="18"/>
                <w:lang w:eastAsia="en-AU"/>
              </w:rPr>
              <w:t> </w:t>
            </w:r>
          </w:p>
          <w:p w:rsidR="000005C0" w:rsidRPr="00F36214" w:rsidRDefault="000005C0">
            <w:pPr>
              <w:rPr>
                <w:sz w:val="18"/>
                <w:szCs w:val="18"/>
                <w:lang w:eastAsia="en-AU"/>
              </w:rPr>
            </w:pPr>
            <w:r w:rsidRPr="00F36214">
              <w:rPr>
                <w:sz w:val="18"/>
                <w:szCs w:val="18"/>
                <w:lang w:eastAsia="en-AU"/>
              </w:rPr>
              <w:t> </w:t>
            </w:r>
          </w:p>
        </w:tc>
        <w:tc>
          <w:tcPr>
            <w:tcW w:w="1693"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0005C0" w:rsidRPr="008306E2" w:rsidRDefault="000005C0">
            <w:pPr>
              <w:rPr>
                <w:sz w:val="20"/>
                <w:szCs w:val="20"/>
                <w:lang w:eastAsia="en-AU"/>
              </w:rPr>
            </w:pPr>
            <w:r w:rsidRPr="008306E2">
              <w:rPr>
                <w:sz w:val="20"/>
                <w:szCs w:val="20"/>
                <w:lang w:eastAsia="en-AU"/>
              </w:rPr>
              <w:t>Expense</w:t>
            </w:r>
          </w:p>
        </w:tc>
        <w:tc>
          <w:tcPr>
            <w:tcW w:w="5131"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0005C0" w:rsidRPr="008306E2" w:rsidRDefault="000005C0" w:rsidP="000005C0">
            <w:pPr>
              <w:jc w:val="center"/>
              <w:rPr>
                <w:sz w:val="20"/>
                <w:szCs w:val="20"/>
                <w:lang w:eastAsia="en-AU"/>
              </w:rPr>
            </w:pPr>
            <w:r w:rsidRPr="008306E2">
              <w:rPr>
                <w:sz w:val="20"/>
                <w:szCs w:val="20"/>
                <w:lang w:eastAsia="en-AU"/>
              </w:rPr>
              <w:t>3.095</w:t>
            </w:r>
          </w:p>
        </w:tc>
      </w:tr>
      <w:tr w:rsidR="000005C0" w:rsidRPr="00F36214" w:rsidTr="000005C0">
        <w:trPr>
          <w:trHeight w:val="67"/>
        </w:trPr>
        <w:tc>
          <w:tcPr>
            <w:tcW w:w="1896"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0005C0" w:rsidRPr="00F36214" w:rsidRDefault="000005C0">
            <w:pPr>
              <w:rPr>
                <w:sz w:val="18"/>
                <w:szCs w:val="18"/>
                <w:lang w:eastAsia="en-AU"/>
              </w:rPr>
            </w:pPr>
          </w:p>
        </w:tc>
        <w:tc>
          <w:tcPr>
            <w:tcW w:w="1693"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0005C0" w:rsidRPr="008306E2" w:rsidRDefault="000005C0">
            <w:pPr>
              <w:rPr>
                <w:sz w:val="20"/>
                <w:szCs w:val="20"/>
                <w:lang w:eastAsia="en-AU"/>
              </w:rPr>
            </w:pPr>
            <w:r w:rsidRPr="008306E2">
              <w:rPr>
                <w:sz w:val="20"/>
                <w:szCs w:val="20"/>
                <w:lang w:eastAsia="en-AU"/>
              </w:rPr>
              <w:t>Revenue</w:t>
            </w:r>
          </w:p>
        </w:tc>
        <w:tc>
          <w:tcPr>
            <w:tcW w:w="5131"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0005C0" w:rsidRPr="008306E2" w:rsidRDefault="000005C0" w:rsidP="000005C0">
            <w:pPr>
              <w:jc w:val="center"/>
              <w:rPr>
                <w:sz w:val="20"/>
                <w:szCs w:val="20"/>
                <w:lang w:eastAsia="en-AU"/>
              </w:rPr>
            </w:pPr>
            <w:r w:rsidRPr="008306E2">
              <w:rPr>
                <w:sz w:val="20"/>
                <w:szCs w:val="20"/>
                <w:lang w:eastAsia="en-AU"/>
              </w:rPr>
              <w:t>3.095</w:t>
            </w:r>
          </w:p>
        </w:tc>
      </w:tr>
      <w:tr w:rsidR="000005C0" w:rsidRPr="00F36214" w:rsidTr="000005C0">
        <w:trPr>
          <w:trHeight w:val="67"/>
        </w:trPr>
        <w:tc>
          <w:tcPr>
            <w:tcW w:w="1896"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0005C0" w:rsidRPr="00F36214" w:rsidRDefault="000005C0">
            <w:pPr>
              <w:rPr>
                <w:sz w:val="18"/>
                <w:szCs w:val="18"/>
                <w:lang w:eastAsia="en-AU"/>
              </w:rPr>
            </w:pPr>
          </w:p>
        </w:tc>
        <w:tc>
          <w:tcPr>
            <w:tcW w:w="1693"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0005C0" w:rsidRPr="008306E2" w:rsidRDefault="000005C0">
            <w:pPr>
              <w:rPr>
                <w:sz w:val="20"/>
                <w:szCs w:val="20"/>
                <w:lang w:eastAsia="en-AU"/>
              </w:rPr>
            </w:pPr>
            <w:r w:rsidRPr="008306E2">
              <w:rPr>
                <w:sz w:val="20"/>
                <w:szCs w:val="20"/>
                <w:lang w:eastAsia="en-AU"/>
              </w:rPr>
              <w:t>Balance +/-</w:t>
            </w:r>
          </w:p>
        </w:tc>
        <w:tc>
          <w:tcPr>
            <w:tcW w:w="5131"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0005C0" w:rsidRPr="008306E2" w:rsidRDefault="000005C0" w:rsidP="000005C0">
            <w:pPr>
              <w:jc w:val="center"/>
              <w:rPr>
                <w:sz w:val="20"/>
                <w:szCs w:val="20"/>
                <w:lang w:eastAsia="en-AU"/>
              </w:rPr>
            </w:pPr>
            <w:r w:rsidRPr="008306E2">
              <w:rPr>
                <w:sz w:val="20"/>
                <w:szCs w:val="20"/>
                <w:lang w:eastAsia="en-AU"/>
              </w:rPr>
              <w:t>0</w:t>
            </w:r>
          </w:p>
        </w:tc>
      </w:tr>
    </w:tbl>
    <w:p w:rsidR="000B573E" w:rsidRPr="00F36214" w:rsidRDefault="000B573E">
      <w:pPr>
        <w:rPr>
          <w:sz w:val="18"/>
          <w:szCs w:val="18"/>
        </w:rPr>
      </w:pPr>
      <w:bookmarkStart w:id="664" w:name="_Ref346283141"/>
    </w:p>
    <w:p w:rsidR="008D6B38" w:rsidRDefault="008D6B38">
      <w:pPr>
        <w:pStyle w:val="Caption"/>
      </w:pPr>
      <w:bookmarkStart w:id="665" w:name="_Ref387073205"/>
      <w:bookmarkStart w:id="666" w:name="_Toc387073281"/>
      <w:bookmarkStart w:id="667" w:name="_Ref387392372"/>
      <w:bookmarkEnd w:id="664"/>
    </w:p>
    <w:p w:rsidR="008D6B38" w:rsidRDefault="008D6B38">
      <w:pPr>
        <w:pStyle w:val="Caption"/>
      </w:pPr>
    </w:p>
    <w:p w:rsidR="008D6B38" w:rsidRDefault="008D6B38">
      <w:pPr>
        <w:pStyle w:val="Caption"/>
      </w:pPr>
    </w:p>
    <w:p w:rsidR="008D6B38" w:rsidRDefault="008D6B38">
      <w:pPr>
        <w:pStyle w:val="Caption"/>
      </w:pPr>
    </w:p>
    <w:p w:rsidR="000B573E" w:rsidRDefault="00EF3F01">
      <w:pPr>
        <w:pStyle w:val="Caption"/>
      </w:pPr>
      <w:bookmarkStart w:id="668" w:name="_Ref388967327"/>
      <w:bookmarkStart w:id="669" w:name="_Toc391541664"/>
      <w:proofErr w:type="gramStart"/>
      <w:r w:rsidRPr="00F36214">
        <w:lastRenderedPageBreak/>
        <w:t>Table</w:t>
      </w:r>
      <w:bookmarkEnd w:id="665"/>
      <w:r w:rsidRPr="00F36214">
        <w:t xml:space="preserve"> </w:t>
      </w:r>
      <w:r w:rsidR="00D30427" w:rsidRPr="00F36214">
        <w:fldChar w:fldCharType="begin"/>
      </w:r>
      <w:r w:rsidRPr="00F36214">
        <w:instrText xml:space="preserve"> SEQ Table \* ARABIC </w:instrText>
      </w:r>
      <w:r w:rsidR="00D30427" w:rsidRPr="00F36214">
        <w:fldChar w:fldCharType="separate"/>
      </w:r>
      <w:r w:rsidR="001D521C">
        <w:rPr>
          <w:noProof/>
        </w:rPr>
        <w:t>20</w:t>
      </w:r>
      <w:r w:rsidR="00D30427" w:rsidRPr="00F36214">
        <w:fldChar w:fldCharType="end"/>
      </w:r>
      <w:bookmarkEnd w:id="668"/>
      <w:r w:rsidRPr="00F36214">
        <w:t>.</w:t>
      </w:r>
      <w:proofErr w:type="gramEnd"/>
      <w:r w:rsidRPr="00F36214">
        <w:t xml:space="preserve"> Assessment activities (expenses and revenue summary)</w:t>
      </w:r>
      <w:bookmarkEnd w:id="666"/>
      <w:bookmarkEnd w:id="667"/>
      <w:bookmarkEnd w:id="669"/>
    </w:p>
    <w:tbl>
      <w:tblPr>
        <w:tblW w:w="4691"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1262"/>
        <w:gridCol w:w="2404"/>
        <w:gridCol w:w="5446"/>
      </w:tblGrid>
      <w:tr w:rsidR="00C14729" w:rsidRPr="00F36214" w:rsidTr="004F7CB7">
        <w:trPr>
          <w:cantSplit/>
          <w:trHeight w:val="410"/>
          <w:tblHeader/>
        </w:trPr>
        <w:tc>
          <w:tcPr>
            <w:tcW w:w="366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C14729" w:rsidRPr="00F36214" w:rsidRDefault="00C14729" w:rsidP="00A02D65">
            <w:pPr>
              <w:jc w:val="center"/>
              <w:rPr>
                <w:b/>
                <w:sz w:val="20"/>
                <w:szCs w:val="20"/>
                <w:lang w:eastAsia="en-AU"/>
              </w:rPr>
            </w:pPr>
            <w:r w:rsidRPr="00F36214">
              <w:rPr>
                <w:b/>
                <w:sz w:val="20"/>
                <w:szCs w:val="20"/>
                <w:lang w:eastAsia="en-AU"/>
              </w:rPr>
              <w:t>Assessment activities</w:t>
            </w:r>
          </w:p>
        </w:tc>
        <w:tc>
          <w:tcPr>
            <w:tcW w:w="544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C14729" w:rsidRPr="00F36214" w:rsidRDefault="00C14729" w:rsidP="00A02D65">
            <w:pPr>
              <w:jc w:val="center"/>
              <w:rPr>
                <w:b/>
                <w:sz w:val="20"/>
                <w:szCs w:val="20"/>
                <w:lang w:eastAsia="en-AU"/>
              </w:rPr>
            </w:pPr>
            <w:r w:rsidRPr="00F36214">
              <w:rPr>
                <w:b/>
                <w:sz w:val="20"/>
                <w:szCs w:val="20"/>
                <w:lang w:eastAsia="en-AU"/>
              </w:rPr>
              <w:t>2014-15 ($mil)</w:t>
            </w:r>
          </w:p>
        </w:tc>
      </w:tr>
      <w:tr w:rsidR="00AF656A" w:rsidRPr="00F36214" w:rsidTr="006A1E58">
        <w:trPr>
          <w:cantSplit/>
          <w:trHeight w:val="67"/>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AF656A" w:rsidRPr="00F36214" w:rsidRDefault="00442598" w:rsidP="00A02D65">
            <w:pPr>
              <w:rPr>
                <w:rFonts w:eastAsia="SimSun"/>
                <w:color w:val="0070C0"/>
                <w:sz w:val="20"/>
                <w:szCs w:val="20"/>
                <w:lang w:val="en-US" w:eastAsia="en-AU"/>
              </w:rPr>
            </w:pPr>
            <w:r w:rsidRPr="00F36214">
              <w:rPr>
                <w:sz w:val="20"/>
                <w:szCs w:val="20"/>
                <w:lang w:eastAsia="en-AU"/>
              </w:rPr>
              <w:t>Assessment</w:t>
            </w:r>
            <w:r w:rsidR="00AF656A" w:rsidRPr="00F36214">
              <w:rPr>
                <w:sz w:val="20"/>
                <w:szCs w:val="20"/>
                <w:lang w:eastAsia="en-AU"/>
              </w:rPr>
              <w:t xml:space="preserve"> on referral information </w:t>
            </w:r>
          </w:p>
        </w:tc>
      </w:tr>
      <w:tr w:rsidR="00C14729" w:rsidRPr="00F36214" w:rsidTr="006A1E58">
        <w:trPr>
          <w:cantSplit/>
          <w:trHeight w:val="7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C14729" w:rsidRPr="00F36214" w:rsidRDefault="00C14729" w:rsidP="00D7611E">
            <w:pPr>
              <w:jc w:val="right"/>
              <w:rPr>
                <w:i/>
                <w:sz w:val="20"/>
                <w:szCs w:val="20"/>
                <w:lang w:eastAsia="en-AU"/>
              </w:rPr>
            </w:pPr>
            <w:r w:rsidRPr="00F36214">
              <w:rPr>
                <w:i/>
                <w:sz w:val="20"/>
                <w:szCs w:val="20"/>
                <w:lang w:eastAsia="en-AU"/>
              </w:rPr>
              <w:t>Stage 1</w:t>
            </w:r>
          </w:p>
          <w:p w:rsidR="00C14729" w:rsidRPr="00F36214" w:rsidRDefault="00C14729" w:rsidP="00D7611E">
            <w:pPr>
              <w:jc w:val="right"/>
              <w:rPr>
                <w:i/>
                <w:sz w:val="20"/>
                <w:szCs w:val="20"/>
                <w:lang w:eastAsia="en-AU"/>
              </w:rPr>
            </w:pPr>
            <w:r w:rsidRPr="00F36214">
              <w:rPr>
                <w:i/>
                <w:sz w:val="20"/>
                <w:szCs w:val="20"/>
                <w:lang w:eastAsia="en-AU"/>
              </w:rPr>
              <w:t> </w:t>
            </w:r>
          </w:p>
          <w:p w:rsidR="00C14729" w:rsidRPr="00F36214" w:rsidRDefault="00C14729" w:rsidP="00D7611E">
            <w:pPr>
              <w:jc w:val="right"/>
              <w:rPr>
                <w:i/>
                <w:sz w:val="20"/>
                <w:szCs w:val="20"/>
                <w:lang w:eastAsia="en-AU"/>
              </w:rPr>
            </w:pPr>
            <w:r w:rsidRPr="00F36214">
              <w:rPr>
                <w:i/>
                <w:sz w:val="20"/>
                <w:szCs w:val="20"/>
                <w:lang w:eastAsia="en-AU"/>
              </w:rPr>
              <w:t> </w:t>
            </w:r>
          </w:p>
          <w:p w:rsidR="00C14729" w:rsidRPr="00F36214" w:rsidRDefault="00C14729" w:rsidP="00D7611E">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C14729" w:rsidRPr="00F36214" w:rsidRDefault="00C14729" w:rsidP="00D7611E">
            <w:pPr>
              <w:rPr>
                <w:i/>
                <w:sz w:val="20"/>
                <w:szCs w:val="20"/>
                <w:lang w:eastAsia="en-AU"/>
              </w:rPr>
            </w:pPr>
            <w:r w:rsidRPr="00F36214">
              <w:rPr>
                <w:i/>
                <w:sz w:val="20"/>
                <w:szCs w:val="20"/>
                <w:lang w:eastAsia="en-AU"/>
              </w:rPr>
              <w:t>Prepare and publish draft recommendation report</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D7611E">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D7611E">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0.048</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D7611E">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D7611E">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0.048</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D7611E">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D7611E">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44259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42598" w:rsidRPr="00F36214" w:rsidRDefault="00442598" w:rsidP="00C14729">
            <w:pPr>
              <w:jc w:val="right"/>
              <w:rPr>
                <w:i/>
                <w:sz w:val="20"/>
                <w:szCs w:val="20"/>
                <w:lang w:eastAsia="en-AU"/>
              </w:rPr>
            </w:pPr>
            <w:r w:rsidRPr="00F36214">
              <w:rPr>
                <w:i/>
                <w:sz w:val="20"/>
                <w:szCs w:val="20"/>
                <w:lang w:eastAsia="en-AU"/>
              </w:rPr>
              <w:t xml:space="preserve">Stage </w:t>
            </w:r>
            <w:r w:rsidR="00C14729" w:rsidRPr="00F36214">
              <w:rPr>
                <w:i/>
                <w:sz w:val="20"/>
                <w:szCs w:val="20"/>
                <w:lang w:eastAsia="en-AU"/>
              </w:rPr>
              <w:t>2</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42598" w:rsidRPr="00F36214" w:rsidRDefault="00C14729" w:rsidP="00442598">
            <w:pPr>
              <w:rPr>
                <w:i/>
                <w:sz w:val="20"/>
                <w:szCs w:val="20"/>
                <w:lang w:eastAsia="en-AU"/>
              </w:rPr>
            </w:pPr>
            <w:r w:rsidRPr="00F36214">
              <w:rPr>
                <w:i/>
                <w:sz w:val="20"/>
                <w:szCs w:val="20"/>
                <w:lang w:eastAsia="en-AU"/>
              </w:rPr>
              <w:t>Incorporate public comments</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0.029</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0.029</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442598" w:rsidRPr="00F36214" w:rsidTr="006A1E58">
        <w:trPr>
          <w:cantSplit/>
          <w:trHeight w:val="7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42598" w:rsidRPr="00F36214" w:rsidRDefault="00442598" w:rsidP="00442598">
            <w:pPr>
              <w:jc w:val="right"/>
              <w:rPr>
                <w:i/>
                <w:sz w:val="20"/>
                <w:szCs w:val="20"/>
                <w:lang w:eastAsia="en-AU"/>
              </w:rPr>
            </w:pPr>
            <w:r w:rsidRPr="00F36214">
              <w:rPr>
                <w:i/>
                <w:sz w:val="20"/>
                <w:szCs w:val="20"/>
                <w:lang w:eastAsia="en-AU"/>
              </w:rPr>
              <w:t xml:space="preserve">Stage </w:t>
            </w:r>
            <w:r w:rsidR="00C14729" w:rsidRPr="00F36214">
              <w:rPr>
                <w:i/>
                <w:sz w:val="20"/>
                <w:szCs w:val="20"/>
                <w:lang w:eastAsia="en-AU"/>
              </w:rPr>
              <w:t>3</w:t>
            </w:r>
          </w:p>
          <w:p w:rsidR="00442598" w:rsidRPr="00F36214" w:rsidRDefault="00442598" w:rsidP="00442598">
            <w:pPr>
              <w:jc w:val="right"/>
              <w:rPr>
                <w:i/>
                <w:sz w:val="20"/>
                <w:szCs w:val="20"/>
                <w:lang w:eastAsia="en-AU"/>
              </w:rPr>
            </w:pPr>
            <w:r w:rsidRPr="00F36214">
              <w:rPr>
                <w:i/>
                <w:sz w:val="20"/>
                <w:szCs w:val="20"/>
                <w:lang w:eastAsia="en-AU"/>
              </w:rPr>
              <w:t> </w:t>
            </w:r>
          </w:p>
          <w:p w:rsidR="00442598" w:rsidRPr="00F36214" w:rsidRDefault="00442598" w:rsidP="00442598">
            <w:pPr>
              <w:jc w:val="right"/>
              <w:rPr>
                <w:i/>
                <w:sz w:val="20"/>
                <w:szCs w:val="20"/>
                <w:lang w:eastAsia="en-AU"/>
              </w:rPr>
            </w:pPr>
            <w:r w:rsidRPr="00F36214">
              <w:rPr>
                <w:i/>
                <w:sz w:val="20"/>
                <w:szCs w:val="20"/>
                <w:lang w:eastAsia="en-AU"/>
              </w:rPr>
              <w:t> </w:t>
            </w:r>
          </w:p>
          <w:p w:rsidR="00442598" w:rsidRPr="00F36214" w:rsidRDefault="00442598" w:rsidP="00442598">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42598" w:rsidRPr="00F36214" w:rsidRDefault="00C14729" w:rsidP="00442598">
            <w:pPr>
              <w:rPr>
                <w:i/>
                <w:sz w:val="20"/>
                <w:szCs w:val="20"/>
                <w:lang w:eastAsia="en-AU"/>
              </w:rPr>
            </w:pPr>
            <w:r w:rsidRPr="00F36214">
              <w:rPr>
                <w:i/>
                <w:sz w:val="20"/>
                <w:szCs w:val="20"/>
                <w:lang w:eastAsia="en-AU"/>
              </w:rPr>
              <w:t>Finalise recommendation report</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0.01</w:t>
            </w:r>
            <w:r>
              <w:rPr>
                <w:sz w:val="20"/>
                <w:szCs w:val="20"/>
                <w:lang w:eastAsia="en-AU"/>
              </w:rPr>
              <w:t>0</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0.01</w:t>
            </w:r>
            <w:r>
              <w:rPr>
                <w:sz w:val="20"/>
                <w:szCs w:val="20"/>
                <w:lang w:eastAsia="en-AU"/>
              </w:rPr>
              <w:t>0</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442598">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442598">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AF656A" w:rsidRPr="00F36214" w:rsidRDefault="00AF656A" w:rsidP="00A02D65">
            <w:pPr>
              <w:rPr>
                <w:sz w:val="20"/>
                <w:szCs w:val="20"/>
                <w:lang w:eastAsia="en-AU"/>
              </w:rPr>
            </w:pPr>
            <w:r w:rsidRPr="00F36214">
              <w:rPr>
                <w:sz w:val="20"/>
                <w:szCs w:val="20"/>
                <w:lang w:eastAsia="en-AU"/>
              </w:rPr>
              <w:t xml:space="preserve">Preliminary documentation </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1</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Preparation of additional information request</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0.293</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0.293</w:t>
            </w:r>
          </w:p>
        </w:tc>
      </w:tr>
      <w:tr w:rsidR="000005C0" w:rsidRPr="00F36214" w:rsidTr="000005C0">
        <w:trPr>
          <w:cantSplit/>
          <w:trHeight w:val="7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AF656A" w:rsidRPr="00F36214" w:rsidTr="006A1E58">
        <w:trPr>
          <w:cantSplit/>
          <w:trHeight w:val="7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2</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Review of preliminary documentation and preparation of direction to publish</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0.263</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0.263</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F36214" w:rsidP="00F36214">
            <w:pPr>
              <w:rPr>
                <w:i/>
                <w:sz w:val="20"/>
                <w:szCs w:val="20"/>
                <w:lang w:eastAsia="en-AU"/>
              </w:rPr>
            </w:pPr>
            <w:r>
              <w:rPr>
                <w:i/>
                <w:sz w:val="20"/>
                <w:szCs w:val="20"/>
                <w:lang w:eastAsia="en-AU"/>
              </w:rPr>
              <w:t>Stage </w:t>
            </w:r>
            <w:r w:rsidR="00AF656A" w:rsidRPr="00F36214">
              <w:rPr>
                <w:i/>
                <w:sz w:val="20"/>
                <w:szCs w:val="20"/>
                <w:lang w:eastAsia="en-AU"/>
              </w:rPr>
              <w:t>3</w:t>
            </w:r>
            <w:r>
              <w:rPr>
                <w:i/>
                <w:sz w:val="20"/>
                <w:szCs w:val="20"/>
                <w:lang w:eastAsia="en-AU"/>
              </w:rPr>
              <w:t> </w:t>
            </w:r>
            <w:r w:rsidR="003D11F6" w:rsidRPr="00F36214">
              <w:rPr>
                <w:i/>
                <w:sz w:val="20"/>
                <w:szCs w:val="20"/>
                <w:lang w:eastAsia="en-AU"/>
              </w:rPr>
              <w:t>&amp;</w:t>
            </w:r>
            <w:r>
              <w:rPr>
                <w:i/>
                <w:sz w:val="20"/>
                <w:szCs w:val="20"/>
                <w:lang w:eastAsia="en-AU"/>
              </w:rPr>
              <w:t> </w:t>
            </w:r>
            <w:r w:rsidR="003D11F6" w:rsidRPr="00F36214">
              <w:rPr>
                <w:i/>
                <w:sz w:val="20"/>
                <w:szCs w:val="20"/>
                <w:lang w:eastAsia="en-AU"/>
              </w:rPr>
              <w:t>4</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F36214" w:rsidP="00A02D65">
            <w:pPr>
              <w:rPr>
                <w:i/>
                <w:sz w:val="20"/>
                <w:szCs w:val="20"/>
                <w:lang w:eastAsia="en-AU"/>
              </w:rPr>
            </w:pPr>
            <w:r>
              <w:rPr>
                <w:i/>
                <w:sz w:val="20"/>
                <w:szCs w:val="20"/>
                <w:lang w:eastAsia="en-AU"/>
              </w:rPr>
              <w:t>Review further information and preparation of recommendation report</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0.438</w:t>
            </w:r>
          </w:p>
        </w:tc>
      </w:tr>
      <w:tr w:rsidR="000005C0" w:rsidRPr="00F36214" w:rsidTr="000005C0">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0.438</w:t>
            </w:r>
          </w:p>
        </w:tc>
      </w:tr>
      <w:tr w:rsidR="000005C0" w:rsidRPr="00F36214" w:rsidTr="000005C0">
        <w:trPr>
          <w:cantSplit/>
          <w:trHeight w:val="99"/>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0005C0" w:rsidRPr="00F36214" w:rsidRDefault="000005C0"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0005C0" w:rsidRPr="00F36214" w:rsidRDefault="000005C0"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0005C0" w:rsidRPr="00F36214" w:rsidRDefault="000005C0" w:rsidP="000005C0">
            <w:pPr>
              <w:ind w:right="676"/>
              <w:jc w:val="center"/>
              <w:rPr>
                <w:sz w:val="20"/>
                <w:szCs w:val="20"/>
                <w:lang w:eastAsia="en-AU"/>
              </w:rPr>
            </w:pPr>
            <w:r w:rsidRPr="00F36214">
              <w:rPr>
                <w:sz w:val="20"/>
                <w:szCs w:val="20"/>
                <w:lang w:eastAsia="en-AU"/>
              </w:rPr>
              <w:t>0</w:t>
            </w:r>
          </w:p>
        </w:tc>
      </w:tr>
    </w:tbl>
    <w:p w:rsidR="008D6B38" w:rsidRDefault="008D6B38">
      <w:r>
        <w:br w:type="page"/>
      </w:r>
    </w:p>
    <w:tbl>
      <w:tblPr>
        <w:tblW w:w="4691"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1262"/>
        <w:gridCol w:w="2404"/>
        <w:gridCol w:w="5446"/>
      </w:tblGrid>
      <w:tr w:rsidR="000005C0" w:rsidRPr="00F36214" w:rsidTr="004F7CB7">
        <w:trPr>
          <w:cantSplit/>
          <w:trHeight w:val="241"/>
          <w:tblHeader/>
        </w:trPr>
        <w:tc>
          <w:tcPr>
            <w:tcW w:w="366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0005C0" w:rsidRPr="00F36214" w:rsidRDefault="000005C0" w:rsidP="000005C0">
            <w:pPr>
              <w:jc w:val="center"/>
              <w:rPr>
                <w:b/>
                <w:sz w:val="20"/>
                <w:szCs w:val="20"/>
                <w:lang w:eastAsia="en-AU"/>
              </w:rPr>
            </w:pPr>
            <w:r w:rsidRPr="00F36214">
              <w:rPr>
                <w:b/>
                <w:sz w:val="20"/>
                <w:szCs w:val="20"/>
                <w:lang w:eastAsia="en-AU"/>
              </w:rPr>
              <w:lastRenderedPageBreak/>
              <w:t>Assessment activities</w:t>
            </w:r>
          </w:p>
        </w:tc>
        <w:tc>
          <w:tcPr>
            <w:tcW w:w="544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0005C0" w:rsidRPr="00F36214" w:rsidRDefault="000005C0" w:rsidP="000005C0">
            <w:pPr>
              <w:jc w:val="center"/>
              <w:rPr>
                <w:b/>
                <w:sz w:val="20"/>
                <w:szCs w:val="20"/>
                <w:lang w:eastAsia="en-AU"/>
              </w:rPr>
            </w:pPr>
            <w:r w:rsidRPr="00F36214">
              <w:rPr>
                <w:b/>
                <w:sz w:val="20"/>
                <w:szCs w:val="20"/>
                <w:lang w:eastAsia="en-AU"/>
              </w:rPr>
              <w:t>2014-15 ($mil)</w:t>
            </w:r>
          </w:p>
        </w:tc>
      </w:tr>
      <w:tr w:rsidR="00AF656A" w:rsidRPr="00F36214" w:rsidTr="006A1E58">
        <w:trPr>
          <w:cantSplit/>
          <w:trHeight w:val="241"/>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AF656A" w:rsidRPr="00F36214" w:rsidRDefault="00AF656A" w:rsidP="00A02D65">
            <w:pPr>
              <w:rPr>
                <w:sz w:val="20"/>
                <w:szCs w:val="20"/>
                <w:lang w:eastAsia="en-AU"/>
              </w:rPr>
            </w:pPr>
            <w:r w:rsidRPr="00F36214">
              <w:rPr>
                <w:sz w:val="20"/>
                <w:szCs w:val="20"/>
                <w:lang w:eastAsia="en-AU"/>
              </w:rPr>
              <w:t xml:space="preserve">Environmental impact statement </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1</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Preparation of guidelines</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0.411</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0.411</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2</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Review of draft environmental impact statement and preparation of direction to publish</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0.887</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0.887</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3</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Review of final environmental impact statement</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A02D6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AF656A"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4</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Preparation of recommendation report &amp; draft and final decision</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76"/>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A02D6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00BE8" w:rsidRPr="00F36214" w:rsidTr="006A1E58">
        <w:trPr>
          <w:cantSplit/>
          <w:trHeight w:val="241"/>
          <w:tblHeader/>
        </w:trPr>
        <w:tc>
          <w:tcPr>
            <w:tcW w:w="9112"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400BE8" w:rsidRPr="00F36214" w:rsidRDefault="00400BE8" w:rsidP="000A2AD5">
            <w:pPr>
              <w:rPr>
                <w:sz w:val="20"/>
                <w:szCs w:val="20"/>
                <w:lang w:eastAsia="en-AU"/>
              </w:rPr>
            </w:pPr>
            <w:r w:rsidRPr="00F36214">
              <w:rPr>
                <w:sz w:val="20"/>
                <w:szCs w:val="20"/>
                <w:lang w:eastAsia="en-AU"/>
              </w:rPr>
              <w:t xml:space="preserve">Public environment report </w:t>
            </w:r>
          </w:p>
        </w:tc>
      </w:tr>
      <w:tr w:rsidR="00400BE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1</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00BE8" w:rsidRPr="00F36214" w:rsidRDefault="00400BE8" w:rsidP="000A2AD5">
            <w:pPr>
              <w:rPr>
                <w:i/>
                <w:sz w:val="20"/>
                <w:szCs w:val="20"/>
                <w:lang w:eastAsia="en-AU"/>
              </w:rPr>
            </w:pPr>
            <w:r w:rsidRPr="00F36214">
              <w:rPr>
                <w:i/>
                <w:sz w:val="20"/>
                <w:szCs w:val="20"/>
                <w:lang w:eastAsia="en-AU"/>
              </w:rPr>
              <w:t>Preparation of guidelines</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0.169</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0.169</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00BE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2</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00BE8" w:rsidRPr="00F36214" w:rsidRDefault="00400BE8" w:rsidP="002B5193">
            <w:pPr>
              <w:rPr>
                <w:i/>
                <w:sz w:val="20"/>
                <w:szCs w:val="20"/>
                <w:lang w:eastAsia="en-AU"/>
              </w:rPr>
            </w:pPr>
            <w:r w:rsidRPr="00F36214">
              <w:rPr>
                <w:i/>
                <w:sz w:val="20"/>
                <w:szCs w:val="20"/>
                <w:lang w:eastAsia="en-AU"/>
              </w:rPr>
              <w:t>Review of draft environment repo</w:t>
            </w:r>
            <w:r w:rsidR="002B5193" w:rsidRPr="00F36214">
              <w:rPr>
                <w:i/>
                <w:sz w:val="20"/>
                <w:szCs w:val="20"/>
                <w:lang w:eastAsia="en-AU"/>
              </w:rPr>
              <w:t>r</w:t>
            </w:r>
            <w:r w:rsidRPr="00F36214">
              <w:rPr>
                <w:i/>
                <w:sz w:val="20"/>
                <w:szCs w:val="20"/>
                <w:lang w:eastAsia="en-AU"/>
              </w:rPr>
              <w:t>t and preparation of direction to publish</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0.535</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0.535</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00BE8" w:rsidRPr="00F36214" w:rsidTr="006A1E58">
        <w:trPr>
          <w:cantSplit/>
          <w:trHeight w:val="67"/>
          <w:tblHeader/>
        </w:trPr>
        <w:tc>
          <w:tcPr>
            <w:tcW w:w="1262" w:type="dxa"/>
            <w:vMerge w:val="restar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3</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850"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400BE8" w:rsidRPr="00F36214" w:rsidRDefault="00400BE8" w:rsidP="00400BE8">
            <w:pPr>
              <w:rPr>
                <w:i/>
                <w:sz w:val="20"/>
                <w:szCs w:val="20"/>
                <w:lang w:eastAsia="en-AU"/>
              </w:rPr>
            </w:pPr>
            <w:r w:rsidRPr="00F36214">
              <w:rPr>
                <w:i/>
                <w:sz w:val="20"/>
                <w:szCs w:val="20"/>
                <w:lang w:eastAsia="en-AU"/>
              </w:rPr>
              <w:t>Review of final environment report</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Expense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Revenue</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r w:rsidR="004F7CB7" w:rsidRPr="00F36214" w:rsidTr="004F7CB7">
        <w:trPr>
          <w:cantSplit/>
          <w:trHeight w:val="67"/>
          <w:tblHeader/>
        </w:trPr>
        <w:tc>
          <w:tcPr>
            <w:tcW w:w="1262" w:type="dxa"/>
            <w:vMerge/>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hideMark/>
          </w:tcPr>
          <w:p w:rsidR="004F7CB7" w:rsidRPr="00F36214" w:rsidRDefault="004F7CB7" w:rsidP="000A2AD5">
            <w:pPr>
              <w:jc w:val="right"/>
              <w:rPr>
                <w:i/>
                <w:sz w:val="20"/>
                <w:szCs w:val="20"/>
                <w:lang w:eastAsia="en-AU"/>
              </w:rPr>
            </w:pPr>
          </w:p>
        </w:tc>
        <w:tc>
          <w:tcPr>
            <w:tcW w:w="2404" w:type="dxa"/>
            <w:tcBorders>
              <w:top w:val="single" w:sz="4" w:space="0" w:color="548DD4" w:themeColor="text2" w:themeTint="99"/>
              <w:left w:val="nil"/>
              <w:bottom w:val="single" w:sz="4" w:space="0" w:color="548DD4" w:themeColor="text2" w:themeTint="99"/>
              <w:right w:val="nil"/>
            </w:tcBorders>
            <w:shd w:val="clear" w:color="auto" w:fill="auto"/>
            <w:vAlign w:val="bottom"/>
            <w:hideMark/>
          </w:tcPr>
          <w:p w:rsidR="004F7CB7" w:rsidRPr="00F36214" w:rsidRDefault="004F7CB7" w:rsidP="000A2AD5">
            <w:pPr>
              <w:rPr>
                <w:sz w:val="20"/>
                <w:szCs w:val="20"/>
                <w:lang w:eastAsia="en-AU"/>
              </w:rPr>
            </w:pPr>
            <w:r w:rsidRPr="00F36214">
              <w:rPr>
                <w:sz w:val="20"/>
                <w:szCs w:val="20"/>
                <w:lang w:eastAsia="en-AU"/>
              </w:rPr>
              <w:t>Balance +/-</w:t>
            </w:r>
          </w:p>
        </w:tc>
        <w:tc>
          <w:tcPr>
            <w:tcW w:w="544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F7CB7" w:rsidRPr="00F36214" w:rsidRDefault="004F7CB7" w:rsidP="004F7CB7">
            <w:pPr>
              <w:ind w:right="676"/>
              <w:jc w:val="center"/>
              <w:rPr>
                <w:sz w:val="20"/>
                <w:szCs w:val="20"/>
                <w:lang w:eastAsia="en-AU"/>
              </w:rPr>
            </w:pPr>
            <w:r w:rsidRPr="00F36214">
              <w:rPr>
                <w:sz w:val="20"/>
                <w:szCs w:val="20"/>
                <w:lang w:eastAsia="en-AU"/>
              </w:rPr>
              <w:t>0</w:t>
            </w:r>
          </w:p>
        </w:tc>
      </w:tr>
    </w:tbl>
    <w:p w:rsidR="008306E2" w:rsidRDefault="008306E2"/>
    <w:tbl>
      <w:tblPr>
        <w:tblW w:w="4691"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tblPr>
      <w:tblGrid>
        <w:gridCol w:w="1395"/>
        <w:gridCol w:w="2257"/>
        <w:gridCol w:w="5460"/>
      </w:tblGrid>
      <w:tr w:rsidR="004F7CB7" w:rsidRPr="00F36214" w:rsidTr="004F7CB7">
        <w:trPr>
          <w:cantSplit/>
          <w:trHeight w:val="67"/>
          <w:tblHeader/>
        </w:trPr>
        <w:tc>
          <w:tcPr>
            <w:tcW w:w="3652" w:type="dxa"/>
            <w:gridSpan w:val="2"/>
            <w:tcBorders>
              <w:right w:val="single" w:sz="4" w:space="0" w:color="548DD4" w:themeColor="text2" w:themeTint="99"/>
            </w:tcBorders>
            <w:shd w:val="clear" w:color="auto" w:fill="8DB3E2" w:themeFill="text2" w:themeFillTint="66"/>
            <w:vAlign w:val="center"/>
            <w:hideMark/>
          </w:tcPr>
          <w:p w:rsidR="004F7CB7" w:rsidRPr="00F36214" w:rsidRDefault="004F7CB7" w:rsidP="004F7CB7">
            <w:pPr>
              <w:jc w:val="center"/>
              <w:rPr>
                <w:b/>
                <w:sz w:val="20"/>
                <w:szCs w:val="20"/>
                <w:lang w:eastAsia="en-AU"/>
              </w:rPr>
            </w:pPr>
            <w:r w:rsidRPr="00F36214">
              <w:rPr>
                <w:b/>
                <w:sz w:val="20"/>
                <w:szCs w:val="20"/>
                <w:lang w:eastAsia="en-AU"/>
              </w:rPr>
              <w:t>Assessment activities</w:t>
            </w:r>
          </w:p>
        </w:tc>
        <w:tc>
          <w:tcPr>
            <w:tcW w:w="5460" w:type="dxa"/>
            <w:tcBorders>
              <w:left w:val="single" w:sz="4" w:space="0" w:color="548DD4" w:themeColor="text2" w:themeTint="99"/>
            </w:tcBorders>
            <w:shd w:val="clear" w:color="auto" w:fill="8DB3E2" w:themeFill="text2" w:themeFillTint="66"/>
            <w:vAlign w:val="center"/>
            <w:hideMark/>
          </w:tcPr>
          <w:p w:rsidR="004F7CB7" w:rsidRPr="00F36214" w:rsidRDefault="004F7CB7" w:rsidP="004F7CB7">
            <w:pPr>
              <w:jc w:val="center"/>
              <w:rPr>
                <w:b/>
                <w:sz w:val="20"/>
                <w:szCs w:val="20"/>
                <w:lang w:eastAsia="en-AU"/>
              </w:rPr>
            </w:pPr>
            <w:r w:rsidRPr="00F36214">
              <w:rPr>
                <w:b/>
                <w:sz w:val="20"/>
                <w:szCs w:val="20"/>
                <w:lang w:eastAsia="en-AU"/>
              </w:rPr>
              <w:t>2014-15 ($mil)</w:t>
            </w:r>
          </w:p>
        </w:tc>
      </w:tr>
      <w:tr w:rsidR="00400BE8" w:rsidRPr="00F36214" w:rsidTr="004F7CB7">
        <w:trPr>
          <w:cantSplit/>
          <w:trHeight w:val="67"/>
          <w:tblHeader/>
        </w:trPr>
        <w:tc>
          <w:tcPr>
            <w:tcW w:w="1395" w:type="dxa"/>
            <w:vMerge w:val="restart"/>
            <w:shd w:val="clear" w:color="auto" w:fill="auto"/>
            <w:hideMark/>
          </w:tcPr>
          <w:p w:rsidR="00400BE8" w:rsidRPr="00F36214" w:rsidRDefault="00400BE8" w:rsidP="000A2AD5">
            <w:pPr>
              <w:jc w:val="right"/>
              <w:rPr>
                <w:i/>
                <w:sz w:val="20"/>
                <w:szCs w:val="20"/>
                <w:lang w:eastAsia="en-AU"/>
              </w:rPr>
            </w:pPr>
            <w:r w:rsidRPr="00F36214">
              <w:rPr>
                <w:i/>
                <w:sz w:val="20"/>
                <w:szCs w:val="20"/>
                <w:lang w:eastAsia="en-AU"/>
              </w:rPr>
              <w:t>Stage 4</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p w:rsidR="00400BE8" w:rsidRPr="00F36214" w:rsidRDefault="00400BE8" w:rsidP="000A2AD5">
            <w:pPr>
              <w:jc w:val="right"/>
              <w:rPr>
                <w:i/>
                <w:sz w:val="20"/>
                <w:szCs w:val="20"/>
                <w:lang w:eastAsia="en-AU"/>
              </w:rPr>
            </w:pPr>
            <w:r w:rsidRPr="00F36214">
              <w:rPr>
                <w:i/>
                <w:sz w:val="20"/>
                <w:szCs w:val="20"/>
                <w:lang w:eastAsia="en-AU"/>
              </w:rPr>
              <w:t> </w:t>
            </w:r>
          </w:p>
        </w:tc>
        <w:tc>
          <w:tcPr>
            <w:tcW w:w="7717" w:type="dxa"/>
            <w:gridSpan w:val="2"/>
            <w:shd w:val="clear" w:color="auto" w:fill="auto"/>
            <w:vAlign w:val="bottom"/>
            <w:hideMark/>
          </w:tcPr>
          <w:p w:rsidR="00400BE8" w:rsidRPr="00F36214" w:rsidRDefault="00400BE8" w:rsidP="000A2AD5">
            <w:pPr>
              <w:rPr>
                <w:i/>
                <w:sz w:val="20"/>
                <w:szCs w:val="20"/>
                <w:lang w:eastAsia="en-AU"/>
              </w:rPr>
            </w:pPr>
            <w:r w:rsidRPr="00F36214">
              <w:rPr>
                <w:i/>
                <w:sz w:val="20"/>
                <w:szCs w:val="20"/>
                <w:lang w:eastAsia="en-AU"/>
              </w:rPr>
              <w:t>Preparation of recommendation report &amp; draft and final decision</w:t>
            </w:r>
          </w:p>
        </w:tc>
      </w:tr>
      <w:tr w:rsidR="003F0A3E" w:rsidRPr="00F36214" w:rsidTr="00B67F3E">
        <w:trPr>
          <w:cantSplit/>
          <w:trHeight w:val="67"/>
          <w:tblHeader/>
        </w:trPr>
        <w:tc>
          <w:tcPr>
            <w:tcW w:w="1395" w:type="dxa"/>
            <w:vMerge/>
            <w:shd w:val="clear" w:color="auto" w:fill="auto"/>
            <w:vAlign w:val="bottom"/>
            <w:hideMark/>
          </w:tcPr>
          <w:p w:rsidR="003F0A3E" w:rsidRPr="00F36214" w:rsidRDefault="003F0A3E" w:rsidP="000A2AD5">
            <w:pPr>
              <w:rPr>
                <w:sz w:val="20"/>
                <w:szCs w:val="20"/>
                <w:lang w:eastAsia="en-AU"/>
              </w:rPr>
            </w:pPr>
          </w:p>
        </w:tc>
        <w:tc>
          <w:tcPr>
            <w:tcW w:w="2257" w:type="dxa"/>
            <w:shd w:val="clear" w:color="auto" w:fill="auto"/>
            <w:vAlign w:val="bottom"/>
            <w:hideMark/>
          </w:tcPr>
          <w:p w:rsidR="003F0A3E" w:rsidRPr="00F36214" w:rsidRDefault="003F0A3E" w:rsidP="000A2AD5">
            <w:pPr>
              <w:rPr>
                <w:sz w:val="20"/>
                <w:szCs w:val="20"/>
                <w:lang w:eastAsia="en-AU"/>
              </w:rPr>
            </w:pPr>
            <w:r w:rsidRPr="00F36214">
              <w:rPr>
                <w:sz w:val="20"/>
                <w:szCs w:val="20"/>
                <w:lang w:eastAsia="en-AU"/>
              </w:rPr>
              <w:t>Expense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3F0A3E" w:rsidRPr="00F36214" w:rsidTr="00B67F3E">
        <w:trPr>
          <w:cantSplit/>
          <w:trHeight w:val="67"/>
          <w:tblHeader/>
        </w:trPr>
        <w:tc>
          <w:tcPr>
            <w:tcW w:w="1395" w:type="dxa"/>
            <w:vMerge/>
            <w:shd w:val="clear" w:color="auto" w:fill="auto"/>
            <w:vAlign w:val="bottom"/>
            <w:hideMark/>
          </w:tcPr>
          <w:p w:rsidR="003F0A3E" w:rsidRPr="00F36214" w:rsidRDefault="003F0A3E" w:rsidP="000A2AD5">
            <w:pPr>
              <w:rPr>
                <w:sz w:val="20"/>
                <w:szCs w:val="20"/>
                <w:lang w:eastAsia="en-AU"/>
              </w:rPr>
            </w:pPr>
          </w:p>
        </w:tc>
        <w:tc>
          <w:tcPr>
            <w:tcW w:w="2257" w:type="dxa"/>
            <w:shd w:val="clear" w:color="auto" w:fill="auto"/>
            <w:vAlign w:val="bottom"/>
            <w:hideMark/>
          </w:tcPr>
          <w:p w:rsidR="003F0A3E" w:rsidRPr="00F36214" w:rsidRDefault="003F0A3E" w:rsidP="000A2AD5">
            <w:pPr>
              <w:rPr>
                <w:sz w:val="20"/>
                <w:szCs w:val="20"/>
                <w:lang w:eastAsia="en-AU"/>
              </w:rPr>
            </w:pPr>
            <w:r w:rsidRPr="00F36214">
              <w:rPr>
                <w:sz w:val="20"/>
                <w:szCs w:val="20"/>
                <w:lang w:eastAsia="en-AU"/>
              </w:rPr>
              <w:t>Revenue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3F0A3E" w:rsidRPr="00F36214" w:rsidTr="00B67F3E">
        <w:trPr>
          <w:cantSplit/>
          <w:trHeight w:val="76"/>
          <w:tblHeader/>
        </w:trPr>
        <w:tc>
          <w:tcPr>
            <w:tcW w:w="1395" w:type="dxa"/>
            <w:vMerge/>
            <w:tcBorders>
              <w:bottom w:val="single" w:sz="4" w:space="0" w:color="548DD4" w:themeColor="text2" w:themeTint="99"/>
            </w:tcBorders>
            <w:shd w:val="clear" w:color="auto" w:fill="auto"/>
            <w:vAlign w:val="bottom"/>
            <w:hideMark/>
          </w:tcPr>
          <w:p w:rsidR="003F0A3E" w:rsidRPr="00F36214" w:rsidRDefault="003F0A3E" w:rsidP="000A2AD5">
            <w:pPr>
              <w:rPr>
                <w:sz w:val="20"/>
                <w:szCs w:val="20"/>
                <w:lang w:eastAsia="en-AU"/>
              </w:rPr>
            </w:pPr>
          </w:p>
        </w:tc>
        <w:tc>
          <w:tcPr>
            <w:tcW w:w="2257" w:type="dxa"/>
            <w:tcBorders>
              <w:bottom w:val="single" w:sz="4" w:space="0" w:color="548DD4" w:themeColor="text2" w:themeTint="99"/>
            </w:tcBorders>
            <w:shd w:val="clear" w:color="auto" w:fill="auto"/>
            <w:vAlign w:val="bottom"/>
            <w:hideMark/>
          </w:tcPr>
          <w:p w:rsidR="003F0A3E" w:rsidRPr="00F36214" w:rsidRDefault="003F0A3E" w:rsidP="000A2AD5">
            <w:pPr>
              <w:rPr>
                <w:sz w:val="20"/>
                <w:szCs w:val="20"/>
                <w:lang w:eastAsia="en-AU"/>
              </w:rPr>
            </w:pPr>
            <w:r w:rsidRPr="00F36214">
              <w:rPr>
                <w:sz w:val="20"/>
                <w:szCs w:val="20"/>
                <w:lang w:eastAsia="en-AU"/>
              </w:rPr>
              <w:t>Balance +/-</w:t>
            </w:r>
          </w:p>
        </w:tc>
        <w:tc>
          <w:tcPr>
            <w:tcW w:w="5460" w:type="dxa"/>
            <w:tcBorders>
              <w:bottom w:val="single" w:sz="4" w:space="0" w:color="548DD4" w:themeColor="text2" w:themeTint="99"/>
            </w:tcBorders>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AF656A" w:rsidRPr="00F36214" w:rsidTr="006A1E58">
        <w:trPr>
          <w:cantSplit/>
          <w:trHeight w:val="88"/>
          <w:tblHeader/>
        </w:trPr>
        <w:tc>
          <w:tcPr>
            <w:tcW w:w="9112" w:type="dxa"/>
            <w:gridSpan w:val="3"/>
            <w:shd w:val="clear" w:color="auto" w:fill="C6D9F1" w:themeFill="text2" w:themeFillTint="33"/>
            <w:vAlign w:val="bottom"/>
            <w:hideMark/>
          </w:tcPr>
          <w:p w:rsidR="00AF656A" w:rsidRPr="00F36214" w:rsidRDefault="00AF656A" w:rsidP="00A02D65">
            <w:pPr>
              <w:rPr>
                <w:sz w:val="20"/>
                <w:szCs w:val="20"/>
                <w:lang w:eastAsia="en-AU"/>
              </w:rPr>
            </w:pPr>
            <w:r w:rsidRPr="00F36214">
              <w:rPr>
                <w:sz w:val="20"/>
                <w:szCs w:val="20"/>
                <w:lang w:eastAsia="en-AU"/>
              </w:rPr>
              <w:t>Bilateral agreement / Accredited assessment</w:t>
            </w:r>
          </w:p>
        </w:tc>
      </w:tr>
      <w:tr w:rsidR="00AF656A" w:rsidRPr="00F36214" w:rsidTr="004F7CB7">
        <w:trPr>
          <w:cantSplit/>
          <w:trHeight w:val="148"/>
          <w:tblHeader/>
        </w:trPr>
        <w:tc>
          <w:tcPr>
            <w:tcW w:w="1395" w:type="dxa"/>
            <w:vMerge w:val="restart"/>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 1</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717" w:type="dxa"/>
            <w:gridSpan w:val="2"/>
            <w:shd w:val="clear" w:color="auto" w:fill="auto"/>
            <w:vAlign w:val="bottom"/>
            <w:hideMark/>
          </w:tcPr>
          <w:p w:rsidR="00AF656A" w:rsidRPr="00F36214" w:rsidRDefault="00AF656A" w:rsidP="00A02D65">
            <w:pPr>
              <w:rPr>
                <w:i/>
                <w:sz w:val="20"/>
                <w:szCs w:val="20"/>
                <w:lang w:eastAsia="en-AU"/>
              </w:rPr>
            </w:pPr>
            <w:r w:rsidRPr="00F36214">
              <w:rPr>
                <w:i/>
                <w:sz w:val="20"/>
                <w:szCs w:val="20"/>
                <w:lang w:eastAsia="en-AU"/>
              </w:rPr>
              <w:t>Input into guidelines</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0.870</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0.870</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AF656A" w:rsidRPr="00F36214" w:rsidTr="004F7CB7">
        <w:trPr>
          <w:cantSplit/>
          <w:trHeight w:val="67"/>
          <w:tblHeader/>
        </w:trPr>
        <w:tc>
          <w:tcPr>
            <w:tcW w:w="1395" w:type="dxa"/>
            <w:vMerge w:val="restart"/>
            <w:shd w:val="clear" w:color="auto" w:fill="auto"/>
            <w:hideMark/>
          </w:tcPr>
          <w:p w:rsidR="00AF656A" w:rsidRPr="00F36214" w:rsidRDefault="00AF656A" w:rsidP="00A02D65">
            <w:pPr>
              <w:jc w:val="right"/>
              <w:rPr>
                <w:i/>
                <w:sz w:val="20"/>
                <w:szCs w:val="20"/>
                <w:lang w:eastAsia="en-AU"/>
              </w:rPr>
            </w:pPr>
            <w:r w:rsidRPr="00F36214">
              <w:rPr>
                <w:i/>
                <w:sz w:val="20"/>
                <w:szCs w:val="20"/>
                <w:lang w:eastAsia="en-AU"/>
              </w:rPr>
              <w:t>Stage</w:t>
            </w:r>
            <w:r w:rsidR="0000157F">
              <w:rPr>
                <w:i/>
                <w:sz w:val="20"/>
                <w:szCs w:val="20"/>
                <w:lang w:eastAsia="en-AU"/>
              </w:rPr>
              <w:t>s</w:t>
            </w:r>
            <w:r w:rsidRPr="00F36214">
              <w:rPr>
                <w:i/>
                <w:sz w:val="20"/>
                <w:szCs w:val="20"/>
                <w:lang w:eastAsia="en-AU"/>
              </w:rPr>
              <w:t xml:space="preserve"> 2</w:t>
            </w:r>
            <w:r w:rsidR="0000157F">
              <w:rPr>
                <w:i/>
                <w:sz w:val="20"/>
                <w:szCs w:val="20"/>
                <w:lang w:eastAsia="en-AU"/>
              </w:rPr>
              <w:t>, 3 &amp; 4</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p w:rsidR="00AF656A" w:rsidRPr="00F36214" w:rsidRDefault="00AF656A" w:rsidP="00A02D65">
            <w:pPr>
              <w:jc w:val="right"/>
              <w:rPr>
                <w:i/>
                <w:sz w:val="20"/>
                <w:szCs w:val="20"/>
                <w:lang w:eastAsia="en-AU"/>
              </w:rPr>
            </w:pPr>
            <w:r w:rsidRPr="00F36214">
              <w:rPr>
                <w:i/>
                <w:sz w:val="20"/>
                <w:szCs w:val="20"/>
                <w:lang w:eastAsia="en-AU"/>
              </w:rPr>
              <w:t> </w:t>
            </w:r>
          </w:p>
        </w:tc>
        <w:tc>
          <w:tcPr>
            <w:tcW w:w="7717" w:type="dxa"/>
            <w:gridSpan w:val="2"/>
            <w:shd w:val="clear" w:color="auto" w:fill="auto"/>
            <w:vAlign w:val="bottom"/>
            <w:hideMark/>
          </w:tcPr>
          <w:p w:rsidR="00AF656A" w:rsidRPr="00F36214" w:rsidRDefault="00AF656A" w:rsidP="0000157F">
            <w:pPr>
              <w:rPr>
                <w:i/>
                <w:sz w:val="20"/>
                <w:szCs w:val="20"/>
                <w:lang w:eastAsia="en-AU"/>
              </w:rPr>
            </w:pPr>
            <w:r w:rsidRPr="00F36214">
              <w:rPr>
                <w:i/>
                <w:sz w:val="20"/>
                <w:szCs w:val="20"/>
                <w:lang w:eastAsia="en-AU"/>
              </w:rPr>
              <w:t>Review draft assessment documentation</w:t>
            </w:r>
            <w:r w:rsidR="0000157F">
              <w:rPr>
                <w:i/>
                <w:sz w:val="20"/>
                <w:szCs w:val="20"/>
                <w:lang w:eastAsia="en-AU"/>
              </w:rPr>
              <w:t>, final assessment documentation and review state/territory recommendation</w:t>
            </w:r>
            <w:r w:rsidRPr="00F36214">
              <w:rPr>
                <w:i/>
                <w:sz w:val="20"/>
                <w:szCs w:val="20"/>
                <w:lang w:eastAsia="en-AU"/>
              </w:rPr>
              <w:t xml:space="preserve"> </w:t>
            </w:r>
            <w:r w:rsidR="0000157F">
              <w:rPr>
                <w:i/>
                <w:sz w:val="20"/>
                <w:szCs w:val="20"/>
                <w:lang w:eastAsia="en-AU"/>
              </w:rPr>
              <w:t>report</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r w:rsidR="003F0A3E" w:rsidRPr="00F36214" w:rsidTr="00B67F3E">
        <w:trPr>
          <w:cantSplit/>
          <w:trHeight w:val="67"/>
          <w:tblHeader/>
        </w:trPr>
        <w:tc>
          <w:tcPr>
            <w:tcW w:w="1395" w:type="dxa"/>
            <w:vMerge/>
            <w:shd w:val="clear" w:color="auto" w:fill="auto"/>
            <w:hideMark/>
          </w:tcPr>
          <w:p w:rsidR="003F0A3E" w:rsidRPr="00F36214" w:rsidRDefault="003F0A3E" w:rsidP="00A02D65">
            <w:pPr>
              <w:jc w:val="right"/>
              <w:rPr>
                <w:i/>
                <w:sz w:val="20"/>
                <w:szCs w:val="20"/>
                <w:lang w:eastAsia="en-AU"/>
              </w:rPr>
            </w:pPr>
          </w:p>
        </w:tc>
        <w:tc>
          <w:tcPr>
            <w:tcW w:w="2257"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460" w:type="dxa"/>
            <w:shd w:val="clear" w:color="auto" w:fill="auto"/>
            <w:vAlign w:val="center"/>
            <w:hideMark/>
          </w:tcPr>
          <w:p w:rsidR="003F0A3E" w:rsidRPr="00F36214" w:rsidRDefault="003F0A3E" w:rsidP="003F0A3E">
            <w:pPr>
              <w:ind w:right="676"/>
              <w:jc w:val="center"/>
              <w:rPr>
                <w:sz w:val="20"/>
                <w:szCs w:val="20"/>
                <w:lang w:eastAsia="en-AU"/>
              </w:rPr>
            </w:pPr>
            <w:r w:rsidRPr="00F36214">
              <w:rPr>
                <w:sz w:val="20"/>
                <w:szCs w:val="20"/>
                <w:lang w:eastAsia="en-AU"/>
              </w:rPr>
              <w:t>0</w:t>
            </w:r>
          </w:p>
        </w:tc>
      </w:tr>
    </w:tbl>
    <w:p w:rsidR="00AF656A" w:rsidRPr="00F36214" w:rsidRDefault="00AF656A" w:rsidP="00AF656A">
      <w:pPr>
        <w:pStyle w:val="Caption"/>
        <w:sectPr w:rsidR="00AF656A" w:rsidRPr="00F36214" w:rsidSect="0048708F">
          <w:pgSz w:w="11906" w:h="16838"/>
          <w:pgMar w:top="680" w:right="1276" w:bottom="680" w:left="1134" w:header="397" w:footer="709" w:gutter="0"/>
          <w:cols w:space="708"/>
          <w:docGrid w:linePitch="360"/>
        </w:sectPr>
      </w:pPr>
    </w:p>
    <w:p w:rsidR="000B573E" w:rsidRPr="00F36214" w:rsidRDefault="00EF3F01">
      <w:pPr>
        <w:pStyle w:val="Caption"/>
      </w:pPr>
      <w:bookmarkStart w:id="670" w:name="_Ref387073208"/>
      <w:bookmarkStart w:id="671" w:name="_Ref388967329"/>
      <w:bookmarkStart w:id="672" w:name="_Toc387073282"/>
      <w:bookmarkStart w:id="673" w:name="_Toc391541665"/>
      <w:bookmarkStart w:id="674" w:name="_Ref344903413"/>
      <w:bookmarkStart w:id="675" w:name="_Ref345934287"/>
      <w:proofErr w:type="gramStart"/>
      <w:r w:rsidRPr="00F36214">
        <w:lastRenderedPageBreak/>
        <w:t>Table</w:t>
      </w:r>
      <w:bookmarkEnd w:id="670"/>
      <w:r w:rsidRPr="00F36214">
        <w:t xml:space="preserve"> </w:t>
      </w:r>
      <w:r w:rsidR="00D30427" w:rsidRPr="00F36214">
        <w:fldChar w:fldCharType="begin"/>
      </w:r>
      <w:r w:rsidRPr="00F36214">
        <w:instrText xml:space="preserve"> SEQ Table \* ARABIC </w:instrText>
      </w:r>
      <w:r w:rsidR="00D30427" w:rsidRPr="00F36214">
        <w:fldChar w:fldCharType="separate"/>
      </w:r>
      <w:r w:rsidR="001D521C">
        <w:rPr>
          <w:noProof/>
        </w:rPr>
        <w:t>21</w:t>
      </w:r>
      <w:r w:rsidR="00D30427" w:rsidRPr="00F36214">
        <w:fldChar w:fldCharType="end"/>
      </w:r>
      <w:bookmarkEnd w:id="671"/>
      <w:r w:rsidRPr="00F36214">
        <w:t>.</w:t>
      </w:r>
      <w:proofErr w:type="gramEnd"/>
      <w:r w:rsidRPr="00F36214">
        <w:t xml:space="preserve"> Post approval action management plans (expenses and revenue summary)</w:t>
      </w:r>
      <w:bookmarkEnd w:id="672"/>
      <w:bookmarkEnd w:id="673"/>
    </w:p>
    <w:tbl>
      <w:tblPr>
        <w:tblW w:w="8720" w:type="dxa"/>
        <w:tblInd w:w="91"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tblBorders>
        <w:tblLook w:val="04A0"/>
      </w:tblPr>
      <w:tblGrid>
        <w:gridCol w:w="868"/>
        <w:gridCol w:w="2835"/>
        <w:gridCol w:w="5017"/>
      </w:tblGrid>
      <w:tr w:rsidR="006754F7" w:rsidRPr="00F36214" w:rsidTr="006A1E58">
        <w:trPr>
          <w:trHeight w:val="668"/>
        </w:trPr>
        <w:tc>
          <w:tcPr>
            <w:tcW w:w="3703" w:type="dxa"/>
            <w:gridSpan w:val="2"/>
            <w:tcBorders>
              <w:bottom w:val="single" w:sz="8" w:space="0" w:color="548DD4" w:themeColor="text2" w:themeTint="99"/>
              <w:right w:val="single" w:sz="8" w:space="0" w:color="548DD4" w:themeColor="text2" w:themeTint="99"/>
            </w:tcBorders>
            <w:shd w:val="clear" w:color="auto" w:fill="8DB3E2" w:themeFill="text2" w:themeFillTint="66"/>
            <w:vAlign w:val="center"/>
            <w:hideMark/>
          </w:tcPr>
          <w:bookmarkEnd w:id="674"/>
          <w:bookmarkEnd w:id="675"/>
          <w:p w:rsidR="006754F7" w:rsidRPr="00F36214" w:rsidRDefault="006754F7" w:rsidP="00A02D65">
            <w:pPr>
              <w:jc w:val="center"/>
              <w:rPr>
                <w:b/>
                <w:sz w:val="20"/>
                <w:szCs w:val="20"/>
                <w:lang w:eastAsia="en-AU"/>
              </w:rPr>
            </w:pPr>
            <w:r w:rsidRPr="00F36214">
              <w:rPr>
                <w:b/>
                <w:sz w:val="20"/>
                <w:szCs w:val="20"/>
                <w:lang w:eastAsia="en-AU"/>
              </w:rPr>
              <w:t>Post approval action management plans</w:t>
            </w:r>
          </w:p>
        </w:tc>
        <w:tc>
          <w:tcPr>
            <w:tcW w:w="5017" w:type="dxa"/>
            <w:tcBorders>
              <w:left w:val="single" w:sz="8" w:space="0" w:color="548DD4" w:themeColor="text2" w:themeTint="99"/>
              <w:bottom w:val="single" w:sz="8" w:space="0" w:color="548DD4" w:themeColor="text2" w:themeTint="99"/>
            </w:tcBorders>
            <w:shd w:val="clear" w:color="auto" w:fill="8DB3E2" w:themeFill="text2" w:themeFillTint="66"/>
            <w:vAlign w:val="center"/>
            <w:hideMark/>
          </w:tcPr>
          <w:p w:rsidR="006754F7" w:rsidRPr="00F36214" w:rsidRDefault="006754F7" w:rsidP="00A02D65">
            <w:pPr>
              <w:jc w:val="center"/>
              <w:rPr>
                <w:b/>
                <w:sz w:val="20"/>
                <w:szCs w:val="20"/>
                <w:lang w:eastAsia="en-AU"/>
              </w:rPr>
            </w:pPr>
            <w:r w:rsidRPr="00F36214">
              <w:rPr>
                <w:b/>
                <w:sz w:val="20"/>
                <w:szCs w:val="20"/>
                <w:lang w:eastAsia="en-AU"/>
              </w:rPr>
              <w:t>2014-15 ($mil)</w:t>
            </w:r>
          </w:p>
        </w:tc>
      </w:tr>
      <w:tr w:rsidR="00AF656A" w:rsidRPr="00F36214" w:rsidTr="006A1E58">
        <w:trPr>
          <w:trHeight w:val="129"/>
        </w:trPr>
        <w:tc>
          <w:tcPr>
            <w:tcW w:w="8720" w:type="dxa"/>
            <w:gridSpan w:val="3"/>
            <w:shd w:val="clear" w:color="auto" w:fill="C6D9F1" w:themeFill="text2" w:themeFillTint="33"/>
            <w:hideMark/>
          </w:tcPr>
          <w:p w:rsidR="00AF656A" w:rsidRPr="00F36214" w:rsidRDefault="006754F7" w:rsidP="00A02D65">
            <w:pPr>
              <w:rPr>
                <w:sz w:val="20"/>
                <w:szCs w:val="20"/>
                <w:lang w:eastAsia="en-AU"/>
              </w:rPr>
            </w:pPr>
            <w:r w:rsidRPr="00F36214">
              <w:rPr>
                <w:sz w:val="20"/>
                <w:szCs w:val="20"/>
                <w:lang w:eastAsia="en-AU"/>
              </w:rPr>
              <w:t>Assessment</w:t>
            </w:r>
            <w:r w:rsidR="00AF656A" w:rsidRPr="00F36214">
              <w:rPr>
                <w:sz w:val="20"/>
                <w:szCs w:val="20"/>
                <w:lang w:eastAsia="en-AU"/>
              </w:rPr>
              <w:t xml:space="preserve"> on referral information </w:t>
            </w:r>
          </w:p>
        </w:tc>
      </w:tr>
      <w:tr w:rsidR="003F0A3E" w:rsidRPr="00F36214" w:rsidTr="00B67F3E">
        <w:trPr>
          <w:trHeight w:val="175"/>
        </w:trPr>
        <w:tc>
          <w:tcPr>
            <w:tcW w:w="868" w:type="dxa"/>
            <w:vMerge w:val="restart"/>
            <w:shd w:val="clear" w:color="auto" w:fill="auto"/>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w:t>
            </w:r>
            <w:r>
              <w:rPr>
                <w:sz w:val="20"/>
                <w:szCs w:val="20"/>
                <w:lang w:eastAsia="en-AU"/>
              </w:rPr>
              <w:t>10</w:t>
            </w:r>
          </w:p>
        </w:tc>
      </w:tr>
      <w:tr w:rsidR="003F0A3E" w:rsidRPr="00F36214" w:rsidTr="00B67F3E">
        <w:trPr>
          <w:trHeight w:val="221"/>
        </w:trPr>
        <w:tc>
          <w:tcPr>
            <w:tcW w:w="868" w:type="dxa"/>
            <w:vMerge/>
            <w:shd w:val="clear" w:color="auto" w:fill="auto"/>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w:t>
            </w:r>
            <w:r>
              <w:rPr>
                <w:sz w:val="20"/>
                <w:szCs w:val="20"/>
                <w:lang w:eastAsia="en-AU"/>
              </w:rPr>
              <w:t>10</w:t>
            </w:r>
          </w:p>
        </w:tc>
      </w:tr>
      <w:tr w:rsidR="003F0A3E" w:rsidRPr="00F36214" w:rsidTr="00B67F3E">
        <w:trPr>
          <w:trHeight w:val="253"/>
        </w:trPr>
        <w:tc>
          <w:tcPr>
            <w:tcW w:w="868" w:type="dxa"/>
            <w:vMerge/>
            <w:tcBorders>
              <w:bottom w:val="single" w:sz="8" w:space="0" w:color="548DD4" w:themeColor="text2" w:themeTint="99"/>
            </w:tcBorders>
            <w:shd w:val="clear" w:color="auto" w:fill="auto"/>
            <w:hideMark/>
          </w:tcPr>
          <w:p w:rsidR="003F0A3E" w:rsidRPr="00F36214" w:rsidRDefault="003F0A3E" w:rsidP="00A02D65">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AF656A" w:rsidRPr="00F36214" w:rsidTr="006A1E58">
        <w:trPr>
          <w:trHeight w:val="205"/>
        </w:trPr>
        <w:tc>
          <w:tcPr>
            <w:tcW w:w="8720" w:type="dxa"/>
            <w:gridSpan w:val="3"/>
            <w:shd w:val="clear" w:color="auto" w:fill="C6D9F1" w:themeFill="text2" w:themeFillTint="33"/>
            <w:hideMark/>
          </w:tcPr>
          <w:p w:rsidR="00AF656A" w:rsidRPr="00F36214" w:rsidRDefault="00AF656A" w:rsidP="00A02D65">
            <w:pPr>
              <w:rPr>
                <w:sz w:val="20"/>
                <w:szCs w:val="20"/>
                <w:lang w:eastAsia="en-AU"/>
              </w:rPr>
            </w:pPr>
            <w:r w:rsidRPr="00F36214">
              <w:rPr>
                <w:sz w:val="20"/>
                <w:szCs w:val="20"/>
                <w:lang w:eastAsia="en-AU"/>
              </w:rPr>
              <w:t xml:space="preserve">Preliminary documentation </w:t>
            </w:r>
          </w:p>
        </w:tc>
      </w:tr>
      <w:tr w:rsidR="003F0A3E" w:rsidRPr="00F36214" w:rsidTr="00B67F3E">
        <w:trPr>
          <w:trHeight w:val="175"/>
        </w:trPr>
        <w:tc>
          <w:tcPr>
            <w:tcW w:w="868" w:type="dxa"/>
            <w:vMerge w:val="restart"/>
            <w:shd w:val="clear" w:color="auto" w:fill="auto"/>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0.045</w:t>
            </w:r>
          </w:p>
        </w:tc>
      </w:tr>
      <w:tr w:rsidR="003F0A3E" w:rsidRPr="00F36214" w:rsidTr="00B67F3E">
        <w:trPr>
          <w:trHeight w:val="207"/>
        </w:trPr>
        <w:tc>
          <w:tcPr>
            <w:tcW w:w="868" w:type="dxa"/>
            <w:vMerge/>
            <w:shd w:val="clear" w:color="auto" w:fill="auto"/>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0.045</w:t>
            </w:r>
          </w:p>
        </w:tc>
      </w:tr>
      <w:tr w:rsidR="003F0A3E" w:rsidRPr="00F36214" w:rsidTr="00B67F3E">
        <w:trPr>
          <w:trHeight w:val="125"/>
        </w:trPr>
        <w:tc>
          <w:tcPr>
            <w:tcW w:w="868" w:type="dxa"/>
            <w:vMerge/>
            <w:tcBorders>
              <w:bottom w:val="single" w:sz="8" w:space="0" w:color="548DD4" w:themeColor="text2" w:themeTint="99"/>
            </w:tcBorders>
            <w:shd w:val="clear" w:color="auto" w:fill="auto"/>
            <w:hideMark/>
          </w:tcPr>
          <w:p w:rsidR="003F0A3E" w:rsidRPr="00F36214" w:rsidRDefault="003F0A3E" w:rsidP="00A02D65">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AF656A" w:rsidRPr="00F36214" w:rsidTr="006A1E58">
        <w:trPr>
          <w:trHeight w:val="95"/>
        </w:trPr>
        <w:tc>
          <w:tcPr>
            <w:tcW w:w="8720" w:type="dxa"/>
            <w:gridSpan w:val="3"/>
            <w:shd w:val="clear" w:color="auto" w:fill="C6D9F1" w:themeFill="text2" w:themeFillTint="33"/>
            <w:hideMark/>
          </w:tcPr>
          <w:p w:rsidR="00AF656A" w:rsidRPr="00F36214" w:rsidRDefault="00AF656A" w:rsidP="00A02D65">
            <w:pPr>
              <w:rPr>
                <w:sz w:val="20"/>
                <w:szCs w:val="20"/>
                <w:lang w:eastAsia="en-AU"/>
              </w:rPr>
            </w:pPr>
            <w:r w:rsidRPr="00F36214">
              <w:rPr>
                <w:sz w:val="20"/>
                <w:szCs w:val="20"/>
                <w:lang w:eastAsia="en-AU"/>
              </w:rPr>
              <w:t xml:space="preserve">Environmental impact statement </w:t>
            </w:r>
          </w:p>
        </w:tc>
      </w:tr>
      <w:tr w:rsidR="003F0A3E" w:rsidRPr="00F36214" w:rsidTr="00B67F3E">
        <w:trPr>
          <w:trHeight w:val="203"/>
        </w:trPr>
        <w:tc>
          <w:tcPr>
            <w:tcW w:w="868" w:type="dxa"/>
            <w:vMerge w:val="restart"/>
            <w:shd w:val="clear" w:color="auto" w:fill="auto"/>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249"/>
        </w:trPr>
        <w:tc>
          <w:tcPr>
            <w:tcW w:w="868" w:type="dxa"/>
            <w:vMerge/>
            <w:shd w:val="clear" w:color="auto" w:fill="auto"/>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124"/>
        </w:trPr>
        <w:tc>
          <w:tcPr>
            <w:tcW w:w="868" w:type="dxa"/>
            <w:vMerge/>
            <w:tcBorders>
              <w:bottom w:val="single" w:sz="8" w:space="0" w:color="548DD4" w:themeColor="text2" w:themeTint="99"/>
            </w:tcBorders>
            <w:shd w:val="clear" w:color="auto" w:fill="auto"/>
            <w:hideMark/>
          </w:tcPr>
          <w:p w:rsidR="003F0A3E" w:rsidRPr="00F36214" w:rsidRDefault="003F0A3E" w:rsidP="00A02D65">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6754F7" w:rsidRPr="00F36214" w:rsidTr="006A1E58">
        <w:trPr>
          <w:trHeight w:val="95"/>
        </w:trPr>
        <w:tc>
          <w:tcPr>
            <w:tcW w:w="8720" w:type="dxa"/>
            <w:gridSpan w:val="3"/>
            <w:shd w:val="clear" w:color="auto" w:fill="C6D9F1" w:themeFill="text2" w:themeFillTint="33"/>
            <w:hideMark/>
          </w:tcPr>
          <w:p w:rsidR="006754F7" w:rsidRPr="00F36214" w:rsidRDefault="006754F7" w:rsidP="006754F7">
            <w:pPr>
              <w:rPr>
                <w:sz w:val="20"/>
                <w:szCs w:val="20"/>
                <w:lang w:eastAsia="en-AU"/>
              </w:rPr>
            </w:pPr>
            <w:r w:rsidRPr="00F36214">
              <w:rPr>
                <w:sz w:val="20"/>
                <w:szCs w:val="20"/>
                <w:lang w:eastAsia="en-AU"/>
              </w:rPr>
              <w:t xml:space="preserve">Public environment report </w:t>
            </w:r>
          </w:p>
        </w:tc>
      </w:tr>
      <w:tr w:rsidR="003F0A3E" w:rsidRPr="00F36214" w:rsidTr="00B67F3E">
        <w:trPr>
          <w:trHeight w:val="203"/>
        </w:trPr>
        <w:tc>
          <w:tcPr>
            <w:tcW w:w="868" w:type="dxa"/>
            <w:vMerge w:val="restart"/>
            <w:shd w:val="clear" w:color="auto" w:fill="auto"/>
            <w:hideMark/>
          </w:tcPr>
          <w:p w:rsidR="003F0A3E" w:rsidRPr="00F36214" w:rsidRDefault="003F0A3E" w:rsidP="006754F7">
            <w:pPr>
              <w:rPr>
                <w:sz w:val="20"/>
                <w:szCs w:val="20"/>
                <w:lang w:eastAsia="en-AU"/>
              </w:rPr>
            </w:pPr>
            <w:r w:rsidRPr="00F36214">
              <w:rPr>
                <w:sz w:val="20"/>
                <w:szCs w:val="20"/>
                <w:lang w:eastAsia="en-AU"/>
              </w:rPr>
              <w:t> </w:t>
            </w:r>
          </w:p>
          <w:p w:rsidR="003F0A3E" w:rsidRPr="00F36214" w:rsidRDefault="003F0A3E" w:rsidP="006754F7">
            <w:pPr>
              <w:rPr>
                <w:sz w:val="20"/>
                <w:szCs w:val="20"/>
                <w:lang w:eastAsia="en-AU"/>
              </w:rPr>
            </w:pPr>
            <w:r w:rsidRPr="00F36214">
              <w:rPr>
                <w:sz w:val="20"/>
                <w:szCs w:val="20"/>
                <w:lang w:eastAsia="en-AU"/>
              </w:rPr>
              <w:t> </w:t>
            </w:r>
          </w:p>
          <w:p w:rsidR="003F0A3E" w:rsidRPr="00F36214" w:rsidRDefault="003F0A3E" w:rsidP="006754F7">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6754F7">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249"/>
        </w:trPr>
        <w:tc>
          <w:tcPr>
            <w:tcW w:w="868" w:type="dxa"/>
            <w:vMerge/>
            <w:shd w:val="clear" w:color="auto" w:fill="auto"/>
            <w:hideMark/>
          </w:tcPr>
          <w:p w:rsidR="003F0A3E" w:rsidRPr="00F36214" w:rsidRDefault="003F0A3E" w:rsidP="006754F7">
            <w:pPr>
              <w:rPr>
                <w:sz w:val="20"/>
                <w:szCs w:val="20"/>
                <w:lang w:eastAsia="en-AU"/>
              </w:rPr>
            </w:pPr>
          </w:p>
        </w:tc>
        <w:tc>
          <w:tcPr>
            <w:tcW w:w="2835" w:type="dxa"/>
            <w:shd w:val="clear" w:color="auto" w:fill="auto"/>
            <w:vAlign w:val="bottom"/>
            <w:hideMark/>
          </w:tcPr>
          <w:p w:rsidR="003F0A3E" w:rsidRPr="00F36214" w:rsidRDefault="003F0A3E" w:rsidP="006754F7">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124"/>
        </w:trPr>
        <w:tc>
          <w:tcPr>
            <w:tcW w:w="868" w:type="dxa"/>
            <w:vMerge/>
            <w:tcBorders>
              <w:bottom w:val="single" w:sz="8" w:space="0" w:color="548DD4" w:themeColor="text2" w:themeTint="99"/>
            </w:tcBorders>
            <w:shd w:val="clear" w:color="auto" w:fill="auto"/>
            <w:hideMark/>
          </w:tcPr>
          <w:p w:rsidR="003F0A3E" w:rsidRPr="00F36214" w:rsidRDefault="003F0A3E" w:rsidP="006754F7">
            <w:pPr>
              <w:rPr>
                <w:sz w:val="20"/>
                <w:szCs w:val="20"/>
                <w:lang w:eastAsia="en-AU"/>
              </w:rPr>
            </w:pPr>
          </w:p>
        </w:tc>
        <w:tc>
          <w:tcPr>
            <w:tcW w:w="2835" w:type="dxa"/>
            <w:tcBorders>
              <w:bottom w:val="single" w:sz="8" w:space="0" w:color="548DD4" w:themeColor="text2" w:themeTint="99"/>
            </w:tcBorders>
            <w:shd w:val="clear" w:color="auto" w:fill="auto"/>
            <w:vAlign w:val="bottom"/>
            <w:hideMark/>
          </w:tcPr>
          <w:p w:rsidR="003F0A3E" w:rsidRPr="00F36214" w:rsidRDefault="003F0A3E" w:rsidP="006754F7">
            <w:pPr>
              <w:rPr>
                <w:sz w:val="20"/>
                <w:szCs w:val="20"/>
                <w:lang w:eastAsia="en-AU"/>
              </w:rPr>
            </w:pPr>
            <w:r w:rsidRPr="00F36214">
              <w:rPr>
                <w:sz w:val="20"/>
                <w:szCs w:val="20"/>
                <w:lang w:eastAsia="en-AU"/>
              </w:rPr>
              <w:t>Balance +/-</w:t>
            </w:r>
          </w:p>
        </w:tc>
        <w:tc>
          <w:tcPr>
            <w:tcW w:w="5017" w:type="dxa"/>
            <w:tcBorders>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AF656A" w:rsidRPr="00F36214" w:rsidTr="006A1E58">
        <w:trPr>
          <w:trHeight w:val="140"/>
        </w:trPr>
        <w:tc>
          <w:tcPr>
            <w:tcW w:w="8720" w:type="dxa"/>
            <w:gridSpan w:val="3"/>
            <w:shd w:val="clear" w:color="auto" w:fill="C6D9F1" w:themeFill="text2" w:themeFillTint="33"/>
            <w:hideMark/>
          </w:tcPr>
          <w:p w:rsidR="00AF656A" w:rsidRPr="00F36214" w:rsidRDefault="00AF656A" w:rsidP="00A02D65">
            <w:pPr>
              <w:rPr>
                <w:sz w:val="20"/>
                <w:szCs w:val="20"/>
                <w:lang w:eastAsia="en-AU"/>
              </w:rPr>
            </w:pPr>
            <w:r w:rsidRPr="00F36214">
              <w:rPr>
                <w:sz w:val="20"/>
                <w:szCs w:val="20"/>
                <w:lang w:eastAsia="en-AU"/>
              </w:rPr>
              <w:t>Bilateral agreement / Accredited assessment</w:t>
            </w:r>
          </w:p>
        </w:tc>
      </w:tr>
      <w:tr w:rsidR="003F0A3E" w:rsidRPr="00F36214" w:rsidTr="00B67F3E">
        <w:trPr>
          <w:trHeight w:val="203"/>
        </w:trPr>
        <w:tc>
          <w:tcPr>
            <w:tcW w:w="868" w:type="dxa"/>
            <w:vMerge w:val="restart"/>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p w:rsidR="003F0A3E" w:rsidRPr="00F36214" w:rsidRDefault="003F0A3E" w:rsidP="00A02D65">
            <w:pPr>
              <w:rPr>
                <w:sz w:val="20"/>
                <w:szCs w:val="20"/>
                <w:lang w:eastAsia="en-AU"/>
              </w:rPr>
            </w:pPr>
            <w:r w:rsidRPr="00F36214">
              <w:rPr>
                <w:sz w:val="20"/>
                <w:szCs w:val="20"/>
                <w:lang w:eastAsia="en-AU"/>
              </w:rPr>
              <w:t> </w:t>
            </w: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Expense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107"/>
        </w:trPr>
        <w:tc>
          <w:tcPr>
            <w:tcW w:w="868" w:type="dxa"/>
            <w:vMerge/>
            <w:shd w:val="clear" w:color="auto" w:fill="auto"/>
            <w:vAlign w:val="bottom"/>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Revenue</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167"/>
        </w:trPr>
        <w:tc>
          <w:tcPr>
            <w:tcW w:w="868" w:type="dxa"/>
            <w:vMerge/>
            <w:shd w:val="clear" w:color="auto" w:fill="auto"/>
            <w:vAlign w:val="bottom"/>
            <w:hideMark/>
          </w:tcPr>
          <w:p w:rsidR="003F0A3E" w:rsidRPr="00F36214" w:rsidRDefault="003F0A3E" w:rsidP="00A02D65">
            <w:pPr>
              <w:rPr>
                <w:sz w:val="20"/>
                <w:szCs w:val="20"/>
                <w:lang w:eastAsia="en-AU"/>
              </w:rPr>
            </w:pPr>
          </w:p>
        </w:tc>
        <w:tc>
          <w:tcPr>
            <w:tcW w:w="2835" w:type="dxa"/>
            <w:shd w:val="clear" w:color="auto" w:fill="auto"/>
            <w:vAlign w:val="bottom"/>
            <w:hideMark/>
          </w:tcPr>
          <w:p w:rsidR="003F0A3E" w:rsidRPr="00F36214" w:rsidRDefault="003F0A3E" w:rsidP="00A02D65">
            <w:pPr>
              <w:rPr>
                <w:sz w:val="20"/>
                <w:szCs w:val="20"/>
                <w:lang w:eastAsia="en-AU"/>
              </w:rPr>
            </w:pPr>
            <w:r w:rsidRPr="00F36214">
              <w:rPr>
                <w:sz w:val="20"/>
                <w:szCs w:val="20"/>
                <w:lang w:eastAsia="en-AU"/>
              </w:rPr>
              <w:t>Balance +/-</w:t>
            </w:r>
          </w:p>
        </w:tc>
        <w:tc>
          <w:tcPr>
            <w:tcW w:w="5017" w:type="dxa"/>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bl>
    <w:p w:rsidR="00553677" w:rsidRPr="00F36214" w:rsidRDefault="00553677" w:rsidP="00AF656A">
      <w:pPr>
        <w:pStyle w:val="Caption"/>
        <w:keepNext/>
      </w:pPr>
      <w:bookmarkStart w:id="676" w:name="_Ref346283256"/>
    </w:p>
    <w:p w:rsidR="00E5692F" w:rsidRPr="00F36214" w:rsidRDefault="00E5692F" w:rsidP="00E5692F"/>
    <w:p w:rsidR="00E5692F" w:rsidRPr="00F36214" w:rsidRDefault="00E5692F" w:rsidP="00E5692F"/>
    <w:p w:rsidR="00E5692F" w:rsidRPr="00F36214" w:rsidRDefault="00E5692F" w:rsidP="00E5692F"/>
    <w:p w:rsidR="00E5692F" w:rsidRPr="00F36214" w:rsidRDefault="00E5692F" w:rsidP="00E5692F"/>
    <w:p w:rsidR="000B573E" w:rsidRPr="00F36214" w:rsidRDefault="000B573E">
      <w:pPr>
        <w:pStyle w:val="Caption"/>
      </w:pPr>
    </w:p>
    <w:p w:rsidR="000B573E" w:rsidRPr="00F36214" w:rsidRDefault="000B573E">
      <w:pPr>
        <w:pStyle w:val="Caption"/>
      </w:pPr>
    </w:p>
    <w:p w:rsidR="000B573E" w:rsidRPr="00F36214" w:rsidRDefault="00EF3F01">
      <w:pPr>
        <w:pStyle w:val="Caption"/>
      </w:pPr>
      <w:bookmarkStart w:id="677" w:name="_Ref387073213"/>
      <w:bookmarkStart w:id="678" w:name="_Toc387073283"/>
      <w:bookmarkStart w:id="679" w:name="_Toc391541666"/>
      <w:proofErr w:type="gramStart"/>
      <w:r w:rsidRPr="00F36214">
        <w:lastRenderedPageBreak/>
        <w:t xml:space="preserve">Table </w:t>
      </w:r>
      <w:r w:rsidR="00D30427" w:rsidRPr="00F36214">
        <w:fldChar w:fldCharType="begin"/>
      </w:r>
      <w:r w:rsidRPr="00F36214">
        <w:instrText xml:space="preserve"> SEQ Table \* ARABIC </w:instrText>
      </w:r>
      <w:r w:rsidR="00D30427" w:rsidRPr="00F36214">
        <w:fldChar w:fldCharType="separate"/>
      </w:r>
      <w:r w:rsidR="001D521C">
        <w:rPr>
          <w:noProof/>
        </w:rPr>
        <w:t>22</w:t>
      </w:r>
      <w:r w:rsidR="00D30427" w:rsidRPr="00F36214">
        <w:fldChar w:fldCharType="end"/>
      </w:r>
      <w:bookmarkEnd w:id="677"/>
      <w:r w:rsidRPr="00F36214">
        <w:t>.</w:t>
      </w:r>
      <w:proofErr w:type="gramEnd"/>
      <w:r w:rsidRPr="00F36214">
        <w:t xml:space="preserve"> Contingent fees (expenses and revenue summary)</w:t>
      </w:r>
      <w:bookmarkEnd w:id="678"/>
      <w:bookmarkEnd w:id="679"/>
    </w:p>
    <w:tbl>
      <w:tblPr>
        <w:tblW w:w="7939" w:type="dxa"/>
        <w:tblInd w:w="91" w:type="dxa"/>
        <w:tbl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insideH w:val="single" w:sz="8" w:space="0" w:color="5F497A" w:themeColor="accent4" w:themeShade="BF"/>
          <w:insideV w:val="single" w:sz="8" w:space="0" w:color="5F497A" w:themeColor="accent4" w:themeShade="BF"/>
        </w:tblBorders>
        <w:tblLook w:val="04A0"/>
      </w:tblPr>
      <w:tblGrid>
        <w:gridCol w:w="868"/>
        <w:gridCol w:w="2551"/>
        <w:gridCol w:w="4520"/>
      </w:tblGrid>
      <w:tr w:rsidR="00E5692F" w:rsidRPr="00F36214" w:rsidTr="006A1E58">
        <w:trPr>
          <w:trHeight w:val="668"/>
        </w:trPr>
        <w:tc>
          <w:tcPr>
            <w:tcW w:w="3419" w:type="dxa"/>
            <w:gridSpan w:val="2"/>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E5692F" w:rsidRPr="00F36214" w:rsidRDefault="00E5692F" w:rsidP="00E5692F">
            <w:pPr>
              <w:jc w:val="center"/>
              <w:rPr>
                <w:b/>
                <w:sz w:val="20"/>
                <w:szCs w:val="20"/>
                <w:lang w:eastAsia="en-AU"/>
              </w:rPr>
            </w:pPr>
            <w:r w:rsidRPr="00F36214">
              <w:rPr>
                <w:b/>
                <w:sz w:val="20"/>
                <w:szCs w:val="20"/>
                <w:lang w:eastAsia="en-AU"/>
              </w:rPr>
              <w:t>Contingent fees</w:t>
            </w:r>
          </w:p>
        </w:tc>
        <w:tc>
          <w:tcPr>
            <w:tcW w:w="452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E5692F" w:rsidRPr="00F36214" w:rsidRDefault="00E5692F" w:rsidP="00E5692F">
            <w:pPr>
              <w:jc w:val="center"/>
              <w:rPr>
                <w:b/>
                <w:sz w:val="20"/>
                <w:szCs w:val="20"/>
                <w:lang w:eastAsia="en-AU"/>
              </w:rPr>
            </w:pPr>
            <w:r w:rsidRPr="00F36214">
              <w:rPr>
                <w:b/>
                <w:sz w:val="20"/>
                <w:szCs w:val="20"/>
                <w:lang w:eastAsia="en-AU"/>
              </w:rPr>
              <w:t>2014-15 ($mil)</w:t>
            </w:r>
          </w:p>
        </w:tc>
      </w:tr>
      <w:tr w:rsidR="00E5692F" w:rsidRPr="00F36214" w:rsidTr="006A1E58">
        <w:trPr>
          <w:trHeight w:val="129"/>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E5692F" w:rsidP="00E5692F">
            <w:pPr>
              <w:rPr>
                <w:sz w:val="20"/>
                <w:szCs w:val="20"/>
                <w:lang w:eastAsia="en-AU"/>
              </w:rPr>
            </w:pPr>
            <w:r w:rsidRPr="00F36214">
              <w:rPr>
                <w:sz w:val="20"/>
                <w:szCs w:val="20"/>
                <w:lang w:eastAsia="en-AU"/>
              </w:rPr>
              <w:t xml:space="preserve">Request additional information </w:t>
            </w:r>
          </w:p>
        </w:tc>
      </w:tr>
      <w:tr w:rsidR="003F0A3E" w:rsidRPr="00F36214" w:rsidTr="00B67F3E">
        <w:trPr>
          <w:trHeight w:val="175"/>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0.356</w:t>
            </w:r>
          </w:p>
        </w:tc>
      </w:tr>
      <w:tr w:rsidR="003F0A3E" w:rsidRPr="00F36214" w:rsidTr="00B67F3E">
        <w:trPr>
          <w:trHeight w:val="221"/>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0.356</w:t>
            </w:r>
          </w:p>
        </w:tc>
      </w:tr>
      <w:tr w:rsidR="003F0A3E" w:rsidRPr="00F36214" w:rsidTr="00B67F3E">
        <w:trPr>
          <w:trHeight w:val="253"/>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E5692F" w:rsidRPr="00F36214" w:rsidTr="006A1E58">
        <w:trPr>
          <w:trHeight w:val="205"/>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E5692F" w:rsidP="002E0B96">
            <w:pPr>
              <w:rPr>
                <w:sz w:val="20"/>
                <w:szCs w:val="20"/>
                <w:lang w:eastAsia="en-AU"/>
              </w:rPr>
            </w:pPr>
            <w:r w:rsidRPr="00F36214">
              <w:rPr>
                <w:sz w:val="20"/>
                <w:szCs w:val="20"/>
                <w:lang w:eastAsia="en-AU"/>
              </w:rPr>
              <w:t>Request additional information (</w:t>
            </w:r>
            <w:r w:rsidR="002E0B96" w:rsidRPr="00F36214">
              <w:rPr>
                <w:sz w:val="20"/>
                <w:szCs w:val="20"/>
                <w:lang w:eastAsia="en-AU"/>
              </w:rPr>
              <w:t>public environment report/environmental impact assessment</w:t>
            </w:r>
            <w:r w:rsidRPr="00F36214">
              <w:rPr>
                <w:sz w:val="20"/>
                <w:szCs w:val="20"/>
                <w:lang w:eastAsia="en-AU"/>
              </w:rPr>
              <w:t>)</w:t>
            </w:r>
          </w:p>
        </w:tc>
      </w:tr>
      <w:tr w:rsidR="003F0A3E" w:rsidRPr="00F36214" w:rsidTr="00B67F3E">
        <w:trPr>
          <w:trHeight w:val="175"/>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20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3F0A3E" w:rsidRPr="00F36214" w:rsidTr="00B67F3E">
        <w:trPr>
          <w:trHeight w:val="125"/>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w:t>
            </w:r>
          </w:p>
        </w:tc>
      </w:tr>
      <w:tr w:rsidR="00E5692F" w:rsidRPr="00F36214" w:rsidTr="006A1E58">
        <w:trPr>
          <w:trHeight w:val="95"/>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725E9B" w:rsidP="00E5692F">
            <w:pPr>
              <w:rPr>
                <w:sz w:val="20"/>
                <w:szCs w:val="20"/>
                <w:lang w:eastAsia="en-AU"/>
              </w:rPr>
            </w:pPr>
            <w:r w:rsidRPr="00F36214">
              <w:rPr>
                <w:sz w:val="20"/>
                <w:szCs w:val="20"/>
                <w:lang w:eastAsia="en-AU"/>
              </w:rPr>
              <w:t xml:space="preserve">Reconsideration request (from the </w:t>
            </w:r>
            <w:r w:rsidR="00B64DB5" w:rsidRPr="00F36214">
              <w:rPr>
                <w:sz w:val="20"/>
                <w:szCs w:val="20"/>
                <w:lang w:eastAsia="en-AU"/>
              </w:rPr>
              <w:t>applicant</w:t>
            </w:r>
            <w:r w:rsidRPr="00F36214">
              <w:rPr>
                <w:sz w:val="20"/>
                <w:szCs w:val="20"/>
                <w:lang w:eastAsia="en-AU"/>
              </w:rPr>
              <w:t xml:space="preserve"> of the action)</w:t>
            </w:r>
            <w:r w:rsidR="00E5692F" w:rsidRPr="00F36214">
              <w:rPr>
                <w:sz w:val="20"/>
                <w:szCs w:val="20"/>
                <w:lang w:eastAsia="en-AU"/>
              </w:rPr>
              <w:t xml:space="preserve"> </w:t>
            </w:r>
          </w:p>
        </w:tc>
      </w:tr>
      <w:tr w:rsidR="003F0A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p w:rsidR="003F0A3E" w:rsidRPr="00F36214" w:rsidRDefault="003F0A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3F0A3E" w:rsidRPr="00F36214" w:rsidRDefault="003F0A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3F0A3E" w:rsidRPr="00F36214" w:rsidRDefault="003F0A3E" w:rsidP="003F0A3E">
            <w:pPr>
              <w:ind w:right="373"/>
              <w:jc w:val="center"/>
              <w:rPr>
                <w:sz w:val="20"/>
                <w:szCs w:val="20"/>
                <w:lang w:eastAsia="en-AU"/>
              </w:rPr>
            </w:pPr>
            <w:r w:rsidRPr="00F36214">
              <w:rPr>
                <w:sz w:val="20"/>
                <w:szCs w:val="20"/>
                <w:lang w:eastAsia="en-AU"/>
              </w:rPr>
              <w:t>0.082</w:t>
            </w:r>
          </w:p>
        </w:tc>
      </w:tr>
      <w:tr w:rsidR="00B67F3E" w:rsidRPr="00F36214" w:rsidTr="00B67F3E">
        <w:trPr>
          <w:trHeight w:val="249"/>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0.082</w:t>
            </w:r>
          </w:p>
        </w:tc>
      </w:tr>
      <w:tr w:rsidR="00B67F3E" w:rsidRPr="00F36214" w:rsidTr="00B67F3E">
        <w:trPr>
          <w:trHeight w:val="124"/>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E5692F" w:rsidRPr="00F36214" w:rsidTr="006A1E58">
        <w:trPr>
          <w:trHeight w:val="95"/>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725E9B" w:rsidP="00E5692F">
            <w:pPr>
              <w:rPr>
                <w:sz w:val="20"/>
                <w:szCs w:val="20"/>
                <w:lang w:eastAsia="en-AU"/>
              </w:rPr>
            </w:pPr>
            <w:r w:rsidRPr="00F36214">
              <w:rPr>
                <w:sz w:val="20"/>
                <w:szCs w:val="20"/>
                <w:lang w:eastAsia="en-AU"/>
              </w:rPr>
              <w:t>Variation of conditions</w:t>
            </w:r>
            <w:r w:rsidR="00E5692F" w:rsidRPr="00F36214">
              <w:rPr>
                <w:sz w:val="20"/>
                <w:szCs w:val="20"/>
                <w:lang w:eastAsia="en-AU"/>
              </w:rPr>
              <w:t xml:space="preserve"> </w:t>
            </w:r>
          </w:p>
        </w:tc>
      </w:tr>
      <w:tr w:rsidR="00B67F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r>
              <w:rPr>
                <w:sz w:val="20"/>
                <w:szCs w:val="20"/>
                <w:lang w:eastAsia="en-AU"/>
              </w:rPr>
              <w:t>0</w:t>
            </w:r>
            <w:r w:rsidRPr="00F36214">
              <w:rPr>
                <w:sz w:val="20"/>
                <w:szCs w:val="20"/>
                <w:lang w:eastAsia="en-AU"/>
              </w:rPr>
              <w:t>60</w:t>
            </w:r>
          </w:p>
        </w:tc>
      </w:tr>
      <w:tr w:rsidR="00B67F3E" w:rsidRPr="00F36214" w:rsidTr="00B67F3E">
        <w:trPr>
          <w:trHeight w:val="249"/>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r>
              <w:rPr>
                <w:sz w:val="20"/>
                <w:szCs w:val="20"/>
                <w:lang w:eastAsia="en-AU"/>
              </w:rPr>
              <w:t>0</w:t>
            </w:r>
            <w:r w:rsidRPr="00F36214">
              <w:rPr>
                <w:sz w:val="20"/>
                <w:szCs w:val="20"/>
                <w:lang w:eastAsia="en-AU"/>
              </w:rPr>
              <w:t>60</w:t>
            </w:r>
          </w:p>
        </w:tc>
      </w:tr>
      <w:tr w:rsidR="00B67F3E" w:rsidRPr="00F36214" w:rsidTr="00B67F3E">
        <w:trPr>
          <w:trHeight w:val="124"/>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E5692F" w:rsidRPr="00F36214" w:rsidTr="006A1E58">
        <w:trPr>
          <w:trHeight w:val="140"/>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E5692F" w:rsidRPr="00F36214" w:rsidRDefault="00725E9B" w:rsidP="00E5692F">
            <w:pPr>
              <w:rPr>
                <w:sz w:val="20"/>
                <w:szCs w:val="20"/>
                <w:lang w:eastAsia="en-AU"/>
              </w:rPr>
            </w:pPr>
            <w:r w:rsidRPr="00F36214">
              <w:rPr>
                <w:sz w:val="20"/>
                <w:szCs w:val="20"/>
                <w:lang w:eastAsia="en-AU"/>
              </w:rPr>
              <w:t>Variation of a post approval action management plan under conditions of approval</w:t>
            </w:r>
          </w:p>
        </w:tc>
      </w:tr>
      <w:tr w:rsidR="00B67F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p w:rsidR="00B67F3E" w:rsidRPr="00F36214" w:rsidRDefault="00B67F3E" w:rsidP="00E5692F">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0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6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E5692F">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725E9B" w:rsidRPr="00F36214" w:rsidTr="006A1E58">
        <w:trPr>
          <w:trHeight w:val="140"/>
        </w:trPr>
        <w:tc>
          <w:tcPr>
            <w:tcW w:w="7939" w:type="dxa"/>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C6D9F1" w:themeFill="text2" w:themeFillTint="33"/>
            <w:hideMark/>
          </w:tcPr>
          <w:p w:rsidR="00725E9B" w:rsidRPr="00F36214" w:rsidRDefault="00725E9B" w:rsidP="00042D4D">
            <w:pPr>
              <w:rPr>
                <w:sz w:val="20"/>
                <w:szCs w:val="20"/>
                <w:lang w:eastAsia="en-AU"/>
              </w:rPr>
            </w:pPr>
            <w:r w:rsidRPr="00F36214">
              <w:rPr>
                <w:sz w:val="20"/>
                <w:szCs w:val="20"/>
                <w:lang w:eastAsia="en-AU"/>
              </w:rPr>
              <w:t>Administrative variation of a post approval action management plan under conditions of approval</w:t>
            </w:r>
          </w:p>
        </w:tc>
      </w:tr>
      <w:tr w:rsidR="00B67F3E" w:rsidRPr="00F36214" w:rsidTr="00B67F3E">
        <w:trPr>
          <w:trHeight w:val="203"/>
        </w:trPr>
        <w:tc>
          <w:tcPr>
            <w:tcW w:w="868" w:type="dxa"/>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 </w:t>
            </w:r>
          </w:p>
          <w:p w:rsidR="00B67F3E" w:rsidRPr="00F36214" w:rsidRDefault="00B67F3E" w:rsidP="00042D4D">
            <w:pPr>
              <w:rPr>
                <w:sz w:val="20"/>
                <w:szCs w:val="20"/>
                <w:lang w:eastAsia="en-AU"/>
              </w:rPr>
            </w:pPr>
            <w:r w:rsidRPr="00F36214">
              <w:rPr>
                <w:sz w:val="20"/>
                <w:szCs w:val="20"/>
                <w:lang w:eastAsia="en-AU"/>
              </w:rPr>
              <w:t> </w:t>
            </w:r>
          </w:p>
          <w:p w:rsidR="00B67F3E" w:rsidRPr="00F36214" w:rsidRDefault="00B67F3E" w:rsidP="00042D4D">
            <w:pPr>
              <w:rPr>
                <w:sz w:val="20"/>
                <w:szCs w:val="20"/>
                <w:lang w:eastAsia="en-AU"/>
              </w:rPr>
            </w:pPr>
            <w:r w:rsidRPr="00F36214">
              <w:rPr>
                <w:sz w:val="20"/>
                <w:szCs w:val="20"/>
                <w:lang w:eastAsia="en-AU"/>
              </w:rPr>
              <w:t> </w:t>
            </w: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Expense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0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Revenue</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r w:rsidR="00B67F3E" w:rsidRPr="00F36214" w:rsidTr="00B67F3E">
        <w:trPr>
          <w:trHeight w:val="167"/>
        </w:trPr>
        <w:tc>
          <w:tcPr>
            <w:tcW w:w="868" w:type="dxa"/>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p>
        </w:tc>
        <w:tc>
          <w:tcPr>
            <w:tcW w:w="2551" w:type="dxa"/>
            <w:tcBorders>
              <w:top w:val="single" w:sz="8" w:space="0" w:color="548DD4" w:themeColor="text2" w:themeTint="99"/>
              <w:left w:val="nil"/>
              <w:bottom w:val="single" w:sz="8" w:space="0" w:color="548DD4" w:themeColor="text2" w:themeTint="99"/>
              <w:right w:val="nil"/>
            </w:tcBorders>
            <w:shd w:val="clear" w:color="auto" w:fill="auto"/>
            <w:vAlign w:val="bottom"/>
            <w:hideMark/>
          </w:tcPr>
          <w:p w:rsidR="00B67F3E" w:rsidRPr="00F36214" w:rsidRDefault="00B67F3E" w:rsidP="00042D4D">
            <w:pPr>
              <w:rPr>
                <w:sz w:val="20"/>
                <w:szCs w:val="20"/>
                <w:lang w:eastAsia="en-AU"/>
              </w:rPr>
            </w:pPr>
            <w:r w:rsidRPr="00F36214">
              <w:rPr>
                <w:sz w:val="20"/>
                <w:szCs w:val="20"/>
                <w:lang w:eastAsia="en-AU"/>
              </w:rPr>
              <w:t>Balance +/-</w:t>
            </w:r>
          </w:p>
        </w:tc>
        <w:tc>
          <w:tcPr>
            <w:tcW w:w="452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B67F3E" w:rsidRPr="00F36214" w:rsidRDefault="00B67F3E" w:rsidP="00B67F3E">
            <w:pPr>
              <w:ind w:right="373"/>
              <w:jc w:val="center"/>
              <w:rPr>
                <w:sz w:val="20"/>
                <w:szCs w:val="20"/>
                <w:lang w:eastAsia="en-AU"/>
              </w:rPr>
            </w:pPr>
            <w:r w:rsidRPr="00F36214">
              <w:rPr>
                <w:sz w:val="20"/>
                <w:szCs w:val="20"/>
                <w:lang w:eastAsia="en-AU"/>
              </w:rPr>
              <w:t>0</w:t>
            </w:r>
          </w:p>
        </w:tc>
      </w:tr>
    </w:tbl>
    <w:p w:rsidR="00553677" w:rsidRPr="00F36214" w:rsidRDefault="00553677" w:rsidP="00AF656A">
      <w:pPr>
        <w:pStyle w:val="Caption"/>
        <w:keepNext/>
      </w:pPr>
    </w:p>
    <w:p w:rsidR="00553677" w:rsidRPr="00F36214" w:rsidRDefault="00553677" w:rsidP="00553677"/>
    <w:p w:rsidR="00E5692F" w:rsidRPr="00F36214" w:rsidRDefault="00E5692F" w:rsidP="00553677"/>
    <w:p w:rsidR="000B573E" w:rsidRPr="00F36214" w:rsidRDefault="00EF3F01">
      <w:pPr>
        <w:pStyle w:val="Caption"/>
      </w:pPr>
      <w:bookmarkStart w:id="680" w:name="_Ref387073216"/>
      <w:bookmarkStart w:id="681" w:name="_Toc387073284"/>
      <w:bookmarkStart w:id="682" w:name="_Toc391541667"/>
      <w:bookmarkEnd w:id="676"/>
      <w:proofErr w:type="gramStart"/>
      <w:r w:rsidRPr="00F36214">
        <w:t xml:space="preserve">Table </w:t>
      </w:r>
      <w:r w:rsidR="00D30427" w:rsidRPr="00F36214">
        <w:fldChar w:fldCharType="begin"/>
      </w:r>
      <w:r w:rsidRPr="00F36214">
        <w:instrText xml:space="preserve"> SEQ Table \* ARABIC </w:instrText>
      </w:r>
      <w:r w:rsidR="00D30427" w:rsidRPr="00F36214">
        <w:fldChar w:fldCharType="separate"/>
      </w:r>
      <w:r w:rsidR="001D521C">
        <w:rPr>
          <w:noProof/>
        </w:rPr>
        <w:t>23</w:t>
      </w:r>
      <w:r w:rsidR="00D30427" w:rsidRPr="00F36214">
        <w:fldChar w:fldCharType="end"/>
      </w:r>
      <w:bookmarkEnd w:id="680"/>
      <w:r w:rsidRPr="00F36214">
        <w:t>.</w:t>
      </w:r>
      <w:proofErr w:type="gramEnd"/>
      <w:r w:rsidRPr="00F36214">
        <w:t xml:space="preserve"> Total environmental impact assessments, post approval action management plans and contingent fees (expenses and revenue summary)</w:t>
      </w:r>
      <w:bookmarkEnd w:id="681"/>
      <w:bookmarkEnd w:id="682"/>
    </w:p>
    <w:tbl>
      <w:tblPr>
        <w:tblW w:w="8720" w:type="dxa"/>
        <w:tblInd w:w="91"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tblPr>
      <w:tblGrid>
        <w:gridCol w:w="3680"/>
        <w:gridCol w:w="5040"/>
      </w:tblGrid>
      <w:tr w:rsidR="00553677" w:rsidRPr="00F36214" w:rsidTr="00B67F3E">
        <w:trPr>
          <w:cantSplit/>
          <w:trHeight w:val="663"/>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single" w:sz="4" w:space="0" w:color="548DD4" w:themeColor="text2" w:themeTint="99"/>
            </w:tcBorders>
            <w:shd w:val="clear" w:color="auto" w:fill="8DB3E2" w:themeFill="text2" w:themeFillTint="66"/>
            <w:vAlign w:val="center"/>
            <w:hideMark/>
          </w:tcPr>
          <w:p w:rsidR="00553677" w:rsidRPr="00F36214" w:rsidRDefault="00553677" w:rsidP="00A02D65">
            <w:pPr>
              <w:jc w:val="center"/>
              <w:rPr>
                <w:b/>
                <w:sz w:val="20"/>
                <w:szCs w:val="20"/>
                <w:lang w:eastAsia="en-AU"/>
              </w:rPr>
            </w:pPr>
            <w:r w:rsidRPr="00F36214">
              <w:rPr>
                <w:b/>
                <w:sz w:val="20"/>
                <w:szCs w:val="20"/>
                <w:lang w:eastAsia="en-AU"/>
              </w:rPr>
              <w:t>Environmental impact assessments (total)</w:t>
            </w:r>
          </w:p>
        </w:tc>
        <w:tc>
          <w:tcPr>
            <w:tcW w:w="5040" w:type="dxa"/>
            <w:tcBorders>
              <w:top w:val="single" w:sz="8" w:space="0" w:color="548DD4" w:themeColor="text2" w:themeTint="99"/>
              <w:left w:val="single" w:sz="4"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553677" w:rsidRPr="00F36214" w:rsidRDefault="00553677" w:rsidP="00A02D65">
            <w:pPr>
              <w:jc w:val="center"/>
              <w:rPr>
                <w:b/>
                <w:sz w:val="20"/>
                <w:szCs w:val="20"/>
                <w:lang w:eastAsia="en-AU"/>
              </w:rPr>
            </w:pPr>
            <w:r w:rsidRPr="00F36214">
              <w:rPr>
                <w:b/>
                <w:sz w:val="20"/>
                <w:szCs w:val="20"/>
                <w:lang w:eastAsia="en-AU"/>
              </w:rPr>
              <w:t>2014-15 ($mil)</w:t>
            </w:r>
          </w:p>
        </w:tc>
      </w:tr>
      <w:tr w:rsidR="00B67F3E" w:rsidRPr="00F36214" w:rsidTr="00B67F3E">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center"/>
            <w:hideMark/>
          </w:tcPr>
          <w:p w:rsidR="00B67F3E" w:rsidRPr="00F36214" w:rsidRDefault="00B67F3E" w:rsidP="00A02D65">
            <w:pPr>
              <w:rPr>
                <w:sz w:val="20"/>
                <w:szCs w:val="20"/>
                <w:lang w:eastAsia="en-AU"/>
              </w:rPr>
            </w:pPr>
            <w:r w:rsidRPr="00F36214">
              <w:rPr>
                <w:sz w:val="20"/>
                <w:szCs w:val="20"/>
                <w:lang w:eastAsia="en-AU"/>
              </w:rPr>
              <w:t>Total projected expenses</w:t>
            </w:r>
            <w:r w:rsidRPr="00F36214">
              <w:rPr>
                <w:rStyle w:val="FootnoteReference"/>
                <w:rFonts w:ascii="Calibri" w:hAnsi="Calibri" w:cs="Calibri"/>
                <w:b/>
                <w:bCs/>
                <w:color w:val="000000"/>
                <w:sz w:val="20"/>
                <w:szCs w:val="20"/>
                <w:lang w:eastAsia="en-AU"/>
              </w:rPr>
              <w:footnoteReference w:id="35"/>
            </w:r>
          </w:p>
        </w:tc>
        <w:tc>
          <w:tcPr>
            <w:tcW w:w="504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center"/>
            <w:hideMark/>
          </w:tcPr>
          <w:p w:rsidR="00B67F3E" w:rsidRPr="00F36214" w:rsidRDefault="00B67F3E" w:rsidP="00B67F3E">
            <w:pPr>
              <w:ind w:right="515"/>
              <w:jc w:val="center"/>
              <w:rPr>
                <w:sz w:val="20"/>
                <w:szCs w:val="20"/>
                <w:lang w:eastAsia="en-AU"/>
              </w:rPr>
            </w:pPr>
            <w:r w:rsidRPr="00F36214">
              <w:rPr>
                <w:sz w:val="20"/>
                <w:szCs w:val="20"/>
                <w:lang w:eastAsia="en-AU"/>
              </w:rPr>
              <w:t>7.60</w:t>
            </w:r>
            <w:r>
              <w:rPr>
                <w:sz w:val="20"/>
                <w:szCs w:val="20"/>
                <w:lang w:eastAsia="en-AU"/>
              </w:rPr>
              <w:t>2</w:t>
            </w:r>
          </w:p>
        </w:tc>
      </w:tr>
      <w:tr w:rsidR="00B67F3E" w:rsidRPr="00F36214" w:rsidTr="00B67F3E">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center"/>
            <w:hideMark/>
          </w:tcPr>
          <w:p w:rsidR="00B67F3E" w:rsidRPr="00F36214" w:rsidRDefault="00B67F3E" w:rsidP="00A02D65">
            <w:pPr>
              <w:rPr>
                <w:sz w:val="20"/>
                <w:szCs w:val="20"/>
                <w:lang w:eastAsia="en-AU"/>
              </w:rPr>
            </w:pPr>
            <w:r w:rsidRPr="00F36214">
              <w:rPr>
                <w:sz w:val="20"/>
                <w:szCs w:val="20"/>
                <w:lang w:eastAsia="en-AU"/>
              </w:rPr>
              <w:t>Total projected revenue</w:t>
            </w:r>
            <w:r w:rsidRPr="00F36214">
              <w:rPr>
                <w:rStyle w:val="FootnoteReference"/>
                <w:rFonts w:ascii="Calibri" w:hAnsi="Calibri" w:cs="Calibri"/>
                <w:b/>
                <w:bCs/>
                <w:color w:val="000000"/>
                <w:sz w:val="20"/>
                <w:szCs w:val="20"/>
                <w:lang w:eastAsia="en-AU"/>
              </w:rPr>
              <w:footnoteReference w:id="36"/>
            </w:r>
          </w:p>
        </w:tc>
        <w:tc>
          <w:tcPr>
            <w:tcW w:w="504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center"/>
            <w:hideMark/>
          </w:tcPr>
          <w:p w:rsidR="00B67F3E" w:rsidRPr="00F36214" w:rsidRDefault="00B67F3E" w:rsidP="00B67F3E">
            <w:pPr>
              <w:ind w:right="515"/>
              <w:jc w:val="center"/>
              <w:rPr>
                <w:sz w:val="20"/>
                <w:szCs w:val="20"/>
                <w:lang w:eastAsia="en-AU"/>
              </w:rPr>
            </w:pPr>
            <w:r w:rsidRPr="00F36214">
              <w:rPr>
                <w:sz w:val="20"/>
                <w:szCs w:val="20"/>
                <w:lang w:eastAsia="en-AU"/>
              </w:rPr>
              <w:t>7.60</w:t>
            </w:r>
            <w:r>
              <w:rPr>
                <w:sz w:val="20"/>
                <w:szCs w:val="20"/>
                <w:lang w:eastAsia="en-AU"/>
              </w:rPr>
              <w:t>2</w:t>
            </w:r>
          </w:p>
        </w:tc>
      </w:tr>
      <w:tr w:rsidR="00B67F3E" w:rsidRPr="00200CBE" w:rsidTr="00B67F3E">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noWrap/>
            <w:vAlign w:val="bottom"/>
            <w:hideMark/>
          </w:tcPr>
          <w:p w:rsidR="00B67F3E" w:rsidRPr="00F36214" w:rsidRDefault="00B67F3E" w:rsidP="00A02D65">
            <w:pPr>
              <w:rPr>
                <w:sz w:val="20"/>
                <w:szCs w:val="20"/>
                <w:lang w:eastAsia="en-AU"/>
              </w:rPr>
            </w:pPr>
            <w:r w:rsidRPr="00F36214">
              <w:rPr>
                <w:sz w:val="20"/>
                <w:szCs w:val="20"/>
                <w:lang w:eastAsia="en-AU"/>
              </w:rPr>
              <w:t>Balance +/-</w:t>
            </w:r>
          </w:p>
        </w:tc>
        <w:tc>
          <w:tcPr>
            <w:tcW w:w="5040" w:type="dxa"/>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noWrap/>
            <w:vAlign w:val="bottom"/>
            <w:hideMark/>
          </w:tcPr>
          <w:p w:rsidR="00B67F3E" w:rsidRPr="00553677" w:rsidRDefault="00B67F3E" w:rsidP="00B67F3E">
            <w:pPr>
              <w:ind w:right="515"/>
              <w:jc w:val="center"/>
              <w:rPr>
                <w:sz w:val="20"/>
                <w:szCs w:val="20"/>
                <w:lang w:eastAsia="en-AU"/>
              </w:rPr>
            </w:pPr>
            <w:r w:rsidRPr="00F36214">
              <w:rPr>
                <w:sz w:val="20"/>
                <w:szCs w:val="20"/>
                <w:lang w:eastAsia="en-AU"/>
              </w:rPr>
              <w:t>0</w:t>
            </w:r>
          </w:p>
        </w:tc>
      </w:tr>
    </w:tbl>
    <w:p w:rsidR="009148A1" w:rsidRDefault="009148A1" w:rsidP="00E5692F">
      <w:pPr>
        <w:sectPr w:rsidR="009148A1" w:rsidSect="000005C0">
          <w:pgSz w:w="11906" w:h="16838"/>
          <w:pgMar w:top="992" w:right="1133" w:bottom="1440" w:left="1134" w:header="709" w:footer="709" w:gutter="0"/>
          <w:cols w:space="708"/>
          <w:docGrid w:linePitch="360"/>
        </w:sectPr>
      </w:pPr>
    </w:p>
    <w:p w:rsidR="002B3C33" w:rsidRDefault="002B3C33" w:rsidP="008F227E">
      <w:pPr>
        <w:pStyle w:val="Heading1"/>
      </w:pPr>
      <w:bookmarkStart w:id="683" w:name="_Toc387064867"/>
      <w:bookmarkStart w:id="684" w:name="_Toc387065079"/>
      <w:bookmarkStart w:id="685" w:name="_Toc387065285"/>
      <w:bookmarkStart w:id="686" w:name="_Toc387065496"/>
      <w:bookmarkStart w:id="687" w:name="_Toc387065702"/>
      <w:bookmarkStart w:id="688" w:name="_Toc387065907"/>
      <w:bookmarkStart w:id="689" w:name="_Toc387066110"/>
      <w:bookmarkStart w:id="690" w:name="_Toc387066299"/>
      <w:bookmarkStart w:id="691" w:name="_Toc387069535"/>
      <w:bookmarkStart w:id="692" w:name="_Toc387069722"/>
      <w:bookmarkStart w:id="693" w:name="_Toc387069931"/>
      <w:bookmarkStart w:id="694" w:name="_Toc387070130"/>
      <w:bookmarkStart w:id="695" w:name="_Toc387072395"/>
      <w:bookmarkStart w:id="696" w:name="_Toc387072606"/>
      <w:bookmarkStart w:id="697" w:name="_Toc387392637"/>
      <w:bookmarkStart w:id="698" w:name="_Toc391541621"/>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lastRenderedPageBreak/>
        <w:t>FINANCIAL PERFORMANCE</w:t>
      </w:r>
      <w:bookmarkEnd w:id="698"/>
    </w:p>
    <w:p w:rsidR="001E0AF0" w:rsidRPr="0019008C" w:rsidRDefault="00E37853" w:rsidP="001F1736">
      <w:pPr>
        <w:rPr>
          <w:lang w:eastAsia="en-AU"/>
        </w:rPr>
      </w:pPr>
      <w:r w:rsidRPr="0019008C">
        <w:rPr>
          <w:lang w:eastAsia="en-AU"/>
        </w:rPr>
        <w:t>As cost recovery for environmental assessments under the EPBC Act is a new activity, there is no historical data available to detail the financial performance of EPBC Act cost recovery. In future financial years, this section of the CRIS will be completed.</w:t>
      </w:r>
    </w:p>
    <w:p w:rsidR="00761D55" w:rsidRDefault="00761D55" w:rsidP="00A62228">
      <w:pPr>
        <w:pStyle w:val="Heading1"/>
        <w:sectPr w:rsidR="00761D55" w:rsidSect="000005C0">
          <w:pgSz w:w="11906" w:h="16838"/>
          <w:pgMar w:top="992" w:right="1133" w:bottom="1440" w:left="1134" w:header="709" w:footer="709" w:gutter="0"/>
          <w:cols w:space="708"/>
          <w:docGrid w:linePitch="360"/>
        </w:sectPr>
      </w:pPr>
      <w:bookmarkStart w:id="699" w:name="_Toc387064875"/>
      <w:bookmarkStart w:id="700" w:name="_Toc387065087"/>
      <w:bookmarkStart w:id="701" w:name="_Toc387065293"/>
      <w:bookmarkStart w:id="702" w:name="_Toc387065504"/>
      <w:bookmarkStart w:id="703" w:name="_Toc387065710"/>
      <w:bookmarkStart w:id="704" w:name="_Toc387065915"/>
      <w:bookmarkStart w:id="705" w:name="_Toc387066118"/>
      <w:bookmarkStart w:id="706" w:name="_Toc387066307"/>
      <w:bookmarkStart w:id="707" w:name="_Toc387069543"/>
      <w:bookmarkStart w:id="708" w:name="_Toc387069730"/>
      <w:bookmarkStart w:id="709" w:name="_Toc387069939"/>
      <w:bookmarkStart w:id="710" w:name="_Toc387070138"/>
      <w:bookmarkStart w:id="711" w:name="_Toc387072403"/>
      <w:bookmarkStart w:id="712" w:name="_Toc387072614"/>
      <w:bookmarkStart w:id="713" w:name="_Toc387392645"/>
      <w:bookmarkStart w:id="714" w:name="_Toc387064881"/>
      <w:bookmarkStart w:id="715" w:name="_Toc387065093"/>
      <w:bookmarkStart w:id="716" w:name="_Toc387065299"/>
      <w:bookmarkStart w:id="717" w:name="_Toc387065510"/>
      <w:bookmarkStart w:id="718" w:name="_Toc387065716"/>
      <w:bookmarkStart w:id="719" w:name="_Toc387065921"/>
      <w:bookmarkStart w:id="720" w:name="_Toc387066124"/>
      <w:bookmarkStart w:id="721" w:name="_Toc387066313"/>
      <w:bookmarkStart w:id="722" w:name="_Toc387069549"/>
      <w:bookmarkStart w:id="723" w:name="_Toc387069736"/>
      <w:bookmarkStart w:id="724" w:name="_Toc387069945"/>
      <w:bookmarkStart w:id="725" w:name="_Toc387070144"/>
      <w:bookmarkStart w:id="726" w:name="_Toc387072409"/>
      <w:bookmarkStart w:id="727" w:name="_Toc387072620"/>
      <w:bookmarkStart w:id="728" w:name="_Toc387392651"/>
      <w:bookmarkStart w:id="729" w:name="_Toc387064887"/>
      <w:bookmarkStart w:id="730" w:name="_Toc387065099"/>
      <w:bookmarkStart w:id="731" w:name="_Toc387065305"/>
      <w:bookmarkStart w:id="732" w:name="_Toc387065516"/>
      <w:bookmarkStart w:id="733" w:name="_Toc387065722"/>
      <w:bookmarkStart w:id="734" w:name="_Toc387065927"/>
      <w:bookmarkStart w:id="735" w:name="_Toc387066130"/>
      <w:bookmarkStart w:id="736" w:name="_Toc387066319"/>
      <w:bookmarkStart w:id="737" w:name="_Toc387069555"/>
      <w:bookmarkStart w:id="738" w:name="_Toc387069742"/>
      <w:bookmarkStart w:id="739" w:name="_Toc387069951"/>
      <w:bookmarkStart w:id="740" w:name="_Toc387070150"/>
      <w:bookmarkStart w:id="741" w:name="_Toc387072415"/>
      <w:bookmarkStart w:id="742" w:name="_Toc387072626"/>
      <w:bookmarkStart w:id="743" w:name="_Toc387392657"/>
      <w:bookmarkStart w:id="744" w:name="_Toc387064895"/>
      <w:bookmarkStart w:id="745" w:name="_Toc387065107"/>
      <w:bookmarkStart w:id="746" w:name="_Toc387065313"/>
      <w:bookmarkStart w:id="747" w:name="_Toc387065524"/>
      <w:bookmarkStart w:id="748" w:name="_Toc387065730"/>
      <w:bookmarkStart w:id="749" w:name="_Toc387065935"/>
      <w:bookmarkStart w:id="750" w:name="_Toc387066138"/>
      <w:bookmarkStart w:id="751" w:name="_Toc387066327"/>
      <w:bookmarkStart w:id="752" w:name="_Toc387069563"/>
      <w:bookmarkStart w:id="753" w:name="_Toc387069750"/>
      <w:bookmarkStart w:id="754" w:name="_Toc387069959"/>
      <w:bookmarkStart w:id="755" w:name="_Toc387070158"/>
      <w:bookmarkStart w:id="756" w:name="_Toc387072423"/>
      <w:bookmarkStart w:id="757" w:name="_Toc387072634"/>
      <w:bookmarkStart w:id="758" w:name="_Toc387392665"/>
      <w:bookmarkStart w:id="759" w:name="_Toc387064901"/>
      <w:bookmarkStart w:id="760" w:name="_Toc387065113"/>
      <w:bookmarkStart w:id="761" w:name="_Toc387065319"/>
      <w:bookmarkStart w:id="762" w:name="_Toc387065530"/>
      <w:bookmarkStart w:id="763" w:name="_Toc387065736"/>
      <w:bookmarkStart w:id="764" w:name="_Toc387065941"/>
      <w:bookmarkStart w:id="765" w:name="_Toc387066144"/>
      <w:bookmarkStart w:id="766" w:name="_Toc387066333"/>
      <w:bookmarkStart w:id="767" w:name="_Toc387069569"/>
      <w:bookmarkStart w:id="768" w:name="_Toc387069756"/>
      <w:bookmarkStart w:id="769" w:name="_Toc387069965"/>
      <w:bookmarkStart w:id="770" w:name="_Toc387070164"/>
      <w:bookmarkStart w:id="771" w:name="_Toc387072429"/>
      <w:bookmarkStart w:id="772" w:name="_Toc387072640"/>
      <w:bookmarkStart w:id="773" w:name="_Toc387392671"/>
      <w:bookmarkStart w:id="774" w:name="_Toc387064907"/>
      <w:bookmarkStart w:id="775" w:name="_Toc387065119"/>
      <w:bookmarkStart w:id="776" w:name="_Toc387065325"/>
      <w:bookmarkStart w:id="777" w:name="_Toc387065536"/>
      <w:bookmarkStart w:id="778" w:name="_Toc387065742"/>
      <w:bookmarkStart w:id="779" w:name="_Toc387065947"/>
      <w:bookmarkStart w:id="780" w:name="_Toc387066150"/>
      <w:bookmarkStart w:id="781" w:name="_Toc387066339"/>
      <w:bookmarkStart w:id="782" w:name="_Toc387069575"/>
      <w:bookmarkStart w:id="783" w:name="_Toc387069762"/>
      <w:bookmarkStart w:id="784" w:name="_Toc387069971"/>
      <w:bookmarkStart w:id="785" w:name="_Toc387070170"/>
      <w:bookmarkStart w:id="786" w:name="_Toc387072435"/>
      <w:bookmarkStart w:id="787" w:name="_Toc387072646"/>
      <w:bookmarkStart w:id="788" w:name="_Toc387392677"/>
      <w:bookmarkStart w:id="789" w:name="_Toc387064915"/>
      <w:bookmarkStart w:id="790" w:name="_Toc387065127"/>
      <w:bookmarkStart w:id="791" w:name="_Toc387065333"/>
      <w:bookmarkStart w:id="792" w:name="_Toc387065544"/>
      <w:bookmarkStart w:id="793" w:name="_Toc387065750"/>
      <w:bookmarkStart w:id="794" w:name="_Toc387065955"/>
      <w:bookmarkStart w:id="795" w:name="_Toc387066158"/>
      <w:bookmarkStart w:id="796" w:name="_Toc387066347"/>
      <w:bookmarkStart w:id="797" w:name="_Toc387069583"/>
      <w:bookmarkStart w:id="798" w:name="_Toc387069770"/>
      <w:bookmarkStart w:id="799" w:name="_Toc387069979"/>
      <w:bookmarkStart w:id="800" w:name="_Toc387070178"/>
      <w:bookmarkStart w:id="801" w:name="_Toc387072443"/>
      <w:bookmarkStart w:id="802" w:name="_Toc387072654"/>
      <w:bookmarkStart w:id="803" w:name="_Toc387392685"/>
      <w:bookmarkStart w:id="804" w:name="_Toc387064921"/>
      <w:bookmarkStart w:id="805" w:name="_Toc387065133"/>
      <w:bookmarkStart w:id="806" w:name="_Toc387065339"/>
      <w:bookmarkStart w:id="807" w:name="_Toc387065550"/>
      <w:bookmarkStart w:id="808" w:name="_Toc387065756"/>
      <w:bookmarkStart w:id="809" w:name="_Toc387065961"/>
      <w:bookmarkStart w:id="810" w:name="_Toc387066164"/>
      <w:bookmarkStart w:id="811" w:name="_Toc387066353"/>
      <w:bookmarkStart w:id="812" w:name="_Toc387069589"/>
      <w:bookmarkStart w:id="813" w:name="_Toc387069776"/>
      <w:bookmarkStart w:id="814" w:name="_Toc387069985"/>
      <w:bookmarkStart w:id="815" w:name="_Toc387070184"/>
      <w:bookmarkStart w:id="816" w:name="_Toc387072449"/>
      <w:bookmarkStart w:id="817" w:name="_Toc387072660"/>
      <w:bookmarkStart w:id="818" w:name="_Toc387392691"/>
      <w:bookmarkStart w:id="819" w:name="_Toc387064927"/>
      <w:bookmarkStart w:id="820" w:name="_Toc387065139"/>
      <w:bookmarkStart w:id="821" w:name="_Toc387065345"/>
      <w:bookmarkStart w:id="822" w:name="_Toc387065556"/>
      <w:bookmarkStart w:id="823" w:name="_Toc387065762"/>
      <w:bookmarkStart w:id="824" w:name="_Toc387065967"/>
      <w:bookmarkStart w:id="825" w:name="_Toc387066170"/>
      <w:bookmarkStart w:id="826" w:name="_Toc387066359"/>
      <w:bookmarkStart w:id="827" w:name="_Toc387069595"/>
      <w:bookmarkStart w:id="828" w:name="_Toc387069782"/>
      <w:bookmarkStart w:id="829" w:name="_Toc387069991"/>
      <w:bookmarkStart w:id="830" w:name="_Toc387070190"/>
      <w:bookmarkStart w:id="831" w:name="_Toc387072455"/>
      <w:bookmarkStart w:id="832" w:name="_Toc387072666"/>
      <w:bookmarkStart w:id="833" w:name="_Toc387392697"/>
      <w:bookmarkStart w:id="834" w:name="_Toc387064933"/>
      <w:bookmarkStart w:id="835" w:name="_Toc387065145"/>
      <w:bookmarkStart w:id="836" w:name="_Toc387065351"/>
      <w:bookmarkStart w:id="837" w:name="_Toc387065562"/>
      <w:bookmarkStart w:id="838" w:name="_Toc387065768"/>
      <w:bookmarkStart w:id="839" w:name="_Toc387065973"/>
      <w:bookmarkStart w:id="840" w:name="_Toc387066176"/>
      <w:bookmarkStart w:id="841" w:name="_Toc387066365"/>
      <w:bookmarkStart w:id="842" w:name="_Toc387069601"/>
      <w:bookmarkStart w:id="843" w:name="_Toc387069788"/>
      <w:bookmarkStart w:id="844" w:name="_Toc387069997"/>
      <w:bookmarkStart w:id="845" w:name="_Toc387070196"/>
      <w:bookmarkStart w:id="846" w:name="_Toc387072461"/>
      <w:bookmarkStart w:id="847" w:name="_Toc387072672"/>
      <w:bookmarkStart w:id="848" w:name="_Toc387392703"/>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rsidR="00A62228" w:rsidRDefault="00A62228" w:rsidP="00A62228">
      <w:pPr>
        <w:pStyle w:val="Heading1"/>
      </w:pPr>
      <w:bookmarkStart w:id="849" w:name="_Toc387064939"/>
      <w:bookmarkStart w:id="850" w:name="_Toc387065151"/>
      <w:bookmarkStart w:id="851" w:name="_Toc387065357"/>
      <w:bookmarkStart w:id="852" w:name="_Toc387065568"/>
      <w:bookmarkStart w:id="853" w:name="_Toc387065774"/>
      <w:bookmarkStart w:id="854" w:name="_Toc387065979"/>
      <w:bookmarkStart w:id="855" w:name="_Toc387066182"/>
      <w:bookmarkStart w:id="856" w:name="_Toc387066371"/>
      <w:bookmarkStart w:id="857" w:name="_Toc387069607"/>
      <w:bookmarkStart w:id="858" w:name="_Toc387069794"/>
      <w:bookmarkStart w:id="859" w:name="_Toc387070003"/>
      <w:bookmarkStart w:id="860" w:name="_Toc387070202"/>
      <w:bookmarkStart w:id="861" w:name="_Toc387072467"/>
      <w:bookmarkStart w:id="862" w:name="_Toc387072678"/>
      <w:bookmarkStart w:id="863" w:name="_Toc387392709"/>
      <w:bookmarkStart w:id="864" w:name="_Toc391541622"/>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624D63">
        <w:lastRenderedPageBreak/>
        <w:t>NON- FINANCIAL PERFORMANCE</w:t>
      </w:r>
      <w:bookmarkEnd w:id="864"/>
    </w:p>
    <w:p w:rsidR="008C680D" w:rsidRPr="008C680D" w:rsidRDefault="008C680D" w:rsidP="008C680D">
      <w:pPr>
        <w:pStyle w:val="Heading2"/>
      </w:pPr>
      <w:bookmarkStart w:id="865" w:name="_Toc391541623"/>
      <w:r>
        <w:t>Non-financial performance indicators</w:t>
      </w:r>
      <w:bookmarkEnd w:id="865"/>
    </w:p>
    <w:p w:rsidR="00293C4C" w:rsidRDefault="00617C38">
      <w:bookmarkStart w:id="866" w:name="monitoring"/>
      <w:bookmarkStart w:id="867" w:name="_Toc343850808"/>
      <w:bookmarkStart w:id="868" w:name="_Toc344895185"/>
      <w:bookmarkStart w:id="869" w:name="_Toc346285361"/>
      <w:r w:rsidRPr="001C4E84">
        <w:t>The EPBC Act includes statutory timeframes for almost all decisions. This includes timeframes for assessment and approval decisions. The processes for making these decisions wi</w:t>
      </w:r>
      <w:r>
        <w:t>ll now be cost recovered. The De</w:t>
      </w:r>
      <w:r w:rsidRPr="001C4E84">
        <w:t>partment will report, through updates to this CRIS, on</w:t>
      </w:r>
      <w:r w:rsidR="00293C4C">
        <w:t>:</w:t>
      </w:r>
      <w:r w:rsidRPr="001C4E84">
        <w:t xml:space="preserve"> </w:t>
      </w:r>
    </w:p>
    <w:p w:rsidR="00293C4C" w:rsidRDefault="00617C38" w:rsidP="00293C4C">
      <w:pPr>
        <w:pStyle w:val="ListBullet"/>
      </w:pPr>
      <w:r w:rsidRPr="001C4E84">
        <w:t>the percentage of decisions ma</w:t>
      </w:r>
      <w:r w:rsidR="00293C4C">
        <w:t>de within statutory timeframes,</w:t>
      </w:r>
      <w:r w:rsidR="00405910">
        <w:t xml:space="preserve"> including </w:t>
      </w:r>
      <w:r w:rsidR="00293C4C">
        <w:t>the median number of days for which late decisions were delayed, and</w:t>
      </w:r>
    </w:p>
    <w:p w:rsidR="00293C4C" w:rsidRDefault="00293C4C" w:rsidP="00293C4C">
      <w:pPr>
        <w:pStyle w:val="ListBullet"/>
      </w:pPr>
      <w:proofErr w:type="gramStart"/>
      <w:r>
        <w:t>the</w:t>
      </w:r>
      <w:proofErr w:type="gramEnd"/>
      <w:r>
        <w:t xml:space="preserve"> overall time taken from referral to approval for referred actions.</w:t>
      </w:r>
    </w:p>
    <w:p w:rsidR="00293C4C" w:rsidRDefault="00293C4C" w:rsidP="00293C4C">
      <w:pPr>
        <w:pStyle w:val="ListBullet"/>
        <w:numPr>
          <w:ilvl w:val="0"/>
          <w:numId w:val="0"/>
        </w:numPr>
      </w:pPr>
      <w:r>
        <w:t xml:space="preserve">This reporting process </w:t>
      </w:r>
      <w:r w:rsidR="00405910">
        <w:t xml:space="preserve">on these non-financial performance indicators </w:t>
      </w:r>
      <w:r>
        <w:t>will</w:t>
      </w:r>
      <w:r w:rsidR="008C680D">
        <w:t xml:space="preserve"> provide assurance to applicants that the Department is providing an efficient and effective service.</w:t>
      </w:r>
    </w:p>
    <w:p w:rsidR="008C680D" w:rsidRDefault="008C680D" w:rsidP="008C680D">
      <w:pPr>
        <w:pStyle w:val="Heading3"/>
      </w:pPr>
      <w:bookmarkStart w:id="870" w:name="_Toc391541624"/>
      <w:r>
        <w:t>Compliance with statutory timeframes</w:t>
      </w:r>
      <w:bookmarkEnd w:id="870"/>
    </w:p>
    <w:p w:rsidR="00000BAB" w:rsidRPr="00F618E1" w:rsidRDefault="0013722D" w:rsidP="00617C38">
      <w:r w:rsidRPr="00F618E1">
        <w:t xml:space="preserve">The Department reports on compliance with statutory timeframes under the EPBC Act in its annual report. In 2012-13, 86 per cent of all statutory decisions under the EPBC Act were made within the statutory timeframes. This includes </w:t>
      </w:r>
      <w:r w:rsidR="0021788D" w:rsidRPr="00F618E1">
        <w:t xml:space="preserve">decisions relating to </w:t>
      </w:r>
      <w:r w:rsidRPr="00F618E1">
        <w:t xml:space="preserve">permits, listings, recovery plans and environmental impact assessments. </w:t>
      </w:r>
    </w:p>
    <w:p w:rsidR="00617C38" w:rsidRPr="006A1E58" w:rsidRDefault="008A56A0" w:rsidP="00617C38">
      <w:r w:rsidRPr="006A1E58">
        <w:t>For the purposes of this</w:t>
      </w:r>
      <w:r w:rsidR="00617C38" w:rsidRPr="006A1E58">
        <w:t xml:space="preserve"> CRIS the </w:t>
      </w:r>
      <w:r w:rsidR="00F75D1B" w:rsidRPr="006A1E58">
        <w:t>D</w:t>
      </w:r>
      <w:r w:rsidR="00617C38" w:rsidRPr="006A1E58">
        <w:t>epartment will use data on the timing of decisions which affect the timing of a</w:t>
      </w:r>
      <w:r w:rsidR="00B64DB5" w:rsidRPr="006A1E58">
        <w:t>n</w:t>
      </w:r>
      <w:r w:rsidR="00617C38" w:rsidRPr="006A1E58">
        <w:t xml:space="preserve"> </w:t>
      </w:r>
      <w:r w:rsidR="00B64DB5" w:rsidRPr="006A1E58">
        <w:t>applicant</w:t>
      </w:r>
      <w:r w:rsidR="00617C38" w:rsidRPr="006A1E58">
        <w:t>’s approval</w:t>
      </w:r>
      <w:r w:rsidR="0021788D" w:rsidRPr="006A1E58">
        <w:t>, that is</w:t>
      </w:r>
      <w:r w:rsidR="00617C38" w:rsidRPr="006A1E58">
        <w:t>:</w:t>
      </w:r>
    </w:p>
    <w:p w:rsidR="000B573E" w:rsidRPr="006A1E58" w:rsidRDefault="00332492">
      <w:pPr>
        <w:pStyle w:val="ListBullet"/>
      </w:pPr>
      <w:r w:rsidRPr="006A1E58">
        <w:t>C</w:t>
      </w:r>
      <w:r w:rsidR="00617C38" w:rsidRPr="006A1E58">
        <w:t>ontrolled action determinations and issue of notices (s</w:t>
      </w:r>
      <w:r w:rsidR="00343837" w:rsidRPr="006A1E58">
        <w:t xml:space="preserve">ection </w:t>
      </w:r>
      <w:r w:rsidR="00617C38" w:rsidRPr="006A1E58">
        <w:t>75(5) and s</w:t>
      </w:r>
      <w:r w:rsidR="00343837" w:rsidRPr="006A1E58">
        <w:t>ection</w:t>
      </w:r>
      <w:r w:rsidR="00617C38" w:rsidRPr="006A1E58">
        <w:t xml:space="preserve"> 77(1))</w:t>
      </w:r>
    </w:p>
    <w:p w:rsidR="000B573E" w:rsidRPr="006A1E58" w:rsidRDefault="00332492">
      <w:pPr>
        <w:pStyle w:val="ListBullet"/>
      </w:pPr>
      <w:r w:rsidRPr="006A1E58">
        <w:t>S</w:t>
      </w:r>
      <w:r w:rsidR="00617C38" w:rsidRPr="006A1E58">
        <w:t>tatements of reasons for controlled action decisions (s</w:t>
      </w:r>
      <w:r w:rsidR="00343837" w:rsidRPr="006A1E58">
        <w:t>ection</w:t>
      </w:r>
      <w:r w:rsidR="00617C38" w:rsidRPr="006A1E58">
        <w:t xml:space="preserve"> 77(4))</w:t>
      </w:r>
    </w:p>
    <w:p w:rsidR="000B573E" w:rsidRPr="006A1E58" w:rsidRDefault="00332492">
      <w:pPr>
        <w:pStyle w:val="ListBullet"/>
      </w:pPr>
      <w:r w:rsidRPr="006A1E58">
        <w:t>A</w:t>
      </w:r>
      <w:r w:rsidR="00617C38" w:rsidRPr="006A1E58">
        <w:t>ssessment approach decisions and issue of notices (s</w:t>
      </w:r>
      <w:r w:rsidR="00343837" w:rsidRPr="006A1E58">
        <w:t>ection</w:t>
      </w:r>
      <w:r w:rsidR="00617C38" w:rsidRPr="006A1E58">
        <w:t xml:space="preserve"> 88(1) and </w:t>
      </w:r>
      <w:r w:rsidR="00343837" w:rsidRPr="006A1E58">
        <w:t xml:space="preserve">section </w:t>
      </w:r>
      <w:r w:rsidR="00617C38" w:rsidRPr="006A1E58">
        <w:t>91(1))</w:t>
      </w:r>
    </w:p>
    <w:p w:rsidR="000B573E" w:rsidRPr="006A1E58" w:rsidRDefault="00332492">
      <w:pPr>
        <w:pStyle w:val="ListBullet"/>
      </w:pPr>
      <w:r w:rsidRPr="006A1E58">
        <w:t>R</w:t>
      </w:r>
      <w:r w:rsidR="00617C38" w:rsidRPr="006A1E58">
        <w:t>equests for further information (</w:t>
      </w:r>
      <w:r w:rsidR="00343837" w:rsidRPr="006A1E58">
        <w:t xml:space="preserve">section </w:t>
      </w:r>
      <w:r w:rsidR="00617C38" w:rsidRPr="006A1E58">
        <w:t>95A(2)) and directions to publish (</w:t>
      </w:r>
      <w:r w:rsidR="00343837" w:rsidRPr="006A1E58">
        <w:t xml:space="preserve">section </w:t>
      </w:r>
      <w:r w:rsidR="00617C38" w:rsidRPr="006A1E58">
        <w:t>95A(3))for assessment on preliminary documentation</w:t>
      </w:r>
    </w:p>
    <w:p w:rsidR="00617C38" w:rsidRPr="006A1E58" w:rsidRDefault="00332492">
      <w:pPr>
        <w:pStyle w:val="ListBullet"/>
      </w:pPr>
      <w:r w:rsidRPr="006A1E58">
        <w:t>P</w:t>
      </w:r>
      <w:r w:rsidR="00617C38" w:rsidRPr="006A1E58">
        <w:t xml:space="preserve">rovision of guidelines for </w:t>
      </w:r>
      <w:r w:rsidR="002E0B96" w:rsidRPr="006A1E58">
        <w:t>environmental impact statement</w:t>
      </w:r>
      <w:r w:rsidR="00617C38" w:rsidRPr="006A1E58">
        <w:t xml:space="preserve"> (</w:t>
      </w:r>
      <w:r w:rsidR="00343837" w:rsidRPr="006A1E58">
        <w:t xml:space="preserve">section </w:t>
      </w:r>
      <w:r w:rsidR="00617C38" w:rsidRPr="006A1E58">
        <w:t>101A(4)(b))</w:t>
      </w:r>
    </w:p>
    <w:p w:rsidR="00617C38" w:rsidRPr="006A1E58" w:rsidRDefault="00332492">
      <w:pPr>
        <w:pStyle w:val="ListBullet"/>
      </w:pPr>
      <w:r w:rsidRPr="006A1E58">
        <w:t>S</w:t>
      </w:r>
      <w:r w:rsidR="00617C38" w:rsidRPr="006A1E58">
        <w:t>ubmission of recommendation reports to the Minister and timing of approval decisions (s</w:t>
      </w:r>
      <w:r w:rsidR="00343837" w:rsidRPr="006A1E58">
        <w:t>ection</w:t>
      </w:r>
      <w:r w:rsidR="00617C38" w:rsidRPr="006A1E58">
        <w:t> 130), and</w:t>
      </w:r>
    </w:p>
    <w:p w:rsidR="00617C38" w:rsidRPr="006A1E58" w:rsidRDefault="00332492">
      <w:pPr>
        <w:pStyle w:val="ListBullet"/>
      </w:pPr>
      <w:r w:rsidRPr="006A1E58">
        <w:t>D</w:t>
      </w:r>
      <w:r w:rsidR="00617C38" w:rsidRPr="006A1E58">
        <w:t>ecisions on whether to accept a varied proposal (s</w:t>
      </w:r>
      <w:r w:rsidR="00343837" w:rsidRPr="006A1E58">
        <w:t>ection</w:t>
      </w:r>
      <w:r w:rsidR="00617C38" w:rsidRPr="006A1E58">
        <w:t xml:space="preserve"> </w:t>
      </w:r>
      <w:proofErr w:type="gramStart"/>
      <w:r w:rsidR="00617C38" w:rsidRPr="006A1E58">
        <w:t>156B(</w:t>
      </w:r>
      <w:proofErr w:type="gramEnd"/>
      <w:r w:rsidR="00617C38" w:rsidRPr="006A1E58">
        <w:t>1)).</w:t>
      </w:r>
    </w:p>
    <w:p w:rsidR="00B63542" w:rsidRPr="006A1E58" w:rsidRDefault="00405910" w:rsidP="00B63542">
      <w:r>
        <w:t xml:space="preserve">An </w:t>
      </w:r>
      <w:r w:rsidR="00617C38" w:rsidRPr="006A1E58">
        <w:t xml:space="preserve">indicator </w:t>
      </w:r>
      <w:r w:rsidR="0021788D" w:rsidRPr="006A1E58">
        <w:t>in this CRIS</w:t>
      </w:r>
      <w:r w:rsidR="00617C38" w:rsidRPr="006A1E58">
        <w:t xml:space="preserve"> </w:t>
      </w:r>
      <w:r w:rsidR="00B63542" w:rsidRPr="006A1E58">
        <w:t>is</w:t>
      </w:r>
      <w:r w:rsidR="00617C38" w:rsidRPr="006A1E58">
        <w:t xml:space="preserve"> the percentage of </w:t>
      </w:r>
      <w:r w:rsidR="0021788D" w:rsidRPr="006A1E58">
        <w:t xml:space="preserve">all of </w:t>
      </w:r>
      <w:r w:rsidR="00617C38" w:rsidRPr="006A1E58">
        <w:t>the</w:t>
      </w:r>
      <w:r w:rsidR="00000BAB" w:rsidRPr="006A1E58">
        <w:t xml:space="preserve"> above</w:t>
      </w:r>
      <w:r w:rsidR="00617C38" w:rsidRPr="006A1E58">
        <w:t xml:space="preserve"> decisions made within statutory timeframes. </w:t>
      </w:r>
      <w:fldSimple w:instr=" REF _Ref387069286 \h  \* MERGEFORMAT ">
        <w:r w:rsidR="001D521C" w:rsidRPr="00F618E1">
          <w:t xml:space="preserve">Table </w:t>
        </w:r>
        <w:r w:rsidR="001D521C">
          <w:rPr>
            <w:noProof/>
          </w:rPr>
          <w:t>24</w:t>
        </w:r>
      </w:fldSimple>
      <w:r w:rsidR="00996928" w:rsidRPr="006A1E58">
        <w:t xml:space="preserve"> </w:t>
      </w:r>
      <w:r w:rsidR="00617C38" w:rsidRPr="006A1E58">
        <w:t xml:space="preserve">sets out the </w:t>
      </w:r>
      <w:r w:rsidR="00BB6045" w:rsidRPr="006A1E58">
        <w:t>D</w:t>
      </w:r>
      <w:r w:rsidR="00617C38" w:rsidRPr="006A1E58">
        <w:t xml:space="preserve">epartment’s performance against this </w:t>
      </w:r>
      <w:r w:rsidR="00B63542" w:rsidRPr="006A1E58">
        <w:t>indicator</w:t>
      </w:r>
      <w:r w:rsidR="00617C38" w:rsidRPr="006A1E58">
        <w:t xml:space="preserve"> for the </w:t>
      </w:r>
      <w:r w:rsidR="00D37A2E" w:rsidRPr="006A1E58">
        <w:t xml:space="preserve">2012-13 financial </w:t>
      </w:r>
      <w:proofErr w:type="gramStart"/>
      <w:r w:rsidR="00D37A2E" w:rsidRPr="006A1E58">
        <w:t>year</w:t>
      </w:r>
      <w:proofErr w:type="gramEnd"/>
      <w:r w:rsidR="00D37A2E" w:rsidRPr="006A1E58">
        <w:t>.</w:t>
      </w:r>
      <w:r w:rsidR="00270CE2" w:rsidRPr="006A1E58">
        <w:t xml:space="preserve"> In 2012–13 the statutory timeframes were met 65.6 per cent of the time. </w:t>
      </w:r>
    </w:p>
    <w:p w:rsidR="00B63542" w:rsidRPr="00F618E1" w:rsidRDefault="00617C38" w:rsidP="00B63542">
      <w:r w:rsidRPr="00F618E1">
        <w:t xml:space="preserve">The </w:t>
      </w:r>
      <w:r w:rsidR="00BB6045" w:rsidRPr="00F618E1">
        <w:t>D</w:t>
      </w:r>
      <w:r w:rsidRPr="00F618E1">
        <w:t xml:space="preserve">epartment will update </w:t>
      </w:r>
      <w:r w:rsidR="00B63542" w:rsidRPr="00F618E1">
        <w:t>this table</w:t>
      </w:r>
      <w:r w:rsidRPr="00F618E1">
        <w:t xml:space="preserve"> each year following the publication of annual report statistics, including for the 2013–14 financial year.</w:t>
      </w:r>
      <w:r w:rsidR="00B63542" w:rsidRPr="00F618E1">
        <w:t xml:space="preserve"> The Department will also identify any particular points in the process where delays are occurring, and work on strategies to address those delays, which will be included in regular revisions of the CRIS.</w:t>
      </w:r>
    </w:p>
    <w:p w:rsidR="000B573E" w:rsidRPr="00F618E1" w:rsidRDefault="00C205F0" w:rsidP="00B016E0">
      <w:pPr>
        <w:pStyle w:val="Caption"/>
        <w:keepNext/>
      </w:pPr>
      <w:bookmarkStart w:id="871" w:name="_Ref387069286"/>
      <w:bookmarkStart w:id="872" w:name="_Toc387069821"/>
      <w:bookmarkStart w:id="873" w:name="_Toc387073285"/>
      <w:bookmarkStart w:id="874" w:name="_Toc391541668"/>
      <w:proofErr w:type="gramStart"/>
      <w:r w:rsidRPr="00F618E1">
        <w:lastRenderedPageBreak/>
        <w:t xml:space="preserve">Table </w:t>
      </w:r>
      <w:r w:rsidR="00D30427" w:rsidRPr="00F618E1">
        <w:fldChar w:fldCharType="begin"/>
      </w:r>
      <w:r w:rsidRPr="00F618E1">
        <w:instrText xml:space="preserve"> SEQ Table \* ARABIC </w:instrText>
      </w:r>
      <w:r w:rsidR="00D30427" w:rsidRPr="00F618E1">
        <w:fldChar w:fldCharType="separate"/>
      </w:r>
      <w:r w:rsidR="001D521C">
        <w:rPr>
          <w:noProof/>
        </w:rPr>
        <w:t>24</w:t>
      </w:r>
      <w:r w:rsidR="00D30427" w:rsidRPr="00F618E1">
        <w:fldChar w:fldCharType="end"/>
      </w:r>
      <w:bookmarkEnd w:id="871"/>
      <w:r w:rsidRPr="00F618E1">
        <w:t>.</w:t>
      </w:r>
      <w:proofErr w:type="gramEnd"/>
      <w:r w:rsidRPr="00F618E1">
        <w:t xml:space="preserve"> Non-financial performance indicators</w:t>
      </w:r>
      <w:bookmarkEnd w:id="872"/>
      <w:bookmarkEnd w:id="873"/>
      <w:bookmarkEnd w:id="874"/>
    </w:p>
    <w:tbl>
      <w:tblPr>
        <w:tblW w:w="4065" w:type="dxa"/>
        <w:tblCellMar>
          <w:left w:w="0" w:type="dxa"/>
          <w:right w:w="0" w:type="dxa"/>
        </w:tblCellMar>
        <w:tblLook w:val="04A0"/>
      </w:tblPr>
      <w:tblGrid>
        <w:gridCol w:w="2649"/>
        <w:gridCol w:w="1416"/>
      </w:tblGrid>
      <w:tr w:rsidR="00D37A2E" w:rsidRPr="00F618E1" w:rsidTr="00D37A2E">
        <w:trPr>
          <w:cantSplit/>
        </w:trPr>
        <w:tc>
          <w:tcPr>
            <w:tcW w:w="2649" w:type="dxa"/>
            <w:tcBorders>
              <w:top w:val="single" w:sz="8" w:space="0" w:color="FFFFFF"/>
              <w:left w:val="single" w:sz="8" w:space="0" w:color="FFFFFF"/>
              <w:bottom w:val="single" w:sz="8" w:space="0" w:color="FFFFFF"/>
              <w:right w:val="nil"/>
            </w:tcBorders>
            <w:shd w:val="clear" w:color="auto" w:fill="4F81BD"/>
            <w:tcMar>
              <w:top w:w="0" w:type="dxa"/>
              <w:left w:w="108" w:type="dxa"/>
              <w:bottom w:w="0" w:type="dxa"/>
              <w:right w:w="108" w:type="dxa"/>
            </w:tcMar>
            <w:hideMark/>
          </w:tcPr>
          <w:p w:rsidR="00D37A2E" w:rsidRPr="00F618E1" w:rsidRDefault="00D37A2E">
            <w:pPr>
              <w:keepNext/>
              <w:rPr>
                <w:rFonts w:eastAsiaTheme="minorHAnsi" w:cs="Arial"/>
                <w:b/>
                <w:bCs/>
              </w:rPr>
            </w:pPr>
            <w:r w:rsidRPr="00F618E1">
              <w:rPr>
                <w:rFonts w:cs="Arial"/>
                <w:b/>
                <w:bCs/>
                <w:color w:val="FFFFFF"/>
                <w:sz w:val="20"/>
                <w:szCs w:val="20"/>
              </w:rPr>
              <w:t>Financial year</w:t>
            </w:r>
          </w:p>
        </w:tc>
        <w:tc>
          <w:tcPr>
            <w:tcW w:w="1416" w:type="dxa"/>
            <w:tcBorders>
              <w:top w:val="single" w:sz="8" w:space="0" w:color="FFFFFF"/>
              <w:left w:val="nil"/>
              <w:bottom w:val="single" w:sz="8" w:space="0" w:color="FFFFFF"/>
              <w:right w:val="single" w:sz="8" w:space="0" w:color="FFFFFF"/>
            </w:tcBorders>
            <w:shd w:val="clear" w:color="auto" w:fill="4F81BD"/>
            <w:tcMar>
              <w:top w:w="0" w:type="dxa"/>
              <w:left w:w="108" w:type="dxa"/>
              <w:bottom w:w="0" w:type="dxa"/>
              <w:right w:w="108" w:type="dxa"/>
            </w:tcMar>
            <w:hideMark/>
          </w:tcPr>
          <w:p w:rsidR="00D37A2E" w:rsidRPr="00F618E1" w:rsidRDefault="00D37A2E">
            <w:pPr>
              <w:keepNext/>
              <w:rPr>
                <w:rFonts w:eastAsiaTheme="minorHAnsi" w:cs="Arial"/>
                <w:b/>
                <w:bCs/>
                <w:color w:val="FFFFFF"/>
              </w:rPr>
            </w:pPr>
            <w:r w:rsidRPr="00F618E1">
              <w:rPr>
                <w:rFonts w:cs="Arial"/>
                <w:b/>
                <w:bCs/>
                <w:sz w:val="20"/>
                <w:szCs w:val="20"/>
              </w:rPr>
              <w:t>2012–13</w:t>
            </w:r>
          </w:p>
        </w:tc>
      </w:tr>
      <w:tr w:rsidR="00D37A2E" w:rsidRPr="00446D0D" w:rsidTr="00D37A2E">
        <w:trPr>
          <w:cantSplit/>
        </w:trPr>
        <w:tc>
          <w:tcPr>
            <w:tcW w:w="2649" w:type="dxa"/>
            <w:tcBorders>
              <w:top w:val="nil"/>
              <w:left w:val="single" w:sz="8" w:space="0" w:color="FFFFFF"/>
              <w:bottom w:val="single" w:sz="8" w:space="0" w:color="FFFFFF"/>
              <w:right w:val="single" w:sz="8" w:space="0" w:color="FFFFFF"/>
            </w:tcBorders>
            <w:shd w:val="clear" w:color="auto" w:fill="4F81BD"/>
            <w:tcMar>
              <w:top w:w="0" w:type="dxa"/>
              <w:left w:w="108" w:type="dxa"/>
              <w:bottom w:w="0" w:type="dxa"/>
              <w:right w:w="108" w:type="dxa"/>
            </w:tcMar>
            <w:hideMark/>
          </w:tcPr>
          <w:p w:rsidR="00D37A2E" w:rsidRPr="00F618E1" w:rsidRDefault="00D37A2E">
            <w:pPr>
              <w:keepNext/>
              <w:rPr>
                <w:rFonts w:eastAsiaTheme="minorHAnsi" w:cs="Arial"/>
              </w:rPr>
            </w:pPr>
            <w:r w:rsidRPr="00F618E1">
              <w:rPr>
                <w:rFonts w:cs="Arial"/>
                <w:b/>
                <w:bCs/>
                <w:color w:val="FFFFFF"/>
                <w:sz w:val="20"/>
                <w:szCs w:val="20"/>
              </w:rPr>
              <w:t>Percentage of decisions made within statutory timeframes</w:t>
            </w:r>
          </w:p>
        </w:tc>
        <w:tc>
          <w:tcPr>
            <w:tcW w:w="1416" w:type="dxa"/>
            <w:tcBorders>
              <w:top w:val="nil"/>
              <w:left w:val="nil"/>
              <w:bottom w:val="single" w:sz="8" w:space="0" w:color="FFFFFF"/>
              <w:right w:val="single" w:sz="8" w:space="0" w:color="FFFFFF"/>
            </w:tcBorders>
            <w:shd w:val="clear" w:color="auto" w:fill="B8CCE4"/>
            <w:tcMar>
              <w:top w:w="0" w:type="dxa"/>
              <w:left w:w="108" w:type="dxa"/>
              <w:bottom w:w="0" w:type="dxa"/>
              <w:right w:w="108" w:type="dxa"/>
            </w:tcMar>
            <w:hideMark/>
          </w:tcPr>
          <w:p w:rsidR="00D37A2E" w:rsidRPr="00F618E1" w:rsidRDefault="00D37A2E">
            <w:pPr>
              <w:keepNext/>
              <w:rPr>
                <w:rFonts w:eastAsiaTheme="minorHAnsi" w:cs="Arial"/>
              </w:rPr>
            </w:pPr>
            <w:r w:rsidRPr="00F618E1">
              <w:rPr>
                <w:rFonts w:cs="Arial"/>
                <w:sz w:val="20"/>
                <w:szCs w:val="20"/>
              </w:rPr>
              <w:t>65.6%</w:t>
            </w:r>
            <w:r w:rsidR="00C81B51">
              <w:rPr>
                <w:rStyle w:val="FootnoteReference"/>
                <w:rFonts w:cs="Arial"/>
                <w:sz w:val="20"/>
                <w:szCs w:val="20"/>
              </w:rPr>
              <w:footnoteReference w:id="37"/>
            </w:r>
          </w:p>
        </w:tc>
      </w:tr>
    </w:tbl>
    <w:p w:rsidR="000B573E" w:rsidRPr="00C81B51" w:rsidRDefault="000B573E" w:rsidP="008C680D">
      <w:pPr>
        <w:pStyle w:val="Heading3"/>
        <w:numPr>
          <w:ilvl w:val="0"/>
          <w:numId w:val="0"/>
        </w:numPr>
        <w:ind w:left="720"/>
      </w:pPr>
    </w:p>
    <w:p w:rsidR="008C680D" w:rsidRPr="00C81B51" w:rsidRDefault="00B016E0" w:rsidP="008C680D">
      <w:pPr>
        <w:pStyle w:val="Heading3"/>
      </w:pPr>
      <w:bookmarkStart w:id="875" w:name="_Toc391541625"/>
      <w:r w:rsidRPr="00C81B51">
        <w:t>Time taken to complete an assessment</w:t>
      </w:r>
      <w:bookmarkEnd w:id="875"/>
    </w:p>
    <w:p w:rsidR="008C680D" w:rsidRPr="00C81B51" w:rsidRDefault="00D34AD1" w:rsidP="00D34AD1">
      <w:pPr>
        <w:pStyle w:val="ListBullet"/>
        <w:numPr>
          <w:ilvl w:val="0"/>
          <w:numId w:val="0"/>
        </w:numPr>
      </w:pPr>
      <w:r w:rsidRPr="00C81B51">
        <w:t xml:space="preserve">The Department will also monitor the number of calendar days from referral to approval. </w:t>
      </w:r>
      <w:fldSimple w:instr=" REF _Ref388967465 \h  \* MERGEFORMAT ">
        <w:r w:rsidR="001D521C" w:rsidRPr="00C81B51">
          <w:t xml:space="preserve">Table </w:t>
        </w:r>
        <w:r w:rsidR="001D521C">
          <w:rPr>
            <w:noProof/>
          </w:rPr>
          <w:t>25</w:t>
        </w:r>
      </w:fldSimple>
      <w:r w:rsidRPr="00C81B51">
        <w:t xml:space="preserve"> sets out the number of calendar days from referral to approval over the last five financial years.</w:t>
      </w:r>
      <w:r w:rsidR="005D66A8" w:rsidRPr="00C81B51">
        <w:t xml:space="preserve"> </w:t>
      </w:r>
    </w:p>
    <w:p w:rsidR="00DD7613" w:rsidRPr="00C81B51" w:rsidRDefault="00DD7613" w:rsidP="00DD7613">
      <w:pPr>
        <w:pStyle w:val="Caption"/>
        <w:keepNext/>
      </w:pPr>
      <w:bookmarkStart w:id="876" w:name="_Ref388967465"/>
      <w:bookmarkStart w:id="877" w:name="_Toc391541669"/>
      <w:proofErr w:type="gramStart"/>
      <w:r w:rsidRPr="00C81B51">
        <w:t xml:space="preserve">Table </w:t>
      </w:r>
      <w:r w:rsidR="00D30427" w:rsidRPr="00C81B51">
        <w:fldChar w:fldCharType="begin"/>
      </w:r>
      <w:r w:rsidR="008905D5" w:rsidRPr="00C81B51">
        <w:instrText xml:space="preserve"> SEQ Table \* ARABIC </w:instrText>
      </w:r>
      <w:r w:rsidR="00D30427" w:rsidRPr="00C81B51">
        <w:fldChar w:fldCharType="separate"/>
      </w:r>
      <w:r w:rsidR="001D521C">
        <w:rPr>
          <w:noProof/>
        </w:rPr>
        <w:t>25</w:t>
      </w:r>
      <w:r w:rsidR="00D30427" w:rsidRPr="00C81B51">
        <w:fldChar w:fldCharType="end"/>
      </w:r>
      <w:bookmarkEnd w:id="876"/>
      <w:r w:rsidRPr="00C81B51">
        <w:t>.</w:t>
      </w:r>
      <w:proofErr w:type="gramEnd"/>
      <w:r w:rsidRPr="00C81B51">
        <w:t xml:space="preserve"> Number of calendar days from referral to approval</w:t>
      </w:r>
      <w:bookmarkEnd w:id="877"/>
    </w:p>
    <w:tbl>
      <w:tblPr>
        <w:tblW w:w="9729" w:type="dxa"/>
        <w:tblCellMar>
          <w:left w:w="0" w:type="dxa"/>
          <w:right w:w="0" w:type="dxa"/>
        </w:tblCellMar>
        <w:tblLook w:val="04A0"/>
      </w:tblPr>
      <w:tblGrid>
        <w:gridCol w:w="2649"/>
        <w:gridCol w:w="1416"/>
        <w:gridCol w:w="1416"/>
        <w:gridCol w:w="1416"/>
        <w:gridCol w:w="1416"/>
        <w:gridCol w:w="1416"/>
      </w:tblGrid>
      <w:tr w:rsidR="00DD7613" w:rsidRPr="00C81B51" w:rsidTr="00DD7613">
        <w:trPr>
          <w:cantSplit/>
        </w:trPr>
        <w:tc>
          <w:tcPr>
            <w:tcW w:w="2649" w:type="dxa"/>
            <w:tcBorders>
              <w:top w:val="single" w:sz="8" w:space="0" w:color="FFFFFF"/>
              <w:left w:val="single" w:sz="8" w:space="0" w:color="FFFFFF"/>
              <w:bottom w:val="single" w:sz="8" w:space="0" w:color="FFFFFF"/>
              <w:right w:val="nil"/>
            </w:tcBorders>
            <w:shd w:val="clear" w:color="auto" w:fill="4F81BD"/>
            <w:tcMar>
              <w:top w:w="0" w:type="dxa"/>
              <w:left w:w="108" w:type="dxa"/>
              <w:bottom w:w="0" w:type="dxa"/>
              <w:right w:w="108" w:type="dxa"/>
            </w:tcMar>
            <w:hideMark/>
          </w:tcPr>
          <w:p w:rsidR="00DD7613" w:rsidRPr="00C81B51" w:rsidRDefault="00DD7613" w:rsidP="00DD7613">
            <w:pPr>
              <w:keepNext/>
              <w:rPr>
                <w:rFonts w:eastAsiaTheme="minorHAnsi" w:cs="Arial"/>
                <w:b/>
                <w:bCs/>
              </w:rPr>
            </w:pPr>
            <w:r w:rsidRPr="00C81B51">
              <w:rPr>
                <w:rFonts w:cs="Arial"/>
                <w:b/>
                <w:bCs/>
                <w:color w:val="FFFFFF"/>
                <w:sz w:val="20"/>
                <w:szCs w:val="20"/>
              </w:rPr>
              <w:t>Financial year</w:t>
            </w:r>
          </w:p>
        </w:tc>
        <w:tc>
          <w:tcPr>
            <w:tcW w:w="1416" w:type="dxa"/>
            <w:tcBorders>
              <w:top w:val="single" w:sz="8" w:space="0" w:color="FFFFFF"/>
              <w:left w:val="nil"/>
              <w:bottom w:val="single" w:sz="8" w:space="0" w:color="FFFFFF"/>
              <w:right w:val="single" w:sz="8" w:space="0" w:color="FFFFFF"/>
            </w:tcBorders>
            <w:shd w:val="clear" w:color="auto" w:fill="4F81BD"/>
            <w:tcMar>
              <w:top w:w="0" w:type="dxa"/>
              <w:left w:w="108" w:type="dxa"/>
              <w:bottom w:w="0" w:type="dxa"/>
              <w:right w:w="108" w:type="dxa"/>
            </w:tcMar>
            <w:hideMark/>
          </w:tcPr>
          <w:p w:rsidR="00DD7613" w:rsidRPr="00C81B51" w:rsidRDefault="00DD7613" w:rsidP="00DD7613">
            <w:pPr>
              <w:keepNext/>
              <w:rPr>
                <w:rFonts w:eastAsiaTheme="minorHAnsi" w:cs="Arial"/>
                <w:b/>
                <w:bCs/>
                <w:color w:val="FFFFFF"/>
              </w:rPr>
            </w:pPr>
            <w:r w:rsidRPr="00C81B51">
              <w:rPr>
                <w:rFonts w:cs="Arial"/>
                <w:b/>
                <w:bCs/>
                <w:sz w:val="20"/>
                <w:szCs w:val="20"/>
              </w:rPr>
              <w:t>2008–09</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2009–10</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2010–11</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 xml:space="preserve">2011–12 </w:t>
            </w:r>
          </w:p>
        </w:tc>
        <w:tc>
          <w:tcPr>
            <w:tcW w:w="1416" w:type="dxa"/>
            <w:tcBorders>
              <w:top w:val="single" w:sz="8" w:space="0" w:color="FFFFFF"/>
              <w:left w:val="nil"/>
              <w:bottom w:val="single" w:sz="8" w:space="0" w:color="FFFFFF"/>
              <w:right w:val="single" w:sz="8" w:space="0" w:color="FFFFFF"/>
            </w:tcBorders>
            <w:shd w:val="clear" w:color="auto" w:fill="4F81BD"/>
          </w:tcPr>
          <w:p w:rsidR="00DD7613" w:rsidRPr="00C81B51" w:rsidRDefault="00DD7613" w:rsidP="00DD7613">
            <w:pPr>
              <w:keepNext/>
              <w:rPr>
                <w:rFonts w:cs="Arial"/>
                <w:b/>
                <w:bCs/>
                <w:sz w:val="20"/>
                <w:szCs w:val="20"/>
              </w:rPr>
            </w:pPr>
            <w:r w:rsidRPr="00C81B51">
              <w:rPr>
                <w:rFonts w:cs="Arial"/>
                <w:b/>
                <w:bCs/>
                <w:sz w:val="20"/>
                <w:szCs w:val="20"/>
              </w:rPr>
              <w:t>2012–13</w:t>
            </w:r>
          </w:p>
        </w:tc>
      </w:tr>
      <w:tr w:rsidR="00DD7613" w:rsidRPr="00C81B51" w:rsidTr="00DD7613">
        <w:trPr>
          <w:cantSplit/>
        </w:trPr>
        <w:tc>
          <w:tcPr>
            <w:tcW w:w="2649" w:type="dxa"/>
            <w:tcBorders>
              <w:top w:val="nil"/>
              <w:left w:val="single" w:sz="8" w:space="0" w:color="FFFFFF"/>
              <w:bottom w:val="single" w:sz="8" w:space="0" w:color="FFFFFF"/>
              <w:right w:val="single" w:sz="8" w:space="0" w:color="FFFFFF"/>
            </w:tcBorders>
            <w:shd w:val="clear" w:color="auto" w:fill="4F81BD"/>
            <w:tcMar>
              <w:top w:w="0" w:type="dxa"/>
              <w:left w:w="108" w:type="dxa"/>
              <w:bottom w:w="0" w:type="dxa"/>
              <w:right w:w="108" w:type="dxa"/>
            </w:tcMar>
            <w:hideMark/>
          </w:tcPr>
          <w:p w:rsidR="00DD7613" w:rsidRPr="00C81B51" w:rsidRDefault="00DD7613" w:rsidP="00DD7613">
            <w:pPr>
              <w:keepNext/>
              <w:rPr>
                <w:rFonts w:eastAsiaTheme="minorHAnsi" w:cs="Arial"/>
              </w:rPr>
            </w:pPr>
            <w:r w:rsidRPr="00C81B51">
              <w:rPr>
                <w:rFonts w:cs="Arial"/>
                <w:b/>
                <w:bCs/>
                <w:color w:val="FFFFFF"/>
                <w:sz w:val="20"/>
                <w:szCs w:val="20"/>
              </w:rPr>
              <w:t>Average calendar days from referral to approval</w:t>
            </w:r>
          </w:p>
        </w:tc>
        <w:tc>
          <w:tcPr>
            <w:tcW w:w="1416" w:type="dxa"/>
            <w:tcBorders>
              <w:top w:val="nil"/>
              <w:left w:val="nil"/>
              <w:bottom w:val="single" w:sz="8" w:space="0" w:color="FFFFFF"/>
              <w:right w:val="single" w:sz="8" w:space="0" w:color="FFFFFF"/>
            </w:tcBorders>
            <w:shd w:val="clear" w:color="auto" w:fill="B8CCE4"/>
            <w:tcMar>
              <w:top w:w="0" w:type="dxa"/>
              <w:left w:w="108" w:type="dxa"/>
              <w:bottom w:w="0" w:type="dxa"/>
              <w:right w:w="108" w:type="dxa"/>
            </w:tcMar>
            <w:hideMark/>
          </w:tcPr>
          <w:p w:rsidR="00DD7613" w:rsidRPr="00C81B51" w:rsidRDefault="00BD6AE7" w:rsidP="00DD7613">
            <w:pPr>
              <w:keepNext/>
              <w:rPr>
                <w:rFonts w:eastAsiaTheme="minorHAnsi" w:cs="Arial"/>
                <w:sz w:val="20"/>
                <w:szCs w:val="20"/>
              </w:rPr>
            </w:pPr>
            <w:r w:rsidRPr="00C81B51">
              <w:rPr>
                <w:rFonts w:eastAsiaTheme="minorHAnsi" w:cs="Arial"/>
                <w:sz w:val="20"/>
                <w:szCs w:val="20"/>
              </w:rPr>
              <w:t>579</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528</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482</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375</w:t>
            </w:r>
          </w:p>
        </w:tc>
        <w:tc>
          <w:tcPr>
            <w:tcW w:w="1416" w:type="dxa"/>
            <w:tcBorders>
              <w:top w:val="nil"/>
              <w:left w:val="nil"/>
              <w:bottom w:val="single" w:sz="8" w:space="0" w:color="FFFFFF"/>
              <w:right w:val="single" w:sz="8" w:space="0" w:color="FFFFFF"/>
            </w:tcBorders>
            <w:shd w:val="clear" w:color="auto" w:fill="B8CCE4"/>
          </w:tcPr>
          <w:p w:rsidR="00DD7613" w:rsidRPr="00C81B51" w:rsidRDefault="00BD6AE7" w:rsidP="00DD7613">
            <w:pPr>
              <w:keepNext/>
              <w:rPr>
                <w:rFonts w:eastAsiaTheme="minorHAnsi" w:cs="Arial"/>
                <w:sz w:val="20"/>
                <w:szCs w:val="20"/>
              </w:rPr>
            </w:pPr>
            <w:r w:rsidRPr="00C81B51">
              <w:rPr>
                <w:rFonts w:eastAsiaTheme="minorHAnsi" w:cs="Arial"/>
                <w:sz w:val="20"/>
                <w:szCs w:val="20"/>
              </w:rPr>
              <w:t>241</w:t>
            </w:r>
          </w:p>
        </w:tc>
      </w:tr>
    </w:tbl>
    <w:p w:rsidR="005D66A8" w:rsidRPr="00C81B51" w:rsidRDefault="005D66A8" w:rsidP="005D66A8">
      <w:pPr>
        <w:pStyle w:val="ListBullet"/>
        <w:numPr>
          <w:ilvl w:val="0"/>
          <w:numId w:val="0"/>
        </w:numPr>
      </w:pPr>
    </w:p>
    <w:p w:rsidR="008F5E38" w:rsidRPr="00C81B51" w:rsidRDefault="005D66A8" w:rsidP="008F5E38">
      <w:pPr>
        <w:pStyle w:val="Caption"/>
      </w:pPr>
      <w:r w:rsidRPr="00C81B51">
        <w:rPr>
          <w:noProof/>
          <w:lang w:eastAsia="en-AU"/>
        </w:rPr>
        <w:drawing>
          <wp:inline distT="0" distB="0" distL="0" distR="0">
            <wp:extent cx="5943600" cy="3952875"/>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8F5E38" w:rsidRPr="00C81B51">
        <w:t xml:space="preserve"> </w:t>
      </w:r>
      <w:bookmarkStart w:id="878" w:name="_Toc391541644"/>
      <w:proofErr w:type="gramStart"/>
      <w:r w:rsidR="008F5E38" w:rsidRPr="00C81B51">
        <w:t xml:space="preserve">Figure </w:t>
      </w:r>
      <w:r w:rsidR="00D30427" w:rsidRPr="00C81B51">
        <w:fldChar w:fldCharType="begin"/>
      </w:r>
      <w:r w:rsidR="00541DCF" w:rsidRPr="00C81B51">
        <w:instrText xml:space="preserve"> SEQ Figure \* ARABIC </w:instrText>
      </w:r>
      <w:r w:rsidR="00D30427" w:rsidRPr="00C81B51">
        <w:fldChar w:fldCharType="separate"/>
      </w:r>
      <w:r w:rsidR="001D521C">
        <w:rPr>
          <w:noProof/>
        </w:rPr>
        <w:t>15</w:t>
      </w:r>
      <w:r w:rsidR="00D30427" w:rsidRPr="00C81B51">
        <w:fldChar w:fldCharType="end"/>
      </w:r>
      <w:r w:rsidR="008F5E38" w:rsidRPr="00C81B51">
        <w:t>.</w:t>
      </w:r>
      <w:proofErr w:type="gramEnd"/>
      <w:r w:rsidR="008F5E38" w:rsidRPr="00C81B51">
        <w:t xml:space="preserve"> Average of calendar days from referral to approval: 2000 - 2013</w:t>
      </w:r>
      <w:bookmarkEnd w:id="878"/>
      <w:r w:rsidR="008F5E38" w:rsidRPr="00C81B51">
        <w:t xml:space="preserve"> </w:t>
      </w:r>
    </w:p>
    <w:p w:rsidR="00617C38" w:rsidRDefault="00617C38" w:rsidP="008C680D">
      <w:pPr>
        <w:pStyle w:val="Heading2"/>
      </w:pPr>
      <w:bookmarkStart w:id="879" w:name="_Toc391541626"/>
      <w:r w:rsidRPr="00FC12C4">
        <w:lastRenderedPageBreak/>
        <w:t>Monitoring mechanisms</w:t>
      </w:r>
      <w:bookmarkEnd w:id="866"/>
      <w:bookmarkEnd w:id="867"/>
      <w:bookmarkEnd w:id="868"/>
      <w:bookmarkEnd w:id="869"/>
      <w:bookmarkEnd w:id="879"/>
    </w:p>
    <w:p w:rsidR="00617C38" w:rsidRPr="00FC12C4" w:rsidRDefault="00617C38" w:rsidP="00617C38">
      <w:r>
        <w:t>In line with</w:t>
      </w:r>
      <w:r w:rsidRPr="00FC12C4">
        <w:t xml:space="preserve"> the Cost Recovery Guidelines</w:t>
      </w:r>
      <w:r>
        <w:t>,</w:t>
      </w:r>
      <w:r w:rsidRPr="00FC12C4">
        <w:t xml:space="preserve"> the </w:t>
      </w:r>
      <w:r w:rsidR="00F863F8">
        <w:t>D</w:t>
      </w:r>
      <w:r w:rsidRPr="00FC12C4">
        <w:t xml:space="preserve">epartment will engage in the ongoing monitoring of cost recovery revenue and expenses to ensure that the </w:t>
      </w:r>
      <w:r w:rsidR="00B42E8A">
        <w:t>Department</w:t>
      </w:r>
      <w:r w:rsidRPr="00FC12C4">
        <w:t xml:space="preserve"> is not over or under recovering cost</w:t>
      </w:r>
      <w:r>
        <w:t>s</w:t>
      </w:r>
      <w:r w:rsidRPr="00FC12C4">
        <w:t xml:space="preserve">. The </w:t>
      </w:r>
      <w:r w:rsidR="00F863F8">
        <w:t>D</w:t>
      </w:r>
      <w:r w:rsidRPr="00FC12C4">
        <w:t xml:space="preserve">epartment will </w:t>
      </w:r>
      <w:r>
        <w:t xml:space="preserve">report relevant </w:t>
      </w:r>
      <w:r w:rsidRPr="00FC12C4">
        <w:t xml:space="preserve">information in its Annual Report </w:t>
      </w:r>
      <w:r>
        <w:t xml:space="preserve">and Portfolio Budget </w:t>
      </w:r>
      <w:proofErr w:type="gramStart"/>
      <w:r>
        <w:t>Statement,</w:t>
      </w:r>
      <w:proofErr w:type="gramEnd"/>
      <w:r>
        <w:t xml:space="preserve"> and through updates to this CRIS on a regular basis.</w:t>
      </w:r>
    </w:p>
    <w:p w:rsidR="00617C38" w:rsidRDefault="00617C38" w:rsidP="008C680D">
      <w:pPr>
        <w:pStyle w:val="Heading2"/>
      </w:pPr>
      <w:bookmarkStart w:id="880" w:name="_Toc343850809"/>
      <w:bookmarkStart w:id="881" w:name="_Toc344895186"/>
      <w:bookmarkStart w:id="882" w:name="_Toc346285362"/>
      <w:bookmarkStart w:id="883" w:name="_Toc391541627"/>
      <w:r>
        <w:t>R</w:t>
      </w:r>
      <w:r w:rsidRPr="00FC12C4">
        <w:t>eview</w:t>
      </w:r>
      <w:bookmarkEnd w:id="880"/>
      <w:bookmarkEnd w:id="881"/>
      <w:bookmarkEnd w:id="882"/>
      <w:r>
        <w:t xml:space="preserve"> of CRIS</w:t>
      </w:r>
      <w:bookmarkEnd w:id="883"/>
    </w:p>
    <w:p w:rsidR="00617C38" w:rsidRDefault="00617C38" w:rsidP="00617C38">
      <w:pPr>
        <w:rPr>
          <w:lang w:val="en-US"/>
        </w:rPr>
      </w:pPr>
      <w:r>
        <w:t xml:space="preserve">This CRIS is a living document, and will be updated as needed. The Department anticipates that a review of the CRIS will be conducted following the implementation of </w:t>
      </w:r>
      <w:r w:rsidR="00343837">
        <w:t>the ‘</w:t>
      </w:r>
      <w:r>
        <w:t>one stop shop</w:t>
      </w:r>
      <w:r w:rsidR="00343837">
        <w:t>’ policy</w:t>
      </w:r>
      <w:r>
        <w:t xml:space="preserve"> in late 2014, and a revised CRIS will be published after the review is completed.</w:t>
      </w:r>
    </w:p>
    <w:p w:rsidR="00617C38" w:rsidRDefault="00617C38" w:rsidP="00617C38">
      <w:r w:rsidRPr="00FC12C4">
        <w:t>The</w:t>
      </w:r>
      <w:r>
        <w:t xml:space="preserve"> </w:t>
      </w:r>
      <w:r w:rsidRPr="00FC12C4">
        <w:t>review process will</w:t>
      </w:r>
      <w:r>
        <w:t xml:space="preserve"> consider the implications of </w:t>
      </w:r>
      <w:r w:rsidR="00343837">
        <w:t>the ‘</w:t>
      </w:r>
      <w:r>
        <w:t>one stop shop</w:t>
      </w:r>
      <w:r w:rsidR="00343837">
        <w:t>’</w:t>
      </w:r>
      <w:r w:rsidR="00631069">
        <w:t xml:space="preserve"> policy</w:t>
      </w:r>
      <w:r>
        <w:t>, as well as</w:t>
      </w:r>
      <w:r w:rsidRPr="00FC12C4">
        <w:t>:</w:t>
      </w:r>
    </w:p>
    <w:p w:rsidR="00617C38" w:rsidRPr="00BF10D6" w:rsidRDefault="00C205F0" w:rsidP="008F17D2">
      <w:pPr>
        <w:pStyle w:val="ListBullet"/>
      </w:pPr>
      <w:r>
        <w:t>M</w:t>
      </w:r>
      <w:r w:rsidR="00617C38" w:rsidRPr="00BF10D6">
        <w:t xml:space="preserve">easure </w:t>
      </w:r>
      <w:r w:rsidR="00617C38" w:rsidRPr="00C74770">
        <w:t xml:space="preserve">efficiencies to the system that have been gained through changes to </w:t>
      </w:r>
      <w:r w:rsidR="001C2CB2">
        <w:t>departmental</w:t>
      </w:r>
      <w:r w:rsidR="00617C38" w:rsidRPr="00C74770">
        <w:t xml:space="preserve"> processes</w:t>
      </w:r>
      <w:r w:rsidR="008F17D2">
        <w:t>,</w:t>
      </w:r>
    </w:p>
    <w:p w:rsidR="00617C38" w:rsidRDefault="00C205F0" w:rsidP="008F17D2">
      <w:pPr>
        <w:pStyle w:val="ListBullet"/>
      </w:pPr>
      <w:r>
        <w:t>R</w:t>
      </w:r>
      <w:r w:rsidR="00617C38" w:rsidRPr="00C74770">
        <w:t>eview the costs of providing regulatory services to determine the efficiency, cost effectiveness and appropriateness of cost recovery</w:t>
      </w:r>
      <w:r w:rsidR="008F17D2">
        <w:t>,</w:t>
      </w:r>
      <w:r w:rsidR="00617C38" w:rsidRPr="00C74770">
        <w:t xml:space="preserve"> and</w:t>
      </w:r>
    </w:p>
    <w:p w:rsidR="00617C38" w:rsidRDefault="00C205F0">
      <w:pPr>
        <w:pStyle w:val="ListBullet"/>
      </w:pPr>
      <w:r>
        <w:t>D</w:t>
      </w:r>
      <w:r w:rsidR="00617C38" w:rsidRPr="00C74770">
        <w:t>etermine whether fees, or administrative aspects of cost recovery, require re-evaluation.</w:t>
      </w:r>
    </w:p>
    <w:p w:rsidR="00617C38" w:rsidRDefault="00617C38" w:rsidP="00C74770">
      <w:r>
        <w:t>T</w:t>
      </w:r>
      <w:r w:rsidRPr="00FC12C4">
        <w:t xml:space="preserve">he </w:t>
      </w:r>
      <w:r w:rsidR="00E50F49">
        <w:t>D</w:t>
      </w:r>
      <w:r w:rsidRPr="00FC12C4">
        <w:t xml:space="preserve">epartment </w:t>
      </w:r>
      <w:r>
        <w:t xml:space="preserve">is committed to reviewing fees as significant improvements are made to the assessment process, to ensure the costs reflect the benefits of increased efficiency. The </w:t>
      </w:r>
      <w:r w:rsidR="00F863F8">
        <w:t>D</w:t>
      </w:r>
      <w:r>
        <w:t xml:space="preserve">epartment </w:t>
      </w:r>
      <w:r w:rsidRPr="00FC12C4">
        <w:t>will involv</w:t>
      </w:r>
      <w:r>
        <w:t>e</w:t>
      </w:r>
      <w:r w:rsidRPr="00FC12C4">
        <w:t xml:space="preserve"> stakeholders in </w:t>
      </w:r>
      <w:r>
        <w:t>any significant</w:t>
      </w:r>
      <w:r w:rsidRPr="00FC12C4">
        <w:t xml:space="preserve"> </w:t>
      </w:r>
      <w:r>
        <w:t>review of cost recovery arrangements.</w:t>
      </w:r>
    </w:p>
    <w:p w:rsidR="00617C38" w:rsidRPr="00617C38" w:rsidRDefault="00F863F8" w:rsidP="00617C38">
      <w:r>
        <w:t>The schedule of fees will be updated for each future financial year to reflect increases to the consumer price index.</w:t>
      </w:r>
    </w:p>
    <w:p w:rsidR="00BC6B5B" w:rsidRDefault="00BC6B5B">
      <w:pPr>
        <w:spacing w:after="0" w:line="240" w:lineRule="auto"/>
        <w:rPr>
          <w:rFonts w:cs="Arial"/>
          <w:b/>
        </w:rPr>
      </w:pPr>
      <w:bookmarkStart w:id="884" w:name="review"/>
      <w:r>
        <w:br w:type="page"/>
      </w:r>
    </w:p>
    <w:p w:rsidR="00165CB2" w:rsidRDefault="00165CB2" w:rsidP="00165CB2">
      <w:pPr>
        <w:pStyle w:val="Heading1"/>
      </w:pPr>
      <w:bookmarkStart w:id="885" w:name="_Toc391541628"/>
      <w:r>
        <w:lastRenderedPageBreak/>
        <w:t>KEY FORWARD DATES AND EVENTS</w:t>
      </w:r>
      <w:bookmarkEnd w:id="885"/>
      <w:r>
        <w:t xml:space="preserve"> </w:t>
      </w:r>
    </w:p>
    <w:p w:rsidR="000B573E" w:rsidRDefault="00CA3ABF">
      <w:pPr>
        <w:rPr>
          <w:lang w:val="en-US"/>
        </w:rPr>
      </w:pPr>
      <w:r w:rsidRPr="00CA3ABF">
        <w:rPr>
          <w:lang w:val="en-US"/>
        </w:rPr>
        <w:t>The key forward dates and events for cost recovery for environmental assessments under the EPBC Act are:</w:t>
      </w:r>
    </w:p>
    <w:p w:rsidR="006C2DF9" w:rsidRPr="00BC6B5B" w:rsidRDefault="00CA3ABF">
      <w:pPr>
        <w:pStyle w:val="ListBullet"/>
        <w:rPr>
          <w:lang w:val="en-US"/>
        </w:rPr>
      </w:pPr>
      <w:r w:rsidRPr="00CA3ABF">
        <w:rPr>
          <w:lang w:val="en-US"/>
        </w:rPr>
        <w:t>Updating this CRIS (July 2014 to June 2015) following the implementation of the ‘one stop shop’ policy of the Australian Government by late 2014</w:t>
      </w:r>
      <w:r w:rsidR="00761D55">
        <w:rPr>
          <w:lang w:val="en-US"/>
        </w:rPr>
        <w:t>.</w:t>
      </w:r>
    </w:p>
    <w:p w:rsidR="006C2DF9" w:rsidRPr="00BC6B5B" w:rsidRDefault="00CA3ABF">
      <w:pPr>
        <w:pStyle w:val="ListBullet"/>
        <w:rPr>
          <w:lang w:val="en-US"/>
        </w:rPr>
      </w:pPr>
      <w:r w:rsidRPr="00CA3ABF">
        <w:rPr>
          <w:lang w:val="en-US"/>
        </w:rPr>
        <w:t xml:space="preserve">Revising the projected revenue from cost recovery for environmental assessments under the EPBC Act for the 2014-15 financial </w:t>
      </w:r>
      <w:proofErr w:type="gramStart"/>
      <w:r w:rsidRPr="00CA3ABF">
        <w:rPr>
          <w:lang w:val="en-US"/>
        </w:rPr>
        <w:t>year</w:t>
      </w:r>
      <w:proofErr w:type="gramEnd"/>
      <w:r w:rsidRPr="00CA3ABF">
        <w:rPr>
          <w:lang w:val="en-US"/>
        </w:rPr>
        <w:t xml:space="preserve"> in early 2015</w:t>
      </w:r>
      <w:r w:rsidR="00761D55">
        <w:rPr>
          <w:lang w:val="en-US"/>
        </w:rPr>
        <w:t>.</w:t>
      </w:r>
    </w:p>
    <w:p w:rsidR="00BA3A7B" w:rsidRPr="00BC6B5B" w:rsidRDefault="00CA3ABF">
      <w:pPr>
        <w:pStyle w:val="ListBullet"/>
        <w:rPr>
          <w:lang w:val="en-US"/>
        </w:rPr>
      </w:pPr>
      <w:r w:rsidRPr="00CA3ABF">
        <w:rPr>
          <w:lang w:val="en-US"/>
        </w:rPr>
        <w:t>Providing the forward estimates for cost recovery for environmental assessments under the EPBC Act from 2015-16 in early 2015.</w:t>
      </w:r>
    </w:p>
    <w:p w:rsidR="00BC6B5B" w:rsidRDefault="00BC6B5B">
      <w:pPr>
        <w:spacing w:after="0" w:line="240" w:lineRule="auto"/>
        <w:rPr>
          <w:rFonts w:cs="Arial"/>
          <w:b/>
          <w:lang w:val="en-US"/>
        </w:rPr>
      </w:pPr>
      <w:r>
        <w:rPr>
          <w:lang w:val="en-US"/>
        </w:rPr>
        <w:br w:type="page"/>
      </w:r>
    </w:p>
    <w:p w:rsidR="00330671" w:rsidRPr="00BC6B5B" w:rsidRDefault="00CA3ABF" w:rsidP="00167522">
      <w:pPr>
        <w:pStyle w:val="Heading1"/>
        <w:rPr>
          <w:lang w:val="en-US"/>
        </w:rPr>
      </w:pPr>
      <w:bookmarkStart w:id="886" w:name="_Toc391541629"/>
      <w:r w:rsidRPr="00CA3ABF">
        <w:rPr>
          <w:lang w:val="en-US"/>
        </w:rPr>
        <w:lastRenderedPageBreak/>
        <w:t>CRIS APPROVAL AND CHANGE REGISTER</w:t>
      </w:r>
      <w:bookmarkEnd w:id="886"/>
    </w:p>
    <w:p w:rsidR="00330671" w:rsidRPr="00BC6B5B" w:rsidRDefault="00CA3ABF" w:rsidP="00330671">
      <w:r w:rsidRPr="00CA3ABF">
        <w:t>List approvals and changes made to the CRIS. The table below is one way how this information can be recorded.</w:t>
      </w:r>
    </w:p>
    <w:tbl>
      <w:tblPr>
        <w:tblStyle w:val="TableGrid"/>
        <w:tblW w:w="0" w:type="auto"/>
        <w:tblLook w:val="04A0"/>
      </w:tblPr>
      <w:tblGrid>
        <w:gridCol w:w="1101"/>
        <w:gridCol w:w="2871"/>
        <w:gridCol w:w="2871"/>
        <w:gridCol w:w="2871"/>
      </w:tblGrid>
      <w:tr w:rsidR="002B4159" w:rsidRPr="00BC6B5B" w:rsidTr="002B4159">
        <w:trPr>
          <w:cnfStyle w:val="100000000000"/>
        </w:trPr>
        <w:tc>
          <w:tcPr>
            <w:tcW w:w="1101" w:type="dxa"/>
          </w:tcPr>
          <w:p w:rsidR="002B4159" w:rsidRPr="00BC6B5B" w:rsidRDefault="00CA3ABF" w:rsidP="00330671">
            <w:pPr>
              <w:rPr>
                <w:b/>
              </w:rPr>
            </w:pPr>
            <w:r w:rsidRPr="00CA3ABF">
              <w:rPr>
                <w:b/>
              </w:rPr>
              <w:t>Date</w:t>
            </w:r>
          </w:p>
        </w:tc>
        <w:tc>
          <w:tcPr>
            <w:tcW w:w="2871" w:type="dxa"/>
          </w:tcPr>
          <w:p w:rsidR="002B4159" w:rsidRPr="00BC6B5B" w:rsidRDefault="00CA3ABF" w:rsidP="00330671">
            <w:pPr>
              <w:rPr>
                <w:b/>
              </w:rPr>
            </w:pPr>
            <w:r w:rsidRPr="00CA3ABF">
              <w:rPr>
                <w:b/>
              </w:rPr>
              <w:t>Description</w:t>
            </w:r>
          </w:p>
        </w:tc>
        <w:tc>
          <w:tcPr>
            <w:tcW w:w="2871" w:type="dxa"/>
          </w:tcPr>
          <w:p w:rsidR="002B4159" w:rsidRPr="00BC6B5B" w:rsidRDefault="00CA3ABF" w:rsidP="00330671">
            <w:pPr>
              <w:rPr>
                <w:b/>
              </w:rPr>
            </w:pPr>
            <w:r w:rsidRPr="00CA3ABF">
              <w:rPr>
                <w:b/>
              </w:rPr>
              <w:t>Approved by</w:t>
            </w:r>
          </w:p>
        </w:tc>
        <w:tc>
          <w:tcPr>
            <w:tcW w:w="2871" w:type="dxa"/>
          </w:tcPr>
          <w:p w:rsidR="002B4159" w:rsidRPr="00BC6B5B" w:rsidRDefault="00CA3ABF" w:rsidP="00330671">
            <w:pPr>
              <w:rPr>
                <w:b/>
              </w:rPr>
            </w:pPr>
            <w:r w:rsidRPr="00CA3ABF">
              <w:rPr>
                <w:b/>
              </w:rPr>
              <w:t>Comments</w:t>
            </w:r>
          </w:p>
        </w:tc>
      </w:tr>
      <w:tr w:rsidR="002B4159" w:rsidRPr="00BC6B5B" w:rsidTr="002B4159">
        <w:trPr>
          <w:cnfStyle w:val="000000100000"/>
        </w:trPr>
        <w:tc>
          <w:tcPr>
            <w:tcW w:w="1101" w:type="dxa"/>
          </w:tcPr>
          <w:p w:rsidR="002B4159" w:rsidRPr="00BC6B5B" w:rsidRDefault="002B4159" w:rsidP="00330671"/>
        </w:tc>
        <w:tc>
          <w:tcPr>
            <w:tcW w:w="2871" w:type="dxa"/>
          </w:tcPr>
          <w:p w:rsidR="002B4159" w:rsidRPr="00BC6B5B" w:rsidRDefault="00CA3ABF" w:rsidP="00330671">
            <w:r w:rsidRPr="00CA3ABF">
              <w:t>Certification of the CRIS</w:t>
            </w:r>
          </w:p>
        </w:tc>
        <w:tc>
          <w:tcPr>
            <w:tcW w:w="2871" w:type="dxa"/>
          </w:tcPr>
          <w:p w:rsidR="002B4159" w:rsidRPr="00BC6B5B" w:rsidRDefault="002B4159" w:rsidP="00330671"/>
        </w:tc>
        <w:tc>
          <w:tcPr>
            <w:tcW w:w="2871" w:type="dxa"/>
          </w:tcPr>
          <w:p w:rsidR="002B4159" w:rsidRPr="00BC6B5B" w:rsidRDefault="002B4159" w:rsidP="00330671"/>
        </w:tc>
      </w:tr>
      <w:tr w:rsidR="002B4159" w:rsidRPr="00BC6B5B" w:rsidTr="002B4159">
        <w:trPr>
          <w:cnfStyle w:val="000000010000"/>
        </w:trPr>
        <w:tc>
          <w:tcPr>
            <w:tcW w:w="1101" w:type="dxa"/>
          </w:tcPr>
          <w:p w:rsidR="002B4159" w:rsidRPr="00BC6B5B" w:rsidRDefault="002B4159" w:rsidP="00330671"/>
        </w:tc>
        <w:tc>
          <w:tcPr>
            <w:tcW w:w="2871" w:type="dxa"/>
          </w:tcPr>
          <w:p w:rsidR="002B4159" w:rsidRPr="00BC6B5B" w:rsidRDefault="00CA3ABF" w:rsidP="00330671">
            <w:r w:rsidRPr="00CA3ABF">
              <w:t>Agreement to the CRIS</w:t>
            </w:r>
          </w:p>
        </w:tc>
        <w:tc>
          <w:tcPr>
            <w:tcW w:w="2871" w:type="dxa"/>
          </w:tcPr>
          <w:p w:rsidR="002B4159" w:rsidRPr="00BC6B5B" w:rsidRDefault="002B4159" w:rsidP="00330671"/>
        </w:tc>
        <w:tc>
          <w:tcPr>
            <w:tcW w:w="2871" w:type="dxa"/>
          </w:tcPr>
          <w:p w:rsidR="002B4159" w:rsidRPr="00BC6B5B" w:rsidRDefault="002B4159" w:rsidP="00330671"/>
        </w:tc>
      </w:tr>
      <w:tr w:rsidR="002B4159" w:rsidTr="002B4159">
        <w:trPr>
          <w:cnfStyle w:val="000000100000"/>
        </w:trPr>
        <w:tc>
          <w:tcPr>
            <w:tcW w:w="1101" w:type="dxa"/>
          </w:tcPr>
          <w:p w:rsidR="002B4159" w:rsidRPr="00BC6B5B" w:rsidRDefault="002B4159" w:rsidP="00330671"/>
        </w:tc>
        <w:tc>
          <w:tcPr>
            <w:tcW w:w="2871" w:type="dxa"/>
          </w:tcPr>
          <w:p w:rsidR="002B4159" w:rsidRDefault="00CA3ABF" w:rsidP="00330671">
            <w:r w:rsidRPr="00CA3ABF">
              <w:t>Approval of the CRIS</w:t>
            </w:r>
          </w:p>
        </w:tc>
        <w:tc>
          <w:tcPr>
            <w:tcW w:w="2871" w:type="dxa"/>
          </w:tcPr>
          <w:p w:rsidR="002B4159" w:rsidRDefault="002B4159" w:rsidP="00330671"/>
        </w:tc>
        <w:tc>
          <w:tcPr>
            <w:tcW w:w="2871" w:type="dxa"/>
          </w:tcPr>
          <w:p w:rsidR="002B4159" w:rsidRDefault="002B4159" w:rsidP="00330671"/>
        </w:tc>
      </w:tr>
    </w:tbl>
    <w:p w:rsidR="002B4159" w:rsidRDefault="002B4159" w:rsidP="00330671"/>
    <w:p w:rsidR="00613F54" w:rsidRDefault="00613F54">
      <w:pPr>
        <w:spacing w:after="0" w:line="240" w:lineRule="auto"/>
        <w:rPr>
          <w:rFonts w:cs="Arial"/>
          <w:b/>
          <w:caps/>
        </w:rPr>
      </w:pPr>
      <w:bookmarkStart w:id="887" w:name="AppendixA"/>
      <w:bookmarkStart w:id="888" w:name="_Toc343850812"/>
      <w:bookmarkStart w:id="889" w:name="_Toc344895189"/>
      <w:bookmarkStart w:id="890" w:name="_Toc346285365"/>
      <w:bookmarkEnd w:id="884"/>
      <w:r>
        <w:rPr>
          <w:caps/>
        </w:rPr>
        <w:br w:type="page"/>
      </w:r>
    </w:p>
    <w:p w:rsidR="000B573E" w:rsidRPr="00F34768" w:rsidRDefault="00183736">
      <w:pPr>
        <w:pStyle w:val="IndexHeading"/>
        <w:rPr>
          <w:rFonts w:ascii="Arial" w:hAnsi="Arial" w:cs="Arial"/>
        </w:rPr>
      </w:pPr>
      <w:r w:rsidRPr="00F34768">
        <w:rPr>
          <w:rFonts w:ascii="Arial" w:hAnsi="Arial" w:cs="Arial"/>
          <w:caps/>
        </w:rPr>
        <w:lastRenderedPageBreak/>
        <w:t>Appendix</w:t>
      </w:r>
      <w:r w:rsidRPr="00F34768">
        <w:rPr>
          <w:rFonts w:ascii="Arial" w:hAnsi="Arial" w:cs="Arial"/>
        </w:rPr>
        <w:t xml:space="preserve"> A</w:t>
      </w:r>
      <w:bookmarkEnd w:id="887"/>
      <w:r w:rsidRPr="00F34768">
        <w:rPr>
          <w:rFonts w:ascii="Arial" w:hAnsi="Arial" w:cs="Arial"/>
        </w:rPr>
        <w:t>:</w:t>
      </w:r>
      <w:r w:rsidRPr="00F34768">
        <w:rPr>
          <w:rFonts w:ascii="Arial" w:hAnsi="Arial" w:cs="Arial"/>
        </w:rPr>
        <w:tab/>
        <w:t>SCHEDULE OF FEES</w:t>
      </w:r>
      <w:bookmarkEnd w:id="888"/>
      <w:bookmarkEnd w:id="889"/>
      <w:bookmarkEnd w:id="890"/>
    </w:p>
    <w:p w:rsidR="00183736" w:rsidRPr="00FC12C4" w:rsidRDefault="00D30427" w:rsidP="00183736">
      <w:pPr>
        <w:pStyle w:val="BodyText"/>
        <w:rPr>
          <w:color w:val="000000"/>
        </w:rPr>
      </w:pPr>
      <w:r w:rsidRPr="00D30427">
        <w:rPr>
          <w:lang w:val="en-US"/>
        </w:rPr>
        <w:pict>
          <v:shapetype id="_x0000_t32" coordsize="21600,21600" o:spt="32" o:oned="t" path="m,l21600,21600e" filled="f">
            <v:path arrowok="t" fillok="f" o:connecttype="none"/>
            <o:lock v:ext="edit" shapetype="t"/>
          </v:shapetype>
          <v:shape id="_x0000_s1036" type="#_x0000_t32" style="position:absolute;left:0;text-align:left;margin-left:1pt;margin-top:2pt;width:491.45pt;height:0;z-index:251662336" o:connectortype="straight" strokecolor="#548dd4 [1951]" strokeweight="2.25pt">
            <v:shadow type="perspective" color="#243f60 [1604]" opacity=".5" offset="1pt" offset2="-1pt"/>
          </v:shape>
        </w:pict>
      </w:r>
    </w:p>
    <w:p w:rsidR="00183736" w:rsidRPr="0057352B" w:rsidRDefault="00183736" w:rsidP="00183736">
      <w:pPr>
        <w:rPr>
          <w:rFonts w:eastAsia="SimSun"/>
          <w:color w:val="0070C0"/>
          <w:sz w:val="28"/>
          <w:szCs w:val="28"/>
          <w:lang w:val="en-US"/>
        </w:rPr>
      </w:pPr>
      <w:r w:rsidRPr="0057352B">
        <w:rPr>
          <w:rFonts w:eastAsia="SimSun"/>
          <w:color w:val="0070C0"/>
          <w:sz w:val="28"/>
          <w:szCs w:val="28"/>
          <w:lang w:val="en-US"/>
        </w:rPr>
        <w:t xml:space="preserve">Fee schedule </w:t>
      </w:r>
      <w:r w:rsidR="00841950" w:rsidRPr="00841950">
        <w:rPr>
          <w:rFonts w:eastAsia="SimSun"/>
          <w:color w:val="0070C0"/>
          <w:sz w:val="28"/>
          <w:szCs w:val="28"/>
          <w:lang w:val="en-US"/>
        </w:rPr>
        <w:t>2014-15</w:t>
      </w:r>
    </w:p>
    <w:tbl>
      <w:tblPr>
        <w:tblW w:w="9774" w:type="dxa"/>
        <w:tblInd w:w="93" w:type="dxa"/>
        <w:tblLook w:val="04A0"/>
      </w:tblPr>
      <w:tblGrid>
        <w:gridCol w:w="1084"/>
        <w:gridCol w:w="1036"/>
        <w:gridCol w:w="1581"/>
        <w:gridCol w:w="1843"/>
        <w:gridCol w:w="283"/>
        <w:gridCol w:w="971"/>
        <w:gridCol w:w="730"/>
        <w:gridCol w:w="829"/>
        <w:gridCol w:w="589"/>
        <w:gridCol w:w="828"/>
      </w:tblGrid>
      <w:tr w:rsidR="00183736" w:rsidRPr="0057352B" w:rsidTr="009013DB">
        <w:trPr>
          <w:trHeight w:val="167"/>
        </w:trPr>
        <w:tc>
          <w:tcPr>
            <w:tcW w:w="1084" w:type="dxa"/>
            <w:tcBorders>
              <w:top w:val="nil"/>
              <w:left w:val="nil"/>
              <w:bottom w:val="single" w:sz="4" w:space="0" w:color="4F81BD" w:themeColor="accent1"/>
              <w:right w:val="nil"/>
            </w:tcBorders>
            <w:shd w:val="clear" w:color="auto" w:fill="auto"/>
            <w:noWrap/>
            <w:vAlign w:val="center"/>
            <w:hideMark/>
          </w:tcPr>
          <w:p w:rsidR="00183736" w:rsidRPr="0057352B" w:rsidRDefault="00183736" w:rsidP="000B6A8D">
            <w:pPr>
              <w:rPr>
                <w:b/>
                <w:sz w:val="20"/>
                <w:szCs w:val="20"/>
                <w:u w:val="single"/>
                <w:lang w:eastAsia="en-AU"/>
              </w:rPr>
            </w:pPr>
            <w:r w:rsidRPr="0057352B">
              <w:rPr>
                <w:b/>
                <w:sz w:val="20"/>
                <w:szCs w:val="20"/>
                <w:u w:val="single"/>
                <w:lang w:eastAsia="en-AU"/>
              </w:rPr>
              <w:t>Referrals</w:t>
            </w:r>
          </w:p>
        </w:tc>
        <w:tc>
          <w:tcPr>
            <w:tcW w:w="1036" w:type="dxa"/>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581" w:type="dxa"/>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843" w:type="dxa"/>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254" w:type="dxa"/>
            <w:gridSpan w:val="2"/>
            <w:tcBorders>
              <w:top w:val="nil"/>
              <w:left w:val="nil"/>
              <w:bottom w:val="single" w:sz="4" w:space="0" w:color="4F81BD" w:themeColor="accent1"/>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559" w:type="dxa"/>
            <w:gridSpan w:val="2"/>
            <w:tcBorders>
              <w:top w:val="nil"/>
              <w:left w:val="nil"/>
              <w:right w:val="nil"/>
            </w:tcBorders>
            <w:shd w:val="clear" w:color="auto" w:fill="auto"/>
            <w:noWrap/>
            <w:vAlign w:val="bottom"/>
            <w:hideMark/>
          </w:tcPr>
          <w:p w:rsidR="00183736" w:rsidRPr="0057352B" w:rsidRDefault="00183736" w:rsidP="000B6A8D">
            <w:pPr>
              <w:rPr>
                <w:sz w:val="20"/>
                <w:szCs w:val="20"/>
                <w:u w:val="single"/>
                <w:lang w:eastAsia="en-AU"/>
              </w:rPr>
            </w:pPr>
          </w:p>
        </w:tc>
        <w:tc>
          <w:tcPr>
            <w:tcW w:w="1417" w:type="dxa"/>
            <w:gridSpan w:val="2"/>
            <w:tcBorders>
              <w:top w:val="nil"/>
              <w:left w:val="nil"/>
              <w:right w:val="nil"/>
            </w:tcBorders>
            <w:shd w:val="clear" w:color="auto" w:fill="auto"/>
            <w:noWrap/>
            <w:vAlign w:val="bottom"/>
            <w:hideMark/>
          </w:tcPr>
          <w:p w:rsidR="00183736" w:rsidRPr="0057352B" w:rsidRDefault="00183736" w:rsidP="000B6A8D">
            <w:pPr>
              <w:rPr>
                <w:sz w:val="20"/>
                <w:szCs w:val="20"/>
                <w:u w:val="single"/>
                <w:lang w:eastAsia="en-AU"/>
              </w:rPr>
            </w:pPr>
          </w:p>
        </w:tc>
      </w:tr>
      <w:tr w:rsidR="001F5C63" w:rsidRPr="0057352B" w:rsidTr="006A1E58">
        <w:trPr>
          <w:gridAfter w:val="1"/>
          <w:wAfter w:w="828" w:type="dxa"/>
          <w:trHeight w:val="51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1F5C63" w:rsidRPr="00D70F38" w:rsidRDefault="001F5C63" w:rsidP="000B6A8D">
            <w:pPr>
              <w:jc w:val="center"/>
              <w:rPr>
                <w:b/>
                <w:sz w:val="20"/>
                <w:szCs w:val="20"/>
                <w:lang w:eastAsia="en-AU"/>
              </w:rPr>
            </w:pPr>
            <w:r w:rsidRPr="00D70F38">
              <w:rPr>
                <w:b/>
                <w:sz w:val="20"/>
                <w:szCs w:val="20"/>
                <w:lang w:eastAsia="en-AU"/>
              </w:rPr>
              <w:t>Activity</w:t>
            </w:r>
          </w:p>
        </w:tc>
        <w:tc>
          <w:tcPr>
            <w:tcW w:w="158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F5C63" w:rsidRPr="00D70F38" w:rsidRDefault="001F5C63" w:rsidP="000B6A8D">
            <w:pPr>
              <w:jc w:val="center"/>
              <w:rPr>
                <w:b/>
                <w:sz w:val="20"/>
                <w:szCs w:val="20"/>
                <w:lang w:eastAsia="en-AU"/>
              </w:rPr>
            </w:pPr>
            <w:r>
              <w:rPr>
                <w:b/>
                <w:sz w:val="20"/>
                <w:szCs w:val="20"/>
                <w:lang w:eastAsia="en-AU"/>
              </w:rPr>
              <w:t>Complexity costs (B</w:t>
            </w:r>
            <w:r w:rsidRPr="00D70F38">
              <w:rPr>
                <w:b/>
                <w:sz w:val="20"/>
                <w:szCs w:val="20"/>
                <w:lang w:eastAsia="en-AU"/>
              </w:rPr>
              <w:t>)</w:t>
            </w:r>
          </w:p>
        </w:tc>
        <w:tc>
          <w:tcPr>
            <w:tcW w:w="1701"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Total</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1F5C63" w:rsidRPr="0057352B" w:rsidRDefault="001F5C63" w:rsidP="000B6A8D">
            <w:pPr>
              <w:rPr>
                <w:sz w:val="20"/>
                <w:szCs w:val="20"/>
                <w:lang w:eastAsia="en-AU"/>
              </w:rPr>
            </w:pPr>
          </w:p>
        </w:tc>
      </w:tr>
      <w:tr w:rsidR="001F5C63" w:rsidRPr="0057352B" w:rsidTr="006A1E58">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1F5C63" w:rsidRPr="0057352B" w:rsidRDefault="001F5C63" w:rsidP="000B6A8D">
            <w:pPr>
              <w:rPr>
                <w:sz w:val="20"/>
                <w:szCs w:val="20"/>
                <w:lang w:eastAsia="en-AU"/>
              </w:rPr>
            </w:pPr>
            <w:r w:rsidRPr="0057352B">
              <w:rPr>
                <w:sz w:val="20"/>
                <w:szCs w:val="20"/>
                <w:lang w:eastAsia="en-AU"/>
              </w:rPr>
              <w:t>Referral decision</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1F5C63" w:rsidRPr="0057352B" w:rsidRDefault="001F5C63" w:rsidP="000B6A8D">
            <w:pPr>
              <w:jc w:val="center"/>
              <w:rPr>
                <w:sz w:val="20"/>
                <w:szCs w:val="20"/>
                <w:lang w:eastAsia="en-AU"/>
              </w:rPr>
            </w:pPr>
            <w:r w:rsidRPr="00841950">
              <w:rPr>
                <w:sz w:val="20"/>
                <w:szCs w:val="20"/>
                <w:lang w:eastAsia="en-AU"/>
              </w:rPr>
              <w:t>$7,</w:t>
            </w:r>
            <w:r w:rsidR="00841950" w:rsidRPr="00841950">
              <w:rPr>
                <w:sz w:val="20"/>
                <w:szCs w:val="20"/>
                <w:lang w:eastAsia="en-AU"/>
              </w:rPr>
              <w:t>352</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1F5C63" w:rsidRPr="0057352B" w:rsidRDefault="001F5C63" w:rsidP="000B6A8D">
            <w:pPr>
              <w:jc w:val="center"/>
              <w:rPr>
                <w:sz w:val="20"/>
                <w:szCs w:val="20"/>
                <w:lang w:eastAsia="en-AU"/>
              </w:rPr>
            </w:pPr>
            <w:r w:rsidRPr="0057352B">
              <w:rPr>
                <w:sz w:val="20"/>
                <w:szCs w:val="20"/>
                <w:lang w:eastAsia="en-AU"/>
              </w:rPr>
              <w:t>N/A</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F5C63" w:rsidRPr="0057352B" w:rsidRDefault="001F5C63" w:rsidP="000B6A8D">
            <w:pPr>
              <w:jc w:val="center"/>
              <w:rPr>
                <w:sz w:val="20"/>
                <w:szCs w:val="20"/>
                <w:lang w:eastAsia="en-AU"/>
              </w:rPr>
            </w:pPr>
            <w:r w:rsidRPr="0043353F">
              <w:rPr>
                <w:sz w:val="20"/>
                <w:szCs w:val="20"/>
                <w:lang w:eastAsia="en-AU"/>
              </w:rPr>
              <w:t>$7,</w:t>
            </w:r>
            <w:r w:rsidR="0043353F" w:rsidRPr="0043353F">
              <w:rPr>
                <w:sz w:val="20"/>
                <w:szCs w:val="20"/>
                <w:lang w:eastAsia="en-AU"/>
              </w:rPr>
              <w:t>352</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1F5C63" w:rsidRPr="0057352B" w:rsidRDefault="001F5C63" w:rsidP="000B6A8D">
            <w:pPr>
              <w:rPr>
                <w:sz w:val="20"/>
                <w:szCs w:val="20"/>
                <w:lang w:eastAsia="en-AU"/>
              </w:rPr>
            </w:pPr>
          </w:p>
        </w:tc>
      </w:tr>
      <w:tr w:rsidR="001F5C63" w:rsidRPr="0057352B" w:rsidTr="006A1E58">
        <w:trPr>
          <w:gridAfter w:val="1"/>
          <w:wAfter w:w="828" w:type="dxa"/>
          <w:trHeight w:val="300"/>
        </w:trPr>
        <w:tc>
          <w:tcPr>
            <w:tcW w:w="1084" w:type="dxa"/>
            <w:tcBorders>
              <w:top w:val="single" w:sz="4" w:space="0" w:color="548DD4" w:themeColor="text2" w:themeTint="99"/>
              <w:left w:val="nil"/>
              <w:bottom w:val="nil"/>
              <w:right w:val="nil"/>
            </w:tcBorders>
            <w:shd w:val="clear" w:color="auto" w:fill="auto"/>
            <w:vAlign w:val="center"/>
            <w:hideMark/>
          </w:tcPr>
          <w:p w:rsidR="001F5C63" w:rsidRPr="0057352B" w:rsidRDefault="001F5C63" w:rsidP="000B6A8D">
            <w:pPr>
              <w:rPr>
                <w:sz w:val="20"/>
                <w:szCs w:val="20"/>
                <w:lang w:eastAsia="en-AU"/>
              </w:rPr>
            </w:pPr>
          </w:p>
        </w:tc>
        <w:tc>
          <w:tcPr>
            <w:tcW w:w="1036" w:type="dxa"/>
            <w:tcBorders>
              <w:top w:val="single" w:sz="4" w:space="0" w:color="548DD4" w:themeColor="text2" w:themeTint="99"/>
              <w:left w:val="nil"/>
              <w:bottom w:val="nil"/>
              <w:right w:val="nil"/>
            </w:tcBorders>
            <w:shd w:val="clear" w:color="auto" w:fill="auto"/>
            <w:vAlign w:val="center"/>
            <w:hideMark/>
          </w:tcPr>
          <w:p w:rsidR="001F5C63" w:rsidRPr="0057352B" w:rsidRDefault="001F5C63" w:rsidP="000B6A8D">
            <w:pPr>
              <w:rPr>
                <w:sz w:val="20"/>
                <w:szCs w:val="20"/>
                <w:lang w:eastAsia="en-AU"/>
              </w:rPr>
            </w:pPr>
          </w:p>
        </w:tc>
        <w:tc>
          <w:tcPr>
            <w:tcW w:w="1581" w:type="dxa"/>
            <w:tcBorders>
              <w:top w:val="single" w:sz="4" w:space="0" w:color="548DD4" w:themeColor="text2" w:themeTint="99"/>
              <w:left w:val="nil"/>
              <w:bottom w:val="nil"/>
              <w:right w:val="nil"/>
            </w:tcBorders>
            <w:shd w:val="clear" w:color="auto" w:fill="auto"/>
            <w:vAlign w:val="center"/>
            <w:hideMark/>
          </w:tcPr>
          <w:p w:rsidR="001F5C63" w:rsidRPr="0057352B" w:rsidRDefault="001F5C63" w:rsidP="000B6A8D">
            <w:pPr>
              <w:jc w:val="center"/>
              <w:rPr>
                <w:sz w:val="20"/>
                <w:szCs w:val="20"/>
                <w:lang w:eastAsia="en-AU"/>
              </w:rPr>
            </w:pPr>
          </w:p>
        </w:tc>
        <w:tc>
          <w:tcPr>
            <w:tcW w:w="2126" w:type="dxa"/>
            <w:gridSpan w:val="2"/>
            <w:tcBorders>
              <w:top w:val="single" w:sz="4" w:space="0" w:color="548DD4" w:themeColor="text2" w:themeTint="99"/>
              <w:left w:val="nil"/>
              <w:bottom w:val="nil"/>
              <w:right w:val="nil"/>
            </w:tcBorders>
            <w:shd w:val="clear" w:color="auto" w:fill="auto"/>
            <w:noWrap/>
            <w:vAlign w:val="center"/>
            <w:hideMark/>
          </w:tcPr>
          <w:p w:rsidR="001F5C63" w:rsidRPr="0057352B" w:rsidRDefault="001F5C63" w:rsidP="000B6A8D">
            <w:pPr>
              <w:jc w:val="center"/>
              <w:rPr>
                <w:sz w:val="20"/>
                <w:szCs w:val="20"/>
                <w:lang w:eastAsia="en-AU"/>
              </w:rPr>
            </w:pPr>
          </w:p>
        </w:tc>
        <w:tc>
          <w:tcPr>
            <w:tcW w:w="1701" w:type="dxa"/>
            <w:gridSpan w:val="2"/>
            <w:tcBorders>
              <w:top w:val="single" w:sz="4" w:space="0" w:color="548DD4" w:themeColor="text2" w:themeTint="99"/>
              <w:left w:val="nil"/>
              <w:bottom w:val="nil"/>
              <w:right w:val="nil"/>
            </w:tcBorders>
            <w:shd w:val="clear" w:color="auto" w:fill="auto"/>
            <w:noWrap/>
            <w:vAlign w:val="center"/>
            <w:hideMark/>
          </w:tcPr>
          <w:p w:rsidR="001F5C63" w:rsidRPr="0057352B" w:rsidRDefault="001F5C63" w:rsidP="000B6A8D">
            <w:pPr>
              <w:jc w:val="center"/>
              <w:rPr>
                <w:sz w:val="20"/>
                <w:szCs w:val="20"/>
                <w:lang w:eastAsia="en-AU"/>
              </w:rPr>
            </w:pPr>
          </w:p>
        </w:tc>
        <w:tc>
          <w:tcPr>
            <w:tcW w:w="1418" w:type="dxa"/>
            <w:gridSpan w:val="2"/>
            <w:tcBorders>
              <w:top w:val="nil"/>
              <w:left w:val="nil"/>
              <w:bottom w:val="nil"/>
              <w:right w:val="nil"/>
            </w:tcBorders>
            <w:shd w:val="clear" w:color="auto" w:fill="auto"/>
            <w:vAlign w:val="center"/>
            <w:hideMark/>
          </w:tcPr>
          <w:p w:rsidR="001F5C63" w:rsidRPr="0057352B" w:rsidRDefault="001F5C63" w:rsidP="000B6A8D">
            <w:pPr>
              <w:jc w:val="center"/>
              <w:rPr>
                <w:sz w:val="20"/>
                <w:szCs w:val="20"/>
                <w:lang w:eastAsia="en-AU"/>
              </w:rPr>
            </w:pPr>
          </w:p>
        </w:tc>
      </w:tr>
      <w:tr w:rsidR="001F5C63" w:rsidRPr="0057352B" w:rsidTr="00DF18B2">
        <w:trPr>
          <w:gridAfter w:val="1"/>
          <w:wAfter w:w="828" w:type="dxa"/>
          <w:trHeight w:val="300"/>
        </w:trPr>
        <w:tc>
          <w:tcPr>
            <w:tcW w:w="2120" w:type="dxa"/>
            <w:gridSpan w:val="2"/>
            <w:tcBorders>
              <w:top w:val="nil"/>
              <w:left w:val="nil"/>
              <w:bottom w:val="single" w:sz="4" w:space="0" w:color="548DD4" w:themeColor="text2" w:themeTint="99"/>
              <w:right w:val="nil"/>
            </w:tcBorders>
            <w:shd w:val="clear" w:color="auto" w:fill="auto"/>
            <w:noWrap/>
            <w:vAlign w:val="center"/>
            <w:hideMark/>
          </w:tcPr>
          <w:p w:rsidR="001F5C63" w:rsidRPr="0057352B" w:rsidRDefault="001F5C63" w:rsidP="000B6A8D">
            <w:pPr>
              <w:rPr>
                <w:b/>
                <w:sz w:val="20"/>
                <w:szCs w:val="20"/>
                <w:u w:val="single"/>
                <w:lang w:eastAsia="en-AU"/>
              </w:rPr>
            </w:pPr>
            <w:r w:rsidRPr="0057352B">
              <w:rPr>
                <w:b/>
                <w:sz w:val="20"/>
                <w:szCs w:val="20"/>
                <w:u w:val="single"/>
                <w:lang w:eastAsia="en-AU"/>
              </w:rPr>
              <w:t>Assessment process</w:t>
            </w:r>
          </w:p>
        </w:tc>
        <w:tc>
          <w:tcPr>
            <w:tcW w:w="1581" w:type="dxa"/>
            <w:tcBorders>
              <w:top w:val="nil"/>
              <w:left w:val="nil"/>
              <w:bottom w:val="single" w:sz="4" w:space="0" w:color="548DD4" w:themeColor="text2" w:themeTint="99"/>
              <w:right w:val="nil"/>
            </w:tcBorders>
            <w:shd w:val="clear" w:color="auto" w:fill="auto"/>
            <w:vAlign w:val="center"/>
            <w:hideMark/>
          </w:tcPr>
          <w:p w:rsidR="001F5C63" w:rsidRDefault="001F5C63" w:rsidP="000B6A8D">
            <w:pPr>
              <w:jc w:val="center"/>
              <w:rPr>
                <w:b/>
                <w:sz w:val="20"/>
                <w:szCs w:val="20"/>
                <w:u w:val="single"/>
                <w:lang w:eastAsia="en-AU"/>
              </w:rPr>
            </w:pPr>
          </w:p>
          <w:p w:rsidR="004E2497" w:rsidRPr="0057352B" w:rsidRDefault="004E2497" w:rsidP="000B6A8D">
            <w:pPr>
              <w:jc w:val="center"/>
              <w:rPr>
                <w:b/>
                <w:sz w:val="20"/>
                <w:szCs w:val="20"/>
                <w:u w:val="single"/>
                <w:lang w:eastAsia="en-AU"/>
              </w:rPr>
            </w:pPr>
          </w:p>
        </w:tc>
        <w:tc>
          <w:tcPr>
            <w:tcW w:w="2126" w:type="dxa"/>
            <w:gridSpan w:val="2"/>
            <w:tcBorders>
              <w:top w:val="nil"/>
              <w:left w:val="nil"/>
              <w:bottom w:val="single" w:sz="4" w:space="0" w:color="548DD4" w:themeColor="text2" w:themeTint="99"/>
              <w:right w:val="nil"/>
            </w:tcBorders>
            <w:shd w:val="clear" w:color="auto" w:fill="auto"/>
            <w:noWrap/>
            <w:vAlign w:val="center"/>
            <w:hideMark/>
          </w:tcPr>
          <w:p w:rsidR="001F5C63" w:rsidRPr="0057352B" w:rsidRDefault="001F5C63" w:rsidP="000B6A8D">
            <w:pPr>
              <w:jc w:val="center"/>
              <w:rPr>
                <w:sz w:val="20"/>
                <w:szCs w:val="20"/>
                <w:u w:val="single"/>
                <w:lang w:eastAsia="en-AU"/>
              </w:rPr>
            </w:pPr>
          </w:p>
        </w:tc>
        <w:tc>
          <w:tcPr>
            <w:tcW w:w="1701" w:type="dxa"/>
            <w:gridSpan w:val="2"/>
            <w:tcBorders>
              <w:top w:val="nil"/>
              <w:left w:val="nil"/>
              <w:bottom w:val="single" w:sz="4" w:space="0" w:color="548DD4" w:themeColor="text2" w:themeTint="99"/>
              <w:right w:val="nil"/>
            </w:tcBorders>
            <w:shd w:val="clear" w:color="auto" w:fill="auto"/>
            <w:noWrap/>
            <w:vAlign w:val="center"/>
            <w:hideMark/>
          </w:tcPr>
          <w:p w:rsidR="001F5C63" w:rsidRPr="0057352B" w:rsidRDefault="001F5C63" w:rsidP="000B6A8D">
            <w:pPr>
              <w:jc w:val="center"/>
              <w:rPr>
                <w:sz w:val="20"/>
                <w:szCs w:val="20"/>
                <w:u w:val="single"/>
                <w:lang w:eastAsia="en-AU"/>
              </w:rPr>
            </w:pPr>
          </w:p>
        </w:tc>
        <w:tc>
          <w:tcPr>
            <w:tcW w:w="1418" w:type="dxa"/>
            <w:gridSpan w:val="2"/>
            <w:tcBorders>
              <w:top w:val="nil"/>
              <w:left w:val="nil"/>
              <w:bottom w:val="nil"/>
              <w:right w:val="nil"/>
            </w:tcBorders>
            <w:shd w:val="clear" w:color="auto" w:fill="auto"/>
            <w:vAlign w:val="center"/>
            <w:hideMark/>
          </w:tcPr>
          <w:p w:rsidR="001F5C63" w:rsidRPr="0057352B" w:rsidRDefault="001F5C63" w:rsidP="000B6A8D">
            <w:pPr>
              <w:jc w:val="center"/>
              <w:rPr>
                <w:sz w:val="20"/>
                <w:szCs w:val="20"/>
                <w:u w:val="single"/>
                <w:lang w:eastAsia="en-AU"/>
              </w:rPr>
            </w:pPr>
          </w:p>
        </w:tc>
      </w:tr>
      <w:tr w:rsidR="001F5C63" w:rsidRPr="0057352B" w:rsidTr="00DF18B2">
        <w:trPr>
          <w:gridAfter w:val="1"/>
          <w:wAfter w:w="828" w:type="dxa"/>
          <w:trHeight w:val="51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Pr>
                <w:b/>
                <w:sz w:val="20"/>
                <w:szCs w:val="20"/>
                <w:lang w:eastAsia="en-AU"/>
              </w:rPr>
              <w:t>Assessment</w:t>
            </w:r>
            <w:r w:rsidRPr="00D70F38">
              <w:rPr>
                <w:b/>
                <w:sz w:val="20"/>
                <w:szCs w:val="20"/>
                <w:lang w:eastAsia="en-AU"/>
              </w:rPr>
              <w:t xml:space="preserve"> on Referral Information</w:t>
            </w:r>
          </w:p>
        </w:tc>
        <w:tc>
          <w:tcPr>
            <w:tcW w:w="158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Pr>
                <w:b/>
                <w:sz w:val="20"/>
                <w:szCs w:val="20"/>
                <w:lang w:eastAsia="en-AU"/>
              </w:rPr>
              <w:t>Complexity costs (B</w:t>
            </w:r>
            <w:r w:rsidRPr="00D70F38">
              <w:rPr>
                <w:b/>
                <w:sz w:val="20"/>
                <w:szCs w:val="20"/>
                <w:lang w:eastAsia="en-AU"/>
              </w:rPr>
              <w:t>)</w:t>
            </w:r>
          </w:p>
        </w:tc>
        <w:tc>
          <w:tcPr>
            <w:tcW w:w="1701"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F5C63" w:rsidRPr="00D70F38" w:rsidRDefault="001F5C63" w:rsidP="000B6A8D">
            <w:pPr>
              <w:jc w:val="center"/>
              <w:rPr>
                <w:b/>
                <w:sz w:val="20"/>
                <w:szCs w:val="20"/>
                <w:lang w:eastAsia="en-AU"/>
              </w:rPr>
            </w:pPr>
            <w:r w:rsidRPr="00D70F38">
              <w:rPr>
                <w:b/>
                <w:sz w:val="20"/>
                <w:szCs w:val="20"/>
                <w:lang w:eastAsia="en-AU"/>
              </w:rPr>
              <w:t>Total</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1F5C63" w:rsidRPr="0057352B" w:rsidRDefault="001F5C63" w:rsidP="000B6A8D">
            <w:pPr>
              <w:rPr>
                <w:sz w:val="20"/>
                <w:szCs w:val="20"/>
                <w:lang w:eastAsia="en-AU"/>
              </w:rPr>
            </w:pPr>
          </w:p>
        </w:tc>
      </w:tr>
      <w:tr w:rsidR="00D61416"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D61416" w:rsidRPr="00D70F38" w:rsidRDefault="00D61416" w:rsidP="007823F7">
            <w:pPr>
              <w:jc w:val="center"/>
              <w:rPr>
                <w:b/>
                <w:sz w:val="20"/>
                <w:szCs w:val="20"/>
                <w:lang w:eastAsia="en-AU"/>
              </w:rPr>
            </w:pPr>
            <w:r w:rsidRPr="00D70F38">
              <w:rPr>
                <w:b/>
                <w:sz w:val="20"/>
                <w:szCs w:val="20"/>
                <w:lang w:eastAsia="en-AU"/>
              </w:rPr>
              <w:t>Stage 1</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D61416" w:rsidRPr="001F5C63" w:rsidRDefault="0043353F" w:rsidP="000B6A8D">
            <w:pPr>
              <w:jc w:val="center"/>
              <w:rPr>
                <w:sz w:val="20"/>
                <w:szCs w:val="20"/>
                <w:highlight w:val="yellow"/>
                <w:lang w:eastAsia="en-AU"/>
              </w:rPr>
            </w:pPr>
            <w:r w:rsidRPr="0043353F">
              <w:rPr>
                <w:sz w:val="20"/>
                <w:szCs w:val="20"/>
                <w:lang w:eastAsia="en-AU"/>
              </w:rPr>
              <w:t>$</w:t>
            </w:r>
            <w:r>
              <w:rPr>
                <w:sz w:val="20"/>
                <w:szCs w:val="20"/>
                <w:lang w:eastAsia="en-AU"/>
              </w:rPr>
              <w:t>4,784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D61416" w:rsidRPr="0057352B" w:rsidRDefault="00A43F40" w:rsidP="000B6A8D">
            <w:pPr>
              <w:jc w:val="center"/>
              <w:rPr>
                <w:sz w:val="20"/>
                <w:szCs w:val="20"/>
                <w:lang w:eastAsia="en-AU"/>
              </w:rPr>
            </w:pPr>
            <w:r>
              <w:rPr>
                <w:sz w:val="20"/>
                <w:szCs w:val="20"/>
                <w:lang w:eastAsia="en-AU"/>
              </w:rPr>
              <w:t>51</w:t>
            </w:r>
            <w:r w:rsidRPr="0057352B">
              <w:rPr>
                <w:sz w:val="20"/>
                <w:szCs w:val="20"/>
                <w:lang w:eastAsia="en-AU"/>
              </w:rPr>
              <w:t>%</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D61416" w:rsidRPr="001F5C63" w:rsidRDefault="00613F54" w:rsidP="000B6A8D">
            <w:pPr>
              <w:jc w:val="center"/>
              <w:rPr>
                <w:sz w:val="20"/>
                <w:szCs w:val="20"/>
                <w:highlight w:val="yellow"/>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D61416" w:rsidRPr="0057352B" w:rsidRDefault="00D61416" w:rsidP="000B6A8D">
            <w:pPr>
              <w:rPr>
                <w:sz w:val="20"/>
                <w:szCs w:val="20"/>
                <w:lang w:eastAsia="en-AU"/>
              </w:rPr>
            </w:pPr>
          </w:p>
        </w:tc>
      </w:tr>
      <w:tr w:rsidR="00D61416"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D61416" w:rsidRPr="00D70F38" w:rsidRDefault="00D61416" w:rsidP="007823F7">
            <w:pPr>
              <w:jc w:val="center"/>
              <w:rPr>
                <w:b/>
                <w:sz w:val="20"/>
                <w:szCs w:val="20"/>
                <w:lang w:eastAsia="en-AU"/>
              </w:rPr>
            </w:pPr>
            <w:r w:rsidRPr="00D70F38">
              <w:rPr>
                <w:b/>
                <w:sz w:val="20"/>
                <w:szCs w:val="20"/>
                <w:lang w:eastAsia="en-AU"/>
              </w:rPr>
              <w:t>Stage 2</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D61416" w:rsidRPr="0043353F" w:rsidRDefault="0043353F" w:rsidP="000B6A8D">
            <w:pPr>
              <w:jc w:val="center"/>
              <w:rPr>
                <w:sz w:val="20"/>
                <w:szCs w:val="20"/>
                <w:lang w:eastAsia="en-AU"/>
              </w:rPr>
            </w:pPr>
            <w:r w:rsidRPr="0043353F">
              <w:rPr>
                <w:sz w:val="20"/>
                <w:szCs w:val="20"/>
                <w:lang w:eastAsia="en-AU"/>
              </w:rPr>
              <w:t>$</w:t>
            </w:r>
            <w:r>
              <w:rPr>
                <w:sz w:val="20"/>
                <w:szCs w:val="20"/>
                <w:lang w:eastAsia="en-AU"/>
              </w:rPr>
              <w:t>2,878</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D61416" w:rsidRPr="0043353F" w:rsidRDefault="00A43F40" w:rsidP="000B6A8D">
            <w:pPr>
              <w:jc w:val="center"/>
              <w:rPr>
                <w:sz w:val="20"/>
                <w:szCs w:val="20"/>
                <w:lang w:eastAsia="en-AU"/>
              </w:rPr>
            </w:pPr>
            <w:r>
              <w:rPr>
                <w:sz w:val="20"/>
                <w:szCs w:val="20"/>
                <w:lang w:eastAsia="en-AU"/>
              </w:rPr>
              <w:t>31</w:t>
            </w:r>
            <w:r w:rsidRPr="0057352B">
              <w:rPr>
                <w:sz w:val="20"/>
                <w:szCs w:val="20"/>
                <w:lang w:eastAsia="en-AU"/>
              </w:rPr>
              <w:t>%</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D61416" w:rsidRPr="0043353F" w:rsidRDefault="00613F54" w:rsidP="000B6A8D">
            <w:pPr>
              <w:jc w:val="center"/>
              <w:rPr>
                <w:sz w:val="20"/>
                <w:szCs w:val="20"/>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D61416" w:rsidRPr="0057352B" w:rsidRDefault="00D61416" w:rsidP="000B6A8D">
            <w:pPr>
              <w:rPr>
                <w:sz w:val="20"/>
                <w:szCs w:val="20"/>
                <w:lang w:eastAsia="en-AU"/>
              </w:rPr>
            </w:pPr>
          </w:p>
        </w:tc>
      </w:tr>
      <w:tr w:rsidR="00D61416"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D61416" w:rsidRPr="00D70F38" w:rsidRDefault="00D61416" w:rsidP="007823F7">
            <w:pPr>
              <w:jc w:val="center"/>
              <w:rPr>
                <w:b/>
                <w:sz w:val="20"/>
                <w:szCs w:val="20"/>
                <w:lang w:eastAsia="en-AU"/>
              </w:rPr>
            </w:pPr>
            <w:r w:rsidRPr="00D70F38">
              <w:rPr>
                <w:b/>
                <w:sz w:val="20"/>
                <w:szCs w:val="20"/>
                <w:lang w:eastAsia="en-AU"/>
              </w:rPr>
              <w:t>Stage 3</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D61416" w:rsidRPr="0043353F" w:rsidRDefault="00BB6045" w:rsidP="000B6A8D">
            <w:pPr>
              <w:jc w:val="center"/>
              <w:rPr>
                <w:sz w:val="20"/>
                <w:szCs w:val="20"/>
                <w:lang w:eastAsia="en-AU"/>
              </w:rPr>
            </w:pPr>
            <w:r w:rsidRPr="0043353F">
              <w:rPr>
                <w:sz w:val="20"/>
                <w:szCs w:val="20"/>
                <w:lang w:eastAsia="en-AU"/>
              </w:rPr>
              <w:t>$</w:t>
            </w:r>
            <w:r>
              <w:rPr>
                <w:sz w:val="20"/>
                <w:szCs w:val="20"/>
                <w:lang w:eastAsia="en-AU"/>
              </w:rPr>
              <w:t>1,755</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D61416" w:rsidRPr="0043353F" w:rsidRDefault="00A43F40" w:rsidP="00A43F40">
            <w:pPr>
              <w:jc w:val="center"/>
              <w:rPr>
                <w:sz w:val="20"/>
                <w:szCs w:val="20"/>
                <w:lang w:eastAsia="en-AU"/>
              </w:rPr>
            </w:pPr>
            <w:r w:rsidRPr="0057352B">
              <w:rPr>
                <w:sz w:val="20"/>
                <w:szCs w:val="20"/>
                <w:lang w:eastAsia="en-AU"/>
              </w:rPr>
              <w:t>1</w:t>
            </w:r>
            <w:r>
              <w:rPr>
                <w:sz w:val="20"/>
                <w:szCs w:val="20"/>
                <w:lang w:eastAsia="en-AU"/>
              </w:rPr>
              <w:t>8</w:t>
            </w:r>
            <w:r w:rsidRPr="0057352B">
              <w:rPr>
                <w:sz w:val="20"/>
                <w:szCs w:val="20"/>
                <w:lang w:eastAsia="en-AU"/>
              </w:rPr>
              <w:t>%</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D61416" w:rsidRPr="0043353F" w:rsidRDefault="00613F54" w:rsidP="000B6A8D">
            <w:pPr>
              <w:jc w:val="center"/>
              <w:rPr>
                <w:sz w:val="20"/>
                <w:szCs w:val="20"/>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D61416" w:rsidRDefault="00D61416" w:rsidP="000B6A8D">
            <w:pPr>
              <w:rPr>
                <w:sz w:val="20"/>
                <w:szCs w:val="20"/>
                <w:lang w:eastAsia="en-AU"/>
              </w:rPr>
            </w:pPr>
          </w:p>
          <w:p w:rsidR="004E2497" w:rsidRPr="0057352B" w:rsidRDefault="004E2497" w:rsidP="000B6A8D">
            <w:pPr>
              <w:rPr>
                <w:sz w:val="20"/>
                <w:szCs w:val="20"/>
                <w:lang w:eastAsia="en-AU"/>
              </w:rPr>
            </w:pPr>
          </w:p>
        </w:tc>
      </w:tr>
      <w:tr w:rsidR="004E2497" w:rsidRPr="0057352B" w:rsidTr="006A1E58">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bottom"/>
            <w:hideMark/>
          </w:tcPr>
          <w:p w:rsidR="004E2497" w:rsidRPr="00CB1848" w:rsidRDefault="004E2497" w:rsidP="007429AC">
            <w:pPr>
              <w:jc w:val="right"/>
              <w:rPr>
                <w:b/>
                <w:sz w:val="20"/>
                <w:szCs w:val="20"/>
                <w:lang w:eastAsia="en-AU"/>
              </w:rPr>
            </w:pPr>
            <w:r w:rsidRPr="00CB1848">
              <w:rPr>
                <w:b/>
                <w:sz w:val="20"/>
                <w:szCs w:val="20"/>
                <w:lang w:eastAsia="en-AU"/>
              </w:rPr>
              <w:t>TOTAL</w:t>
            </w:r>
          </w:p>
        </w:tc>
        <w:tc>
          <w:tcPr>
            <w:tcW w:w="1581" w:type="dxa"/>
            <w:tcBorders>
              <w:top w:val="single" w:sz="4" w:space="0" w:color="548DD4" w:themeColor="text2" w:themeTint="99"/>
              <w:left w:val="nil"/>
              <w:bottom w:val="single" w:sz="4" w:space="0" w:color="548DD4" w:themeColor="text2" w:themeTint="99"/>
            </w:tcBorders>
            <w:shd w:val="clear" w:color="auto" w:fill="auto"/>
            <w:vAlign w:val="center"/>
            <w:hideMark/>
          </w:tcPr>
          <w:p w:rsidR="004E2497" w:rsidRPr="00A43F40" w:rsidRDefault="004E2497" w:rsidP="004E2497">
            <w:pPr>
              <w:jc w:val="center"/>
              <w:rPr>
                <w:sz w:val="20"/>
                <w:szCs w:val="20"/>
                <w:lang w:eastAsia="en-AU"/>
              </w:rPr>
            </w:pPr>
            <w:r w:rsidRPr="00A43F40">
              <w:rPr>
                <w:sz w:val="20"/>
                <w:szCs w:val="20"/>
                <w:lang w:eastAsia="en-AU"/>
              </w:rPr>
              <w:t>$</w:t>
            </w:r>
            <w:r>
              <w:rPr>
                <w:sz w:val="20"/>
                <w:szCs w:val="20"/>
                <w:lang w:eastAsia="en-AU"/>
              </w:rPr>
              <w:t>9,417</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7429AC">
            <w:pPr>
              <w:jc w:val="center"/>
              <w:rPr>
                <w:sz w:val="20"/>
                <w:szCs w:val="20"/>
                <w:lang w:eastAsia="en-AU"/>
              </w:rPr>
            </w:pPr>
            <w:r w:rsidRPr="0057352B">
              <w:rPr>
                <w:sz w:val="20"/>
                <w:szCs w:val="20"/>
                <w:lang w:eastAsia="en-AU"/>
              </w:rPr>
              <w:t>100%</w:t>
            </w:r>
          </w:p>
        </w:tc>
        <w:tc>
          <w:tcPr>
            <w:tcW w:w="1701"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4E2497" w:rsidRPr="0057352B" w:rsidRDefault="004E2497" w:rsidP="007429AC">
            <w:pPr>
              <w:jc w:val="center"/>
              <w:rPr>
                <w:sz w:val="20"/>
                <w:szCs w:val="20"/>
                <w:lang w:eastAsia="en-AU"/>
              </w:rPr>
            </w:pPr>
            <w:r>
              <w:rPr>
                <w:sz w:val="20"/>
                <w:szCs w:val="20"/>
                <w:lang w:eastAsia="en-AU"/>
              </w:rPr>
              <w:t>(A) + (B)</w:t>
            </w:r>
          </w:p>
        </w:tc>
        <w:tc>
          <w:tcPr>
            <w:tcW w:w="1418" w:type="dxa"/>
            <w:gridSpan w:val="2"/>
            <w:tcBorders>
              <w:top w:val="nil"/>
              <w:left w:val="single" w:sz="4" w:space="0" w:color="548DD4" w:themeColor="text2" w:themeTint="99"/>
              <w:bottom w:val="nil"/>
              <w:right w:val="nil"/>
            </w:tcBorders>
            <w:shd w:val="clear" w:color="auto" w:fill="auto"/>
            <w:noWrap/>
            <w:vAlign w:val="bottom"/>
            <w:hideMark/>
          </w:tcPr>
          <w:p w:rsidR="004E2497" w:rsidRDefault="004E2497" w:rsidP="000B6A8D">
            <w:pPr>
              <w:rPr>
                <w:sz w:val="20"/>
                <w:szCs w:val="20"/>
                <w:lang w:eastAsia="en-AU"/>
              </w:rPr>
            </w:pPr>
          </w:p>
        </w:tc>
      </w:tr>
      <w:tr w:rsidR="004E2497" w:rsidRPr="0057352B" w:rsidTr="00C25D25">
        <w:trPr>
          <w:gridAfter w:val="1"/>
          <w:wAfter w:w="828" w:type="dxa"/>
          <w:trHeight w:val="300"/>
        </w:trPr>
        <w:tc>
          <w:tcPr>
            <w:tcW w:w="1084" w:type="dxa"/>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581" w:type="dxa"/>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2126" w:type="dxa"/>
            <w:gridSpan w:val="2"/>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701" w:type="dxa"/>
            <w:gridSpan w:val="2"/>
            <w:tcBorders>
              <w:top w:val="single" w:sz="4" w:space="0" w:color="548DD4" w:themeColor="text2" w:themeTint="99"/>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418" w:type="dxa"/>
            <w:gridSpan w:val="2"/>
            <w:tcBorders>
              <w:top w:val="nil"/>
              <w:left w:val="nil"/>
              <w:bottom w:val="single" w:sz="4"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r>
      <w:tr w:rsidR="004E2497" w:rsidRPr="0057352B" w:rsidTr="00C25D25">
        <w:trPr>
          <w:gridAfter w:val="1"/>
          <w:wAfter w:w="828" w:type="dxa"/>
          <w:trHeight w:val="585"/>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Preliminary Documentation</w:t>
            </w:r>
          </w:p>
        </w:tc>
        <w:tc>
          <w:tcPr>
            <w:tcW w:w="1581" w:type="dxa"/>
            <w:tcBorders>
              <w:top w:val="single" w:sz="4" w:space="0" w:color="548DD4" w:themeColor="text2" w:themeTint="99"/>
              <w:left w:val="single" w:sz="6"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gridSpan w:val="2"/>
            <w:tcBorders>
              <w:top w:val="single" w:sz="4" w:space="0" w:color="548DD4" w:themeColor="text2" w:themeTint="99"/>
              <w:left w:val="single" w:sz="6"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1F7EE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sidR="001F7EE7">
              <w:rPr>
                <w:b/>
                <w:sz w:val="20"/>
                <w:szCs w:val="20"/>
                <w:lang w:eastAsia="en-AU"/>
              </w:rPr>
              <w:t>L</w:t>
            </w:r>
            <w:r w:rsidRPr="00D70F38">
              <w:rPr>
                <w:b/>
                <w:sz w:val="20"/>
                <w:szCs w:val="20"/>
                <w:lang w:eastAsia="en-AU"/>
              </w:rPr>
              <w:t xml:space="preserve">, </w:t>
            </w:r>
            <w:r w:rsidR="001F7EE7">
              <w:rPr>
                <w:b/>
                <w:sz w:val="20"/>
                <w:szCs w:val="20"/>
                <w:lang w:eastAsia="en-AU"/>
              </w:rPr>
              <w:t>P</w:t>
            </w:r>
            <w:r w:rsidRPr="00D70F38">
              <w:rPr>
                <w:b/>
                <w:sz w:val="20"/>
                <w:szCs w:val="20"/>
                <w:lang w:eastAsia="en-AU"/>
              </w:rPr>
              <w:t>)</w:t>
            </w:r>
          </w:p>
        </w:tc>
        <w:tc>
          <w:tcPr>
            <w:tcW w:w="1701" w:type="dxa"/>
            <w:gridSpan w:val="2"/>
            <w:tcBorders>
              <w:top w:val="single" w:sz="4" w:space="0" w:color="548DD4" w:themeColor="text2" w:themeTint="99"/>
              <w:left w:val="single" w:sz="6" w:space="0" w:color="548DD4" w:themeColor="text2" w:themeTint="99"/>
              <w:bottom w:val="single" w:sz="4"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1F7EE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sidR="001F7EE7">
              <w:rPr>
                <w:b/>
                <w:sz w:val="20"/>
                <w:szCs w:val="20"/>
                <w:lang w:eastAsia="en-AU"/>
              </w:rPr>
              <w:t>M</w:t>
            </w:r>
            <w:r w:rsidRPr="00D70F38">
              <w:rPr>
                <w:b/>
                <w:sz w:val="20"/>
                <w:szCs w:val="20"/>
                <w:lang w:eastAsia="en-AU"/>
              </w:rPr>
              <w:t xml:space="preserve">, </w:t>
            </w:r>
            <w:r w:rsidR="001F7EE7">
              <w:rPr>
                <w:b/>
                <w:sz w:val="20"/>
                <w:szCs w:val="20"/>
                <w:lang w:eastAsia="en-AU"/>
              </w:rPr>
              <w:t>N</w:t>
            </w:r>
            <w:r w:rsidRPr="00D70F38">
              <w:rPr>
                <w:b/>
                <w:sz w:val="20"/>
                <w:szCs w:val="20"/>
                <w:lang w:eastAsia="en-AU"/>
              </w:rPr>
              <w:t xml:space="preserve">, </w:t>
            </w:r>
            <w:r w:rsidR="001F7EE7">
              <w:rPr>
                <w:b/>
                <w:sz w:val="20"/>
                <w:szCs w:val="20"/>
                <w:lang w:eastAsia="en-AU"/>
              </w:rPr>
              <w:t>O</w:t>
            </w:r>
            <w:r w:rsidRPr="00D70F38">
              <w:rPr>
                <w:b/>
                <w:sz w:val="20"/>
                <w:szCs w:val="20"/>
                <w:lang w:eastAsia="en-AU"/>
              </w:rPr>
              <w:t>)</w:t>
            </w:r>
          </w:p>
        </w:tc>
        <w:tc>
          <w:tcPr>
            <w:tcW w:w="1418" w:type="dxa"/>
            <w:gridSpan w:val="2"/>
            <w:tcBorders>
              <w:top w:val="single" w:sz="4" w:space="0" w:color="548DD4" w:themeColor="text2" w:themeTint="99"/>
              <w:left w:val="single" w:sz="6"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D2087">
            <w:pPr>
              <w:jc w:val="center"/>
              <w:rPr>
                <w:b/>
                <w:sz w:val="20"/>
                <w:szCs w:val="20"/>
                <w:lang w:eastAsia="en-AU"/>
              </w:rPr>
            </w:pPr>
            <w:r w:rsidRPr="00D70F38">
              <w:rPr>
                <w:b/>
                <w:sz w:val="20"/>
                <w:szCs w:val="20"/>
                <w:lang w:eastAsia="en-AU"/>
              </w:rPr>
              <w:t>Stage 1</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$1,374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16%</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(A) + (B)</w:t>
            </w:r>
            <w:r w:rsidR="000D2087">
              <w:rPr>
                <w:sz w:val="20"/>
                <w:szCs w:val="20"/>
                <w:lang w:eastAsia="en-AU"/>
              </w:rPr>
              <w:t xml:space="preserve"> </w:t>
            </w:r>
            <w:r w:rsidR="000D2087">
              <w:rPr>
                <w:rStyle w:val="FootnoteReference"/>
                <w:b/>
                <w:sz w:val="20"/>
                <w:szCs w:val="20"/>
                <w:lang w:eastAsia="en-AU"/>
              </w:rPr>
              <w:footnoteReference w:id="38"/>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2</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$1,374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16%</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3</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$1,374</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16%</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48%</w:t>
            </w: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4</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$4,538</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52%</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52%</w:t>
            </w: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15"/>
        </w:trPr>
        <w:tc>
          <w:tcPr>
            <w:tcW w:w="1084"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4" w:space="0" w:color="548DD4" w:themeColor="text2" w:themeTint="99"/>
              <w:bottom w:val="single" w:sz="4" w:space="0" w:color="548DD4" w:themeColor="text2" w:themeTint="99"/>
            </w:tcBorders>
            <w:shd w:val="clear" w:color="auto" w:fill="auto"/>
            <w:vAlign w:val="bottom"/>
            <w:hideMark/>
          </w:tcPr>
          <w:p w:rsidR="004E2497" w:rsidRPr="00CB1848" w:rsidRDefault="004E2497" w:rsidP="000B6A8D">
            <w:pPr>
              <w:jc w:val="right"/>
              <w:rPr>
                <w:b/>
                <w:sz w:val="20"/>
                <w:szCs w:val="20"/>
                <w:lang w:eastAsia="en-AU"/>
              </w:rPr>
            </w:pPr>
            <w:r w:rsidRPr="00CB1848">
              <w:rPr>
                <w:b/>
                <w:sz w:val="20"/>
                <w:szCs w:val="20"/>
                <w:lang w:eastAsia="en-AU"/>
              </w:rPr>
              <w:t>TOTAL</w:t>
            </w:r>
          </w:p>
        </w:tc>
        <w:tc>
          <w:tcPr>
            <w:tcW w:w="158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A43F40" w:rsidRDefault="004E2497" w:rsidP="000B6A8D">
            <w:pPr>
              <w:jc w:val="center"/>
              <w:rPr>
                <w:sz w:val="20"/>
                <w:szCs w:val="20"/>
                <w:lang w:eastAsia="en-AU"/>
              </w:rPr>
            </w:pPr>
            <w:r w:rsidRPr="00A43F40">
              <w:rPr>
                <w:sz w:val="20"/>
                <w:szCs w:val="20"/>
                <w:lang w:eastAsia="en-AU"/>
              </w:rPr>
              <w:t>$8,661</w:t>
            </w:r>
          </w:p>
        </w:tc>
        <w:tc>
          <w:tcPr>
            <w:tcW w:w="2126"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701" w:type="dxa"/>
            <w:gridSpan w:val="2"/>
            <w:tcBorders>
              <w:top w:val="single" w:sz="4" w:space="0" w:color="548DD4" w:themeColor="text2" w:themeTint="99"/>
              <w:left w:val="nil"/>
              <w:bottom w:val="single" w:sz="4"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418" w:type="dxa"/>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 </w:t>
            </w:r>
          </w:p>
        </w:tc>
      </w:tr>
    </w:tbl>
    <w:p w:rsidR="00265278" w:rsidRPr="0057352B" w:rsidRDefault="00833413" w:rsidP="00265278">
      <w:pPr>
        <w:rPr>
          <w:rFonts w:eastAsia="SimSun"/>
          <w:color w:val="0070C0"/>
          <w:sz w:val="28"/>
          <w:szCs w:val="28"/>
          <w:lang w:val="en-US"/>
        </w:rPr>
      </w:pPr>
      <w:r>
        <w:br w:type="page"/>
      </w:r>
      <w:r w:rsidR="00265278" w:rsidRPr="0057352B">
        <w:rPr>
          <w:rFonts w:eastAsia="SimSun"/>
          <w:color w:val="0070C0"/>
          <w:sz w:val="28"/>
          <w:szCs w:val="28"/>
          <w:lang w:val="en-US"/>
        </w:rPr>
        <w:lastRenderedPageBreak/>
        <w:t xml:space="preserve">Fee </w:t>
      </w:r>
      <w:r w:rsidR="00265278" w:rsidRPr="00194AAE">
        <w:rPr>
          <w:rFonts w:eastAsia="SimSun"/>
          <w:color w:val="0070C0"/>
          <w:sz w:val="28"/>
          <w:szCs w:val="28"/>
          <w:lang w:val="en-US"/>
        </w:rPr>
        <w:t>schedule 2014-15 (</w:t>
      </w:r>
      <w:r w:rsidR="00265278" w:rsidRPr="0057352B">
        <w:rPr>
          <w:rFonts w:eastAsia="SimSun"/>
          <w:color w:val="0070C0"/>
          <w:sz w:val="28"/>
          <w:szCs w:val="28"/>
          <w:lang w:val="en-US"/>
        </w:rPr>
        <w:t>continued)</w:t>
      </w:r>
    </w:p>
    <w:p w:rsidR="00833413" w:rsidRDefault="00833413"/>
    <w:tbl>
      <w:tblPr>
        <w:tblW w:w="9774" w:type="dxa"/>
        <w:tblInd w:w="93" w:type="dxa"/>
        <w:tblLook w:val="04A0"/>
      </w:tblPr>
      <w:tblGrid>
        <w:gridCol w:w="1084"/>
        <w:gridCol w:w="1036"/>
        <w:gridCol w:w="1581"/>
        <w:gridCol w:w="2126"/>
        <w:gridCol w:w="1701"/>
        <w:gridCol w:w="1418"/>
        <w:gridCol w:w="828"/>
      </w:tblGrid>
      <w:tr w:rsidR="004E2497" w:rsidRPr="0057352B" w:rsidTr="00C25D25">
        <w:trPr>
          <w:gridAfter w:val="1"/>
          <w:wAfter w:w="828" w:type="dxa"/>
          <w:trHeight w:val="735"/>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Environmental Impact Statement</w:t>
            </w:r>
          </w:p>
        </w:tc>
        <w:tc>
          <w:tcPr>
            <w:tcW w:w="158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Pr>
                <w:b/>
                <w:sz w:val="20"/>
                <w:szCs w:val="20"/>
                <w:lang w:eastAsia="en-AU"/>
              </w:rPr>
              <w:t>L</w:t>
            </w:r>
            <w:r w:rsidRPr="00D70F38">
              <w:rPr>
                <w:b/>
                <w:sz w:val="20"/>
                <w:szCs w:val="20"/>
                <w:lang w:eastAsia="en-AU"/>
              </w:rPr>
              <w:t xml:space="preserve">, </w:t>
            </w:r>
            <w:r>
              <w:rPr>
                <w:b/>
                <w:sz w:val="20"/>
                <w:szCs w:val="20"/>
                <w:lang w:eastAsia="en-AU"/>
              </w:rPr>
              <w:t>P</w:t>
            </w:r>
            <w:r w:rsidRPr="00D70F38">
              <w:rPr>
                <w:b/>
                <w:sz w:val="20"/>
                <w:szCs w:val="20"/>
                <w:lang w:eastAsia="en-AU"/>
              </w:rPr>
              <w:t>)</w:t>
            </w:r>
          </w:p>
        </w:tc>
        <w:tc>
          <w:tcPr>
            <w:tcW w:w="170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Pr>
                <w:b/>
                <w:sz w:val="20"/>
                <w:szCs w:val="20"/>
                <w:lang w:eastAsia="en-AU"/>
              </w:rPr>
              <w:t>M</w:t>
            </w:r>
            <w:r w:rsidRPr="00D70F38">
              <w:rPr>
                <w:b/>
                <w:sz w:val="20"/>
                <w:szCs w:val="20"/>
                <w:lang w:eastAsia="en-AU"/>
              </w:rPr>
              <w:t xml:space="preserve">, </w:t>
            </w:r>
            <w:r>
              <w:rPr>
                <w:b/>
                <w:sz w:val="20"/>
                <w:szCs w:val="20"/>
                <w:lang w:eastAsia="en-AU"/>
              </w:rPr>
              <w:t>N</w:t>
            </w:r>
            <w:r w:rsidRPr="00D70F38">
              <w:rPr>
                <w:b/>
                <w:sz w:val="20"/>
                <w:szCs w:val="20"/>
                <w:lang w:eastAsia="en-AU"/>
              </w:rPr>
              <w:t xml:space="preserve">, </w:t>
            </w:r>
            <w:r>
              <w:rPr>
                <w:b/>
                <w:sz w:val="20"/>
                <w:szCs w:val="20"/>
                <w:lang w:eastAsia="en-AU"/>
              </w:rPr>
              <w:t>O</w:t>
            </w:r>
            <w:r w:rsidRPr="00D70F38">
              <w:rPr>
                <w:b/>
                <w:sz w:val="20"/>
                <w:szCs w:val="20"/>
                <w:lang w:eastAsia="en-AU"/>
              </w:rPr>
              <w:t>)</w:t>
            </w:r>
          </w:p>
        </w:tc>
        <w:tc>
          <w:tcPr>
            <w:tcW w:w="1418"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D2087">
            <w:pPr>
              <w:jc w:val="center"/>
              <w:rPr>
                <w:b/>
                <w:sz w:val="20"/>
                <w:szCs w:val="20"/>
                <w:lang w:eastAsia="en-AU"/>
              </w:rPr>
            </w:pPr>
            <w:r w:rsidRPr="00D70F38">
              <w:rPr>
                <w:b/>
                <w:sz w:val="20"/>
                <w:szCs w:val="20"/>
                <w:lang w:eastAsia="en-AU"/>
              </w:rPr>
              <w:t>Stage 1</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613F54">
            <w:pPr>
              <w:jc w:val="center"/>
              <w:rPr>
                <w:sz w:val="20"/>
                <w:szCs w:val="20"/>
                <w:lang w:eastAsia="en-AU"/>
              </w:rPr>
            </w:pPr>
            <w:r w:rsidRPr="00963339">
              <w:rPr>
                <w:sz w:val="20"/>
                <w:szCs w:val="20"/>
                <w:lang w:eastAsia="en-AU"/>
              </w:rPr>
              <w:t>$4,031</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(A) + (B)</w:t>
            </w:r>
            <w:r w:rsidR="000D2087">
              <w:rPr>
                <w:rStyle w:val="FootnoteReference"/>
                <w:b/>
                <w:sz w:val="20"/>
                <w:szCs w:val="20"/>
                <w:lang w:eastAsia="en-AU"/>
              </w:rPr>
              <w:t xml:space="preserve"> </w:t>
            </w:r>
            <w:r w:rsidR="000D2087">
              <w:rPr>
                <w:rStyle w:val="FootnoteReference"/>
                <w:b/>
                <w:sz w:val="20"/>
                <w:szCs w:val="20"/>
                <w:lang w:eastAsia="en-AU"/>
              </w:rPr>
              <w:footnoteReference w:id="39"/>
            </w:r>
            <w:r>
              <w:rPr>
                <w:sz w:val="20"/>
                <w:szCs w:val="20"/>
                <w:lang w:eastAsia="en-AU"/>
              </w:rPr>
              <w:t xml:space="preserve">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2</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$12,760</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42%</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3</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$4,265</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70%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4</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$9,146</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30%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30%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15"/>
        </w:trPr>
        <w:tc>
          <w:tcPr>
            <w:tcW w:w="1084"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6" w:space="0" w:color="548DD4" w:themeColor="text2" w:themeTint="99"/>
              <w:left w:val="nil"/>
              <w:bottom w:val="single" w:sz="6" w:space="0" w:color="548DD4" w:themeColor="text2" w:themeTint="99"/>
            </w:tcBorders>
            <w:shd w:val="clear" w:color="auto" w:fill="auto"/>
            <w:vAlign w:val="center"/>
            <w:hideMark/>
          </w:tcPr>
          <w:p w:rsidR="004E2497" w:rsidRPr="00C754F7" w:rsidRDefault="004E2497" w:rsidP="000B6A8D">
            <w:pPr>
              <w:jc w:val="right"/>
              <w:rPr>
                <w:b/>
                <w:sz w:val="20"/>
                <w:szCs w:val="20"/>
                <w:lang w:eastAsia="en-AU"/>
              </w:rPr>
            </w:pPr>
            <w:r w:rsidRPr="00C754F7">
              <w:rPr>
                <w:b/>
                <w:sz w:val="20"/>
                <w:szCs w:val="20"/>
                <w:lang w:eastAsia="en-AU"/>
              </w:rPr>
              <w:t>TOTAL</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963339">
            <w:pPr>
              <w:jc w:val="center"/>
              <w:rPr>
                <w:sz w:val="20"/>
                <w:szCs w:val="20"/>
                <w:lang w:eastAsia="en-AU"/>
              </w:rPr>
            </w:pPr>
            <w:r w:rsidRPr="00963339">
              <w:rPr>
                <w:sz w:val="20"/>
                <w:szCs w:val="20"/>
                <w:lang w:eastAsia="en-AU"/>
              </w:rPr>
              <w:t>$30,202</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 </w:t>
            </w:r>
          </w:p>
        </w:tc>
      </w:tr>
      <w:tr w:rsidR="004E2497" w:rsidRPr="0057352B" w:rsidTr="00C25D25">
        <w:trPr>
          <w:gridAfter w:val="1"/>
          <w:wAfter w:w="828" w:type="dxa"/>
          <w:trHeight w:val="315"/>
        </w:trPr>
        <w:tc>
          <w:tcPr>
            <w:tcW w:w="1084"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58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212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70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r>
      <w:tr w:rsidR="004E2497" w:rsidRPr="00D70F38" w:rsidTr="00C25D25">
        <w:trPr>
          <w:gridAfter w:val="1"/>
          <w:wAfter w:w="828" w:type="dxa"/>
          <w:trHeight w:val="735"/>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7823F7">
            <w:pPr>
              <w:jc w:val="center"/>
              <w:rPr>
                <w:b/>
                <w:sz w:val="20"/>
                <w:szCs w:val="20"/>
                <w:lang w:eastAsia="en-AU"/>
              </w:rPr>
            </w:pPr>
            <w:r>
              <w:rPr>
                <w:b/>
                <w:sz w:val="20"/>
                <w:szCs w:val="20"/>
                <w:lang w:eastAsia="en-AU"/>
              </w:rPr>
              <w:t xml:space="preserve">Public Environment Report </w:t>
            </w:r>
          </w:p>
        </w:tc>
        <w:tc>
          <w:tcPr>
            <w:tcW w:w="158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7823F7">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7823F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Pr>
                <w:b/>
                <w:sz w:val="20"/>
                <w:szCs w:val="20"/>
                <w:lang w:eastAsia="en-AU"/>
              </w:rPr>
              <w:t>L</w:t>
            </w:r>
            <w:r w:rsidRPr="00D70F38">
              <w:rPr>
                <w:b/>
                <w:sz w:val="20"/>
                <w:szCs w:val="20"/>
                <w:lang w:eastAsia="en-AU"/>
              </w:rPr>
              <w:t xml:space="preserve">, </w:t>
            </w:r>
            <w:r>
              <w:rPr>
                <w:b/>
                <w:sz w:val="20"/>
                <w:szCs w:val="20"/>
                <w:lang w:eastAsia="en-AU"/>
              </w:rPr>
              <w:t>P</w:t>
            </w:r>
            <w:r w:rsidRPr="00D70F38">
              <w:rPr>
                <w:b/>
                <w:sz w:val="20"/>
                <w:szCs w:val="20"/>
                <w:lang w:eastAsia="en-AU"/>
              </w:rPr>
              <w:t>)</w:t>
            </w:r>
          </w:p>
        </w:tc>
        <w:tc>
          <w:tcPr>
            <w:tcW w:w="170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7823F7">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Pr>
                <w:b/>
                <w:sz w:val="20"/>
                <w:szCs w:val="20"/>
                <w:lang w:eastAsia="en-AU"/>
              </w:rPr>
              <w:t>M</w:t>
            </w:r>
            <w:r w:rsidRPr="00D70F38">
              <w:rPr>
                <w:b/>
                <w:sz w:val="20"/>
                <w:szCs w:val="20"/>
                <w:lang w:eastAsia="en-AU"/>
              </w:rPr>
              <w:t xml:space="preserve">, </w:t>
            </w:r>
            <w:r>
              <w:rPr>
                <w:b/>
                <w:sz w:val="20"/>
                <w:szCs w:val="20"/>
                <w:lang w:eastAsia="en-AU"/>
              </w:rPr>
              <w:t>N</w:t>
            </w:r>
            <w:r w:rsidRPr="00D70F38">
              <w:rPr>
                <w:b/>
                <w:sz w:val="20"/>
                <w:szCs w:val="20"/>
                <w:lang w:eastAsia="en-AU"/>
              </w:rPr>
              <w:t xml:space="preserve">, </w:t>
            </w:r>
            <w:r>
              <w:rPr>
                <w:b/>
                <w:sz w:val="20"/>
                <w:szCs w:val="20"/>
                <w:lang w:eastAsia="en-AU"/>
              </w:rPr>
              <w:t>O</w:t>
            </w:r>
            <w:r w:rsidRPr="00D70F38">
              <w:rPr>
                <w:b/>
                <w:sz w:val="20"/>
                <w:szCs w:val="20"/>
                <w:lang w:eastAsia="en-AU"/>
              </w:rPr>
              <w:t>)</w:t>
            </w:r>
          </w:p>
        </w:tc>
        <w:tc>
          <w:tcPr>
            <w:tcW w:w="1418"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7823F7">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D2087">
            <w:pPr>
              <w:jc w:val="center"/>
              <w:rPr>
                <w:b/>
                <w:sz w:val="20"/>
                <w:szCs w:val="20"/>
                <w:lang w:eastAsia="en-AU"/>
              </w:rPr>
            </w:pPr>
            <w:r w:rsidRPr="00D70F38">
              <w:rPr>
                <w:b/>
                <w:sz w:val="20"/>
                <w:szCs w:val="20"/>
                <w:lang w:eastAsia="en-AU"/>
              </w:rPr>
              <w:t>Stage 1</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$4,031</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r w:rsidR="000D2087">
              <w:rPr>
                <w:rStyle w:val="FootnoteReference"/>
                <w:b/>
                <w:sz w:val="20"/>
                <w:szCs w:val="20"/>
                <w:lang w:eastAsia="en-AU"/>
              </w:rPr>
              <w:footnoteReference w:id="40"/>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7823F7">
            <w:pPr>
              <w:jc w:val="center"/>
              <w:rPr>
                <w:b/>
                <w:sz w:val="20"/>
                <w:szCs w:val="20"/>
                <w:lang w:eastAsia="en-AU"/>
              </w:rPr>
            </w:pPr>
            <w:r w:rsidRPr="00D70F38">
              <w:rPr>
                <w:b/>
                <w:sz w:val="20"/>
                <w:szCs w:val="20"/>
                <w:lang w:eastAsia="en-AU"/>
              </w:rPr>
              <w:t>Stage 2</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$12,760</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42%</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7823F7">
            <w:pPr>
              <w:jc w:val="center"/>
              <w:rPr>
                <w:b/>
                <w:sz w:val="20"/>
                <w:szCs w:val="20"/>
                <w:lang w:eastAsia="en-AU"/>
              </w:rPr>
            </w:pPr>
            <w:r w:rsidRPr="00D70F38">
              <w:rPr>
                <w:b/>
                <w:sz w:val="20"/>
                <w:szCs w:val="20"/>
                <w:lang w:eastAsia="en-AU"/>
              </w:rPr>
              <w:t>Stage 3</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$4,265</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14%</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70%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7823F7">
            <w:pPr>
              <w:jc w:val="center"/>
              <w:rPr>
                <w:b/>
                <w:sz w:val="20"/>
                <w:szCs w:val="20"/>
                <w:lang w:eastAsia="en-AU"/>
              </w:rPr>
            </w:pPr>
            <w:r w:rsidRPr="00D70F38">
              <w:rPr>
                <w:b/>
                <w:sz w:val="20"/>
                <w:szCs w:val="20"/>
                <w:lang w:eastAsia="en-AU"/>
              </w:rPr>
              <w:t>Stage 4</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265DE2" w:rsidRDefault="004E2497" w:rsidP="007823F7">
            <w:pPr>
              <w:jc w:val="center"/>
              <w:rPr>
                <w:sz w:val="20"/>
                <w:szCs w:val="20"/>
                <w:highlight w:val="yellow"/>
                <w:lang w:eastAsia="en-AU"/>
              </w:rPr>
            </w:pPr>
            <w:r w:rsidRPr="00963339">
              <w:rPr>
                <w:sz w:val="20"/>
                <w:szCs w:val="20"/>
                <w:lang w:eastAsia="en-AU"/>
              </w:rPr>
              <w:t>$9,146</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30%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30%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Pr>
                <w:sz w:val="20"/>
                <w:szCs w:val="20"/>
                <w:lang w:eastAsia="en-AU"/>
              </w:rPr>
              <w:t xml:space="preserve">(A) + (B) </w:t>
            </w:r>
          </w:p>
        </w:tc>
      </w:tr>
      <w:tr w:rsidR="004E2497" w:rsidRPr="0057352B" w:rsidTr="00C25D25">
        <w:trPr>
          <w:gridAfter w:val="1"/>
          <w:wAfter w:w="828" w:type="dxa"/>
          <w:trHeight w:val="315"/>
        </w:trPr>
        <w:tc>
          <w:tcPr>
            <w:tcW w:w="1084"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bottom"/>
            <w:hideMark/>
          </w:tcPr>
          <w:p w:rsidR="004E2497" w:rsidRPr="0057352B" w:rsidRDefault="004E2497" w:rsidP="007823F7">
            <w:pPr>
              <w:rPr>
                <w:sz w:val="20"/>
                <w:szCs w:val="20"/>
                <w:lang w:eastAsia="en-AU"/>
              </w:rPr>
            </w:pPr>
          </w:p>
        </w:tc>
        <w:tc>
          <w:tcPr>
            <w:tcW w:w="1036" w:type="dxa"/>
            <w:tcBorders>
              <w:top w:val="single" w:sz="6" w:space="0" w:color="548DD4" w:themeColor="text2" w:themeTint="99"/>
              <w:left w:val="nil"/>
              <w:bottom w:val="single" w:sz="6" w:space="0" w:color="548DD4" w:themeColor="text2" w:themeTint="99"/>
            </w:tcBorders>
            <w:shd w:val="clear" w:color="auto" w:fill="auto"/>
            <w:vAlign w:val="center"/>
            <w:hideMark/>
          </w:tcPr>
          <w:p w:rsidR="004E2497" w:rsidRPr="00C754F7" w:rsidRDefault="004E2497" w:rsidP="007823F7">
            <w:pPr>
              <w:jc w:val="right"/>
              <w:rPr>
                <w:b/>
                <w:sz w:val="20"/>
                <w:szCs w:val="20"/>
                <w:lang w:eastAsia="en-AU"/>
              </w:rPr>
            </w:pPr>
            <w:r w:rsidRPr="00C754F7">
              <w:rPr>
                <w:b/>
                <w:sz w:val="20"/>
                <w:szCs w:val="20"/>
                <w:lang w:eastAsia="en-AU"/>
              </w:rPr>
              <w:t>TOTAL</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963339">
              <w:rPr>
                <w:sz w:val="20"/>
                <w:szCs w:val="20"/>
                <w:lang w:eastAsia="en-AU"/>
              </w:rPr>
              <w:t>$30,202</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100%</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7823F7">
            <w:pPr>
              <w:jc w:val="center"/>
              <w:rPr>
                <w:sz w:val="20"/>
                <w:szCs w:val="20"/>
                <w:lang w:eastAsia="en-AU"/>
              </w:rPr>
            </w:pPr>
            <w:r w:rsidRPr="0057352B">
              <w:rPr>
                <w:sz w:val="20"/>
                <w:szCs w:val="20"/>
                <w:lang w:eastAsia="en-AU"/>
              </w:rPr>
              <w:t>100%</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7823F7">
            <w:pPr>
              <w:jc w:val="center"/>
              <w:rPr>
                <w:sz w:val="20"/>
                <w:szCs w:val="20"/>
                <w:lang w:eastAsia="en-AU"/>
              </w:rPr>
            </w:pPr>
            <w:r w:rsidRPr="0057352B">
              <w:rPr>
                <w:sz w:val="20"/>
                <w:szCs w:val="20"/>
                <w:lang w:eastAsia="en-AU"/>
              </w:rPr>
              <w:t> </w:t>
            </w:r>
          </w:p>
        </w:tc>
      </w:tr>
      <w:tr w:rsidR="004E2497" w:rsidRPr="0057352B" w:rsidTr="00C25D25">
        <w:trPr>
          <w:gridAfter w:val="1"/>
          <w:wAfter w:w="828" w:type="dxa"/>
          <w:trHeight w:val="315"/>
        </w:trPr>
        <w:tc>
          <w:tcPr>
            <w:tcW w:w="1084"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03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rPr>
                <w:sz w:val="20"/>
                <w:szCs w:val="20"/>
                <w:lang w:eastAsia="en-AU"/>
              </w:rPr>
            </w:pPr>
          </w:p>
        </w:tc>
        <w:tc>
          <w:tcPr>
            <w:tcW w:w="158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2126"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701"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nil"/>
            </w:tcBorders>
            <w:shd w:val="clear" w:color="auto" w:fill="auto"/>
            <w:noWrap/>
            <w:vAlign w:val="bottom"/>
            <w:hideMark/>
          </w:tcPr>
          <w:p w:rsidR="004E2497" w:rsidRPr="0057352B" w:rsidRDefault="004E2497" w:rsidP="000B6A8D">
            <w:pPr>
              <w:jc w:val="center"/>
              <w:rPr>
                <w:sz w:val="20"/>
                <w:szCs w:val="20"/>
                <w:lang w:eastAsia="en-AU"/>
              </w:rPr>
            </w:pPr>
          </w:p>
        </w:tc>
      </w:tr>
      <w:tr w:rsidR="004E2497" w:rsidRPr="0057352B" w:rsidTr="00C25D25">
        <w:trPr>
          <w:gridAfter w:val="1"/>
          <w:wAfter w:w="828" w:type="dxa"/>
          <w:trHeight w:val="645"/>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Bilateral Agreement / Accredited Assessment</w:t>
            </w:r>
          </w:p>
        </w:tc>
        <w:tc>
          <w:tcPr>
            <w:tcW w:w="158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Costs (A)</w:t>
            </w:r>
          </w:p>
        </w:tc>
        <w:tc>
          <w:tcPr>
            <w:tcW w:w="2126"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A to </w:t>
            </w:r>
            <w:r>
              <w:rPr>
                <w:b/>
                <w:sz w:val="20"/>
                <w:szCs w:val="20"/>
                <w:lang w:eastAsia="en-AU"/>
              </w:rPr>
              <w:t>L</w:t>
            </w:r>
            <w:r w:rsidRPr="00D70F38">
              <w:rPr>
                <w:b/>
                <w:sz w:val="20"/>
                <w:szCs w:val="20"/>
                <w:lang w:eastAsia="en-AU"/>
              </w:rPr>
              <w:t xml:space="preserve">, </w:t>
            </w:r>
            <w:r>
              <w:rPr>
                <w:b/>
                <w:sz w:val="20"/>
                <w:szCs w:val="20"/>
                <w:lang w:eastAsia="en-AU"/>
              </w:rPr>
              <w:t>P</w:t>
            </w:r>
            <w:r w:rsidRPr="00D70F38">
              <w:rPr>
                <w:b/>
                <w:sz w:val="20"/>
                <w:szCs w:val="20"/>
                <w:lang w:eastAsia="en-AU"/>
              </w:rPr>
              <w:t>)</w:t>
            </w:r>
          </w:p>
        </w:tc>
        <w:tc>
          <w:tcPr>
            <w:tcW w:w="1701"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1F7EE7" w:rsidP="000B6A8D">
            <w:pPr>
              <w:jc w:val="center"/>
              <w:rPr>
                <w:b/>
                <w:sz w:val="20"/>
                <w:szCs w:val="20"/>
                <w:lang w:eastAsia="en-AU"/>
              </w:rPr>
            </w:pPr>
            <w:r>
              <w:rPr>
                <w:b/>
                <w:sz w:val="20"/>
                <w:szCs w:val="20"/>
                <w:lang w:eastAsia="en-AU"/>
              </w:rPr>
              <w:t>Complexity costs (B</w:t>
            </w:r>
            <w:r w:rsidRPr="00D70F38">
              <w:rPr>
                <w:b/>
                <w:sz w:val="20"/>
                <w:szCs w:val="20"/>
                <w:lang w:eastAsia="en-AU"/>
              </w:rPr>
              <w:t>)</w:t>
            </w:r>
            <w:r w:rsidRPr="00D70F38">
              <w:rPr>
                <w:b/>
                <w:sz w:val="20"/>
                <w:szCs w:val="20"/>
                <w:lang w:eastAsia="en-AU"/>
              </w:rPr>
              <w:br/>
              <w:t xml:space="preserve">(Fees </w:t>
            </w:r>
            <w:r>
              <w:rPr>
                <w:b/>
                <w:sz w:val="20"/>
                <w:szCs w:val="20"/>
                <w:lang w:eastAsia="en-AU"/>
              </w:rPr>
              <w:t>M</w:t>
            </w:r>
            <w:r w:rsidRPr="00D70F38">
              <w:rPr>
                <w:b/>
                <w:sz w:val="20"/>
                <w:szCs w:val="20"/>
                <w:lang w:eastAsia="en-AU"/>
              </w:rPr>
              <w:t xml:space="preserve">, </w:t>
            </w:r>
            <w:r>
              <w:rPr>
                <w:b/>
                <w:sz w:val="20"/>
                <w:szCs w:val="20"/>
                <w:lang w:eastAsia="en-AU"/>
              </w:rPr>
              <w:t>N</w:t>
            </w:r>
            <w:r w:rsidRPr="00D70F38">
              <w:rPr>
                <w:b/>
                <w:sz w:val="20"/>
                <w:szCs w:val="20"/>
                <w:lang w:eastAsia="en-AU"/>
              </w:rPr>
              <w:t xml:space="preserve">, </w:t>
            </w:r>
            <w:r>
              <w:rPr>
                <w:b/>
                <w:sz w:val="20"/>
                <w:szCs w:val="20"/>
                <w:lang w:eastAsia="en-AU"/>
              </w:rPr>
              <w:t>O</w:t>
            </w:r>
            <w:r w:rsidRPr="00D70F38">
              <w:rPr>
                <w:b/>
                <w:sz w:val="20"/>
                <w:szCs w:val="20"/>
                <w:lang w:eastAsia="en-AU"/>
              </w:rPr>
              <w:t>)</w:t>
            </w:r>
          </w:p>
        </w:tc>
        <w:tc>
          <w:tcPr>
            <w:tcW w:w="1418"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4E2497" w:rsidRPr="00D70F38" w:rsidRDefault="004E2497" w:rsidP="000B6A8D">
            <w:pPr>
              <w:jc w:val="center"/>
              <w:rPr>
                <w:b/>
                <w:sz w:val="20"/>
                <w:szCs w:val="20"/>
                <w:lang w:eastAsia="en-AU"/>
              </w:rPr>
            </w:pPr>
            <w:r w:rsidRPr="00D70F38">
              <w:rPr>
                <w:b/>
                <w:sz w:val="20"/>
                <w:szCs w:val="20"/>
                <w:lang w:eastAsia="en-AU"/>
              </w:rPr>
              <w:t>Total</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1</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B107EC">
            <w:pPr>
              <w:jc w:val="center"/>
              <w:rPr>
                <w:sz w:val="20"/>
                <w:szCs w:val="20"/>
                <w:lang w:eastAsia="en-AU"/>
              </w:rPr>
            </w:pPr>
            <w:r w:rsidRPr="00963339">
              <w:rPr>
                <w:sz w:val="20"/>
                <w:szCs w:val="20"/>
                <w:lang w:eastAsia="en-AU"/>
              </w:rPr>
              <w:t>$</w:t>
            </w:r>
            <w:r w:rsidR="00B107EC">
              <w:rPr>
                <w:sz w:val="20"/>
                <w:szCs w:val="20"/>
                <w:lang w:eastAsia="en-AU"/>
              </w:rPr>
              <w:t>4,031</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1264BB">
            <w:pPr>
              <w:jc w:val="center"/>
              <w:rPr>
                <w:sz w:val="20"/>
                <w:szCs w:val="20"/>
                <w:lang w:eastAsia="en-AU"/>
              </w:rPr>
            </w:pPr>
            <w:r>
              <w:rPr>
                <w:sz w:val="20"/>
                <w:szCs w:val="20"/>
                <w:lang w:eastAsia="en-AU"/>
              </w:rPr>
              <w:t>16</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2</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B107EC">
            <w:pPr>
              <w:jc w:val="center"/>
              <w:rPr>
                <w:sz w:val="20"/>
                <w:szCs w:val="20"/>
                <w:lang w:eastAsia="en-AU"/>
              </w:rPr>
            </w:pPr>
            <w:r w:rsidRPr="00963339">
              <w:rPr>
                <w:sz w:val="20"/>
                <w:szCs w:val="20"/>
                <w:lang w:eastAsia="en-AU"/>
              </w:rPr>
              <w:t>$</w:t>
            </w:r>
            <w:r w:rsidR="00B107EC">
              <w:rPr>
                <w:sz w:val="20"/>
                <w:szCs w:val="20"/>
                <w:lang w:eastAsia="en-AU"/>
              </w:rPr>
              <w:t>12,760</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A23A87">
            <w:pPr>
              <w:jc w:val="center"/>
              <w:rPr>
                <w:sz w:val="20"/>
                <w:szCs w:val="20"/>
                <w:lang w:eastAsia="en-AU"/>
              </w:rPr>
            </w:pPr>
            <w:r>
              <w:rPr>
                <w:sz w:val="20"/>
                <w:szCs w:val="20"/>
                <w:lang w:eastAsia="en-AU"/>
              </w:rPr>
              <w:t>49</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3</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w:t>
            </w:r>
            <w:r w:rsidR="00B107EC">
              <w:rPr>
                <w:sz w:val="20"/>
                <w:szCs w:val="20"/>
                <w:lang w:eastAsia="en-AU"/>
              </w:rPr>
              <w:t>4,</w:t>
            </w:r>
            <w:r w:rsidR="001264BB">
              <w:rPr>
                <w:sz w:val="20"/>
                <w:szCs w:val="20"/>
                <w:lang w:eastAsia="en-AU"/>
              </w:rPr>
              <w:t>268</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0B6A8D">
            <w:pPr>
              <w:jc w:val="center"/>
              <w:rPr>
                <w:sz w:val="20"/>
                <w:szCs w:val="20"/>
                <w:lang w:eastAsia="en-AU"/>
              </w:rPr>
            </w:pPr>
            <w:r>
              <w:rPr>
                <w:sz w:val="20"/>
                <w:szCs w:val="20"/>
                <w:lang w:eastAsia="en-AU"/>
              </w:rPr>
              <w:t>16</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81%</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 xml:space="preserve">(A) + (B) </w:t>
            </w:r>
          </w:p>
        </w:tc>
      </w:tr>
      <w:tr w:rsidR="004E2497" w:rsidRPr="0057352B" w:rsidTr="00C25D25">
        <w:trPr>
          <w:gridAfter w:val="1"/>
          <w:wAfter w:w="828" w:type="dxa"/>
          <w:trHeight w:val="300"/>
        </w:trPr>
        <w:tc>
          <w:tcPr>
            <w:tcW w:w="2120"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D70F38" w:rsidRDefault="004E2497" w:rsidP="000B6A8D">
            <w:pPr>
              <w:jc w:val="center"/>
              <w:rPr>
                <w:b/>
                <w:sz w:val="20"/>
                <w:szCs w:val="20"/>
                <w:lang w:eastAsia="en-AU"/>
              </w:rPr>
            </w:pPr>
            <w:r w:rsidRPr="00D70F38">
              <w:rPr>
                <w:b/>
                <w:sz w:val="20"/>
                <w:szCs w:val="20"/>
                <w:lang w:eastAsia="en-AU"/>
              </w:rPr>
              <w:t>Stage 4</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0B6A8D">
            <w:pPr>
              <w:jc w:val="center"/>
              <w:rPr>
                <w:sz w:val="20"/>
                <w:szCs w:val="20"/>
                <w:lang w:eastAsia="en-AU"/>
              </w:rPr>
            </w:pPr>
            <w:r w:rsidRPr="00963339">
              <w:rPr>
                <w:sz w:val="20"/>
                <w:szCs w:val="20"/>
                <w:lang w:eastAsia="en-AU"/>
              </w:rPr>
              <w:t>$</w:t>
            </w:r>
            <w:r w:rsidR="001264BB">
              <w:rPr>
                <w:sz w:val="20"/>
                <w:szCs w:val="20"/>
                <w:lang w:eastAsia="en-AU"/>
              </w:rPr>
              <w:t>4,983</w:t>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1264BB" w:rsidP="000B6A8D">
            <w:pPr>
              <w:jc w:val="center"/>
              <w:rPr>
                <w:sz w:val="20"/>
                <w:szCs w:val="20"/>
                <w:lang w:eastAsia="en-AU"/>
              </w:rPr>
            </w:pPr>
            <w:r>
              <w:rPr>
                <w:sz w:val="20"/>
                <w:szCs w:val="20"/>
                <w:lang w:eastAsia="en-AU"/>
              </w:rPr>
              <w:t>19</w:t>
            </w:r>
            <w:r w:rsidR="004E2497" w:rsidRPr="0057352B">
              <w:rPr>
                <w:sz w:val="20"/>
                <w:szCs w:val="20"/>
                <w:lang w:eastAsia="en-AU"/>
              </w:rPr>
              <w:t>%</w:t>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19%</w:t>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(A) + (B)</w:t>
            </w:r>
          </w:p>
        </w:tc>
      </w:tr>
      <w:tr w:rsidR="004E2497" w:rsidRPr="0057352B" w:rsidTr="00C25D25">
        <w:trPr>
          <w:gridAfter w:val="1"/>
          <w:wAfter w:w="828" w:type="dxa"/>
          <w:trHeight w:val="315"/>
        </w:trPr>
        <w:tc>
          <w:tcPr>
            <w:tcW w:w="1084"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c>
          <w:tcPr>
            <w:tcW w:w="103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C754F7" w:rsidRDefault="004E2497" w:rsidP="000B6A8D">
            <w:pPr>
              <w:jc w:val="right"/>
              <w:rPr>
                <w:b/>
                <w:sz w:val="20"/>
                <w:szCs w:val="20"/>
                <w:lang w:eastAsia="en-AU"/>
              </w:rPr>
            </w:pPr>
            <w:r>
              <w:rPr>
                <w:b/>
                <w:sz w:val="20"/>
                <w:szCs w:val="20"/>
                <w:lang w:eastAsia="en-AU"/>
              </w:rPr>
              <w:t>TOTAL</w:t>
            </w:r>
          </w:p>
        </w:tc>
        <w:tc>
          <w:tcPr>
            <w:tcW w:w="158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963339" w:rsidRDefault="004E2497" w:rsidP="001264BB">
            <w:pPr>
              <w:jc w:val="center"/>
              <w:rPr>
                <w:sz w:val="20"/>
                <w:szCs w:val="20"/>
                <w:lang w:eastAsia="en-AU"/>
              </w:rPr>
            </w:pPr>
            <w:r w:rsidRPr="00963339">
              <w:rPr>
                <w:sz w:val="20"/>
                <w:szCs w:val="20"/>
                <w:lang w:eastAsia="en-AU"/>
              </w:rPr>
              <w:t>$</w:t>
            </w:r>
            <w:r w:rsidR="001264BB">
              <w:rPr>
                <w:sz w:val="20"/>
                <w:szCs w:val="20"/>
                <w:lang w:eastAsia="en-AU"/>
              </w:rPr>
              <w:t>26,043</w:t>
            </w:r>
            <w:r w:rsidR="00E7130D">
              <w:rPr>
                <w:rStyle w:val="FootnoteReference"/>
                <w:sz w:val="20"/>
                <w:szCs w:val="20"/>
                <w:lang w:eastAsia="en-AU"/>
              </w:rPr>
              <w:footnoteReference w:id="41"/>
            </w:r>
          </w:p>
        </w:tc>
        <w:tc>
          <w:tcPr>
            <w:tcW w:w="212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r w:rsidR="00E7130D">
              <w:rPr>
                <w:rStyle w:val="FootnoteReference"/>
                <w:sz w:val="20"/>
                <w:szCs w:val="20"/>
                <w:lang w:eastAsia="en-AU"/>
              </w:rPr>
              <w:footnoteReference w:id="42"/>
            </w:r>
          </w:p>
        </w:tc>
        <w:tc>
          <w:tcPr>
            <w:tcW w:w="170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r w:rsidRPr="0057352B">
              <w:rPr>
                <w:sz w:val="20"/>
                <w:szCs w:val="20"/>
                <w:lang w:eastAsia="en-AU"/>
              </w:rPr>
              <w:t>100%</w:t>
            </w:r>
            <w:r w:rsidR="00E7130D">
              <w:rPr>
                <w:rStyle w:val="FootnoteReference"/>
                <w:sz w:val="20"/>
                <w:szCs w:val="20"/>
                <w:lang w:eastAsia="en-AU"/>
              </w:rPr>
              <w:footnoteReference w:id="43"/>
            </w:r>
          </w:p>
        </w:tc>
        <w:tc>
          <w:tcPr>
            <w:tcW w:w="1418"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4E2497" w:rsidRPr="0057352B" w:rsidRDefault="004E2497" w:rsidP="000B6A8D">
            <w:pPr>
              <w:jc w:val="center"/>
              <w:rPr>
                <w:sz w:val="20"/>
                <w:szCs w:val="20"/>
                <w:lang w:eastAsia="en-AU"/>
              </w:rPr>
            </w:pPr>
          </w:p>
        </w:tc>
      </w:tr>
      <w:tr w:rsidR="00F71142" w:rsidRPr="0057352B" w:rsidTr="00C25D25">
        <w:trPr>
          <w:trHeight w:val="300"/>
        </w:trPr>
        <w:tc>
          <w:tcPr>
            <w:tcW w:w="9774" w:type="dxa"/>
            <w:gridSpan w:val="7"/>
            <w:tcBorders>
              <w:bottom w:val="single" w:sz="6" w:space="0" w:color="548DD4" w:themeColor="text2" w:themeTint="99"/>
            </w:tcBorders>
            <w:shd w:val="clear" w:color="000000" w:fill="auto"/>
            <w:noWrap/>
            <w:vAlign w:val="bottom"/>
            <w:hideMark/>
          </w:tcPr>
          <w:p w:rsidR="00F71142" w:rsidRPr="0057352B" w:rsidRDefault="00F71142" w:rsidP="00F71142">
            <w:pPr>
              <w:rPr>
                <w:rFonts w:eastAsia="SimSun"/>
                <w:color w:val="0070C0"/>
                <w:sz w:val="28"/>
                <w:szCs w:val="28"/>
                <w:lang w:val="en-US"/>
              </w:rPr>
            </w:pPr>
            <w:r w:rsidRPr="0057352B">
              <w:rPr>
                <w:rFonts w:eastAsia="SimSun"/>
                <w:color w:val="0070C0"/>
                <w:sz w:val="28"/>
                <w:szCs w:val="28"/>
                <w:lang w:val="en-US"/>
              </w:rPr>
              <w:lastRenderedPageBreak/>
              <w:t xml:space="preserve">Fee </w:t>
            </w:r>
            <w:r w:rsidRPr="00194AAE">
              <w:rPr>
                <w:rFonts w:eastAsia="SimSun"/>
                <w:color w:val="0070C0"/>
                <w:sz w:val="28"/>
                <w:szCs w:val="28"/>
                <w:lang w:val="en-US"/>
              </w:rPr>
              <w:t>schedule 2014-15 (</w:t>
            </w:r>
            <w:r w:rsidRPr="0057352B">
              <w:rPr>
                <w:rFonts w:eastAsia="SimSun"/>
                <w:color w:val="0070C0"/>
                <w:sz w:val="28"/>
                <w:szCs w:val="28"/>
                <w:lang w:val="en-US"/>
              </w:rPr>
              <w:t>continued)</w:t>
            </w:r>
          </w:p>
          <w:p w:rsidR="00F71142" w:rsidRPr="0057352B" w:rsidRDefault="00F71142" w:rsidP="000B6A8D">
            <w:pPr>
              <w:jc w:val="center"/>
              <w:rPr>
                <w:sz w:val="20"/>
                <w:szCs w:val="20"/>
                <w:lang w:eastAsia="en-AU"/>
              </w:rPr>
            </w:pPr>
          </w:p>
        </w:tc>
      </w:tr>
      <w:tr w:rsidR="004E2497" w:rsidRPr="0057352B" w:rsidTr="00C25D25">
        <w:trPr>
          <w:trHeight w:val="300"/>
        </w:trPr>
        <w:tc>
          <w:tcPr>
            <w:tcW w:w="3701" w:type="dxa"/>
            <w:gridSpan w:val="3"/>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noWrap/>
            <w:vAlign w:val="bottom"/>
            <w:hideMark/>
          </w:tcPr>
          <w:p w:rsidR="004E2497" w:rsidRPr="00D70F38" w:rsidRDefault="004E2497" w:rsidP="000B6A8D">
            <w:pPr>
              <w:jc w:val="center"/>
              <w:rPr>
                <w:b/>
                <w:sz w:val="20"/>
                <w:szCs w:val="20"/>
                <w:lang w:eastAsia="en-AU"/>
              </w:rPr>
            </w:pPr>
            <w:r w:rsidRPr="00D70F38">
              <w:rPr>
                <w:b/>
                <w:sz w:val="20"/>
                <w:szCs w:val="20"/>
                <w:lang w:eastAsia="en-AU"/>
              </w:rPr>
              <w:t xml:space="preserve">Public inquiry </w:t>
            </w:r>
          </w:p>
        </w:tc>
        <w:tc>
          <w:tcPr>
            <w:tcW w:w="6073" w:type="dxa"/>
            <w:gridSpan w:val="4"/>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Costs determined on a case-by-case basis</w:t>
            </w:r>
          </w:p>
        </w:tc>
      </w:tr>
      <w:tr w:rsidR="004E2497" w:rsidRPr="0057352B" w:rsidTr="00C25D25">
        <w:trPr>
          <w:trHeight w:val="300"/>
        </w:trPr>
        <w:tc>
          <w:tcPr>
            <w:tcW w:w="3701" w:type="dxa"/>
            <w:gridSpan w:val="3"/>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noWrap/>
            <w:vAlign w:val="bottom"/>
            <w:hideMark/>
          </w:tcPr>
          <w:p w:rsidR="004E2497" w:rsidRPr="00D70F38" w:rsidRDefault="004E2497" w:rsidP="000B6A8D">
            <w:pPr>
              <w:jc w:val="center"/>
              <w:rPr>
                <w:b/>
                <w:sz w:val="20"/>
                <w:szCs w:val="20"/>
                <w:lang w:eastAsia="en-AU"/>
              </w:rPr>
            </w:pPr>
            <w:r w:rsidRPr="00D70F38">
              <w:rPr>
                <w:b/>
                <w:sz w:val="20"/>
                <w:szCs w:val="20"/>
                <w:lang w:eastAsia="en-AU"/>
              </w:rPr>
              <w:t>Strategic Assessments</w:t>
            </w:r>
          </w:p>
        </w:tc>
        <w:tc>
          <w:tcPr>
            <w:tcW w:w="6073" w:type="dxa"/>
            <w:gridSpan w:val="4"/>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auto"/>
            <w:noWrap/>
            <w:vAlign w:val="bottom"/>
            <w:hideMark/>
          </w:tcPr>
          <w:p w:rsidR="004E2497" w:rsidRPr="0057352B" w:rsidRDefault="004E2497" w:rsidP="000B6A8D">
            <w:pPr>
              <w:jc w:val="center"/>
              <w:rPr>
                <w:sz w:val="20"/>
                <w:szCs w:val="20"/>
                <w:lang w:eastAsia="en-AU"/>
              </w:rPr>
            </w:pPr>
            <w:r w:rsidRPr="0057352B">
              <w:rPr>
                <w:sz w:val="20"/>
                <w:szCs w:val="20"/>
                <w:lang w:eastAsia="en-AU"/>
              </w:rPr>
              <w:t>Costs determined on a case-by-case basis</w:t>
            </w:r>
          </w:p>
        </w:tc>
      </w:tr>
    </w:tbl>
    <w:p w:rsidR="00476F5B" w:rsidRDefault="00476F5B" w:rsidP="00183736">
      <w:pPr>
        <w:rPr>
          <w:rFonts w:eastAsia="SimSun"/>
          <w:color w:val="0070C0"/>
          <w:sz w:val="28"/>
          <w:szCs w:val="28"/>
          <w:lang w:val="en-US"/>
        </w:rPr>
      </w:pPr>
    </w:p>
    <w:tbl>
      <w:tblPr>
        <w:tblW w:w="9762" w:type="dxa"/>
        <w:tblInd w:w="93" w:type="dxa"/>
        <w:tblLayout w:type="fixed"/>
        <w:tblLook w:val="04A0"/>
      </w:tblPr>
      <w:tblGrid>
        <w:gridCol w:w="2518"/>
        <w:gridCol w:w="3593"/>
        <w:gridCol w:w="1275"/>
        <w:gridCol w:w="739"/>
        <w:gridCol w:w="680"/>
        <w:gridCol w:w="262"/>
        <w:gridCol w:w="695"/>
      </w:tblGrid>
      <w:tr w:rsidR="00183736" w:rsidRPr="0057352B" w:rsidTr="006C28E8">
        <w:trPr>
          <w:trHeight w:val="300"/>
        </w:trPr>
        <w:tc>
          <w:tcPr>
            <w:tcW w:w="6111" w:type="dxa"/>
            <w:gridSpan w:val="2"/>
            <w:tcBorders>
              <w:top w:val="nil"/>
              <w:left w:val="nil"/>
              <w:bottom w:val="single" w:sz="6" w:space="0" w:color="548DD4" w:themeColor="text2" w:themeTint="99"/>
              <w:right w:val="nil"/>
            </w:tcBorders>
            <w:shd w:val="clear" w:color="auto" w:fill="auto"/>
            <w:noWrap/>
            <w:vAlign w:val="center"/>
            <w:hideMark/>
          </w:tcPr>
          <w:p w:rsidR="00183736" w:rsidRPr="0057352B" w:rsidRDefault="00183736" w:rsidP="000B6A8D">
            <w:pPr>
              <w:rPr>
                <w:b/>
                <w:sz w:val="20"/>
                <w:szCs w:val="20"/>
                <w:u w:val="single"/>
                <w:lang w:eastAsia="en-AU"/>
              </w:rPr>
            </w:pPr>
            <w:r w:rsidRPr="0057352B">
              <w:rPr>
                <w:b/>
                <w:sz w:val="20"/>
                <w:szCs w:val="20"/>
                <w:u w:val="single"/>
                <w:lang w:eastAsia="en-AU"/>
              </w:rPr>
              <w:t>Post approval fees</w:t>
            </w:r>
          </w:p>
        </w:tc>
        <w:tc>
          <w:tcPr>
            <w:tcW w:w="1275" w:type="dxa"/>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c>
          <w:tcPr>
            <w:tcW w:w="739" w:type="dxa"/>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c>
          <w:tcPr>
            <w:tcW w:w="942" w:type="dxa"/>
            <w:gridSpan w:val="2"/>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c>
          <w:tcPr>
            <w:tcW w:w="695" w:type="dxa"/>
            <w:tcBorders>
              <w:top w:val="nil"/>
              <w:left w:val="nil"/>
              <w:bottom w:val="single" w:sz="6" w:space="0" w:color="548DD4" w:themeColor="text2" w:themeTint="99"/>
              <w:right w:val="nil"/>
            </w:tcBorders>
            <w:shd w:val="clear" w:color="auto" w:fill="auto"/>
            <w:noWrap/>
            <w:vAlign w:val="bottom"/>
            <w:hideMark/>
          </w:tcPr>
          <w:p w:rsidR="00183736" w:rsidRPr="0057352B" w:rsidRDefault="00183736" w:rsidP="000B6A8D">
            <w:pPr>
              <w:rPr>
                <w:sz w:val="20"/>
                <w:szCs w:val="20"/>
                <w:lang w:eastAsia="en-AU"/>
              </w:rPr>
            </w:pPr>
          </w:p>
        </w:tc>
      </w:tr>
      <w:tr w:rsidR="00307131" w:rsidRPr="00E52ACC" w:rsidTr="006C28E8">
        <w:trPr>
          <w:trHeight w:val="51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noWrap/>
            <w:vAlign w:val="center"/>
            <w:hideMark/>
          </w:tcPr>
          <w:p w:rsidR="00307131" w:rsidRPr="00E52ACC" w:rsidRDefault="00307131" w:rsidP="000B6A8D">
            <w:pPr>
              <w:jc w:val="center"/>
              <w:rPr>
                <w:b/>
                <w:sz w:val="20"/>
                <w:szCs w:val="20"/>
                <w:lang w:eastAsia="en-AU"/>
              </w:rPr>
            </w:pPr>
            <w:r w:rsidRPr="003449C5">
              <w:rPr>
                <w:b/>
                <w:sz w:val="20"/>
                <w:szCs w:val="20"/>
                <w:lang w:eastAsia="en-AU"/>
              </w:rPr>
              <w:t>Activity</w:t>
            </w:r>
          </w:p>
        </w:tc>
        <w:tc>
          <w:tcPr>
            <w:tcW w:w="1275"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Bas</w:t>
            </w:r>
            <w:r>
              <w:rPr>
                <w:b/>
                <w:sz w:val="20"/>
                <w:szCs w:val="20"/>
                <w:lang w:eastAsia="en-AU"/>
              </w:rPr>
              <w:t>e</w:t>
            </w:r>
            <w:r w:rsidRPr="003449C5">
              <w:rPr>
                <w:b/>
                <w:sz w:val="20"/>
                <w:szCs w:val="20"/>
                <w:lang w:eastAsia="en-AU"/>
              </w:rPr>
              <w:t xml:space="preserve"> Costs (A)</w:t>
            </w:r>
          </w:p>
        </w:tc>
        <w:tc>
          <w:tcPr>
            <w:tcW w:w="1419"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EE0A51" w:rsidP="000B6A8D">
            <w:pPr>
              <w:jc w:val="center"/>
              <w:rPr>
                <w:b/>
                <w:sz w:val="20"/>
                <w:szCs w:val="20"/>
                <w:lang w:eastAsia="en-AU"/>
              </w:rPr>
            </w:pPr>
            <w:r>
              <w:rPr>
                <w:b/>
                <w:sz w:val="20"/>
                <w:szCs w:val="20"/>
                <w:lang w:eastAsia="en-AU"/>
              </w:rPr>
              <w:t>Complexity costs (B</w:t>
            </w:r>
            <w:r w:rsidR="00307131" w:rsidRPr="003449C5">
              <w:rPr>
                <w:b/>
                <w:sz w:val="20"/>
                <w:szCs w:val="20"/>
                <w:lang w:eastAsia="en-AU"/>
              </w:rPr>
              <w:t>)</w:t>
            </w:r>
          </w:p>
        </w:tc>
        <w:tc>
          <w:tcPr>
            <w:tcW w:w="957"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Total</w:t>
            </w:r>
          </w:p>
        </w:tc>
      </w:tr>
      <w:tr w:rsidR="00307131" w:rsidRPr="0057352B" w:rsidTr="006C28E8">
        <w:trPr>
          <w:trHeight w:val="67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Management plan assessment fee (per management plan)</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57352B" w:rsidRDefault="00307131" w:rsidP="00194AAE">
            <w:pPr>
              <w:jc w:val="center"/>
              <w:rPr>
                <w:sz w:val="20"/>
                <w:szCs w:val="20"/>
                <w:lang w:eastAsia="en-AU"/>
              </w:rPr>
            </w:pPr>
            <w:r w:rsidRPr="00194AAE">
              <w:rPr>
                <w:sz w:val="20"/>
                <w:szCs w:val="20"/>
                <w:lang w:eastAsia="en-AU"/>
              </w:rPr>
              <w:t>$</w:t>
            </w:r>
            <w:r w:rsidR="00194AAE" w:rsidRPr="00194AAE">
              <w:rPr>
                <w:sz w:val="20"/>
                <w:szCs w:val="20"/>
                <w:lang w:eastAsia="en-AU"/>
              </w:rPr>
              <w:t>3,233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57352B" w:rsidRDefault="00194AAE" w:rsidP="000B6A8D">
            <w:pPr>
              <w:jc w:val="center"/>
              <w:rPr>
                <w:sz w:val="20"/>
                <w:szCs w:val="20"/>
                <w:lang w:eastAsia="en-AU"/>
              </w:rPr>
            </w:pPr>
            <w:r w:rsidRPr="00194AAE">
              <w:rPr>
                <w:sz w:val="20"/>
                <w:szCs w:val="20"/>
                <w:lang w:eastAsia="en-AU"/>
              </w:rPr>
              <w:t>$3,233</w:t>
            </w:r>
          </w:p>
        </w:tc>
      </w:tr>
      <w:tr w:rsidR="00307131" w:rsidRPr="0057352B" w:rsidTr="006C28E8">
        <w:trPr>
          <w:trHeight w:val="330"/>
        </w:trPr>
        <w:tc>
          <w:tcPr>
            <w:tcW w:w="2518" w:type="dxa"/>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rPr>
                <w:sz w:val="20"/>
                <w:szCs w:val="20"/>
                <w:lang w:eastAsia="en-AU"/>
              </w:rPr>
            </w:pPr>
          </w:p>
        </w:tc>
        <w:tc>
          <w:tcPr>
            <w:tcW w:w="3593" w:type="dxa"/>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rPr>
                <w:sz w:val="20"/>
                <w:szCs w:val="20"/>
                <w:lang w:eastAsia="en-AU"/>
              </w:rPr>
            </w:pPr>
          </w:p>
        </w:tc>
        <w:tc>
          <w:tcPr>
            <w:tcW w:w="1275" w:type="dxa"/>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jc w:val="center"/>
              <w:rPr>
                <w:sz w:val="20"/>
                <w:szCs w:val="20"/>
                <w:lang w:eastAsia="en-AU"/>
              </w:rPr>
            </w:pPr>
          </w:p>
        </w:tc>
        <w:tc>
          <w:tcPr>
            <w:tcW w:w="1419" w:type="dxa"/>
            <w:gridSpan w:val="2"/>
            <w:tcBorders>
              <w:top w:val="single" w:sz="6" w:space="0" w:color="548DD4" w:themeColor="text2" w:themeTint="99"/>
              <w:left w:val="nil"/>
              <w:bottom w:val="nil"/>
              <w:right w:val="nil"/>
            </w:tcBorders>
            <w:shd w:val="clear" w:color="auto" w:fill="auto"/>
            <w:noWrap/>
            <w:vAlign w:val="center"/>
            <w:hideMark/>
          </w:tcPr>
          <w:p w:rsidR="00307131" w:rsidRPr="0057352B" w:rsidRDefault="00307131" w:rsidP="000B6A8D">
            <w:pPr>
              <w:jc w:val="center"/>
              <w:rPr>
                <w:sz w:val="20"/>
                <w:szCs w:val="20"/>
                <w:lang w:eastAsia="en-AU"/>
              </w:rPr>
            </w:pPr>
          </w:p>
        </w:tc>
        <w:tc>
          <w:tcPr>
            <w:tcW w:w="957" w:type="dxa"/>
            <w:gridSpan w:val="2"/>
            <w:tcBorders>
              <w:top w:val="single" w:sz="6" w:space="0" w:color="548DD4" w:themeColor="text2" w:themeTint="99"/>
              <w:left w:val="nil"/>
              <w:bottom w:val="nil"/>
              <w:right w:val="nil"/>
            </w:tcBorders>
            <w:shd w:val="clear" w:color="auto" w:fill="auto"/>
            <w:vAlign w:val="center"/>
            <w:hideMark/>
          </w:tcPr>
          <w:p w:rsidR="00307131" w:rsidRPr="0057352B" w:rsidRDefault="00307131" w:rsidP="000B6A8D">
            <w:pPr>
              <w:jc w:val="center"/>
              <w:rPr>
                <w:sz w:val="20"/>
                <w:szCs w:val="20"/>
                <w:lang w:eastAsia="en-AU"/>
              </w:rPr>
            </w:pPr>
          </w:p>
        </w:tc>
      </w:tr>
      <w:tr w:rsidR="00307131" w:rsidRPr="0057352B" w:rsidTr="006C28E8">
        <w:trPr>
          <w:trHeight w:val="300"/>
        </w:trPr>
        <w:tc>
          <w:tcPr>
            <w:tcW w:w="6111" w:type="dxa"/>
            <w:gridSpan w:val="2"/>
            <w:tcBorders>
              <w:top w:val="nil"/>
              <w:left w:val="nil"/>
              <w:bottom w:val="single" w:sz="6" w:space="0" w:color="548DD4" w:themeColor="text2" w:themeTint="99"/>
              <w:right w:val="nil"/>
            </w:tcBorders>
            <w:shd w:val="clear" w:color="auto" w:fill="auto"/>
            <w:vAlign w:val="center"/>
            <w:hideMark/>
          </w:tcPr>
          <w:p w:rsidR="00A96E71" w:rsidRPr="0057352B" w:rsidRDefault="00307131" w:rsidP="00194AAE">
            <w:pPr>
              <w:rPr>
                <w:b/>
                <w:sz w:val="20"/>
                <w:szCs w:val="20"/>
                <w:u w:val="single"/>
                <w:lang w:eastAsia="en-AU"/>
              </w:rPr>
            </w:pPr>
            <w:r w:rsidRPr="0057352B">
              <w:rPr>
                <w:b/>
                <w:sz w:val="20"/>
                <w:szCs w:val="20"/>
                <w:u w:val="single"/>
                <w:lang w:eastAsia="en-AU"/>
              </w:rPr>
              <w:t>Contingent fees</w:t>
            </w:r>
          </w:p>
        </w:tc>
        <w:tc>
          <w:tcPr>
            <w:tcW w:w="1275" w:type="dxa"/>
            <w:tcBorders>
              <w:top w:val="nil"/>
              <w:left w:val="nil"/>
              <w:bottom w:val="single" w:sz="6" w:space="0" w:color="548DD4" w:themeColor="text2" w:themeTint="99"/>
              <w:right w:val="nil"/>
            </w:tcBorders>
            <w:shd w:val="clear" w:color="auto" w:fill="auto"/>
            <w:vAlign w:val="center"/>
            <w:hideMark/>
          </w:tcPr>
          <w:p w:rsidR="00307131" w:rsidRPr="0057352B" w:rsidRDefault="00307131" w:rsidP="000B6A8D">
            <w:pPr>
              <w:jc w:val="center"/>
              <w:rPr>
                <w:sz w:val="20"/>
                <w:szCs w:val="20"/>
                <w:lang w:eastAsia="en-AU"/>
              </w:rPr>
            </w:pPr>
          </w:p>
        </w:tc>
        <w:tc>
          <w:tcPr>
            <w:tcW w:w="1419" w:type="dxa"/>
            <w:gridSpan w:val="2"/>
            <w:tcBorders>
              <w:top w:val="nil"/>
              <w:left w:val="nil"/>
              <w:bottom w:val="single" w:sz="6" w:space="0" w:color="548DD4" w:themeColor="text2" w:themeTint="99"/>
              <w:right w:val="nil"/>
            </w:tcBorders>
            <w:shd w:val="clear" w:color="auto" w:fill="auto"/>
            <w:noWrap/>
            <w:vAlign w:val="center"/>
            <w:hideMark/>
          </w:tcPr>
          <w:p w:rsidR="00307131" w:rsidRPr="0057352B" w:rsidRDefault="00307131" w:rsidP="000B6A8D">
            <w:pPr>
              <w:jc w:val="center"/>
              <w:rPr>
                <w:sz w:val="20"/>
                <w:szCs w:val="20"/>
                <w:lang w:eastAsia="en-AU"/>
              </w:rPr>
            </w:pPr>
          </w:p>
        </w:tc>
        <w:tc>
          <w:tcPr>
            <w:tcW w:w="957" w:type="dxa"/>
            <w:gridSpan w:val="2"/>
            <w:tcBorders>
              <w:top w:val="nil"/>
              <w:left w:val="nil"/>
              <w:bottom w:val="single" w:sz="6" w:space="0" w:color="548DD4" w:themeColor="text2" w:themeTint="99"/>
              <w:right w:val="nil"/>
            </w:tcBorders>
            <w:shd w:val="clear" w:color="auto" w:fill="auto"/>
            <w:noWrap/>
            <w:vAlign w:val="center"/>
            <w:hideMark/>
          </w:tcPr>
          <w:p w:rsidR="00307131" w:rsidRPr="0057352B" w:rsidRDefault="00307131" w:rsidP="000B6A8D">
            <w:pPr>
              <w:jc w:val="center"/>
              <w:rPr>
                <w:sz w:val="20"/>
                <w:szCs w:val="20"/>
                <w:lang w:eastAsia="en-AU"/>
              </w:rPr>
            </w:pPr>
          </w:p>
        </w:tc>
      </w:tr>
      <w:tr w:rsidR="00307131" w:rsidRPr="00E52ACC" w:rsidTr="006C28E8">
        <w:trPr>
          <w:trHeight w:val="51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Activity</w:t>
            </w:r>
          </w:p>
        </w:tc>
        <w:tc>
          <w:tcPr>
            <w:tcW w:w="1275" w:type="dxa"/>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Bas</w:t>
            </w:r>
            <w:r>
              <w:rPr>
                <w:b/>
                <w:sz w:val="20"/>
                <w:szCs w:val="20"/>
                <w:lang w:eastAsia="en-AU"/>
              </w:rPr>
              <w:t>e</w:t>
            </w:r>
            <w:r w:rsidRPr="003449C5">
              <w:rPr>
                <w:b/>
                <w:sz w:val="20"/>
                <w:szCs w:val="20"/>
                <w:lang w:eastAsia="en-AU"/>
              </w:rPr>
              <w:t xml:space="preserve"> Costs (A)</w:t>
            </w:r>
          </w:p>
        </w:tc>
        <w:tc>
          <w:tcPr>
            <w:tcW w:w="1419"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EE0A51" w:rsidP="000B6A8D">
            <w:pPr>
              <w:jc w:val="center"/>
              <w:rPr>
                <w:b/>
                <w:sz w:val="20"/>
                <w:szCs w:val="20"/>
                <w:lang w:eastAsia="en-AU"/>
              </w:rPr>
            </w:pPr>
            <w:r>
              <w:rPr>
                <w:b/>
                <w:sz w:val="20"/>
                <w:szCs w:val="20"/>
                <w:lang w:eastAsia="en-AU"/>
              </w:rPr>
              <w:t>Complexity costs (B</w:t>
            </w:r>
            <w:r w:rsidR="00307131" w:rsidRPr="003449C5">
              <w:rPr>
                <w:b/>
                <w:sz w:val="20"/>
                <w:szCs w:val="20"/>
                <w:lang w:eastAsia="en-AU"/>
              </w:rPr>
              <w:t>)</w:t>
            </w:r>
          </w:p>
        </w:tc>
        <w:tc>
          <w:tcPr>
            <w:tcW w:w="957"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C6D9F1" w:themeFill="text2" w:themeFillTint="33"/>
            <w:vAlign w:val="center"/>
            <w:hideMark/>
          </w:tcPr>
          <w:p w:rsidR="00307131" w:rsidRPr="00E52ACC" w:rsidRDefault="00307131" w:rsidP="000B6A8D">
            <w:pPr>
              <w:jc w:val="center"/>
              <w:rPr>
                <w:b/>
                <w:sz w:val="20"/>
                <w:szCs w:val="20"/>
                <w:lang w:eastAsia="en-AU"/>
              </w:rPr>
            </w:pPr>
            <w:r w:rsidRPr="003449C5">
              <w:rPr>
                <w:b/>
                <w:sz w:val="20"/>
                <w:szCs w:val="20"/>
                <w:lang w:eastAsia="en-AU"/>
              </w:rPr>
              <w:t>Total</w:t>
            </w:r>
          </w:p>
        </w:tc>
      </w:tr>
      <w:tr w:rsidR="00307131" w:rsidRPr="0057352B" w:rsidTr="006C28E8">
        <w:trPr>
          <w:trHeight w:val="61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Request additional information</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$2,</w:t>
            </w:r>
            <w:r>
              <w:rPr>
                <w:sz w:val="20"/>
                <w:szCs w:val="20"/>
                <w:lang w:eastAsia="en-AU"/>
              </w:rPr>
              <w:t>544</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$2,</w:t>
            </w:r>
            <w:r>
              <w:rPr>
                <w:sz w:val="20"/>
                <w:szCs w:val="20"/>
                <w:lang w:eastAsia="en-AU"/>
              </w:rPr>
              <w:t>544</w:t>
            </w:r>
          </w:p>
        </w:tc>
      </w:tr>
      <w:tr w:rsidR="00307131" w:rsidRPr="0057352B" w:rsidTr="006C28E8">
        <w:trPr>
          <w:trHeight w:val="63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bookmarkStart w:id="891" w:name="RANGE!A43"/>
            <w:r w:rsidRPr="0057352B">
              <w:rPr>
                <w:sz w:val="20"/>
                <w:szCs w:val="20"/>
                <w:lang w:eastAsia="en-AU"/>
              </w:rPr>
              <w:t>Request additional information (environmental impact statement assessment</w:t>
            </w:r>
            <w:r w:rsidR="00ED5421">
              <w:rPr>
                <w:sz w:val="20"/>
                <w:szCs w:val="20"/>
                <w:lang w:eastAsia="en-AU"/>
              </w:rPr>
              <w:t>/public environment report</w:t>
            </w:r>
            <w:r w:rsidRPr="0057352B">
              <w:rPr>
                <w:sz w:val="20"/>
                <w:szCs w:val="20"/>
                <w:lang w:eastAsia="en-AU"/>
              </w:rPr>
              <w:t>)</w:t>
            </w:r>
            <w:bookmarkEnd w:id="891"/>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Pr>
                <w:sz w:val="20"/>
                <w:szCs w:val="20"/>
                <w:lang w:eastAsia="en-AU"/>
              </w:rPr>
              <w:t>$13,087</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Pr>
                <w:sz w:val="20"/>
                <w:szCs w:val="20"/>
                <w:lang w:eastAsia="en-AU"/>
              </w:rPr>
              <w:t>$13,087</w:t>
            </w:r>
          </w:p>
        </w:tc>
      </w:tr>
      <w:tr w:rsidR="00307131" w:rsidRPr="0057352B" w:rsidTr="006C28E8">
        <w:trPr>
          <w:trHeight w:val="88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bookmarkStart w:id="892" w:name="RANGE!A44"/>
            <w:r w:rsidRPr="0057352B">
              <w:rPr>
                <w:sz w:val="20"/>
                <w:szCs w:val="20"/>
                <w:lang w:eastAsia="en-AU"/>
              </w:rPr>
              <w:t xml:space="preserve">Reconsideration request (made by the </w:t>
            </w:r>
            <w:r w:rsidR="00B64DB5">
              <w:rPr>
                <w:sz w:val="20"/>
                <w:szCs w:val="20"/>
                <w:lang w:eastAsia="en-AU"/>
              </w:rPr>
              <w:t>applicant</w:t>
            </w:r>
            <w:r w:rsidRPr="0057352B">
              <w:rPr>
                <w:sz w:val="20"/>
                <w:szCs w:val="20"/>
                <w:lang w:eastAsia="en-AU"/>
              </w:rPr>
              <w:t xml:space="preserve"> of the action)</w:t>
            </w:r>
            <w:bookmarkEnd w:id="892"/>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$7,</w:t>
            </w:r>
            <w:r>
              <w:rPr>
                <w:sz w:val="20"/>
                <w:szCs w:val="20"/>
                <w:lang w:eastAsia="en-AU"/>
              </w:rPr>
              <w:t>423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$7,</w:t>
            </w:r>
            <w:r>
              <w:rPr>
                <w:sz w:val="20"/>
                <w:szCs w:val="20"/>
                <w:lang w:eastAsia="en-AU"/>
              </w:rPr>
              <w:t>423</w:t>
            </w:r>
          </w:p>
        </w:tc>
      </w:tr>
      <w:tr w:rsidR="00307131" w:rsidRPr="0057352B" w:rsidTr="006C28E8">
        <w:trPr>
          <w:trHeight w:val="36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Variation of conditions</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$3,</w:t>
            </w:r>
            <w:r>
              <w:rPr>
                <w:sz w:val="20"/>
                <w:szCs w:val="20"/>
                <w:lang w:eastAsia="en-AU"/>
              </w:rPr>
              <w:t>320</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$3,</w:t>
            </w:r>
            <w:r>
              <w:rPr>
                <w:sz w:val="20"/>
                <w:szCs w:val="20"/>
                <w:lang w:eastAsia="en-AU"/>
              </w:rPr>
              <w:t>320</w:t>
            </w:r>
          </w:p>
        </w:tc>
      </w:tr>
      <w:tr w:rsidR="00307131" w:rsidRPr="0057352B" w:rsidTr="006C28E8">
        <w:trPr>
          <w:trHeight w:val="870"/>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Variation of a action management plan under conditions of approval</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$3,</w:t>
            </w:r>
            <w:r>
              <w:rPr>
                <w:sz w:val="20"/>
                <w:szCs w:val="20"/>
                <w:lang w:eastAsia="en-AU"/>
              </w:rPr>
              <w:t>2</w:t>
            </w:r>
            <w:r w:rsidR="005C6770">
              <w:rPr>
                <w:sz w:val="20"/>
                <w:szCs w:val="20"/>
                <w:lang w:eastAsia="en-AU"/>
              </w:rPr>
              <w:t>33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noWrap/>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AD1B69">
            <w:pPr>
              <w:jc w:val="center"/>
              <w:rPr>
                <w:sz w:val="20"/>
                <w:szCs w:val="20"/>
                <w:highlight w:val="yellow"/>
                <w:lang w:eastAsia="en-AU"/>
              </w:rPr>
            </w:pPr>
            <w:r w:rsidRPr="009949EE">
              <w:rPr>
                <w:sz w:val="20"/>
                <w:szCs w:val="20"/>
                <w:lang w:eastAsia="en-AU"/>
              </w:rPr>
              <w:t>$3,</w:t>
            </w:r>
            <w:r w:rsidR="00AD1B69">
              <w:rPr>
                <w:sz w:val="20"/>
                <w:szCs w:val="20"/>
                <w:lang w:eastAsia="en-AU"/>
              </w:rPr>
              <w:t>23</w:t>
            </w:r>
            <w:r w:rsidR="00C01201">
              <w:rPr>
                <w:sz w:val="20"/>
                <w:szCs w:val="20"/>
                <w:lang w:eastAsia="en-AU"/>
              </w:rPr>
              <w:t>3</w:t>
            </w:r>
          </w:p>
        </w:tc>
      </w:tr>
      <w:tr w:rsidR="00307131" w:rsidRPr="0057352B" w:rsidTr="006C28E8">
        <w:trPr>
          <w:trHeight w:val="825"/>
        </w:trPr>
        <w:tc>
          <w:tcPr>
            <w:tcW w:w="6111" w:type="dxa"/>
            <w:gridSpan w:val="2"/>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307131" w:rsidRPr="0057352B" w:rsidRDefault="00307131" w:rsidP="000B6A8D">
            <w:pPr>
              <w:rPr>
                <w:sz w:val="20"/>
                <w:szCs w:val="20"/>
                <w:lang w:eastAsia="en-AU"/>
              </w:rPr>
            </w:pPr>
            <w:r w:rsidRPr="0057352B">
              <w:rPr>
                <w:sz w:val="20"/>
                <w:szCs w:val="20"/>
                <w:lang w:eastAsia="en-AU"/>
              </w:rPr>
              <w:t>Administrative variation to action management plan under conditions of approval</w:t>
            </w:r>
          </w:p>
        </w:tc>
        <w:tc>
          <w:tcPr>
            <w:tcW w:w="1275" w:type="dxa"/>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$9</w:t>
            </w:r>
            <w:r>
              <w:rPr>
                <w:sz w:val="20"/>
                <w:szCs w:val="20"/>
                <w:lang w:eastAsia="en-AU"/>
              </w:rPr>
              <w:t>43</w:t>
            </w:r>
          </w:p>
        </w:tc>
        <w:tc>
          <w:tcPr>
            <w:tcW w:w="1419" w:type="dxa"/>
            <w:gridSpan w:val="2"/>
            <w:tcBorders>
              <w:top w:val="single" w:sz="6" w:space="0" w:color="548DD4" w:themeColor="text2" w:themeTint="99"/>
              <w:left w:val="nil"/>
              <w:bottom w:val="single" w:sz="6" w:space="0" w:color="548DD4" w:themeColor="text2" w:themeTint="99"/>
            </w:tcBorders>
            <w:shd w:val="clear" w:color="auto" w:fill="auto"/>
            <w:vAlign w:val="center"/>
            <w:hideMark/>
          </w:tcPr>
          <w:p w:rsidR="00307131" w:rsidRPr="0057352B" w:rsidRDefault="00307131" w:rsidP="000B6A8D">
            <w:pPr>
              <w:jc w:val="center"/>
              <w:rPr>
                <w:sz w:val="20"/>
                <w:szCs w:val="20"/>
                <w:lang w:eastAsia="en-AU"/>
              </w:rPr>
            </w:pPr>
            <w:r w:rsidRPr="0057352B">
              <w:rPr>
                <w:sz w:val="20"/>
                <w:szCs w:val="20"/>
                <w:lang w:eastAsia="en-AU"/>
              </w:rPr>
              <w:t>N/A</w:t>
            </w:r>
          </w:p>
        </w:tc>
        <w:tc>
          <w:tcPr>
            <w:tcW w:w="957" w:type="dxa"/>
            <w:gridSpan w:val="2"/>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307131" w:rsidRPr="00EE0A51" w:rsidRDefault="00A96E71" w:rsidP="000B6A8D">
            <w:pPr>
              <w:jc w:val="center"/>
              <w:rPr>
                <w:sz w:val="20"/>
                <w:szCs w:val="20"/>
                <w:highlight w:val="yellow"/>
                <w:lang w:eastAsia="en-AU"/>
              </w:rPr>
            </w:pPr>
            <w:r w:rsidRPr="009949EE">
              <w:rPr>
                <w:sz w:val="20"/>
                <w:szCs w:val="20"/>
                <w:lang w:eastAsia="en-AU"/>
              </w:rPr>
              <w:t>$9</w:t>
            </w:r>
            <w:r>
              <w:rPr>
                <w:sz w:val="20"/>
                <w:szCs w:val="20"/>
                <w:lang w:eastAsia="en-AU"/>
              </w:rPr>
              <w:t>43</w:t>
            </w:r>
          </w:p>
        </w:tc>
      </w:tr>
      <w:tr w:rsidR="00183736" w:rsidRPr="0057352B" w:rsidTr="006C28E8">
        <w:trPr>
          <w:trHeight w:val="300"/>
        </w:trPr>
        <w:tc>
          <w:tcPr>
            <w:tcW w:w="2518"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rPr>
                <w:sz w:val="20"/>
                <w:szCs w:val="20"/>
                <w:lang w:eastAsia="en-AU"/>
              </w:rPr>
            </w:pPr>
          </w:p>
        </w:tc>
        <w:tc>
          <w:tcPr>
            <w:tcW w:w="3593"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rPr>
                <w:sz w:val="20"/>
                <w:szCs w:val="20"/>
                <w:lang w:eastAsia="en-AU"/>
              </w:rPr>
            </w:pPr>
          </w:p>
        </w:tc>
        <w:tc>
          <w:tcPr>
            <w:tcW w:w="1275"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jc w:val="center"/>
              <w:rPr>
                <w:sz w:val="20"/>
                <w:szCs w:val="20"/>
                <w:lang w:eastAsia="en-AU"/>
              </w:rPr>
            </w:pPr>
          </w:p>
        </w:tc>
        <w:tc>
          <w:tcPr>
            <w:tcW w:w="739" w:type="dxa"/>
            <w:tcBorders>
              <w:top w:val="single" w:sz="6" w:space="0" w:color="548DD4" w:themeColor="text2" w:themeTint="99"/>
              <w:left w:val="nil"/>
              <w:bottom w:val="nil"/>
              <w:right w:val="nil"/>
            </w:tcBorders>
            <w:shd w:val="clear" w:color="auto" w:fill="auto"/>
            <w:vAlign w:val="center"/>
            <w:hideMark/>
          </w:tcPr>
          <w:p w:rsidR="00183736" w:rsidRPr="0057352B" w:rsidRDefault="00183736" w:rsidP="000B6A8D">
            <w:pPr>
              <w:jc w:val="center"/>
              <w:rPr>
                <w:sz w:val="20"/>
                <w:szCs w:val="20"/>
                <w:lang w:eastAsia="en-AU"/>
              </w:rPr>
            </w:pPr>
          </w:p>
        </w:tc>
        <w:tc>
          <w:tcPr>
            <w:tcW w:w="942" w:type="dxa"/>
            <w:gridSpan w:val="2"/>
            <w:tcBorders>
              <w:top w:val="single" w:sz="6" w:space="0" w:color="548DD4" w:themeColor="text2" w:themeTint="99"/>
              <w:left w:val="nil"/>
              <w:bottom w:val="nil"/>
              <w:right w:val="nil"/>
            </w:tcBorders>
            <w:shd w:val="clear" w:color="auto" w:fill="auto"/>
            <w:noWrap/>
            <w:vAlign w:val="center"/>
            <w:hideMark/>
          </w:tcPr>
          <w:p w:rsidR="00183736" w:rsidRPr="0057352B" w:rsidRDefault="00183736" w:rsidP="000B6A8D">
            <w:pPr>
              <w:jc w:val="center"/>
              <w:rPr>
                <w:sz w:val="20"/>
                <w:szCs w:val="20"/>
                <w:lang w:eastAsia="en-AU"/>
              </w:rPr>
            </w:pPr>
          </w:p>
        </w:tc>
        <w:tc>
          <w:tcPr>
            <w:tcW w:w="695" w:type="dxa"/>
            <w:tcBorders>
              <w:top w:val="single" w:sz="6" w:space="0" w:color="548DD4" w:themeColor="text2" w:themeTint="99"/>
              <w:left w:val="nil"/>
              <w:bottom w:val="nil"/>
              <w:right w:val="nil"/>
            </w:tcBorders>
            <w:shd w:val="clear" w:color="auto" w:fill="auto"/>
            <w:noWrap/>
            <w:vAlign w:val="center"/>
            <w:hideMark/>
          </w:tcPr>
          <w:p w:rsidR="00183736" w:rsidRPr="0057352B" w:rsidRDefault="00183736" w:rsidP="000B6A8D">
            <w:pPr>
              <w:jc w:val="center"/>
              <w:rPr>
                <w:sz w:val="20"/>
                <w:szCs w:val="20"/>
                <w:lang w:eastAsia="en-AU"/>
              </w:rPr>
            </w:pPr>
          </w:p>
        </w:tc>
      </w:tr>
    </w:tbl>
    <w:p w:rsidR="00907DB7" w:rsidRDefault="00907DB7" w:rsidP="00450FE2">
      <w:pPr>
        <w:ind w:left="720"/>
        <w:rPr>
          <w:rFonts w:eastAsia="Times New Roman"/>
          <w:b/>
          <w:bCs/>
          <w:i/>
          <w:color w:val="000000"/>
        </w:rPr>
      </w:pPr>
    </w:p>
    <w:p w:rsidR="00907DB7" w:rsidRDefault="00907DB7">
      <w:pPr>
        <w:spacing w:after="0" w:line="240" w:lineRule="auto"/>
        <w:rPr>
          <w:rFonts w:eastAsia="Times New Roman"/>
          <w:b/>
          <w:bCs/>
          <w:i/>
          <w:color w:val="000000"/>
        </w:rPr>
      </w:pPr>
      <w:r>
        <w:rPr>
          <w:rFonts w:eastAsia="Times New Roman"/>
          <w:b/>
          <w:bCs/>
          <w:i/>
          <w:color w:val="000000"/>
        </w:rPr>
        <w:br w:type="page"/>
      </w:r>
    </w:p>
    <w:p w:rsidR="00450FE2" w:rsidRPr="00D96AD0" w:rsidRDefault="00450FE2" w:rsidP="00450FE2">
      <w:pPr>
        <w:ind w:left="720"/>
        <w:rPr>
          <w:i/>
        </w:rPr>
      </w:pPr>
      <w:r>
        <w:rPr>
          <w:rFonts w:eastAsia="Times New Roman"/>
          <w:b/>
          <w:bCs/>
          <w:i/>
          <w:color w:val="000000"/>
        </w:rPr>
        <w:lastRenderedPageBreak/>
        <w:t>ASL costs for 2014</w:t>
      </w:r>
      <w:r w:rsidRPr="00D96AD0">
        <w:rPr>
          <w:rFonts w:eastAsia="Times New Roman"/>
          <w:b/>
          <w:bCs/>
          <w:i/>
          <w:color w:val="000000"/>
        </w:rPr>
        <w:t>-1</w:t>
      </w:r>
      <w:r>
        <w:rPr>
          <w:rFonts w:eastAsia="Times New Roman"/>
          <w:b/>
          <w:bCs/>
          <w:i/>
          <w:color w:val="000000"/>
        </w:rPr>
        <w:t>5</w:t>
      </w:r>
      <w:r w:rsidRPr="00D96AD0">
        <w:rPr>
          <w:rFonts w:eastAsia="Times New Roman"/>
          <w:b/>
          <w:bCs/>
          <w:i/>
          <w:color w:val="000000"/>
        </w:rPr>
        <w:t xml:space="preserve"> financial year (includes all overheads)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1276"/>
        <w:gridCol w:w="1417"/>
      </w:tblGrid>
      <w:tr w:rsidR="00631069" w:rsidRPr="00D96AD0" w:rsidTr="00BC6B5B">
        <w:trPr>
          <w:trHeight w:val="600"/>
        </w:trPr>
        <w:tc>
          <w:tcPr>
            <w:tcW w:w="5670" w:type="dxa"/>
          </w:tcPr>
          <w:p w:rsidR="000B573E" w:rsidRDefault="00631069">
            <w:pPr>
              <w:tabs>
                <w:tab w:val="right" w:pos="5170"/>
              </w:tabs>
              <w:rPr>
                <w:rFonts w:eastAsia="Times New Roman"/>
                <w:iCs/>
              </w:rPr>
            </w:pPr>
            <w:r>
              <w:rPr>
                <w:rFonts w:eastAsia="Times New Roman"/>
                <w:iCs/>
              </w:rPr>
              <w:t>Assessment officer / Project manager</w:t>
            </w:r>
          </w:p>
        </w:tc>
        <w:tc>
          <w:tcPr>
            <w:tcW w:w="1276" w:type="dxa"/>
            <w:shd w:val="clear" w:color="auto" w:fill="auto"/>
            <w:vAlign w:val="center"/>
            <w:hideMark/>
          </w:tcPr>
          <w:p w:rsidR="00631069" w:rsidRPr="00C47D08" w:rsidRDefault="00631069" w:rsidP="0064623E">
            <w:pPr>
              <w:rPr>
                <w:rFonts w:eastAsia="Times New Roman"/>
                <w:iCs/>
              </w:rPr>
            </w:pPr>
            <w:r w:rsidRPr="00C47D08">
              <w:rPr>
                <w:rFonts w:eastAsia="Times New Roman"/>
                <w:iCs/>
              </w:rPr>
              <w:t xml:space="preserve">Average </w:t>
            </w:r>
            <w:r w:rsidRPr="00C47D08">
              <w:rPr>
                <w:rFonts w:eastAsia="Times New Roman"/>
                <w:iCs/>
              </w:rPr>
              <w:br/>
              <w:t>APS 5/6</w:t>
            </w:r>
          </w:p>
        </w:tc>
        <w:tc>
          <w:tcPr>
            <w:tcW w:w="1417" w:type="dxa"/>
            <w:shd w:val="clear" w:color="auto" w:fill="auto"/>
            <w:noWrap/>
            <w:vAlign w:val="center"/>
            <w:hideMark/>
          </w:tcPr>
          <w:p w:rsidR="00631069" w:rsidRPr="00C47D08" w:rsidRDefault="00631069" w:rsidP="0064623E">
            <w:pPr>
              <w:jc w:val="right"/>
              <w:rPr>
                <w:rFonts w:eastAsia="Times New Roman"/>
              </w:rPr>
            </w:pPr>
            <w:r>
              <w:rPr>
                <w:rFonts w:eastAsia="Times New Roman"/>
              </w:rPr>
              <w:t>$124</w:t>
            </w:r>
            <w:r w:rsidRPr="00C47D08">
              <w:rPr>
                <w:rFonts w:eastAsia="Times New Roman"/>
              </w:rPr>
              <w:t>,8</w:t>
            </w:r>
            <w:r>
              <w:rPr>
                <w:rFonts w:eastAsia="Times New Roman"/>
              </w:rPr>
              <w:t>89</w:t>
            </w:r>
          </w:p>
        </w:tc>
      </w:tr>
      <w:tr w:rsidR="00631069" w:rsidRPr="00D96AD0" w:rsidTr="00BC6B5B">
        <w:trPr>
          <w:trHeight w:val="300"/>
        </w:trPr>
        <w:tc>
          <w:tcPr>
            <w:tcW w:w="5670" w:type="dxa"/>
          </w:tcPr>
          <w:p w:rsidR="00631069" w:rsidRPr="00D96AD0" w:rsidRDefault="00631069" w:rsidP="0064623E">
            <w:pPr>
              <w:rPr>
                <w:rFonts w:eastAsia="Times New Roman"/>
                <w:color w:val="000000"/>
              </w:rPr>
            </w:pPr>
            <w:r>
              <w:rPr>
                <w:rFonts w:eastAsia="Times New Roman"/>
                <w:color w:val="000000"/>
              </w:rPr>
              <w:t>Assistant Director / Team manager</w:t>
            </w:r>
          </w:p>
        </w:tc>
        <w:tc>
          <w:tcPr>
            <w:tcW w:w="1276" w:type="dxa"/>
            <w:shd w:val="clear" w:color="auto" w:fill="auto"/>
            <w:noWrap/>
            <w:vAlign w:val="center"/>
            <w:hideMark/>
          </w:tcPr>
          <w:p w:rsidR="00631069" w:rsidRPr="00D96AD0" w:rsidRDefault="00631069" w:rsidP="0064623E">
            <w:pPr>
              <w:rPr>
                <w:rFonts w:eastAsia="Times New Roman"/>
                <w:color w:val="000000"/>
              </w:rPr>
            </w:pPr>
            <w:r w:rsidRPr="00D96AD0">
              <w:rPr>
                <w:rFonts w:eastAsia="Times New Roman"/>
                <w:color w:val="000000"/>
              </w:rPr>
              <w:t>EL1</w:t>
            </w:r>
          </w:p>
        </w:tc>
        <w:tc>
          <w:tcPr>
            <w:tcW w:w="1417" w:type="dxa"/>
            <w:shd w:val="clear" w:color="auto" w:fill="auto"/>
            <w:noWrap/>
            <w:vAlign w:val="center"/>
            <w:hideMark/>
          </w:tcPr>
          <w:p w:rsidR="00631069" w:rsidRPr="00D96AD0" w:rsidRDefault="00631069" w:rsidP="0064623E">
            <w:pPr>
              <w:jc w:val="right"/>
              <w:rPr>
                <w:rFonts w:eastAsia="Times New Roman"/>
                <w:color w:val="000000"/>
              </w:rPr>
            </w:pPr>
            <w:r w:rsidRPr="00D96AD0">
              <w:rPr>
                <w:rFonts w:eastAsia="Times New Roman"/>
                <w:color w:val="000000"/>
              </w:rPr>
              <w:t>$15</w:t>
            </w:r>
            <w:r>
              <w:rPr>
                <w:rFonts w:eastAsia="Times New Roman"/>
                <w:color w:val="000000"/>
              </w:rPr>
              <w:t>8,724</w:t>
            </w:r>
          </w:p>
        </w:tc>
      </w:tr>
      <w:tr w:rsidR="00631069" w:rsidRPr="00D96AD0" w:rsidTr="00BC6B5B">
        <w:trPr>
          <w:trHeight w:val="300"/>
        </w:trPr>
        <w:tc>
          <w:tcPr>
            <w:tcW w:w="5670" w:type="dxa"/>
          </w:tcPr>
          <w:p w:rsidR="00631069" w:rsidRPr="00D96AD0" w:rsidRDefault="0096599F" w:rsidP="0064623E">
            <w:pPr>
              <w:rPr>
                <w:rFonts w:eastAsia="Times New Roman"/>
                <w:color w:val="000000"/>
              </w:rPr>
            </w:pPr>
            <w:r>
              <w:rPr>
                <w:rFonts w:eastAsia="Times New Roman"/>
                <w:color w:val="000000"/>
              </w:rPr>
              <w:t>Director / Section manager</w:t>
            </w:r>
          </w:p>
        </w:tc>
        <w:tc>
          <w:tcPr>
            <w:tcW w:w="1276" w:type="dxa"/>
            <w:shd w:val="clear" w:color="auto" w:fill="auto"/>
            <w:noWrap/>
            <w:vAlign w:val="center"/>
            <w:hideMark/>
          </w:tcPr>
          <w:p w:rsidR="00631069" w:rsidRPr="00D96AD0" w:rsidRDefault="00631069" w:rsidP="0064623E">
            <w:pPr>
              <w:rPr>
                <w:rFonts w:eastAsia="Times New Roman"/>
                <w:color w:val="000000"/>
              </w:rPr>
            </w:pPr>
            <w:r w:rsidRPr="00D96AD0">
              <w:rPr>
                <w:rFonts w:eastAsia="Times New Roman"/>
                <w:color w:val="000000"/>
              </w:rPr>
              <w:t>EL2</w:t>
            </w:r>
          </w:p>
        </w:tc>
        <w:tc>
          <w:tcPr>
            <w:tcW w:w="1417" w:type="dxa"/>
            <w:shd w:val="clear" w:color="auto" w:fill="auto"/>
            <w:noWrap/>
            <w:vAlign w:val="center"/>
            <w:hideMark/>
          </w:tcPr>
          <w:p w:rsidR="00631069" w:rsidRPr="00D96AD0" w:rsidRDefault="00631069" w:rsidP="0064623E">
            <w:pPr>
              <w:jc w:val="right"/>
              <w:rPr>
                <w:rFonts w:eastAsia="Times New Roman"/>
                <w:color w:val="000000"/>
              </w:rPr>
            </w:pPr>
            <w:r>
              <w:rPr>
                <w:rFonts w:eastAsia="Times New Roman"/>
                <w:color w:val="000000"/>
              </w:rPr>
              <w:t>$194</w:t>
            </w:r>
            <w:r w:rsidRPr="00D96AD0">
              <w:rPr>
                <w:rFonts w:eastAsia="Times New Roman"/>
                <w:color w:val="000000"/>
              </w:rPr>
              <w:t>,</w:t>
            </w:r>
            <w:r>
              <w:rPr>
                <w:rFonts w:eastAsia="Times New Roman"/>
                <w:color w:val="000000"/>
              </w:rPr>
              <w:t>848</w:t>
            </w:r>
          </w:p>
        </w:tc>
      </w:tr>
      <w:tr w:rsidR="00631069" w:rsidRPr="00D96AD0" w:rsidTr="00BC6B5B">
        <w:trPr>
          <w:trHeight w:val="300"/>
        </w:trPr>
        <w:tc>
          <w:tcPr>
            <w:tcW w:w="5670" w:type="dxa"/>
          </w:tcPr>
          <w:p w:rsidR="00631069" w:rsidRPr="00D96AD0" w:rsidRDefault="0096599F" w:rsidP="0064623E">
            <w:pPr>
              <w:rPr>
                <w:rFonts w:eastAsia="Times New Roman"/>
                <w:color w:val="000000"/>
              </w:rPr>
            </w:pPr>
            <w:r>
              <w:rPr>
                <w:rFonts w:eastAsia="Times New Roman"/>
                <w:color w:val="000000"/>
              </w:rPr>
              <w:t>Delegate of the Minister / Assistant Secretary / Senior Executive Staff</w:t>
            </w:r>
          </w:p>
        </w:tc>
        <w:tc>
          <w:tcPr>
            <w:tcW w:w="1276" w:type="dxa"/>
            <w:shd w:val="clear" w:color="auto" w:fill="auto"/>
            <w:noWrap/>
            <w:vAlign w:val="center"/>
            <w:hideMark/>
          </w:tcPr>
          <w:p w:rsidR="00631069" w:rsidRPr="00D96AD0" w:rsidRDefault="00631069" w:rsidP="0064623E">
            <w:pPr>
              <w:rPr>
                <w:rFonts w:eastAsia="Times New Roman"/>
                <w:color w:val="000000"/>
              </w:rPr>
            </w:pPr>
            <w:r w:rsidRPr="00D96AD0">
              <w:rPr>
                <w:rFonts w:eastAsia="Times New Roman"/>
                <w:color w:val="000000"/>
              </w:rPr>
              <w:t>SES-1</w:t>
            </w:r>
          </w:p>
        </w:tc>
        <w:tc>
          <w:tcPr>
            <w:tcW w:w="1417" w:type="dxa"/>
            <w:shd w:val="clear" w:color="auto" w:fill="auto"/>
            <w:noWrap/>
            <w:vAlign w:val="center"/>
            <w:hideMark/>
          </w:tcPr>
          <w:p w:rsidR="00631069" w:rsidRPr="00D96AD0" w:rsidRDefault="00631069" w:rsidP="0064623E">
            <w:pPr>
              <w:jc w:val="right"/>
              <w:rPr>
                <w:rFonts w:eastAsia="Times New Roman"/>
                <w:color w:val="000000"/>
              </w:rPr>
            </w:pPr>
            <w:r>
              <w:rPr>
                <w:rFonts w:eastAsia="Times New Roman"/>
                <w:color w:val="000000"/>
              </w:rPr>
              <w:t>$261,045</w:t>
            </w:r>
          </w:p>
        </w:tc>
      </w:tr>
    </w:tbl>
    <w:p w:rsidR="000B573E" w:rsidRDefault="000B573E">
      <w:bookmarkStart w:id="893" w:name="_Toc387064946"/>
      <w:bookmarkStart w:id="894" w:name="_Toc387065158"/>
      <w:bookmarkStart w:id="895" w:name="_Toc387065364"/>
      <w:bookmarkStart w:id="896" w:name="_Toc387065575"/>
      <w:bookmarkStart w:id="897" w:name="_Toc387065781"/>
      <w:bookmarkStart w:id="898" w:name="_Toc387065986"/>
      <w:bookmarkStart w:id="899" w:name="_Toc387066189"/>
      <w:bookmarkStart w:id="900" w:name="_Toc387066378"/>
      <w:bookmarkStart w:id="901" w:name="_Toc387069613"/>
      <w:bookmarkEnd w:id="893"/>
      <w:bookmarkEnd w:id="894"/>
      <w:bookmarkEnd w:id="895"/>
      <w:bookmarkEnd w:id="896"/>
      <w:bookmarkEnd w:id="897"/>
      <w:bookmarkEnd w:id="898"/>
      <w:bookmarkEnd w:id="899"/>
      <w:bookmarkEnd w:id="900"/>
      <w:bookmarkEnd w:id="901"/>
    </w:p>
    <w:p w:rsidR="00466EDD" w:rsidRPr="00150F45" w:rsidRDefault="006956D4">
      <w:r>
        <w:t>There may be minor discrepancies in this CRIS due to the rounding of</w:t>
      </w:r>
      <w:r w:rsidR="00466EDD">
        <w:t xml:space="preserve"> </w:t>
      </w:r>
      <w:r w:rsidR="00A31BE3">
        <w:t xml:space="preserve">individual </w:t>
      </w:r>
      <w:r>
        <w:t>numbers</w:t>
      </w:r>
      <w:r w:rsidR="00466EDD">
        <w:t xml:space="preserve"> to the nearest </w:t>
      </w:r>
      <w:r w:rsidR="00F728FB">
        <w:t>dollar</w:t>
      </w:r>
      <w:r>
        <w:t>. For instance,</w:t>
      </w:r>
      <w:r w:rsidR="00F728FB">
        <w:t xml:space="preserve"> there may be minor variations </w:t>
      </w:r>
      <w:r>
        <w:t>between: (i) the actual sum of individual numbers, and</w:t>
      </w:r>
      <w:r w:rsidR="00A31BE3">
        <w:t xml:space="preserve"> </w:t>
      </w:r>
      <w:r>
        <w:t xml:space="preserve">(ii) </w:t>
      </w:r>
      <w:r w:rsidR="00A31BE3">
        <w:t xml:space="preserve">a total </w:t>
      </w:r>
      <w:r>
        <w:t xml:space="preserve">amount based on non-rounded </w:t>
      </w:r>
      <w:r w:rsidRPr="00150F45">
        <w:t>numbers</w:t>
      </w:r>
      <w:r w:rsidR="00F728FB" w:rsidRPr="00150F45">
        <w:t>.</w:t>
      </w:r>
      <w:r w:rsidR="00150F45" w:rsidRPr="00150F45">
        <w:t xml:space="preserve"> </w:t>
      </w:r>
      <w:r w:rsidR="00150F45" w:rsidRPr="00150F45">
        <w:rPr>
          <w:rFonts w:cs="Arial"/>
        </w:rPr>
        <w:t>In the scenarios for assessment by preliminary documentation and assessment by bilateral agreement / accredited assessment base costs</w:t>
      </w:r>
      <w:r w:rsidR="00150F45">
        <w:rPr>
          <w:rFonts w:cs="Arial"/>
        </w:rPr>
        <w:t>,</w:t>
      </w:r>
      <w:r w:rsidR="00150F45" w:rsidRPr="00150F45">
        <w:rPr>
          <w:rFonts w:cs="Arial"/>
        </w:rPr>
        <w:t xml:space="preserve"> the individual stages of the base costs added together does not equal the total base costs.</w:t>
      </w:r>
    </w:p>
    <w:p w:rsidR="00466EDD" w:rsidRDefault="00466EDD"/>
    <w:p w:rsidR="00450FE2" w:rsidRDefault="00450FE2" w:rsidP="00183736">
      <w:pPr>
        <w:sectPr w:rsidR="00450FE2" w:rsidSect="000005C0">
          <w:pgSz w:w="11906" w:h="16838"/>
          <w:pgMar w:top="992" w:right="1133" w:bottom="1440" w:left="1134" w:header="709" w:footer="709" w:gutter="0"/>
          <w:cols w:space="708"/>
          <w:docGrid w:linePitch="360"/>
        </w:sectPr>
      </w:pPr>
    </w:p>
    <w:p w:rsidR="00C26A6E" w:rsidRDefault="001C2060" w:rsidP="00183736">
      <w:pPr>
        <w:jc w:val="center"/>
      </w:pPr>
      <w:r w:rsidRPr="001C2060">
        <w:rPr>
          <w:noProof/>
          <w:lang w:eastAsia="en-AU"/>
        </w:rPr>
        <w:lastRenderedPageBreak/>
        <w:drawing>
          <wp:inline distT="0" distB="0" distL="0" distR="0">
            <wp:extent cx="8534400" cy="586740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srcRect/>
                    <a:stretch>
                      <a:fillRect/>
                    </a:stretch>
                  </pic:blipFill>
                  <pic:spPr bwMode="auto">
                    <a:xfrm>
                      <a:off x="0" y="0"/>
                      <a:ext cx="8545340" cy="5874921"/>
                    </a:xfrm>
                    <a:prstGeom prst="rect">
                      <a:avLst/>
                    </a:prstGeom>
                    <a:noFill/>
                    <a:ln w="9525">
                      <a:noFill/>
                      <a:miter lim="800000"/>
                      <a:headEnd/>
                      <a:tailEnd/>
                    </a:ln>
                  </pic:spPr>
                </pic:pic>
              </a:graphicData>
            </a:graphic>
          </wp:inline>
        </w:drawing>
      </w:r>
    </w:p>
    <w:p w:rsidR="00183736" w:rsidRPr="00B108F2" w:rsidRDefault="00183736" w:rsidP="00183736">
      <w:pPr>
        <w:jc w:val="center"/>
        <w:sectPr w:rsidR="00183736" w:rsidRPr="00B108F2" w:rsidSect="000005C0">
          <w:headerReference w:type="even" r:id="rId49"/>
          <w:headerReference w:type="default" r:id="rId50"/>
          <w:footerReference w:type="default" r:id="rId51"/>
          <w:headerReference w:type="first" r:id="rId52"/>
          <w:pgSz w:w="16838" w:h="11906" w:orient="landscape"/>
          <w:pgMar w:top="720" w:right="720" w:bottom="720" w:left="720" w:header="0" w:footer="709" w:gutter="0"/>
          <w:cols w:space="708"/>
          <w:docGrid w:linePitch="360"/>
        </w:sectPr>
      </w:pPr>
    </w:p>
    <w:p w:rsidR="000B573E" w:rsidRPr="00F34768" w:rsidRDefault="00183736">
      <w:pPr>
        <w:pStyle w:val="IndexHeading"/>
        <w:rPr>
          <w:rFonts w:ascii="Arial" w:hAnsi="Arial" w:cs="Arial"/>
        </w:rPr>
      </w:pPr>
      <w:bookmarkStart w:id="902" w:name="AppendixB"/>
      <w:bookmarkStart w:id="903" w:name="_Toc344895190"/>
      <w:bookmarkStart w:id="904" w:name="_Toc346285366"/>
      <w:r w:rsidRPr="00F34768">
        <w:rPr>
          <w:rFonts w:ascii="Arial" w:hAnsi="Arial" w:cs="Arial"/>
          <w:caps/>
        </w:rPr>
        <w:lastRenderedPageBreak/>
        <w:t>Appendix B</w:t>
      </w:r>
      <w:bookmarkEnd w:id="902"/>
      <w:r w:rsidRPr="00F34768">
        <w:rPr>
          <w:rFonts w:ascii="Arial" w:hAnsi="Arial" w:cs="Arial"/>
        </w:rPr>
        <w:t>:</w:t>
      </w:r>
      <w:r w:rsidRPr="00F34768">
        <w:rPr>
          <w:rFonts w:ascii="Arial" w:hAnsi="Arial" w:cs="Arial"/>
        </w:rPr>
        <w:tab/>
        <w:t xml:space="preserve">COMPLEXITY MATRIX (TIME) SUMMARY </w:t>
      </w:r>
      <w:r w:rsidR="00D30427">
        <w:rPr>
          <w:rFonts w:ascii="Arial" w:hAnsi="Arial" w:cs="Arial"/>
          <w:noProof/>
          <w:lang w:eastAsia="en-AU"/>
        </w:rPr>
        <w:pict>
          <v:shape id="_x0000_s1037" type="#_x0000_t32" style="position:absolute;margin-left:1pt;margin-top:15.8pt;width:491.45pt;height:0;z-index:251663360;mso-position-horizontal-relative:text;mso-position-vertical-relative:text" o:connectortype="straight" strokecolor="#548dd4 [1951]" strokeweight="2.25pt">
            <v:shadow type="perspective" color="#243f60 [1604]" opacity=".5" offset="1pt" offset2="-1pt"/>
          </v:shape>
        </w:pict>
      </w:r>
      <w:bookmarkEnd w:id="903"/>
      <w:bookmarkEnd w:id="904"/>
    </w:p>
    <w:p w:rsidR="00ED51F2" w:rsidRPr="006D6FBE" w:rsidRDefault="00F728CD" w:rsidP="00C6709F">
      <w:pPr>
        <w:pStyle w:val="BodyText"/>
        <w:jc w:val="center"/>
      </w:pPr>
      <w:r>
        <w:rPr>
          <w:noProof/>
          <w:lang w:eastAsia="en-AU"/>
        </w:rPr>
        <w:drawing>
          <wp:inline distT="0" distB="0" distL="0" distR="0">
            <wp:extent cx="8158791" cy="584948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cstate="print"/>
                    <a:srcRect/>
                    <a:stretch>
                      <a:fillRect/>
                    </a:stretch>
                  </pic:blipFill>
                  <pic:spPr bwMode="auto">
                    <a:xfrm>
                      <a:off x="0" y="0"/>
                      <a:ext cx="8163473" cy="5852837"/>
                    </a:xfrm>
                    <a:prstGeom prst="rect">
                      <a:avLst/>
                    </a:prstGeom>
                    <a:noFill/>
                    <a:ln w="9525">
                      <a:noFill/>
                      <a:miter lim="800000"/>
                      <a:headEnd/>
                      <a:tailEnd/>
                    </a:ln>
                  </pic:spPr>
                </pic:pic>
              </a:graphicData>
            </a:graphic>
          </wp:inline>
        </w:drawing>
      </w:r>
    </w:p>
    <w:sectPr w:rsidR="00ED51F2" w:rsidRPr="006D6FBE" w:rsidSect="000005C0">
      <w:pgSz w:w="16838" w:h="11906" w:orient="landscape"/>
      <w:pgMar w:top="720" w:right="720" w:bottom="720" w:left="720" w:header="425" w:footer="42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589793" w15:done="0"/>
  <w15:commentEx w15:paraId="04C94217" w15:done="0"/>
  <w15:commentEx w15:paraId="69ABF28B" w15:done="0"/>
  <w15:commentEx w15:paraId="0484A5C0" w15:done="0"/>
  <w15:commentEx w15:paraId="6FD775C3" w15:done="0"/>
  <w15:commentEx w15:paraId="37CDB0D4" w15:done="0"/>
  <w15:commentEx w15:paraId="4AEFC9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37E" w:rsidRDefault="000D637E" w:rsidP="00A60185">
      <w:pPr>
        <w:spacing w:after="0" w:line="240" w:lineRule="auto"/>
      </w:pPr>
      <w:r>
        <w:separator/>
      </w:r>
    </w:p>
  </w:endnote>
  <w:endnote w:type="continuationSeparator" w:id="0">
    <w:p w:rsidR="000D637E" w:rsidRDefault="000D637E"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auto"/>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4049"/>
      <w:docPartObj>
        <w:docPartGallery w:val="Page Numbers (Bottom of Page)"/>
        <w:docPartUnique/>
      </w:docPartObj>
    </w:sdtPr>
    <w:sdtContent>
      <w:p w:rsidR="000D637E" w:rsidRDefault="00D30427">
        <w:pPr>
          <w:pStyle w:val="Footer"/>
          <w:jc w:val="center"/>
        </w:pPr>
        <w:fldSimple w:instr=" PAGE   \* MERGEFORMAT ">
          <w:r w:rsidR="000D637E">
            <w:rPr>
              <w:noProof/>
            </w:rPr>
            <w:t>i</w:t>
          </w:r>
        </w:fldSimple>
      </w:p>
    </w:sdtContent>
  </w:sdt>
  <w:p w:rsidR="000D637E" w:rsidRDefault="000D63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4050"/>
      <w:docPartObj>
        <w:docPartGallery w:val="Page Numbers (Bottom of Page)"/>
        <w:docPartUnique/>
      </w:docPartObj>
    </w:sdtPr>
    <w:sdtContent>
      <w:p w:rsidR="000D637E" w:rsidRDefault="00D30427">
        <w:pPr>
          <w:pStyle w:val="Footer"/>
          <w:jc w:val="center"/>
        </w:pPr>
        <w:r w:rsidRPr="004232BD">
          <w:rPr>
            <w:color w:val="FFFFFF" w:themeColor="background1"/>
          </w:rPr>
          <w:fldChar w:fldCharType="begin"/>
        </w:r>
        <w:r w:rsidR="000D637E" w:rsidRPr="004232BD">
          <w:rPr>
            <w:color w:val="FFFFFF" w:themeColor="background1"/>
          </w:rPr>
          <w:instrText xml:space="preserve"> PAGE   \* MERGEFORMAT </w:instrText>
        </w:r>
        <w:r w:rsidRPr="004232BD">
          <w:rPr>
            <w:color w:val="FFFFFF" w:themeColor="background1"/>
          </w:rPr>
          <w:fldChar w:fldCharType="separate"/>
        </w:r>
        <w:r w:rsidR="005F20D9">
          <w:rPr>
            <w:noProof/>
            <w:color w:val="FFFFFF" w:themeColor="background1"/>
          </w:rPr>
          <w:t>1</w:t>
        </w:r>
        <w:r w:rsidRPr="004232BD">
          <w:rPr>
            <w:color w:val="FFFFFF" w:themeColor="background1"/>
          </w:rPr>
          <w:fldChar w:fldCharType="end"/>
        </w:r>
      </w:p>
    </w:sdtContent>
  </w:sdt>
  <w:p w:rsidR="000D637E" w:rsidRDefault="000D63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0584"/>
      <w:docPartObj>
        <w:docPartGallery w:val="Page Numbers (Bottom of Page)"/>
        <w:docPartUnique/>
      </w:docPartObj>
    </w:sdtPr>
    <w:sdtContent>
      <w:p w:rsidR="000D637E" w:rsidRDefault="00D30427">
        <w:pPr>
          <w:pStyle w:val="Footer"/>
          <w:jc w:val="center"/>
        </w:pPr>
        <w:fldSimple w:instr=" PAGE   \* MERGEFORMAT ">
          <w:r w:rsidR="005F20D9">
            <w:rPr>
              <w:noProof/>
            </w:rPr>
            <w:t>18</w:t>
          </w:r>
        </w:fldSimple>
      </w:p>
    </w:sdtContent>
  </w:sdt>
  <w:p w:rsidR="000D637E" w:rsidRDefault="000D637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0582"/>
      <w:docPartObj>
        <w:docPartGallery w:val="Page Numbers (Bottom of Page)"/>
        <w:docPartUnique/>
      </w:docPartObj>
    </w:sdtPr>
    <w:sdtContent>
      <w:p w:rsidR="000D637E" w:rsidRDefault="00D30427">
        <w:pPr>
          <w:pStyle w:val="Footer"/>
          <w:jc w:val="center"/>
        </w:pPr>
        <w:r w:rsidRPr="004232BD">
          <w:rPr>
            <w:color w:val="FFFFFF" w:themeColor="background1"/>
          </w:rPr>
          <w:fldChar w:fldCharType="begin"/>
        </w:r>
        <w:r w:rsidR="000D637E" w:rsidRPr="004232BD">
          <w:rPr>
            <w:color w:val="FFFFFF" w:themeColor="background1"/>
          </w:rPr>
          <w:instrText xml:space="preserve"> PAGE   \* MERGEFORMAT </w:instrText>
        </w:r>
        <w:r w:rsidRPr="004232BD">
          <w:rPr>
            <w:color w:val="FFFFFF" w:themeColor="background1"/>
          </w:rPr>
          <w:fldChar w:fldCharType="separate"/>
        </w:r>
        <w:r w:rsidR="005F20D9">
          <w:rPr>
            <w:noProof/>
            <w:color w:val="FFFFFF" w:themeColor="background1"/>
          </w:rPr>
          <w:t>19</w:t>
        </w:r>
        <w:r w:rsidRPr="004232BD">
          <w:rPr>
            <w:color w:val="FFFFFF" w:themeColor="background1"/>
          </w:rPr>
          <w:fldChar w:fldCharType="end"/>
        </w:r>
      </w:p>
    </w:sdtContent>
  </w:sdt>
  <w:p w:rsidR="000D637E" w:rsidRDefault="000D637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Default="000D637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0632"/>
      <w:docPartObj>
        <w:docPartGallery w:val="Page Numbers (Bottom of Page)"/>
        <w:docPartUnique/>
      </w:docPartObj>
    </w:sdtPr>
    <w:sdtContent>
      <w:sdt>
        <w:sdtPr>
          <w:id w:val="13550633"/>
          <w:docPartObj>
            <w:docPartGallery w:val="Page Numbers (Bottom of Page)"/>
            <w:docPartUnique/>
          </w:docPartObj>
        </w:sdtPr>
        <w:sdtContent>
          <w:p w:rsidR="000D637E" w:rsidRDefault="00D30427" w:rsidP="00405180">
            <w:pPr>
              <w:pStyle w:val="Footer"/>
              <w:jc w:val="center"/>
            </w:pPr>
            <w:fldSimple w:instr=" PAGE   \* MERGEFORMAT ">
              <w:r w:rsidR="005F20D9">
                <w:rPr>
                  <w:noProof/>
                </w:rPr>
                <w:t>86</w:t>
              </w:r>
            </w:fldSimple>
          </w:p>
        </w:sdtContent>
      </w:sdt>
      <w:p w:rsidR="000D637E" w:rsidRDefault="00D30427" w:rsidP="00405180">
        <w:pPr>
          <w:pStyle w:val="Footer"/>
        </w:pP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0634"/>
      <w:docPartObj>
        <w:docPartGallery w:val="Page Numbers (Bottom of Page)"/>
        <w:docPartUnique/>
      </w:docPartObj>
    </w:sdtPr>
    <w:sdtContent>
      <w:p w:rsidR="000D637E" w:rsidRDefault="00D30427">
        <w:pPr>
          <w:pStyle w:val="Footer"/>
          <w:jc w:val="center"/>
        </w:pPr>
        <w:fldSimple w:instr=" PAGE   \* MERGEFORMAT ">
          <w:r w:rsidR="005F20D9">
            <w:rPr>
              <w:noProof/>
            </w:rPr>
            <w:t>88</w:t>
          </w:r>
        </w:fldSimple>
      </w:p>
    </w:sdtContent>
  </w:sdt>
  <w:p w:rsidR="000D637E" w:rsidRPr="00E209C1" w:rsidRDefault="00D30427" w:rsidP="007B7BB9">
    <w:pPr>
      <w:pStyle w:val="Header"/>
      <w:jc w:val="right"/>
      <w:rPr>
        <w:i/>
        <w:sz w:val="16"/>
        <w:szCs w:val="16"/>
      </w:rPr>
    </w:pPr>
    <w:r w:rsidRPr="00D30427">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595" type="#_x0000_t136" style="position:absolute;left:0;text-align:left;margin-left:0;margin-top:0;width:587.5pt;height:61.8pt;rotation:315;z-index:-251619328;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0D637E" w:rsidRPr="00E209C1">
      <w:rPr>
        <w:i/>
        <w:sz w:val="16"/>
        <w:szCs w:val="16"/>
      </w:rPr>
      <w:t>EPBC Act Cost Recovery Impact Statement</w:t>
    </w:r>
  </w:p>
  <w:p w:rsidR="000D637E" w:rsidRPr="00E209C1" w:rsidRDefault="000D637E" w:rsidP="007B7BB9">
    <w:pPr>
      <w:pStyle w:val="Header"/>
      <w:jc w:val="right"/>
      <w:rPr>
        <w:i/>
        <w:sz w:val="16"/>
        <w:szCs w:val="16"/>
      </w:rPr>
    </w:pPr>
    <w:r w:rsidRPr="00E209C1">
      <w:rPr>
        <w:i/>
        <w:sz w:val="16"/>
        <w:szCs w:val="16"/>
      </w:rPr>
      <w:t>July 2014 – June 2015</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Pr="00E209C1" w:rsidRDefault="00D30427" w:rsidP="007B7BB9">
    <w:pPr>
      <w:pStyle w:val="Header"/>
      <w:jc w:val="right"/>
      <w:rPr>
        <w:i/>
        <w:sz w:val="16"/>
        <w:szCs w:val="16"/>
      </w:rPr>
    </w:pPr>
    <w:r w:rsidRPr="00D30427">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4596" type="#_x0000_t136" style="position:absolute;left:0;text-align:left;margin-left:0;margin-top:0;width:587.5pt;height:61.8pt;rotation:315;z-index:-251617280;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0D637E" w:rsidRPr="00E209C1">
      <w:rPr>
        <w:i/>
        <w:sz w:val="16"/>
        <w:szCs w:val="16"/>
      </w:rPr>
      <w:t>EPBC Act Cost Recovery Impact Statement</w:t>
    </w:r>
  </w:p>
  <w:p w:rsidR="000D637E" w:rsidRPr="00E209C1" w:rsidRDefault="000D637E" w:rsidP="007B7BB9">
    <w:pPr>
      <w:pStyle w:val="Header"/>
      <w:jc w:val="right"/>
      <w:rPr>
        <w:i/>
        <w:sz w:val="16"/>
        <w:szCs w:val="16"/>
      </w:rPr>
    </w:pPr>
    <w:r w:rsidRPr="00E209C1">
      <w:rPr>
        <w:i/>
        <w:sz w:val="16"/>
        <w:szCs w:val="16"/>
      </w:rPr>
      <w:t>July 2014 – June 2015</w:t>
    </w:r>
  </w:p>
  <w:p w:rsidR="000D637E" w:rsidRPr="00F54E6B" w:rsidRDefault="000D637E" w:rsidP="000B6A8D">
    <w:pPr>
      <w:pStyle w:val="Footer"/>
      <w:tabs>
        <w:tab w:val="left" w:pos="6738"/>
        <w:tab w:val="right" w:pos="14742"/>
      </w:tabs>
    </w:pPr>
    <w:r w:rsidRPr="005731FE">
      <w:rPr>
        <w:rStyle w:val="PageNumber"/>
        <w:i/>
        <w:color w:val="4F81BD" w:themeColor="accent1"/>
      </w:rPr>
      <w:tab/>
    </w:r>
    <w:r>
      <w:rPr>
        <w:rStyle w:val="PageNumber"/>
      </w:rPr>
      <w:tab/>
    </w:r>
    <w:r>
      <w:rPr>
        <w:rStyle w:val="PageNumber"/>
      </w:rPr>
      <w:tab/>
    </w:r>
    <w:r w:rsidRPr="00F54E6B">
      <w:rPr>
        <w:rStyle w:val="PageNumber"/>
      </w:rPr>
      <w:t xml:space="preserve">Page </w:t>
    </w:r>
    <w:r w:rsidR="00D30427" w:rsidRPr="00F54E6B">
      <w:rPr>
        <w:rStyle w:val="PageNumber"/>
      </w:rPr>
      <w:fldChar w:fldCharType="begin"/>
    </w:r>
    <w:r w:rsidRPr="00F54E6B">
      <w:rPr>
        <w:rStyle w:val="PageNumber"/>
      </w:rPr>
      <w:instrText xml:space="preserve"> PAGE </w:instrText>
    </w:r>
    <w:r w:rsidR="00D30427" w:rsidRPr="00F54E6B">
      <w:rPr>
        <w:rStyle w:val="PageNumber"/>
      </w:rPr>
      <w:fldChar w:fldCharType="separate"/>
    </w:r>
    <w:r w:rsidR="005F20D9">
      <w:rPr>
        <w:rStyle w:val="PageNumber"/>
        <w:noProof/>
      </w:rPr>
      <w:t>87</w:t>
    </w:r>
    <w:r w:rsidR="00D30427" w:rsidRPr="00F54E6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37E" w:rsidRDefault="000D637E" w:rsidP="00A60185">
      <w:pPr>
        <w:spacing w:after="0" w:line="240" w:lineRule="auto"/>
      </w:pPr>
      <w:r>
        <w:separator/>
      </w:r>
    </w:p>
  </w:footnote>
  <w:footnote w:type="continuationSeparator" w:id="0">
    <w:p w:rsidR="000D637E" w:rsidRDefault="000D637E" w:rsidP="00A60185">
      <w:pPr>
        <w:spacing w:after="0" w:line="240" w:lineRule="auto"/>
      </w:pPr>
      <w:r>
        <w:continuationSeparator/>
      </w:r>
    </w:p>
  </w:footnote>
  <w:footnote w:id="1">
    <w:p w:rsidR="000D637E" w:rsidRPr="00484B02" w:rsidRDefault="000D637E" w:rsidP="00A56C4A">
      <w:pPr>
        <w:pStyle w:val="FootnoteText"/>
        <w:rPr>
          <w:rFonts w:ascii="Arial" w:hAnsi="Arial" w:cs="Arial"/>
          <w:sz w:val="18"/>
          <w:szCs w:val="18"/>
        </w:rPr>
      </w:pPr>
      <w:r w:rsidRPr="00484B02">
        <w:rPr>
          <w:rStyle w:val="FootnoteReference"/>
          <w:rFonts w:ascii="Arial" w:hAnsi="Arial" w:cs="Arial"/>
          <w:sz w:val="18"/>
          <w:szCs w:val="18"/>
        </w:rPr>
        <w:footnoteRef/>
      </w:r>
      <w:r>
        <w:rPr>
          <w:rFonts w:ascii="Arial" w:hAnsi="Arial" w:cs="Arial"/>
          <w:sz w:val="18"/>
          <w:szCs w:val="18"/>
        </w:rPr>
        <w:t xml:space="preserve"> Further information about the ‘one stop shop’</w:t>
      </w:r>
      <w:r w:rsidRPr="00484B02">
        <w:rPr>
          <w:rFonts w:ascii="Arial" w:hAnsi="Arial" w:cs="Arial"/>
          <w:sz w:val="18"/>
          <w:szCs w:val="18"/>
        </w:rPr>
        <w:t xml:space="preserve"> reforms can be found on the Department’s website at </w:t>
      </w:r>
      <w:hyperlink r:id="rId1" w:history="1">
        <w:r w:rsidRPr="00484B02">
          <w:rPr>
            <w:rStyle w:val="Hyperlink"/>
            <w:rFonts w:ascii="Arial" w:hAnsi="Arial" w:cs="Arial"/>
            <w:sz w:val="18"/>
            <w:szCs w:val="18"/>
          </w:rPr>
          <w:t>http://www.environment.gov.au/topics/about-us/legislation/environment-protection-and-biodiversity-conservation-act-1999/one-stop</w:t>
        </w:r>
      </w:hyperlink>
    </w:p>
  </w:footnote>
  <w:footnote w:id="2">
    <w:p w:rsidR="000D637E" w:rsidRPr="0038426D" w:rsidRDefault="000D637E" w:rsidP="00AC63A1">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Wildlife Trade Permit Cost Recovery Impact Statement - </w:t>
      </w:r>
      <w:hyperlink r:id="rId2" w:history="1">
        <w:r w:rsidRPr="00CA3ABF">
          <w:rPr>
            <w:rStyle w:val="Hyperlink"/>
            <w:rFonts w:ascii="Arial" w:hAnsi="Arial" w:cs="Arial"/>
            <w:sz w:val="18"/>
            <w:szCs w:val="18"/>
          </w:rPr>
          <w:t>http://www.environment.gov.au/resource/wildlife-trade-permit-cost-recovery-under-epbc-act-cost-recovery-impact-statement-july-2013</w:t>
        </w:r>
      </w:hyperlink>
      <w:r w:rsidRPr="00CA3ABF">
        <w:rPr>
          <w:rFonts w:ascii="Arial" w:hAnsi="Arial" w:cs="Arial"/>
          <w:sz w:val="18"/>
          <w:szCs w:val="18"/>
        </w:rPr>
        <w:t xml:space="preserve"> </w:t>
      </w:r>
    </w:p>
  </w:footnote>
  <w:footnote w:id="3">
    <w:p w:rsidR="000D637E" w:rsidRPr="0038426D" w:rsidRDefault="000D637E" w:rsidP="00FD779C">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Wildlife Trade Permit Cost Recovery Impact Statement - </w:t>
      </w:r>
      <w:hyperlink r:id="rId3" w:history="1">
        <w:r w:rsidRPr="00CA3ABF">
          <w:rPr>
            <w:rStyle w:val="Hyperlink"/>
            <w:rFonts w:ascii="Arial" w:hAnsi="Arial" w:cs="Arial"/>
            <w:sz w:val="18"/>
            <w:szCs w:val="18"/>
          </w:rPr>
          <w:t>http://www.environment.gov.au/resource/wildlife-trade-permit-cost-recovery-under-epbc-act-cost-recovery-impact-statement-july-2013</w:t>
        </w:r>
      </w:hyperlink>
      <w:r w:rsidRPr="00CA3ABF">
        <w:rPr>
          <w:rFonts w:ascii="Arial" w:hAnsi="Arial" w:cs="Arial"/>
          <w:sz w:val="18"/>
          <w:szCs w:val="18"/>
        </w:rPr>
        <w:t xml:space="preserve"> </w:t>
      </w:r>
    </w:p>
  </w:footnote>
  <w:footnote w:id="4">
    <w:p w:rsidR="000D637E" w:rsidRPr="0038426D" w:rsidRDefault="000D637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2012-13 Budget</w:t>
      </w:r>
      <w:r>
        <w:rPr>
          <w:rFonts w:ascii="Arial" w:hAnsi="Arial" w:cs="Arial"/>
          <w:sz w:val="18"/>
          <w:szCs w:val="18"/>
        </w:rPr>
        <w:t xml:space="preserve"> Paper 2, pages 268-269</w:t>
      </w:r>
    </w:p>
  </w:footnote>
  <w:footnote w:id="5">
    <w:p w:rsidR="000D637E" w:rsidRPr="0038426D" w:rsidRDefault="000D637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Portfolio Budget Statements 2013-14, Budget Related Paper No. 1.17</w:t>
      </w:r>
    </w:p>
  </w:footnote>
  <w:footnote w:id="6">
    <w:p w:rsidR="000D637E" w:rsidRPr="0038426D" w:rsidRDefault="000D637E" w:rsidP="00570BD5">
      <w:pPr>
        <w:pStyle w:val="FootnoteText"/>
        <w:tabs>
          <w:tab w:val="left" w:pos="7953"/>
        </w:tabs>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The Australian Government Cost Recovery Guidelines, page 10</w:t>
      </w:r>
      <w:r w:rsidRPr="00CA3ABF">
        <w:rPr>
          <w:rFonts w:ascii="Arial" w:hAnsi="Arial" w:cs="Arial"/>
          <w:sz w:val="18"/>
          <w:szCs w:val="18"/>
        </w:rPr>
        <w:tab/>
      </w:r>
      <w:r w:rsidRPr="00CA3ABF">
        <w:rPr>
          <w:rFonts w:ascii="Arial" w:hAnsi="Arial" w:cs="Arial"/>
          <w:sz w:val="18"/>
          <w:szCs w:val="18"/>
        </w:rPr>
        <w:tab/>
      </w:r>
    </w:p>
  </w:footnote>
  <w:footnote w:id="7">
    <w:p w:rsidR="000D637E" w:rsidRPr="00C56551" w:rsidRDefault="000D637E"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by preliminary documentation $8,661 is the maximum base cost payable, as Stage 1 fees may not be applicable. See section </w:t>
      </w:r>
      <w:fldSimple w:instr=" REF _Ref388534541 \r \h  \* MERGEFORMAT ">
        <w:r w:rsidR="001D521C" w:rsidRPr="001D521C">
          <w:rPr>
            <w:rFonts w:ascii="Arial" w:hAnsi="Arial" w:cs="Arial"/>
            <w:sz w:val="18"/>
            <w:szCs w:val="18"/>
          </w:rPr>
          <w:t>3.3.5</w:t>
        </w:r>
      </w:fldSimple>
      <w:r w:rsidRPr="00C56551">
        <w:rPr>
          <w:rFonts w:ascii="Arial" w:hAnsi="Arial" w:cs="Arial"/>
          <w:sz w:val="18"/>
          <w:szCs w:val="18"/>
        </w:rPr>
        <w:t xml:space="preserve"> of this CRIS for further details.</w:t>
      </w:r>
    </w:p>
  </w:footnote>
  <w:footnote w:id="8">
    <w:p w:rsidR="000D637E" w:rsidRPr="00C56551" w:rsidRDefault="000D637E"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by public environment report $30,202 is the maximum base cost payable, as Stage 1 fees may not be applicable. See section </w:t>
      </w:r>
      <w:fldSimple w:instr=" REF _Ref388534613 \r \h  \* MERGEFORMAT ">
        <w:r w:rsidR="001D521C" w:rsidRPr="001D521C">
          <w:rPr>
            <w:rFonts w:ascii="Arial" w:hAnsi="Arial" w:cs="Arial"/>
            <w:sz w:val="18"/>
            <w:szCs w:val="18"/>
          </w:rPr>
          <w:t>3.3.6</w:t>
        </w:r>
      </w:fldSimple>
      <w:r w:rsidRPr="00C56551">
        <w:rPr>
          <w:rFonts w:ascii="Arial" w:hAnsi="Arial" w:cs="Arial"/>
          <w:sz w:val="18"/>
          <w:szCs w:val="18"/>
        </w:rPr>
        <w:t xml:space="preserve"> of this CRIS for further details. </w:t>
      </w:r>
    </w:p>
  </w:footnote>
  <w:footnote w:id="9">
    <w:p w:rsidR="000D637E" w:rsidRPr="00C56551" w:rsidRDefault="000D637E"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by environmental impact statement $30,202 is the maximum base cost payable, as Stage 1 fees may not be applicable. See section </w:t>
      </w:r>
      <w:fldSimple w:instr=" REF _Ref388534613 \r \h  \* MERGEFORMAT ">
        <w:r w:rsidR="001D521C" w:rsidRPr="001D521C">
          <w:rPr>
            <w:rFonts w:ascii="Arial" w:hAnsi="Arial" w:cs="Arial"/>
            <w:sz w:val="18"/>
            <w:szCs w:val="18"/>
          </w:rPr>
          <w:t>3.3.6</w:t>
        </w:r>
      </w:fldSimple>
      <w:r w:rsidRPr="00C56551">
        <w:rPr>
          <w:rFonts w:ascii="Arial" w:hAnsi="Arial" w:cs="Arial"/>
          <w:sz w:val="18"/>
          <w:szCs w:val="18"/>
        </w:rPr>
        <w:t xml:space="preserve"> of this CRIS for further details.</w:t>
      </w:r>
    </w:p>
  </w:footnote>
  <w:footnote w:id="10">
    <w:p w:rsidR="000D637E" w:rsidRPr="00624750" w:rsidRDefault="000D637E" w:rsidP="007462A4">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under a bilateral</w:t>
      </w:r>
      <w:r w:rsidRPr="00624750">
        <w:rPr>
          <w:rFonts w:ascii="Arial" w:hAnsi="Arial" w:cs="Arial"/>
          <w:sz w:val="18"/>
          <w:szCs w:val="18"/>
        </w:rPr>
        <w:t xml:space="preserve"> agreement / accredited process </w:t>
      </w:r>
      <w:r>
        <w:rPr>
          <w:rFonts w:ascii="Arial" w:hAnsi="Arial" w:cs="Arial"/>
          <w:sz w:val="18"/>
          <w:szCs w:val="18"/>
        </w:rPr>
        <w:t>$26,043</w:t>
      </w:r>
      <w:r w:rsidRPr="00624750">
        <w:rPr>
          <w:rFonts w:ascii="Arial" w:hAnsi="Arial" w:cs="Arial"/>
          <w:sz w:val="18"/>
          <w:szCs w:val="18"/>
        </w:rPr>
        <w:t xml:space="preserve"> is the maximum </w:t>
      </w:r>
      <w:r>
        <w:rPr>
          <w:rFonts w:ascii="Arial" w:hAnsi="Arial" w:cs="Arial"/>
          <w:sz w:val="18"/>
          <w:szCs w:val="18"/>
        </w:rPr>
        <w:t>base cost payable</w:t>
      </w:r>
      <w:r w:rsidRPr="00624750">
        <w:rPr>
          <w:rFonts w:ascii="Arial" w:hAnsi="Arial" w:cs="Arial"/>
          <w:sz w:val="18"/>
          <w:szCs w:val="18"/>
        </w:rPr>
        <w:t xml:space="preserve">, as the Minister </w:t>
      </w:r>
      <w:r>
        <w:rPr>
          <w:rFonts w:ascii="Arial" w:hAnsi="Arial" w:cs="Arial"/>
          <w:sz w:val="18"/>
          <w:szCs w:val="18"/>
        </w:rPr>
        <w:t xml:space="preserve">may determine fees are not applicable </w:t>
      </w:r>
      <w:r w:rsidRPr="00624750">
        <w:rPr>
          <w:rFonts w:ascii="Arial" w:hAnsi="Arial" w:cs="Arial"/>
          <w:sz w:val="18"/>
          <w:szCs w:val="18"/>
        </w:rPr>
        <w:t xml:space="preserve">for a stage of a bilateral / accredited assessment process if that stage </w:t>
      </w:r>
      <w:r>
        <w:rPr>
          <w:rFonts w:ascii="Arial" w:hAnsi="Arial" w:cs="Arial"/>
          <w:sz w:val="18"/>
          <w:szCs w:val="18"/>
        </w:rPr>
        <w:t>does not apply for a particular project</w:t>
      </w:r>
      <w:r w:rsidRPr="00624750">
        <w:rPr>
          <w:rFonts w:ascii="Arial" w:hAnsi="Arial" w:cs="Arial"/>
          <w:sz w:val="18"/>
          <w:szCs w:val="18"/>
        </w:rPr>
        <w:t xml:space="preserve">. See section </w:t>
      </w:r>
      <w:fldSimple w:instr=" REF _Ref388515888 \r \h  \* MERGEFORMAT ">
        <w:r w:rsidR="001D521C" w:rsidRPr="001D521C">
          <w:rPr>
            <w:rFonts w:ascii="Arial" w:hAnsi="Arial" w:cs="Arial"/>
            <w:sz w:val="18"/>
            <w:szCs w:val="18"/>
          </w:rPr>
          <w:t>3.3.7</w:t>
        </w:r>
      </w:fldSimple>
      <w:r w:rsidRPr="00624750">
        <w:rPr>
          <w:rFonts w:ascii="Arial" w:hAnsi="Arial" w:cs="Arial"/>
          <w:sz w:val="18"/>
          <w:szCs w:val="18"/>
        </w:rPr>
        <w:t xml:space="preserve"> of this CRIS for further information.</w:t>
      </w:r>
    </w:p>
  </w:footnote>
  <w:footnote w:id="11">
    <w:p w:rsidR="000D637E" w:rsidRPr="0038426D" w:rsidRDefault="000D637E" w:rsidP="00140BE4">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Refer Figure 3 for overview of the environmental impact assessments process</w:t>
      </w:r>
    </w:p>
  </w:footnote>
  <w:footnote w:id="12">
    <w:p w:rsidR="000D637E" w:rsidRPr="0038426D" w:rsidRDefault="000D637E" w:rsidP="00140BE4">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Refer to complexity </w:t>
      </w:r>
      <w:r>
        <w:rPr>
          <w:rFonts w:ascii="Arial" w:hAnsi="Arial" w:cs="Arial"/>
          <w:sz w:val="18"/>
          <w:szCs w:val="18"/>
        </w:rPr>
        <w:t xml:space="preserve">fee </w:t>
      </w:r>
      <w:r w:rsidRPr="00CA3ABF">
        <w:rPr>
          <w:rFonts w:ascii="Arial" w:hAnsi="Arial" w:cs="Arial"/>
          <w:sz w:val="18"/>
          <w:szCs w:val="18"/>
        </w:rPr>
        <w:t xml:space="preserve">matrix </w:t>
      </w:r>
      <w:r>
        <w:rPr>
          <w:rFonts w:ascii="Arial" w:hAnsi="Arial" w:cs="Arial"/>
          <w:sz w:val="18"/>
          <w:szCs w:val="18"/>
        </w:rPr>
        <w:t>at page 19</w:t>
      </w:r>
    </w:p>
  </w:footnote>
  <w:footnote w:id="13">
    <w:p w:rsidR="000D637E" w:rsidRPr="0038426D" w:rsidRDefault="000D637E" w:rsidP="00E5637D">
      <w:pPr>
        <w:pStyle w:val="FootnoteText"/>
        <w:jc w:val="lef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Refer to Figure 6 for a breakdown of assessment process stages. Note that </w:t>
      </w:r>
      <w:r>
        <w:rPr>
          <w:rFonts w:ascii="Arial" w:hAnsi="Arial" w:cs="Arial"/>
          <w:sz w:val="18"/>
          <w:szCs w:val="18"/>
        </w:rPr>
        <w:t>assessment on referral information</w:t>
      </w:r>
      <w:r w:rsidRPr="00CA3ABF">
        <w:rPr>
          <w:rFonts w:ascii="Arial" w:hAnsi="Arial" w:cs="Arial"/>
          <w:sz w:val="18"/>
          <w:szCs w:val="18"/>
        </w:rPr>
        <w:t xml:space="preserve"> has only three assessment stages.</w:t>
      </w:r>
    </w:p>
  </w:footnote>
  <w:footnote w:id="14">
    <w:p w:rsidR="000D637E" w:rsidRPr="00D00CE8" w:rsidRDefault="000D637E">
      <w:pPr>
        <w:pStyle w:val="FootnoteText"/>
        <w:rPr>
          <w:rFonts w:ascii="Arial" w:hAnsi="Arial" w:cs="Arial"/>
          <w:sz w:val="18"/>
          <w:szCs w:val="18"/>
        </w:rPr>
      </w:pPr>
      <w:r w:rsidRPr="00D00CE8">
        <w:rPr>
          <w:rStyle w:val="FootnoteReference"/>
          <w:rFonts w:ascii="Arial" w:hAnsi="Arial" w:cs="Arial"/>
          <w:sz w:val="18"/>
          <w:szCs w:val="18"/>
        </w:rPr>
        <w:footnoteRef/>
      </w:r>
      <w:r w:rsidRPr="00D00CE8">
        <w:rPr>
          <w:rFonts w:ascii="Arial" w:hAnsi="Arial" w:cs="Arial"/>
          <w:sz w:val="18"/>
          <w:szCs w:val="18"/>
        </w:rPr>
        <w:t xml:space="preserve"> This is the maximum amount of base costs payable for an assessment by preliminary documentation, </w:t>
      </w:r>
      <w:r>
        <w:rPr>
          <w:rFonts w:ascii="Arial" w:hAnsi="Arial" w:cs="Arial"/>
          <w:sz w:val="18"/>
          <w:szCs w:val="18"/>
        </w:rPr>
        <w:t>as in some circumstances</w:t>
      </w:r>
      <w:r w:rsidRPr="00D00CE8">
        <w:rPr>
          <w:rFonts w:ascii="Arial" w:hAnsi="Arial" w:cs="Arial"/>
          <w:sz w:val="18"/>
          <w:szCs w:val="18"/>
        </w:rPr>
        <w:t xml:space="preserve"> </w:t>
      </w:r>
      <w:r>
        <w:rPr>
          <w:rFonts w:ascii="Arial" w:hAnsi="Arial" w:cs="Arial"/>
          <w:sz w:val="18"/>
          <w:szCs w:val="18"/>
        </w:rPr>
        <w:t>(</w:t>
      </w:r>
      <w:r w:rsidRPr="00D00CE8">
        <w:rPr>
          <w:rFonts w:ascii="Arial" w:hAnsi="Arial" w:cs="Arial"/>
          <w:sz w:val="18"/>
          <w:szCs w:val="18"/>
        </w:rPr>
        <w:t>detailed below</w:t>
      </w:r>
      <w:r>
        <w:rPr>
          <w:rFonts w:ascii="Arial" w:hAnsi="Arial" w:cs="Arial"/>
          <w:sz w:val="18"/>
          <w:szCs w:val="18"/>
        </w:rPr>
        <w:t>)</w:t>
      </w:r>
      <w:r w:rsidRPr="00D00CE8">
        <w:rPr>
          <w:rFonts w:ascii="Arial" w:hAnsi="Arial" w:cs="Arial"/>
          <w:sz w:val="18"/>
          <w:szCs w:val="18"/>
        </w:rPr>
        <w:t xml:space="preserve"> the Stage 1 base cost fee may not be applicable.</w:t>
      </w:r>
    </w:p>
  </w:footnote>
  <w:footnote w:id="15">
    <w:p w:rsidR="000D637E" w:rsidRPr="00CC29ED" w:rsidRDefault="000D637E">
      <w:pPr>
        <w:pStyle w:val="FootnoteText"/>
        <w:rPr>
          <w:rFonts w:ascii="Arial" w:hAnsi="Arial" w:cs="Arial"/>
          <w:sz w:val="18"/>
          <w:szCs w:val="18"/>
        </w:rPr>
      </w:pPr>
      <w:r w:rsidRPr="00CC29ED">
        <w:rPr>
          <w:rStyle w:val="FootnoteReference"/>
          <w:rFonts w:ascii="Arial" w:hAnsi="Arial" w:cs="Arial"/>
          <w:sz w:val="18"/>
          <w:szCs w:val="18"/>
        </w:rPr>
        <w:footnoteRef/>
      </w:r>
      <w:r w:rsidRPr="00CC29ED">
        <w:rPr>
          <w:rFonts w:ascii="Arial" w:hAnsi="Arial" w:cs="Arial"/>
          <w:sz w:val="18"/>
          <w:szCs w:val="18"/>
        </w:rPr>
        <w:t xml:space="preserve"> Stage 1 base cost fees will not be applicable where no further information is required to proceed with assessment on preliminary documentation under section 95(1).</w:t>
      </w:r>
    </w:p>
  </w:footnote>
  <w:footnote w:id="16">
    <w:p w:rsidR="000D637E" w:rsidRPr="00CC29ED" w:rsidRDefault="000D637E">
      <w:pPr>
        <w:pStyle w:val="FootnoteText"/>
        <w:rPr>
          <w:rFonts w:ascii="Arial" w:hAnsi="Arial" w:cs="Arial"/>
          <w:sz w:val="18"/>
          <w:szCs w:val="18"/>
        </w:rPr>
      </w:pPr>
      <w:r w:rsidRPr="00CC29ED">
        <w:rPr>
          <w:rStyle w:val="FootnoteReference"/>
          <w:rFonts w:ascii="Arial" w:hAnsi="Arial" w:cs="Arial"/>
          <w:sz w:val="18"/>
          <w:szCs w:val="18"/>
        </w:rPr>
        <w:footnoteRef/>
      </w:r>
      <w:r w:rsidRPr="00CC29ED">
        <w:rPr>
          <w:rFonts w:ascii="Arial" w:hAnsi="Arial" w:cs="Arial"/>
          <w:sz w:val="18"/>
          <w:szCs w:val="18"/>
        </w:rPr>
        <w:t xml:space="preserve"> The total base cost will be reduced by $1,374 if the Stage 1 base cost fee is not applicable.</w:t>
      </w:r>
    </w:p>
  </w:footnote>
  <w:footnote w:id="17">
    <w:p w:rsidR="000D637E" w:rsidRDefault="000D637E" w:rsidP="00B51D11">
      <w:pPr>
        <w:pStyle w:val="FootnoteText"/>
      </w:pPr>
      <w:r w:rsidRPr="006648A8">
        <w:rPr>
          <w:rStyle w:val="FootnoteReference"/>
          <w:rFonts w:ascii="Arial" w:hAnsi="Arial" w:cs="Arial"/>
          <w:sz w:val="18"/>
          <w:szCs w:val="18"/>
        </w:rPr>
        <w:footnoteRef/>
      </w:r>
      <w:r w:rsidRPr="006648A8">
        <w:rPr>
          <w:rFonts w:ascii="Arial" w:hAnsi="Arial" w:cs="Arial"/>
          <w:sz w:val="18"/>
          <w:szCs w:val="18"/>
        </w:rPr>
        <w:t xml:space="preserve"> This</w:t>
      </w:r>
      <w:r w:rsidRPr="00D00CE8">
        <w:rPr>
          <w:rFonts w:ascii="Arial" w:hAnsi="Arial" w:cs="Arial"/>
          <w:sz w:val="18"/>
          <w:szCs w:val="18"/>
        </w:rPr>
        <w:t xml:space="preserve"> is the maximum amount of base costs payable for an assessment by </w:t>
      </w:r>
      <w:r>
        <w:rPr>
          <w:rFonts w:ascii="Arial" w:hAnsi="Arial" w:cs="Arial"/>
          <w:sz w:val="18"/>
          <w:szCs w:val="18"/>
        </w:rPr>
        <w:t>public environmental report or environmental impact statement</w:t>
      </w:r>
      <w:r w:rsidRPr="00D00CE8">
        <w:rPr>
          <w:rFonts w:ascii="Arial" w:hAnsi="Arial" w:cs="Arial"/>
          <w:sz w:val="18"/>
          <w:szCs w:val="18"/>
        </w:rPr>
        <w:t>,</w:t>
      </w:r>
      <w:r>
        <w:rPr>
          <w:rFonts w:ascii="Arial" w:hAnsi="Arial" w:cs="Arial"/>
          <w:sz w:val="18"/>
          <w:szCs w:val="18"/>
        </w:rPr>
        <w:t xml:space="preserve"> as in some circumstances (</w:t>
      </w:r>
      <w:r w:rsidRPr="00D00CE8">
        <w:rPr>
          <w:rFonts w:ascii="Arial" w:hAnsi="Arial" w:cs="Arial"/>
          <w:sz w:val="18"/>
          <w:szCs w:val="18"/>
        </w:rPr>
        <w:t>detailed below</w:t>
      </w:r>
      <w:r>
        <w:rPr>
          <w:rFonts w:ascii="Arial" w:hAnsi="Arial" w:cs="Arial"/>
          <w:sz w:val="18"/>
          <w:szCs w:val="18"/>
        </w:rPr>
        <w:t>)</w:t>
      </w:r>
      <w:r w:rsidRPr="00D00CE8">
        <w:rPr>
          <w:rFonts w:ascii="Arial" w:hAnsi="Arial" w:cs="Arial"/>
          <w:sz w:val="18"/>
          <w:szCs w:val="18"/>
        </w:rPr>
        <w:t>, the Stage 1 base cost fee may not be applicable</w:t>
      </w:r>
    </w:p>
  </w:footnote>
  <w:footnote w:id="18">
    <w:p w:rsidR="000D637E" w:rsidRPr="005950B0" w:rsidRDefault="000D637E">
      <w:pPr>
        <w:pStyle w:val="FootnoteText"/>
        <w:rPr>
          <w:rFonts w:ascii="Arial" w:hAnsi="Arial" w:cs="Arial"/>
          <w:sz w:val="18"/>
          <w:szCs w:val="18"/>
        </w:rPr>
      </w:pPr>
      <w:r w:rsidRPr="005950B0">
        <w:rPr>
          <w:rStyle w:val="FootnoteReference"/>
          <w:rFonts w:ascii="Arial" w:hAnsi="Arial" w:cs="Arial"/>
          <w:sz w:val="18"/>
          <w:szCs w:val="18"/>
        </w:rPr>
        <w:footnoteRef/>
      </w:r>
      <w:r w:rsidRPr="005950B0">
        <w:rPr>
          <w:rFonts w:ascii="Arial" w:hAnsi="Arial" w:cs="Arial"/>
          <w:sz w:val="18"/>
          <w:szCs w:val="18"/>
        </w:rPr>
        <w:t xml:space="preserve"> Stage 1 base cost fee of $4,031 will not be applicable if standard guidelines are used under section </w:t>
      </w:r>
      <w:proofErr w:type="gramStart"/>
      <w:r w:rsidRPr="005950B0">
        <w:rPr>
          <w:rFonts w:ascii="Arial" w:hAnsi="Arial" w:cs="Arial"/>
          <w:sz w:val="18"/>
          <w:szCs w:val="18"/>
        </w:rPr>
        <w:t>101A(</w:t>
      </w:r>
      <w:proofErr w:type="gramEnd"/>
      <w:r w:rsidRPr="005950B0">
        <w:rPr>
          <w:rFonts w:ascii="Arial" w:hAnsi="Arial" w:cs="Arial"/>
          <w:sz w:val="18"/>
          <w:szCs w:val="18"/>
        </w:rPr>
        <w:t>2)(a) for an assessment by environmental impact statement or under section 96A(2)(a) for an assessment by public environment report.</w:t>
      </w:r>
    </w:p>
  </w:footnote>
  <w:footnote w:id="19">
    <w:p w:rsidR="000D637E" w:rsidRPr="00A1789F" w:rsidRDefault="000D637E">
      <w:pPr>
        <w:pStyle w:val="FootnoteText"/>
        <w:rPr>
          <w:rFonts w:ascii="Arial" w:hAnsi="Arial" w:cs="Arial"/>
          <w:sz w:val="18"/>
          <w:szCs w:val="18"/>
        </w:rPr>
      </w:pPr>
      <w:r w:rsidRPr="00A1789F">
        <w:rPr>
          <w:rStyle w:val="FootnoteReference"/>
          <w:rFonts w:ascii="Arial" w:hAnsi="Arial" w:cs="Arial"/>
          <w:sz w:val="18"/>
          <w:szCs w:val="18"/>
        </w:rPr>
        <w:footnoteRef/>
      </w:r>
      <w:r w:rsidRPr="00A1789F">
        <w:rPr>
          <w:rFonts w:ascii="Arial" w:hAnsi="Arial" w:cs="Arial"/>
          <w:sz w:val="18"/>
          <w:szCs w:val="18"/>
        </w:rPr>
        <w:t xml:space="preserve"> The total base cost will be reduced by $4,031 if the Stage 1 base cost fee is not applicable.</w:t>
      </w:r>
    </w:p>
  </w:footnote>
  <w:footnote w:id="20">
    <w:p w:rsidR="000D637E" w:rsidRPr="0038426D" w:rsidRDefault="000D637E" w:rsidP="003A1E94">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t>
      </w:r>
      <w:r w:rsidRPr="00CA3ABF">
        <w:rPr>
          <w:rFonts w:ascii="Arial" w:hAnsi="Arial" w:cs="Arial"/>
          <w:sz w:val="18"/>
          <w:szCs w:val="18"/>
          <w:lang w:val="en-US"/>
        </w:rPr>
        <w:t>If a bilateral agreement is determined to apply part way through an existing EPBC Act assessment, then a revised fee estimate will be provided to the proponent.</w:t>
      </w:r>
    </w:p>
  </w:footnote>
  <w:footnote w:id="21">
    <w:p w:rsidR="000D637E" w:rsidRPr="0022151B" w:rsidRDefault="000D637E">
      <w:pPr>
        <w:pStyle w:val="FootnoteText"/>
      </w:pPr>
      <w:r w:rsidRPr="00524500">
        <w:rPr>
          <w:rStyle w:val="FootnoteReference"/>
          <w:rFonts w:ascii="Arial" w:hAnsi="Arial" w:cs="Arial"/>
          <w:sz w:val="18"/>
          <w:szCs w:val="18"/>
        </w:rPr>
        <w:footnoteRef/>
      </w:r>
      <w:r w:rsidRPr="00524500">
        <w:rPr>
          <w:rFonts w:ascii="Arial" w:hAnsi="Arial" w:cs="Arial"/>
          <w:sz w:val="18"/>
          <w:szCs w:val="18"/>
        </w:rPr>
        <w:t xml:space="preserve"> </w:t>
      </w:r>
      <w:r w:rsidRPr="0022151B">
        <w:rPr>
          <w:rFonts w:ascii="Arial" w:hAnsi="Arial" w:cs="Arial"/>
          <w:sz w:val="18"/>
          <w:szCs w:val="18"/>
        </w:rPr>
        <w:t>For an assessment under a bilateral agreement / accredited process $26,043 is the maximum base cost payable, as the Minister may determine fees (base costs and complexity fees) are not applicable for a stage of a bilateral / accredited assessment process if that stage does not occur.</w:t>
      </w:r>
    </w:p>
  </w:footnote>
  <w:footnote w:id="22">
    <w:p w:rsidR="000D637E" w:rsidRDefault="000D637E">
      <w:pPr>
        <w:pStyle w:val="FootnoteText"/>
      </w:pPr>
      <w:r w:rsidRPr="0022151B">
        <w:rPr>
          <w:rStyle w:val="FootnoteReference"/>
          <w:rFonts w:ascii="Arial" w:hAnsi="Arial" w:cs="Arial"/>
          <w:sz w:val="18"/>
          <w:szCs w:val="18"/>
        </w:rPr>
        <w:footnoteRef/>
      </w:r>
      <w:r w:rsidRPr="0022151B">
        <w:rPr>
          <w:rFonts w:ascii="Arial" w:hAnsi="Arial" w:cs="Arial"/>
          <w:sz w:val="18"/>
          <w:szCs w:val="18"/>
        </w:rPr>
        <w:t xml:space="preserve"> For an assessment under a bilateral agreement / accredited process $26,043 is the maximum base cost payable, as the Minister may determine fees are not applicable for a stage of a bilateral / accredited assessment process if that stage does not occur. This table also shows the maximum number of hours spent by the Department on a bilateral agreement / accredited assessment.</w:t>
      </w:r>
      <w:r w:rsidRPr="00624750">
        <w:rPr>
          <w:rFonts w:ascii="Arial" w:hAnsi="Arial" w:cs="Arial"/>
          <w:sz w:val="18"/>
          <w:szCs w:val="18"/>
        </w:rPr>
        <w:t xml:space="preserve">  </w:t>
      </w:r>
    </w:p>
  </w:footnote>
  <w:footnote w:id="23">
    <w:p w:rsidR="000D637E" w:rsidRPr="0038426D" w:rsidRDefault="000D637E" w:rsidP="006F6CFE">
      <w:pPr>
        <w:rPr>
          <w:rFonts w:cs="Arial"/>
          <w:sz w:val="18"/>
          <w:szCs w:val="18"/>
          <w:lang w:val="en-US"/>
        </w:rPr>
      </w:pPr>
      <w:r w:rsidRPr="00CA3ABF">
        <w:rPr>
          <w:rStyle w:val="FootnoteReference"/>
          <w:rFonts w:cs="Arial"/>
          <w:sz w:val="18"/>
          <w:szCs w:val="18"/>
        </w:rPr>
        <w:footnoteRef/>
      </w:r>
      <w:r w:rsidRPr="00CA3ABF">
        <w:rPr>
          <w:rFonts w:cs="Arial"/>
          <w:sz w:val="18"/>
          <w:szCs w:val="18"/>
        </w:rPr>
        <w:t xml:space="preserve"> </w:t>
      </w:r>
      <w:r w:rsidRPr="00CA3ABF">
        <w:rPr>
          <w:rFonts w:cs="Arial"/>
          <w:sz w:val="18"/>
          <w:szCs w:val="18"/>
          <w:lang w:val="en-US"/>
        </w:rPr>
        <w:t xml:space="preserve">An action management plan assessment fee is only applicable when the proponent has elected to provide a management plan for the consideration of the Minister. </w:t>
      </w:r>
    </w:p>
    <w:p w:rsidR="000D637E" w:rsidRPr="0038426D" w:rsidRDefault="000D637E" w:rsidP="006F6CFE">
      <w:pPr>
        <w:pStyle w:val="FootnoteText"/>
        <w:rPr>
          <w:rFonts w:ascii="Arial" w:hAnsi="Arial" w:cs="Arial"/>
          <w:sz w:val="18"/>
          <w:szCs w:val="18"/>
        </w:rPr>
      </w:pPr>
    </w:p>
  </w:footnote>
  <w:footnote w:id="24">
    <w:p w:rsidR="000D637E" w:rsidRPr="000A19EF" w:rsidRDefault="000D637E">
      <w:pPr>
        <w:pStyle w:val="FootnoteText"/>
        <w:rPr>
          <w:rFonts w:ascii="Arial" w:hAnsi="Arial" w:cs="Arial"/>
          <w:sz w:val="18"/>
          <w:szCs w:val="18"/>
        </w:rPr>
      </w:pPr>
      <w:r w:rsidRPr="000A19EF">
        <w:rPr>
          <w:rStyle w:val="FootnoteReference"/>
          <w:rFonts w:ascii="Arial" w:hAnsi="Arial" w:cs="Arial"/>
          <w:sz w:val="18"/>
          <w:szCs w:val="18"/>
        </w:rPr>
        <w:footnoteRef/>
      </w:r>
      <w:r w:rsidRPr="000A19EF">
        <w:rPr>
          <w:rFonts w:ascii="Arial" w:hAnsi="Arial" w:cs="Arial"/>
          <w:sz w:val="18"/>
          <w:szCs w:val="18"/>
        </w:rPr>
        <w:t xml:space="preserve"> This section is in the Environment Protection and Biodiversity Conservation Amendment (Cost Recovery) Bill 2014, </w:t>
      </w:r>
      <w:r w:rsidR="007A7166">
        <w:rPr>
          <w:rFonts w:ascii="Arial" w:hAnsi="Arial" w:cs="Arial"/>
          <w:sz w:val="18"/>
          <w:szCs w:val="18"/>
        </w:rPr>
        <w:t>but</w:t>
      </w:r>
      <w:r w:rsidRPr="000A19EF">
        <w:rPr>
          <w:rFonts w:ascii="Arial" w:hAnsi="Arial" w:cs="Arial"/>
          <w:sz w:val="18"/>
          <w:szCs w:val="18"/>
        </w:rPr>
        <w:t xml:space="preserve"> </w:t>
      </w:r>
      <w:r w:rsidR="0056249F">
        <w:rPr>
          <w:rFonts w:ascii="Arial" w:hAnsi="Arial" w:cs="Arial"/>
          <w:sz w:val="18"/>
          <w:szCs w:val="18"/>
        </w:rPr>
        <w:t xml:space="preserve">this bill </w:t>
      </w:r>
      <w:r w:rsidRPr="000A19EF">
        <w:rPr>
          <w:rFonts w:ascii="Arial" w:hAnsi="Arial" w:cs="Arial"/>
          <w:sz w:val="18"/>
          <w:szCs w:val="18"/>
        </w:rPr>
        <w:t xml:space="preserve">has not yet </w:t>
      </w:r>
      <w:r w:rsidR="007A7166">
        <w:rPr>
          <w:rFonts w:ascii="Arial" w:hAnsi="Arial" w:cs="Arial"/>
          <w:sz w:val="18"/>
          <w:szCs w:val="18"/>
        </w:rPr>
        <w:t>received Royal Assent.</w:t>
      </w:r>
    </w:p>
  </w:footnote>
  <w:footnote w:id="25">
    <w:p w:rsidR="000D637E" w:rsidRDefault="000D637E">
      <w:pPr>
        <w:pStyle w:val="FootnoteText"/>
      </w:pPr>
      <w:r w:rsidRPr="000A19EF">
        <w:rPr>
          <w:rStyle w:val="FootnoteReference"/>
          <w:rFonts w:ascii="Arial" w:hAnsi="Arial" w:cs="Arial"/>
          <w:sz w:val="18"/>
          <w:szCs w:val="18"/>
        </w:rPr>
        <w:footnoteRef/>
      </w:r>
      <w:r w:rsidRPr="000A19EF">
        <w:rPr>
          <w:rFonts w:ascii="Arial" w:hAnsi="Arial" w:cs="Arial"/>
          <w:sz w:val="18"/>
          <w:szCs w:val="18"/>
        </w:rPr>
        <w:t xml:space="preserve"> This section is in the Environment Protection and Biodiversity Conservation Amendment (Cost Recovery) Bill 2014, </w:t>
      </w:r>
      <w:r w:rsidR="007A7166">
        <w:rPr>
          <w:rFonts w:ascii="Arial" w:hAnsi="Arial" w:cs="Arial"/>
          <w:sz w:val="18"/>
          <w:szCs w:val="18"/>
        </w:rPr>
        <w:t>but</w:t>
      </w:r>
      <w:r w:rsidR="007A7166" w:rsidRPr="000A19EF">
        <w:rPr>
          <w:rFonts w:ascii="Arial" w:hAnsi="Arial" w:cs="Arial"/>
          <w:sz w:val="18"/>
          <w:szCs w:val="18"/>
        </w:rPr>
        <w:t xml:space="preserve"> </w:t>
      </w:r>
      <w:r w:rsidR="0056249F">
        <w:rPr>
          <w:rFonts w:ascii="Arial" w:hAnsi="Arial" w:cs="Arial"/>
          <w:sz w:val="18"/>
          <w:szCs w:val="18"/>
        </w:rPr>
        <w:t xml:space="preserve">this bill </w:t>
      </w:r>
      <w:r w:rsidR="007A7166" w:rsidRPr="000A19EF">
        <w:rPr>
          <w:rFonts w:ascii="Arial" w:hAnsi="Arial" w:cs="Arial"/>
          <w:sz w:val="18"/>
          <w:szCs w:val="18"/>
        </w:rPr>
        <w:t xml:space="preserve">has not yet </w:t>
      </w:r>
      <w:r w:rsidR="007A7166">
        <w:rPr>
          <w:rFonts w:ascii="Arial" w:hAnsi="Arial" w:cs="Arial"/>
          <w:sz w:val="18"/>
          <w:szCs w:val="18"/>
        </w:rPr>
        <w:t>received Royal Assent.</w:t>
      </w:r>
    </w:p>
  </w:footnote>
  <w:footnote w:id="26">
    <w:p w:rsidR="000D637E" w:rsidRPr="000A19EF" w:rsidRDefault="000D637E">
      <w:pPr>
        <w:pStyle w:val="FootnoteText"/>
        <w:rPr>
          <w:rFonts w:ascii="Arial" w:hAnsi="Arial" w:cs="Arial"/>
          <w:sz w:val="18"/>
          <w:szCs w:val="18"/>
        </w:rPr>
      </w:pPr>
      <w:r w:rsidRPr="000A19EF">
        <w:rPr>
          <w:rStyle w:val="FootnoteReference"/>
          <w:rFonts w:ascii="Arial" w:hAnsi="Arial" w:cs="Arial"/>
          <w:sz w:val="18"/>
          <w:szCs w:val="18"/>
        </w:rPr>
        <w:footnoteRef/>
      </w:r>
      <w:r w:rsidRPr="000A19EF">
        <w:rPr>
          <w:rFonts w:ascii="Arial" w:hAnsi="Arial" w:cs="Arial"/>
          <w:sz w:val="18"/>
          <w:szCs w:val="18"/>
        </w:rPr>
        <w:t xml:space="preserve"> This section is in the Environment Protection and Biodiversity Conservation Amendment (Cost Recovery) Bill 2014, </w:t>
      </w:r>
      <w:r w:rsidR="007A7166">
        <w:rPr>
          <w:rFonts w:ascii="Arial" w:hAnsi="Arial" w:cs="Arial"/>
          <w:sz w:val="18"/>
          <w:szCs w:val="18"/>
        </w:rPr>
        <w:t>but</w:t>
      </w:r>
      <w:r w:rsidR="007A7166" w:rsidRPr="000A19EF">
        <w:rPr>
          <w:rFonts w:ascii="Arial" w:hAnsi="Arial" w:cs="Arial"/>
          <w:sz w:val="18"/>
          <w:szCs w:val="18"/>
        </w:rPr>
        <w:t xml:space="preserve"> </w:t>
      </w:r>
      <w:r w:rsidR="0056249F">
        <w:rPr>
          <w:rFonts w:ascii="Arial" w:hAnsi="Arial" w:cs="Arial"/>
          <w:sz w:val="18"/>
          <w:szCs w:val="18"/>
        </w:rPr>
        <w:t xml:space="preserve">this bill </w:t>
      </w:r>
      <w:r w:rsidR="007A7166" w:rsidRPr="000A19EF">
        <w:rPr>
          <w:rFonts w:ascii="Arial" w:hAnsi="Arial" w:cs="Arial"/>
          <w:sz w:val="18"/>
          <w:szCs w:val="18"/>
        </w:rPr>
        <w:t xml:space="preserve">has not yet </w:t>
      </w:r>
      <w:r w:rsidR="007A7166">
        <w:rPr>
          <w:rFonts w:ascii="Arial" w:hAnsi="Arial" w:cs="Arial"/>
          <w:sz w:val="18"/>
          <w:szCs w:val="18"/>
        </w:rPr>
        <w:t>received Royal Assent.</w:t>
      </w:r>
    </w:p>
  </w:footnote>
  <w:footnote w:id="27">
    <w:p w:rsidR="000D637E" w:rsidRDefault="000D637E">
      <w:pPr>
        <w:pStyle w:val="FootnoteText"/>
      </w:pPr>
      <w:r w:rsidRPr="000A19EF">
        <w:rPr>
          <w:rStyle w:val="FootnoteReference"/>
          <w:rFonts w:ascii="Arial" w:hAnsi="Arial" w:cs="Arial"/>
          <w:sz w:val="18"/>
          <w:szCs w:val="18"/>
        </w:rPr>
        <w:footnoteRef/>
      </w:r>
      <w:r>
        <w:t xml:space="preserve"> </w:t>
      </w:r>
      <w:r w:rsidRPr="000A19EF">
        <w:rPr>
          <w:rFonts w:ascii="Arial" w:hAnsi="Arial" w:cs="Arial"/>
          <w:sz w:val="18"/>
          <w:szCs w:val="18"/>
        </w:rPr>
        <w:t xml:space="preserve">This section is in the Environment Protection and Biodiversity Conservation Amendment (Cost Recovery) Bill 2014, </w:t>
      </w:r>
      <w:r w:rsidR="007A7166">
        <w:rPr>
          <w:rFonts w:ascii="Arial" w:hAnsi="Arial" w:cs="Arial"/>
          <w:sz w:val="18"/>
          <w:szCs w:val="18"/>
        </w:rPr>
        <w:t>but</w:t>
      </w:r>
      <w:r w:rsidR="007A7166" w:rsidRPr="000A19EF">
        <w:rPr>
          <w:rFonts w:ascii="Arial" w:hAnsi="Arial" w:cs="Arial"/>
          <w:sz w:val="18"/>
          <w:szCs w:val="18"/>
        </w:rPr>
        <w:t xml:space="preserve"> </w:t>
      </w:r>
      <w:r w:rsidR="0056249F">
        <w:rPr>
          <w:rFonts w:ascii="Arial" w:hAnsi="Arial" w:cs="Arial"/>
          <w:sz w:val="18"/>
          <w:szCs w:val="18"/>
        </w:rPr>
        <w:t xml:space="preserve">this bill </w:t>
      </w:r>
      <w:r w:rsidR="007A7166" w:rsidRPr="000A19EF">
        <w:rPr>
          <w:rFonts w:ascii="Arial" w:hAnsi="Arial" w:cs="Arial"/>
          <w:sz w:val="18"/>
          <w:szCs w:val="18"/>
        </w:rPr>
        <w:t xml:space="preserve">has not yet </w:t>
      </w:r>
      <w:r w:rsidR="007A7166">
        <w:rPr>
          <w:rFonts w:ascii="Arial" w:hAnsi="Arial" w:cs="Arial"/>
          <w:sz w:val="18"/>
          <w:szCs w:val="18"/>
        </w:rPr>
        <w:t>received Royal Assent.</w:t>
      </w:r>
    </w:p>
  </w:footnote>
  <w:footnote w:id="28">
    <w:p w:rsidR="000D637E" w:rsidRPr="0038426D" w:rsidRDefault="000D637E" w:rsidP="00CB2FBD">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2014-15 is based on the actual activity volumes from 2008-09.  </w:t>
      </w:r>
    </w:p>
  </w:footnote>
  <w:footnote w:id="29">
    <w:p w:rsidR="000D637E" w:rsidRPr="0038426D" w:rsidRDefault="000D637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2014-15 is based on the actual activity volumes from 2008-09.</w:t>
      </w:r>
    </w:p>
  </w:footnote>
  <w:footnote w:id="30">
    <w:p w:rsidR="000D637E" w:rsidRPr="0038426D" w:rsidRDefault="000D637E" w:rsidP="00F05EA5">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2014-15 is based on the actual activity volumes from 2008-09.</w:t>
      </w:r>
    </w:p>
  </w:footnote>
  <w:footnote w:id="31">
    <w:p w:rsidR="000D637E" w:rsidRPr="0038426D" w:rsidRDefault="000D637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2014-15 is based on the actual activity volumes from 2008-09.</w:t>
      </w:r>
    </w:p>
  </w:footnote>
  <w:footnote w:id="32">
    <w:p w:rsidR="000D637E" w:rsidRPr="0038426D" w:rsidRDefault="000D637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Demand for 2014-15 is based on the actual activity volumes from 2008-09.</w:t>
      </w:r>
    </w:p>
  </w:footnote>
  <w:footnote w:id="33">
    <w:p w:rsidR="000D637E" w:rsidRPr="0038426D" w:rsidRDefault="000D637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http://www.finance.gov.au/sites/default/files/cpr_commonwealth_procurement_rules_july_2012_1.pdf</w:t>
      </w:r>
    </w:p>
  </w:footnote>
  <w:footnote w:id="34">
    <w:p w:rsidR="000D637E" w:rsidRPr="0038426D" w:rsidRDefault="000D637E">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t>
      </w:r>
      <w:hyperlink r:id="rId4" w:history="1">
        <w:r w:rsidRPr="00CA3ABF">
          <w:rPr>
            <w:rStyle w:val="Hyperlink"/>
            <w:rFonts w:ascii="Arial" w:hAnsi="Arial" w:cs="Arial"/>
            <w:sz w:val="18"/>
            <w:szCs w:val="18"/>
          </w:rPr>
          <w:t>http://www.environment.gov.au/resource/cost-recovery-under-environment-protection-and-biodiversity-conservation-act-1999-epbc-act</w:t>
        </w:r>
      </w:hyperlink>
      <w:r>
        <w:rPr>
          <w:rFonts w:ascii="Arial" w:hAnsi="Arial" w:cs="Arial"/>
          <w:sz w:val="18"/>
          <w:szCs w:val="18"/>
        </w:rPr>
        <w:t xml:space="preserve"> </w:t>
      </w:r>
    </w:p>
  </w:footnote>
  <w:footnote w:id="35">
    <w:p w:rsidR="000D637E" w:rsidRPr="00F36214" w:rsidRDefault="000D637E" w:rsidP="004D66BB">
      <w:pPr>
        <w:pStyle w:val="ListParagraph"/>
        <w:numPr>
          <w:ilvl w:val="0"/>
          <w:numId w:val="0"/>
        </w:numPr>
        <w:rPr>
          <w:rFonts w:cs="Arial"/>
          <w:sz w:val="18"/>
          <w:szCs w:val="18"/>
          <w:lang w:val="en-US"/>
        </w:rPr>
      </w:pPr>
      <w:r w:rsidRPr="00F36214">
        <w:rPr>
          <w:rStyle w:val="FootnoteReference"/>
          <w:rFonts w:cs="Arial"/>
          <w:sz w:val="18"/>
          <w:szCs w:val="18"/>
        </w:rPr>
        <w:footnoteRef/>
      </w:r>
      <w:r w:rsidRPr="00F36214">
        <w:rPr>
          <w:rFonts w:cs="Arial"/>
          <w:sz w:val="18"/>
          <w:szCs w:val="18"/>
        </w:rPr>
        <w:t xml:space="preserve"> </w:t>
      </w:r>
      <w:r w:rsidRPr="00F36214">
        <w:rPr>
          <w:rFonts w:cs="Arial"/>
          <w:sz w:val="18"/>
          <w:szCs w:val="18"/>
          <w:lang w:val="en-US"/>
        </w:rPr>
        <w:t>Total expenses and revenue do not include assessments by Public Inquiry as expenses and revenue for this assessment will be determined on a case-by-case basis.</w:t>
      </w:r>
    </w:p>
  </w:footnote>
  <w:footnote w:id="36">
    <w:p w:rsidR="000D637E" w:rsidRPr="00F36214" w:rsidRDefault="000D637E" w:rsidP="00CA020A">
      <w:pPr>
        <w:pStyle w:val="ListParagraph"/>
        <w:numPr>
          <w:ilvl w:val="0"/>
          <w:numId w:val="0"/>
        </w:numPr>
        <w:rPr>
          <w:rFonts w:cs="Arial"/>
          <w:sz w:val="18"/>
          <w:szCs w:val="18"/>
          <w:lang w:val="en-US"/>
        </w:rPr>
      </w:pPr>
      <w:r w:rsidRPr="00F36214">
        <w:rPr>
          <w:rStyle w:val="FootnoteReference"/>
          <w:rFonts w:cs="Arial"/>
          <w:sz w:val="18"/>
          <w:szCs w:val="18"/>
        </w:rPr>
        <w:footnoteRef/>
      </w:r>
      <w:r w:rsidRPr="00F36214">
        <w:rPr>
          <w:rFonts w:cs="Arial"/>
          <w:sz w:val="18"/>
          <w:szCs w:val="18"/>
        </w:rPr>
        <w:t xml:space="preserve"> </w:t>
      </w:r>
      <w:r w:rsidRPr="00F36214">
        <w:rPr>
          <w:rFonts w:cs="Arial"/>
          <w:sz w:val="18"/>
          <w:szCs w:val="18"/>
          <w:lang w:val="en-US"/>
        </w:rPr>
        <w:t>Total expenses and revenue do not include assessments by Public Inquiry as expenses and revenue for this assessment will be determined on a case-by-case basis.</w:t>
      </w:r>
    </w:p>
  </w:footnote>
  <w:footnote w:id="37">
    <w:p w:rsidR="000D637E" w:rsidRPr="00C81B51" w:rsidRDefault="000D637E">
      <w:pPr>
        <w:pStyle w:val="FootnoteText"/>
        <w:rPr>
          <w:rFonts w:ascii="Arial" w:hAnsi="Arial" w:cs="Arial"/>
          <w:sz w:val="18"/>
          <w:szCs w:val="18"/>
        </w:rPr>
      </w:pPr>
      <w:r w:rsidRPr="00C81B51">
        <w:rPr>
          <w:rStyle w:val="FootnoteReference"/>
          <w:rFonts w:ascii="Arial" w:hAnsi="Arial" w:cs="Arial"/>
          <w:sz w:val="18"/>
          <w:szCs w:val="18"/>
        </w:rPr>
        <w:footnoteRef/>
      </w:r>
      <w:r w:rsidRPr="00C81B51">
        <w:rPr>
          <w:rFonts w:ascii="Arial" w:hAnsi="Arial" w:cs="Arial"/>
          <w:sz w:val="18"/>
          <w:szCs w:val="18"/>
        </w:rPr>
        <w:t xml:space="preserve"> A total of 34.4 per cent of these decisions did not meet statutory timeframes. The average median number of days late for these decisions was 19 days late, that is, if the median number of days late for each of the above decisions is averaged then the result is 19 days late.</w:t>
      </w:r>
    </w:p>
  </w:footnote>
  <w:footnote w:id="38">
    <w:p w:rsidR="000D637E" w:rsidRPr="00833413" w:rsidRDefault="000D637E" w:rsidP="000D2087">
      <w:pPr>
        <w:pStyle w:val="FootnoteText"/>
        <w:rPr>
          <w:rFonts w:ascii="Arial" w:hAnsi="Arial" w:cs="Arial"/>
          <w:sz w:val="18"/>
          <w:szCs w:val="18"/>
        </w:rPr>
      </w:pPr>
      <w:r w:rsidRPr="00833413">
        <w:rPr>
          <w:rStyle w:val="FootnoteReference"/>
          <w:rFonts w:ascii="Arial" w:hAnsi="Arial" w:cs="Arial"/>
          <w:sz w:val="18"/>
          <w:szCs w:val="18"/>
        </w:rPr>
        <w:footnoteRef/>
      </w:r>
      <w:r w:rsidRPr="00833413">
        <w:rPr>
          <w:rFonts w:ascii="Arial" w:hAnsi="Arial" w:cs="Arial"/>
          <w:sz w:val="18"/>
          <w:szCs w:val="18"/>
        </w:rPr>
        <w:t xml:space="preserve"> For an assessment by preliminary documentation, if no further information is required under section 95(1), the Stage 1 base cost fee of $1,374 plus 16% of the complexity fee will </w:t>
      </w:r>
      <w:r>
        <w:rPr>
          <w:rFonts w:ascii="Arial" w:hAnsi="Arial" w:cs="Arial"/>
          <w:sz w:val="18"/>
          <w:szCs w:val="18"/>
        </w:rPr>
        <w:t>not be applicable</w:t>
      </w:r>
      <w:r w:rsidRPr="00833413">
        <w:rPr>
          <w:rFonts w:ascii="Arial" w:hAnsi="Arial" w:cs="Arial"/>
          <w:sz w:val="18"/>
          <w:szCs w:val="18"/>
        </w:rPr>
        <w:t>.</w:t>
      </w:r>
    </w:p>
  </w:footnote>
  <w:footnote w:id="39">
    <w:p w:rsidR="000D637E" w:rsidRPr="005011D7" w:rsidRDefault="000D637E" w:rsidP="000D2087">
      <w:pPr>
        <w:pStyle w:val="FootnoteText"/>
        <w:rPr>
          <w:rFonts w:ascii="Arial" w:hAnsi="Arial" w:cs="Arial"/>
          <w:sz w:val="18"/>
          <w:szCs w:val="18"/>
        </w:rPr>
      </w:pPr>
      <w:r w:rsidRPr="005011D7">
        <w:rPr>
          <w:rStyle w:val="FootnoteReference"/>
          <w:rFonts w:ascii="Arial" w:hAnsi="Arial" w:cs="Arial"/>
          <w:sz w:val="18"/>
          <w:szCs w:val="18"/>
        </w:rPr>
        <w:footnoteRef/>
      </w:r>
      <w:r w:rsidRPr="005011D7">
        <w:rPr>
          <w:rFonts w:ascii="Arial" w:hAnsi="Arial" w:cs="Arial"/>
          <w:sz w:val="18"/>
          <w:szCs w:val="18"/>
        </w:rPr>
        <w:t xml:space="preserve"> For an assessment by environmental impact statement</w:t>
      </w:r>
      <w:r>
        <w:rPr>
          <w:rFonts w:ascii="Arial" w:hAnsi="Arial" w:cs="Arial"/>
          <w:sz w:val="18"/>
          <w:szCs w:val="18"/>
        </w:rPr>
        <w:t>,</w:t>
      </w:r>
      <w:r w:rsidRPr="005011D7">
        <w:rPr>
          <w:rFonts w:ascii="Arial" w:hAnsi="Arial" w:cs="Arial"/>
          <w:sz w:val="18"/>
          <w:szCs w:val="18"/>
        </w:rPr>
        <w:t xml:space="preserve"> if standard guidelines are used under section 101A(2)(a) of the EPBC Act, the Stage 1 base cost fee of $4,031 plus 14% of complexity costs will </w:t>
      </w:r>
      <w:r>
        <w:rPr>
          <w:rFonts w:ascii="Arial" w:hAnsi="Arial" w:cs="Arial"/>
          <w:sz w:val="18"/>
          <w:szCs w:val="18"/>
        </w:rPr>
        <w:t>not be applicable</w:t>
      </w:r>
      <w:r w:rsidRPr="005011D7">
        <w:rPr>
          <w:rFonts w:ascii="Arial" w:hAnsi="Arial" w:cs="Arial"/>
          <w:sz w:val="18"/>
          <w:szCs w:val="18"/>
        </w:rPr>
        <w:t>.</w:t>
      </w:r>
    </w:p>
  </w:footnote>
  <w:footnote w:id="40">
    <w:p w:rsidR="000D637E" w:rsidRPr="005011D7" w:rsidRDefault="000D637E" w:rsidP="000D2087">
      <w:pPr>
        <w:pStyle w:val="FootnoteText"/>
        <w:rPr>
          <w:rFonts w:ascii="Arial" w:hAnsi="Arial" w:cs="Arial"/>
          <w:sz w:val="18"/>
          <w:szCs w:val="18"/>
        </w:rPr>
      </w:pPr>
      <w:r w:rsidRPr="005011D7">
        <w:rPr>
          <w:rStyle w:val="FootnoteReference"/>
          <w:rFonts w:ascii="Arial" w:hAnsi="Arial" w:cs="Arial"/>
          <w:sz w:val="18"/>
          <w:szCs w:val="18"/>
        </w:rPr>
        <w:footnoteRef/>
      </w:r>
      <w:r w:rsidRPr="005011D7">
        <w:rPr>
          <w:rFonts w:ascii="Arial" w:hAnsi="Arial" w:cs="Arial"/>
          <w:sz w:val="18"/>
          <w:szCs w:val="18"/>
        </w:rPr>
        <w:t xml:space="preserve"> For an assessment by </w:t>
      </w:r>
      <w:r>
        <w:rPr>
          <w:rFonts w:ascii="Arial" w:hAnsi="Arial" w:cs="Arial"/>
          <w:sz w:val="18"/>
          <w:szCs w:val="18"/>
        </w:rPr>
        <w:t>public environment report,</w:t>
      </w:r>
      <w:r w:rsidRPr="005011D7">
        <w:rPr>
          <w:rFonts w:ascii="Arial" w:hAnsi="Arial" w:cs="Arial"/>
          <w:sz w:val="18"/>
          <w:szCs w:val="18"/>
        </w:rPr>
        <w:t xml:space="preserve"> if standard guidelines are used under section </w:t>
      </w:r>
      <w:r>
        <w:rPr>
          <w:rFonts w:ascii="Arial" w:hAnsi="Arial" w:cs="Arial"/>
          <w:sz w:val="18"/>
          <w:szCs w:val="18"/>
        </w:rPr>
        <w:t>96</w:t>
      </w:r>
      <w:r w:rsidRPr="005011D7">
        <w:rPr>
          <w:rFonts w:ascii="Arial" w:hAnsi="Arial" w:cs="Arial"/>
          <w:sz w:val="18"/>
          <w:szCs w:val="18"/>
        </w:rPr>
        <w:t xml:space="preserve">A(2)(a) of the EPBC Act, the Stage 1 base cost fee of $4,031 plus 14% of complexity costs will </w:t>
      </w:r>
      <w:r>
        <w:rPr>
          <w:rFonts w:ascii="Arial" w:hAnsi="Arial" w:cs="Arial"/>
          <w:sz w:val="18"/>
          <w:szCs w:val="18"/>
        </w:rPr>
        <w:t>not be applicable</w:t>
      </w:r>
      <w:r w:rsidRPr="005011D7">
        <w:rPr>
          <w:rFonts w:ascii="Arial" w:hAnsi="Arial" w:cs="Arial"/>
          <w:sz w:val="18"/>
          <w:szCs w:val="18"/>
        </w:rPr>
        <w:t>.</w:t>
      </w:r>
    </w:p>
  </w:footnote>
  <w:footnote w:id="41">
    <w:p w:rsidR="000D637E" w:rsidRPr="00E7130D" w:rsidRDefault="000D637E">
      <w:pPr>
        <w:pStyle w:val="FootnoteText"/>
        <w:rPr>
          <w:rFonts w:ascii="Arial" w:hAnsi="Arial" w:cs="Arial"/>
          <w:sz w:val="18"/>
          <w:szCs w:val="18"/>
        </w:rPr>
      </w:pPr>
      <w:r w:rsidRPr="00E7130D">
        <w:rPr>
          <w:rStyle w:val="FootnoteReference"/>
          <w:rFonts w:ascii="Arial" w:hAnsi="Arial" w:cs="Arial"/>
          <w:sz w:val="18"/>
          <w:szCs w:val="18"/>
        </w:rPr>
        <w:footnoteRef/>
      </w:r>
      <w:r w:rsidRPr="00E7130D">
        <w:rPr>
          <w:rFonts w:ascii="Arial" w:hAnsi="Arial" w:cs="Arial"/>
          <w:sz w:val="18"/>
          <w:szCs w:val="18"/>
        </w:rPr>
        <w:t xml:space="preserve"> For an assessment under a bilateral agreement / accredited process $26,043 is the maximum base cost payable, as the Minister </w:t>
      </w:r>
      <w:r>
        <w:rPr>
          <w:rFonts w:ascii="Arial" w:hAnsi="Arial" w:cs="Arial"/>
          <w:sz w:val="18"/>
          <w:szCs w:val="18"/>
        </w:rPr>
        <w:t>may determine fees are not applicable</w:t>
      </w:r>
      <w:r w:rsidRPr="00E7130D">
        <w:rPr>
          <w:rFonts w:ascii="Arial" w:hAnsi="Arial" w:cs="Arial"/>
          <w:sz w:val="18"/>
          <w:szCs w:val="18"/>
        </w:rPr>
        <w:t xml:space="preserve"> for a stage of a bilateral / accredited assessment process if that stage </w:t>
      </w:r>
      <w:r>
        <w:rPr>
          <w:rFonts w:ascii="Arial" w:hAnsi="Arial" w:cs="Arial"/>
          <w:sz w:val="18"/>
          <w:szCs w:val="18"/>
        </w:rPr>
        <w:t>does not occur</w:t>
      </w:r>
      <w:r w:rsidRPr="00E7130D">
        <w:rPr>
          <w:rFonts w:ascii="Arial" w:hAnsi="Arial" w:cs="Arial"/>
          <w:sz w:val="18"/>
          <w:szCs w:val="18"/>
        </w:rPr>
        <w:t xml:space="preserve">. See section </w:t>
      </w:r>
      <w:fldSimple w:instr=" REF _Ref388515888 \r \h  \* MERGEFORMAT ">
        <w:r w:rsidR="001D521C" w:rsidRPr="001D521C">
          <w:rPr>
            <w:rFonts w:ascii="Arial" w:hAnsi="Arial" w:cs="Arial"/>
            <w:sz w:val="18"/>
            <w:szCs w:val="18"/>
          </w:rPr>
          <w:t>3.3.7</w:t>
        </w:r>
      </w:fldSimple>
      <w:r w:rsidRPr="00E7130D">
        <w:rPr>
          <w:rFonts w:ascii="Arial" w:hAnsi="Arial" w:cs="Arial"/>
          <w:sz w:val="18"/>
          <w:szCs w:val="18"/>
        </w:rPr>
        <w:t xml:space="preserve"> of this CRIS for further information.</w:t>
      </w:r>
    </w:p>
  </w:footnote>
  <w:footnote w:id="42">
    <w:p w:rsidR="000D637E" w:rsidRPr="00E7130D" w:rsidRDefault="000D637E">
      <w:pPr>
        <w:pStyle w:val="FootnoteText"/>
        <w:rPr>
          <w:rFonts w:ascii="Arial" w:hAnsi="Arial" w:cs="Arial"/>
          <w:sz w:val="18"/>
          <w:szCs w:val="18"/>
        </w:rPr>
      </w:pPr>
      <w:r w:rsidRPr="00E7130D">
        <w:rPr>
          <w:rStyle w:val="FootnoteReference"/>
          <w:rFonts w:ascii="Arial" w:hAnsi="Arial" w:cs="Arial"/>
          <w:sz w:val="18"/>
          <w:szCs w:val="18"/>
        </w:rPr>
        <w:footnoteRef/>
      </w:r>
      <w:r w:rsidRPr="00E7130D">
        <w:rPr>
          <w:rFonts w:ascii="Arial" w:hAnsi="Arial" w:cs="Arial"/>
          <w:sz w:val="18"/>
          <w:szCs w:val="18"/>
        </w:rPr>
        <w:t xml:space="preserve"> For an assessment under a bilateral agreement / accredited process </w:t>
      </w:r>
      <w:r>
        <w:rPr>
          <w:rFonts w:ascii="Arial" w:hAnsi="Arial" w:cs="Arial"/>
          <w:sz w:val="18"/>
          <w:szCs w:val="18"/>
        </w:rPr>
        <w:t>100%</w:t>
      </w:r>
      <w:r w:rsidRPr="00E7130D">
        <w:rPr>
          <w:rFonts w:ascii="Arial" w:hAnsi="Arial" w:cs="Arial"/>
          <w:sz w:val="18"/>
          <w:szCs w:val="18"/>
        </w:rPr>
        <w:t xml:space="preserve"> is the maximum </w:t>
      </w:r>
      <w:r>
        <w:rPr>
          <w:rFonts w:ascii="Arial" w:hAnsi="Arial" w:cs="Arial"/>
          <w:sz w:val="18"/>
          <w:szCs w:val="18"/>
        </w:rPr>
        <w:t>percentage of complexity costs</w:t>
      </w:r>
      <w:r w:rsidRPr="00E7130D">
        <w:rPr>
          <w:rFonts w:ascii="Arial" w:hAnsi="Arial" w:cs="Arial"/>
          <w:sz w:val="18"/>
          <w:szCs w:val="18"/>
        </w:rPr>
        <w:t xml:space="preserve"> </w:t>
      </w:r>
      <w:r>
        <w:rPr>
          <w:rFonts w:ascii="Arial" w:hAnsi="Arial" w:cs="Arial"/>
          <w:sz w:val="18"/>
          <w:szCs w:val="18"/>
        </w:rPr>
        <w:t xml:space="preserve">(A to L, P) </w:t>
      </w:r>
      <w:r w:rsidRPr="00E7130D">
        <w:rPr>
          <w:rFonts w:ascii="Arial" w:hAnsi="Arial" w:cs="Arial"/>
          <w:sz w:val="18"/>
          <w:szCs w:val="18"/>
        </w:rPr>
        <w:t xml:space="preserve">payable, as the Minister </w:t>
      </w:r>
      <w:r>
        <w:rPr>
          <w:rFonts w:ascii="Arial" w:hAnsi="Arial" w:cs="Arial"/>
          <w:sz w:val="18"/>
          <w:szCs w:val="18"/>
        </w:rPr>
        <w:t>may determine fees are not applicable</w:t>
      </w:r>
      <w:r w:rsidRPr="00E7130D">
        <w:rPr>
          <w:rFonts w:ascii="Arial" w:hAnsi="Arial" w:cs="Arial"/>
          <w:sz w:val="18"/>
          <w:szCs w:val="18"/>
        </w:rPr>
        <w:t xml:space="preserve"> for a stage of a bilateral / accredited assessment process if that stage </w:t>
      </w:r>
      <w:r>
        <w:rPr>
          <w:rFonts w:ascii="Arial" w:hAnsi="Arial" w:cs="Arial"/>
          <w:sz w:val="18"/>
          <w:szCs w:val="18"/>
        </w:rPr>
        <w:t>does not occur</w:t>
      </w:r>
      <w:r w:rsidRPr="00E7130D">
        <w:rPr>
          <w:rFonts w:ascii="Arial" w:hAnsi="Arial" w:cs="Arial"/>
          <w:sz w:val="18"/>
          <w:szCs w:val="18"/>
        </w:rPr>
        <w:t>.</w:t>
      </w:r>
    </w:p>
  </w:footnote>
  <w:footnote w:id="43">
    <w:p w:rsidR="000D637E" w:rsidRDefault="000D637E">
      <w:pPr>
        <w:pStyle w:val="FootnoteText"/>
      </w:pPr>
      <w:r w:rsidRPr="00E7130D">
        <w:rPr>
          <w:rStyle w:val="FootnoteReference"/>
          <w:rFonts w:ascii="Arial" w:hAnsi="Arial" w:cs="Arial"/>
          <w:sz w:val="18"/>
          <w:szCs w:val="18"/>
        </w:rPr>
        <w:footnoteRef/>
      </w:r>
      <w:r w:rsidRPr="00E7130D">
        <w:rPr>
          <w:rFonts w:ascii="Arial" w:hAnsi="Arial" w:cs="Arial"/>
          <w:sz w:val="18"/>
          <w:szCs w:val="18"/>
        </w:rPr>
        <w:t xml:space="preserve"> For an assessment under a bilateral agreement / accredited process </w:t>
      </w:r>
      <w:r>
        <w:rPr>
          <w:rFonts w:ascii="Arial" w:hAnsi="Arial" w:cs="Arial"/>
          <w:sz w:val="18"/>
          <w:szCs w:val="18"/>
        </w:rPr>
        <w:t>100%</w:t>
      </w:r>
      <w:r w:rsidRPr="00E7130D">
        <w:rPr>
          <w:rFonts w:ascii="Arial" w:hAnsi="Arial" w:cs="Arial"/>
          <w:sz w:val="18"/>
          <w:szCs w:val="18"/>
        </w:rPr>
        <w:t xml:space="preserve"> is the maximum </w:t>
      </w:r>
      <w:r>
        <w:rPr>
          <w:rFonts w:ascii="Arial" w:hAnsi="Arial" w:cs="Arial"/>
          <w:sz w:val="18"/>
          <w:szCs w:val="18"/>
        </w:rPr>
        <w:t>percentage of complexity costs (M, N, O)</w:t>
      </w:r>
      <w:r w:rsidRPr="00E7130D">
        <w:rPr>
          <w:rFonts w:ascii="Arial" w:hAnsi="Arial" w:cs="Arial"/>
          <w:sz w:val="18"/>
          <w:szCs w:val="18"/>
        </w:rPr>
        <w:t xml:space="preserve"> payable, as the Minister </w:t>
      </w:r>
      <w:r>
        <w:rPr>
          <w:rFonts w:ascii="Arial" w:hAnsi="Arial" w:cs="Arial"/>
          <w:sz w:val="18"/>
          <w:szCs w:val="18"/>
        </w:rPr>
        <w:t>may determine fees are not applicable</w:t>
      </w:r>
      <w:r w:rsidRPr="00E7130D">
        <w:rPr>
          <w:rFonts w:ascii="Arial" w:hAnsi="Arial" w:cs="Arial"/>
          <w:sz w:val="18"/>
          <w:szCs w:val="18"/>
        </w:rPr>
        <w:t xml:space="preserve"> for a stage of a bilateral / accredited assessment process if that stage </w:t>
      </w:r>
      <w:r>
        <w:rPr>
          <w:rFonts w:ascii="Arial" w:hAnsi="Arial" w:cs="Arial"/>
          <w:sz w:val="18"/>
          <w:szCs w:val="18"/>
        </w:rPr>
        <w:t>does not occur</w:t>
      </w:r>
      <w:r w:rsidRPr="00E7130D">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Default="00D30427" w:rsidP="00E45765">
    <w:pPr>
      <w:pStyle w:val="Classification"/>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58" o:spid="_x0000_s24615" type="#_x0000_t136" style="position:absolute;left:0;text-align:left;margin-left:0;margin-top:0;width:587.5pt;height:61.8pt;rotation:315;z-index:-251611136;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fldChar w:fldCharType="begin"/>
    </w:r>
    <w:r w:rsidR="000D637E">
      <w:instrText xml:space="preserve"> DOCPROPERTY SecurityClassification \* MERGEFORMAT </w:instrText>
    </w:r>
    <w:r>
      <w:fldChar w:fldCharType="separate"/>
    </w:r>
    <w:r w:rsidR="001D521C">
      <w:rPr>
        <w:b/>
        <w:bCs/>
        <w:lang w:val="en-US"/>
      </w:rPr>
      <w:t>Error! Unknown document property name.</w:t>
    </w:r>
    <w: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Default="00D30427" w:rsidP="00E45765">
    <w:pPr>
      <w:pStyle w:val="Classification"/>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67" o:spid="_x0000_s24624" type="#_x0000_t136" style="position:absolute;left:0;text-align:left;margin-left:0;margin-top:0;width:587.5pt;height:61.8pt;rotation:315;z-index:-251592704;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fldChar w:fldCharType="begin"/>
    </w:r>
    <w:r w:rsidR="000D637E">
      <w:instrText xml:space="preserve"> DOCPROPERTY SecurityClassification \* MERGEFORMAT </w:instrText>
    </w:r>
    <w:r>
      <w:fldChar w:fldCharType="separate"/>
    </w:r>
    <w:r w:rsidR="001D521C">
      <w:rPr>
        <w:b/>
        <w:bCs/>
        <w:lang w:val="en-US"/>
      </w:rPr>
      <w:t>Error! Unknown document property name.</w:t>
    </w:r>
    <w: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Pr="000D637E" w:rsidRDefault="00D30427" w:rsidP="00B93821">
    <w:pPr>
      <w:pStyle w:val="Header"/>
      <w:jc w:val="right"/>
      <w:rPr>
        <w:i/>
        <w:sz w:val="16"/>
        <w:szCs w:val="16"/>
      </w:rPr>
    </w:pPr>
    <w:r w:rsidRPr="00D304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68" o:spid="_x0000_s24625" type="#_x0000_t136" style="position:absolute;left:0;text-align:left;margin-left:0;margin-top:0;width:587.5pt;height:61.8pt;rotation:315;z-index:-251590656;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0D637E" w:rsidRPr="000D637E">
      <w:rPr>
        <w:i/>
        <w:sz w:val="16"/>
        <w:szCs w:val="16"/>
      </w:rPr>
      <w:t>EPBC Act Cost Recovery Impact Statement</w:t>
    </w:r>
  </w:p>
  <w:p w:rsidR="000D637E" w:rsidRPr="000D637E" w:rsidRDefault="000D637E" w:rsidP="00B93821">
    <w:pPr>
      <w:pStyle w:val="Header"/>
      <w:jc w:val="right"/>
      <w:rPr>
        <w:i/>
        <w:sz w:val="16"/>
        <w:szCs w:val="16"/>
      </w:rPr>
    </w:pPr>
    <w:r w:rsidRPr="000D637E">
      <w:rPr>
        <w:i/>
        <w:sz w:val="16"/>
        <w:szCs w:val="16"/>
      </w:rPr>
      <w:t>July 2014 – June 2015</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Pr="00C6709F" w:rsidRDefault="00D30427" w:rsidP="00C670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66" o:spid="_x0000_s24623" type="#_x0000_t136" style="position:absolute;margin-left:0;margin-top:0;width:587.5pt;height:61.8pt;rotation:315;z-index:-251594752;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Default="00D304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70" o:spid="_x0000_s24627" type="#_x0000_t136" style="position:absolute;margin-left:0;margin-top:0;width:587.5pt;height:61.8pt;rotation:315;z-index:-251586560;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Pr="00F54E6B" w:rsidRDefault="00D30427" w:rsidP="000B6A8D">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71" o:spid="_x0000_s24628" type="#_x0000_t136" style="position:absolute;left:0;text-align:left;margin-left:0;margin-top:0;width:587.5pt;height:61.8pt;rotation:315;z-index:-251584512;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Default="00D304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69" o:spid="_x0000_s24626" type="#_x0000_t136" style="position:absolute;margin-left:0;margin-top:0;width:587.5pt;height:61.8pt;rotation:315;z-index:-251588608;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Default="00D30427" w:rsidP="00E10F05">
    <w:pPr>
      <w:pStyle w:val="Header"/>
      <w:jc w:val="right"/>
      <w:rPr>
        <w:sz w:val="16"/>
        <w:szCs w:val="16"/>
      </w:rPr>
    </w:pPr>
    <w:r w:rsidRPr="00D304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59" o:spid="_x0000_s24616" type="#_x0000_t136" style="position:absolute;left:0;text-align:left;margin-left:0;margin-top:0;width:587.5pt;height:61.8pt;rotation:315;z-index:-251609088;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0D637E">
      <w:rPr>
        <w:sz w:val="16"/>
        <w:szCs w:val="16"/>
      </w:rPr>
      <w:t xml:space="preserve">Provisional </w:t>
    </w:r>
    <w:r w:rsidR="000D637E" w:rsidRPr="00E10F05">
      <w:rPr>
        <w:sz w:val="16"/>
        <w:szCs w:val="16"/>
      </w:rPr>
      <w:t xml:space="preserve">EPBC Act Cost Recovery Impact Statement </w:t>
    </w:r>
  </w:p>
  <w:p w:rsidR="000D637E" w:rsidRPr="00E10F05" w:rsidRDefault="000D637E" w:rsidP="00E10F05">
    <w:pPr>
      <w:pStyle w:val="Header"/>
      <w:jc w:val="right"/>
      <w:rPr>
        <w:sz w:val="16"/>
        <w:szCs w:val="16"/>
      </w:rPr>
    </w:pPr>
    <w:r w:rsidRPr="00E10F05">
      <w:rPr>
        <w:sz w:val="16"/>
        <w:szCs w:val="16"/>
      </w:rPr>
      <w:t>July 2014 – June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Default="00D304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57" o:spid="_x0000_s24614" type="#_x0000_t136" style="position:absolute;margin-left:0;margin-top:0;width:587.5pt;height:61.8pt;rotation:315;z-index:-251613184;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Default="00D304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61" o:spid="_x0000_s24618" type="#_x0000_t136" style="position:absolute;margin-left:0;margin-top:0;width:587.5pt;height:61.8pt;rotation:315;z-index:-251604992;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Pr="000D637E" w:rsidRDefault="00D30427" w:rsidP="007B7BB9">
    <w:pPr>
      <w:pStyle w:val="Header"/>
      <w:jc w:val="right"/>
      <w:rPr>
        <w:i/>
        <w:sz w:val="16"/>
        <w:szCs w:val="16"/>
      </w:rPr>
    </w:pPr>
    <w:r w:rsidRPr="00D304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62" o:spid="_x0000_s24619" type="#_x0000_t136" style="position:absolute;left:0;text-align:left;margin-left:0;margin-top:0;width:587.5pt;height:61.8pt;rotation:315;z-index:-251602944;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Pr="00D30427">
      <w:rPr>
        <w:i/>
        <w:noProof/>
      </w:rPr>
      <w:pict>
        <v:shape id="_x0000_s24592" type="#_x0000_t136" style="position:absolute;left:0;text-align:left;margin-left:0;margin-top:0;width:587.5pt;height:61.8pt;rotation:315;z-index:-251625472;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0D637E" w:rsidRPr="000D637E">
      <w:rPr>
        <w:i/>
        <w:sz w:val="16"/>
        <w:szCs w:val="16"/>
      </w:rPr>
      <w:t>EPBC Act Cost Recovery Impact Statement</w:t>
    </w:r>
  </w:p>
  <w:p w:rsidR="000D637E" w:rsidRPr="000D637E" w:rsidRDefault="000D637E" w:rsidP="007B7BB9">
    <w:pPr>
      <w:pStyle w:val="Header"/>
      <w:jc w:val="right"/>
      <w:rPr>
        <w:i/>
        <w:sz w:val="16"/>
        <w:szCs w:val="16"/>
      </w:rPr>
    </w:pPr>
    <w:r w:rsidRPr="000D637E">
      <w:rPr>
        <w:i/>
        <w:sz w:val="16"/>
        <w:szCs w:val="16"/>
      </w:rPr>
      <w:t>July 2014 – June 2015</w:t>
    </w:r>
  </w:p>
  <w:p w:rsidR="000D637E" w:rsidRDefault="000D637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Default="00D304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60" o:spid="_x0000_s24617" type="#_x0000_t136" style="position:absolute;margin-left:0;margin-top:0;width:587.5pt;height:61.8pt;rotation:315;z-index:-251607040;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Default="00D304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64" o:spid="_x0000_s24621" type="#_x0000_t136" style="position:absolute;margin-left:0;margin-top:0;width:587.5pt;height:61.8pt;rotation:315;z-index:-251598848;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Pr="000D637E" w:rsidRDefault="00D30427" w:rsidP="007B7BB9">
    <w:pPr>
      <w:pStyle w:val="Header"/>
      <w:jc w:val="right"/>
      <w:rPr>
        <w:i/>
        <w:sz w:val="16"/>
        <w:szCs w:val="16"/>
      </w:rPr>
    </w:pPr>
    <w:r w:rsidRPr="00D304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65" o:spid="_x0000_s24622" type="#_x0000_t136" style="position:absolute;left:0;text-align:left;margin-left:0;margin-top:0;width:587.5pt;height:61.8pt;rotation:315;z-index:-251596800;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Pr="00D30427">
      <w:rPr>
        <w:i/>
        <w:noProof/>
      </w:rPr>
      <w:pict>
        <v:shape id="_x0000_s24593" type="#_x0000_t136" style="position:absolute;left:0;text-align:left;margin-left:0;margin-top:0;width:587.5pt;height:61.8pt;rotation:315;z-index:-251623424;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0D637E" w:rsidRPr="000D637E">
      <w:rPr>
        <w:i/>
        <w:sz w:val="16"/>
        <w:szCs w:val="16"/>
      </w:rPr>
      <w:t>EPBC Act Cost Recovery Impact Statement</w:t>
    </w:r>
  </w:p>
  <w:p w:rsidR="000D637E" w:rsidRPr="000D637E" w:rsidRDefault="000D637E" w:rsidP="007B7BB9">
    <w:pPr>
      <w:pStyle w:val="Header"/>
      <w:jc w:val="right"/>
      <w:rPr>
        <w:i/>
        <w:sz w:val="16"/>
        <w:szCs w:val="16"/>
      </w:rPr>
    </w:pPr>
    <w:r w:rsidRPr="000D637E">
      <w:rPr>
        <w:i/>
        <w:sz w:val="16"/>
        <w:szCs w:val="16"/>
      </w:rPr>
      <w:t>July 2014 – June 2015</w:t>
    </w:r>
  </w:p>
  <w:p w:rsidR="000D637E" w:rsidRDefault="000D637E">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37E" w:rsidRPr="000D637E" w:rsidRDefault="00D30427" w:rsidP="000D637E">
    <w:pPr>
      <w:pStyle w:val="Header"/>
      <w:jc w:val="right"/>
      <w:rPr>
        <w:i/>
        <w:sz w:val="16"/>
        <w:szCs w:val="16"/>
      </w:rPr>
    </w:pPr>
    <w:r w:rsidRPr="00D304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563" o:spid="_x0000_s24620" type="#_x0000_t136" style="position:absolute;left:0;text-align:left;margin-left:0;margin-top:0;width:587.5pt;height:61.8pt;rotation:315;z-index:-251600896;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Pr="00D30427">
      <w:rPr>
        <w:i/>
        <w:noProof/>
      </w:rPr>
      <w:pict>
        <v:shape id="_x0000_s24598" type="#_x0000_t136" style="position:absolute;left:0;text-align:left;margin-left:0;margin-top:0;width:587.5pt;height:61.8pt;rotation:315;z-index:-251615232;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0D637E" w:rsidRPr="000D637E">
      <w:rPr>
        <w:i/>
        <w:sz w:val="16"/>
        <w:szCs w:val="16"/>
      </w:rPr>
      <w:t>EPBC Act Cost Recovery Impact Statement</w:t>
    </w:r>
  </w:p>
  <w:p w:rsidR="000D637E" w:rsidRPr="000D637E" w:rsidRDefault="000D637E" w:rsidP="000D637E">
    <w:pPr>
      <w:pStyle w:val="Header"/>
      <w:jc w:val="right"/>
      <w:rPr>
        <w:i/>
        <w:sz w:val="16"/>
        <w:szCs w:val="16"/>
      </w:rPr>
    </w:pPr>
    <w:r w:rsidRPr="000D637E">
      <w:rPr>
        <w:i/>
        <w:sz w:val="16"/>
        <w:szCs w:val="16"/>
      </w:rPr>
      <w:t>July 2014 – June 2015</w:t>
    </w:r>
  </w:p>
  <w:p w:rsidR="000D637E" w:rsidRPr="000D637E" w:rsidRDefault="000D637E">
    <w:pPr>
      <w:pStyle w:val="Head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71B436E"/>
    <w:multiLevelType w:val="multilevel"/>
    <w:tmpl w:val="39026798"/>
    <w:lvl w:ilvl="0">
      <w:start w:val="1"/>
      <w:numFmt w:val="decimal"/>
      <w:pStyle w:val="Heading1"/>
      <w:lvlText w:val="%1"/>
      <w:lvlJc w:val="left"/>
      <w:pPr>
        <w:ind w:left="432" w:hanging="432"/>
      </w:pPr>
      <w:rPr>
        <w:rFonts w:cs="Times New Roman"/>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9A32D76"/>
    <w:multiLevelType w:val="hybridMultilevel"/>
    <w:tmpl w:val="3938695E"/>
    <w:lvl w:ilvl="0" w:tplc="C5446A86">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F745BC2"/>
    <w:multiLevelType w:val="multilevel"/>
    <w:tmpl w:val="E5E89F92"/>
    <w:numStyleLink w:val="BulletList"/>
  </w:abstractNum>
  <w:abstractNum w:abstractNumId="4">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C916D4"/>
    <w:multiLevelType w:val="hybridMultilevel"/>
    <w:tmpl w:val="E9E6E538"/>
    <w:lvl w:ilvl="0" w:tplc="27EE48D4">
      <w:start w:val="1"/>
      <w:numFmt w:val="bullet"/>
      <w:lvlText w:val=""/>
      <w:lvlJc w:val="left"/>
      <w:pPr>
        <w:ind w:left="768" w:hanging="360"/>
      </w:pPr>
      <w:rPr>
        <w:rFonts w:ascii="Symbol" w:hAnsi="Symbol" w:hint="default"/>
      </w:rPr>
    </w:lvl>
    <w:lvl w:ilvl="1" w:tplc="7C82EB18">
      <w:start w:val="1"/>
      <w:numFmt w:val="bullet"/>
      <w:lvlText w:val="o"/>
      <w:lvlJc w:val="left"/>
      <w:pPr>
        <w:ind w:left="1488" w:hanging="360"/>
      </w:pPr>
      <w:rPr>
        <w:rFonts w:ascii="Courier New" w:hAnsi="Courier New" w:hint="default"/>
      </w:rPr>
    </w:lvl>
    <w:lvl w:ilvl="2" w:tplc="AA168BF6" w:tentative="1">
      <w:start w:val="1"/>
      <w:numFmt w:val="bullet"/>
      <w:lvlText w:val=""/>
      <w:lvlJc w:val="left"/>
      <w:pPr>
        <w:ind w:left="2208" w:hanging="360"/>
      </w:pPr>
      <w:rPr>
        <w:rFonts w:ascii="Wingdings" w:hAnsi="Wingdings" w:hint="default"/>
      </w:rPr>
    </w:lvl>
    <w:lvl w:ilvl="3" w:tplc="DA988098" w:tentative="1">
      <w:start w:val="1"/>
      <w:numFmt w:val="bullet"/>
      <w:lvlText w:val=""/>
      <w:lvlJc w:val="left"/>
      <w:pPr>
        <w:ind w:left="2928" w:hanging="360"/>
      </w:pPr>
      <w:rPr>
        <w:rFonts w:ascii="Symbol" w:hAnsi="Symbol" w:hint="default"/>
      </w:rPr>
    </w:lvl>
    <w:lvl w:ilvl="4" w:tplc="A544C5E8" w:tentative="1">
      <w:start w:val="1"/>
      <w:numFmt w:val="bullet"/>
      <w:lvlText w:val="o"/>
      <w:lvlJc w:val="left"/>
      <w:pPr>
        <w:ind w:left="3648" w:hanging="360"/>
      </w:pPr>
      <w:rPr>
        <w:rFonts w:ascii="Courier New" w:hAnsi="Courier New" w:hint="default"/>
      </w:rPr>
    </w:lvl>
    <w:lvl w:ilvl="5" w:tplc="CE46D8A0" w:tentative="1">
      <w:start w:val="1"/>
      <w:numFmt w:val="bullet"/>
      <w:lvlText w:val=""/>
      <w:lvlJc w:val="left"/>
      <w:pPr>
        <w:ind w:left="4368" w:hanging="360"/>
      </w:pPr>
      <w:rPr>
        <w:rFonts w:ascii="Wingdings" w:hAnsi="Wingdings" w:hint="default"/>
      </w:rPr>
    </w:lvl>
    <w:lvl w:ilvl="6" w:tplc="10B08598" w:tentative="1">
      <w:start w:val="1"/>
      <w:numFmt w:val="bullet"/>
      <w:lvlText w:val=""/>
      <w:lvlJc w:val="left"/>
      <w:pPr>
        <w:ind w:left="5088" w:hanging="360"/>
      </w:pPr>
      <w:rPr>
        <w:rFonts w:ascii="Symbol" w:hAnsi="Symbol" w:hint="default"/>
      </w:rPr>
    </w:lvl>
    <w:lvl w:ilvl="7" w:tplc="910C27A6" w:tentative="1">
      <w:start w:val="1"/>
      <w:numFmt w:val="bullet"/>
      <w:lvlText w:val="o"/>
      <w:lvlJc w:val="left"/>
      <w:pPr>
        <w:ind w:left="5808" w:hanging="360"/>
      </w:pPr>
      <w:rPr>
        <w:rFonts w:ascii="Courier New" w:hAnsi="Courier New" w:hint="default"/>
      </w:rPr>
    </w:lvl>
    <w:lvl w:ilvl="8" w:tplc="6C3A44BE" w:tentative="1">
      <w:start w:val="1"/>
      <w:numFmt w:val="bullet"/>
      <w:lvlText w:val=""/>
      <w:lvlJc w:val="left"/>
      <w:pPr>
        <w:ind w:left="6528" w:hanging="360"/>
      </w:pPr>
      <w:rPr>
        <w:rFonts w:ascii="Wingdings" w:hAnsi="Wingding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43F666C"/>
    <w:multiLevelType w:val="hybridMultilevel"/>
    <w:tmpl w:val="17C2C314"/>
    <w:lvl w:ilvl="0" w:tplc="C06C6C8E">
      <w:start w:val="1"/>
      <w:numFmt w:val="bullet"/>
      <w:lvlText w:val=""/>
      <w:lvlJc w:val="left"/>
      <w:pPr>
        <w:ind w:left="720" w:hanging="360"/>
      </w:pPr>
      <w:rPr>
        <w:rFonts w:ascii="Symbol" w:hAnsi="Symbol" w:hint="default"/>
      </w:rPr>
    </w:lvl>
    <w:lvl w:ilvl="1" w:tplc="FF727466">
      <w:start w:val="1"/>
      <w:numFmt w:val="bullet"/>
      <w:lvlText w:val="o"/>
      <w:lvlJc w:val="left"/>
      <w:pPr>
        <w:ind w:left="1440" w:hanging="360"/>
      </w:pPr>
      <w:rPr>
        <w:rFonts w:ascii="Courier New" w:hAnsi="Courier New" w:cs="Courier New" w:hint="default"/>
      </w:rPr>
    </w:lvl>
    <w:lvl w:ilvl="2" w:tplc="FE5A8346" w:tentative="1">
      <w:start w:val="1"/>
      <w:numFmt w:val="bullet"/>
      <w:lvlText w:val=""/>
      <w:lvlJc w:val="left"/>
      <w:pPr>
        <w:ind w:left="2160" w:hanging="360"/>
      </w:pPr>
      <w:rPr>
        <w:rFonts w:ascii="Wingdings" w:hAnsi="Wingdings" w:hint="default"/>
      </w:rPr>
    </w:lvl>
    <w:lvl w:ilvl="3" w:tplc="BA1AF750" w:tentative="1">
      <w:start w:val="1"/>
      <w:numFmt w:val="bullet"/>
      <w:lvlText w:val=""/>
      <w:lvlJc w:val="left"/>
      <w:pPr>
        <w:ind w:left="2880" w:hanging="360"/>
      </w:pPr>
      <w:rPr>
        <w:rFonts w:ascii="Symbol" w:hAnsi="Symbol" w:hint="default"/>
      </w:rPr>
    </w:lvl>
    <w:lvl w:ilvl="4" w:tplc="3BFA4CFE" w:tentative="1">
      <w:start w:val="1"/>
      <w:numFmt w:val="bullet"/>
      <w:lvlText w:val="o"/>
      <w:lvlJc w:val="left"/>
      <w:pPr>
        <w:ind w:left="3600" w:hanging="360"/>
      </w:pPr>
      <w:rPr>
        <w:rFonts w:ascii="Courier New" w:hAnsi="Courier New" w:cs="Courier New" w:hint="default"/>
      </w:rPr>
    </w:lvl>
    <w:lvl w:ilvl="5" w:tplc="FCE8E94A" w:tentative="1">
      <w:start w:val="1"/>
      <w:numFmt w:val="bullet"/>
      <w:lvlText w:val=""/>
      <w:lvlJc w:val="left"/>
      <w:pPr>
        <w:ind w:left="4320" w:hanging="360"/>
      </w:pPr>
      <w:rPr>
        <w:rFonts w:ascii="Wingdings" w:hAnsi="Wingdings" w:hint="default"/>
      </w:rPr>
    </w:lvl>
    <w:lvl w:ilvl="6" w:tplc="7ABE6F48" w:tentative="1">
      <w:start w:val="1"/>
      <w:numFmt w:val="bullet"/>
      <w:lvlText w:val=""/>
      <w:lvlJc w:val="left"/>
      <w:pPr>
        <w:ind w:left="5040" w:hanging="360"/>
      </w:pPr>
      <w:rPr>
        <w:rFonts w:ascii="Symbol" w:hAnsi="Symbol" w:hint="default"/>
      </w:rPr>
    </w:lvl>
    <w:lvl w:ilvl="7" w:tplc="A6A6C0B0" w:tentative="1">
      <w:start w:val="1"/>
      <w:numFmt w:val="bullet"/>
      <w:lvlText w:val="o"/>
      <w:lvlJc w:val="left"/>
      <w:pPr>
        <w:ind w:left="5760" w:hanging="360"/>
      </w:pPr>
      <w:rPr>
        <w:rFonts w:ascii="Courier New" w:hAnsi="Courier New" w:cs="Courier New" w:hint="default"/>
      </w:rPr>
    </w:lvl>
    <w:lvl w:ilvl="8" w:tplc="9A264350" w:tentative="1">
      <w:start w:val="1"/>
      <w:numFmt w:val="bullet"/>
      <w:lvlText w:val=""/>
      <w:lvlJc w:val="left"/>
      <w:pPr>
        <w:ind w:left="6480" w:hanging="360"/>
      </w:pPr>
      <w:rPr>
        <w:rFonts w:ascii="Wingdings" w:hAnsi="Wingdings" w:hint="default"/>
      </w:rPr>
    </w:lvl>
  </w:abstractNum>
  <w:abstractNum w:abstractNumId="8">
    <w:nsid w:val="4F2C7F26"/>
    <w:multiLevelType w:val="multilevel"/>
    <w:tmpl w:val="DB12C778"/>
    <w:lvl w:ilvl="0">
      <w:start w:val="1"/>
      <w:numFmt w:val="decimal"/>
      <w:lvlText w:val="%1)"/>
      <w:lvlJc w:val="left"/>
      <w:pPr>
        <w:ind w:left="369" w:hanging="369"/>
      </w:pPr>
      <w:rPr>
        <w:rFonts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nsid w:val="6F5C7C61"/>
    <w:multiLevelType w:val="hybridMultilevel"/>
    <w:tmpl w:val="D58E68B2"/>
    <w:lvl w:ilvl="0" w:tplc="9C06048E">
      <w:start w:val="1"/>
      <w:numFmt w:val="decimal"/>
      <w:lvlText w:val="%1."/>
      <w:lvlJc w:val="left"/>
      <w:pPr>
        <w:ind w:left="720" w:hanging="360"/>
      </w:pPr>
    </w:lvl>
    <w:lvl w:ilvl="1" w:tplc="149AC962">
      <w:start w:val="1"/>
      <w:numFmt w:val="lowerLetter"/>
      <w:lvlText w:val="%2."/>
      <w:lvlJc w:val="left"/>
      <w:pPr>
        <w:ind w:left="1440" w:hanging="360"/>
      </w:pPr>
    </w:lvl>
    <w:lvl w:ilvl="2" w:tplc="5866C7BE">
      <w:start w:val="1"/>
      <w:numFmt w:val="lowerRoman"/>
      <w:lvlText w:val="%3."/>
      <w:lvlJc w:val="right"/>
      <w:pPr>
        <w:ind w:left="2160" w:hanging="180"/>
      </w:pPr>
    </w:lvl>
    <w:lvl w:ilvl="3" w:tplc="7FA0A712" w:tentative="1">
      <w:start w:val="1"/>
      <w:numFmt w:val="decimal"/>
      <w:lvlText w:val="%4."/>
      <w:lvlJc w:val="left"/>
      <w:pPr>
        <w:ind w:left="2880" w:hanging="360"/>
      </w:pPr>
    </w:lvl>
    <w:lvl w:ilvl="4" w:tplc="ED4C0646" w:tentative="1">
      <w:start w:val="1"/>
      <w:numFmt w:val="lowerLetter"/>
      <w:lvlText w:val="%5."/>
      <w:lvlJc w:val="left"/>
      <w:pPr>
        <w:ind w:left="3600" w:hanging="360"/>
      </w:pPr>
    </w:lvl>
    <w:lvl w:ilvl="5" w:tplc="F1B2ECB8" w:tentative="1">
      <w:start w:val="1"/>
      <w:numFmt w:val="lowerRoman"/>
      <w:lvlText w:val="%6."/>
      <w:lvlJc w:val="right"/>
      <w:pPr>
        <w:ind w:left="4320" w:hanging="180"/>
      </w:pPr>
    </w:lvl>
    <w:lvl w:ilvl="6" w:tplc="E25A259C" w:tentative="1">
      <w:start w:val="1"/>
      <w:numFmt w:val="decimal"/>
      <w:lvlText w:val="%7."/>
      <w:lvlJc w:val="left"/>
      <w:pPr>
        <w:ind w:left="5040" w:hanging="360"/>
      </w:pPr>
    </w:lvl>
    <w:lvl w:ilvl="7" w:tplc="23CA8842" w:tentative="1">
      <w:start w:val="1"/>
      <w:numFmt w:val="lowerLetter"/>
      <w:lvlText w:val="%8."/>
      <w:lvlJc w:val="left"/>
      <w:pPr>
        <w:ind w:left="5760" w:hanging="360"/>
      </w:pPr>
    </w:lvl>
    <w:lvl w:ilvl="8" w:tplc="CFDE2388" w:tentative="1">
      <w:start w:val="1"/>
      <w:numFmt w:val="lowerRoman"/>
      <w:lvlText w:val="%9."/>
      <w:lvlJc w:val="right"/>
      <w:pPr>
        <w:ind w:left="6480" w:hanging="180"/>
      </w:pPr>
    </w:lvl>
  </w:abstractNum>
  <w:abstractNum w:abstractNumId="10">
    <w:nsid w:val="75E946B5"/>
    <w:multiLevelType w:val="hybridMultilevel"/>
    <w:tmpl w:val="DAF23A58"/>
    <w:lvl w:ilvl="0" w:tplc="00365ACA">
      <w:start w:val="1"/>
      <w:numFmt w:val="decimal"/>
      <w:pStyle w:val="HeadingLevel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28"/>
        <w:szCs w:val="28"/>
        <w:u w:val="none"/>
        <w:vertAlign w:val="baseline"/>
        <w:em w:val="none"/>
      </w:rPr>
    </w:lvl>
    <w:lvl w:ilvl="1" w:tplc="48C04340">
      <w:start w:val="1"/>
      <w:numFmt w:val="lowerLetter"/>
      <w:lvlText w:val="%2."/>
      <w:lvlJc w:val="left"/>
      <w:pPr>
        <w:ind w:left="1080" w:hanging="360"/>
      </w:pPr>
    </w:lvl>
    <w:lvl w:ilvl="2" w:tplc="66A2DF12">
      <w:start w:val="1"/>
      <w:numFmt w:val="lowerRoman"/>
      <w:lvlText w:val="%3."/>
      <w:lvlJc w:val="right"/>
      <w:pPr>
        <w:ind w:left="1800" w:hanging="180"/>
      </w:pPr>
    </w:lvl>
    <w:lvl w:ilvl="3" w:tplc="71FC6A4E">
      <w:start w:val="1"/>
      <w:numFmt w:val="decimal"/>
      <w:lvlText w:val="%4."/>
      <w:lvlJc w:val="left"/>
      <w:pPr>
        <w:ind w:left="2520" w:hanging="360"/>
      </w:pPr>
    </w:lvl>
    <w:lvl w:ilvl="4" w:tplc="CAB65968">
      <w:start w:val="1"/>
      <w:numFmt w:val="lowerLetter"/>
      <w:lvlText w:val="%5."/>
      <w:lvlJc w:val="left"/>
      <w:pPr>
        <w:ind w:left="3240" w:hanging="360"/>
      </w:pPr>
    </w:lvl>
    <w:lvl w:ilvl="5" w:tplc="7AC2DB8A">
      <w:start w:val="1"/>
      <w:numFmt w:val="lowerRoman"/>
      <w:lvlText w:val="%6."/>
      <w:lvlJc w:val="right"/>
      <w:pPr>
        <w:ind w:left="3960" w:hanging="180"/>
      </w:pPr>
    </w:lvl>
    <w:lvl w:ilvl="6" w:tplc="F3D4BA7A">
      <w:start w:val="1"/>
      <w:numFmt w:val="decimal"/>
      <w:lvlText w:val="%7."/>
      <w:lvlJc w:val="left"/>
      <w:pPr>
        <w:ind w:left="4680" w:hanging="360"/>
      </w:pPr>
    </w:lvl>
    <w:lvl w:ilvl="7" w:tplc="687CDBE4">
      <w:start w:val="1"/>
      <w:numFmt w:val="lowerLetter"/>
      <w:lvlText w:val="%8."/>
      <w:lvlJc w:val="left"/>
      <w:pPr>
        <w:ind w:left="5400" w:hanging="360"/>
      </w:pPr>
    </w:lvl>
    <w:lvl w:ilvl="8" w:tplc="41085FD6">
      <w:start w:val="1"/>
      <w:numFmt w:val="lowerRoman"/>
      <w:lvlText w:val="%9."/>
      <w:lvlJc w:val="right"/>
      <w:pPr>
        <w:ind w:left="6120" w:hanging="180"/>
      </w:pPr>
    </w:lvl>
  </w:abstractNum>
  <w:abstractNum w:abstractNumId="11">
    <w:nsid w:val="762964D5"/>
    <w:multiLevelType w:val="multilevel"/>
    <w:tmpl w:val="283022DC"/>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0"/>
  </w:num>
  <w:num w:numId="3">
    <w:abstractNumId w:val="6"/>
  </w:num>
  <w:num w:numId="4">
    <w:abstractNumId w:val="4"/>
  </w:num>
  <w:num w:numId="5">
    <w:abstractNumId w:val="3"/>
  </w:num>
  <w:num w:numId="6">
    <w:abstractNumId w:val="5"/>
  </w:num>
  <w:num w:numId="7">
    <w:abstractNumId w:val="7"/>
  </w:num>
  <w:num w:numId="8">
    <w:abstractNumId w:val="10"/>
  </w:num>
  <w:num w:numId="9">
    <w:abstractNumId w:val="8"/>
  </w:num>
  <w:num w:numId="10">
    <w:abstractNumId w:val="1"/>
  </w:num>
  <w:num w:numId="11">
    <w:abstractNumId w:val="2"/>
  </w:num>
  <w:num w:numId="12">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lo, Miranda (Protected)">
    <w15:presenceInfo w15:providerId="AD" w15:userId="S-1-5-21-2063409223-1003765375-2892362314-23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4"/>
  <w:defaultTabStop w:val="720"/>
  <w:drawingGridHorizontalSpacing w:val="110"/>
  <w:displayHorizontalDrawingGridEvery w:val="2"/>
  <w:displayVerticalDrawingGridEvery w:val="2"/>
  <w:characterSpacingControl w:val="doNotCompress"/>
  <w:hdrShapeDefaults>
    <o:shapedefaults v:ext="edit" spidmax="24629"/>
    <o:shapelayout v:ext="edit">
      <o:idmap v:ext="edit" data="24"/>
    </o:shapelayout>
  </w:hdrShapeDefaults>
  <w:footnotePr>
    <w:footnote w:id="-1"/>
    <w:footnote w:id="0"/>
  </w:footnotePr>
  <w:endnotePr>
    <w:endnote w:id="-1"/>
    <w:endnote w:id="0"/>
  </w:endnotePr>
  <w:compat/>
  <w:docVars>
    <w:docVar w:name="SecurityClassificationInHeader" w:val="False"/>
  </w:docVars>
  <w:rsids>
    <w:rsidRoot w:val="001E6054"/>
    <w:rsid w:val="00000259"/>
    <w:rsid w:val="00000507"/>
    <w:rsid w:val="000005C0"/>
    <w:rsid w:val="00000B39"/>
    <w:rsid w:val="00000BAB"/>
    <w:rsid w:val="0000157F"/>
    <w:rsid w:val="0000449F"/>
    <w:rsid w:val="00004AEE"/>
    <w:rsid w:val="000053E4"/>
    <w:rsid w:val="00005CAA"/>
    <w:rsid w:val="000064E1"/>
    <w:rsid w:val="00007102"/>
    <w:rsid w:val="00007889"/>
    <w:rsid w:val="00010210"/>
    <w:rsid w:val="0001021D"/>
    <w:rsid w:val="00012D66"/>
    <w:rsid w:val="0001392C"/>
    <w:rsid w:val="000139A2"/>
    <w:rsid w:val="00013A02"/>
    <w:rsid w:val="00014292"/>
    <w:rsid w:val="00014795"/>
    <w:rsid w:val="00015ADA"/>
    <w:rsid w:val="0001628D"/>
    <w:rsid w:val="00016D02"/>
    <w:rsid w:val="00016D08"/>
    <w:rsid w:val="000209BC"/>
    <w:rsid w:val="00020C99"/>
    <w:rsid w:val="00021064"/>
    <w:rsid w:val="00021286"/>
    <w:rsid w:val="00025F13"/>
    <w:rsid w:val="00026575"/>
    <w:rsid w:val="0002707B"/>
    <w:rsid w:val="000277D8"/>
    <w:rsid w:val="00030839"/>
    <w:rsid w:val="00030DCD"/>
    <w:rsid w:val="00031B9F"/>
    <w:rsid w:val="00032F75"/>
    <w:rsid w:val="0003360D"/>
    <w:rsid w:val="000338C1"/>
    <w:rsid w:val="00033AE0"/>
    <w:rsid w:val="00034C6F"/>
    <w:rsid w:val="00034C7D"/>
    <w:rsid w:val="00035D42"/>
    <w:rsid w:val="00036133"/>
    <w:rsid w:val="0003617F"/>
    <w:rsid w:val="00036B32"/>
    <w:rsid w:val="00036F60"/>
    <w:rsid w:val="00040799"/>
    <w:rsid w:val="00040856"/>
    <w:rsid w:val="000410B1"/>
    <w:rsid w:val="00042522"/>
    <w:rsid w:val="00042D4D"/>
    <w:rsid w:val="00043BBF"/>
    <w:rsid w:val="00044A42"/>
    <w:rsid w:val="000457DE"/>
    <w:rsid w:val="0005148E"/>
    <w:rsid w:val="000531F8"/>
    <w:rsid w:val="00053858"/>
    <w:rsid w:val="00054232"/>
    <w:rsid w:val="00055551"/>
    <w:rsid w:val="00057E23"/>
    <w:rsid w:val="000610E5"/>
    <w:rsid w:val="000612C4"/>
    <w:rsid w:val="00061A21"/>
    <w:rsid w:val="00062208"/>
    <w:rsid w:val="00063E24"/>
    <w:rsid w:val="000649A9"/>
    <w:rsid w:val="00064C6B"/>
    <w:rsid w:val="000654FD"/>
    <w:rsid w:val="00066092"/>
    <w:rsid w:val="000666B1"/>
    <w:rsid w:val="00066AF5"/>
    <w:rsid w:val="00067212"/>
    <w:rsid w:val="00070587"/>
    <w:rsid w:val="0007087E"/>
    <w:rsid w:val="000718C7"/>
    <w:rsid w:val="00072C5A"/>
    <w:rsid w:val="00075436"/>
    <w:rsid w:val="0007596E"/>
    <w:rsid w:val="000759E5"/>
    <w:rsid w:val="00075E74"/>
    <w:rsid w:val="00077C34"/>
    <w:rsid w:val="000812F3"/>
    <w:rsid w:val="0008139F"/>
    <w:rsid w:val="00081B52"/>
    <w:rsid w:val="00081CA5"/>
    <w:rsid w:val="00083025"/>
    <w:rsid w:val="00083869"/>
    <w:rsid w:val="00084AC6"/>
    <w:rsid w:val="000855CD"/>
    <w:rsid w:val="00085B26"/>
    <w:rsid w:val="0008765F"/>
    <w:rsid w:val="00091608"/>
    <w:rsid w:val="00091C0F"/>
    <w:rsid w:val="00092B60"/>
    <w:rsid w:val="0009333C"/>
    <w:rsid w:val="000933F4"/>
    <w:rsid w:val="00093EEA"/>
    <w:rsid w:val="00094805"/>
    <w:rsid w:val="00094A02"/>
    <w:rsid w:val="00094A6D"/>
    <w:rsid w:val="00095446"/>
    <w:rsid w:val="0009651C"/>
    <w:rsid w:val="00096B09"/>
    <w:rsid w:val="0009704F"/>
    <w:rsid w:val="000A0F11"/>
    <w:rsid w:val="000A1157"/>
    <w:rsid w:val="000A125A"/>
    <w:rsid w:val="000A1583"/>
    <w:rsid w:val="000A19EF"/>
    <w:rsid w:val="000A2AD5"/>
    <w:rsid w:val="000A42E8"/>
    <w:rsid w:val="000A4C68"/>
    <w:rsid w:val="000A57CD"/>
    <w:rsid w:val="000A6F7A"/>
    <w:rsid w:val="000A7663"/>
    <w:rsid w:val="000A7A40"/>
    <w:rsid w:val="000B1720"/>
    <w:rsid w:val="000B1F6A"/>
    <w:rsid w:val="000B23B5"/>
    <w:rsid w:val="000B2CFA"/>
    <w:rsid w:val="000B3758"/>
    <w:rsid w:val="000B3830"/>
    <w:rsid w:val="000B3DD2"/>
    <w:rsid w:val="000B41E9"/>
    <w:rsid w:val="000B4224"/>
    <w:rsid w:val="000B43A4"/>
    <w:rsid w:val="000B573E"/>
    <w:rsid w:val="000B638C"/>
    <w:rsid w:val="000B6490"/>
    <w:rsid w:val="000B6A8D"/>
    <w:rsid w:val="000B6B7E"/>
    <w:rsid w:val="000B7681"/>
    <w:rsid w:val="000B7B42"/>
    <w:rsid w:val="000C02B7"/>
    <w:rsid w:val="000C0313"/>
    <w:rsid w:val="000C0E9F"/>
    <w:rsid w:val="000C1060"/>
    <w:rsid w:val="000C1835"/>
    <w:rsid w:val="000C1B29"/>
    <w:rsid w:val="000C2282"/>
    <w:rsid w:val="000C380F"/>
    <w:rsid w:val="000C4369"/>
    <w:rsid w:val="000C5100"/>
    <w:rsid w:val="000C5342"/>
    <w:rsid w:val="000C5593"/>
    <w:rsid w:val="000C5A30"/>
    <w:rsid w:val="000C5AB6"/>
    <w:rsid w:val="000C5CBC"/>
    <w:rsid w:val="000C5D6B"/>
    <w:rsid w:val="000C5F9A"/>
    <w:rsid w:val="000C6FBD"/>
    <w:rsid w:val="000C706A"/>
    <w:rsid w:val="000D0386"/>
    <w:rsid w:val="000D0753"/>
    <w:rsid w:val="000D18D1"/>
    <w:rsid w:val="000D2087"/>
    <w:rsid w:val="000D2606"/>
    <w:rsid w:val="000D2887"/>
    <w:rsid w:val="000D3AFA"/>
    <w:rsid w:val="000D4AAC"/>
    <w:rsid w:val="000D530D"/>
    <w:rsid w:val="000D5F2B"/>
    <w:rsid w:val="000D6046"/>
    <w:rsid w:val="000D637E"/>
    <w:rsid w:val="000D6A21"/>
    <w:rsid w:val="000D6C17"/>
    <w:rsid w:val="000D6D63"/>
    <w:rsid w:val="000D74ED"/>
    <w:rsid w:val="000D79DD"/>
    <w:rsid w:val="000E0081"/>
    <w:rsid w:val="000E07CF"/>
    <w:rsid w:val="000E0995"/>
    <w:rsid w:val="000E1282"/>
    <w:rsid w:val="000E1399"/>
    <w:rsid w:val="000E31C1"/>
    <w:rsid w:val="000E33A9"/>
    <w:rsid w:val="000E39BE"/>
    <w:rsid w:val="000E432D"/>
    <w:rsid w:val="000E4D53"/>
    <w:rsid w:val="000E605B"/>
    <w:rsid w:val="000E6CC8"/>
    <w:rsid w:val="000E6EA2"/>
    <w:rsid w:val="000E7411"/>
    <w:rsid w:val="000E7F26"/>
    <w:rsid w:val="000F18BB"/>
    <w:rsid w:val="000F1D0E"/>
    <w:rsid w:val="000F2CF2"/>
    <w:rsid w:val="000F5C85"/>
    <w:rsid w:val="000F64E4"/>
    <w:rsid w:val="000F733F"/>
    <w:rsid w:val="00100BEF"/>
    <w:rsid w:val="00101310"/>
    <w:rsid w:val="00101B64"/>
    <w:rsid w:val="0010253A"/>
    <w:rsid w:val="00102BCE"/>
    <w:rsid w:val="00103FDA"/>
    <w:rsid w:val="0010449C"/>
    <w:rsid w:val="00105588"/>
    <w:rsid w:val="001070A4"/>
    <w:rsid w:val="001103BD"/>
    <w:rsid w:val="00111326"/>
    <w:rsid w:val="001117D2"/>
    <w:rsid w:val="00112737"/>
    <w:rsid w:val="001136D5"/>
    <w:rsid w:val="0011498E"/>
    <w:rsid w:val="0011511B"/>
    <w:rsid w:val="00115869"/>
    <w:rsid w:val="00115C18"/>
    <w:rsid w:val="00115CB8"/>
    <w:rsid w:val="0011634D"/>
    <w:rsid w:val="00117A45"/>
    <w:rsid w:val="00117A6B"/>
    <w:rsid w:val="00117BD5"/>
    <w:rsid w:val="00121074"/>
    <w:rsid w:val="00121201"/>
    <w:rsid w:val="00121C70"/>
    <w:rsid w:val="001224AE"/>
    <w:rsid w:val="0012297E"/>
    <w:rsid w:val="0012526E"/>
    <w:rsid w:val="001264BB"/>
    <w:rsid w:val="001277EA"/>
    <w:rsid w:val="001278A5"/>
    <w:rsid w:val="00130A5F"/>
    <w:rsid w:val="001334D2"/>
    <w:rsid w:val="001337D4"/>
    <w:rsid w:val="00135826"/>
    <w:rsid w:val="00135BD5"/>
    <w:rsid w:val="0013722D"/>
    <w:rsid w:val="00137D1C"/>
    <w:rsid w:val="0014033C"/>
    <w:rsid w:val="00140848"/>
    <w:rsid w:val="00140A90"/>
    <w:rsid w:val="00140BE4"/>
    <w:rsid w:val="00142B86"/>
    <w:rsid w:val="00142BEE"/>
    <w:rsid w:val="001438F5"/>
    <w:rsid w:val="00145AB4"/>
    <w:rsid w:val="00145DD9"/>
    <w:rsid w:val="00145F0D"/>
    <w:rsid w:val="00146C78"/>
    <w:rsid w:val="0014740B"/>
    <w:rsid w:val="00147C12"/>
    <w:rsid w:val="00150F45"/>
    <w:rsid w:val="001527A1"/>
    <w:rsid w:val="00152B53"/>
    <w:rsid w:val="001530DC"/>
    <w:rsid w:val="00153B79"/>
    <w:rsid w:val="001542D7"/>
    <w:rsid w:val="00154989"/>
    <w:rsid w:val="001552A2"/>
    <w:rsid w:val="00155A17"/>
    <w:rsid w:val="00155A9F"/>
    <w:rsid w:val="001560A3"/>
    <w:rsid w:val="0015620C"/>
    <w:rsid w:val="00156AD9"/>
    <w:rsid w:val="00156C00"/>
    <w:rsid w:val="001570D8"/>
    <w:rsid w:val="00157AC1"/>
    <w:rsid w:val="00157E55"/>
    <w:rsid w:val="00160262"/>
    <w:rsid w:val="0016107D"/>
    <w:rsid w:val="001626BB"/>
    <w:rsid w:val="00162E38"/>
    <w:rsid w:val="001638C2"/>
    <w:rsid w:val="00165BAA"/>
    <w:rsid w:val="00165CB2"/>
    <w:rsid w:val="00166C21"/>
    <w:rsid w:val="00167404"/>
    <w:rsid w:val="00167522"/>
    <w:rsid w:val="0016780A"/>
    <w:rsid w:val="00170804"/>
    <w:rsid w:val="001713FA"/>
    <w:rsid w:val="001726CC"/>
    <w:rsid w:val="00172890"/>
    <w:rsid w:val="001732B7"/>
    <w:rsid w:val="00173343"/>
    <w:rsid w:val="001736F2"/>
    <w:rsid w:val="001738F4"/>
    <w:rsid w:val="00173C46"/>
    <w:rsid w:val="00173EBF"/>
    <w:rsid w:val="00174582"/>
    <w:rsid w:val="001751C4"/>
    <w:rsid w:val="001757BE"/>
    <w:rsid w:val="00175ED3"/>
    <w:rsid w:val="00176119"/>
    <w:rsid w:val="00176258"/>
    <w:rsid w:val="00180631"/>
    <w:rsid w:val="00180AC1"/>
    <w:rsid w:val="0018213D"/>
    <w:rsid w:val="001824A5"/>
    <w:rsid w:val="00182A73"/>
    <w:rsid w:val="00182C9C"/>
    <w:rsid w:val="00183736"/>
    <w:rsid w:val="001842A2"/>
    <w:rsid w:val="00186D07"/>
    <w:rsid w:val="00187FA8"/>
    <w:rsid w:val="0019008C"/>
    <w:rsid w:val="00192855"/>
    <w:rsid w:val="00192F5E"/>
    <w:rsid w:val="00193804"/>
    <w:rsid w:val="00193A9E"/>
    <w:rsid w:val="00194144"/>
    <w:rsid w:val="00194347"/>
    <w:rsid w:val="0019447E"/>
    <w:rsid w:val="00194AAE"/>
    <w:rsid w:val="00194E7D"/>
    <w:rsid w:val="001960DE"/>
    <w:rsid w:val="00197772"/>
    <w:rsid w:val="001A29C8"/>
    <w:rsid w:val="001A32E2"/>
    <w:rsid w:val="001A35F1"/>
    <w:rsid w:val="001A4F1E"/>
    <w:rsid w:val="001A51C8"/>
    <w:rsid w:val="001A5216"/>
    <w:rsid w:val="001A614A"/>
    <w:rsid w:val="001A6C45"/>
    <w:rsid w:val="001B32D9"/>
    <w:rsid w:val="001B3AD6"/>
    <w:rsid w:val="001B3CF9"/>
    <w:rsid w:val="001B4CA8"/>
    <w:rsid w:val="001B4D59"/>
    <w:rsid w:val="001B4EE8"/>
    <w:rsid w:val="001B5442"/>
    <w:rsid w:val="001B5EA1"/>
    <w:rsid w:val="001B723E"/>
    <w:rsid w:val="001B73FB"/>
    <w:rsid w:val="001C0989"/>
    <w:rsid w:val="001C13C8"/>
    <w:rsid w:val="001C2060"/>
    <w:rsid w:val="001C2CAD"/>
    <w:rsid w:val="001C2CB2"/>
    <w:rsid w:val="001C4F3D"/>
    <w:rsid w:val="001C5CA5"/>
    <w:rsid w:val="001C65A4"/>
    <w:rsid w:val="001C7116"/>
    <w:rsid w:val="001C7453"/>
    <w:rsid w:val="001C7502"/>
    <w:rsid w:val="001C79D9"/>
    <w:rsid w:val="001D00A1"/>
    <w:rsid w:val="001D03F8"/>
    <w:rsid w:val="001D0CDC"/>
    <w:rsid w:val="001D1D82"/>
    <w:rsid w:val="001D2439"/>
    <w:rsid w:val="001D2957"/>
    <w:rsid w:val="001D3010"/>
    <w:rsid w:val="001D3D4D"/>
    <w:rsid w:val="001D4571"/>
    <w:rsid w:val="001D4981"/>
    <w:rsid w:val="001D5145"/>
    <w:rsid w:val="001D521C"/>
    <w:rsid w:val="001D5727"/>
    <w:rsid w:val="001D5A6C"/>
    <w:rsid w:val="001D5F70"/>
    <w:rsid w:val="001D6285"/>
    <w:rsid w:val="001D6AE5"/>
    <w:rsid w:val="001D748B"/>
    <w:rsid w:val="001D7B8E"/>
    <w:rsid w:val="001D7BE2"/>
    <w:rsid w:val="001D7D32"/>
    <w:rsid w:val="001E028B"/>
    <w:rsid w:val="001E0AF0"/>
    <w:rsid w:val="001E1182"/>
    <w:rsid w:val="001E2096"/>
    <w:rsid w:val="001E38AC"/>
    <w:rsid w:val="001E5811"/>
    <w:rsid w:val="001E5AFF"/>
    <w:rsid w:val="001E6054"/>
    <w:rsid w:val="001E6356"/>
    <w:rsid w:val="001E6359"/>
    <w:rsid w:val="001F0405"/>
    <w:rsid w:val="001F07C7"/>
    <w:rsid w:val="001F09DF"/>
    <w:rsid w:val="001F12F2"/>
    <w:rsid w:val="001F1736"/>
    <w:rsid w:val="001F2716"/>
    <w:rsid w:val="001F293F"/>
    <w:rsid w:val="001F5051"/>
    <w:rsid w:val="001F589D"/>
    <w:rsid w:val="001F5C63"/>
    <w:rsid w:val="001F6519"/>
    <w:rsid w:val="001F6639"/>
    <w:rsid w:val="001F6640"/>
    <w:rsid w:val="001F70DD"/>
    <w:rsid w:val="001F730F"/>
    <w:rsid w:val="001F749A"/>
    <w:rsid w:val="001F7B15"/>
    <w:rsid w:val="001F7D3E"/>
    <w:rsid w:val="001F7EE7"/>
    <w:rsid w:val="0020069A"/>
    <w:rsid w:val="00200B0F"/>
    <w:rsid w:val="00200C86"/>
    <w:rsid w:val="00201590"/>
    <w:rsid w:val="00202C90"/>
    <w:rsid w:val="0020683F"/>
    <w:rsid w:val="00206F14"/>
    <w:rsid w:val="002102DB"/>
    <w:rsid w:val="00210C7F"/>
    <w:rsid w:val="00211A55"/>
    <w:rsid w:val="00211B5A"/>
    <w:rsid w:val="00213171"/>
    <w:rsid w:val="00213DE8"/>
    <w:rsid w:val="00214C7D"/>
    <w:rsid w:val="00214EDC"/>
    <w:rsid w:val="00214FFE"/>
    <w:rsid w:val="00215DA4"/>
    <w:rsid w:val="00216118"/>
    <w:rsid w:val="00216A9F"/>
    <w:rsid w:val="0021774B"/>
    <w:rsid w:val="0021788D"/>
    <w:rsid w:val="002209AB"/>
    <w:rsid w:val="0022133E"/>
    <w:rsid w:val="00221403"/>
    <w:rsid w:val="0022151B"/>
    <w:rsid w:val="002215E3"/>
    <w:rsid w:val="0022285B"/>
    <w:rsid w:val="00224565"/>
    <w:rsid w:val="002251E3"/>
    <w:rsid w:val="00225C68"/>
    <w:rsid w:val="00227892"/>
    <w:rsid w:val="00227A95"/>
    <w:rsid w:val="00227D1A"/>
    <w:rsid w:val="0023120F"/>
    <w:rsid w:val="0023161D"/>
    <w:rsid w:val="002316BD"/>
    <w:rsid w:val="00232C0F"/>
    <w:rsid w:val="00233C77"/>
    <w:rsid w:val="00235E04"/>
    <w:rsid w:val="002360FD"/>
    <w:rsid w:val="00236A80"/>
    <w:rsid w:val="00236D43"/>
    <w:rsid w:val="0024033E"/>
    <w:rsid w:val="00240347"/>
    <w:rsid w:val="002404DD"/>
    <w:rsid w:val="00240CEB"/>
    <w:rsid w:val="00242A95"/>
    <w:rsid w:val="002439E2"/>
    <w:rsid w:val="00243A47"/>
    <w:rsid w:val="00243C18"/>
    <w:rsid w:val="00243C34"/>
    <w:rsid w:val="00243C41"/>
    <w:rsid w:val="002448B6"/>
    <w:rsid w:val="00244CBA"/>
    <w:rsid w:val="00244FA3"/>
    <w:rsid w:val="002462B4"/>
    <w:rsid w:val="002473FC"/>
    <w:rsid w:val="00247A6F"/>
    <w:rsid w:val="00250F3B"/>
    <w:rsid w:val="002525BA"/>
    <w:rsid w:val="00252E3C"/>
    <w:rsid w:val="002540FA"/>
    <w:rsid w:val="002542C4"/>
    <w:rsid w:val="00254EF1"/>
    <w:rsid w:val="0025659C"/>
    <w:rsid w:val="00256D3B"/>
    <w:rsid w:val="00257E3E"/>
    <w:rsid w:val="00260B2B"/>
    <w:rsid w:val="00261B05"/>
    <w:rsid w:val="00262198"/>
    <w:rsid w:val="00262572"/>
    <w:rsid w:val="002637E8"/>
    <w:rsid w:val="00263C77"/>
    <w:rsid w:val="00264190"/>
    <w:rsid w:val="00265278"/>
    <w:rsid w:val="00265DE2"/>
    <w:rsid w:val="00265FF7"/>
    <w:rsid w:val="002667FE"/>
    <w:rsid w:val="00270CE2"/>
    <w:rsid w:val="0027119D"/>
    <w:rsid w:val="002719E1"/>
    <w:rsid w:val="00271CFC"/>
    <w:rsid w:val="0027288A"/>
    <w:rsid w:val="00273F31"/>
    <w:rsid w:val="00276B29"/>
    <w:rsid w:val="00276B88"/>
    <w:rsid w:val="00276B9D"/>
    <w:rsid w:val="00277309"/>
    <w:rsid w:val="002778CE"/>
    <w:rsid w:val="002803CE"/>
    <w:rsid w:val="002813B3"/>
    <w:rsid w:val="00281401"/>
    <w:rsid w:val="002815E5"/>
    <w:rsid w:val="0028237C"/>
    <w:rsid w:val="00282930"/>
    <w:rsid w:val="002841EC"/>
    <w:rsid w:val="00284A34"/>
    <w:rsid w:val="00285B2B"/>
    <w:rsid w:val="00285F1B"/>
    <w:rsid w:val="00286032"/>
    <w:rsid w:val="00286BF0"/>
    <w:rsid w:val="00291186"/>
    <w:rsid w:val="00291572"/>
    <w:rsid w:val="00292B81"/>
    <w:rsid w:val="002937D1"/>
    <w:rsid w:val="00293C4C"/>
    <w:rsid w:val="00295F88"/>
    <w:rsid w:val="002A0CA1"/>
    <w:rsid w:val="002A0F0E"/>
    <w:rsid w:val="002A180C"/>
    <w:rsid w:val="002A1A9F"/>
    <w:rsid w:val="002A2D0C"/>
    <w:rsid w:val="002A36A5"/>
    <w:rsid w:val="002A5571"/>
    <w:rsid w:val="002A619F"/>
    <w:rsid w:val="002A6A8C"/>
    <w:rsid w:val="002A7116"/>
    <w:rsid w:val="002A73F8"/>
    <w:rsid w:val="002A7954"/>
    <w:rsid w:val="002A7F32"/>
    <w:rsid w:val="002B140E"/>
    <w:rsid w:val="002B143F"/>
    <w:rsid w:val="002B18AE"/>
    <w:rsid w:val="002B2485"/>
    <w:rsid w:val="002B2F10"/>
    <w:rsid w:val="002B3C33"/>
    <w:rsid w:val="002B4159"/>
    <w:rsid w:val="002B49B5"/>
    <w:rsid w:val="002B5193"/>
    <w:rsid w:val="002B66D1"/>
    <w:rsid w:val="002C0E6D"/>
    <w:rsid w:val="002C1021"/>
    <w:rsid w:val="002C13FF"/>
    <w:rsid w:val="002C14AA"/>
    <w:rsid w:val="002C18F1"/>
    <w:rsid w:val="002C1C93"/>
    <w:rsid w:val="002C24A9"/>
    <w:rsid w:val="002C25AF"/>
    <w:rsid w:val="002C324A"/>
    <w:rsid w:val="002C4587"/>
    <w:rsid w:val="002C4897"/>
    <w:rsid w:val="002C5066"/>
    <w:rsid w:val="002C5813"/>
    <w:rsid w:val="002C66CA"/>
    <w:rsid w:val="002C7029"/>
    <w:rsid w:val="002D06B2"/>
    <w:rsid w:val="002D084D"/>
    <w:rsid w:val="002D0A75"/>
    <w:rsid w:val="002D1D5D"/>
    <w:rsid w:val="002D2239"/>
    <w:rsid w:val="002D2F22"/>
    <w:rsid w:val="002D3FA9"/>
    <w:rsid w:val="002D3FE5"/>
    <w:rsid w:val="002D4AAC"/>
    <w:rsid w:val="002D5514"/>
    <w:rsid w:val="002E0B96"/>
    <w:rsid w:val="002E357E"/>
    <w:rsid w:val="002E3B1B"/>
    <w:rsid w:val="002E3E49"/>
    <w:rsid w:val="002E460E"/>
    <w:rsid w:val="002E5288"/>
    <w:rsid w:val="002E7749"/>
    <w:rsid w:val="002F045A"/>
    <w:rsid w:val="002F0CE6"/>
    <w:rsid w:val="002F19D6"/>
    <w:rsid w:val="002F339A"/>
    <w:rsid w:val="002F3A07"/>
    <w:rsid w:val="002F584D"/>
    <w:rsid w:val="002F5E76"/>
    <w:rsid w:val="002F6620"/>
    <w:rsid w:val="002F7029"/>
    <w:rsid w:val="002F7071"/>
    <w:rsid w:val="002F70DD"/>
    <w:rsid w:val="002F7A14"/>
    <w:rsid w:val="0030039D"/>
    <w:rsid w:val="00302B61"/>
    <w:rsid w:val="00302EAD"/>
    <w:rsid w:val="0030326F"/>
    <w:rsid w:val="00303C5C"/>
    <w:rsid w:val="0030603E"/>
    <w:rsid w:val="00306A76"/>
    <w:rsid w:val="00306C3F"/>
    <w:rsid w:val="00307002"/>
    <w:rsid w:val="003070EF"/>
    <w:rsid w:val="00307131"/>
    <w:rsid w:val="0030725A"/>
    <w:rsid w:val="003074D3"/>
    <w:rsid w:val="00310701"/>
    <w:rsid w:val="0031242B"/>
    <w:rsid w:val="0031481F"/>
    <w:rsid w:val="00315980"/>
    <w:rsid w:val="00315B9F"/>
    <w:rsid w:val="003160E1"/>
    <w:rsid w:val="00316F7F"/>
    <w:rsid w:val="00317697"/>
    <w:rsid w:val="003177B8"/>
    <w:rsid w:val="003218E8"/>
    <w:rsid w:val="00321DAB"/>
    <w:rsid w:val="00322D02"/>
    <w:rsid w:val="00323595"/>
    <w:rsid w:val="0032467E"/>
    <w:rsid w:val="00324BCB"/>
    <w:rsid w:val="00325B4B"/>
    <w:rsid w:val="00325E34"/>
    <w:rsid w:val="003261B8"/>
    <w:rsid w:val="003261D5"/>
    <w:rsid w:val="00330671"/>
    <w:rsid w:val="00330DCE"/>
    <w:rsid w:val="003310E1"/>
    <w:rsid w:val="003318D9"/>
    <w:rsid w:val="00331E11"/>
    <w:rsid w:val="00332492"/>
    <w:rsid w:val="00332CE8"/>
    <w:rsid w:val="00333E65"/>
    <w:rsid w:val="00334761"/>
    <w:rsid w:val="00335A56"/>
    <w:rsid w:val="003367E6"/>
    <w:rsid w:val="00337EBC"/>
    <w:rsid w:val="003416D2"/>
    <w:rsid w:val="00341DCD"/>
    <w:rsid w:val="003421E7"/>
    <w:rsid w:val="00342FE3"/>
    <w:rsid w:val="00343163"/>
    <w:rsid w:val="00343493"/>
    <w:rsid w:val="00343837"/>
    <w:rsid w:val="00343E55"/>
    <w:rsid w:val="0034563E"/>
    <w:rsid w:val="00346D55"/>
    <w:rsid w:val="003470EE"/>
    <w:rsid w:val="00347948"/>
    <w:rsid w:val="00347DA1"/>
    <w:rsid w:val="0035028D"/>
    <w:rsid w:val="003506EC"/>
    <w:rsid w:val="00351489"/>
    <w:rsid w:val="003518D6"/>
    <w:rsid w:val="00352319"/>
    <w:rsid w:val="0035460C"/>
    <w:rsid w:val="0035488C"/>
    <w:rsid w:val="003549C8"/>
    <w:rsid w:val="00354D0E"/>
    <w:rsid w:val="003556BD"/>
    <w:rsid w:val="003556CE"/>
    <w:rsid w:val="00355D85"/>
    <w:rsid w:val="00360A7A"/>
    <w:rsid w:val="003617D4"/>
    <w:rsid w:val="00361B95"/>
    <w:rsid w:val="00363261"/>
    <w:rsid w:val="003638F1"/>
    <w:rsid w:val="003642F6"/>
    <w:rsid w:val="00365147"/>
    <w:rsid w:val="003652BA"/>
    <w:rsid w:val="003662DA"/>
    <w:rsid w:val="003664B7"/>
    <w:rsid w:val="00367772"/>
    <w:rsid w:val="0037016E"/>
    <w:rsid w:val="003728A6"/>
    <w:rsid w:val="00372908"/>
    <w:rsid w:val="00372F11"/>
    <w:rsid w:val="003740C9"/>
    <w:rsid w:val="00374222"/>
    <w:rsid w:val="0037443F"/>
    <w:rsid w:val="003747D2"/>
    <w:rsid w:val="0037491E"/>
    <w:rsid w:val="003760D9"/>
    <w:rsid w:val="00376CA2"/>
    <w:rsid w:val="00376CD0"/>
    <w:rsid w:val="0037771F"/>
    <w:rsid w:val="003802FF"/>
    <w:rsid w:val="00380332"/>
    <w:rsid w:val="00381185"/>
    <w:rsid w:val="003816A0"/>
    <w:rsid w:val="00382CF4"/>
    <w:rsid w:val="00382E16"/>
    <w:rsid w:val="00383020"/>
    <w:rsid w:val="00383090"/>
    <w:rsid w:val="0038426D"/>
    <w:rsid w:val="003867FB"/>
    <w:rsid w:val="003869A6"/>
    <w:rsid w:val="003871AC"/>
    <w:rsid w:val="003871D2"/>
    <w:rsid w:val="0038781F"/>
    <w:rsid w:val="00387B79"/>
    <w:rsid w:val="00387E7F"/>
    <w:rsid w:val="0039089C"/>
    <w:rsid w:val="00391E9A"/>
    <w:rsid w:val="00392199"/>
    <w:rsid w:val="00392AA6"/>
    <w:rsid w:val="0039344B"/>
    <w:rsid w:val="00394D7E"/>
    <w:rsid w:val="00394D9E"/>
    <w:rsid w:val="003956C0"/>
    <w:rsid w:val="0039695A"/>
    <w:rsid w:val="003975FD"/>
    <w:rsid w:val="00397E17"/>
    <w:rsid w:val="003A1E94"/>
    <w:rsid w:val="003A2049"/>
    <w:rsid w:val="003A48FA"/>
    <w:rsid w:val="003A502C"/>
    <w:rsid w:val="003A6A0A"/>
    <w:rsid w:val="003A6FB3"/>
    <w:rsid w:val="003A7917"/>
    <w:rsid w:val="003B0235"/>
    <w:rsid w:val="003B053D"/>
    <w:rsid w:val="003B057D"/>
    <w:rsid w:val="003B0D3D"/>
    <w:rsid w:val="003B1375"/>
    <w:rsid w:val="003B1A85"/>
    <w:rsid w:val="003B2569"/>
    <w:rsid w:val="003B4038"/>
    <w:rsid w:val="003B40D1"/>
    <w:rsid w:val="003B4889"/>
    <w:rsid w:val="003B4C0F"/>
    <w:rsid w:val="003B60CC"/>
    <w:rsid w:val="003B674C"/>
    <w:rsid w:val="003B7052"/>
    <w:rsid w:val="003B71FF"/>
    <w:rsid w:val="003B77C7"/>
    <w:rsid w:val="003C1832"/>
    <w:rsid w:val="003C1A99"/>
    <w:rsid w:val="003C1B25"/>
    <w:rsid w:val="003C23FA"/>
    <w:rsid w:val="003C2443"/>
    <w:rsid w:val="003C2EB4"/>
    <w:rsid w:val="003C3109"/>
    <w:rsid w:val="003C3194"/>
    <w:rsid w:val="003C5DA3"/>
    <w:rsid w:val="003D11F6"/>
    <w:rsid w:val="003D184E"/>
    <w:rsid w:val="003D4BCD"/>
    <w:rsid w:val="003D5086"/>
    <w:rsid w:val="003D67CE"/>
    <w:rsid w:val="003D6C2B"/>
    <w:rsid w:val="003E01D8"/>
    <w:rsid w:val="003E0748"/>
    <w:rsid w:val="003E098A"/>
    <w:rsid w:val="003E0D6C"/>
    <w:rsid w:val="003E2100"/>
    <w:rsid w:val="003E2924"/>
    <w:rsid w:val="003E39AE"/>
    <w:rsid w:val="003E3DA2"/>
    <w:rsid w:val="003E68DF"/>
    <w:rsid w:val="003E708E"/>
    <w:rsid w:val="003E7AFB"/>
    <w:rsid w:val="003E7BC2"/>
    <w:rsid w:val="003E7CAB"/>
    <w:rsid w:val="003E7E4C"/>
    <w:rsid w:val="003F0A3E"/>
    <w:rsid w:val="003F0A6F"/>
    <w:rsid w:val="003F2295"/>
    <w:rsid w:val="003F2A8D"/>
    <w:rsid w:val="003F4D60"/>
    <w:rsid w:val="003F50DD"/>
    <w:rsid w:val="003F6F5B"/>
    <w:rsid w:val="004005FD"/>
    <w:rsid w:val="00400847"/>
    <w:rsid w:val="00400BE8"/>
    <w:rsid w:val="00401B35"/>
    <w:rsid w:val="004028DD"/>
    <w:rsid w:val="0040330B"/>
    <w:rsid w:val="0040342D"/>
    <w:rsid w:val="00404106"/>
    <w:rsid w:val="004049B1"/>
    <w:rsid w:val="00405180"/>
    <w:rsid w:val="00405910"/>
    <w:rsid w:val="00407C7E"/>
    <w:rsid w:val="004108DD"/>
    <w:rsid w:val="0041192D"/>
    <w:rsid w:val="00412395"/>
    <w:rsid w:val="0041244F"/>
    <w:rsid w:val="004136E4"/>
    <w:rsid w:val="00413C99"/>
    <w:rsid w:val="00413D6A"/>
    <w:rsid w:val="00413EE1"/>
    <w:rsid w:val="00414EA1"/>
    <w:rsid w:val="00417712"/>
    <w:rsid w:val="00420696"/>
    <w:rsid w:val="00420AAF"/>
    <w:rsid w:val="00420CF0"/>
    <w:rsid w:val="0042128E"/>
    <w:rsid w:val="00421A86"/>
    <w:rsid w:val="00422085"/>
    <w:rsid w:val="00422460"/>
    <w:rsid w:val="004227ED"/>
    <w:rsid w:val="00422C44"/>
    <w:rsid w:val="004232BD"/>
    <w:rsid w:val="004243C5"/>
    <w:rsid w:val="00424EA6"/>
    <w:rsid w:val="00426F13"/>
    <w:rsid w:val="00427E1D"/>
    <w:rsid w:val="00431B6C"/>
    <w:rsid w:val="004326BF"/>
    <w:rsid w:val="00432B60"/>
    <w:rsid w:val="00432D74"/>
    <w:rsid w:val="0043353F"/>
    <w:rsid w:val="004336EE"/>
    <w:rsid w:val="004337E2"/>
    <w:rsid w:val="004356CD"/>
    <w:rsid w:val="0043622D"/>
    <w:rsid w:val="004369E0"/>
    <w:rsid w:val="0043772B"/>
    <w:rsid w:val="004403FC"/>
    <w:rsid w:val="00440698"/>
    <w:rsid w:val="00442147"/>
    <w:rsid w:val="004423D8"/>
    <w:rsid w:val="00442598"/>
    <w:rsid w:val="004431AB"/>
    <w:rsid w:val="00444CBA"/>
    <w:rsid w:val="0044690D"/>
    <w:rsid w:val="00446D0D"/>
    <w:rsid w:val="00446DD2"/>
    <w:rsid w:val="00447A90"/>
    <w:rsid w:val="00447B19"/>
    <w:rsid w:val="00450FE2"/>
    <w:rsid w:val="00451182"/>
    <w:rsid w:val="004517E0"/>
    <w:rsid w:val="00451CD9"/>
    <w:rsid w:val="00451CEF"/>
    <w:rsid w:val="00452D1A"/>
    <w:rsid w:val="0045304A"/>
    <w:rsid w:val="0045362D"/>
    <w:rsid w:val="00454018"/>
    <w:rsid w:val="0045402F"/>
    <w:rsid w:val="004540E2"/>
    <w:rsid w:val="00454454"/>
    <w:rsid w:val="004548EE"/>
    <w:rsid w:val="00457094"/>
    <w:rsid w:val="004578E6"/>
    <w:rsid w:val="00457FC7"/>
    <w:rsid w:val="00460586"/>
    <w:rsid w:val="00461DF1"/>
    <w:rsid w:val="00462328"/>
    <w:rsid w:val="00464C72"/>
    <w:rsid w:val="004660E8"/>
    <w:rsid w:val="00466C20"/>
    <w:rsid w:val="00466EDD"/>
    <w:rsid w:val="0046759E"/>
    <w:rsid w:val="004677D2"/>
    <w:rsid w:val="00467924"/>
    <w:rsid w:val="00470374"/>
    <w:rsid w:val="004712A5"/>
    <w:rsid w:val="0047181E"/>
    <w:rsid w:val="004724C2"/>
    <w:rsid w:val="0047266F"/>
    <w:rsid w:val="004729DF"/>
    <w:rsid w:val="00473D71"/>
    <w:rsid w:val="0047457C"/>
    <w:rsid w:val="00476D6B"/>
    <w:rsid w:val="00476F5B"/>
    <w:rsid w:val="00477847"/>
    <w:rsid w:val="00477901"/>
    <w:rsid w:val="00480D43"/>
    <w:rsid w:val="00482400"/>
    <w:rsid w:val="00482E2B"/>
    <w:rsid w:val="0048392E"/>
    <w:rsid w:val="00484287"/>
    <w:rsid w:val="00484B02"/>
    <w:rsid w:val="004851C9"/>
    <w:rsid w:val="00486C16"/>
    <w:rsid w:val="0048708F"/>
    <w:rsid w:val="004875C2"/>
    <w:rsid w:val="00490869"/>
    <w:rsid w:val="00490979"/>
    <w:rsid w:val="00490B9D"/>
    <w:rsid w:val="00490FAB"/>
    <w:rsid w:val="004912AF"/>
    <w:rsid w:val="0049169B"/>
    <w:rsid w:val="00492083"/>
    <w:rsid w:val="00492BF3"/>
    <w:rsid w:val="00492C16"/>
    <w:rsid w:val="004930B3"/>
    <w:rsid w:val="0049324F"/>
    <w:rsid w:val="004942B7"/>
    <w:rsid w:val="00496122"/>
    <w:rsid w:val="00496B45"/>
    <w:rsid w:val="00496B53"/>
    <w:rsid w:val="004975A8"/>
    <w:rsid w:val="004A0678"/>
    <w:rsid w:val="004A180C"/>
    <w:rsid w:val="004A20B5"/>
    <w:rsid w:val="004A3004"/>
    <w:rsid w:val="004A37F8"/>
    <w:rsid w:val="004A48A3"/>
    <w:rsid w:val="004A5958"/>
    <w:rsid w:val="004A60A9"/>
    <w:rsid w:val="004A67E4"/>
    <w:rsid w:val="004B025D"/>
    <w:rsid w:val="004B0D92"/>
    <w:rsid w:val="004B0E32"/>
    <w:rsid w:val="004B0EC0"/>
    <w:rsid w:val="004B1ACF"/>
    <w:rsid w:val="004B26D0"/>
    <w:rsid w:val="004B3584"/>
    <w:rsid w:val="004B3617"/>
    <w:rsid w:val="004B4841"/>
    <w:rsid w:val="004B52A3"/>
    <w:rsid w:val="004B547E"/>
    <w:rsid w:val="004B57BD"/>
    <w:rsid w:val="004B5B4E"/>
    <w:rsid w:val="004B60F9"/>
    <w:rsid w:val="004B6274"/>
    <w:rsid w:val="004B6481"/>
    <w:rsid w:val="004B66F1"/>
    <w:rsid w:val="004B6DD3"/>
    <w:rsid w:val="004B7221"/>
    <w:rsid w:val="004B7DD0"/>
    <w:rsid w:val="004C0656"/>
    <w:rsid w:val="004C082F"/>
    <w:rsid w:val="004C1575"/>
    <w:rsid w:val="004C25E6"/>
    <w:rsid w:val="004C2EF0"/>
    <w:rsid w:val="004C3EA0"/>
    <w:rsid w:val="004C40A0"/>
    <w:rsid w:val="004C42DA"/>
    <w:rsid w:val="004C6AB6"/>
    <w:rsid w:val="004C70D9"/>
    <w:rsid w:val="004D02C2"/>
    <w:rsid w:val="004D1A74"/>
    <w:rsid w:val="004D1CC8"/>
    <w:rsid w:val="004D3246"/>
    <w:rsid w:val="004D5D80"/>
    <w:rsid w:val="004D6436"/>
    <w:rsid w:val="004D66BB"/>
    <w:rsid w:val="004D7CD8"/>
    <w:rsid w:val="004E2123"/>
    <w:rsid w:val="004E2198"/>
    <w:rsid w:val="004E2497"/>
    <w:rsid w:val="004E2D49"/>
    <w:rsid w:val="004E31D9"/>
    <w:rsid w:val="004E3B1B"/>
    <w:rsid w:val="004E59D7"/>
    <w:rsid w:val="004E59F2"/>
    <w:rsid w:val="004E6A95"/>
    <w:rsid w:val="004E73AA"/>
    <w:rsid w:val="004E7F7E"/>
    <w:rsid w:val="004F0365"/>
    <w:rsid w:val="004F1938"/>
    <w:rsid w:val="004F41BC"/>
    <w:rsid w:val="004F44AD"/>
    <w:rsid w:val="004F63F3"/>
    <w:rsid w:val="004F6E35"/>
    <w:rsid w:val="004F6FEC"/>
    <w:rsid w:val="004F7169"/>
    <w:rsid w:val="004F7468"/>
    <w:rsid w:val="004F7CB7"/>
    <w:rsid w:val="004F7E32"/>
    <w:rsid w:val="00500081"/>
    <w:rsid w:val="00500158"/>
    <w:rsid w:val="00500B14"/>
    <w:rsid w:val="00500D66"/>
    <w:rsid w:val="005011D7"/>
    <w:rsid w:val="00501708"/>
    <w:rsid w:val="0050189B"/>
    <w:rsid w:val="00501E01"/>
    <w:rsid w:val="00503D17"/>
    <w:rsid w:val="00503F83"/>
    <w:rsid w:val="0050519B"/>
    <w:rsid w:val="00506658"/>
    <w:rsid w:val="00506B35"/>
    <w:rsid w:val="00506D9F"/>
    <w:rsid w:val="005071D5"/>
    <w:rsid w:val="0051077D"/>
    <w:rsid w:val="00511F1D"/>
    <w:rsid w:val="005123A5"/>
    <w:rsid w:val="00512543"/>
    <w:rsid w:val="00512890"/>
    <w:rsid w:val="00512AEA"/>
    <w:rsid w:val="00514C8E"/>
    <w:rsid w:val="00515DFF"/>
    <w:rsid w:val="005167B5"/>
    <w:rsid w:val="005170D2"/>
    <w:rsid w:val="00520C9E"/>
    <w:rsid w:val="00521999"/>
    <w:rsid w:val="00521F8B"/>
    <w:rsid w:val="005220F0"/>
    <w:rsid w:val="00522F80"/>
    <w:rsid w:val="00524500"/>
    <w:rsid w:val="005250EB"/>
    <w:rsid w:val="00525156"/>
    <w:rsid w:val="00526118"/>
    <w:rsid w:val="005263FD"/>
    <w:rsid w:val="005264FB"/>
    <w:rsid w:val="005266CC"/>
    <w:rsid w:val="00526AD8"/>
    <w:rsid w:val="00526F2D"/>
    <w:rsid w:val="0052707B"/>
    <w:rsid w:val="00527386"/>
    <w:rsid w:val="00527F59"/>
    <w:rsid w:val="00527FDE"/>
    <w:rsid w:val="00531C94"/>
    <w:rsid w:val="00531DBF"/>
    <w:rsid w:val="00532007"/>
    <w:rsid w:val="00534656"/>
    <w:rsid w:val="0053638B"/>
    <w:rsid w:val="00540ABA"/>
    <w:rsid w:val="00541DCF"/>
    <w:rsid w:val="005431B4"/>
    <w:rsid w:val="00544194"/>
    <w:rsid w:val="005442D0"/>
    <w:rsid w:val="005442D2"/>
    <w:rsid w:val="00545759"/>
    <w:rsid w:val="00545BE0"/>
    <w:rsid w:val="00546930"/>
    <w:rsid w:val="005472E3"/>
    <w:rsid w:val="005512B8"/>
    <w:rsid w:val="0055305A"/>
    <w:rsid w:val="005535F0"/>
    <w:rsid w:val="00553677"/>
    <w:rsid w:val="00553DBB"/>
    <w:rsid w:val="00553DE0"/>
    <w:rsid w:val="00554C6A"/>
    <w:rsid w:val="0055521D"/>
    <w:rsid w:val="00555356"/>
    <w:rsid w:val="0055642C"/>
    <w:rsid w:val="00560482"/>
    <w:rsid w:val="00560598"/>
    <w:rsid w:val="00561CC0"/>
    <w:rsid w:val="00561F65"/>
    <w:rsid w:val="005620A2"/>
    <w:rsid w:val="0056249F"/>
    <w:rsid w:val="00562E1A"/>
    <w:rsid w:val="00562E85"/>
    <w:rsid w:val="0056332F"/>
    <w:rsid w:val="00563F72"/>
    <w:rsid w:val="00565304"/>
    <w:rsid w:val="00565484"/>
    <w:rsid w:val="00566567"/>
    <w:rsid w:val="00567250"/>
    <w:rsid w:val="00567609"/>
    <w:rsid w:val="00570BD5"/>
    <w:rsid w:val="00570C70"/>
    <w:rsid w:val="005719B3"/>
    <w:rsid w:val="005724DD"/>
    <w:rsid w:val="005727F8"/>
    <w:rsid w:val="0057295E"/>
    <w:rsid w:val="00575DAA"/>
    <w:rsid w:val="005777C8"/>
    <w:rsid w:val="00580385"/>
    <w:rsid w:val="00581C39"/>
    <w:rsid w:val="005826D9"/>
    <w:rsid w:val="005843AB"/>
    <w:rsid w:val="005863E6"/>
    <w:rsid w:val="005867A8"/>
    <w:rsid w:val="00586BBB"/>
    <w:rsid w:val="005903B6"/>
    <w:rsid w:val="00590763"/>
    <w:rsid w:val="00590FF4"/>
    <w:rsid w:val="005914D6"/>
    <w:rsid w:val="00592237"/>
    <w:rsid w:val="00592283"/>
    <w:rsid w:val="00592ABB"/>
    <w:rsid w:val="00592E0A"/>
    <w:rsid w:val="00592E3B"/>
    <w:rsid w:val="00593456"/>
    <w:rsid w:val="00594AA1"/>
    <w:rsid w:val="005950B0"/>
    <w:rsid w:val="0059590C"/>
    <w:rsid w:val="00595D42"/>
    <w:rsid w:val="0059641F"/>
    <w:rsid w:val="005A0247"/>
    <w:rsid w:val="005A0A26"/>
    <w:rsid w:val="005A0DE9"/>
    <w:rsid w:val="005A126E"/>
    <w:rsid w:val="005A2999"/>
    <w:rsid w:val="005A452F"/>
    <w:rsid w:val="005A48C7"/>
    <w:rsid w:val="005A57A2"/>
    <w:rsid w:val="005A5E70"/>
    <w:rsid w:val="005A5EC9"/>
    <w:rsid w:val="005A62BE"/>
    <w:rsid w:val="005A761A"/>
    <w:rsid w:val="005A76A6"/>
    <w:rsid w:val="005B0F37"/>
    <w:rsid w:val="005B140D"/>
    <w:rsid w:val="005B1838"/>
    <w:rsid w:val="005B1F23"/>
    <w:rsid w:val="005B28E4"/>
    <w:rsid w:val="005B2B4F"/>
    <w:rsid w:val="005B3DE8"/>
    <w:rsid w:val="005B4050"/>
    <w:rsid w:val="005B4BA3"/>
    <w:rsid w:val="005B5F54"/>
    <w:rsid w:val="005B7E23"/>
    <w:rsid w:val="005C0EC5"/>
    <w:rsid w:val="005C14A1"/>
    <w:rsid w:val="005C1AAF"/>
    <w:rsid w:val="005C1FEA"/>
    <w:rsid w:val="005C3495"/>
    <w:rsid w:val="005C4290"/>
    <w:rsid w:val="005C42C6"/>
    <w:rsid w:val="005C5E66"/>
    <w:rsid w:val="005C6770"/>
    <w:rsid w:val="005C695E"/>
    <w:rsid w:val="005D2681"/>
    <w:rsid w:val="005D26DA"/>
    <w:rsid w:val="005D3089"/>
    <w:rsid w:val="005D623E"/>
    <w:rsid w:val="005D66A8"/>
    <w:rsid w:val="005E2278"/>
    <w:rsid w:val="005E2904"/>
    <w:rsid w:val="005E3DFC"/>
    <w:rsid w:val="005E5942"/>
    <w:rsid w:val="005E60AF"/>
    <w:rsid w:val="005E6F12"/>
    <w:rsid w:val="005E73CD"/>
    <w:rsid w:val="005E74FF"/>
    <w:rsid w:val="005E79DC"/>
    <w:rsid w:val="005F1B41"/>
    <w:rsid w:val="005F1DEA"/>
    <w:rsid w:val="005F20D9"/>
    <w:rsid w:val="005F20E1"/>
    <w:rsid w:val="005F4CA0"/>
    <w:rsid w:val="005F55EB"/>
    <w:rsid w:val="005F6A14"/>
    <w:rsid w:val="0060043D"/>
    <w:rsid w:val="00600992"/>
    <w:rsid w:val="0060110A"/>
    <w:rsid w:val="00602E37"/>
    <w:rsid w:val="00603B5E"/>
    <w:rsid w:val="00604F0F"/>
    <w:rsid w:val="00606470"/>
    <w:rsid w:val="00607FC9"/>
    <w:rsid w:val="006109DE"/>
    <w:rsid w:val="0061122C"/>
    <w:rsid w:val="00612D73"/>
    <w:rsid w:val="0061383F"/>
    <w:rsid w:val="00613F54"/>
    <w:rsid w:val="00614BDC"/>
    <w:rsid w:val="00617C38"/>
    <w:rsid w:val="0062133B"/>
    <w:rsid w:val="00622BC2"/>
    <w:rsid w:val="00622FE1"/>
    <w:rsid w:val="00624428"/>
    <w:rsid w:val="00624750"/>
    <w:rsid w:val="00624D63"/>
    <w:rsid w:val="0062521C"/>
    <w:rsid w:val="006265E0"/>
    <w:rsid w:val="0062771F"/>
    <w:rsid w:val="00630A2B"/>
    <w:rsid w:val="00631069"/>
    <w:rsid w:val="00631382"/>
    <w:rsid w:val="0063213E"/>
    <w:rsid w:val="0063222E"/>
    <w:rsid w:val="00632DC7"/>
    <w:rsid w:val="00633877"/>
    <w:rsid w:val="0063402B"/>
    <w:rsid w:val="006357FB"/>
    <w:rsid w:val="006359DA"/>
    <w:rsid w:val="00636A78"/>
    <w:rsid w:val="0063768B"/>
    <w:rsid w:val="00637E3C"/>
    <w:rsid w:val="0064038E"/>
    <w:rsid w:val="006405D5"/>
    <w:rsid w:val="006406FC"/>
    <w:rsid w:val="00640E57"/>
    <w:rsid w:val="00641EC9"/>
    <w:rsid w:val="00642CCB"/>
    <w:rsid w:val="006439B7"/>
    <w:rsid w:val="00644226"/>
    <w:rsid w:val="006448DC"/>
    <w:rsid w:val="00646122"/>
    <w:rsid w:val="0064623E"/>
    <w:rsid w:val="006466DC"/>
    <w:rsid w:val="0064774B"/>
    <w:rsid w:val="00651031"/>
    <w:rsid w:val="00651559"/>
    <w:rsid w:val="006515E0"/>
    <w:rsid w:val="00651B54"/>
    <w:rsid w:val="0065204D"/>
    <w:rsid w:val="006522B1"/>
    <w:rsid w:val="00652D85"/>
    <w:rsid w:val="0065307D"/>
    <w:rsid w:val="00653434"/>
    <w:rsid w:val="0065351F"/>
    <w:rsid w:val="00653E16"/>
    <w:rsid w:val="006542AA"/>
    <w:rsid w:val="00654F27"/>
    <w:rsid w:val="00654FDA"/>
    <w:rsid w:val="006551C9"/>
    <w:rsid w:val="00655B48"/>
    <w:rsid w:val="00655DBD"/>
    <w:rsid w:val="00656063"/>
    <w:rsid w:val="006567FF"/>
    <w:rsid w:val="006570F1"/>
    <w:rsid w:val="00657220"/>
    <w:rsid w:val="00657362"/>
    <w:rsid w:val="0065742E"/>
    <w:rsid w:val="00657694"/>
    <w:rsid w:val="00657CB1"/>
    <w:rsid w:val="0066104B"/>
    <w:rsid w:val="0066229B"/>
    <w:rsid w:val="006627A4"/>
    <w:rsid w:val="00662C85"/>
    <w:rsid w:val="0066417E"/>
    <w:rsid w:val="00664513"/>
    <w:rsid w:val="006645E7"/>
    <w:rsid w:val="006648A8"/>
    <w:rsid w:val="00664BBF"/>
    <w:rsid w:val="00664C7E"/>
    <w:rsid w:val="00664E44"/>
    <w:rsid w:val="0066535B"/>
    <w:rsid w:val="006655EE"/>
    <w:rsid w:val="00666296"/>
    <w:rsid w:val="00666BE1"/>
    <w:rsid w:val="0066788F"/>
    <w:rsid w:val="00667C10"/>
    <w:rsid w:val="00667EF4"/>
    <w:rsid w:val="00673189"/>
    <w:rsid w:val="0067320C"/>
    <w:rsid w:val="006738AA"/>
    <w:rsid w:val="0067493B"/>
    <w:rsid w:val="006754F7"/>
    <w:rsid w:val="00675E3E"/>
    <w:rsid w:val="00676FCA"/>
    <w:rsid w:val="00677177"/>
    <w:rsid w:val="00677B90"/>
    <w:rsid w:val="006813B6"/>
    <w:rsid w:val="00681B93"/>
    <w:rsid w:val="00682A27"/>
    <w:rsid w:val="00685FA1"/>
    <w:rsid w:val="0068612E"/>
    <w:rsid w:val="006877B5"/>
    <w:rsid w:val="00687C55"/>
    <w:rsid w:val="00687C92"/>
    <w:rsid w:val="00690672"/>
    <w:rsid w:val="00692730"/>
    <w:rsid w:val="0069328D"/>
    <w:rsid w:val="00694AEB"/>
    <w:rsid w:val="0069534E"/>
    <w:rsid w:val="006956D4"/>
    <w:rsid w:val="00695CBA"/>
    <w:rsid w:val="006963B1"/>
    <w:rsid w:val="0069669C"/>
    <w:rsid w:val="006972FE"/>
    <w:rsid w:val="006A0706"/>
    <w:rsid w:val="006A0AB5"/>
    <w:rsid w:val="006A1200"/>
    <w:rsid w:val="006A1E58"/>
    <w:rsid w:val="006A205D"/>
    <w:rsid w:val="006A2221"/>
    <w:rsid w:val="006A22B4"/>
    <w:rsid w:val="006A3A98"/>
    <w:rsid w:val="006A4F4E"/>
    <w:rsid w:val="006A61F7"/>
    <w:rsid w:val="006A625D"/>
    <w:rsid w:val="006A6C23"/>
    <w:rsid w:val="006A7948"/>
    <w:rsid w:val="006B0295"/>
    <w:rsid w:val="006B14DB"/>
    <w:rsid w:val="006B168E"/>
    <w:rsid w:val="006B1DF7"/>
    <w:rsid w:val="006B21C4"/>
    <w:rsid w:val="006B2B6B"/>
    <w:rsid w:val="006B4857"/>
    <w:rsid w:val="006B5E4D"/>
    <w:rsid w:val="006B6172"/>
    <w:rsid w:val="006B619A"/>
    <w:rsid w:val="006B6AE1"/>
    <w:rsid w:val="006B6C7E"/>
    <w:rsid w:val="006B7759"/>
    <w:rsid w:val="006B77FF"/>
    <w:rsid w:val="006B7B04"/>
    <w:rsid w:val="006B7B13"/>
    <w:rsid w:val="006B7BED"/>
    <w:rsid w:val="006C06A9"/>
    <w:rsid w:val="006C0D21"/>
    <w:rsid w:val="006C111D"/>
    <w:rsid w:val="006C18A2"/>
    <w:rsid w:val="006C1BB9"/>
    <w:rsid w:val="006C2317"/>
    <w:rsid w:val="006C288D"/>
    <w:rsid w:val="006C28E8"/>
    <w:rsid w:val="006C2DF9"/>
    <w:rsid w:val="006C2E5C"/>
    <w:rsid w:val="006C335A"/>
    <w:rsid w:val="006C4A1A"/>
    <w:rsid w:val="006C4CA1"/>
    <w:rsid w:val="006C5874"/>
    <w:rsid w:val="006C5FCF"/>
    <w:rsid w:val="006C70EA"/>
    <w:rsid w:val="006C75A5"/>
    <w:rsid w:val="006C7AC6"/>
    <w:rsid w:val="006D0393"/>
    <w:rsid w:val="006D093D"/>
    <w:rsid w:val="006D1A83"/>
    <w:rsid w:val="006D247B"/>
    <w:rsid w:val="006D2AAE"/>
    <w:rsid w:val="006D4C8D"/>
    <w:rsid w:val="006D4CF5"/>
    <w:rsid w:val="006D6F0E"/>
    <w:rsid w:val="006D6FBE"/>
    <w:rsid w:val="006D7568"/>
    <w:rsid w:val="006E1149"/>
    <w:rsid w:val="006E19AC"/>
    <w:rsid w:val="006E1CFE"/>
    <w:rsid w:val="006E237D"/>
    <w:rsid w:val="006E2440"/>
    <w:rsid w:val="006E24E5"/>
    <w:rsid w:val="006E2A11"/>
    <w:rsid w:val="006E2FFA"/>
    <w:rsid w:val="006E3A61"/>
    <w:rsid w:val="006E3BC3"/>
    <w:rsid w:val="006E4B70"/>
    <w:rsid w:val="006E5E83"/>
    <w:rsid w:val="006E6B25"/>
    <w:rsid w:val="006E6C8E"/>
    <w:rsid w:val="006E6CA4"/>
    <w:rsid w:val="006E7122"/>
    <w:rsid w:val="006F10C4"/>
    <w:rsid w:val="006F10C7"/>
    <w:rsid w:val="006F12BB"/>
    <w:rsid w:val="006F1F2D"/>
    <w:rsid w:val="006F2815"/>
    <w:rsid w:val="006F40E9"/>
    <w:rsid w:val="006F5603"/>
    <w:rsid w:val="006F6CFE"/>
    <w:rsid w:val="006F7B87"/>
    <w:rsid w:val="00701156"/>
    <w:rsid w:val="00701400"/>
    <w:rsid w:val="007023EA"/>
    <w:rsid w:val="00702D59"/>
    <w:rsid w:val="007037CF"/>
    <w:rsid w:val="00703800"/>
    <w:rsid w:val="00703D1D"/>
    <w:rsid w:val="00705C46"/>
    <w:rsid w:val="007067A6"/>
    <w:rsid w:val="00710153"/>
    <w:rsid w:val="0071071A"/>
    <w:rsid w:val="00710829"/>
    <w:rsid w:val="0071276D"/>
    <w:rsid w:val="00712D72"/>
    <w:rsid w:val="00712E34"/>
    <w:rsid w:val="00714636"/>
    <w:rsid w:val="00715612"/>
    <w:rsid w:val="007159F8"/>
    <w:rsid w:val="00715B67"/>
    <w:rsid w:val="0071635B"/>
    <w:rsid w:val="007167C0"/>
    <w:rsid w:val="00717440"/>
    <w:rsid w:val="00720481"/>
    <w:rsid w:val="00720520"/>
    <w:rsid w:val="00720554"/>
    <w:rsid w:val="00721576"/>
    <w:rsid w:val="00722853"/>
    <w:rsid w:val="00722D0C"/>
    <w:rsid w:val="00724AE4"/>
    <w:rsid w:val="00724C6E"/>
    <w:rsid w:val="00725E9B"/>
    <w:rsid w:val="00725F86"/>
    <w:rsid w:val="00726579"/>
    <w:rsid w:val="00726AEA"/>
    <w:rsid w:val="007303A3"/>
    <w:rsid w:val="00730914"/>
    <w:rsid w:val="00730935"/>
    <w:rsid w:val="00730CD7"/>
    <w:rsid w:val="00730E67"/>
    <w:rsid w:val="00732F55"/>
    <w:rsid w:val="00733193"/>
    <w:rsid w:val="00736BE5"/>
    <w:rsid w:val="007373E5"/>
    <w:rsid w:val="0074053A"/>
    <w:rsid w:val="00740CDE"/>
    <w:rsid w:val="00741B98"/>
    <w:rsid w:val="00741BAF"/>
    <w:rsid w:val="00741E7D"/>
    <w:rsid w:val="007429AC"/>
    <w:rsid w:val="00743640"/>
    <w:rsid w:val="0074374C"/>
    <w:rsid w:val="00744DDA"/>
    <w:rsid w:val="00745E03"/>
    <w:rsid w:val="007462A4"/>
    <w:rsid w:val="00746AEA"/>
    <w:rsid w:val="00747E76"/>
    <w:rsid w:val="00751668"/>
    <w:rsid w:val="00751E6D"/>
    <w:rsid w:val="00752438"/>
    <w:rsid w:val="007546B4"/>
    <w:rsid w:val="007548E3"/>
    <w:rsid w:val="0075732A"/>
    <w:rsid w:val="007600F8"/>
    <w:rsid w:val="00760262"/>
    <w:rsid w:val="00761D55"/>
    <w:rsid w:val="0076310C"/>
    <w:rsid w:val="00763E42"/>
    <w:rsid w:val="0076446F"/>
    <w:rsid w:val="00765B0D"/>
    <w:rsid w:val="007672DF"/>
    <w:rsid w:val="0076744F"/>
    <w:rsid w:val="00767BCE"/>
    <w:rsid w:val="00767BDD"/>
    <w:rsid w:val="00767C10"/>
    <w:rsid w:val="00767EFC"/>
    <w:rsid w:val="00770065"/>
    <w:rsid w:val="007704E8"/>
    <w:rsid w:val="007707DE"/>
    <w:rsid w:val="00770B5D"/>
    <w:rsid w:val="00772F52"/>
    <w:rsid w:val="0077326A"/>
    <w:rsid w:val="00773F93"/>
    <w:rsid w:val="00774007"/>
    <w:rsid w:val="007752F1"/>
    <w:rsid w:val="007763CF"/>
    <w:rsid w:val="00776768"/>
    <w:rsid w:val="0077743B"/>
    <w:rsid w:val="0078007B"/>
    <w:rsid w:val="0078187A"/>
    <w:rsid w:val="00781A2A"/>
    <w:rsid w:val="00781E69"/>
    <w:rsid w:val="00782115"/>
    <w:rsid w:val="007823F7"/>
    <w:rsid w:val="0078258E"/>
    <w:rsid w:val="0078266C"/>
    <w:rsid w:val="007865A4"/>
    <w:rsid w:val="0078713A"/>
    <w:rsid w:val="0079042B"/>
    <w:rsid w:val="0079196D"/>
    <w:rsid w:val="00791F31"/>
    <w:rsid w:val="0079217D"/>
    <w:rsid w:val="00792A73"/>
    <w:rsid w:val="00793269"/>
    <w:rsid w:val="00793F63"/>
    <w:rsid w:val="00794ED8"/>
    <w:rsid w:val="00794F2B"/>
    <w:rsid w:val="00795D41"/>
    <w:rsid w:val="007971B5"/>
    <w:rsid w:val="007976B5"/>
    <w:rsid w:val="00797E16"/>
    <w:rsid w:val="007A0932"/>
    <w:rsid w:val="007A110B"/>
    <w:rsid w:val="007A1429"/>
    <w:rsid w:val="007A1C4F"/>
    <w:rsid w:val="007A2573"/>
    <w:rsid w:val="007A27AC"/>
    <w:rsid w:val="007A33B2"/>
    <w:rsid w:val="007A3C6B"/>
    <w:rsid w:val="007A3CE6"/>
    <w:rsid w:val="007A51C5"/>
    <w:rsid w:val="007A5DFE"/>
    <w:rsid w:val="007A6B5A"/>
    <w:rsid w:val="007A7166"/>
    <w:rsid w:val="007A7D8E"/>
    <w:rsid w:val="007A7FB2"/>
    <w:rsid w:val="007B023A"/>
    <w:rsid w:val="007B03C6"/>
    <w:rsid w:val="007B0406"/>
    <w:rsid w:val="007B106C"/>
    <w:rsid w:val="007B1A4E"/>
    <w:rsid w:val="007B1AFC"/>
    <w:rsid w:val="007B1EDC"/>
    <w:rsid w:val="007B2389"/>
    <w:rsid w:val="007B36D3"/>
    <w:rsid w:val="007B3D05"/>
    <w:rsid w:val="007B458F"/>
    <w:rsid w:val="007B5246"/>
    <w:rsid w:val="007B5503"/>
    <w:rsid w:val="007B6152"/>
    <w:rsid w:val="007B6400"/>
    <w:rsid w:val="007B666C"/>
    <w:rsid w:val="007B7AB1"/>
    <w:rsid w:val="007B7BB9"/>
    <w:rsid w:val="007C02B8"/>
    <w:rsid w:val="007C0880"/>
    <w:rsid w:val="007C179C"/>
    <w:rsid w:val="007C1B6D"/>
    <w:rsid w:val="007C2360"/>
    <w:rsid w:val="007C3630"/>
    <w:rsid w:val="007C36DC"/>
    <w:rsid w:val="007C438D"/>
    <w:rsid w:val="007C4A8D"/>
    <w:rsid w:val="007C5421"/>
    <w:rsid w:val="007C57A4"/>
    <w:rsid w:val="007C6BB3"/>
    <w:rsid w:val="007C71F7"/>
    <w:rsid w:val="007C7C40"/>
    <w:rsid w:val="007D039D"/>
    <w:rsid w:val="007D047F"/>
    <w:rsid w:val="007D0F8E"/>
    <w:rsid w:val="007D14B4"/>
    <w:rsid w:val="007D1A30"/>
    <w:rsid w:val="007D20F4"/>
    <w:rsid w:val="007D3AD7"/>
    <w:rsid w:val="007D3C2B"/>
    <w:rsid w:val="007D5A91"/>
    <w:rsid w:val="007D64D8"/>
    <w:rsid w:val="007D7414"/>
    <w:rsid w:val="007D7D94"/>
    <w:rsid w:val="007E08B7"/>
    <w:rsid w:val="007E144E"/>
    <w:rsid w:val="007E1B18"/>
    <w:rsid w:val="007E1D86"/>
    <w:rsid w:val="007E24F6"/>
    <w:rsid w:val="007E4805"/>
    <w:rsid w:val="007E5116"/>
    <w:rsid w:val="007E51ED"/>
    <w:rsid w:val="007E5869"/>
    <w:rsid w:val="007E5AD0"/>
    <w:rsid w:val="007E5C2E"/>
    <w:rsid w:val="007E6BD5"/>
    <w:rsid w:val="007E780C"/>
    <w:rsid w:val="007E7A31"/>
    <w:rsid w:val="007F0CA7"/>
    <w:rsid w:val="007F5303"/>
    <w:rsid w:val="007F6D3E"/>
    <w:rsid w:val="00800291"/>
    <w:rsid w:val="00800F64"/>
    <w:rsid w:val="00801050"/>
    <w:rsid w:val="00802F0B"/>
    <w:rsid w:val="008032BD"/>
    <w:rsid w:val="0080381B"/>
    <w:rsid w:val="00803930"/>
    <w:rsid w:val="008100A1"/>
    <w:rsid w:val="00810A67"/>
    <w:rsid w:val="008110C0"/>
    <w:rsid w:val="0081204A"/>
    <w:rsid w:val="008120AB"/>
    <w:rsid w:val="00812141"/>
    <w:rsid w:val="008133C6"/>
    <w:rsid w:val="00813F19"/>
    <w:rsid w:val="00814D00"/>
    <w:rsid w:val="00816228"/>
    <w:rsid w:val="00816688"/>
    <w:rsid w:val="00817780"/>
    <w:rsid w:val="008200AB"/>
    <w:rsid w:val="00820564"/>
    <w:rsid w:val="008213B5"/>
    <w:rsid w:val="00821DDB"/>
    <w:rsid w:val="00822635"/>
    <w:rsid w:val="008226F4"/>
    <w:rsid w:val="00823FEC"/>
    <w:rsid w:val="0082586F"/>
    <w:rsid w:val="00825B02"/>
    <w:rsid w:val="00825BB2"/>
    <w:rsid w:val="00826033"/>
    <w:rsid w:val="00826AE6"/>
    <w:rsid w:val="00830577"/>
    <w:rsid w:val="008306E2"/>
    <w:rsid w:val="008311FD"/>
    <w:rsid w:val="00832901"/>
    <w:rsid w:val="00833413"/>
    <w:rsid w:val="00833CF7"/>
    <w:rsid w:val="00834145"/>
    <w:rsid w:val="00834905"/>
    <w:rsid w:val="00834CDE"/>
    <w:rsid w:val="008379A7"/>
    <w:rsid w:val="00841950"/>
    <w:rsid w:val="00842464"/>
    <w:rsid w:val="00842556"/>
    <w:rsid w:val="008436D0"/>
    <w:rsid w:val="00843AB0"/>
    <w:rsid w:val="00843D17"/>
    <w:rsid w:val="00843D9E"/>
    <w:rsid w:val="00843FC1"/>
    <w:rsid w:val="008440EA"/>
    <w:rsid w:val="00845601"/>
    <w:rsid w:val="00845FCD"/>
    <w:rsid w:val="008467E7"/>
    <w:rsid w:val="00846AE2"/>
    <w:rsid w:val="00846C40"/>
    <w:rsid w:val="00847272"/>
    <w:rsid w:val="008478A8"/>
    <w:rsid w:val="00847E7B"/>
    <w:rsid w:val="008518AF"/>
    <w:rsid w:val="00852BAF"/>
    <w:rsid w:val="00853227"/>
    <w:rsid w:val="00853C30"/>
    <w:rsid w:val="00853DF0"/>
    <w:rsid w:val="00854767"/>
    <w:rsid w:val="008558EB"/>
    <w:rsid w:val="00855C19"/>
    <w:rsid w:val="00855C5C"/>
    <w:rsid w:val="0085629A"/>
    <w:rsid w:val="00856370"/>
    <w:rsid w:val="0086231C"/>
    <w:rsid w:val="00862481"/>
    <w:rsid w:val="00862D1A"/>
    <w:rsid w:val="00862D77"/>
    <w:rsid w:val="00863340"/>
    <w:rsid w:val="00865972"/>
    <w:rsid w:val="00865B6A"/>
    <w:rsid w:val="00865E5D"/>
    <w:rsid w:val="00866069"/>
    <w:rsid w:val="00871AF3"/>
    <w:rsid w:val="0087291F"/>
    <w:rsid w:val="00874512"/>
    <w:rsid w:val="00874BA3"/>
    <w:rsid w:val="00874ED5"/>
    <w:rsid w:val="00875A30"/>
    <w:rsid w:val="008801DC"/>
    <w:rsid w:val="00880557"/>
    <w:rsid w:val="00881644"/>
    <w:rsid w:val="00881F99"/>
    <w:rsid w:val="0088208F"/>
    <w:rsid w:val="00883077"/>
    <w:rsid w:val="00883507"/>
    <w:rsid w:val="00884FEA"/>
    <w:rsid w:val="00885AE5"/>
    <w:rsid w:val="00887302"/>
    <w:rsid w:val="00887462"/>
    <w:rsid w:val="008879C7"/>
    <w:rsid w:val="00890233"/>
    <w:rsid w:val="008905D5"/>
    <w:rsid w:val="0089072C"/>
    <w:rsid w:val="00890CBA"/>
    <w:rsid w:val="008918D0"/>
    <w:rsid w:val="00893694"/>
    <w:rsid w:val="00893DFF"/>
    <w:rsid w:val="00894FC7"/>
    <w:rsid w:val="008955AA"/>
    <w:rsid w:val="0089598A"/>
    <w:rsid w:val="00897590"/>
    <w:rsid w:val="0089779F"/>
    <w:rsid w:val="00897D44"/>
    <w:rsid w:val="008A0FC2"/>
    <w:rsid w:val="008A12E0"/>
    <w:rsid w:val="008A144F"/>
    <w:rsid w:val="008A14CB"/>
    <w:rsid w:val="008A1F87"/>
    <w:rsid w:val="008A284E"/>
    <w:rsid w:val="008A2E21"/>
    <w:rsid w:val="008A3C96"/>
    <w:rsid w:val="008A56A0"/>
    <w:rsid w:val="008A75AC"/>
    <w:rsid w:val="008B0496"/>
    <w:rsid w:val="008B0B62"/>
    <w:rsid w:val="008B11AB"/>
    <w:rsid w:val="008B13AC"/>
    <w:rsid w:val="008B17CB"/>
    <w:rsid w:val="008B3EB6"/>
    <w:rsid w:val="008B4019"/>
    <w:rsid w:val="008B51C3"/>
    <w:rsid w:val="008B5262"/>
    <w:rsid w:val="008B5B2E"/>
    <w:rsid w:val="008B65C9"/>
    <w:rsid w:val="008C130E"/>
    <w:rsid w:val="008C2D4A"/>
    <w:rsid w:val="008C30B3"/>
    <w:rsid w:val="008C39B8"/>
    <w:rsid w:val="008C3DB5"/>
    <w:rsid w:val="008C604D"/>
    <w:rsid w:val="008C6374"/>
    <w:rsid w:val="008C680D"/>
    <w:rsid w:val="008C72BB"/>
    <w:rsid w:val="008D04C3"/>
    <w:rsid w:val="008D2218"/>
    <w:rsid w:val="008D328C"/>
    <w:rsid w:val="008D3900"/>
    <w:rsid w:val="008D390A"/>
    <w:rsid w:val="008D4342"/>
    <w:rsid w:val="008D6B38"/>
    <w:rsid w:val="008D6D7E"/>
    <w:rsid w:val="008D6E1D"/>
    <w:rsid w:val="008E1291"/>
    <w:rsid w:val="008E37C2"/>
    <w:rsid w:val="008E5FAE"/>
    <w:rsid w:val="008E6234"/>
    <w:rsid w:val="008E7A0C"/>
    <w:rsid w:val="008F0285"/>
    <w:rsid w:val="008F17D2"/>
    <w:rsid w:val="008F227E"/>
    <w:rsid w:val="008F25C4"/>
    <w:rsid w:val="008F39B4"/>
    <w:rsid w:val="008F4162"/>
    <w:rsid w:val="008F4DC0"/>
    <w:rsid w:val="008F4F5C"/>
    <w:rsid w:val="008F5E38"/>
    <w:rsid w:val="008F6811"/>
    <w:rsid w:val="008F7463"/>
    <w:rsid w:val="009013DB"/>
    <w:rsid w:val="00901448"/>
    <w:rsid w:val="00901650"/>
    <w:rsid w:val="0090252C"/>
    <w:rsid w:val="0090322A"/>
    <w:rsid w:val="0090340C"/>
    <w:rsid w:val="00903E02"/>
    <w:rsid w:val="0090447F"/>
    <w:rsid w:val="009063F1"/>
    <w:rsid w:val="00907A9E"/>
    <w:rsid w:val="00907DB7"/>
    <w:rsid w:val="00910E9B"/>
    <w:rsid w:val="00911486"/>
    <w:rsid w:val="009114A8"/>
    <w:rsid w:val="009129A8"/>
    <w:rsid w:val="00913175"/>
    <w:rsid w:val="00913AF8"/>
    <w:rsid w:val="00914028"/>
    <w:rsid w:val="009148A1"/>
    <w:rsid w:val="009158A3"/>
    <w:rsid w:val="00915FFD"/>
    <w:rsid w:val="00916EC4"/>
    <w:rsid w:val="00916EDB"/>
    <w:rsid w:val="00920785"/>
    <w:rsid w:val="00920861"/>
    <w:rsid w:val="00921556"/>
    <w:rsid w:val="009222CF"/>
    <w:rsid w:val="0092294C"/>
    <w:rsid w:val="00922B13"/>
    <w:rsid w:val="009240E2"/>
    <w:rsid w:val="009242EF"/>
    <w:rsid w:val="00924B93"/>
    <w:rsid w:val="0092634E"/>
    <w:rsid w:val="00926B85"/>
    <w:rsid w:val="009271AB"/>
    <w:rsid w:val="00927AE3"/>
    <w:rsid w:val="009300F9"/>
    <w:rsid w:val="009315DD"/>
    <w:rsid w:val="00931B14"/>
    <w:rsid w:val="00931D4E"/>
    <w:rsid w:val="0093205B"/>
    <w:rsid w:val="00932291"/>
    <w:rsid w:val="00932861"/>
    <w:rsid w:val="00932DBE"/>
    <w:rsid w:val="0093408E"/>
    <w:rsid w:val="00934718"/>
    <w:rsid w:val="009352D9"/>
    <w:rsid w:val="00935E0F"/>
    <w:rsid w:val="00936E24"/>
    <w:rsid w:val="00937D18"/>
    <w:rsid w:val="00940311"/>
    <w:rsid w:val="00941FD5"/>
    <w:rsid w:val="00941FDF"/>
    <w:rsid w:val="00942CB6"/>
    <w:rsid w:val="00944731"/>
    <w:rsid w:val="009447A5"/>
    <w:rsid w:val="00945914"/>
    <w:rsid w:val="00947A42"/>
    <w:rsid w:val="00950051"/>
    <w:rsid w:val="009506E9"/>
    <w:rsid w:val="00950B54"/>
    <w:rsid w:val="00951AC1"/>
    <w:rsid w:val="00951F21"/>
    <w:rsid w:val="00952DDF"/>
    <w:rsid w:val="009539F6"/>
    <w:rsid w:val="009543E7"/>
    <w:rsid w:val="009548A0"/>
    <w:rsid w:val="009555FE"/>
    <w:rsid w:val="00955A43"/>
    <w:rsid w:val="00957CD8"/>
    <w:rsid w:val="00960467"/>
    <w:rsid w:val="009610A3"/>
    <w:rsid w:val="009611AA"/>
    <w:rsid w:val="00962A63"/>
    <w:rsid w:val="00963339"/>
    <w:rsid w:val="0096355E"/>
    <w:rsid w:val="009638A6"/>
    <w:rsid w:val="00963B6A"/>
    <w:rsid w:val="00963D92"/>
    <w:rsid w:val="0096599F"/>
    <w:rsid w:val="009672C8"/>
    <w:rsid w:val="009706ED"/>
    <w:rsid w:val="00970950"/>
    <w:rsid w:val="00972168"/>
    <w:rsid w:val="00972F88"/>
    <w:rsid w:val="00973699"/>
    <w:rsid w:val="00973E16"/>
    <w:rsid w:val="0097443D"/>
    <w:rsid w:val="009760FC"/>
    <w:rsid w:val="009776E1"/>
    <w:rsid w:val="009812D4"/>
    <w:rsid w:val="0098142D"/>
    <w:rsid w:val="00981D03"/>
    <w:rsid w:val="00981D8E"/>
    <w:rsid w:val="009835E1"/>
    <w:rsid w:val="00984A9A"/>
    <w:rsid w:val="009860AD"/>
    <w:rsid w:val="00986B07"/>
    <w:rsid w:val="00986B52"/>
    <w:rsid w:val="00987AB1"/>
    <w:rsid w:val="00991CF7"/>
    <w:rsid w:val="00991EC7"/>
    <w:rsid w:val="009920D8"/>
    <w:rsid w:val="00992CBB"/>
    <w:rsid w:val="00994150"/>
    <w:rsid w:val="009949EE"/>
    <w:rsid w:val="00994D7C"/>
    <w:rsid w:val="009952F5"/>
    <w:rsid w:val="009966EB"/>
    <w:rsid w:val="00996928"/>
    <w:rsid w:val="00996C07"/>
    <w:rsid w:val="009A6F80"/>
    <w:rsid w:val="009A78F2"/>
    <w:rsid w:val="009A7F7E"/>
    <w:rsid w:val="009B0991"/>
    <w:rsid w:val="009B186C"/>
    <w:rsid w:val="009B1DF4"/>
    <w:rsid w:val="009B2E17"/>
    <w:rsid w:val="009B31A0"/>
    <w:rsid w:val="009B38BE"/>
    <w:rsid w:val="009B3AB7"/>
    <w:rsid w:val="009B410E"/>
    <w:rsid w:val="009B513B"/>
    <w:rsid w:val="009B58FA"/>
    <w:rsid w:val="009B6DAE"/>
    <w:rsid w:val="009B6DC0"/>
    <w:rsid w:val="009C176D"/>
    <w:rsid w:val="009C1B2B"/>
    <w:rsid w:val="009C21A3"/>
    <w:rsid w:val="009C3D0F"/>
    <w:rsid w:val="009C4780"/>
    <w:rsid w:val="009C5243"/>
    <w:rsid w:val="009C6373"/>
    <w:rsid w:val="009C74F4"/>
    <w:rsid w:val="009D2549"/>
    <w:rsid w:val="009D3783"/>
    <w:rsid w:val="009D41A2"/>
    <w:rsid w:val="009D53B0"/>
    <w:rsid w:val="009D5427"/>
    <w:rsid w:val="009D576E"/>
    <w:rsid w:val="009D59E8"/>
    <w:rsid w:val="009D63F5"/>
    <w:rsid w:val="009D6B5A"/>
    <w:rsid w:val="009E0FBE"/>
    <w:rsid w:val="009E1B19"/>
    <w:rsid w:val="009E2BD0"/>
    <w:rsid w:val="009E3B95"/>
    <w:rsid w:val="009E4D37"/>
    <w:rsid w:val="009E4E3C"/>
    <w:rsid w:val="009E65C5"/>
    <w:rsid w:val="009F0295"/>
    <w:rsid w:val="009F0987"/>
    <w:rsid w:val="009F0D00"/>
    <w:rsid w:val="009F22E1"/>
    <w:rsid w:val="009F3391"/>
    <w:rsid w:val="009F35E2"/>
    <w:rsid w:val="009F3DB6"/>
    <w:rsid w:val="009F4898"/>
    <w:rsid w:val="009F530A"/>
    <w:rsid w:val="009F65E0"/>
    <w:rsid w:val="009F65F9"/>
    <w:rsid w:val="009F68BA"/>
    <w:rsid w:val="009F75A4"/>
    <w:rsid w:val="00A00653"/>
    <w:rsid w:val="00A0246B"/>
    <w:rsid w:val="00A02811"/>
    <w:rsid w:val="00A02D65"/>
    <w:rsid w:val="00A03130"/>
    <w:rsid w:val="00A0445F"/>
    <w:rsid w:val="00A04DD7"/>
    <w:rsid w:val="00A057D0"/>
    <w:rsid w:val="00A06277"/>
    <w:rsid w:val="00A0754C"/>
    <w:rsid w:val="00A079DC"/>
    <w:rsid w:val="00A07E79"/>
    <w:rsid w:val="00A111C2"/>
    <w:rsid w:val="00A1143B"/>
    <w:rsid w:val="00A122E8"/>
    <w:rsid w:val="00A1281D"/>
    <w:rsid w:val="00A13E22"/>
    <w:rsid w:val="00A16059"/>
    <w:rsid w:val="00A160EF"/>
    <w:rsid w:val="00A16A69"/>
    <w:rsid w:val="00A16B65"/>
    <w:rsid w:val="00A1789F"/>
    <w:rsid w:val="00A17977"/>
    <w:rsid w:val="00A203B1"/>
    <w:rsid w:val="00A21068"/>
    <w:rsid w:val="00A217C5"/>
    <w:rsid w:val="00A2293D"/>
    <w:rsid w:val="00A237CD"/>
    <w:rsid w:val="00A23A87"/>
    <w:rsid w:val="00A24020"/>
    <w:rsid w:val="00A24264"/>
    <w:rsid w:val="00A24A99"/>
    <w:rsid w:val="00A258A5"/>
    <w:rsid w:val="00A2650D"/>
    <w:rsid w:val="00A26A5F"/>
    <w:rsid w:val="00A26B3B"/>
    <w:rsid w:val="00A27120"/>
    <w:rsid w:val="00A27AAD"/>
    <w:rsid w:val="00A303BF"/>
    <w:rsid w:val="00A30CFB"/>
    <w:rsid w:val="00A31BE3"/>
    <w:rsid w:val="00A32886"/>
    <w:rsid w:val="00A3379D"/>
    <w:rsid w:val="00A338E7"/>
    <w:rsid w:val="00A3498A"/>
    <w:rsid w:val="00A352CB"/>
    <w:rsid w:val="00A35CAA"/>
    <w:rsid w:val="00A36CBB"/>
    <w:rsid w:val="00A36DA3"/>
    <w:rsid w:val="00A36E7F"/>
    <w:rsid w:val="00A41A20"/>
    <w:rsid w:val="00A41E65"/>
    <w:rsid w:val="00A43E0A"/>
    <w:rsid w:val="00A43F40"/>
    <w:rsid w:val="00A4438F"/>
    <w:rsid w:val="00A45F70"/>
    <w:rsid w:val="00A46805"/>
    <w:rsid w:val="00A46F89"/>
    <w:rsid w:val="00A473E3"/>
    <w:rsid w:val="00A50585"/>
    <w:rsid w:val="00A507CF"/>
    <w:rsid w:val="00A51D5F"/>
    <w:rsid w:val="00A51E1D"/>
    <w:rsid w:val="00A5211A"/>
    <w:rsid w:val="00A52685"/>
    <w:rsid w:val="00A530C7"/>
    <w:rsid w:val="00A55F5B"/>
    <w:rsid w:val="00A56170"/>
    <w:rsid w:val="00A56C4A"/>
    <w:rsid w:val="00A5749A"/>
    <w:rsid w:val="00A600C4"/>
    <w:rsid w:val="00A60185"/>
    <w:rsid w:val="00A60766"/>
    <w:rsid w:val="00A607BA"/>
    <w:rsid w:val="00A62228"/>
    <w:rsid w:val="00A62B06"/>
    <w:rsid w:val="00A62F60"/>
    <w:rsid w:val="00A6361E"/>
    <w:rsid w:val="00A63AC4"/>
    <w:rsid w:val="00A6504F"/>
    <w:rsid w:val="00A661EA"/>
    <w:rsid w:val="00A664F2"/>
    <w:rsid w:val="00A71BC8"/>
    <w:rsid w:val="00A72032"/>
    <w:rsid w:val="00A72A00"/>
    <w:rsid w:val="00A73FC0"/>
    <w:rsid w:val="00A74A54"/>
    <w:rsid w:val="00A7551B"/>
    <w:rsid w:val="00A760DD"/>
    <w:rsid w:val="00A7620C"/>
    <w:rsid w:val="00A7739E"/>
    <w:rsid w:val="00A81B09"/>
    <w:rsid w:val="00A82208"/>
    <w:rsid w:val="00A83075"/>
    <w:rsid w:val="00A830E5"/>
    <w:rsid w:val="00A846A1"/>
    <w:rsid w:val="00A84A0B"/>
    <w:rsid w:val="00A870BC"/>
    <w:rsid w:val="00A87135"/>
    <w:rsid w:val="00A903A2"/>
    <w:rsid w:val="00A90A9F"/>
    <w:rsid w:val="00A91436"/>
    <w:rsid w:val="00A9159B"/>
    <w:rsid w:val="00A91C9B"/>
    <w:rsid w:val="00A922A2"/>
    <w:rsid w:val="00A923D3"/>
    <w:rsid w:val="00A9294E"/>
    <w:rsid w:val="00A92A4B"/>
    <w:rsid w:val="00A93280"/>
    <w:rsid w:val="00A9424B"/>
    <w:rsid w:val="00A94C26"/>
    <w:rsid w:val="00A95127"/>
    <w:rsid w:val="00A951EA"/>
    <w:rsid w:val="00A9642D"/>
    <w:rsid w:val="00A966E0"/>
    <w:rsid w:val="00A967F1"/>
    <w:rsid w:val="00A96E71"/>
    <w:rsid w:val="00AA0B16"/>
    <w:rsid w:val="00AA17D5"/>
    <w:rsid w:val="00AA19EE"/>
    <w:rsid w:val="00AA1D7D"/>
    <w:rsid w:val="00AA2548"/>
    <w:rsid w:val="00AA3555"/>
    <w:rsid w:val="00AA395F"/>
    <w:rsid w:val="00AA48B9"/>
    <w:rsid w:val="00AA4901"/>
    <w:rsid w:val="00AA533D"/>
    <w:rsid w:val="00AA58C4"/>
    <w:rsid w:val="00AA5F91"/>
    <w:rsid w:val="00AA7003"/>
    <w:rsid w:val="00AB0052"/>
    <w:rsid w:val="00AB11C8"/>
    <w:rsid w:val="00AB13E6"/>
    <w:rsid w:val="00AB1499"/>
    <w:rsid w:val="00AB1F0D"/>
    <w:rsid w:val="00AB2BA9"/>
    <w:rsid w:val="00AC08A8"/>
    <w:rsid w:val="00AC0DFB"/>
    <w:rsid w:val="00AC1885"/>
    <w:rsid w:val="00AC2536"/>
    <w:rsid w:val="00AC536A"/>
    <w:rsid w:val="00AC581A"/>
    <w:rsid w:val="00AC63A1"/>
    <w:rsid w:val="00AC66AF"/>
    <w:rsid w:val="00AC695A"/>
    <w:rsid w:val="00AD1B69"/>
    <w:rsid w:val="00AD1D29"/>
    <w:rsid w:val="00AD22A8"/>
    <w:rsid w:val="00AD22AC"/>
    <w:rsid w:val="00AD257F"/>
    <w:rsid w:val="00AD3051"/>
    <w:rsid w:val="00AD39A5"/>
    <w:rsid w:val="00AD513B"/>
    <w:rsid w:val="00AD541F"/>
    <w:rsid w:val="00AD56C8"/>
    <w:rsid w:val="00AD58F2"/>
    <w:rsid w:val="00AD75D4"/>
    <w:rsid w:val="00AE0840"/>
    <w:rsid w:val="00AE107F"/>
    <w:rsid w:val="00AE1C02"/>
    <w:rsid w:val="00AE1E90"/>
    <w:rsid w:val="00AE25BD"/>
    <w:rsid w:val="00AE411E"/>
    <w:rsid w:val="00AE42AB"/>
    <w:rsid w:val="00AE7B62"/>
    <w:rsid w:val="00AE7E2C"/>
    <w:rsid w:val="00AF1F07"/>
    <w:rsid w:val="00AF2239"/>
    <w:rsid w:val="00AF441C"/>
    <w:rsid w:val="00AF53FE"/>
    <w:rsid w:val="00AF5C42"/>
    <w:rsid w:val="00AF656A"/>
    <w:rsid w:val="00AF66F1"/>
    <w:rsid w:val="00AF7F9B"/>
    <w:rsid w:val="00B0054D"/>
    <w:rsid w:val="00B016E0"/>
    <w:rsid w:val="00B024C7"/>
    <w:rsid w:val="00B04396"/>
    <w:rsid w:val="00B04631"/>
    <w:rsid w:val="00B049BB"/>
    <w:rsid w:val="00B04AF0"/>
    <w:rsid w:val="00B0512A"/>
    <w:rsid w:val="00B0529F"/>
    <w:rsid w:val="00B054AF"/>
    <w:rsid w:val="00B06D9E"/>
    <w:rsid w:val="00B070C6"/>
    <w:rsid w:val="00B07350"/>
    <w:rsid w:val="00B10215"/>
    <w:rsid w:val="00B107EC"/>
    <w:rsid w:val="00B10A56"/>
    <w:rsid w:val="00B10A70"/>
    <w:rsid w:val="00B10D21"/>
    <w:rsid w:val="00B1253A"/>
    <w:rsid w:val="00B126AB"/>
    <w:rsid w:val="00B1304B"/>
    <w:rsid w:val="00B13248"/>
    <w:rsid w:val="00B1418B"/>
    <w:rsid w:val="00B1498A"/>
    <w:rsid w:val="00B15CDE"/>
    <w:rsid w:val="00B1737B"/>
    <w:rsid w:val="00B21195"/>
    <w:rsid w:val="00B221B8"/>
    <w:rsid w:val="00B223B8"/>
    <w:rsid w:val="00B2363B"/>
    <w:rsid w:val="00B23D47"/>
    <w:rsid w:val="00B24B22"/>
    <w:rsid w:val="00B2507A"/>
    <w:rsid w:val="00B25310"/>
    <w:rsid w:val="00B2640D"/>
    <w:rsid w:val="00B2669C"/>
    <w:rsid w:val="00B318D2"/>
    <w:rsid w:val="00B32F8F"/>
    <w:rsid w:val="00B33643"/>
    <w:rsid w:val="00B33D8F"/>
    <w:rsid w:val="00B3492A"/>
    <w:rsid w:val="00B35C5E"/>
    <w:rsid w:val="00B36442"/>
    <w:rsid w:val="00B36A55"/>
    <w:rsid w:val="00B371BF"/>
    <w:rsid w:val="00B37C66"/>
    <w:rsid w:val="00B40BC4"/>
    <w:rsid w:val="00B40EF4"/>
    <w:rsid w:val="00B42E8A"/>
    <w:rsid w:val="00B4477F"/>
    <w:rsid w:val="00B47285"/>
    <w:rsid w:val="00B47623"/>
    <w:rsid w:val="00B500C5"/>
    <w:rsid w:val="00B50F79"/>
    <w:rsid w:val="00B51CA5"/>
    <w:rsid w:val="00B51D11"/>
    <w:rsid w:val="00B528B6"/>
    <w:rsid w:val="00B53F97"/>
    <w:rsid w:val="00B54500"/>
    <w:rsid w:val="00B548F9"/>
    <w:rsid w:val="00B54DE9"/>
    <w:rsid w:val="00B553EC"/>
    <w:rsid w:val="00B55B7A"/>
    <w:rsid w:val="00B55E3F"/>
    <w:rsid w:val="00B5617E"/>
    <w:rsid w:val="00B569A9"/>
    <w:rsid w:val="00B57CE7"/>
    <w:rsid w:val="00B6233C"/>
    <w:rsid w:val="00B63542"/>
    <w:rsid w:val="00B63C1E"/>
    <w:rsid w:val="00B64700"/>
    <w:rsid w:val="00B64DB5"/>
    <w:rsid w:val="00B64DBF"/>
    <w:rsid w:val="00B651CA"/>
    <w:rsid w:val="00B65997"/>
    <w:rsid w:val="00B65F09"/>
    <w:rsid w:val="00B6749C"/>
    <w:rsid w:val="00B67873"/>
    <w:rsid w:val="00B67F3E"/>
    <w:rsid w:val="00B70AD6"/>
    <w:rsid w:val="00B70D15"/>
    <w:rsid w:val="00B72543"/>
    <w:rsid w:val="00B725B6"/>
    <w:rsid w:val="00B72870"/>
    <w:rsid w:val="00B759A9"/>
    <w:rsid w:val="00B77A0D"/>
    <w:rsid w:val="00B77D11"/>
    <w:rsid w:val="00B82A4C"/>
    <w:rsid w:val="00B83495"/>
    <w:rsid w:val="00B835A2"/>
    <w:rsid w:val="00B83661"/>
    <w:rsid w:val="00B85127"/>
    <w:rsid w:val="00B85728"/>
    <w:rsid w:val="00B85BA9"/>
    <w:rsid w:val="00B863AF"/>
    <w:rsid w:val="00B865A1"/>
    <w:rsid w:val="00B87931"/>
    <w:rsid w:val="00B9080B"/>
    <w:rsid w:val="00B910A0"/>
    <w:rsid w:val="00B91FD6"/>
    <w:rsid w:val="00B92248"/>
    <w:rsid w:val="00B93821"/>
    <w:rsid w:val="00B93C93"/>
    <w:rsid w:val="00B93DD0"/>
    <w:rsid w:val="00B94F93"/>
    <w:rsid w:val="00B97732"/>
    <w:rsid w:val="00B97CE9"/>
    <w:rsid w:val="00B97EF3"/>
    <w:rsid w:val="00BA05B0"/>
    <w:rsid w:val="00BA11D4"/>
    <w:rsid w:val="00BA28B6"/>
    <w:rsid w:val="00BA2FD3"/>
    <w:rsid w:val="00BA3A7B"/>
    <w:rsid w:val="00BA3E00"/>
    <w:rsid w:val="00BA4775"/>
    <w:rsid w:val="00BA4CC5"/>
    <w:rsid w:val="00BA4E8C"/>
    <w:rsid w:val="00BA5294"/>
    <w:rsid w:val="00BA65A8"/>
    <w:rsid w:val="00BA6714"/>
    <w:rsid w:val="00BA6D19"/>
    <w:rsid w:val="00BA7461"/>
    <w:rsid w:val="00BA7DA9"/>
    <w:rsid w:val="00BB0D63"/>
    <w:rsid w:val="00BB1135"/>
    <w:rsid w:val="00BB1604"/>
    <w:rsid w:val="00BB3B78"/>
    <w:rsid w:val="00BB3C5B"/>
    <w:rsid w:val="00BB4DA4"/>
    <w:rsid w:val="00BB6045"/>
    <w:rsid w:val="00BB7A13"/>
    <w:rsid w:val="00BB7C5B"/>
    <w:rsid w:val="00BB7E2D"/>
    <w:rsid w:val="00BC03E1"/>
    <w:rsid w:val="00BC27D4"/>
    <w:rsid w:val="00BC30D3"/>
    <w:rsid w:val="00BC3696"/>
    <w:rsid w:val="00BC4215"/>
    <w:rsid w:val="00BC5D2B"/>
    <w:rsid w:val="00BC6B5B"/>
    <w:rsid w:val="00BC753E"/>
    <w:rsid w:val="00BD0336"/>
    <w:rsid w:val="00BD0C0A"/>
    <w:rsid w:val="00BD1085"/>
    <w:rsid w:val="00BD1A6F"/>
    <w:rsid w:val="00BD1CF4"/>
    <w:rsid w:val="00BD3009"/>
    <w:rsid w:val="00BD454E"/>
    <w:rsid w:val="00BD5B2F"/>
    <w:rsid w:val="00BD6AE7"/>
    <w:rsid w:val="00BD7F50"/>
    <w:rsid w:val="00BE02B0"/>
    <w:rsid w:val="00BE0805"/>
    <w:rsid w:val="00BE1304"/>
    <w:rsid w:val="00BE1C9D"/>
    <w:rsid w:val="00BE4021"/>
    <w:rsid w:val="00BE4371"/>
    <w:rsid w:val="00BE58F6"/>
    <w:rsid w:val="00BE6AB0"/>
    <w:rsid w:val="00BE6D3C"/>
    <w:rsid w:val="00BE7852"/>
    <w:rsid w:val="00BF1721"/>
    <w:rsid w:val="00BF493D"/>
    <w:rsid w:val="00BF4CF2"/>
    <w:rsid w:val="00BF5077"/>
    <w:rsid w:val="00BF51A8"/>
    <w:rsid w:val="00BF544B"/>
    <w:rsid w:val="00BF6A8B"/>
    <w:rsid w:val="00BF73E6"/>
    <w:rsid w:val="00BF76F9"/>
    <w:rsid w:val="00BF78BA"/>
    <w:rsid w:val="00BF7CEE"/>
    <w:rsid w:val="00C00D17"/>
    <w:rsid w:val="00C00D6F"/>
    <w:rsid w:val="00C01201"/>
    <w:rsid w:val="00C019E7"/>
    <w:rsid w:val="00C03880"/>
    <w:rsid w:val="00C11A59"/>
    <w:rsid w:val="00C1355B"/>
    <w:rsid w:val="00C135CF"/>
    <w:rsid w:val="00C136F3"/>
    <w:rsid w:val="00C140E8"/>
    <w:rsid w:val="00C14729"/>
    <w:rsid w:val="00C14F7D"/>
    <w:rsid w:val="00C15636"/>
    <w:rsid w:val="00C16300"/>
    <w:rsid w:val="00C16914"/>
    <w:rsid w:val="00C17480"/>
    <w:rsid w:val="00C203D9"/>
    <w:rsid w:val="00C205F0"/>
    <w:rsid w:val="00C21C70"/>
    <w:rsid w:val="00C21EEB"/>
    <w:rsid w:val="00C23D55"/>
    <w:rsid w:val="00C2491B"/>
    <w:rsid w:val="00C25CE4"/>
    <w:rsid w:val="00C25D25"/>
    <w:rsid w:val="00C261BE"/>
    <w:rsid w:val="00C2683F"/>
    <w:rsid w:val="00C26A6E"/>
    <w:rsid w:val="00C2710E"/>
    <w:rsid w:val="00C30141"/>
    <w:rsid w:val="00C30AEF"/>
    <w:rsid w:val="00C3184D"/>
    <w:rsid w:val="00C326CA"/>
    <w:rsid w:val="00C34025"/>
    <w:rsid w:val="00C34065"/>
    <w:rsid w:val="00C3623D"/>
    <w:rsid w:val="00C364B5"/>
    <w:rsid w:val="00C40B48"/>
    <w:rsid w:val="00C418DE"/>
    <w:rsid w:val="00C41A25"/>
    <w:rsid w:val="00C43061"/>
    <w:rsid w:val="00C439A7"/>
    <w:rsid w:val="00C45A6F"/>
    <w:rsid w:val="00C4714E"/>
    <w:rsid w:val="00C47A7F"/>
    <w:rsid w:val="00C47A9C"/>
    <w:rsid w:val="00C47D08"/>
    <w:rsid w:val="00C5138E"/>
    <w:rsid w:val="00C51CCA"/>
    <w:rsid w:val="00C53B97"/>
    <w:rsid w:val="00C5504F"/>
    <w:rsid w:val="00C56551"/>
    <w:rsid w:val="00C57B55"/>
    <w:rsid w:val="00C60417"/>
    <w:rsid w:val="00C604EE"/>
    <w:rsid w:val="00C6074E"/>
    <w:rsid w:val="00C61818"/>
    <w:rsid w:val="00C62D9B"/>
    <w:rsid w:val="00C63376"/>
    <w:rsid w:val="00C64B42"/>
    <w:rsid w:val="00C65476"/>
    <w:rsid w:val="00C6687A"/>
    <w:rsid w:val="00C66C28"/>
    <w:rsid w:val="00C66CDD"/>
    <w:rsid w:val="00C6709F"/>
    <w:rsid w:val="00C678E0"/>
    <w:rsid w:val="00C67E9B"/>
    <w:rsid w:val="00C70949"/>
    <w:rsid w:val="00C71A53"/>
    <w:rsid w:val="00C72C43"/>
    <w:rsid w:val="00C74770"/>
    <w:rsid w:val="00C74F97"/>
    <w:rsid w:val="00C761B1"/>
    <w:rsid w:val="00C80114"/>
    <w:rsid w:val="00C80380"/>
    <w:rsid w:val="00C806FD"/>
    <w:rsid w:val="00C80BD4"/>
    <w:rsid w:val="00C80D7D"/>
    <w:rsid w:val="00C8145C"/>
    <w:rsid w:val="00C819D6"/>
    <w:rsid w:val="00C81B51"/>
    <w:rsid w:val="00C81CA8"/>
    <w:rsid w:val="00C8276E"/>
    <w:rsid w:val="00C83D82"/>
    <w:rsid w:val="00C842AC"/>
    <w:rsid w:val="00C8556B"/>
    <w:rsid w:val="00C85C62"/>
    <w:rsid w:val="00C8602C"/>
    <w:rsid w:val="00C860FB"/>
    <w:rsid w:val="00C9195F"/>
    <w:rsid w:val="00C91D7F"/>
    <w:rsid w:val="00C92702"/>
    <w:rsid w:val="00C93F7C"/>
    <w:rsid w:val="00C94AAC"/>
    <w:rsid w:val="00C94E19"/>
    <w:rsid w:val="00C950E7"/>
    <w:rsid w:val="00C95D4F"/>
    <w:rsid w:val="00C963D7"/>
    <w:rsid w:val="00C96688"/>
    <w:rsid w:val="00C97275"/>
    <w:rsid w:val="00C977F2"/>
    <w:rsid w:val="00CA020A"/>
    <w:rsid w:val="00CA0723"/>
    <w:rsid w:val="00CA115D"/>
    <w:rsid w:val="00CA1607"/>
    <w:rsid w:val="00CA1ADC"/>
    <w:rsid w:val="00CA2237"/>
    <w:rsid w:val="00CA307C"/>
    <w:rsid w:val="00CA3ABF"/>
    <w:rsid w:val="00CA4E72"/>
    <w:rsid w:val="00CA67A1"/>
    <w:rsid w:val="00CA7096"/>
    <w:rsid w:val="00CA7199"/>
    <w:rsid w:val="00CB0574"/>
    <w:rsid w:val="00CB167E"/>
    <w:rsid w:val="00CB1690"/>
    <w:rsid w:val="00CB1779"/>
    <w:rsid w:val="00CB1C44"/>
    <w:rsid w:val="00CB2582"/>
    <w:rsid w:val="00CB26DF"/>
    <w:rsid w:val="00CB2752"/>
    <w:rsid w:val="00CB2A7A"/>
    <w:rsid w:val="00CB2FBD"/>
    <w:rsid w:val="00CB3121"/>
    <w:rsid w:val="00CB4707"/>
    <w:rsid w:val="00CB4EA6"/>
    <w:rsid w:val="00CB6DD0"/>
    <w:rsid w:val="00CB74F4"/>
    <w:rsid w:val="00CB7CDC"/>
    <w:rsid w:val="00CC06F3"/>
    <w:rsid w:val="00CC0A8C"/>
    <w:rsid w:val="00CC111A"/>
    <w:rsid w:val="00CC193A"/>
    <w:rsid w:val="00CC29ED"/>
    <w:rsid w:val="00CC36F6"/>
    <w:rsid w:val="00CC39A5"/>
    <w:rsid w:val="00CC4365"/>
    <w:rsid w:val="00CC4B92"/>
    <w:rsid w:val="00CC60C8"/>
    <w:rsid w:val="00CC710A"/>
    <w:rsid w:val="00CD0672"/>
    <w:rsid w:val="00CD0F56"/>
    <w:rsid w:val="00CD11B0"/>
    <w:rsid w:val="00CD15D3"/>
    <w:rsid w:val="00CD26FF"/>
    <w:rsid w:val="00CD3A37"/>
    <w:rsid w:val="00CD3D6F"/>
    <w:rsid w:val="00CD47FD"/>
    <w:rsid w:val="00CD681F"/>
    <w:rsid w:val="00CE0D98"/>
    <w:rsid w:val="00CE1526"/>
    <w:rsid w:val="00CE71C2"/>
    <w:rsid w:val="00CE7A1F"/>
    <w:rsid w:val="00CF02E4"/>
    <w:rsid w:val="00CF0C5B"/>
    <w:rsid w:val="00CF1947"/>
    <w:rsid w:val="00CF2047"/>
    <w:rsid w:val="00CF20A5"/>
    <w:rsid w:val="00CF225B"/>
    <w:rsid w:val="00CF2303"/>
    <w:rsid w:val="00CF2BF1"/>
    <w:rsid w:val="00CF34E9"/>
    <w:rsid w:val="00CF39EC"/>
    <w:rsid w:val="00CF3C81"/>
    <w:rsid w:val="00CF42D5"/>
    <w:rsid w:val="00CF4EDA"/>
    <w:rsid w:val="00CF5DEA"/>
    <w:rsid w:val="00CF6B14"/>
    <w:rsid w:val="00D00366"/>
    <w:rsid w:val="00D00367"/>
    <w:rsid w:val="00D00CE8"/>
    <w:rsid w:val="00D01406"/>
    <w:rsid w:val="00D021CB"/>
    <w:rsid w:val="00D042A7"/>
    <w:rsid w:val="00D04E2E"/>
    <w:rsid w:val="00D04F90"/>
    <w:rsid w:val="00D05392"/>
    <w:rsid w:val="00D058B2"/>
    <w:rsid w:val="00D06D63"/>
    <w:rsid w:val="00D10F1A"/>
    <w:rsid w:val="00D11421"/>
    <w:rsid w:val="00D116BD"/>
    <w:rsid w:val="00D116F8"/>
    <w:rsid w:val="00D12E37"/>
    <w:rsid w:val="00D13EDC"/>
    <w:rsid w:val="00D15D05"/>
    <w:rsid w:val="00D17596"/>
    <w:rsid w:val="00D17C2C"/>
    <w:rsid w:val="00D2021F"/>
    <w:rsid w:val="00D20E43"/>
    <w:rsid w:val="00D2172B"/>
    <w:rsid w:val="00D21799"/>
    <w:rsid w:val="00D2181D"/>
    <w:rsid w:val="00D21D54"/>
    <w:rsid w:val="00D22640"/>
    <w:rsid w:val="00D23086"/>
    <w:rsid w:val="00D251AD"/>
    <w:rsid w:val="00D26A68"/>
    <w:rsid w:val="00D26D3A"/>
    <w:rsid w:val="00D2757F"/>
    <w:rsid w:val="00D30427"/>
    <w:rsid w:val="00D30E42"/>
    <w:rsid w:val="00D31AC4"/>
    <w:rsid w:val="00D31F85"/>
    <w:rsid w:val="00D33099"/>
    <w:rsid w:val="00D33373"/>
    <w:rsid w:val="00D33ABB"/>
    <w:rsid w:val="00D33E10"/>
    <w:rsid w:val="00D34AD1"/>
    <w:rsid w:val="00D359C1"/>
    <w:rsid w:val="00D36AD9"/>
    <w:rsid w:val="00D37A2E"/>
    <w:rsid w:val="00D37C4C"/>
    <w:rsid w:val="00D37DEF"/>
    <w:rsid w:val="00D4091A"/>
    <w:rsid w:val="00D40D3B"/>
    <w:rsid w:val="00D4203C"/>
    <w:rsid w:val="00D425FB"/>
    <w:rsid w:val="00D42A9F"/>
    <w:rsid w:val="00D43FA5"/>
    <w:rsid w:val="00D44332"/>
    <w:rsid w:val="00D45EE3"/>
    <w:rsid w:val="00D469E9"/>
    <w:rsid w:val="00D46E79"/>
    <w:rsid w:val="00D50618"/>
    <w:rsid w:val="00D509E9"/>
    <w:rsid w:val="00D51CBA"/>
    <w:rsid w:val="00D52A17"/>
    <w:rsid w:val="00D52DDF"/>
    <w:rsid w:val="00D52F55"/>
    <w:rsid w:val="00D53B1C"/>
    <w:rsid w:val="00D53CEB"/>
    <w:rsid w:val="00D53D9F"/>
    <w:rsid w:val="00D546B1"/>
    <w:rsid w:val="00D54CE3"/>
    <w:rsid w:val="00D55AFC"/>
    <w:rsid w:val="00D61416"/>
    <w:rsid w:val="00D61B8B"/>
    <w:rsid w:val="00D624A5"/>
    <w:rsid w:val="00D62625"/>
    <w:rsid w:val="00D6314E"/>
    <w:rsid w:val="00D638A8"/>
    <w:rsid w:val="00D63FAD"/>
    <w:rsid w:val="00D65032"/>
    <w:rsid w:val="00D65221"/>
    <w:rsid w:val="00D676B4"/>
    <w:rsid w:val="00D7047D"/>
    <w:rsid w:val="00D721F5"/>
    <w:rsid w:val="00D72B49"/>
    <w:rsid w:val="00D7345B"/>
    <w:rsid w:val="00D73B02"/>
    <w:rsid w:val="00D746C0"/>
    <w:rsid w:val="00D7611E"/>
    <w:rsid w:val="00D83379"/>
    <w:rsid w:val="00D8382D"/>
    <w:rsid w:val="00D85982"/>
    <w:rsid w:val="00D86EFD"/>
    <w:rsid w:val="00D91861"/>
    <w:rsid w:val="00D91AA5"/>
    <w:rsid w:val="00D9393E"/>
    <w:rsid w:val="00D94393"/>
    <w:rsid w:val="00D9469D"/>
    <w:rsid w:val="00D95906"/>
    <w:rsid w:val="00D95ACB"/>
    <w:rsid w:val="00D9625A"/>
    <w:rsid w:val="00D9705C"/>
    <w:rsid w:val="00D975B6"/>
    <w:rsid w:val="00DA0303"/>
    <w:rsid w:val="00DA09C5"/>
    <w:rsid w:val="00DA111A"/>
    <w:rsid w:val="00DA1784"/>
    <w:rsid w:val="00DA18ED"/>
    <w:rsid w:val="00DA1B12"/>
    <w:rsid w:val="00DA1CAA"/>
    <w:rsid w:val="00DA28C3"/>
    <w:rsid w:val="00DA2BB4"/>
    <w:rsid w:val="00DA32F4"/>
    <w:rsid w:val="00DA35C6"/>
    <w:rsid w:val="00DA41B9"/>
    <w:rsid w:val="00DA4337"/>
    <w:rsid w:val="00DA532E"/>
    <w:rsid w:val="00DA54C9"/>
    <w:rsid w:val="00DA6739"/>
    <w:rsid w:val="00DA6CAE"/>
    <w:rsid w:val="00DB1A9E"/>
    <w:rsid w:val="00DB1E64"/>
    <w:rsid w:val="00DB24C6"/>
    <w:rsid w:val="00DB31D6"/>
    <w:rsid w:val="00DB38CC"/>
    <w:rsid w:val="00DB4005"/>
    <w:rsid w:val="00DB4704"/>
    <w:rsid w:val="00DB482C"/>
    <w:rsid w:val="00DB6464"/>
    <w:rsid w:val="00DC13AA"/>
    <w:rsid w:val="00DC1EA2"/>
    <w:rsid w:val="00DC34EB"/>
    <w:rsid w:val="00DC7E47"/>
    <w:rsid w:val="00DC7EAF"/>
    <w:rsid w:val="00DD25F0"/>
    <w:rsid w:val="00DD2987"/>
    <w:rsid w:val="00DD3510"/>
    <w:rsid w:val="00DD3675"/>
    <w:rsid w:val="00DD4ABD"/>
    <w:rsid w:val="00DD580A"/>
    <w:rsid w:val="00DD6C35"/>
    <w:rsid w:val="00DD7613"/>
    <w:rsid w:val="00DE1B69"/>
    <w:rsid w:val="00DE268A"/>
    <w:rsid w:val="00DE40CC"/>
    <w:rsid w:val="00DE4C63"/>
    <w:rsid w:val="00DE5B39"/>
    <w:rsid w:val="00DE6290"/>
    <w:rsid w:val="00DE7346"/>
    <w:rsid w:val="00DE75F7"/>
    <w:rsid w:val="00DF0C06"/>
    <w:rsid w:val="00DF18B2"/>
    <w:rsid w:val="00DF1E5B"/>
    <w:rsid w:val="00DF2275"/>
    <w:rsid w:val="00DF22CE"/>
    <w:rsid w:val="00DF2ADA"/>
    <w:rsid w:val="00DF3F5E"/>
    <w:rsid w:val="00DF4546"/>
    <w:rsid w:val="00DF4982"/>
    <w:rsid w:val="00DF5653"/>
    <w:rsid w:val="00DF7F05"/>
    <w:rsid w:val="00E00159"/>
    <w:rsid w:val="00E01497"/>
    <w:rsid w:val="00E0295B"/>
    <w:rsid w:val="00E02BB5"/>
    <w:rsid w:val="00E02F55"/>
    <w:rsid w:val="00E030D8"/>
    <w:rsid w:val="00E0337E"/>
    <w:rsid w:val="00E04AF9"/>
    <w:rsid w:val="00E05346"/>
    <w:rsid w:val="00E0596E"/>
    <w:rsid w:val="00E05CAE"/>
    <w:rsid w:val="00E064E6"/>
    <w:rsid w:val="00E06F66"/>
    <w:rsid w:val="00E07A47"/>
    <w:rsid w:val="00E07CDF"/>
    <w:rsid w:val="00E1046C"/>
    <w:rsid w:val="00E104C8"/>
    <w:rsid w:val="00E10F05"/>
    <w:rsid w:val="00E12049"/>
    <w:rsid w:val="00E12848"/>
    <w:rsid w:val="00E13455"/>
    <w:rsid w:val="00E15098"/>
    <w:rsid w:val="00E156DC"/>
    <w:rsid w:val="00E15A41"/>
    <w:rsid w:val="00E15E71"/>
    <w:rsid w:val="00E17329"/>
    <w:rsid w:val="00E209C1"/>
    <w:rsid w:val="00E21022"/>
    <w:rsid w:val="00E22994"/>
    <w:rsid w:val="00E22C1D"/>
    <w:rsid w:val="00E232B0"/>
    <w:rsid w:val="00E234E8"/>
    <w:rsid w:val="00E237DB"/>
    <w:rsid w:val="00E246F2"/>
    <w:rsid w:val="00E2496C"/>
    <w:rsid w:val="00E2646C"/>
    <w:rsid w:val="00E26588"/>
    <w:rsid w:val="00E30568"/>
    <w:rsid w:val="00E315A7"/>
    <w:rsid w:val="00E32763"/>
    <w:rsid w:val="00E356E5"/>
    <w:rsid w:val="00E35ADB"/>
    <w:rsid w:val="00E36F81"/>
    <w:rsid w:val="00E37853"/>
    <w:rsid w:val="00E37DF0"/>
    <w:rsid w:val="00E400DB"/>
    <w:rsid w:val="00E40476"/>
    <w:rsid w:val="00E40482"/>
    <w:rsid w:val="00E404D4"/>
    <w:rsid w:val="00E40F93"/>
    <w:rsid w:val="00E4159E"/>
    <w:rsid w:val="00E41F03"/>
    <w:rsid w:val="00E43A1C"/>
    <w:rsid w:val="00E452AB"/>
    <w:rsid w:val="00E45445"/>
    <w:rsid w:val="00E45765"/>
    <w:rsid w:val="00E45D64"/>
    <w:rsid w:val="00E45D91"/>
    <w:rsid w:val="00E46B4E"/>
    <w:rsid w:val="00E5098C"/>
    <w:rsid w:val="00E50AEF"/>
    <w:rsid w:val="00E50F49"/>
    <w:rsid w:val="00E50FAB"/>
    <w:rsid w:val="00E50FFC"/>
    <w:rsid w:val="00E51202"/>
    <w:rsid w:val="00E512D0"/>
    <w:rsid w:val="00E5152C"/>
    <w:rsid w:val="00E51E7F"/>
    <w:rsid w:val="00E53212"/>
    <w:rsid w:val="00E53A3D"/>
    <w:rsid w:val="00E56038"/>
    <w:rsid w:val="00E5637D"/>
    <w:rsid w:val="00E5641D"/>
    <w:rsid w:val="00E5692F"/>
    <w:rsid w:val="00E571E0"/>
    <w:rsid w:val="00E60213"/>
    <w:rsid w:val="00E610D9"/>
    <w:rsid w:val="00E61DA9"/>
    <w:rsid w:val="00E63961"/>
    <w:rsid w:val="00E64069"/>
    <w:rsid w:val="00E661B2"/>
    <w:rsid w:val="00E66E02"/>
    <w:rsid w:val="00E6742C"/>
    <w:rsid w:val="00E712E9"/>
    <w:rsid w:val="00E7130D"/>
    <w:rsid w:val="00E71798"/>
    <w:rsid w:val="00E71AF8"/>
    <w:rsid w:val="00E72655"/>
    <w:rsid w:val="00E73FE6"/>
    <w:rsid w:val="00E7425C"/>
    <w:rsid w:val="00E74D29"/>
    <w:rsid w:val="00E756B1"/>
    <w:rsid w:val="00E80596"/>
    <w:rsid w:val="00E83C74"/>
    <w:rsid w:val="00E83CEE"/>
    <w:rsid w:val="00E83EBF"/>
    <w:rsid w:val="00E84C7D"/>
    <w:rsid w:val="00E84E7F"/>
    <w:rsid w:val="00E84EA7"/>
    <w:rsid w:val="00E85448"/>
    <w:rsid w:val="00E861E6"/>
    <w:rsid w:val="00E86D66"/>
    <w:rsid w:val="00E87AB8"/>
    <w:rsid w:val="00E87E1F"/>
    <w:rsid w:val="00E90BCB"/>
    <w:rsid w:val="00E90DA9"/>
    <w:rsid w:val="00E912AB"/>
    <w:rsid w:val="00E91848"/>
    <w:rsid w:val="00E91F18"/>
    <w:rsid w:val="00E9226D"/>
    <w:rsid w:val="00E97247"/>
    <w:rsid w:val="00E97866"/>
    <w:rsid w:val="00E979D3"/>
    <w:rsid w:val="00EA232D"/>
    <w:rsid w:val="00EA28AE"/>
    <w:rsid w:val="00EA34BC"/>
    <w:rsid w:val="00EA3653"/>
    <w:rsid w:val="00EA36BE"/>
    <w:rsid w:val="00EA3EF3"/>
    <w:rsid w:val="00EA416C"/>
    <w:rsid w:val="00EA5235"/>
    <w:rsid w:val="00EA580C"/>
    <w:rsid w:val="00EA5941"/>
    <w:rsid w:val="00EB06A7"/>
    <w:rsid w:val="00EB071C"/>
    <w:rsid w:val="00EB0A10"/>
    <w:rsid w:val="00EB0CA0"/>
    <w:rsid w:val="00EB20AD"/>
    <w:rsid w:val="00EB2585"/>
    <w:rsid w:val="00EB4445"/>
    <w:rsid w:val="00EB5892"/>
    <w:rsid w:val="00EB5F54"/>
    <w:rsid w:val="00EB60CE"/>
    <w:rsid w:val="00EB64D4"/>
    <w:rsid w:val="00EB775A"/>
    <w:rsid w:val="00EB7D53"/>
    <w:rsid w:val="00EB7DF0"/>
    <w:rsid w:val="00EB7E32"/>
    <w:rsid w:val="00EC1A7C"/>
    <w:rsid w:val="00EC5358"/>
    <w:rsid w:val="00EC5DC3"/>
    <w:rsid w:val="00EC696B"/>
    <w:rsid w:val="00EC7382"/>
    <w:rsid w:val="00EC7C39"/>
    <w:rsid w:val="00EC7E5C"/>
    <w:rsid w:val="00ED1646"/>
    <w:rsid w:val="00ED1FE5"/>
    <w:rsid w:val="00ED31BD"/>
    <w:rsid w:val="00ED51F2"/>
    <w:rsid w:val="00ED5421"/>
    <w:rsid w:val="00ED5B84"/>
    <w:rsid w:val="00ED7080"/>
    <w:rsid w:val="00EE002E"/>
    <w:rsid w:val="00EE05C2"/>
    <w:rsid w:val="00EE0A51"/>
    <w:rsid w:val="00EE0AC8"/>
    <w:rsid w:val="00EE0FD6"/>
    <w:rsid w:val="00EE1B30"/>
    <w:rsid w:val="00EE2197"/>
    <w:rsid w:val="00EE2787"/>
    <w:rsid w:val="00EE3146"/>
    <w:rsid w:val="00EE3E30"/>
    <w:rsid w:val="00EE5B96"/>
    <w:rsid w:val="00EE72DD"/>
    <w:rsid w:val="00EE7CA2"/>
    <w:rsid w:val="00EF0C7A"/>
    <w:rsid w:val="00EF30AB"/>
    <w:rsid w:val="00EF32BD"/>
    <w:rsid w:val="00EF3F01"/>
    <w:rsid w:val="00EF4BCE"/>
    <w:rsid w:val="00EF50BB"/>
    <w:rsid w:val="00EF53D7"/>
    <w:rsid w:val="00EF53FF"/>
    <w:rsid w:val="00EF5A4D"/>
    <w:rsid w:val="00EF677C"/>
    <w:rsid w:val="00EF6EFE"/>
    <w:rsid w:val="00EF7077"/>
    <w:rsid w:val="00EF7A46"/>
    <w:rsid w:val="00F00192"/>
    <w:rsid w:val="00F009C6"/>
    <w:rsid w:val="00F01DF6"/>
    <w:rsid w:val="00F03107"/>
    <w:rsid w:val="00F0340D"/>
    <w:rsid w:val="00F036AB"/>
    <w:rsid w:val="00F03CD4"/>
    <w:rsid w:val="00F04917"/>
    <w:rsid w:val="00F04BC3"/>
    <w:rsid w:val="00F059A6"/>
    <w:rsid w:val="00F05E1F"/>
    <w:rsid w:val="00F05EA5"/>
    <w:rsid w:val="00F06830"/>
    <w:rsid w:val="00F0693F"/>
    <w:rsid w:val="00F0720D"/>
    <w:rsid w:val="00F101D0"/>
    <w:rsid w:val="00F13751"/>
    <w:rsid w:val="00F13A96"/>
    <w:rsid w:val="00F140DC"/>
    <w:rsid w:val="00F1526C"/>
    <w:rsid w:val="00F16788"/>
    <w:rsid w:val="00F17119"/>
    <w:rsid w:val="00F2090B"/>
    <w:rsid w:val="00F20B20"/>
    <w:rsid w:val="00F21C68"/>
    <w:rsid w:val="00F22D62"/>
    <w:rsid w:val="00F23756"/>
    <w:rsid w:val="00F2523A"/>
    <w:rsid w:val="00F259D3"/>
    <w:rsid w:val="00F25FFA"/>
    <w:rsid w:val="00F27857"/>
    <w:rsid w:val="00F300B8"/>
    <w:rsid w:val="00F3067B"/>
    <w:rsid w:val="00F3069F"/>
    <w:rsid w:val="00F310D2"/>
    <w:rsid w:val="00F3163A"/>
    <w:rsid w:val="00F318DF"/>
    <w:rsid w:val="00F31DDC"/>
    <w:rsid w:val="00F32F8F"/>
    <w:rsid w:val="00F339ED"/>
    <w:rsid w:val="00F34768"/>
    <w:rsid w:val="00F3560E"/>
    <w:rsid w:val="00F35DD3"/>
    <w:rsid w:val="00F36214"/>
    <w:rsid w:val="00F366B2"/>
    <w:rsid w:val="00F368B4"/>
    <w:rsid w:val="00F36F3D"/>
    <w:rsid w:val="00F37086"/>
    <w:rsid w:val="00F3731E"/>
    <w:rsid w:val="00F37897"/>
    <w:rsid w:val="00F40DE9"/>
    <w:rsid w:val="00F41708"/>
    <w:rsid w:val="00F41DB5"/>
    <w:rsid w:val="00F42274"/>
    <w:rsid w:val="00F43181"/>
    <w:rsid w:val="00F46596"/>
    <w:rsid w:val="00F46B50"/>
    <w:rsid w:val="00F46D4F"/>
    <w:rsid w:val="00F4722A"/>
    <w:rsid w:val="00F4760C"/>
    <w:rsid w:val="00F477BD"/>
    <w:rsid w:val="00F50333"/>
    <w:rsid w:val="00F50666"/>
    <w:rsid w:val="00F5116C"/>
    <w:rsid w:val="00F51921"/>
    <w:rsid w:val="00F53491"/>
    <w:rsid w:val="00F53FAC"/>
    <w:rsid w:val="00F6090C"/>
    <w:rsid w:val="00F61066"/>
    <w:rsid w:val="00F61889"/>
    <w:rsid w:val="00F618E1"/>
    <w:rsid w:val="00F63B93"/>
    <w:rsid w:val="00F647C5"/>
    <w:rsid w:val="00F64FBA"/>
    <w:rsid w:val="00F65A1C"/>
    <w:rsid w:val="00F661F6"/>
    <w:rsid w:val="00F664F6"/>
    <w:rsid w:val="00F669A1"/>
    <w:rsid w:val="00F66F50"/>
    <w:rsid w:val="00F67461"/>
    <w:rsid w:val="00F6797D"/>
    <w:rsid w:val="00F71142"/>
    <w:rsid w:val="00F71228"/>
    <w:rsid w:val="00F71977"/>
    <w:rsid w:val="00F728CD"/>
    <w:rsid w:val="00F728FB"/>
    <w:rsid w:val="00F74BB2"/>
    <w:rsid w:val="00F75D1B"/>
    <w:rsid w:val="00F76362"/>
    <w:rsid w:val="00F777EF"/>
    <w:rsid w:val="00F80710"/>
    <w:rsid w:val="00F823F2"/>
    <w:rsid w:val="00F82B18"/>
    <w:rsid w:val="00F82FF8"/>
    <w:rsid w:val="00F8330D"/>
    <w:rsid w:val="00F84305"/>
    <w:rsid w:val="00F843BD"/>
    <w:rsid w:val="00F8485C"/>
    <w:rsid w:val="00F854A1"/>
    <w:rsid w:val="00F85A1B"/>
    <w:rsid w:val="00F85A75"/>
    <w:rsid w:val="00F86237"/>
    <w:rsid w:val="00F863F8"/>
    <w:rsid w:val="00F86A8D"/>
    <w:rsid w:val="00F87149"/>
    <w:rsid w:val="00F87F61"/>
    <w:rsid w:val="00F87FFE"/>
    <w:rsid w:val="00F9070F"/>
    <w:rsid w:val="00F91677"/>
    <w:rsid w:val="00F94EF8"/>
    <w:rsid w:val="00F954C9"/>
    <w:rsid w:val="00F95EC0"/>
    <w:rsid w:val="00F96031"/>
    <w:rsid w:val="00F96F44"/>
    <w:rsid w:val="00F96FAE"/>
    <w:rsid w:val="00F970E6"/>
    <w:rsid w:val="00FA063F"/>
    <w:rsid w:val="00FA0731"/>
    <w:rsid w:val="00FA1D22"/>
    <w:rsid w:val="00FA2121"/>
    <w:rsid w:val="00FA2341"/>
    <w:rsid w:val="00FA4268"/>
    <w:rsid w:val="00FA4CF0"/>
    <w:rsid w:val="00FA5B0C"/>
    <w:rsid w:val="00FA61AA"/>
    <w:rsid w:val="00FA69A4"/>
    <w:rsid w:val="00FB0258"/>
    <w:rsid w:val="00FB0669"/>
    <w:rsid w:val="00FB1279"/>
    <w:rsid w:val="00FB1495"/>
    <w:rsid w:val="00FB39E9"/>
    <w:rsid w:val="00FB48A9"/>
    <w:rsid w:val="00FB4A61"/>
    <w:rsid w:val="00FB4F0F"/>
    <w:rsid w:val="00FB5E37"/>
    <w:rsid w:val="00FB647E"/>
    <w:rsid w:val="00FB7661"/>
    <w:rsid w:val="00FC0413"/>
    <w:rsid w:val="00FC0CDA"/>
    <w:rsid w:val="00FC12A8"/>
    <w:rsid w:val="00FC1C88"/>
    <w:rsid w:val="00FC2547"/>
    <w:rsid w:val="00FC2885"/>
    <w:rsid w:val="00FC3A97"/>
    <w:rsid w:val="00FC4684"/>
    <w:rsid w:val="00FC4958"/>
    <w:rsid w:val="00FD11C9"/>
    <w:rsid w:val="00FD165C"/>
    <w:rsid w:val="00FD1694"/>
    <w:rsid w:val="00FD32B0"/>
    <w:rsid w:val="00FD3463"/>
    <w:rsid w:val="00FD50B6"/>
    <w:rsid w:val="00FD569D"/>
    <w:rsid w:val="00FD622F"/>
    <w:rsid w:val="00FD6900"/>
    <w:rsid w:val="00FD7636"/>
    <w:rsid w:val="00FD779C"/>
    <w:rsid w:val="00FE284B"/>
    <w:rsid w:val="00FE3229"/>
    <w:rsid w:val="00FE3482"/>
    <w:rsid w:val="00FE3D63"/>
    <w:rsid w:val="00FE44EB"/>
    <w:rsid w:val="00FE55B5"/>
    <w:rsid w:val="00FE6816"/>
    <w:rsid w:val="00FE74C3"/>
    <w:rsid w:val="00FE7A24"/>
    <w:rsid w:val="00FE7AAE"/>
    <w:rsid w:val="00FF17C2"/>
    <w:rsid w:val="00FF1D44"/>
    <w:rsid w:val="00FF215C"/>
    <w:rsid w:val="00FF2FE1"/>
    <w:rsid w:val="00FF49E8"/>
    <w:rsid w:val="00FF5189"/>
    <w:rsid w:val="00FF55EA"/>
    <w:rsid w:val="00FF672F"/>
    <w:rsid w:val="00FF6E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629"/>
    <o:shapelayout v:ext="edit">
      <o:idmap v:ext="edit" data="1"/>
      <o:rules v:ext="edit">
        <o:r id="V:Rule3" type="connector" idref="#_x0000_s1037"/>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25A"/>
    <w:pPr>
      <w:spacing w:after="200" w:line="276" w:lineRule="auto"/>
    </w:pPr>
    <w:rPr>
      <w:sz w:val="22"/>
      <w:szCs w:val="22"/>
      <w:lang w:eastAsia="en-US"/>
    </w:rPr>
  </w:style>
  <w:style w:type="paragraph" w:styleId="Heading1">
    <w:name w:val="heading 1"/>
    <w:basedOn w:val="Normal"/>
    <w:next w:val="Normal"/>
    <w:link w:val="Heading1Char"/>
    <w:uiPriority w:val="9"/>
    <w:qFormat/>
    <w:rsid w:val="00BE02B0"/>
    <w:pPr>
      <w:keepNext/>
      <w:numPr>
        <w:numId w:val="10"/>
      </w:numPr>
      <w:outlineLvl w:val="0"/>
    </w:pPr>
    <w:rPr>
      <w:rFonts w:cs="Arial"/>
      <w:b/>
    </w:rPr>
  </w:style>
  <w:style w:type="paragraph" w:styleId="Heading2">
    <w:name w:val="heading 2"/>
    <w:basedOn w:val="Normal"/>
    <w:next w:val="Normal"/>
    <w:link w:val="Heading2Char"/>
    <w:uiPriority w:val="9"/>
    <w:qFormat/>
    <w:rsid w:val="000E31C1"/>
    <w:pPr>
      <w:keepNext/>
      <w:numPr>
        <w:ilvl w:val="1"/>
        <w:numId w:val="10"/>
      </w:numPr>
      <w:outlineLvl w:val="1"/>
    </w:pPr>
    <w:rPr>
      <w:rFonts w:cs="Arial"/>
      <w:b/>
    </w:rPr>
  </w:style>
  <w:style w:type="paragraph" w:styleId="Heading3">
    <w:name w:val="heading 3"/>
    <w:basedOn w:val="Normal"/>
    <w:next w:val="Normal"/>
    <w:link w:val="Heading3Char"/>
    <w:uiPriority w:val="9"/>
    <w:qFormat/>
    <w:rsid w:val="000E31C1"/>
    <w:pPr>
      <w:keepNext/>
      <w:numPr>
        <w:ilvl w:val="2"/>
        <w:numId w:val="10"/>
      </w:numPr>
      <w:outlineLvl w:val="2"/>
    </w:pPr>
    <w:rPr>
      <w:rFonts w:cs="Arial"/>
      <w:b/>
      <w:i/>
    </w:rPr>
  </w:style>
  <w:style w:type="paragraph" w:styleId="Heading4">
    <w:name w:val="heading 4"/>
    <w:basedOn w:val="Normal"/>
    <w:next w:val="Normal"/>
    <w:link w:val="Heading4Char"/>
    <w:uiPriority w:val="9"/>
    <w:qFormat/>
    <w:rsid w:val="0023120F"/>
    <w:pPr>
      <w:keepNext/>
      <w:numPr>
        <w:ilvl w:val="3"/>
        <w:numId w:val="10"/>
      </w:numPr>
      <w:outlineLvl w:val="3"/>
    </w:pPr>
    <w:rPr>
      <w:rFonts w:cs="Arial"/>
      <w:i/>
      <w:u w:val="single"/>
    </w:rPr>
  </w:style>
  <w:style w:type="paragraph" w:styleId="Heading5">
    <w:name w:val="heading 5"/>
    <w:basedOn w:val="Normal"/>
    <w:next w:val="Normal"/>
    <w:link w:val="Heading5Char"/>
    <w:uiPriority w:val="99"/>
    <w:qFormat/>
    <w:rsid w:val="00183736"/>
    <w:pPr>
      <w:numPr>
        <w:ilvl w:val="4"/>
        <w:numId w:val="10"/>
      </w:numPr>
      <w:spacing w:before="240" w:after="60" w:line="240" w:lineRule="auto"/>
      <w:jc w:val="both"/>
      <w:outlineLvl w:val="4"/>
    </w:pPr>
    <w:rPr>
      <w:rFonts w:asciiTheme="minorHAnsi" w:eastAsia="Times New Roman" w:hAnsiTheme="minorHAnsi" w:cstheme="minorHAnsi"/>
      <w:b/>
      <w:bCs/>
      <w:i/>
      <w:iCs/>
      <w:sz w:val="26"/>
      <w:szCs w:val="26"/>
    </w:rPr>
  </w:style>
  <w:style w:type="paragraph" w:styleId="Heading6">
    <w:name w:val="heading 6"/>
    <w:basedOn w:val="Normal"/>
    <w:next w:val="Normal"/>
    <w:link w:val="Heading6Char"/>
    <w:uiPriority w:val="99"/>
    <w:qFormat/>
    <w:rsid w:val="00183736"/>
    <w:pPr>
      <w:numPr>
        <w:ilvl w:val="5"/>
        <w:numId w:val="10"/>
      </w:numPr>
      <w:spacing w:before="240" w:after="60" w:line="240" w:lineRule="auto"/>
      <w:jc w:val="both"/>
      <w:outlineLvl w:val="5"/>
    </w:pPr>
    <w:rPr>
      <w:rFonts w:asciiTheme="minorHAnsi" w:eastAsia="Times New Roman" w:hAnsiTheme="minorHAnsi" w:cstheme="minorHAnsi"/>
      <w:b/>
      <w:bCs/>
    </w:rPr>
  </w:style>
  <w:style w:type="paragraph" w:styleId="Heading7">
    <w:name w:val="heading 7"/>
    <w:basedOn w:val="Normal"/>
    <w:next w:val="Normal"/>
    <w:link w:val="Heading7Char"/>
    <w:uiPriority w:val="99"/>
    <w:qFormat/>
    <w:rsid w:val="00183736"/>
    <w:pPr>
      <w:numPr>
        <w:ilvl w:val="6"/>
        <w:numId w:val="10"/>
      </w:numPr>
      <w:spacing w:before="240" w:after="60" w:line="240" w:lineRule="auto"/>
      <w:jc w:val="both"/>
      <w:outlineLvl w:val="6"/>
    </w:pPr>
    <w:rPr>
      <w:rFonts w:asciiTheme="minorHAnsi" w:eastAsia="Times New Roman" w:hAnsiTheme="minorHAnsi" w:cstheme="minorHAnsi"/>
      <w:sz w:val="24"/>
      <w:szCs w:val="24"/>
    </w:rPr>
  </w:style>
  <w:style w:type="paragraph" w:styleId="Heading8">
    <w:name w:val="heading 8"/>
    <w:basedOn w:val="Normal"/>
    <w:next w:val="Normal"/>
    <w:link w:val="Heading8Char"/>
    <w:uiPriority w:val="99"/>
    <w:qFormat/>
    <w:rsid w:val="00183736"/>
    <w:pPr>
      <w:numPr>
        <w:ilvl w:val="7"/>
        <w:numId w:val="10"/>
      </w:numPr>
      <w:spacing w:before="240" w:after="60" w:line="240" w:lineRule="auto"/>
      <w:jc w:val="both"/>
      <w:outlineLvl w:val="7"/>
    </w:pPr>
    <w:rPr>
      <w:rFonts w:asciiTheme="minorHAnsi" w:eastAsia="Times New Roman" w:hAnsiTheme="minorHAnsi" w:cstheme="minorHAnsi"/>
      <w:i/>
      <w:iCs/>
      <w:sz w:val="24"/>
      <w:szCs w:val="24"/>
    </w:rPr>
  </w:style>
  <w:style w:type="paragraph" w:styleId="Heading9">
    <w:name w:val="heading 9"/>
    <w:basedOn w:val="Normal"/>
    <w:next w:val="Normal"/>
    <w:link w:val="Heading9Char"/>
    <w:uiPriority w:val="99"/>
    <w:qFormat/>
    <w:rsid w:val="00183736"/>
    <w:pPr>
      <w:numPr>
        <w:ilvl w:val="8"/>
        <w:numId w:val="10"/>
      </w:numPr>
      <w:spacing w:before="240" w:after="60" w:line="240" w:lineRule="auto"/>
      <w:jc w:val="both"/>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BE02B0"/>
    <w:rPr>
      <w:rFonts w:cs="Arial"/>
      <w:b/>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23120F"/>
    <w:rPr>
      <w:rFonts w:cs="Arial"/>
      <w:i/>
      <w:sz w:val="22"/>
      <w:szCs w:val="22"/>
      <w:u w:val="single"/>
      <w:lang w:eastAsia="en-US"/>
    </w:rPr>
  </w:style>
  <w:style w:type="paragraph" w:styleId="ListBullet">
    <w:name w:val="List Bullet"/>
    <w:basedOn w:val="Normal"/>
    <w:uiPriority w:val="99"/>
    <w:unhideWhenUsed/>
    <w:qFormat/>
    <w:rsid w:val="008F17D2"/>
    <w:pPr>
      <w:numPr>
        <w:numId w:val="5"/>
      </w:numPr>
    </w:pPr>
  </w:style>
  <w:style w:type="paragraph" w:styleId="ListBullet2">
    <w:name w:val="List Bullet 2"/>
    <w:basedOn w:val="Normal"/>
    <w:uiPriority w:val="99"/>
    <w:unhideWhenUsed/>
    <w:rsid w:val="00091608"/>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394D9E"/>
    <w:pPr>
      <w:numPr>
        <w:numId w:val="11"/>
      </w:numPr>
    </w:pPr>
    <w:rPr>
      <w:lang w:val="en-US"/>
    </w:rPr>
  </w:style>
  <w:style w:type="paragraph" w:styleId="ListNumber2">
    <w:name w:val="List Number 2"/>
    <w:basedOn w:val="Normal"/>
    <w:uiPriority w:val="99"/>
    <w:rsid w:val="00005CAA"/>
    <w:pPr>
      <w:numPr>
        <w:ilvl w:val="1"/>
        <w:numId w:val="9"/>
      </w:numPr>
    </w:pPr>
  </w:style>
  <w:style w:type="paragraph" w:styleId="ListNumber3">
    <w:name w:val="List Number 3"/>
    <w:basedOn w:val="Normal"/>
    <w:uiPriority w:val="99"/>
    <w:rsid w:val="00005CAA"/>
    <w:pPr>
      <w:numPr>
        <w:ilvl w:val="2"/>
        <w:numId w:val="9"/>
      </w:numPr>
    </w:pPr>
  </w:style>
  <w:style w:type="paragraph" w:styleId="ListNumber4">
    <w:name w:val="List Number 4"/>
    <w:basedOn w:val="Normal"/>
    <w:uiPriority w:val="99"/>
    <w:rsid w:val="00005CAA"/>
    <w:pPr>
      <w:numPr>
        <w:ilvl w:val="3"/>
        <w:numId w:val="9"/>
      </w:numPr>
    </w:pPr>
  </w:style>
  <w:style w:type="paragraph" w:styleId="ListNumber5">
    <w:name w:val="List Number 5"/>
    <w:basedOn w:val="Normal"/>
    <w:uiPriority w:val="99"/>
    <w:rsid w:val="00005CAA"/>
    <w:pPr>
      <w:numPr>
        <w:ilvl w:val="4"/>
        <w:numId w:val="9"/>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3E3DA2"/>
    <w:pPr>
      <w:keepNext/>
      <w:outlineLvl w:val="0"/>
    </w:pPr>
    <w:rPr>
      <w:rFonts w:ascii="Times New Roman" w:eastAsia="Times New Roman" w:hAnsi="Times New Roman" w:cs="Arial"/>
      <w:sz w:val="18"/>
      <w:szCs w:val="18"/>
      <w:lang w:val="en-US"/>
    </w:rPr>
  </w:style>
  <w:style w:type="paragraph" w:customStyle="1" w:styleId="Classificationsensitivity">
    <w:name w:val="Classification sensitivity"/>
    <w:basedOn w:val="Classification"/>
    <w:rsid w:val="002C5813"/>
    <w:rPr>
      <w:sz w:val="22"/>
    </w:rPr>
  </w:style>
  <w:style w:type="paragraph" w:customStyle="1" w:styleId="Pa12">
    <w:name w:val="Pa12"/>
    <w:basedOn w:val="Normal"/>
    <w:next w:val="Normal"/>
    <w:uiPriority w:val="99"/>
    <w:rsid w:val="006D4CF5"/>
    <w:pPr>
      <w:widowControl w:val="0"/>
      <w:autoSpaceDE w:val="0"/>
      <w:autoSpaceDN w:val="0"/>
      <w:adjustRightInd w:val="0"/>
      <w:spacing w:after="160" w:line="241" w:lineRule="atLeast"/>
      <w:jc w:val="both"/>
    </w:pPr>
    <w:rPr>
      <w:rFonts w:ascii="Univers" w:eastAsia="SimSun" w:hAnsi="Univers" w:cs="Univers"/>
      <w:sz w:val="24"/>
      <w:szCs w:val="24"/>
      <w:lang w:val="en-US"/>
    </w:rPr>
  </w:style>
  <w:style w:type="character" w:styleId="Hyperlink">
    <w:name w:val="Hyperlink"/>
    <w:basedOn w:val="DefaultParagraphFont"/>
    <w:uiPriority w:val="99"/>
    <w:rsid w:val="006D4CF5"/>
    <w:rPr>
      <w:rFonts w:cs="Times New Roman"/>
      <w:color w:val="000000"/>
      <w:u w:val="none"/>
    </w:rPr>
  </w:style>
  <w:style w:type="paragraph" w:styleId="FootnoteText">
    <w:name w:val="footnote text"/>
    <w:basedOn w:val="Normal"/>
    <w:link w:val="FootnoteTextChar"/>
    <w:uiPriority w:val="99"/>
    <w:unhideWhenUsed/>
    <w:rsid w:val="006D4CF5"/>
    <w:pPr>
      <w:spacing w:after="0" w:line="240" w:lineRule="auto"/>
      <w:jc w:val="both"/>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6D4CF5"/>
    <w:rPr>
      <w:rFonts w:asciiTheme="minorHAnsi" w:eastAsiaTheme="minorHAnsi" w:hAnsiTheme="minorHAnsi" w:cstheme="minorBidi"/>
      <w:sz w:val="24"/>
      <w:szCs w:val="24"/>
      <w:lang w:eastAsia="en-US"/>
    </w:rPr>
  </w:style>
  <w:style w:type="character" w:styleId="FootnoteReference">
    <w:name w:val="footnote reference"/>
    <w:basedOn w:val="DefaultParagraphFont"/>
    <w:uiPriority w:val="99"/>
    <w:unhideWhenUsed/>
    <w:rsid w:val="006D4CF5"/>
    <w:rPr>
      <w:vertAlign w:val="superscript"/>
    </w:rPr>
  </w:style>
  <w:style w:type="character" w:styleId="CommentReference">
    <w:name w:val="annotation reference"/>
    <w:basedOn w:val="DefaultParagraphFont"/>
    <w:uiPriority w:val="99"/>
    <w:unhideWhenUsed/>
    <w:rsid w:val="00853227"/>
    <w:rPr>
      <w:sz w:val="16"/>
      <w:szCs w:val="16"/>
    </w:rPr>
  </w:style>
  <w:style w:type="paragraph" w:styleId="CommentText">
    <w:name w:val="annotation text"/>
    <w:basedOn w:val="Normal"/>
    <w:link w:val="CommentTextChar"/>
    <w:uiPriority w:val="99"/>
    <w:semiHidden/>
    <w:unhideWhenUsed/>
    <w:rsid w:val="00853227"/>
    <w:pPr>
      <w:spacing w:line="240" w:lineRule="auto"/>
    </w:pPr>
    <w:rPr>
      <w:sz w:val="20"/>
      <w:szCs w:val="20"/>
    </w:rPr>
  </w:style>
  <w:style w:type="character" w:customStyle="1" w:styleId="CommentTextChar">
    <w:name w:val="Comment Text Char"/>
    <w:basedOn w:val="DefaultParagraphFont"/>
    <w:link w:val="CommentText"/>
    <w:uiPriority w:val="99"/>
    <w:semiHidden/>
    <w:rsid w:val="00853227"/>
    <w:rPr>
      <w:lang w:eastAsia="en-US"/>
    </w:rPr>
  </w:style>
  <w:style w:type="paragraph" w:styleId="CommentSubject">
    <w:name w:val="annotation subject"/>
    <w:basedOn w:val="CommentText"/>
    <w:next w:val="CommentText"/>
    <w:link w:val="CommentSubjectChar"/>
    <w:uiPriority w:val="99"/>
    <w:semiHidden/>
    <w:unhideWhenUsed/>
    <w:rsid w:val="00853227"/>
    <w:rPr>
      <w:b/>
      <w:bCs/>
    </w:rPr>
  </w:style>
  <w:style w:type="character" w:customStyle="1" w:styleId="CommentSubjectChar">
    <w:name w:val="Comment Subject Char"/>
    <w:basedOn w:val="CommentTextChar"/>
    <w:link w:val="CommentSubject"/>
    <w:uiPriority w:val="99"/>
    <w:semiHidden/>
    <w:rsid w:val="00853227"/>
    <w:rPr>
      <w:b/>
      <w:bCs/>
      <w:lang w:eastAsia="en-US"/>
    </w:rPr>
  </w:style>
  <w:style w:type="paragraph" w:styleId="BodyText">
    <w:name w:val="Body Text"/>
    <w:basedOn w:val="Normal"/>
    <w:link w:val="BodyTextChar"/>
    <w:uiPriority w:val="99"/>
    <w:rsid w:val="00B50F79"/>
    <w:pPr>
      <w:spacing w:after="0" w:line="240" w:lineRule="auto"/>
      <w:jc w:val="both"/>
    </w:pPr>
    <w:rPr>
      <w:rFonts w:asciiTheme="minorHAnsi" w:eastAsia="Times New Roman" w:hAnsiTheme="minorHAnsi" w:cstheme="minorHAnsi"/>
      <w:i/>
      <w:iCs/>
      <w:color w:val="999999"/>
      <w:sz w:val="24"/>
      <w:szCs w:val="24"/>
    </w:rPr>
  </w:style>
  <w:style w:type="character" w:customStyle="1" w:styleId="BodyTextChar">
    <w:name w:val="Body Text Char"/>
    <w:basedOn w:val="DefaultParagraphFont"/>
    <w:link w:val="BodyText"/>
    <w:uiPriority w:val="99"/>
    <w:rsid w:val="00B50F79"/>
    <w:rPr>
      <w:rFonts w:asciiTheme="minorHAnsi" w:eastAsia="Times New Roman" w:hAnsiTheme="minorHAnsi" w:cstheme="minorHAnsi"/>
      <w:i/>
      <w:iCs/>
      <w:color w:val="999999"/>
      <w:sz w:val="24"/>
      <w:szCs w:val="24"/>
      <w:lang w:eastAsia="en-US"/>
    </w:rPr>
  </w:style>
  <w:style w:type="character" w:customStyle="1" w:styleId="ListParagraphChar">
    <w:name w:val="List Paragraph Char"/>
    <w:basedOn w:val="DefaultParagraphFont"/>
    <w:link w:val="ListParagraph"/>
    <w:uiPriority w:val="34"/>
    <w:locked/>
    <w:rsid w:val="00B50F79"/>
    <w:rPr>
      <w:sz w:val="22"/>
      <w:szCs w:val="22"/>
      <w:lang w:eastAsia="en-US"/>
    </w:rPr>
  </w:style>
  <w:style w:type="paragraph" w:styleId="Caption">
    <w:name w:val="caption"/>
    <w:basedOn w:val="Normal"/>
    <w:next w:val="Normal"/>
    <w:uiPriority w:val="35"/>
    <w:unhideWhenUsed/>
    <w:qFormat/>
    <w:rsid w:val="00570BD5"/>
    <w:pPr>
      <w:spacing w:line="240" w:lineRule="auto"/>
      <w:jc w:val="both"/>
    </w:pPr>
    <w:rPr>
      <w:rFonts w:asciiTheme="minorHAnsi" w:eastAsia="Times New Roman" w:hAnsiTheme="minorHAnsi" w:cstheme="minorHAnsi"/>
      <w:b/>
      <w:bCs/>
      <w:color w:val="4F81BD" w:themeColor="accent1"/>
      <w:sz w:val="20"/>
      <w:szCs w:val="20"/>
    </w:rPr>
  </w:style>
  <w:style w:type="table" w:customStyle="1" w:styleId="LightShading1">
    <w:name w:val="Light Shading1"/>
    <w:basedOn w:val="TableNormal"/>
    <w:uiPriority w:val="60"/>
    <w:rsid w:val="000A1583"/>
    <w:rPr>
      <w:rFonts w:ascii="Times New Roman" w:eastAsia="Times New Roman" w:hAnsi="Times New Roman"/>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A76A6"/>
    <w:pPr>
      <w:autoSpaceDE w:val="0"/>
      <w:autoSpaceDN w:val="0"/>
      <w:adjustRightInd w:val="0"/>
    </w:pPr>
    <w:rPr>
      <w:rFonts w:ascii="Calibri" w:eastAsia="Times New Roman" w:hAnsi="Calibri" w:cs="Calibri"/>
      <w:color w:val="000000"/>
      <w:sz w:val="24"/>
      <w:szCs w:val="24"/>
    </w:rPr>
  </w:style>
  <w:style w:type="character" w:customStyle="1" w:styleId="Heading5Char">
    <w:name w:val="Heading 5 Char"/>
    <w:basedOn w:val="DefaultParagraphFont"/>
    <w:link w:val="Heading5"/>
    <w:uiPriority w:val="99"/>
    <w:rsid w:val="00183736"/>
    <w:rPr>
      <w:rFonts w:asciiTheme="minorHAnsi" w:eastAsia="Times New Roman" w:hAnsiTheme="minorHAnsi" w:cstheme="minorHAnsi"/>
      <w:b/>
      <w:bCs/>
      <w:i/>
      <w:iCs/>
      <w:sz w:val="26"/>
      <w:szCs w:val="26"/>
      <w:lang w:eastAsia="en-US"/>
    </w:rPr>
  </w:style>
  <w:style w:type="character" w:customStyle="1" w:styleId="Heading6Char">
    <w:name w:val="Heading 6 Char"/>
    <w:basedOn w:val="DefaultParagraphFont"/>
    <w:link w:val="Heading6"/>
    <w:uiPriority w:val="99"/>
    <w:rsid w:val="00183736"/>
    <w:rPr>
      <w:rFonts w:asciiTheme="minorHAnsi" w:eastAsia="Times New Roman" w:hAnsiTheme="minorHAnsi" w:cstheme="minorHAnsi"/>
      <w:b/>
      <w:bCs/>
      <w:sz w:val="22"/>
      <w:szCs w:val="22"/>
      <w:lang w:eastAsia="en-US"/>
    </w:rPr>
  </w:style>
  <w:style w:type="character" w:customStyle="1" w:styleId="Heading7Char">
    <w:name w:val="Heading 7 Char"/>
    <w:basedOn w:val="DefaultParagraphFont"/>
    <w:link w:val="Heading7"/>
    <w:uiPriority w:val="99"/>
    <w:rsid w:val="00183736"/>
    <w:rPr>
      <w:rFonts w:asciiTheme="minorHAnsi" w:eastAsia="Times New Roman" w:hAnsiTheme="minorHAnsi" w:cstheme="minorHAnsi"/>
      <w:sz w:val="24"/>
      <w:szCs w:val="24"/>
      <w:lang w:eastAsia="en-US"/>
    </w:rPr>
  </w:style>
  <w:style w:type="character" w:customStyle="1" w:styleId="Heading8Char">
    <w:name w:val="Heading 8 Char"/>
    <w:basedOn w:val="DefaultParagraphFont"/>
    <w:link w:val="Heading8"/>
    <w:uiPriority w:val="99"/>
    <w:rsid w:val="00183736"/>
    <w:rPr>
      <w:rFonts w:asciiTheme="minorHAnsi" w:eastAsia="Times New Roman" w:hAnsiTheme="minorHAnsi" w:cstheme="minorHAnsi"/>
      <w:i/>
      <w:iCs/>
      <w:sz w:val="24"/>
      <w:szCs w:val="24"/>
      <w:lang w:eastAsia="en-US"/>
    </w:rPr>
  </w:style>
  <w:style w:type="character" w:customStyle="1" w:styleId="Heading9Char">
    <w:name w:val="Heading 9 Char"/>
    <w:basedOn w:val="DefaultParagraphFont"/>
    <w:link w:val="Heading9"/>
    <w:uiPriority w:val="99"/>
    <w:rsid w:val="00183736"/>
    <w:rPr>
      <w:rFonts w:eastAsia="Times New Roman" w:cs="Arial"/>
      <w:sz w:val="22"/>
      <w:szCs w:val="22"/>
      <w:lang w:eastAsia="en-US"/>
    </w:rPr>
  </w:style>
  <w:style w:type="paragraph" w:customStyle="1" w:styleId="Pa4">
    <w:name w:val="Pa4"/>
    <w:basedOn w:val="Normal"/>
    <w:next w:val="Normal"/>
    <w:uiPriority w:val="99"/>
    <w:rsid w:val="00183736"/>
    <w:pPr>
      <w:widowControl w:val="0"/>
      <w:autoSpaceDE w:val="0"/>
      <w:autoSpaceDN w:val="0"/>
      <w:adjustRightInd w:val="0"/>
      <w:spacing w:after="160" w:line="201" w:lineRule="atLeast"/>
      <w:jc w:val="both"/>
    </w:pPr>
    <w:rPr>
      <w:rFonts w:ascii="Univers" w:eastAsia="SimSun" w:hAnsi="Univers" w:cs="Univers"/>
      <w:sz w:val="24"/>
      <w:szCs w:val="24"/>
      <w:lang w:val="en-US"/>
    </w:rPr>
  </w:style>
  <w:style w:type="paragraph" w:customStyle="1" w:styleId="Pa11">
    <w:name w:val="Pa11"/>
    <w:basedOn w:val="Normal"/>
    <w:next w:val="Normal"/>
    <w:uiPriority w:val="99"/>
    <w:rsid w:val="00183736"/>
    <w:pPr>
      <w:widowControl w:val="0"/>
      <w:autoSpaceDE w:val="0"/>
      <w:autoSpaceDN w:val="0"/>
      <w:adjustRightInd w:val="0"/>
      <w:spacing w:after="160" w:line="201" w:lineRule="atLeast"/>
      <w:jc w:val="both"/>
    </w:pPr>
    <w:rPr>
      <w:rFonts w:ascii="Univers" w:eastAsia="SimSun" w:hAnsi="Univers" w:cs="Univers"/>
      <w:sz w:val="24"/>
      <w:szCs w:val="24"/>
      <w:lang w:val="en-US"/>
    </w:rPr>
  </w:style>
  <w:style w:type="character" w:styleId="PageNumber">
    <w:name w:val="page number"/>
    <w:basedOn w:val="DefaultParagraphFont"/>
    <w:uiPriority w:val="99"/>
    <w:rsid w:val="00183736"/>
    <w:rPr>
      <w:rFonts w:cs="Times New Roman"/>
    </w:rPr>
  </w:style>
  <w:style w:type="character" w:styleId="FollowedHyperlink">
    <w:name w:val="FollowedHyperlink"/>
    <w:basedOn w:val="DefaultParagraphFont"/>
    <w:uiPriority w:val="99"/>
    <w:rsid w:val="00183736"/>
    <w:rPr>
      <w:rFonts w:cs="Times New Roman"/>
      <w:color w:val="000000"/>
      <w:u w:val="none"/>
    </w:rPr>
  </w:style>
  <w:style w:type="table" w:styleId="TableList4">
    <w:name w:val="Table List 4"/>
    <w:basedOn w:val="TableNormal"/>
    <w:uiPriority w:val="99"/>
    <w:rsid w:val="0018373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paragraph" w:styleId="Revision">
    <w:name w:val="Revision"/>
    <w:hidden/>
    <w:uiPriority w:val="99"/>
    <w:semiHidden/>
    <w:rsid w:val="00183736"/>
    <w:rPr>
      <w:rFonts w:ascii="Times New Roman" w:eastAsia="Times New Roman" w:hAnsi="Times New Roman"/>
      <w:sz w:val="24"/>
      <w:szCs w:val="24"/>
      <w:lang w:eastAsia="en-US"/>
    </w:rPr>
  </w:style>
  <w:style w:type="table" w:styleId="LightShading-Accent5">
    <w:name w:val="Light Shading Accent 5"/>
    <w:basedOn w:val="TableNormal"/>
    <w:uiPriority w:val="60"/>
    <w:rsid w:val="00183736"/>
    <w:rPr>
      <w:rFonts w:ascii="Times New Roman" w:eastAsia="Times New Roman" w:hAnsi="Times New Roman"/>
      <w:color w:val="31849B" w:themeColor="accent5" w:themeShade="BF"/>
      <w:sz w:val="22"/>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11">
    <w:name w:val="Light Grid - Accent 11"/>
    <w:basedOn w:val="TableNormal"/>
    <w:uiPriority w:val="62"/>
    <w:rsid w:val="00183736"/>
    <w:rPr>
      <w:rFonts w:ascii="Times New Roman" w:eastAsia="Times New Roman" w:hAnsi="Times New Roman"/>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2-Accent11">
    <w:name w:val="Medium Shading 2 - Accent 11"/>
    <w:basedOn w:val="TableNormal"/>
    <w:uiPriority w:val="64"/>
    <w:rsid w:val="00183736"/>
    <w:rPr>
      <w:rFonts w:ascii="Times New Roman" w:eastAsia="Times New Roman" w:hAnsi="Times New Roman"/>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6">
    <w:name w:val="Medium Grid 2 Accent 6"/>
    <w:basedOn w:val="TableNormal"/>
    <w:uiPriority w:val="68"/>
    <w:rsid w:val="00183736"/>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olorfulGrid-Accent6">
    <w:name w:val="Colorful Grid Accent 6"/>
    <w:basedOn w:val="TableNormal"/>
    <w:uiPriority w:val="73"/>
    <w:rsid w:val="00183736"/>
    <w:rPr>
      <w:rFonts w:ascii="Times New Roman" w:eastAsia="Times New Roman" w:hAnsi="Times New Roman"/>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Accent1">
    <w:name w:val="Medium Grid 3 Accent 1"/>
    <w:basedOn w:val="TableNormal"/>
    <w:uiPriority w:val="69"/>
    <w:rsid w:val="00183736"/>
    <w:rPr>
      <w:rFonts w:ascii="Times New Roman" w:eastAsia="Times New Roman" w:hAnsi="Times New Roman"/>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Shading-Accent11">
    <w:name w:val="Light Shading - Accent 11"/>
    <w:basedOn w:val="TableNormal"/>
    <w:uiPriority w:val="60"/>
    <w:rsid w:val="00183736"/>
    <w:rPr>
      <w:rFonts w:ascii="Times New Roman" w:eastAsia="Times New Roman" w:hAnsi="Times New Roman"/>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183736"/>
    <w:pPr>
      <w:spacing w:before="100" w:beforeAutospacing="1" w:after="100" w:afterAutospacing="1" w:line="240" w:lineRule="auto"/>
      <w:jc w:val="both"/>
    </w:pPr>
    <w:rPr>
      <w:rFonts w:asciiTheme="minorHAnsi" w:eastAsia="Times New Roman" w:hAnsiTheme="minorHAnsi" w:cstheme="minorHAnsi"/>
      <w:sz w:val="24"/>
      <w:szCs w:val="24"/>
      <w:lang w:eastAsia="en-AU"/>
    </w:rPr>
  </w:style>
  <w:style w:type="paragraph" w:customStyle="1" w:styleId="HeadingLevel1">
    <w:name w:val="Heading Level 1"/>
    <w:basedOn w:val="ListParagraph"/>
    <w:link w:val="HeadingLevel1Char"/>
    <w:qFormat/>
    <w:rsid w:val="00183736"/>
    <w:pPr>
      <w:numPr>
        <w:numId w:val="8"/>
      </w:numPr>
      <w:contextualSpacing/>
      <w:jc w:val="both"/>
    </w:pPr>
    <w:rPr>
      <w:rFonts w:asciiTheme="minorHAnsi" w:eastAsiaTheme="minorHAnsi" w:hAnsiTheme="minorHAnsi" w:cstheme="minorBidi"/>
      <w:b/>
      <w:sz w:val="28"/>
      <w:szCs w:val="28"/>
      <w:lang w:val="en-US"/>
    </w:rPr>
  </w:style>
  <w:style w:type="character" w:customStyle="1" w:styleId="HeadingLevel1Char">
    <w:name w:val="Heading Level 1 Char"/>
    <w:basedOn w:val="ListParagraphChar"/>
    <w:link w:val="HeadingLevel1"/>
    <w:rsid w:val="00183736"/>
    <w:rPr>
      <w:rFonts w:asciiTheme="minorHAnsi" w:eastAsiaTheme="minorHAnsi" w:hAnsiTheme="minorHAnsi" w:cstheme="minorBidi"/>
      <w:b/>
      <w:sz w:val="28"/>
      <w:szCs w:val="28"/>
      <w:lang w:val="en-US"/>
    </w:rPr>
  </w:style>
  <w:style w:type="paragraph" w:styleId="NoSpacing">
    <w:name w:val="No Spacing"/>
    <w:basedOn w:val="Normal"/>
    <w:uiPriority w:val="1"/>
    <w:qFormat/>
    <w:rsid w:val="00183736"/>
    <w:pPr>
      <w:spacing w:after="0" w:line="240" w:lineRule="auto"/>
      <w:jc w:val="both"/>
    </w:pPr>
    <w:rPr>
      <w:rFonts w:ascii="Calibri" w:eastAsiaTheme="minorHAnsi" w:hAnsi="Calibri" w:cs="Calibri"/>
      <w:lang w:eastAsia="en-AU"/>
    </w:rPr>
  </w:style>
  <w:style w:type="paragraph" w:styleId="TOCHeading">
    <w:name w:val="TOC Heading"/>
    <w:basedOn w:val="Heading1"/>
    <w:next w:val="Normal"/>
    <w:uiPriority w:val="39"/>
    <w:unhideWhenUsed/>
    <w:qFormat/>
    <w:rsid w:val="003E3DA2"/>
    <w:pPr>
      <w:keepNext w:val="0"/>
      <w:keepLines/>
      <w:widowControl w:val="0"/>
      <w:numPr>
        <w:numId w:val="0"/>
      </w:numPr>
      <w:autoSpaceDE w:val="0"/>
      <w:autoSpaceDN w:val="0"/>
      <w:adjustRightInd w:val="0"/>
      <w:spacing w:before="480" w:after="120"/>
      <w:outlineLvl w:val="9"/>
    </w:pPr>
    <w:rPr>
      <w:rFonts w:eastAsiaTheme="majorEastAsia"/>
      <w:bCs/>
      <w:iCs/>
      <w:color w:val="000000" w:themeColor="text1"/>
      <w:lang w:val="en-US"/>
    </w:rPr>
  </w:style>
  <w:style w:type="paragraph" w:styleId="TOC2">
    <w:name w:val="toc 2"/>
    <w:basedOn w:val="Normal"/>
    <w:next w:val="Normal"/>
    <w:autoRedefine/>
    <w:uiPriority w:val="39"/>
    <w:unhideWhenUsed/>
    <w:qFormat/>
    <w:rsid w:val="00183736"/>
    <w:pPr>
      <w:spacing w:after="100" w:line="240" w:lineRule="auto"/>
      <w:ind w:left="240"/>
      <w:jc w:val="both"/>
    </w:pPr>
    <w:rPr>
      <w:rFonts w:ascii="Calibri" w:eastAsia="Times New Roman" w:hAnsi="Calibri" w:cstheme="minorHAnsi"/>
      <w:i/>
      <w:szCs w:val="24"/>
    </w:rPr>
  </w:style>
  <w:style w:type="paragraph" w:styleId="TOC1">
    <w:name w:val="toc 1"/>
    <w:basedOn w:val="Normal"/>
    <w:next w:val="Normal"/>
    <w:autoRedefine/>
    <w:uiPriority w:val="39"/>
    <w:unhideWhenUsed/>
    <w:qFormat/>
    <w:rsid w:val="006A0706"/>
    <w:pPr>
      <w:tabs>
        <w:tab w:val="left" w:pos="440"/>
        <w:tab w:val="right" w:leader="dot" w:pos="9202"/>
      </w:tabs>
      <w:spacing w:after="100" w:line="240" w:lineRule="auto"/>
      <w:jc w:val="both"/>
    </w:pPr>
    <w:rPr>
      <w:rFonts w:ascii="Calibri" w:eastAsia="Times New Roman" w:hAnsi="Calibri" w:cstheme="minorHAnsi"/>
      <w:color w:val="0070C0"/>
      <w:sz w:val="24"/>
      <w:szCs w:val="24"/>
    </w:rPr>
  </w:style>
  <w:style w:type="paragraph" w:styleId="TOC3">
    <w:name w:val="toc 3"/>
    <w:basedOn w:val="Normal"/>
    <w:next w:val="Normal"/>
    <w:autoRedefine/>
    <w:uiPriority w:val="39"/>
    <w:unhideWhenUsed/>
    <w:qFormat/>
    <w:rsid w:val="00183736"/>
    <w:pPr>
      <w:spacing w:after="100"/>
      <w:ind w:left="440"/>
      <w:jc w:val="both"/>
    </w:pPr>
    <w:rPr>
      <w:rFonts w:ascii="Calibri" w:eastAsiaTheme="minorEastAsia" w:hAnsi="Calibri" w:cstheme="minorBidi"/>
      <w:lang w:eastAsia="en-AU"/>
    </w:rPr>
  </w:style>
  <w:style w:type="paragraph" w:styleId="TOC4">
    <w:name w:val="toc 4"/>
    <w:basedOn w:val="Normal"/>
    <w:next w:val="Normal"/>
    <w:autoRedefine/>
    <w:uiPriority w:val="39"/>
    <w:unhideWhenUsed/>
    <w:rsid w:val="00183736"/>
    <w:pPr>
      <w:spacing w:after="100"/>
      <w:ind w:left="660"/>
      <w:jc w:val="both"/>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183736"/>
    <w:pPr>
      <w:spacing w:after="100"/>
      <w:ind w:left="880"/>
      <w:jc w:val="both"/>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183736"/>
    <w:pPr>
      <w:spacing w:after="100"/>
      <w:ind w:left="1100"/>
      <w:jc w:val="both"/>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183736"/>
    <w:pPr>
      <w:spacing w:after="100"/>
      <w:ind w:left="1320"/>
      <w:jc w:val="both"/>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183736"/>
    <w:pPr>
      <w:spacing w:after="100"/>
      <w:ind w:left="1540"/>
      <w:jc w:val="both"/>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183736"/>
    <w:pPr>
      <w:spacing w:after="100"/>
      <w:ind w:left="1760"/>
      <w:jc w:val="both"/>
    </w:pPr>
    <w:rPr>
      <w:rFonts w:asciiTheme="minorHAnsi" w:eastAsiaTheme="minorEastAsia" w:hAnsiTheme="minorHAnsi" w:cstheme="minorBidi"/>
      <w:lang w:eastAsia="en-AU"/>
    </w:rPr>
  </w:style>
  <w:style w:type="character" w:styleId="Emphasis">
    <w:name w:val="Emphasis"/>
    <w:basedOn w:val="DefaultParagraphFont"/>
    <w:uiPriority w:val="20"/>
    <w:qFormat/>
    <w:rsid w:val="00E66E02"/>
    <w:rPr>
      <w:i/>
      <w:iCs/>
      <w:sz w:val="24"/>
      <w:szCs w:val="24"/>
      <w:bdr w:val="none" w:sz="0" w:space="0" w:color="auto" w:frame="1"/>
      <w:vertAlign w:val="baseline"/>
    </w:rPr>
  </w:style>
  <w:style w:type="paragraph" w:styleId="EndnoteText">
    <w:name w:val="endnote text"/>
    <w:basedOn w:val="Normal"/>
    <w:link w:val="EndnoteTextChar"/>
    <w:uiPriority w:val="99"/>
    <w:semiHidden/>
    <w:unhideWhenUsed/>
    <w:rsid w:val="00333E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E65"/>
    <w:rPr>
      <w:lang w:eastAsia="en-US"/>
    </w:rPr>
  </w:style>
  <w:style w:type="character" w:styleId="EndnoteReference">
    <w:name w:val="endnote reference"/>
    <w:basedOn w:val="DefaultParagraphFont"/>
    <w:uiPriority w:val="99"/>
    <w:semiHidden/>
    <w:unhideWhenUsed/>
    <w:rsid w:val="00333E65"/>
    <w:rPr>
      <w:vertAlign w:val="superscript"/>
    </w:rPr>
  </w:style>
  <w:style w:type="paragraph" w:styleId="List">
    <w:name w:val="List"/>
    <w:basedOn w:val="Normal"/>
    <w:uiPriority w:val="99"/>
    <w:rsid w:val="00431B6C"/>
    <w:pPr>
      <w:ind w:left="283" w:hanging="283"/>
      <w:contextualSpacing/>
    </w:pPr>
  </w:style>
  <w:style w:type="paragraph" w:styleId="TableofAuthorities">
    <w:name w:val="table of authorities"/>
    <w:basedOn w:val="Normal"/>
    <w:next w:val="Normal"/>
    <w:uiPriority w:val="99"/>
    <w:unhideWhenUsed/>
    <w:rsid w:val="0030725A"/>
    <w:pPr>
      <w:spacing w:after="0"/>
      <w:ind w:left="220" w:hanging="220"/>
    </w:pPr>
  </w:style>
  <w:style w:type="paragraph" w:styleId="TableofFigures">
    <w:name w:val="table of figures"/>
    <w:basedOn w:val="Normal"/>
    <w:next w:val="Normal"/>
    <w:uiPriority w:val="99"/>
    <w:unhideWhenUsed/>
    <w:rsid w:val="0030725A"/>
    <w:pPr>
      <w:spacing w:after="0"/>
    </w:pPr>
    <w:rPr>
      <w:rFonts w:asciiTheme="minorHAnsi" w:hAnsiTheme="minorHAnsi"/>
      <w:i/>
      <w:iCs/>
      <w:sz w:val="20"/>
      <w:szCs w:val="20"/>
    </w:rPr>
  </w:style>
  <w:style w:type="paragraph" w:styleId="TOAHeading">
    <w:name w:val="toa heading"/>
    <w:basedOn w:val="Normal"/>
    <w:next w:val="Normal"/>
    <w:uiPriority w:val="99"/>
    <w:unhideWhenUsed/>
    <w:rsid w:val="0030725A"/>
    <w:pPr>
      <w:spacing w:before="120"/>
    </w:pPr>
    <w:rPr>
      <w:rFonts w:asciiTheme="majorHAnsi" w:eastAsiaTheme="majorEastAsia" w:hAnsiTheme="majorHAnsi" w:cstheme="majorBidi"/>
      <w:b/>
      <w:bCs/>
      <w:sz w:val="24"/>
      <w:szCs w:val="24"/>
    </w:rPr>
  </w:style>
  <w:style w:type="paragraph" w:styleId="Title">
    <w:name w:val="Title"/>
    <w:basedOn w:val="Normal"/>
    <w:next w:val="Normal"/>
    <w:link w:val="TitleChar"/>
    <w:uiPriority w:val="10"/>
    <w:qFormat/>
    <w:rsid w:val="00361B95"/>
    <w:rPr>
      <w:b/>
    </w:rPr>
  </w:style>
  <w:style w:type="character" w:customStyle="1" w:styleId="TitleChar">
    <w:name w:val="Title Char"/>
    <w:basedOn w:val="DefaultParagraphFont"/>
    <w:link w:val="Title"/>
    <w:uiPriority w:val="10"/>
    <w:rsid w:val="00361B95"/>
    <w:rPr>
      <w:b/>
      <w:sz w:val="22"/>
      <w:szCs w:val="22"/>
      <w:lang w:eastAsia="en-US"/>
    </w:rPr>
  </w:style>
  <w:style w:type="paragraph" w:styleId="ListContinue">
    <w:name w:val="List Continue"/>
    <w:basedOn w:val="Normal"/>
    <w:uiPriority w:val="99"/>
    <w:rsid w:val="00C47A9C"/>
    <w:pPr>
      <w:spacing w:after="120"/>
      <w:ind w:left="283"/>
      <w:contextualSpacing/>
    </w:pPr>
  </w:style>
  <w:style w:type="paragraph" w:styleId="ListContinue2">
    <w:name w:val="List Continue 2"/>
    <w:basedOn w:val="Normal"/>
    <w:uiPriority w:val="99"/>
    <w:unhideWhenUsed/>
    <w:rsid w:val="00C47A9C"/>
    <w:pPr>
      <w:spacing w:after="120"/>
      <w:ind w:left="566"/>
      <w:contextualSpacing/>
    </w:pPr>
  </w:style>
  <w:style w:type="paragraph" w:styleId="ListContinue3">
    <w:name w:val="List Continue 3"/>
    <w:basedOn w:val="Normal"/>
    <w:uiPriority w:val="99"/>
    <w:unhideWhenUsed/>
    <w:rsid w:val="00C47A9C"/>
    <w:pPr>
      <w:spacing w:after="120"/>
      <w:ind w:left="849"/>
      <w:contextualSpacing/>
    </w:pPr>
  </w:style>
  <w:style w:type="paragraph" w:styleId="ListContinue4">
    <w:name w:val="List Continue 4"/>
    <w:basedOn w:val="Normal"/>
    <w:uiPriority w:val="99"/>
    <w:unhideWhenUsed/>
    <w:rsid w:val="00C47A9C"/>
    <w:pPr>
      <w:spacing w:after="120"/>
      <w:ind w:left="1132"/>
      <w:contextualSpacing/>
    </w:pPr>
  </w:style>
  <w:style w:type="paragraph" w:styleId="ListContinue5">
    <w:name w:val="List Continue 5"/>
    <w:basedOn w:val="Normal"/>
    <w:uiPriority w:val="99"/>
    <w:unhideWhenUsed/>
    <w:rsid w:val="00C47A9C"/>
    <w:pPr>
      <w:spacing w:after="120"/>
      <w:ind w:left="1415"/>
      <w:contextualSpacing/>
    </w:pPr>
  </w:style>
  <w:style w:type="paragraph" w:styleId="List5">
    <w:name w:val="List 5"/>
    <w:basedOn w:val="Normal"/>
    <w:uiPriority w:val="99"/>
    <w:unhideWhenUsed/>
    <w:rsid w:val="00C47A9C"/>
    <w:pPr>
      <w:ind w:left="1415" w:hanging="283"/>
      <w:contextualSpacing/>
    </w:pPr>
  </w:style>
  <w:style w:type="paragraph" w:styleId="List4">
    <w:name w:val="List 4"/>
    <w:basedOn w:val="Normal"/>
    <w:uiPriority w:val="99"/>
    <w:unhideWhenUsed/>
    <w:rsid w:val="00C47A9C"/>
    <w:pPr>
      <w:ind w:left="1132" w:hanging="283"/>
      <w:contextualSpacing/>
    </w:pPr>
  </w:style>
  <w:style w:type="paragraph" w:styleId="List3">
    <w:name w:val="List 3"/>
    <w:basedOn w:val="Normal"/>
    <w:uiPriority w:val="99"/>
    <w:unhideWhenUsed/>
    <w:rsid w:val="00C47A9C"/>
    <w:pPr>
      <w:ind w:left="849" w:hanging="283"/>
      <w:contextualSpacing/>
    </w:pPr>
  </w:style>
  <w:style w:type="paragraph" w:styleId="List2">
    <w:name w:val="List 2"/>
    <w:basedOn w:val="Normal"/>
    <w:uiPriority w:val="99"/>
    <w:unhideWhenUsed/>
    <w:rsid w:val="00C47A9C"/>
    <w:pPr>
      <w:ind w:left="566" w:hanging="283"/>
      <w:contextualSpacing/>
    </w:pPr>
  </w:style>
  <w:style w:type="paragraph" w:styleId="Index1">
    <w:name w:val="index 1"/>
    <w:basedOn w:val="Normal"/>
    <w:next w:val="Normal"/>
    <w:autoRedefine/>
    <w:uiPriority w:val="99"/>
    <w:unhideWhenUsed/>
    <w:rsid w:val="00486C16"/>
    <w:pPr>
      <w:spacing w:after="0" w:line="240" w:lineRule="auto"/>
      <w:ind w:left="220" w:hanging="220"/>
    </w:pPr>
  </w:style>
  <w:style w:type="paragraph" w:styleId="IndexHeading">
    <w:name w:val="index heading"/>
    <w:basedOn w:val="Normal"/>
    <w:next w:val="Index1"/>
    <w:uiPriority w:val="99"/>
    <w:unhideWhenUsed/>
    <w:rsid w:val="00486C16"/>
    <w:rPr>
      <w:rFonts w:asciiTheme="majorHAnsi" w:eastAsiaTheme="majorEastAsia" w:hAnsiTheme="majorHAnsi" w:cstheme="majorBidi"/>
      <w:b/>
      <w:bCs/>
    </w:rPr>
  </w:style>
  <w:style w:type="table" w:customStyle="1" w:styleId="GridTable2">
    <w:name w:val="Grid Table 2"/>
    <w:basedOn w:val="TableNormal"/>
    <w:uiPriority w:val="47"/>
    <w:rsid w:val="00C205F0"/>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
    <w:name w:val="Grid Table 5 Dark Accent 1"/>
    <w:basedOn w:val="TableNormal"/>
    <w:uiPriority w:val="50"/>
    <w:rsid w:val="00C205F0"/>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a16">
    <w:name w:val="Pa16"/>
    <w:basedOn w:val="Default"/>
    <w:next w:val="Default"/>
    <w:uiPriority w:val="99"/>
    <w:rsid w:val="0013722D"/>
    <w:pPr>
      <w:spacing w:line="171" w:lineRule="atLeast"/>
    </w:pPr>
    <w:rPr>
      <w:rFonts w:ascii="Arial" w:eastAsia="Calibri" w:hAnsi="Arial" w:cs="Arial"/>
      <w:color w:val="auto"/>
    </w:rPr>
  </w:style>
</w:styles>
</file>

<file path=word/webSettings.xml><?xml version="1.0" encoding="utf-8"?>
<w:webSettings xmlns:r="http://schemas.openxmlformats.org/officeDocument/2006/relationships" xmlns:w="http://schemas.openxmlformats.org/wordprocessingml/2006/main">
  <w:divs>
    <w:div w:id="405034713">
      <w:bodyDiv w:val="1"/>
      <w:marLeft w:val="0"/>
      <w:marRight w:val="0"/>
      <w:marTop w:val="0"/>
      <w:marBottom w:val="0"/>
      <w:divBdr>
        <w:top w:val="none" w:sz="0" w:space="0" w:color="auto"/>
        <w:left w:val="none" w:sz="0" w:space="0" w:color="auto"/>
        <w:bottom w:val="none" w:sz="0" w:space="0" w:color="auto"/>
        <w:right w:val="none" w:sz="0" w:space="0" w:color="auto"/>
      </w:divBdr>
    </w:div>
    <w:div w:id="643049439">
      <w:bodyDiv w:val="1"/>
      <w:marLeft w:val="0"/>
      <w:marRight w:val="0"/>
      <w:marTop w:val="0"/>
      <w:marBottom w:val="0"/>
      <w:divBdr>
        <w:top w:val="none" w:sz="0" w:space="0" w:color="auto"/>
        <w:left w:val="none" w:sz="0" w:space="0" w:color="auto"/>
        <w:bottom w:val="none" w:sz="0" w:space="0" w:color="auto"/>
        <w:right w:val="none" w:sz="0" w:space="0" w:color="auto"/>
      </w:divBdr>
    </w:div>
    <w:div w:id="1002585770">
      <w:bodyDiv w:val="1"/>
      <w:marLeft w:val="0"/>
      <w:marRight w:val="0"/>
      <w:marTop w:val="0"/>
      <w:marBottom w:val="0"/>
      <w:divBdr>
        <w:top w:val="none" w:sz="0" w:space="0" w:color="auto"/>
        <w:left w:val="none" w:sz="0" w:space="0" w:color="auto"/>
        <w:bottom w:val="none" w:sz="0" w:space="0" w:color="auto"/>
        <w:right w:val="none" w:sz="0" w:space="0" w:color="auto"/>
      </w:divBdr>
    </w:div>
    <w:div w:id="1210993011">
      <w:bodyDiv w:val="1"/>
      <w:marLeft w:val="0"/>
      <w:marRight w:val="0"/>
      <w:marTop w:val="0"/>
      <w:marBottom w:val="0"/>
      <w:divBdr>
        <w:top w:val="none" w:sz="0" w:space="0" w:color="auto"/>
        <w:left w:val="none" w:sz="0" w:space="0" w:color="auto"/>
        <w:bottom w:val="none" w:sz="0" w:space="0" w:color="auto"/>
        <w:right w:val="none" w:sz="0" w:space="0" w:color="auto"/>
      </w:divBdr>
    </w:div>
    <w:div w:id="1300454818">
      <w:bodyDiv w:val="1"/>
      <w:marLeft w:val="0"/>
      <w:marRight w:val="0"/>
      <w:marTop w:val="0"/>
      <w:marBottom w:val="0"/>
      <w:divBdr>
        <w:top w:val="none" w:sz="0" w:space="0" w:color="auto"/>
        <w:left w:val="none" w:sz="0" w:space="0" w:color="auto"/>
        <w:bottom w:val="none" w:sz="0" w:space="0" w:color="auto"/>
        <w:right w:val="none" w:sz="0" w:space="0" w:color="auto"/>
      </w:divBdr>
    </w:div>
    <w:div w:id="1495759417">
      <w:bodyDiv w:val="1"/>
      <w:marLeft w:val="0"/>
      <w:marRight w:val="0"/>
      <w:marTop w:val="0"/>
      <w:marBottom w:val="0"/>
      <w:divBdr>
        <w:top w:val="none" w:sz="0" w:space="0" w:color="auto"/>
        <w:left w:val="none" w:sz="0" w:space="0" w:color="auto"/>
        <w:bottom w:val="none" w:sz="0" w:space="0" w:color="auto"/>
        <w:right w:val="none" w:sz="0" w:space="0" w:color="auto"/>
      </w:divBdr>
    </w:div>
    <w:div w:id="1709183035">
      <w:bodyDiv w:val="1"/>
      <w:marLeft w:val="0"/>
      <w:marRight w:val="0"/>
      <w:marTop w:val="0"/>
      <w:marBottom w:val="0"/>
      <w:divBdr>
        <w:top w:val="none" w:sz="0" w:space="0" w:color="auto"/>
        <w:left w:val="none" w:sz="0" w:space="0" w:color="auto"/>
        <w:bottom w:val="none" w:sz="0" w:space="0" w:color="auto"/>
        <w:right w:val="none" w:sz="0" w:space="0" w:color="auto"/>
      </w:divBdr>
    </w:div>
    <w:div w:id="2130738244">
      <w:bodyDiv w:val="1"/>
      <w:marLeft w:val="0"/>
      <w:marRight w:val="0"/>
      <w:marTop w:val="0"/>
      <w:marBottom w:val="0"/>
      <w:divBdr>
        <w:top w:val="none" w:sz="0" w:space="0" w:color="auto"/>
        <w:left w:val="none" w:sz="0" w:space="0" w:color="auto"/>
        <w:bottom w:val="none" w:sz="0" w:space="0" w:color="auto"/>
        <w:right w:val="none" w:sz="0" w:space="0" w:color="auto"/>
      </w:divBdr>
      <w:divsChild>
        <w:div w:id="2081127169">
          <w:marLeft w:val="0"/>
          <w:marRight w:val="0"/>
          <w:marTop w:val="0"/>
          <w:marBottom w:val="0"/>
          <w:divBdr>
            <w:top w:val="none" w:sz="0" w:space="0" w:color="auto"/>
            <w:left w:val="none" w:sz="0" w:space="0" w:color="auto"/>
            <w:bottom w:val="none" w:sz="0" w:space="0" w:color="auto"/>
            <w:right w:val="none" w:sz="0" w:space="0" w:color="auto"/>
          </w:divBdr>
          <w:divsChild>
            <w:div w:id="471681386">
              <w:marLeft w:val="0"/>
              <w:marRight w:val="0"/>
              <w:marTop w:val="0"/>
              <w:marBottom w:val="0"/>
              <w:divBdr>
                <w:top w:val="none" w:sz="0" w:space="0" w:color="auto"/>
                <w:left w:val="none" w:sz="0" w:space="0" w:color="auto"/>
                <w:bottom w:val="none" w:sz="0" w:space="0" w:color="auto"/>
                <w:right w:val="none" w:sz="0" w:space="0" w:color="auto"/>
              </w:divBdr>
              <w:divsChild>
                <w:div w:id="1058630250">
                  <w:marLeft w:val="0"/>
                  <w:marRight w:val="0"/>
                  <w:marTop w:val="0"/>
                  <w:marBottom w:val="0"/>
                  <w:divBdr>
                    <w:top w:val="none" w:sz="0" w:space="0" w:color="auto"/>
                    <w:left w:val="none" w:sz="0" w:space="0" w:color="auto"/>
                    <w:bottom w:val="none" w:sz="0" w:space="0" w:color="auto"/>
                    <w:right w:val="none" w:sz="0" w:space="0" w:color="auto"/>
                  </w:divBdr>
                  <w:divsChild>
                    <w:div w:id="1527056066">
                      <w:marLeft w:val="150"/>
                      <w:marRight w:val="150"/>
                      <w:marTop w:val="0"/>
                      <w:marBottom w:val="0"/>
                      <w:divBdr>
                        <w:top w:val="none" w:sz="0" w:space="0" w:color="auto"/>
                        <w:left w:val="none" w:sz="0" w:space="0" w:color="auto"/>
                        <w:bottom w:val="none" w:sz="0" w:space="0" w:color="auto"/>
                        <w:right w:val="none" w:sz="0" w:space="0" w:color="auto"/>
                      </w:divBdr>
                      <w:divsChild>
                        <w:div w:id="1104688371">
                          <w:marLeft w:val="0"/>
                          <w:marRight w:val="0"/>
                          <w:marTop w:val="0"/>
                          <w:marBottom w:val="0"/>
                          <w:divBdr>
                            <w:top w:val="none" w:sz="0" w:space="0" w:color="auto"/>
                            <w:left w:val="none" w:sz="0" w:space="0" w:color="auto"/>
                            <w:bottom w:val="none" w:sz="0" w:space="0" w:color="auto"/>
                            <w:right w:val="none" w:sz="0" w:space="0" w:color="auto"/>
                          </w:divBdr>
                          <w:divsChild>
                            <w:div w:id="873275803">
                              <w:marLeft w:val="0"/>
                              <w:marRight w:val="0"/>
                              <w:marTop w:val="0"/>
                              <w:marBottom w:val="240"/>
                              <w:divBdr>
                                <w:top w:val="none" w:sz="0" w:space="0" w:color="auto"/>
                                <w:left w:val="none" w:sz="0" w:space="0" w:color="auto"/>
                                <w:bottom w:val="none" w:sz="0" w:space="0" w:color="auto"/>
                                <w:right w:val="none" w:sz="0" w:space="0" w:color="auto"/>
                              </w:divBdr>
                              <w:divsChild>
                                <w:div w:id="976030141">
                                  <w:marLeft w:val="0"/>
                                  <w:marRight w:val="0"/>
                                  <w:marTop w:val="0"/>
                                  <w:marBottom w:val="0"/>
                                  <w:divBdr>
                                    <w:top w:val="none" w:sz="0" w:space="0" w:color="auto"/>
                                    <w:left w:val="none" w:sz="0" w:space="0" w:color="auto"/>
                                    <w:bottom w:val="none" w:sz="0" w:space="0" w:color="auto"/>
                                    <w:right w:val="none" w:sz="0" w:space="0" w:color="auto"/>
                                  </w:divBdr>
                                  <w:divsChild>
                                    <w:div w:id="516584374">
                                      <w:marLeft w:val="0"/>
                                      <w:marRight w:val="0"/>
                                      <w:marTop w:val="0"/>
                                      <w:marBottom w:val="0"/>
                                      <w:divBdr>
                                        <w:top w:val="none" w:sz="0" w:space="0" w:color="auto"/>
                                        <w:left w:val="none" w:sz="0" w:space="0" w:color="auto"/>
                                        <w:bottom w:val="none" w:sz="0" w:space="0" w:color="auto"/>
                                        <w:right w:val="none" w:sz="0" w:space="0" w:color="auto"/>
                                      </w:divBdr>
                                      <w:divsChild>
                                        <w:div w:id="1136333439">
                                          <w:marLeft w:val="0"/>
                                          <w:marRight w:val="0"/>
                                          <w:marTop w:val="0"/>
                                          <w:marBottom w:val="0"/>
                                          <w:divBdr>
                                            <w:top w:val="none" w:sz="0" w:space="0" w:color="auto"/>
                                            <w:left w:val="none" w:sz="0" w:space="0" w:color="auto"/>
                                            <w:bottom w:val="none" w:sz="0" w:space="0" w:color="auto"/>
                                            <w:right w:val="none" w:sz="0" w:space="0" w:color="auto"/>
                                          </w:divBdr>
                                          <w:divsChild>
                                            <w:div w:id="1494880712">
                                              <w:marLeft w:val="0"/>
                                              <w:marRight w:val="0"/>
                                              <w:marTop w:val="0"/>
                                              <w:marBottom w:val="0"/>
                                              <w:divBdr>
                                                <w:top w:val="none" w:sz="0" w:space="0" w:color="auto"/>
                                                <w:left w:val="none" w:sz="0" w:space="0" w:color="auto"/>
                                                <w:bottom w:val="none" w:sz="0" w:space="0" w:color="auto"/>
                                                <w:right w:val="none" w:sz="0" w:space="0" w:color="auto"/>
                                              </w:divBdr>
                                              <w:divsChild>
                                                <w:div w:id="550579189">
                                                  <w:marLeft w:val="0"/>
                                                  <w:marRight w:val="0"/>
                                                  <w:marTop w:val="0"/>
                                                  <w:marBottom w:val="0"/>
                                                  <w:divBdr>
                                                    <w:top w:val="none" w:sz="0" w:space="0" w:color="auto"/>
                                                    <w:left w:val="none" w:sz="0" w:space="0" w:color="auto"/>
                                                    <w:bottom w:val="none" w:sz="0" w:space="0" w:color="auto"/>
                                                    <w:right w:val="none" w:sz="0" w:space="0" w:color="auto"/>
                                                  </w:divBdr>
                                                  <w:divsChild>
                                                    <w:div w:id="13393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3.emf"/><Relationship Id="rId39" Type="http://schemas.openxmlformats.org/officeDocument/2006/relationships/header" Target="header11.xml"/><Relationship Id="rId21" Type="http://schemas.openxmlformats.org/officeDocument/2006/relationships/hyperlink" Target="http://www.environment.gov.au/" TargetMode="External"/><Relationship Id="rId34" Type="http://schemas.openxmlformats.org/officeDocument/2006/relationships/image" Target="media/image7.emf"/><Relationship Id="rId42" Type="http://schemas.openxmlformats.org/officeDocument/2006/relationships/header" Target="header12.xml"/><Relationship Id="rId47" Type="http://schemas.openxmlformats.org/officeDocument/2006/relationships/hyperlink" Target="mailto:epbc.costrecovery@environment.gov.au" TargetMode="External"/><Relationship Id="rId50" Type="http://schemas.openxmlformats.org/officeDocument/2006/relationships/header" Target="header14.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chart" Target="charts/chart1.xml"/><Relationship Id="rId33" Type="http://schemas.openxmlformats.org/officeDocument/2006/relationships/image" Target="media/image6.emf"/><Relationship Id="rId38" Type="http://schemas.openxmlformats.org/officeDocument/2006/relationships/header" Target="header10.xml"/><Relationship Id="rId46"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oter" Target="footer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emf"/><Relationship Id="rId32" Type="http://schemas.openxmlformats.org/officeDocument/2006/relationships/image" Target="media/image5.emf"/><Relationship Id="rId37" Type="http://schemas.openxmlformats.org/officeDocument/2006/relationships/image" Target="media/image10.emf"/><Relationship Id="rId40" Type="http://schemas.openxmlformats.org/officeDocument/2006/relationships/footer" Target="footer5.xml"/><Relationship Id="rId45" Type="http://schemas.openxmlformats.org/officeDocument/2006/relationships/image" Target="media/image12.emf"/><Relationship Id="rId53" Type="http://schemas.openxmlformats.org/officeDocument/2006/relationships/image" Target="media/image14.emf"/><Relationship Id="rId58"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comlaw.gov.au" TargetMode="External"/><Relationship Id="rId28" Type="http://schemas.openxmlformats.org/officeDocument/2006/relationships/header" Target="header8.xml"/><Relationship Id="rId36" Type="http://schemas.openxmlformats.org/officeDocument/2006/relationships/image" Target="media/image9.emf"/><Relationship Id="rId49" Type="http://schemas.openxmlformats.org/officeDocument/2006/relationships/header" Target="header13.xml"/><Relationship Id="rId57"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4.emf"/><Relationship Id="rId44" Type="http://schemas.openxmlformats.org/officeDocument/2006/relationships/image" Target="media/image11.emf"/><Relationship Id="rId52"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file:///\\pvac01file02\user$\A04513\Documents\www.finance.gov.au." TargetMode="External"/><Relationship Id="rId27" Type="http://schemas.openxmlformats.org/officeDocument/2006/relationships/header" Target="header7.xml"/><Relationship Id="rId30" Type="http://schemas.openxmlformats.org/officeDocument/2006/relationships/footer" Target="footer4.xml"/><Relationship Id="rId35" Type="http://schemas.openxmlformats.org/officeDocument/2006/relationships/image" Target="media/image8.emf"/><Relationship Id="rId43" Type="http://schemas.openxmlformats.org/officeDocument/2006/relationships/footer" Target="footer7.xml"/><Relationship Id="rId48" Type="http://schemas.openxmlformats.org/officeDocument/2006/relationships/chart" Target="charts/chart2.xml"/><Relationship Id="rId8" Type="http://schemas.openxmlformats.org/officeDocument/2006/relationships/webSettings" Target="webSettings.xml"/><Relationship Id="rId51" Type="http://schemas.openxmlformats.org/officeDocument/2006/relationships/footer" Target="footer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environment.gov.au/resource/wildlife-trade-permit-cost-recovery-under-epbc-act-cost-recovery-impact-statement-july-2013" TargetMode="External"/><Relationship Id="rId2" Type="http://schemas.openxmlformats.org/officeDocument/2006/relationships/hyperlink" Target="http://www.environment.gov.au/resource/wildlife-trade-permit-cost-recovery-under-epbc-act-cost-recovery-impact-statement-july-2013" TargetMode="External"/><Relationship Id="rId1" Type="http://schemas.openxmlformats.org/officeDocument/2006/relationships/hyperlink" Target="http://www.environment.gov.au/topics/about-us/legislation/environment-protection-and-biodiversity-conservation-act-1999/one-stop" TargetMode="External"/><Relationship Id="rId4" Type="http://schemas.openxmlformats.org/officeDocument/2006/relationships/hyperlink" Target="http://www.environment.gov.au/resource/cost-recovery-under-environment-protection-and-biodiversity-conservation-act-1999-epbc-ac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vac01file02\user$\A01113\Chad%20McCulloch%20request%2016Jul20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vac01file01\AWD$\Branch%20Folders\SAL\LP\Cost%20recovery%202014\16.%20non%20financial%20performance%20monitoring\MatleyA_Approved%20Decision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pivotSource>
    <c:name>[Chad McCulloch request 16Jul2012.xls]Category pivot!PivotTable1</c:name>
    <c:fmtId val="-1"/>
  </c:pivotSource>
  <c:chart>
    <c:title>
      <c:tx>
        <c:rich>
          <a:bodyPr/>
          <a:lstStyle/>
          <a:p>
            <a:pPr>
              <a:defRPr sz="1200"/>
            </a:pPr>
            <a:r>
              <a:rPr lang="en-US" sz="1200"/>
              <a:t>Referrals</a:t>
            </a:r>
            <a:r>
              <a:rPr lang="en-US" sz="1200" baseline="0"/>
              <a:t> by category under the EPBC Act</a:t>
            </a:r>
          </a:p>
          <a:p>
            <a:pPr>
              <a:defRPr sz="1200"/>
            </a:pPr>
            <a:r>
              <a:rPr lang="en-US" sz="1200" b="0" baseline="0"/>
              <a:t>1 July 2007 - 30 June 2012</a:t>
            </a:r>
            <a:endParaRPr lang="en-US" sz="1200" b="0"/>
          </a:p>
        </c:rich>
      </c:tx>
    </c:title>
    <c:pivotFmts>
      <c:pivotFmt>
        <c:idx val="0"/>
        <c:marker>
          <c:symbol val="none"/>
        </c:marker>
        <c:dLbl>
          <c:idx val="0"/>
          <c:numFmt formatCode="0.0%" sourceLinked="0"/>
          <c:spPr/>
          <c:txPr>
            <a:bodyPr/>
            <a:lstStyle/>
            <a:p>
              <a:pPr>
                <a:defRPr/>
              </a:pPr>
              <a:endParaRPr lang="en-US"/>
            </a:p>
          </c:txPr>
          <c:showCatName val="1"/>
          <c:showPercent val="1"/>
          <c:extLst>
            <c:ext xmlns:c15="http://schemas.microsoft.com/office/drawing/2012/chart" uri="{CE6537A1-D6FC-4f65-9D91-7224C49458BB}"/>
          </c:extLst>
        </c:dLbl>
      </c:pivotFmt>
      <c:pivotFmt>
        <c:idx val="1"/>
        <c:marker>
          <c:symbol val="none"/>
        </c:marker>
        <c:dLbl>
          <c:idx val="0"/>
          <c:numFmt formatCode="0.0%" sourceLinked="0"/>
          <c:spPr/>
          <c:txPr>
            <a:bodyPr/>
            <a:lstStyle/>
            <a:p>
              <a:pPr>
                <a:defRPr/>
              </a:pPr>
              <a:endParaRPr lang="en-US"/>
            </a:p>
          </c:txPr>
          <c:showCatName val="1"/>
          <c:showPercent val="1"/>
          <c:extLst>
            <c:ext xmlns:c15="http://schemas.microsoft.com/office/drawing/2012/chart" uri="{CE6537A1-D6FC-4f65-9D91-7224C49458BB}"/>
          </c:extLst>
        </c:dLbl>
      </c:pivotFmt>
    </c:pivotFmts>
    <c:plotArea>
      <c:layout>
        <c:manualLayout>
          <c:layoutTarget val="inner"/>
          <c:xMode val="edge"/>
          <c:yMode val="edge"/>
          <c:x val="0.18736677448840044"/>
          <c:y val="0.28412422891627842"/>
          <c:w val="0.60037672557235156"/>
          <c:h val="0.5733830477310955"/>
        </c:manualLayout>
      </c:layout>
      <c:pieChart>
        <c:varyColors val="1"/>
        <c:ser>
          <c:idx val="0"/>
          <c:order val="0"/>
          <c:tx>
            <c:strRef>
              <c:f>'Category pivot'!$B$3:$B$4</c:f>
              <c:strCache>
                <c:ptCount val="1"/>
                <c:pt idx="0">
                  <c:v>Total</c:v>
                </c:pt>
              </c:strCache>
            </c:strRef>
          </c:tx>
          <c:dLbls>
            <c:numFmt formatCode="0.0%" sourceLinked="0"/>
            <c:spPr>
              <a:noFill/>
              <a:ln>
                <a:noFill/>
              </a:ln>
              <a:effectLst/>
            </c:spPr>
            <c:txPr>
              <a:bodyPr/>
              <a:lstStyle/>
              <a:p>
                <a:pPr>
                  <a:defRPr/>
                </a:pPr>
                <a:endParaRPr lang="en-US"/>
              </a:p>
            </c:txPr>
            <c:showCatName val="1"/>
            <c:showPercent val="1"/>
            <c:showLeaderLines val="1"/>
            <c:extLst>
              <c:ext xmlns:c15="http://schemas.microsoft.com/office/drawing/2012/chart" uri="{CE6537A1-D6FC-4f65-9D91-7224C49458BB}">
                <c15:layout/>
              </c:ext>
            </c:extLst>
          </c:dLbls>
          <c:cat>
            <c:strRef>
              <c:f>'Category pivot'!$A$5:$A$27</c:f>
              <c:strCache>
                <c:ptCount val="22"/>
                <c:pt idx="0">
                  <c:v>Agriculture and forestry</c:v>
                </c:pt>
                <c:pt idx="1">
                  <c:v>Aquaculture</c:v>
                </c:pt>
                <c:pt idx="2">
                  <c:v>Commercial development</c:v>
                </c:pt>
                <c:pt idx="3">
                  <c:v>Commonwealth</c:v>
                </c:pt>
                <c:pt idx="4">
                  <c:v>Energy generation and supply (non-renewable)</c:v>
                </c:pt>
                <c:pt idx="5">
                  <c:v>Energy generation and supply (renewable)</c:v>
                </c:pt>
                <c:pt idx="6">
                  <c:v>Exploration (mineral, oil and gas - marine)</c:v>
                </c:pt>
                <c:pt idx="7">
                  <c:v>Exploration (mineral, oil and gas - non-marine)</c:v>
                </c:pt>
                <c:pt idx="8">
                  <c:v>Manufacturing</c:v>
                </c:pt>
                <c:pt idx="9">
                  <c:v>Mining</c:v>
                </c:pt>
                <c:pt idx="10">
                  <c:v>Natural resources management</c:v>
                </c:pt>
                <c:pt idx="11">
                  <c:v>Private</c:v>
                </c:pt>
                <c:pt idx="12">
                  <c:v>Residential development</c:v>
                </c:pt>
                <c:pt idx="13">
                  <c:v>Science and research</c:v>
                </c:pt>
                <c:pt idx="14">
                  <c:v>Telecommunications</c:v>
                </c:pt>
                <c:pt idx="15">
                  <c:v>Tourism and recreation</c:v>
                </c:pt>
                <c:pt idx="16">
                  <c:v>Transport - air and space</c:v>
                </c:pt>
                <c:pt idx="17">
                  <c:v>Transport - land</c:v>
                </c:pt>
                <c:pt idx="18">
                  <c:v>Transport - water</c:v>
                </c:pt>
                <c:pt idx="19">
                  <c:v>Waste management (non-sewerage)</c:v>
                </c:pt>
                <c:pt idx="20">
                  <c:v>Waste management (sewerage)</c:v>
                </c:pt>
                <c:pt idx="21">
                  <c:v>Water management and use</c:v>
                </c:pt>
              </c:strCache>
            </c:strRef>
          </c:cat>
          <c:val>
            <c:numRef>
              <c:f>'Category pivot'!$B$5:$B$27</c:f>
              <c:numCache>
                <c:formatCode>General</c:formatCode>
                <c:ptCount val="22"/>
                <c:pt idx="0">
                  <c:v>17</c:v>
                </c:pt>
                <c:pt idx="1">
                  <c:v>8</c:v>
                </c:pt>
                <c:pt idx="2">
                  <c:v>129</c:v>
                </c:pt>
                <c:pt idx="3">
                  <c:v>56</c:v>
                </c:pt>
                <c:pt idx="4">
                  <c:v>129</c:v>
                </c:pt>
                <c:pt idx="5">
                  <c:v>70</c:v>
                </c:pt>
                <c:pt idx="6">
                  <c:v>227</c:v>
                </c:pt>
                <c:pt idx="7">
                  <c:v>18</c:v>
                </c:pt>
                <c:pt idx="8">
                  <c:v>7</c:v>
                </c:pt>
                <c:pt idx="9">
                  <c:v>323</c:v>
                </c:pt>
                <c:pt idx="10">
                  <c:v>106</c:v>
                </c:pt>
                <c:pt idx="11">
                  <c:v>20</c:v>
                </c:pt>
                <c:pt idx="12">
                  <c:v>304</c:v>
                </c:pt>
                <c:pt idx="13">
                  <c:v>43</c:v>
                </c:pt>
                <c:pt idx="14">
                  <c:v>22</c:v>
                </c:pt>
                <c:pt idx="15">
                  <c:v>105</c:v>
                </c:pt>
                <c:pt idx="16">
                  <c:v>17</c:v>
                </c:pt>
                <c:pt idx="17">
                  <c:v>257</c:v>
                </c:pt>
                <c:pt idx="18">
                  <c:v>66</c:v>
                </c:pt>
                <c:pt idx="19">
                  <c:v>22</c:v>
                </c:pt>
                <c:pt idx="20">
                  <c:v>43</c:v>
                </c:pt>
                <c:pt idx="21">
                  <c:v>129</c:v>
                </c:pt>
              </c:numCache>
            </c:numRef>
          </c:val>
        </c:ser>
        <c:dLbls>
          <c:showCatName val="1"/>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style val="7"/>
  <c:chart>
    <c:title/>
    <c:plotArea>
      <c:layout>
        <c:manualLayout>
          <c:layoutTarget val="inner"/>
          <c:xMode val="edge"/>
          <c:yMode val="edge"/>
          <c:x val="7.7042364896695734E-2"/>
          <c:y val="0.20579122790374088"/>
          <c:w val="0.68161148125715054"/>
          <c:h val="0.67913430098346161"/>
        </c:manualLayout>
      </c:layout>
      <c:lineChart>
        <c:grouping val="standard"/>
        <c:ser>
          <c:idx val="0"/>
          <c:order val="0"/>
          <c:tx>
            <c:strRef>
              <c:f>'Final Table'!$E$2</c:f>
              <c:strCache>
                <c:ptCount val="1"/>
                <c:pt idx="0">
                  <c:v>Average of calendar days from Referral to Approval</c:v>
                </c:pt>
              </c:strCache>
            </c:strRef>
          </c:tx>
          <c:marker>
            <c:symbol val="none"/>
          </c:marker>
          <c:cat>
            <c:strRef>
              <c:f>'Final Table'!$A$3:$A$16</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'Final Table'!$E$3:$E$16</c:f>
              <c:numCache>
                <c:formatCode>0.00</c:formatCode>
                <c:ptCount val="14"/>
                <c:pt idx="0">
                  <c:v>382.63157894736651</c:v>
                </c:pt>
                <c:pt idx="1">
                  <c:v>726.98</c:v>
                </c:pt>
                <c:pt idx="2">
                  <c:v>934.51351351351343</c:v>
                </c:pt>
                <c:pt idx="3">
                  <c:v>951.66666666666663</c:v>
                </c:pt>
                <c:pt idx="4">
                  <c:v>840.63157894736855</c:v>
                </c:pt>
                <c:pt idx="5">
                  <c:v>724.65</c:v>
                </c:pt>
                <c:pt idx="6">
                  <c:v>749.65957446808852</c:v>
                </c:pt>
                <c:pt idx="7">
                  <c:v>703.67346938775552</c:v>
                </c:pt>
                <c:pt idx="8">
                  <c:v>713.69892473118352</c:v>
                </c:pt>
                <c:pt idx="9">
                  <c:v>579.21518987341767</c:v>
                </c:pt>
                <c:pt idx="10">
                  <c:v>528.62352941176448</c:v>
                </c:pt>
                <c:pt idx="11">
                  <c:v>482.36111111111109</c:v>
                </c:pt>
                <c:pt idx="12">
                  <c:v>375.36842105263156</c:v>
                </c:pt>
                <c:pt idx="13">
                  <c:v>241.22222222222223</c:v>
                </c:pt>
              </c:numCache>
            </c:numRef>
          </c:val>
        </c:ser>
        <c:marker val="1"/>
        <c:axId val="157658112"/>
        <c:axId val="40518400"/>
      </c:lineChart>
      <c:catAx>
        <c:axId val="157658112"/>
        <c:scaling>
          <c:orientation val="minMax"/>
        </c:scaling>
        <c:axPos val="b"/>
        <c:majorGridlines/>
        <c:numFmt formatCode="d/mm/yyyy" sourceLinked="1"/>
        <c:tickLblPos val="nextTo"/>
        <c:crossAx val="40518400"/>
        <c:crosses val="autoZero"/>
        <c:auto val="1"/>
        <c:lblAlgn val="ctr"/>
        <c:lblOffset val="100"/>
      </c:catAx>
      <c:valAx>
        <c:axId val="40518400"/>
        <c:scaling>
          <c:orientation val="minMax"/>
        </c:scaling>
        <c:axPos val="l"/>
        <c:majorGridlines/>
        <c:numFmt formatCode="0" sourceLinked="0"/>
        <c:tickLblPos val="nextTo"/>
        <c:crossAx val="157658112"/>
        <c:crosses val="autoZero"/>
        <c:crossBetween val="between"/>
      </c:valAx>
    </c:plotArea>
    <c:legend>
      <c:legendPos val="r"/>
      <c:layout>
        <c:manualLayout>
          <c:xMode val="edge"/>
          <c:yMode val="edge"/>
          <c:x val="0.7629273504273506"/>
          <c:y val="0.54302678430256457"/>
          <c:w val="0.22425213675213773"/>
          <c:h val="0.26077374063181863"/>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d3d3a9f2-d6b9-4ac6-938b-c1d69a470220"/>
    <ds:schemaRef ds:uri="http://www.w3.org/XML/1998/namespace"/>
    <ds:schemaRef ds:uri="http://schemas.openxmlformats.org/package/2006/metadata/core-properties"/>
    <ds:schemaRef ds:uri="94e070df-f2d7-4164-8c33-edbc83da752d"/>
  </ds:schemaRefs>
</ds:datastoreItem>
</file>

<file path=customXml/itemProps3.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1879E-A395-4FB4-AF77-8C3BD487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95</Pages>
  <Words>22075</Words>
  <Characters>125833</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147613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 Recovery Impact Statement - Cost Recovery for envirnmental Assessment under the EPBC Act July 2014-June 2013</dc:title>
  <dc:creator>A04108</dc:creator>
  <cp:lastModifiedBy>A00870</cp:lastModifiedBy>
  <cp:revision>14</cp:revision>
  <cp:lastPrinted>2014-06-26T00:24:00Z</cp:lastPrinted>
  <dcterms:created xsi:type="dcterms:W3CDTF">2014-06-26T00:10:00Z</dcterms:created>
  <dcterms:modified xsi:type="dcterms:W3CDTF">2014-06-26T03:15:00Z</dcterms:modified>
</cp:coreProperties>
</file>