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C6369" w14:textId="4A380027" w:rsidR="009476EB" w:rsidRPr="004911D3" w:rsidRDefault="00876AB6" w:rsidP="005C28C2">
      <w:pPr>
        <w:pStyle w:val="Title"/>
      </w:pPr>
      <w:r>
        <w:t>Public Radiation</w:t>
      </w:r>
      <w:r w:rsidR="00A36FE8">
        <w:t xml:space="preserve"> </w:t>
      </w:r>
      <w:r w:rsidR="00F85FDD" w:rsidRPr="00296301">
        <w:t xml:space="preserve">— </w:t>
      </w:r>
      <w:r w:rsidR="009476EB" w:rsidRPr="004911D3">
        <w:t xml:space="preserve">Rehabilitation </w:t>
      </w:r>
      <w:r w:rsidR="005C28C2">
        <w:t>S</w:t>
      </w:r>
      <w:r w:rsidR="009476EB" w:rsidRPr="004911D3">
        <w:t>tandard for the Ranger uranium mine</w:t>
      </w:r>
      <w:bookmarkStart w:id="0" w:name="_GoBack"/>
      <w:bookmarkEnd w:id="0"/>
    </w:p>
    <w:p w14:paraId="752C636A" w14:textId="4D80D8F8" w:rsidR="005C28C2" w:rsidRDefault="00F5738E" w:rsidP="005C28C2">
      <w:pPr>
        <w:pStyle w:val="Subtitle"/>
      </w:pPr>
      <w:r>
        <w:t>Radiation protection</w:t>
      </w:r>
      <w:r w:rsidR="004B58A8">
        <w:t xml:space="preserve"> theme</w:t>
      </w:r>
    </w:p>
    <w:p w14:paraId="752C636C" w14:textId="77777777" w:rsidR="0040044C" w:rsidRDefault="005C28C2" w:rsidP="00686BAD">
      <w:pPr>
        <w:pStyle w:val="Heading1"/>
        <w:numPr>
          <w:ilvl w:val="0"/>
          <w:numId w:val="0"/>
        </w:numPr>
        <w:jc w:val="both"/>
      </w:pPr>
      <w:r>
        <w:t>Preface</w:t>
      </w:r>
    </w:p>
    <w:p w14:paraId="752C636D" w14:textId="49260E9E" w:rsidR="005C28C2" w:rsidRDefault="005C28C2" w:rsidP="00686BAD">
      <w:pPr>
        <w:jc w:val="both"/>
      </w:pPr>
      <w:r>
        <w:t xml:space="preserve">The Supervising Scientist developed </w:t>
      </w:r>
      <w:r w:rsidR="00876AB6">
        <w:t>this</w:t>
      </w:r>
      <w:r w:rsidR="009C081F">
        <w:t xml:space="preserve"> </w:t>
      </w:r>
      <w:r>
        <w:t>Rehabilitation S</w:t>
      </w:r>
      <w:r w:rsidRPr="00D448ED">
        <w:t xml:space="preserve">tandard </w:t>
      </w:r>
      <w:r>
        <w:t xml:space="preserve">to describe the </w:t>
      </w:r>
      <w:r w:rsidR="00F43A4D">
        <w:t xml:space="preserve">radiation protection </w:t>
      </w:r>
      <w:r>
        <w:t xml:space="preserve">requirements </w:t>
      </w:r>
      <w:r w:rsidRPr="00D448ED">
        <w:t xml:space="preserve">for </w:t>
      </w:r>
      <w:r w:rsidR="00F43A4D">
        <w:t>members of the public u</w:t>
      </w:r>
      <w:r w:rsidR="00F07178">
        <w:t>sing</w:t>
      </w:r>
      <w:r w:rsidR="00F43A4D">
        <w:t xml:space="preserve"> the land within </w:t>
      </w:r>
      <w:r w:rsidR="00FF2DE0">
        <w:t>and outside of</w:t>
      </w:r>
      <w:r>
        <w:t xml:space="preserve"> the Ranger Project Area in the </w:t>
      </w:r>
      <w:r w:rsidR="00DA41A7">
        <w:t xml:space="preserve">Alligator Rivers Region of the </w:t>
      </w:r>
      <w:r>
        <w:t>Northern Territory.</w:t>
      </w:r>
    </w:p>
    <w:p w14:paraId="752C636E" w14:textId="13CA4399" w:rsidR="0040044C" w:rsidRDefault="005C28C2" w:rsidP="00686BAD">
      <w:pPr>
        <w:jc w:val="both"/>
      </w:pPr>
      <w:r>
        <w:t>This document is part of a series of Rehabilitation Standards for Ranger uranium mine. It</w:t>
      </w:r>
      <w:r w:rsidRPr="00EA7547">
        <w:t xml:space="preserve"> may be updated as additional relevant knowledge becomes available.</w:t>
      </w:r>
    </w:p>
    <w:p w14:paraId="60333B77" w14:textId="77777777" w:rsidR="00A7047C" w:rsidRDefault="00A7047C" w:rsidP="00A7047C">
      <w:pPr>
        <w:rPr>
          <w:i/>
          <w:iCs/>
        </w:rPr>
      </w:pPr>
      <w:r>
        <w:rPr>
          <w:i/>
          <w:iCs/>
        </w:rPr>
        <w:t xml:space="preserve">This Standard should be cited as follows: </w:t>
      </w:r>
    </w:p>
    <w:p w14:paraId="287D1D52" w14:textId="4D90EA3D" w:rsidR="00A7047C" w:rsidRDefault="00A7047C" w:rsidP="00A7047C">
      <w:pPr>
        <w:rPr>
          <w:rFonts w:ascii="Garamond" w:hAnsi="Garamond"/>
          <w:i/>
          <w:iCs/>
        </w:rPr>
      </w:pPr>
      <w:r>
        <w:t xml:space="preserve">Supervising Scientist 2018. Public Radiation — Rehabilitation Standard for the Ranger uranium mine (version 1). Supervising Scientist Branch, Darwin, NT. </w:t>
      </w:r>
      <w:hyperlink r:id="rId7" w:history="1">
        <w:r>
          <w:rPr>
            <w:rStyle w:val="Hyperlink"/>
          </w:rPr>
          <w:t>http://www.environment.gov.au/science/supervising-scientist/publications/ss-rehabilitation-standards</w:t>
        </w:r>
      </w:hyperlink>
      <w:r>
        <w:t>. Cited [Date].</w:t>
      </w:r>
    </w:p>
    <w:p w14:paraId="752C636F" w14:textId="77777777" w:rsidR="0040044C" w:rsidRDefault="005C28C2" w:rsidP="00686BAD">
      <w:pPr>
        <w:pStyle w:val="Heading1"/>
        <w:jc w:val="both"/>
      </w:pPr>
      <w:r>
        <w:t>General elements</w:t>
      </w:r>
    </w:p>
    <w:p w14:paraId="752C6370" w14:textId="77777777" w:rsidR="0040044C" w:rsidRDefault="005C28C2" w:rsidP="00686BAD">
      <w:pPr>
        <w:pStyle w:val="Heading2"/>
        <w:jc w:val="both"/>
      </w:pPr>
      <w:r>
        <w:t>Scope</w:t>
      </w:r>
    </w:p>
    <w:p w14:paraId="752C6371" w14:textId="77777777" w:rsidR="0040044C" w:rsidRDefault="0040044C" w:rsidP="00686BAD">
      <w:pPr>
        <w:pStyle w:val="Caption"/>
        <w:jc w:val="both"/>
        <w:rPr>
          <w:szCs w:val="22"/>
        </w:rPr>
      </w:pPr>
      <w:r>
        <w:fldChar w:fldCharType="begin"/>
      </w:r>
      <w:r w:rsidR="00EE744B">
        <w:instrText xml:space="preserve"> STYLEREF 1 \s </w:instrText>
      </w:r>
      <w:r>
        <w:fldChar w:fldCharType="separate"/>
      </w:r>
      <w:r w:rsidR="00225404">
        <w:rPr>
          <w:noProof/>
        </w:rPr>
        <w:t>1</w:t>
      </w:r>
      <w:r>
        <w:fldChar w:fldCharType="end"/>
      </w:r>
      <w:r w:rsidR="00EE744B">
        <w:t>.</w:t>
      </w:r>
      <w:r>
        <w:fldChar w:fldCharType="begin"/>
      </w:r>
      <w:r w:rsidR="00EE744B">
        <w:instrText xml:space="preserve"> SEQ Clause \* ARABIC \s 1 </w:instrText>
      </w:r>
      <w:r>
        <w:fldChar w:fldCharType="separate"/>
      </w:r>
      <w:r w:rsidR="00225404">
        <w:rPr>
          <w:noProof/>
        </w:rPr>
        <w:t>1</w:t>
      </w:r>
      <w:r>
        <w:fldChar w:fldCharType="end"/>
      </w:r>
      <w:r w:rsidR="005957C4">
        <w:t xml:space="preserve"> </w:t>
      </w:r>
      <w:r w:rsidR="00DC2E52" w:rsidRPr="003B1833">
        <w:rPr>
          <w:szCs w:val="22"/>
        </w:rPr>
        <w:t xml:space="preserve">The </w:t>
      </w:r>
      <w:r w:rsidR="00DC2E52">
        <w:rPr>
          <w:szCs w:val="22"/>
        </w:rPr>
        <w:t>R</w:t>
      </w:r>
      <w:r w:rsidR="00564F03">
        <w:rPr>
          <w:szCs w:val="22"/>
        </w:rPr>
        <w:t xml:space="preserve">ehabilitation Standards for </w:t>
      </w:r>
      <w:r w:rsidR="00DC2E52">
        <w:rPr>
          <w:szCs w:val="22"/>
        </w:rPr>
        <w:t xml:space="preserve">Ranger uranium mine have been developed </w:t>
      </w:r>
      <w:r w:rsidR="00DC2E52" w:rsidRPr="00393DB0">
        <w:rPr>
          <w:szCs w:val="22"/>
        </w:rPr>
        <w:t xml:space="preserve">in accordance with </w:t>
      </w:r>
      <w:r w:rsidR="00DC2E52">
        <w:rPr>
          <w:szCs w:val="22"/>
        </w:rPr>
        <w:t>section </w:t>
      </w:r>
      <w:r w:rsidR="00DC2E52" w:rsidRPr="00393DB0">
        <w:rPr>
          <w:szCs w:val="22"/>
        </w:rPr>
        <w:t xml:space="preserve">5c of the </w:t>
      </w:r>
      <w:r w:rsidR="00DC2E52" w:rsidRPr="00393DB0">
        <w:rPr>
          <w:i/>
          <w:szCs w:val="22"/>
        </w:rPr>
        <w:t>Environment Protection (Alligator Rivers Region) Act 1978</w:t>
      </w:r>
      <w:r w:rsidR="00DC2E52">
        <w:rPr>
          <w:i/>
          <w:szCs w:val="22"/>
        </w:rPr>
        <w:t xml:space="preserve"> </w:t>
      </w:r>
      <w:r w:rsidR="00DC2E52">
        <w:rPr>
          <w:szCs w:val="22"/>
        </w:rPr>
        <w:t>and are advisory only.</w:t>
      </w:r>
    </w:p>
    <w:p w14:paraId="752C6372" w14:textId="53F121C4" w:rsidR="0040044C" w:rsidRDefault="0040044C" w:rsidP="00686BAD">
      <w:pPr>
        <w:pStyle w:val="Caption"/>
        <w:jc w:val="both"/>
      </w:pPr>
      <w:r>
        <w:fldChar w:fldCharType="begin"/>
      </w:r>
      <w:r w:rsidR="00EE744B">
        <w:instrText xml:space="preserve"> STYLEREF 1 \s </w:instrText>
      </w:r>
      <w:r>
        <w:fldChar w:fldCharType="separate"/>
      </w:r>
      <w:r w:rsidR="00225404">
        <w:rPr>
          <w:noProof/>
        </w:rPr>
        <w:t>1</w:t>
      </w:r>
      <w:r>
        <w:fldChar w:fldCharType="end"/>
      </w:r>
      <w:r w:rsidR="00EE744B">
        <w:t>.</w:t>
      </w:r>
      <w:r>
        <w:fldChar w:fldCharType="begin"/>
      </w:r>
      <w:r w:rsidR="00EE744B">
        <w:instrText xml:space="preserve"> SEQ Clause \* ARABIC \s 1 </w:instrText>
      </w:r>
      <w:r>
        <w:fldChar w:fldCharType="separate"/>
      </w:r>
      <w:r w:rsidR="00225404">
        <w:rPr>
          <w:noProof/>
        </w:rPr>
        <w:t>2</w:t>
      </w:r>
      <w:r>
        <w:fldChar w:fldCharType="end"/>
      </w:r>
      <w:r w:rsidR="005957C4">
        <w:t xml:space="preserve"> </w:t>
      </w:r>
      <w:r w:rsidR="00F904EB" w:rsidRPr="00F904EB">
        <w:t xml:space="preserve">The </w:t>
      </w:r>
      <w:r w:rsidR="00B317B6">
        <w:rPr>
          <w:rStyle w:val="Emphasis"/>
        </w:rPr>
        <w:t>Environmental r</w:t>
      </w:r>
      <w:r w:rsidRPr="00AD5844">
        <w:rPr>
          <w:rStyle w:val="Emphasis"/>
        </w:rPr>
        <w:t>equirements of the Com</w:t>
      </w:r>
      <w:r w:rsidR="00B317B6">
        <w:rPr>
          <w:rStyle w:val="Emphasis"/>
        </w:rPr>
        <w:t>monwealth of Australia for the operation of the Ranger uranium m</w:t>
      </w:r>
      <w:r w:rsidRPr="00AD5844">
        <w:rPr>
          <w:rStyle w:val="Emphasis"/>
        </w:rPr>
        <w:t>ine</w:t>
      </w:r>
      <w:r w:rsidR="00024E5C">
        <w:t xml:space="preserve"> (</w:t>
      </w:r>
      <w:r w:rsidR="00F904EB" w:rsidRPr="00F904EB">
        <w:t>Environmental Requirements)</w:t>
      </w:r>
      <w:r w:rsidR="00753725">
        <w:t xml:space="preserve"> (Australian Government 1999)</w:t>
      </w:r>
      <w:r w:rsidR="00DC2E52">
        <w:t xml:space="preserve"> specify t</w:t>
      </w:r>
      <w:r w:rsidR="00DC2E52" w:rsidRPr="00407526">
        <w:t xml:space="preserve">he </w:t>
      </w:r>
      <w:r w:rsidR="00DC2E52">
        <w:t>environmental</w:t>
      </w:r>
      <w:r w:rsidR="00DC2E52" w:rsidRPr="00407526">
        <w:t xml:space="preserve"> objectives for the </w:t>
      </w:r>
      <w:r w:rsidR="00DC2E52">
        <w:t xml:space="preserve">rehabilitation of </w:t>
      </w:r>
      <w:r w:rsidR="00DC2E52" w:rsidRPr="00407526">
        <w:t>Ranger uranium mine</w:t>
      </w:r>
      <w:r w:rsidR="00F904EB" w:rsidRPr="00F904EB">
        <w:t>.</w:t>
      </w:r>
    </w:p>
    <w:p w14:paraId="752C6373" w14:textId="434AAD77" w:rsidR="0040044C" w:rsidRDefault="0040044C" w:rsidP="00686BAD">
      <w:pPr>
        <w:pStyle w:val="Caption"/>
        <w:jc w:val="both"/>
      </w:pPr>
      <w:r>
        <w:fldChar w:fldCharType="begin"/>
      </w:r>
      <w:r w:rsidR="00EE744B">
        <w:instrText xml:space="preserve"> STYLEREF 1 \s </w:instrText>
      </w:r>
      <w:r>
        <w:fldChar w:fldCharType="separate"/>
      </w:r>
      <w:r w:rsidR="00225404">
        <w:rPr>
          <w:noProof/>
        </w:rPr>
        <w:t>1</w:t>
      </w:r>
      <w:r>
        <w:fldChar w:fldCharType="end"/>
      </w:r>
      <w:r w:rsidR="00EE744B">
        <w:t>.</w:t>
      </w:r>
      <w:r>
        <w:fldChar w:fldCharType="begin"/>
      </w:r>
      <w:r w:rsidR="00EE744B">
        <w:instrText xml:space="preserve"> SEQ Clause \* ARABIC \s 1 </w:instrText>
      </w:r>
      <w:r>
        <w:fldChar w:fldCharType="separate"/>
      </w:r>
      <w:r w:rsidR="00225404">
        <w:rPr>
          <w:noProof/>
        </w:rPr>
        <w:t>3</w:t>
      </w:r>
      <w:r>
        <w:fldChar w:fldCharType="end"/>
      </w:r>
      <w:r w:rsidR="005957C4">
        <w:t xml:space="preserve"> </w:t>
      </w:r>
      <w:r w:rsidR="00F04F03" w:rsidRPr="009C0D10">
        <w:t>The Supervising Scientist's</w:t>
      </w:r>
      <w:r w:rsidR="00F04F03" w:rsidRPr="009C0D10">
        <w:rPr>
          <w:szCs w:val="22"/>
        </w:rPr>
        <w:t xml:space="preserve"> Rehabilitation Standards quantify the rehabilitation </w:t>
      </w:r>
      <w:r w:rsidR="00F04F03" w:rsidRPr="00D213F3">
        <w:rPr>
          <w:szCs w:val="22"/>
        </w:rPr>
        <w:t xml:space="preserve">objectives </w:t>
      </w:r>
      <w:r w:rsidR="00F04F03" w:rsidRPr="00D213F3">
        <w:rPr>
          <w:noProof/>
        </w:rPr>
        <w:t>and recommend specific values based on the best available science that will ensure a</w:t>
      </w:r>
      <w:r w:rsidR="00F04F03" w:rsidRPr="0013655D">
        <w:rPr>
          <w:noProof/>
        </w:rPr>
        <w:t xml:space="preserve"> high level of environmental protection</w:t>
      </w:r>
      <w:r w:rsidR="00F04F03" w:rsidRPr="009C0D10">
        <w:t xml:space="preserve">. These values can be used to </w:t>
      </w:r>
      <w:r w:rsidR="00F04F03" w:rsidRPr="00AF1583">
        <w:t>assess</w:t>
      </w:r>
      <w:r w:rsidR="00F04F03" w:rsidRPr="00AF1583">
        <w:rPr>
          <w:noProof/>
        </w:rPr>
        <w:t xml:space="preserve"> </w:t>
      </w:r>
      <w:r w:rsidR="00F04F03" w:rsidRPr="00AF1583">
        <w:t>the achievement of, or</w:t>
      </w:r>
      <w:r w:rsidR="00F04F03" w:rsidRPr="00AF1583">
        <w:rPr>
          <w:noProof/>
        </w:rPr>
        <w:t xml:space="preserve"> </w:t>
      </w:r>
      <w:r w:rsidR="00F04F03" w:rsidRPr="00AF1583">
        <w:rPr>
          <w:noProof/>
        </w:rPr>
        <w:lastRenderedPageBreak/>
        <w:t xml:space="preserve">progress towards, </w:t>
      </w:r>
      <w:r w:rsidR="00F04F03" w:rsidRPr="00AF1583">
        <w:t>the rehabilitation objectives,</w:t>
      </w:r>
      <w:r w:rsidR="00F04F03">
        <w:t xml:space="preserve"> some of </w:t>
      </w:r>
      <w:r w:rsidR="00F04F03" w:rsidRPr="00AF1583">
        <w:t>which may not be reached for a significant period of time.</w:t>
      </w:r>
    </w:p>
    <w:p w14:paraId="752C6374" w14:textId="1A157AE8" w:rsidR="0040044C" w:rsidRDefault="0040044C" w:rsidP="00686BAD">
      <w:pPr>
        <w:pStyle w:val="Caption"/>
        <w:jc w:val="both"/>
      </w:pPr>
      <w:r>
        <w:fldChar w:fldCharType="begin"/>
      </w:r>
      <w:r w:rsidR="00EE744B">
        <w:instrText xml:space="preserve"> STYLEREF 1 \s </w:instrText>
      </w:r>
      <w:r>
        <w:fldChar w:fldCharType="separate"/>
      </w:r>
      <w:r w:rsidR="00225404">
        <w:rPr>
          <w:noProof/>
        </w:rPr>
        <w:t>1</w:t>
      </w:r>
      <w:r>
        <w:fldChar w:fldCharType="end"/>
      </w:r>
      <w:r w:rsidR="00EE744B">
        <w:t>.</w:t>
      </w:r>
      <w:r>
        <w:fldChar w:fldCharType="begin"/>
      </w:r>
      <w:r w:rsidR="00EE744B">
        <w:instrText xml:space="preserve"> SEQ Clause \* ARABIC \s 1 </w:instrText>
      </w:r>
      <w:r>
        <w:fldChar w:fldCharType="separate"/>
      </w:r>
      <w:r w:rsidR="00225404">
        <w:rPr>
          <w:noProof/>
        </w:rPr>
        <w:t>4</w:t>
      </w:r>
      <w:r>
        <w:fldChar w:fldCharType="end"/>
      </w:r>
      <w:r w:rsidR="005957C4">
        <w:t xml:space="preserve"> </w:t>
      </w:r>
      <w:r w:rsidR="00F43A4D">
        <w:t xml:space="preserve">The rehabilitation of the Ranger uranium </w:t>
      </w:r>
      <w:r w:rsidR="00F43A4D" w:rsidRPr="00667DEA">
        <w:t xml:space="preserve">mine is a planned exposure situation (ARPANSA 2016). </w:t>
      </w:r>
      <w:r w:rsidR="002A0851" w:rsidRPr="00667DEA">
        <w:rPr>
          <w:szCs w:val="22"/>
        </w:rPr>
        <w:t>Until it can be determined that the</w:t>
      </w:r>
      <w:r w:rsidR="00FF2DE0" w:rsidRPr="00667DEA">
        <w:rPr>
          <w:szCs w:val="22"/>
        </w:rPr>
        <w:t xml:space="preserve"> </w:t>
      </w:r>
      <w:r w:rsidR="00104A4F" w:rsidRPr="00667DEA">
        <w:rPr>
          <w:szCs w:val="22"/>
        </w:rPr>
        <w:t>reh</w:t>
      </w:r>
      <w:r w:rsidR="004C451A" w:rsidRPr="00667DEA">
        <w:rPr>
          <w:szCs w:val="22"/>
        </w:rPr>
        <w:t>abilitation</w:t>
      </w:r>
      <w:r w:rsidR="004C451A">
        <w:rPr>
          <w:szCs w:val="22"/>
        </w:rPr>
        <w:t xml:space="preserve"> objectives have</w:t>
      </w:r>
      <w:r w:rsidR="002A0851" w:rsidRPr="00EA7547">
        <w:rPr>
          <w:szCs w:val="22"/>
        </w:rPr>
        <w:t xml:space="preserve"> or will be reached, there will be an ongoing need to ensure </w:t>
      </w:r>
      <w:r w:rsidR="00876AB6">
        <w:rPr>
          <w:szCs w:val="22"/>
        </w:rPr>
        <w:t>the</w:t>
      </w:r>
      <w:r w:rsidR="00876AB6" w:rsidRPr="00EA7547">
        <w:rPr>
          <w:szCs w:val="22"/>
        </w:rPr>
        <w:t xml:space="preserve"> </w:t>
      </w:r>
      <w:r w:rsidR="002A0851" w:rsidRPr="00EA7547">
        <w:rPr>
          <w:szCs w:val="22"/>
        </w:rPr>
        <w:t xml:space="preserve">protection </w:t>
      </w:r>
      <w:r w:rsidR="00AC6575">
        <w:rPr>
          <w:szCs w:val="22"/>
        </w:rPr>
        <w:t xml:space="preserve">of </w:t>
      </w:r>
      <w:r w:rsidR="00CF3AB7">
        <w:rPr>
          <w:szCs w:val="22"/>
        </w:rPr>
        <w:t>the public</w:t>
      </w:r>
      <w:r w:rsidR="00876AB6">
        <w:rPr>
          <w:szCs w:val="22"/>
        </w:rPr>
        <w:t xml:space="preserve"> against radiation risks</w:t>
      </w:r>
      <w:r w:rsidR="002A0851" w:rsidRPr="00EA7547">
        <w:rPr>
          <w:szCs w:val="22"/>
        </w:rPr>
        <w:t xml:space="preserve">, through </w:t>
      </w:r>
      <w:r w:rsidR="00FF2DE0">
        <w:rPr>
          <w:szCs w:val="22"/>
        </w:rPr>
        <w:t>continued</w:t>
      </w:r>
      <w:r w:rsidR="002A0851" w:rsidRPr="00EA7547">
        <w:rPr>
          <w:szCs w:val="22"/>
        </w:rPr>
        <w:t xml:space="preserve"> </w:t>
      </w:r>
      <w:r w:rsidR="00784CF0">
        <w:rPr>
          <w:iCs w:val="0"/>
          <w:szCs w:val="22"/>
        </w:rPr>
        <w:t>radiation</w:t>
      </w:r>
      <w:r w:rsidR="002A0851" w:rsidRPr="00EA7547">
        <w:rPr>
          <w:szCs w:val="22"/>
        </w:rPr>
        <w:t xml:space="preserve"> monitoring</w:t>
      </w:r>
      <w:r w:rsidR="00B411C7">
        <w:rPr>
          <w:szCs w:val="22"/>
        </w:rPr>
        <w:t xml:space="preserve"> and </w:t>
      </w:r>
      <w:r w:rsidR="00AC1B1E">
        <w:rPr>
          <w:szCs w:val="22"/>
        </w:rPr>
        <w:t xml:space="preserve">the </w:t>
      </w:r>
      <w:r w:rsidR="00B411C7">
        <w:rPr>
          <w:szCs w:val="22"/>
        </w:rPr>
        <w:t>associated</w:t>
      </w:r>
      <w:r w:rsidR="002A0851" w:rsidRPr="00EA7547">
        <w:rPr>
          <w:szCs w:val="22"/>
        </w:rPr>
        <w:t xml:space="preserve"> </w:t>
      </w:r>
      <w:r w:rsidR="00B03757">
        <w:rPr>
          <w:iCs w:val="0"/>
          <w:szCs w:val="22"/>
        </w:rPr>
        <w:t xml:space="preserve">comparison of dose estimates with relevant dose </w:t>
      </w:r>
      <w:r w:rsidR="00CF3AB7">
        <w:rPr>
          <w:iCs w:val="0"/>
          <w:szCs w:val="22"/>
        </w:rPr>
        <w:t xml:space="preserve">constraints and </w:t>
      </w:r>
      <w:r w:rsidR="00B03757">
        <w:rPr>
          <w:iCs w:val="0"/>
          <w:szCs w:val="22"/>
        </w:rPr>
        <w:t>limits</w:t>
      </w:r>
      <w:r w:rsidR="002A0851">
        <w:rPr>
          <w:iCs w:val="0"/>
          <w:szCs w:val="22"/>
        </w:rPr>
        <w:t>.</w:t>
      </w:r>
    </w:p>
    <w:p w14:paraId="752C6375" w14:textId="77777777" w:rsidR="0040044C" w:rsidRDefault="005C28C2" w:rsidP="00686BAD">
      <w:pPr>
        <w:pStyle w:val="Heading2"/>
        <w:jc w:val="both"/>
      </w:pPr>
      <w:r>
        <w:t>Objective</w:t>
      </w:r>
    </w:p>
    <w:p w14:paraId="752C6376" w14:textId="17FBF870" w:rsidR="0040044C" w:rsidRDefault="0040044C" w:rsidP="00686BAD">
      <w:pPr>
        <w:jc w:val="both"/>
      </w:pPr>
      <w:r>
        <w:fldChar w:fldCharType="begin"/>
      </w:r>
      <w:r w:rsidR="00EE744B">
        <w:instrText xml:space="preserve"> STYLEREF 1 \s </w:instrText>
      </w:r>
      <w:r>
        <w:fldChar w:fldCharType="separate"/>
      </w:r>
      <w:r w:rsidR="00225404">
        <w:rPr>
          <w:noProof/>
        </w:rPr>
        <w:t>1</w:t>
      </w:r>
      <w:r>
        <w:fldChar w:fldCharType="end"/>
      </w:r>
      <w:r w:rsidR="00EE744B">
        <w:t>.</w:t>
      </w:r>
      <w:r>
        <w:fldChar w:fldCharType="begin"/>
      </w:r>
      <w:r w:rsidR="00EE744B">
        <w:instrText xml:space="preserve"> SEQ Clause \* ARABIC \s 1 </w:instrText>
      </w:r>
      <w:r>
        <w:fldChar w:fldCharType="separate"/>
      </w:r>
      <w:r w:rsidR="00225404">
        <w:rPr>
          <w:noProof/>
        </w:rPr>
        <w:t>5</w:t>
      </w:r>
      <w:r>
        <w:fldChar w:fldCharType="end"/>
      </w:r>
      <w:r w:rsidR="005957C4">
        <w:t xml:space="preserve"> </w:t>
      </w:r>
      <w:r w:rsidR="009476EB" w:rsidRPr="00B224AE">
        <w:t>Th</w:t>
      </w:r>
      <w:r w:rsidR="00EA7BF4">
        <w:t>e</w:t>
      </w:r>
      <w:r w:rsidR="00862C60">
        <w:t xml:space="preserve"> </w:t>
      </w:r>
      <w:r w:rsidR="00876AB6">
        <w:t xml:space="preserve">Public Radiation </w:t>
      </w:r>
      <w:r w:rsidR="0070529F">
        <w:t>R</w:t>
      </w:r>
      <w:r w:rsidR="009476EB" w:rsidRPr="00B224AE">
        <w:t xml:space="preserve">ehabilitation </w:t>
      </w:r>
      <w:r w:rsidR="0070529F">
        <w:t>S</w:t>
      </w:r>
      <w:r w:rsidR="009476EB" w:rsidRPr="00B224AE">
        <w:t xml:space="preserve">tandard </w:t>
      </w:r>
      <w:r w:rsidR="0070529F">
        <w:t xml:space="preserve">aims to </w:t>
      </w:r>
      <w:r w:rsidR="009476EB" w:rsidRPr="00B224AE">
        <w:t xml:space="preserve">protect the health of </w:t>
      </w:r>
      <w:r w:rsidR="00F04F03">
        <w:t>T</w:t>
      </w:r>
      <w:r w:rsidR="009476EB" w:rsidRPr="00B224AE">
        <w:t xml:space="preserve">raditional </w:t>
      </w:r>
      <w:r w:rsidR="00F04F03">
        <w:t>O</w:t>
      </w:r>
      <w:r w:rsidR="009476EB">
        <w:t>wners and other members of the public</w:t>
      </w:r>
      <w:r w:rsidR="009476EB" w:rsidRPr="00B224AE">
        <w:t xml:space="preserve"> </w:t>
      </w:r>
      <w:r w:rsidR="00593D26" w:rsidRPr="00B224AE">
        <w:t>from the harmful effects of radiation</w:t>
      </w:r>
      <w:r w:rsidR="00593D26">
        <w:t xml:space="preserve"> </w:t>
      </w:r>
      <w:r w:rsidR="00AD1B8C">
        <w:t xml:space="preserve">resulting from the Ranger </w:t>
      </w:r>
      <w:r w:rsidR="00CF3AB7">
        <w:t xml:space="preserve">uranium </w:t>
      </w:r>
      <w:r w:rsidR="00AD1B8C">
        <w:t xml:space="preserve">mine </w:t>
      </w:r>
      <w:r w:rsidR="00FF2DE0">
        <w:t>on and outside of the Ranger Project Area</w:t>
      </w:r>
      <w:r w:rsidR="009476EB" w:rsidRPr="00B224AE">
        <w:t>.</w:t>
      </w:r>
    </w:p>
    <w:p w14:paraId="752C6377" w14:textId="77777777" w:rsidR="0040044C" w:rsidRDefault="005C28C2" w:rsidP="00686BAD">
      <w:pPr>
        <w:pStyle w:val="Heading2"/>
        <w:jc w:val="both"/>
      </w:pPr>
      <w:r>
        <w:t>Application</w:t>
      </w:r>
    </w:p>
    <w:p w14:paraId="752C6378" w14:textId="0F41DE9D" w:rsidR="0040044C" w:rsidRDefault="0040044C" w:rsidP="00686BAD">
      <w:pPr>
        <w:pStyle w:val="Caption"/>
        <w:jc w:val="both"/>
      </w:pPr>
      <w:r>
        <w:fldChar w:fldCharType="begin"/>
      </w:r>
      <w:r w:rsidR="00EE744B">
        <w:instrText xml:space="preserve"> STYLEREF 1 \s </w:instrText>
      </w:r>
      <w:r>
        <w:fldChar w:fldCharType="separate"/>
      </w:r>
      <w:r w:rsidR="00225404">
        <w:rPr>
          <w:noProof/>
        </w:rPr>
        <w:t>1</w:t>
      </w:r>
      <w:r>
        <w:fldChar w:fldCharType="end"/>
      </w:r>
      <w:r w:rsidR="00EE744B">
        <w:t>.</w:t>
      </w:r>
      <w:r>
        <w:fldChar w:fldCharType="begin"/>
      </w:r>
      <w:r w:rsidR="00EE744B">
        <w:instrText xml:space="preserve"> SEQ Clause \* ARABIC \s 1 </w:instrText>
      </w:r>
      <w:r>
        <w:fldChar w:fldCharType="separate"/>
      </w:r>
      <w:r w:rsidR="00225404">
        <w:rPr>
          <w:noProof/>
        </w:rPr>
        <w:t>6</w:t>
      </w:r>
      <w:r>
        <w:fldChar w:fldCharType="end"/>
      </w:r>
      <w:r w:rsidR="005957C4">
        <w:t xml:space="preserve"> </w:t>
      </w:r>
      <w:r w:rsidR="00B12E89">
        <w:t>This R</w:t>
      </w:r>
      <w:r w:rsidR="00623112">
        <w:t>ehabilitation</w:t>
      </w:r>
      <w:r w:rsidR="00B12E89">
        <w:t xml:space="preserve"> S</w:t>
      </w:r>
      <w:r w:rsidR="00623112">
        <w:t>tandard should be assessed against the effective dose to the representative person</w:t>
      </w:r>
      <w:r w:rsidR="00FF2DE0">
        <w:t xml:space="preserve"> (defined in </w:t>
      </w:r>
      <w:r w:rsidR="00FF2DE0">
        <w:fldChar w:fldCharType="begin"/>
      </w:r>
      <w:r w:rsidR="00FF2DE0">
        <w:instrText xml:space="preserve"> REF _Ref482817090 \h </w:instrText>
      </w:r>
      <w:r w:rsidR="004E7F9F">
        <w:instrText xml:space="preserve"> \* MERGEFORMAT </w:instrText>
      </w:r>
      <w:r w:rsidR="00FF2DE0">
        <w:fldChar w:fldCharType="separate"/>
      </w:r>
      <w:r w:rsidR="00225404">
        <w:rPr>
          <w:noProof/>
        </w:rPr>
        <w:t>4</w:t>
      </w:r>
      <w:r w:rsidR="00225404">
        <w:t>.</w:t>
      </w:r>
      <w:r w:rsidR="00225404">
        <w:rPr>
          <w:noProof/>
        </w:rPr>
        <w:t>2</w:t>
      </w:r>
      <w:r w:rsidR="00FF2DE0">
        <w:fldChar w:fldCharType="end"/>
      </w:r>
      <w:r w:rsidR="00FF2DE0">
        <w:t xml:space="preserve"> to</w:t>
      </w:r>
      <w:r w:rsidR="00225404">
        <w:t xml:space="preserve"> </w:t>
      </w:r>
      <w:r w:rsidR="00225404">
        <w:fldChar w:fldCharType="begin"/>
      </w:r>
      <w:r w:rsidR="00225404">
        <w:instrText xml:space="preserve"> REF _Ref482817210 \h </w:instrText>
      </w:r>
      <w:r w:rsidR="004E7F9F">
        <w:instrText xml:space="preserve"> \* MERGEFORMAT </w:instrText>
      </w:r>
      <w:r w:rsidR="00225404">
        <w:fldChar w:fldCharType="separate"/>
      </w:r>
      <w:r w:rsidR="00225404">
        <w:rPr>
          <w:noProof/>
        </w:rPr>
        <w:t>4</w:t>
      </w:r>
      <w:r w:rsidR="00225404">
        <w:t>.</w:t>
      </w:r>
      <w:r w:rsidR="00225404">
        <w:rPr>
          <w:noProof/>
        </w:rPr>
        <w:t>4</w:t>
      </w:r>
      <w:r w:rsidR="00225404">
        <w:fldChar w:fldCharType="end"/>
      </w:r>
      <w:r w:rsidR="00FF2DE0">
        <w:t>)</w:t>
      </w:r>
      <w:r w:rsidR="00623112">
        <w:t>.</w:t>
      </w:r>
    </w:p>
    <w:bookmarkStart w:id="1" w:name="_Ref482817109"/>
    <w:p w14:paraId="752C6379" w14:textId="77777777" w:rsidR="00225404" w:rsidRPr="00225404" w:rsidRDefault="00225404" w:rsidP="00686BAD">
      <w:pPr>
        <w:jc w:val="both"/>
      </w:pPr>
      <w:r>
        <w:fldChar w:fldCharType="begin"/>
      </w:r>
      <w:r>
        <w:instrText xml:space="preserve"> STYLEREF 1 \s </w:instrText>
      </w:r>
      <w:r>
        <w:fldChar w:fldCharType="separate"/>
      </w:r>
      <w:r>
        <w:rPr>
          <w:noProof/>
        </w:rPr>
        <w:t>1</w:t>
      </w:r>
      <w:r>
        <w:fldChar w:fldCharType="end"/>
      </w:r>
      <w:r>
        <w:t>.</w:t>
      </w:r>
      <w:fldSimple w:instr=" SEQ Clause \* ARABIC \s 1 ">
        <w:r>
          <w:rPr>
            <w:noProof/>
          </w:rPr>
          <w:t>7</w:t>
        </w:r>
      </w:fldSimple>
      <w:bookmarkEnd w:id="1"/>
      <w:r>
        <w:t xml:space="preserve"> R</w:t>
      </w:r>
      <w:r w:rsidRPr="006D0F0D">
        <w:t xml:space="preserve">adiation doses </w:t>
      </w:r>
      <w:r>
        <w:t>received from natural background sources or as the result of undergoing medical procedures are not subject to this Rehabilitation Standard and are not to be included in the calculation of effective dose.</w:t>
      </w:r>
    </w:p>
    <w:p w14:paraId="752C637A" w14:textId="77777777" w:rsidR="0040044C" w:rsidRDefault="009476EB" w:rsidP="00686BAD">
      <w:pPr>
        <w:pStyle w:val="Heading1"/>
        <w:jc w:val="both"/>
      </w:pPr>
      <w:r>
        <w:t xml:space="preserve">Relevant </w:t>
      </w:r>
      <w:r w:rsidR="001036C0">
        <w:t>requirements</w:t>
      </w:r>
    </w:p>
    <w:p w14:paraId="752C637B" w14:textId="77777777" w:rsidR="001036C0" w:rsidRPr="001036C0" w:rsidRDefault="001036C0" w:rsidP="00686BAD">
      <w:pPr>
        <w:pStyle w:val="Heading2"/>
        <w:jc w:val="both"/>
      </w:pPr>
      <w:r>
        <w:t>Environmental Requirements</w:t>
      </w:r>
    </w:p>
    <w:p w14:paraId="60ED267B" w14:textId="77777777" w:rsidR="00876AB6" w:rsidRDefault="0040044C" w:rsidP="00686BAD">
      <w:pPr>
        <w:jc w:val="both"/>
      </w:pPr>
      <w:r>
        <w:rPr>
          <w:szCs w:val="18"/>
        </w:rPr>
        <w:fldChar w:fldCharType="begin"/>
      </w:r>
      <w:r w:rsidR="00EE744B">
        <w:instrText xml:space="preserve"> STYLEREF 1 \s </w:instrText>
      </w:r>
      <w:r>
        <w:rPr>
          <w:szCs w:val="18"/>
        </w:rPr>
        <w:fldChar w:fldCharType="separate"/>
      </w:r>
      <w:r w:rsidR="00225404">
        <w:rPr>
          <w:noProof/>
        </w:rPr>
        <w:t>2</w:t>
      </w:r>
      <w:r>
        <w:rPr>
          <w:szCs w:val="18"/>
        </w:rPr>
        <w:fldChar w:fldCharType="end"/>
      </w:r>
      <w:r w:rsidR="00EE744B">
        <w:t>.</w:t>
      </w:r>
      <w:r>
        <w:rPr>
          <w:szCs w:val="18"/>
        </w:rPr>
        <w:fldChar w:fldCharType="begin"/>
      </w:r>
      <w:r w:rsidR="00EE744B">
        <w:instrText xml:space="preserve"> SEQ Clause \* ARABIC \s 1 </w:instrText>
      </w:r>
      <w:r>
        <w:rPr>
          <w:szCs w:val="18"/>
        </w:rPr>
        <w:fldChar w:fldCharType="separate"/>
      </w:r>
      <w:r w:rsidR="00225404">
        <w:rPr>
          <w:noProof/>
        </w:rPr>
        <w:t>1</w:t>
      </w:r>
      <w:r>
        <w:rPr>
          <w:szCs w:val="18"/>
        </w:rPr>
        <w:fldChar w:fldCharType="end"/>
      </w:r>
      <w:r w:rsidR="004C7B02">
        <w:t xml:space="preserve"> </w:t>
      </w:r>
      <w:r w:rsidR="0091183B">
        <w:t xml:space="preserve">The primary environmental objectives in the Environmental Requirements require that operations at Ranger </w:t>
      </w:r>
      <w:r w:rsidR="005355AA">
        <w:t xml:space="preserve">uranium mine </w:t>
      </w:r>
      <w:r w:rsidR="000B3912">
        <w:t>pr</w:t>
      </w:r>
      <w:r w:rsidR="00FA6ECD">
        <w:t>o</w:t>
      </w:r>
      <w:r w:rsidR="000B3912">
        <w:t xml:space="preserve">tect the health of </w:t>
      </w:r>
      <w:r w:rsidR="005355AA">
        <w:t>Indigenous</w:t>
      </w:r>
      <w:r w:rsidR="000B3912">
        <w:t xml:space="preserve"> Australians and other members of the regional community</w:t>
      </w:r>
      <w:r w:rsidR="0091183B">
        <w:t>, outside of the Ranger Project Area</w:t>
      </w:r>
      <w:r w:rsidR="00C235C2">
        <w:t>, including during or following rehabilitation</w:t>
      </w:r>
      <w:r w:rsidR="0091183B">
        <w:t>. The objectives also require that</w:t>
      </w:r>
      <w:r w:rsidR="008A4BF6">
        <w:t>, after rehabilitation,</w:t>
      </w:r>
      <w:r w:rsidR="0091183B">
        <w:t xml:space="preserve"> any effects within the Ranger Project Area are as low as reasonably achievable</w:t>
      </w:r>
      <w:r w:rsidR="00700999">
        <w:t xml:space="preserve"> and conform</w:t>
      </w:r>
      <w:r w:rsidR="00B64BF6">
        <w:t xml:space="preserve"> </w:t>
      </w:r>
      <w:proofErr w:type="gramStart"/>
      <w:r w:rsidR="00B64BF6">
        <w:t>with</w:t>
      </w:r>
      <w:proofErr w:type="gramEnd"/>
      <w:r w:rsidR="00B64BF6">
        <w:t xml:space="preserve"> Australian law</w:t>
      </w:r>
      <w:r w:rsidR="0091183B">
        <w:t xml:space="preserve">. This Rehabilitation Standard is relevant to </w:t>
      </w:r>
      <w:r w:rsidR="00B64BF6">
        <w:t>th</w:t>
      </w:r>
      <w:r w:rsidR="0091183B">
        <w:t>e Environmental Requirements listed in</w:t>
      </w:r>
      <w:r w:rsidR="00F904EB" w:rsidRPr="00F904EB">
        <w:t xml:space="preserve"> Box</w:t>
      </w:r>
      <w:r w:rsidR="0091183B">
        <w:t> </w:t>
      </w:r>
      <w:r w:rsidR="00F904EB" w:rsidRPr="00F904EB">
        <w:t>1.</w:t>
      </w:r>
    </w:p>
    <w:p w14:paraId="5267E5AE" w14:textId="241F272C" w:rsidR="004E7F9F" w:rsidRDefault="004E7F9F" w:rsidP="00686BAD">
      <w:pPr>
        <w:pStyle w:val="Heading2"/>
        <w:jc w:val="both"/>
      </w:pPr>
      <w:r>
        <w:t xml:space="preserve">Aspirations of </w:t>
      </w:r>
      <w:r w:rsidR="00F04F03">
        <w:t>T</w:t>
      </w:r>
      <w:r>
        <w:t xml:space="preserve">raditional </w:t>
      </w:r>
      <w:r w:rsidR="00F04F03">
        <w:t>O</w:t>
      </w:r>
      <w:r>
        <w:t>wners</w:t>
      </w:r>
    </w:p>
    <w:p w14:paraId="76E33127" w14:textId="1394C9D3" w:rsidR="004E7F9F" w:rsidRDefault="00A7047C" w:rsidP="00686BAD">
      <w:pPr>
        <w:jc w:val="both"/>
      </w:pPr>
      <w:fldSimple w:instr=" STYLEREF 1 \s ">
        <w:r w:rsidR="004E7F9F">
          <w:rPr>
            <w:noProof/>
          </w:rPr>
          <w:t>2</w:t>
        </w:r>
      </w:fldSimple>
      <w:r w:rsidR="004E7F9F">
        <w:t>.</w:t>
      </w:r>
      <w:fldSimple w:instr=" SEQ Clause \* ARABIC \s 1 ">
        <w:r w:rsidR="004E7F9F">
          <w:rPr>
            <w:noProof/>
          </w:rPr>
          <w:t>2</w:t>
        </w:r>
      </w:fldSimple>
      <w:r w:rsidR="004E7F9F">
        <w:t xml:space="preserve"> The</w:t>
      </w:r>
      <w:r w:rsidR="00F04F03">
        <w:t xml:space="preserve"> </w:t>
      </w:r>
      <w:proofErr w:type="spellStart"/>
      <w:r w:rsidR="00F04F03">
        <w:t>Mirrar</w:t>
      </w:r>
      <w:proofErr w:type="spellEnd"/>
      <w:r w:rsidR="004E7F9F">
        <w:t xml:space="preserve"> </w:t>
      </w:r>
      <w:r w:rsidR="00F04F03">
        <w:t>T</w:t>
      </w:r>
      <w:r w:rsidR="004E7F9F">
        <w:t xml:space="preserve">raditional </w:t>
      </w:r>
      <w:r w:rsidR="00F04F03">
        <w:t>O</w:t>
      </w:r>
      <w:r w:rsidR="004E7F9F">
        <w:t xml:space="preserve">wners desire that residual radioactivity in the environment after rehabilitation will not make it unsafe to access or use the land (including water bodies) on or outside of the Ranger Project Area for their activities, such as collecting and consuming bush foods, seasonal camping, recreation, land management and monitoring, rituals and ceremonies. In addition, the </w:t>
      </w:r>
      <w:r w:rsidR="00F04F03">
        <w:t>T</w:t>
      </w:r>
      <w:r w:rsidR="004E7F9F">
        <w:t xml:space="preserve">raditional </w:t>
      </w:r>
      <w:r w:rsidR="00F04F03">
        <w:t>O</w:t>
      </w:r>
      <w:r w:rsidR="004E7F9F">
        <w:t xml:space="preserve">wners desire that, after </w:t>
      </w:r>
      <w:r w:rsidR="004E7F9F" w:rsidRPr="00993D43">
        <w:t>rehabilitation of the Ranger Project Area</w:t>
      </w:r>
      <w:r w:rsidR="004E7F9F">
        <w:t>, t</w:t>
      </w:r>
      <w:r w:rsidR="004E7F9F" w:rsidRPr="00993D43">
        <w:t>he cover design for the mined</w:t>
      </w:r>
      <w:r w:rsidR="004E7F9F">
        <w:t>-</w:t>
      </w:r>
      <w:r w:rsidR="004E7F9F" w:rsidRPr="00993D43">
        <w:t xml:space="preserve">out pits and the construction of the final landform </w:t>
      </w:r>
      <w:r w:rsidR="004E7F9F">
        <w:t>will</w:t>
      </w:r>
      <w:r w:rsidR="004E7F9F" w:rsidRPr="00993D43">
        <w:t xml:space="preserve"> achieve a level of radiation no </w:t>
      </w:r>
      <w:r w:rsidR="004E7F9F">
        <w:t>higher</w:t>
      </w:r>
      <w:r w:rsidR="004E7F9F" w:rsidRPr="00993D43">
        <w:t xml:space="preserve"> than </w:t>
      </w:r>
      <w:r w:rsidR="004E7F9F">
        <w:t>the</w:t>
      </w:r>
      <w:r w:rsidR="004E7F9F" w:rsidRPr="00993D43">
        <w:t xml:space="preserve"> pre-mining</w:t>
      </w:r>
      <w:r w:rsidR="004E7F9F">
        <w:t xml:space="preserve"> level.</w:t>
      </w:r>
    </w:p>
    <w:p w14:paraId="4411949A" w14:textId="77777777" w:rsidR="004E7F9F" w:rsidRDefault="004E7F9F" w:rsidP="00876AB6"/>
    <w:p w14:paraId="752C637D" w14:textId="04EA3120" w:rsidR="009476EB" w:rsidRDefault="00442678" w:rsidP="00876AB6">
      <w:r>
        <w:rPr>
          <w:rFonts w:cs="Arial"/>
          <w:noProof/>
          <w:sz w:val="24"/>
          <w:szCs w:val="24"/>
          <w:lang w:eastAsia="en-AU"/>
        </w:rPr>
        <mc:AlternateContent>
          <mc:Choice Requires="wps">
            <w:drawing>
              <wp:inline distT="0" distB="0" distL="0" distR="0" wp14:anchorId="752C63AA" wp14:editId="752C63AB">
                <wp:extent cx="5064125" cy="7443470"/>
                <wp:effectExtent l="0" t="0" r="1587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4613275"/>
                        </a:xfrm>
                        <a:prstGeom prst="rect">
                          <a:avLst/>
                        </a:prstGeom>
                        <a:solidFill>
                          <a:schemeClr val="bg1">
                            <a:lumMod val="85000"/>
                            <a:lumOff val="0"/>
                          </a:schemeClr>
                        </a:solidFill>
                        <a:ln w="9525">
                          <a:solidFill>
                            <a:srgbClr val="000000"/>
                          </a:solidFill>
                          <a:miter lim="800000"/>
                          <a:headEnd/>
                          <a:tailEnd/>
                        </a:ln>
                      </wps:spPr>
                      <wps:txbx>
                        <w:txbxContent>
                          <w:p w14:paraId="752C63BA" w14:textId="12AF4863" w:rsidR="00603EC5" w:rsidRPr="00F14AE9" w:rsidRDefault="00603EC5" w:rsidP="00F904EB">
                            <w:pPr>
                              <w:autoSpaceDE w:val="0"/>
                              <w:autoSpaceDN w:val="0"/>
                              <w:adjustRightInd w:val="0"/>
                              <w:spacing w:after="0" w:line="240" w:lineRule="auto"/>
                              <w:rPr>
                                <w:rFonts w:cs="Arial"/>
                                <w:b/>
                                <w:bCs/>
                                <w:sz w:val="24"/>
                                <w:szCs w:val="24"/>
                                <w:lang w:eastAsia="en-AU"/>
                              </w:rPr>
                            </w:pPr>
                            <w:r w:rsidRPr="00F14AE9">
                              <w:rPr>
                                <w:rFonts w:cs="Arial"/>
                                <w:b/>
                                <w:bCs/>
                                <w:sz w:val="24"/>
                                <w:szCs w:val="24"/>
                                <w:lang w:eastAsia="en-AU"/>
                              </w:rPr>
                              <w:t>Box 1</w:t>
                            </w:r>
                            <w:r>
                              <w:rPr>
                                <w:rFonts w:cs="Arial"/>
                                <w:b/>
                                <w:bCs/>
                                <w:sz w:val="24"/>
                                <w:szCs w:val="24"/>
                                <w:lang w:eastAsia="en-AU"/>
                              </w:rPr>
                              <w:t>:</w:t>
                            </w:r>
                            <w:r w:rsidRPr="00F14AE9">
                              <w:rPr>
                                <w:rFonts w:cs="Arial"/>
                                <w:b/>
                                <w:bCs/>
                                <w:sz w:val="24"/>
                                <w:szCs w:val="24"/>
                                <w:lang w:eastAsia="en-AU"/>
                              </w:rPr>
                              <w:t xml:space="preserve"> Ranger Environmental Requirements relevant to </w:t>
                            </w:r>
                            <w:r>
                              <w:rPr>
                                <w:rFonts w:cs="Arial"/>
                                <w:b/>
                                <w:bCs/>
                                <w:sz w:val="24"/>
                                <w:szCs w:val="24"/>
                                <w:lang w:eastAsia="en-AU"/>
                              </w:rPr>
                              <w:t>the Radiation R</w:t>
                            </w:r>
                            <w:r w:rsidRPr="00F14AE9">
                              <w:rPr>
                                <w:rFonts w:cs="Arial"/>
                                <w:b/>
                                <w:bCs/>
                                <w:sz w:val="24"/>
                                <w:szCs w:val="24"/>
                                <w:lang w:eastAsia="en-AU"/>
                              </w:rPr>
                              <w:t xml:space="preserve">ehabilitation </w:t>
                            </w:r>
                            <w:r>
                              <w:rPr>
                                <w:rFonts w:cs="Arial"/>
                                <w:b/>
                                <w:bCs/>
                                <w:sz w:val="24"/>
                                <w:szCs w:val="24"/>
                                <w:lang w:eastAsia="en-AU"/>
                              </w:rPr>
                              <w:t>S</w:t>
                            </w:r>
                            <w:r w:rsidRPr="00F14AE9">
                              <w:rPr>
                                <w:rFonts w:cs="Arial"/>
                                <w:b/>
                                <w:bCs/>
                                <w:sz w:val="24"/>
                                <w:szCs w:val="24"/>
                                <w:lang w:eastAsia="en-AU"/>
                              </w:rPr>
                              <w:t>tandard</w:t>
                            </w:r>
                          </w:p>
                          <w:p w14:paraId="752C63BB" w14:textId="77777777" w:rsidR="00603EC5" w:rsidRPr="00AC6575" w:rsidRDefault="00603EC5" w:rsidP="00F904EB">
                            <w:pPr>
                              <w:autoSpaceDE w:val="0"/>
                              <w:autoSpaceDN w:val="0"/>
                              <w:adjustRightInd w:val="0"/>
                              <w:spacing w:after="0" w:line="240" w:lineRule="auto"/>
                              <w:rPr>
                                <w:rFonts w:cs="Arial"/>
                                <w:b/>
                                <w:bCs/>
                                <w:sz w:val="18"/>
                                <w:szCs w:val="18"/>
                                <w:lang w:eastAsia="en-AU"/>
                              </w:rPr>
                            </w:pPr>
                            <w:r w:rsidRPr="00AC6575">
                              <w:rPr>
                                <w:rFonts w:cs="Arial"/>
                                <w:b/>
                                <w:bCs/>
                                <w:sz w:val="18"/>
                                <w:szCs w:val="18"/>
                                <w:lang w:eastAsia="en-AU"/>
                              </w:rPr>
                              <w:t>1</w:t>
                            </w:r>
                            <w:r w:rsidRPr="00AC6575">
                              <w:rPr>
                                <w:rFonts w:cs="Arial"/>
                                <w:b/>
                                <w:bCs/>
                                <w:sz w:val="18"/>
                                <w:szCs w:val="18"/>
                                <w:lang w:eastAsia="en-AU"/>
                              </w:rPr>
                              <w:tab/>
                              <w:t>Environmental protection</w:t>
                            </w:r>
                          </w:p>
                          <w:p w14:paraId="752C63BC" w14:textId="77777777" w:rsidR="00603EC5" w:rsidRPr="00AC6575" w:rsidRDefault="00603EC5" w:rsidP="00F904EB">
                            <w:pPr>
                              <w:tabs>
                                <w:tab w:val="left" w:pos="426"/>
                              </w:tabs>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 xml:space="preserve">1.1 </w:t>
                            </w:r>
                            <w:r w:rsidRPr="00AC6575">
                              <w:rPr>
                                <w:rFonts w:cs="Arial"/>
                                <w:sz w:val="18"/>
                                <w:szCs w:val="18"/>
                                <w:lang w:eastAsia="en-AU"/>
                              </w:rPr>
                              <w:tab/>
                              <w:t>The company must ensure that operations at Ranger are undertaken in such a way as to be consistent with the following primary environmental objectives:</w:t>
                            </w:r>
                          </w:p>
                          <w:p w14:paraId="752C63BD" w14:textId="77777777" w:rsidR="00603EC5" w:rsidRPr="00AC6575" w:rsidRDefault="00603EC5" w:rsidP="00F904EB">
                            <w:pPr>
                              <w:autoSpaceDE w:val="0"/>
                              <w:autoSpaceDN w:val="0"/>
                              <w:adjustRightInd w:val="0"/>
                              <w:spacing w:after="0" w:line="240" w:lineRule="auto"/>
                              <w:ind w:left="714" w:hanging="357"/>
                              <w:rPr>
                                <w:rFonts w:cs="Arial"/>
                                <w:sz w:val="18"/>
                                <w:szCs w:val="18"/>
                                <w:lang w:eastAsia="en-AU"/>
                              </w:rPr>
                            </w:pPr>
                            <w:r w:rsidRPr="00AC6575">
                              <w:rPr>
                                <w:rFonts w:cs="Arial"/>
                                <w:sz w:val="18"/>
                                <w:szCs w:val="18"/>
                                <w:lang w:eastAsia="en-AU"/>
                              </w:rPr>
                              <w:t>(c)</w:t>
                            </w:r>
                            <w:r w:rsidRPr="00AC6575">
                              <w:rPr>
                                <w:rFonts w:cs="Arial"/>
                                <w:sz w:val="18"/>
                                <w:szCs w:val="18"/>
                                <w:lang w:eastAsia="en-AU"/>
                              </w:rPr>
                              <w:tab/>
                            </w:r>
                            <w:proofErr w:type="gramStart"/>
                            <w:r w:rsidRPr="00AC6575">
                              <w:rPr>
                                <w:rFonts w:cs="Arial"/>
                                <w:sz w:val="18"/>
                                <w:szCs w:val="18"/>
                                <w:lang w:eastAsia="en-AU"/>
                              </w:rPr>
                              <w:t>protect</w:t>
                            </w:r>
                            <w:proofErr w:type="gramEnd"/>
                            <w:r w:rsidRPr="00AC6575">
                              <w:rPr>
                                <w:rFonts w:cs="Arial"/>
                                <w:sz w:val="18"/>
                                <w:szCs w:val="18"/>
                                <w:lang w:eastAsia="en-AU"/>
                              </w:rPr>
                              <w:t xml:space="preserve"> the health of Aboriginals and other members of the regional community</w:t>
                            </w:r>
                          </w:p>
                          <w:p w14:paraId="752C63BE" w14:textId="77777777" w:rsidR="00603EC5" w:rsidRPr="00AC6575" w:rsidRDefault="00603EC5" w:rsidP="00F904EB">
                            <w:pPr>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 xml:space="preserve">1.2 </w:t>
                            </w:r>
                            <w:r w:rsidRPr="00AC6575">
                              <w:rPr>
                                <w:rFonts w:cs="Arial"/>
                                <w:sz w:val="18"/>
                                <w:szCs w:val="18"/>
                                <w:lang w:eastAsia="en-AU"/>
                              </w:rPr>
                              <w:tab/>
                              <w:t>In particular, the company must ensure that operations at Ranger do not result in:</w:t>
                            </w:r>
                          </w:p>
                          <w:p w14:paraId="752C63BF" w14:textId="77777777" w:rsidR="00603EC5" w:rsidRPr="00AC6575" w:rsidRDefault="00603EC5" w:rsidP="00F904EB">
                            <w:pPr>
                              <w:autoSpaceDE w:val="0"/>
                              <w:autoSpaceDN w:val="0"/>
                              <w:adjustRightInd w:val="0"/>
                              <w:spacing w:after="0" w:line="240" w:lineRule="auto"/>
                              <w:ind w:left="714" w:hanging="357"/>
                              <w:rPr>
                                <w:rFonts w:cs="Arial"/>
                                <w:sz w:val="18"/>
                                <w:szCs w:val="18"/>
                                <w:lang w:eastAsia="en-AU"/>
                              </w:rPr>
                            </w:pPr>
                            <w:r w:rsidRPr="00AC6575">
                              <w:rPr>
                                <w:rFonts w:cs="Arial"/>
                                <w:sz w:val="18"/>
                                <w:szCs w:val="18"/>
                                <w:lang w:eastAsia="en-AU"/>
                              </w:rPr>
                              <w:t>(c)</w:t>
                            </w:r>
                            <w:r w:rsidRPr="00AC6575">
                              <w:rPr>
                                <w:rFonts w:cs="Arial"/>
                                <w:sz w:val="18"/>
                                <w:szCs w:val="18"/>
                                <w:lang w:eastAsia="en-AU"/>
                              </w:rPr>
                              <w:tab/>
                              <w:t>an adverse effect on the health of Aboriginals and other members of the regional community by ensuring that exposure to radiation and chemical pollutants is as low as reasonably achievable and conforms with relevant Australian law, and in particular, in relation to radiological exposure, complies with the most recently published and relevant Australian standards, codes of practice, and guidelines</w:t>
                            </w:r>
                          </w:p>
                          <w:p w14:paraId="752C63C0" w14:textId="77777777" w:rsidR="00603EC5" w:rsidRPr="00AC6575" w:rsidRDefault="00603EC5" w:rsidP="00F904EB">
                            <w:pPr>
                              <w:autoSpaceDE w:val="0"/>
                              <w:autoSpaceDN w:val="0"/>
                              <w:adjustRightInd w:val="0"/>
                              <w:spacing w:after="0" w:line="240" w:lineRule="auto"/>
                              <w:rPr>
                                <w:rFonts w:cs="Arial"/>
                                <w:b/>
                                <w:bCs/>
                                <w:sz w:val="18"/>
                                <w:szCs w:val="18"/>
                                <w:lang w:eastAsia="en-AU"/>
                              </w:rPr>
                            </w:pPr>
                            <w:r w:rsidRPr="00AC6575">
                              <w:rPr>
                                <w:rFonts w:cs="Arial"/>
                                <w:b/>
                                <w:bCs/>
                                <w:sz w:val="18"/>
                                <w:szCs w:val="18"/>
                                <w:lang w:eastAsia="en-AU"/>
                              </w:rPr>
                              <w:t>2</w:t>
                            </w:r>
                            <w:r w:rsidRPr="00AC6575">
                              <w:rPr>
                                <w:rFonts w:cs="Arial"/>
                                <w:b/>
                                <w:bCs/>
                                <w:sz w:val="18"/>
                                <w:szCs w:val="18"/>
                                <w:lang w:eastAsia="en-AU"/>
                              </w:rPr>
                              <w:tab/>
                              <w:t>Rehabilitation</w:t>
                            </w:r>
                          </w:p>
                          <w:p w14:paraId="752C63C1" w14:textId="77777777" w:rsidR="00603EC5" w:rsidRPr="00AC6575" w:rsidRDefault="00603EC5" w:rsidP="00F904EB">
                            <w:pPr>
                              <w:tabs>
                                <w:tab w:val="left" w:pos="426"/>
                              </w:tabs>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 xml:space="preserve">2.2 </w:t>
                            </w:r>
                            <w:r w:rsidRPr="00AC6575">
                              <w:rPr>
                                <w:rFonts w:cs="Arial"/>
                                <w:sz w:val="18"/>
                                <w:szCs w:val="18"/>
                                <w:lang w:eastAsia="en-AU"/>
                              </w:rPr>
                              <w:tab/>
                              <w:t>The major objectives of rehabilitation are:</w:t>
                            </w:r>
                          </w:p>
                          <w:p w14:paraId="752C63C2" w14:textId="77777777" w:rsidR="00603EC5" w:rsidRPr="00AC6575" w:rsidRDefault="00603EC5" w:rsidP="00A73581">
                            <w:pPr>
                              <w:autoSpaceDE w:val="0"/>
                              <w:autoSpaceDN w:val="0"/>
                              <w:adjustRightInd w:val="0"/>
                              <w:spacing w:after="0" w:line="240" w:lineRule="auto"/>
                              <w:ind w:left="714" w:hanging="357"/>
                              <w:rPr>
                                <w:rFonts w:cs="Arial"/>
                                <w:sz w:val="18"/>
                                <w:szCs w:val="18"/>
                                <w:lang w:eastAsia="en-AU"/>
                              </w:rPr>
                            </w:pPr>
                            <w:r w:rsidRPr="00AC6575">
                              <w:rPr>
                                <w:rFonts w:cs="Arial"/>
                                <w:sz w:val="18"/>
                                <w:szCs w:val="18"/>
                                <w:lang w:eastAsia="en-AU"/>
                              </w:rPr>
                              <w:t>(b)</w:t>
                            </w:r>
                            <w:r w:rsidRPr="00AC6575">
                              <w:rPr>
                                <w:rFonts w:cs="Arial"/>
                                <w:sz w:val="18"/>
                                <w:szCs w:val="18"/>
                                <w:lang w:eastAsia="en-AU"/>
                              </w:rPr>
                              <w:tab/>
                              <w:t>stable radiological conditions on areas impacted by mining so that, the health risk to members of the public, including traditional owners, is as low as reasonably achievable; members of the public do not receive a radiation dose which exceeds applicable limits recommended by the most recently published and relevant Australian standards, codes of practice, and guidelines; and there is a minimum of restrictions on the use of the area</w:t>
                            </w:r>
                          </w:p>
                          <w:p w14:paraId="752C63C3" w14:textId="77777777" w:rsidR="00603EC5" w:rsidRPr="00AC6575" w:rsidRDefault="00603EC5" w:rsidP="00F904EB">
                            <w:pPr>
                              <w:tabs>
                                <w:tab w:val="left" w:pos="426"/>
                              </w:tabs>
                              <w:autoSpaceDE w:val="0"/>
                              <w:autoSpaceDN w:val="0"/>
                              <w:adjustRightInd w:val="0"/>
                              <w:spacing w:after="0" w:line="240" w:lineRule="auto"/>
                              <w:ind w:left="426" w:hanging="426"/>
                              <w:rPr>
                                <w:rFonts w:cs="Arial"/>
                                <w:b/>
                                <w:sz w:val="18"/>
                                <w:szCs w:val="18"/>
                                <w:lang w:eastAsia="en-AU"/>
                              </w:rPr>
                            </w:pPr>
                            <w:r w:rsidRPr="00AC6575">
                              <w:rPr>
                                <w:rFonts w:cs="Arial"/>
                                <w:b/>
                                <w:sz w:val="18"/>
                                <w:szCs w:val="18"/>
                                <w:lang w:eastAsia="en-AU"/>
                              </w:rPr>
                              <w:t>11</w:t>
                            </w:r>
                            <w:r w:rsidRPr="00AC6575">
                              <w:rPr>
                                <w:rFonts w:cs="Arial"/>
                                <w:b/>
                                <w:sz w:val="18"/>
                                <w:szCs w:val="18"/>
                                <w:lang w:eastAsia="en-AU"/>
                              </w:rPr>
                              <w:tab/>
                              <w:t>Management of tailings</w:t>
                            </w:r>
                          </w:p>
                          <w:p w14:paraId="752C63C4" w14:textId="77777777" w:rsidR="00603EC5" w:rsidRPr="00AC6575" w:rsidRDefault="00603EC5" w:rsidP="00F904EB">
                            <w:pPr>
                              <w:tabs>
                                <w:tab w:val="left" w:pos="426"/>
                              </w:tabs>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11.3</w:t>
                            </w:r>
                            <w:r w:rsidRPr="00AC6575">
                              <w:rPr>
                                <w:rFonts w:cs="Arial"/>
                                <w:sz w:val="18"/>
                                <w:szCs w:val="18"/>
                                <w:lang w:eastAsia="en-AU"/>
                              </w:rPr>
                              <w:tab/>
                              <w:t>Final disposal of tailings must be undertaken, to the satisfaction of the Minister with the advice of the Supervising Scientist on the basis of best available modelling, in such a way as to ensure that:</w:t>
                            </w:r>
                          </w:p>
                          <w:p w14:paraId="752C63C5" w14:textId="77777777" w:rsidR="00603EC5" w:rsidRPr="00F14AE9" w:rsidRDefault="00603EC5" w:rsidP="00F904EB">
                            <w:pPr>
                              <w:autoSpaceDE w:val="0"/>
                              <w:autoSpaceDN w:val="0"/>
                              <w:adjustRightInd w:val="0"/>
                              <w:spacing w:after="0" w:line="240" w:lineRule="auto"/>
                              <w:ind w:left="714" w:hanging="357"/>
                              <w:rPr>
                                <w:rFonts w:cs="Arial"/>
                                <w:sz w:val="20"/>
                                <w:szCs w:val="24"/>
                                <w:lang w:eastAsia="en-AU"/>
                              </w:rPr>
                            </w:pPr>
                            <w:r w:rsidRPr="00AC6575">
                              <w:rPr>
                                <w:rFonts w:cs="Arial"/>
                                <w:sz w:val="18"/>
                                <w:szCs w:val="18"/>
                                <w:lang w:eastAsia="en-AU"/>
                              </w:rPr>
                              <w:t>(iii)</w:t>
                            </w:r>
                            <w:r w:rsidRPr="00AC6575">
                              <w:rPr>
                                <w:rFonts w:cs="Arial"/>
                                <w:sz w:val="18"/>
                                <w:szCs w:val="18"/>
                                <w:lang w:eastAsia="en-AU"/>
                              </w:rPr>
                              <w:tab/>
                            </w:r>
                            <w:proofErr w:type="gramStart"/>
                            <w:r w:rsidRPr="00AC6575">
                              <w:rPr>
                                <w:rFonts w:cs="Arial"/>
                                <w:sz w:val="18"/>
                                <w:szCs w:val="18"/>
                                <w:lang w:eastAsia="en-AU"/>
                              </w:rPr>
                              <w:t>radiation</w:t>
                            </w:r>
                            <w:proofErr w:type="gramEnd"/>
                            <w:r w:rsidRPr="00AC6575">
                              <w:rPr>
                                <w:rFonts w:cs="Arial"/>
                                <w:sz w:val="18"/>
                                <w:szCs w:val="18"/>
                                <w:lang w:eastAsia="en-AU"/>
                              </w:rPr>
                              <w:t xml:space="preserve"> doses to members of the public will comply with relevant Australian law and be less than limits recommended by the most recently published and relevant Australian standards, codes of practice, and guidelines effective at the time of the final tailings disposal.</w:t>
                            </w:r>
                          </w:p>
                        </w:txbxContent>
                      </wps:txbx>
                      <wps:bodyPr rot="0" vert="horz" wrap="square" lIns="91440" tIns="45720" rIns="91440" bIns="45720" anchor="t" anchorCtr="0" upright="1">
                        <a:spAutoFit/>
                      </wps:bodyPr>
                    </wps:wsp>
                  </a:graphicData>
                </a:graphic>
              </wp:inline>
            </w:drawing>
          </mc:Choice>
          <mc:Fallback>
            <w:pict>
              <v:shapetype w14:anchorId="752C63AA" id="_x0000_t202" coordsize="21600,21600" o:spt="202" path="m,l,21600r21600,l21600,xe">
                <v:stroke joinstyle="miter"/>
                <v:path gradientshapeok="t" o:connecttype="rect"/>
              </v:shapetype>
              <v:shape id="Text Box 2" o:spid="_x0000_s1026" type="#_x0000_t202" style="width:398.75pt;height:5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" fillcolor="#d8d8d8 [2732]">
                <v:textbox style="mso-fit-shape-to-text:t">
                  <w:txbxContent>
                    <w:p w14:paraId="752C63BA" w14:textId="12AF4863" w:rsidR="00603EC5" w:rsidRPr="00F14AE9" w:rsidRDefault="00603EC5" w:rsidP="00F904EB">
                      <w:pPr>
                        <w:autoSpaceDE w:val="0"/>
                        <w:autoSpaceDN w:val="0"/>
                        <w:adjustRightInd w:val="0"/>
                        <w:spacing w:after="0" w:line="240" w:lineRule="auto"/>
                        <w:rPr>
                          <w:rFonts w:cs="Arial"/>
                          <w:b/>
                          <w:bCs/>
                          <w:sz w:val="24"/>
                          <w:szCs w:val="24"/>
                          <w:lang w:eastAsia="en-AU"/>
                        </w:rPr>
                      </w:pPr>
                      <w:r w:rsidRPr="00F14AE9">
                        <w:rPr>
                          <w:rFonts w:cs="Arial"/>
                          <w:b/>
                          <w:bCs/>
                          <w:sz w:val="24"/>
                          <w:szCs w:val="24"/>
                          <w:lang w:eastAsia="en-AU"/>
                        </w:rPr>
                        <w:t>Box 1</w:t>
                      </w:r>
                      <w:r>
                        <w:rPr>
                          <w:rFonts w:cs="Arial"/>
                          <w:b/>
                          <w:bCs/>
                          <w:sz w:val="24"/>
                          <w:szCs w:val="24"/>
                          <w:lang w:eastAsia="en-AU"/>
                        </w:rPr>
                        <w:t>:</w:t>
                      </w:r>
                      <w:r w:rsidRPr="00F14AE9">
                        <w:rPr>
                          <w:rFonts w:cs="Arial"/>
                          <w:b/>
                          <w:bCs/>
                          <w:sz w:val="24"/>
                          <w:szCs w:val="24"/>
                          <w:lang w:eastAsia="en-AU"/>
                        </w:rPr>
                        <w:t xml:space="preserve"> Ranger Environmental Requirements relevant to </w:t>
                      </w:r>
                      <w:r>
                        <w:rPr>
                          <w:rFonts w:cs="Arial"/>
                          <w:b/>
                          <w:bCs/>
                          <w:sz w:val="24"/>
                          <w:szCs w:val="24"/>
                          <w:lang w:eastAsia="en-AU"/>
                        </w:rPr>
                        <w:t>the Radiation R</w:t>
                      </w:r>
                      <w:r w:rsidRPr="00F14AE9">
                        <w:rPr>
                          <w:rFonts w:cs="Arial"/>
                          <w:b/>
                          <w:bCs/>
                          <w:sz w:val="24"/>
                          <w:szCs w:val="24"/>
                          <w:lang w:eastAsia="en-AU"/>
                        </w:rPr>
                        <w:t xml:space="preserve">ehabilitation </w:t>
                      </w:r>
                      <w:r>
                        <w:rPr>
                          <w:rFonts w:cs="Arial"/>
                          <w:b/>
                          <w:bCs/>
                          <w:sz w:val="24"/>
                          <w:szCs w:val="24"/>
                          <w:lang w:eastAsia="en-AU"/>
                        </w:rPr>
                        <w:t>S</w:t>
                      </w:r>
                      <w:r w:rsidRPr="00F14AE9">
                        <w:rPr>
                          <w:rFonts w:cs="Arial"/>
                          <w:b/>
                          <w:bCs/>
                          <w:sz w:val="24"/>
                          <w:szCs w:val="24"/>
                          <w:lang w:eastAsia="en-AU"/>
                        </w:rPr>
                        <w:t>tandard</w:t>
                      </w:r>
                    </w:p>
                    <w:p w14:paraId="752C63BB" w14:textId="77777777" w:rsidR="00603EC5" w:rsidRPr="00AC6575" w:rsidRDefault="00603EC5" w:rsidP="00F904EB">
                      <w:pPr>
                        <w:autoSpaceDE w:val="0"/>
                        <w:autoSpaceDN w:val="0"/>
                        <w:adjustRightInd w:val="0"/>
                        <w:spacing w:after="0" w:line="240" w:lineRule="auto"/>
                        <w:rPr>
                          <w:rFonts w:cs="Arial"/>
                          <w:b/>
                          <w:bCs/>
                          <w:sz w:val="18"/>
                          <w:szCs w:val="18"/>
                          <w:lang w:eastAsia="en-AU"/>
                        </w:rPr>
                      </w:pPr>
                      <w:r w:rsidRPr="00AC6575">
                        <w:rPr>
                          <w:rFonts w:cs="Arial"/>
                          <w:b/>
                          <w:bCs/>
                          <w:sz w:val="18"/>
                          <w:szCs w:val="18"/>
                          <w:lang w:eastAsia="en-AU"/>
                        </w:rPr>
                        <w:t>1</w:t>
                      </w:r>
                      <w:r w:rsidRPr="00AC6575">
                        <w:rPr>
                          <w:rFonts w:cs="Arial"/>
                          <w:b/>
                          <w:bCs/>
                          <w:sz w:val="18"/>
                          <w:szCs w:val="18"/>
                          <w:lang w:eastAsia="en-AU"/>
                        </w:rPr>
                        <w:tab/>
                        <w:t>Environmental protection</w:t>
                      </w:r>
                    </w:p>
                    <w:p w14:paraId="752C63BC" w14:textId="77777777" w:rsidR="00603EC5" w:rsidRPr="00AC6575" w:rsidRDefault="00603EC5" w:rsidP="00F904EB">
                      <w:pPr>
                        <w:tabs>
                          <w:tab w:val="left" w:pos="426"/>
                        </w:tabs>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 xml:space="preserve">1.1 </w:t>
                      </w:r>
                      <w:r w:rsidRPr="00AC6575">
                        <w:rPr>
                          <w:rFonts w:cs="Arial"/>
                          <w:sz w:val="18"/>
                          <w:szCs w:val="18"/>
                          <w:lang w:eastAsia="en-AU"/>
                        </w:rPr>
                        <w:tab/>
                        <w:t>The company must ensure that operations at Ranger are undertaken in such a way as to be consistent with the following primary environmental objectives:</w:t>
                      </w:r>
                    </w:p>
                    <w:p w14:paraId="752C63BD" w14:textId="77777777" w:rsidR="00603EC5" w:rsidRPr="00AC6575" w:rsidRDefault="00603EC5" w:rsidP="00F904EB">
                      <w:pPr>
                        <w:autoSpaceDE w:val="0"/>
                        <w:autoSpaceDN w:val="0"/>
                        <w:adjustRightInd w:val="0"/>
                        <w:spacing w:after="0" w:line="240" w:lineRule="auto"/>
                        <w:ind w:left="714" w:hanging="357"/>
                        <w:rPr>
                          <w:rFonts w:cs="Arial"/>
                          <w:sz w:val="18"/>
                          <w:szCs w:val="18"/>
                          <w:lang w:eastAsia="en-AU"/>
                        </w:rPr>
                      </w:pPr>
                      <w:r w:rsidRPr="00AC6575">
                        <w:rPr>
                          <w:rFonts w:cs="Arial"/>
                          <w:sz w:val="18"/>
                          <w:szCs w:val="18"/>
                          <w:lang w:eastAsia="en-AU"/>
                        </w:rPr>
                        <w:t>(c)</w:t>
                      </w:r>
                      <w:r w:rsidRPr="00AC6575">
                        <w:rPr>
                          <w:rFonts w:cs="Arial"/>
                          <w:sz w:val="18"/>
                          <w:szCs w:val="18"/>
                          <w:lang w:eastAsia="en-AU"/>
                        </w:rPr>
                        <w:tab/>
                      </w:r>
                      <w:proofErr w:type="gramStart"/>
                      <w:r w:rsidRPr="00AC6575">
                        <w:rPr>
                          <w:rFonts w:cs="Arial"/>
                          <w:sz w:val="18"/>
                          <w:szCs w:val="18"/>
                          <w:lang w:eastAsia="en-AU"/>
                        </w:rPr>
                        <w:t>protect</w:t>
                      </w:r>
                      <w:proofErr w:type="gramEnd"/>
                      <w:r w:rsidRPr="00AC6575">
                        <w:rPr>
                          <w:rFonts w:cs="Arial"/>
                          <w:sz w:val="18"/>
                          <w:szCs w:val="18"/>
                          <w:lang w:eastAsia="en-AU"/>
                        </w:rPr>
                        <w:t xml:space="preserve"> the health of Aboriginals and other members of the regional community</w:t>
                      </w:r>
                    </w:p>
                    <w:p w14:paraId="752C63BE" w14:textId="77777777" w:rsidR="00603EC5" w:rsidRPr="00AC6575" w:rsidRDefault="00603EC5" w:rsidP="00F904EB">
                      <w:pPr>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 xml:space="preserve">1.2 </w:t>
                      </w:r>
                      <w:r w:rsidRPr="00AC6575">
                        <w:rPr>
                          <w:rFonts w:cs="Arial"/>
                          <w:sz w:val="18"/>
                          <w:szCs w:val="18"/>
                          <w:lang w:eastAsia="en-AU"/>
                        </w:rPr>
                        <w:tab/>
                        <w:t>In particular, the company must ensure that operations at Ranger do not result in:</w:t>
                      </w:r>
                    </w:p>
                    <w:p w14:paraId="752C63BF" w14:textId="77777777" w:rsidR="00603EC5" w:rsidRPr="00AC6575" w:rsidRDefault="00603EC5" w:rsidP="00F904EB">
                      <w:pPr>
                        <w:autoSpaceDE w:val="0"/>
                        <w:autoSpaceDN w:val="0"/>
                        <w:adjustRightInd w:val="0"/>
                        <w:spacing w:after="0" w:line="240" w:lineRule="auto"/>
                        <w:ind w:left="714" w:hanging="357"/>
                        <w:rPr>
                          <w:rFonts w:cs="Arial"/>
                          <w:sz w:val="18"/>
                          <w:szCs w:val="18"/>
                          <w:lang w:eastAsia="en-AU"/>
                        </w:rPr>
                      </w:pPr>
                      <w:r w:rsidRPr="00AC6575">
                        <w:rPr>
                          <w:rFonts w:cs="Arial"/>
                          <w:sz w:val="18"/>
                          <w:szCs w:val="18"/>
                          <w:lang w:eastAsia="en-AU"/>
                        </w:rPr>
                        <w:t>(c)</w:t>
                      </w:r>
                      <w:r w:rsidRPr="00AC6575">
                        <w:rPr>
                          <w:rFonts w:cs="Arial"/>
                          <w:sz w:val="18"/>
                          <w:szCs w:val="18"/>
                          <w:lang w:eastAsia="en-AU"/>
                        </w:rPr>
                        <w:tab/>
                        <w:t>an adverse effect on the health of Aboriginals and other members of the regional community by ensuring that exposure to radiation and chemical pollutants is as low as reasonably achievable and conforms with relevant Australian law, and in particular, in relation to radiological exposure, complies with the most recently published and relevant Australian standards, codes of practice, and guidelines</w:t>
                      </w:r>
                    </w:p>
                    <w:p w14:paraId="752C63C0" w14:textId="77777777" w:rsidR="00603EC5" w:rsidRPr="00AC6575" w:rsidRDefault="00603EC5" w:rsidP="00F904EB">
                      <w:pPr>
                        <w:autoSpaceDE w:val="0"/>
                        <w:autoSpaceDN w:val="0"/>
                        <w:adjustRightInd w:val="0"/>
                        <w:spacing w:after="0" w:line="240" w:lineRule="auto"/>
                        <w:rPr>
                          <w:rFonts w:cs="Arial"/>
                          <w:b/>
                          <w:bCs/>
                          <w:sz w:val="18"/>
                          <w:szCs w:val="18"/>
                          <w:lang w:eastAsia="en-AU"/>
                        </w:rPr>
                      </w:pPr>
                      <w:r w:rsidRPr="00AC6575">
                        <w:rPr>
                          <w:rFonts w:cs="Arial"/>
                          <w:b/>
                          <w:bCs/>
                          <w:sz w:val="18"/>
                          <w:szCs w:val="18"/>
                          <w:lang w:eastAsia="en-AU"/>
                        </w:rPr>
                        <w:t>2</w:t>
                      </w:r>
                      <w:r w:rsidRPr="00AC6575">
                        <w:rPr>
                          <w:rFonts w:cs="Arial"/>
                          <w:b/>
                          <w:bCs/>
                          <w:sz w:val="18"/>
                          <w:szCs w:val="18"/>
                          <w:lang w:eastAsia="en-AU"/>
                        </w:rPr>
                        <w:tab/>
                        <w:t>Rehabilitation</w:t>
                      </w:r>
                    </w:p>
                    <w:p w14:paraId="752C63C1" w14:textId="77777777" w:rsidR="00603EC5" w:rsidRPr="00AC6575" w:rsidRDefault="00603EC5" w:rsidP="00F904EB">
                      <w:pPr>
                        <w:tabs>
                          <w:tab w:val="left" w:pos="426"/>
                        </w:tabs>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 xml:space="preserve">2.2 </w:t>
                      </w:r>
                      <w:r w:rsidRPr="00AC6575">
                        <w:rPr>
                          <w:rFonts w:cs="Arial"/>
                          <w:sz w:val="18"/>
                          <w:szCs w:val="18"/>
                          <w:lang w:eastAsia="en-AU"/>
                        </w:rPr>
                        <w:tab/>
                        <w:t>The major objectives of rehabilitation are:</w:t>
                      </w:r>
                    </w:p>
                    <w:p w14:paraId="752C63C2" w14:textId="77777777" w:rsidR="00603EC5" w:rsidRPr="00AC6575" w:rsidRDefault="00603EC5" w:rsidP="00A73581">
                      <w:pPr>
                        <w:autoSpaceDE w:val="0"/>
                        <w:autoSpaceDN w:val="0"/>
                        <w:adjustRightInd w:val="0"/>
                        <w:spacing w:after="0" w:line="240" w:lineRule="auto"/>
                        <w:ind w:left="714" w:hanging="357"/>
                        <w:rPr>
                          <w:rFonts w:cs="Arial"/>
                          <w:sz w:val="18"/>
                          <w:szCs w:val="18"/>
                          <w:lang w:eastAsia="en-AU"/>
                        </w:rPr>
                      </w:pPr>
                      <w:r w:rsidRPr="00AC6575">
                        <w:rPr>
                          <w:rFonts w:cs="Arial"/>
                          <w:sz w:val="18"/>
                          <w:szCs w:val="18"/>
                          <w:lang w:eastAsia="en-AU"/>
                        </w:rPr>
                        <w:t>(b)</w:t>
                      </w:r>
                      <w:r w:rsidRPr="00AC6575">
                        <w:rPr>
                          <w:rFonts w:cs="Arial"/>
                          <w:sz w:val="18"/>
                          <w:szCs w:val="18"/>
                          <w:lang w:eastAsia="en-AU"/>
                        </w:rPr>
                        <w:tab/>
                        <w:t>stable radiological conditions on areas impacted by mining so that, the health risk to members of the public, including traditional owners, is as low as reasonably achievable; members of the public do not receive a radiation dose which exceeds applicable limits recommended by the most recently published and relevant Australian standards, codes of practice, and guidelines; and there is a minimum of restrictions on the use of the area</w:t>
                      </w:r>
                    </w:p>
                    <w:p w14:paraId="752C63C3" w14:textId="77777777" w:rsidR="00603EC5" w:rsidRPr="00AC6575" w:rsidRDefault="00603EC5" w:rsidP="00F904EB">
                      <w:pPr>
                        <w:tabs>
                          <w:tab w:val="left" w:pos="426"/>
                        </w:tabs>
                        <w:autoSpaceDE w:val="0"/>
                        <w:autoSpaceDN w:val="0"/>
                        <w:adjustRightInd w:val="0"/>
                        <w:spacing w:after="0" w:line="240" w:lineRule="auto"/>
                        <w:ind w:left="426" w:hanging="426"/>
                        <w:rPr>
                          <w:rFonts w:cs="Arial"/>
                          <w:b/>
                          <w:sz w:val="18"/>
                          <w:szCs w:val="18"/>
                          <w:lang w:eastAsia="en-AU"/>
                        </w:rPr>
                      </w:pPr>
                      <w:r w:rsidRPr="00AC6575">
                        <w:rPr>
                          <w:rFonts w:cs="Arial"/>
                          <w:b/>
                          <w:sz w:val="18"/>
                          <w:szCs w:val="18"/>
                          <w:lang w:eastAsia="en-AU"/>
                        </w:rPr>
                        <w:t>11</w:t>
                      </w:r>
                      <w:r w:rsidRPr="00AC6575">
                        <w:rPr>
                          <w:rFonts w:cs="Arial"/>
                          <w:b/>
                          <w:sz w:val="18"/>
                          <w:szCs w:val="18"/>
                          <w:lang w:eastAsia="en-AU"/>
                        </w:rPr>
                        <w:tab/>
                        <w:t>Management of tailings</w:t>
                      </w:r>
                    </w:p>
                    <w:p w14:paraId="752C63C4" w14:textId="77777777" w:rsidR="00603EC5" w:rsidRPr="00AC6575" w:rsidRDefault="00603EC5" w:rsidP="00F904EB">
                      <w:pPr>
                        <w:tabs>
                          <w:tab w:val="left" w:pos="426"/>
                        </w:tabs>
                        <w:autoSpaceDE w:val="0"/>
                        <w:autoSpaceDN w:val="0"/>
                        <w:adjustRightInd w:val="0"/>
                        <w:spacing w:after="0" w:line="240" w:lineRule="auto"/>
                        <w:ind w:left="426" w:hanging="426"/>
                        <w:rPr>
                          <w:rFonts w:cs="Arial"/>
                          <w:sz w:val="18"/>
                          <w:szCs w:val="18"/>
                          <w:lang w:eastAsia="en-AU"/>
                        </w:rPr>
                      </w:pPr>
                      <w:r w:rsidRPr="00AC6575">
                        <w:rPr>
                          <w:rFonts w:cs="Arial"/>
                          <w:sz w:val="18"/>
                          <w:szCs w:val="18"/>
                          <w:lang w:eastAsia="en-AU"/>
                        </w:rPr>
                        <w:t>11.3</w:t>
                      </w:r>
                      <w:r w:rsidRPr="00AC6575">
                        <w:rPr>
                          <w:rFonts w:cs="Arial"/>
                          <w:sz w:val="18"/>
                          <w:szCs w:val="18"/>
                          <w:lang w:eastAsia="en-AU"/>
                        </w:rPr>
                        <w:tab/>
                        <w:t>Final disposal of tailings must be undertaken, to the satisfaction of the Minister with the advice of the Supervising Scientist on the basis of best available modelling, in such a way as to ensure that:</w:t>
                      </w:r>
                    </w:p>
                    <w:p w14:paraId="752C63C5" w14:textId="77777777" w:rsidR="00603EC5" w:rsidRPr="00F14AE9" w:rsidRDefault="00603EC5" w:rsidP="00F904EB">
                      <w:pPr>
                        <w:autoSpaceDE w:val="0"/>
                        <w:autoSpaceDN w:val="0"/>
                        <w:adjustRightInd w:val="0"/>
                        <w:spacing w:after="0" w:line="240" w:lineRule="auto"/>
                        <w:ind w:left="714" w:hanging="357"/>
                        <w:rPr>
                          <w:rFonts w:cs="Arial"/>
                          <w:sz w:val="20"/>
                          <w:szCs w:val="24"/>
                          <w:lang w:eastAsia="en-AU"/>
                        </w:rPr>
                      </w:pPr>
                      <w:r w:rsidRPr="00AC6575">
                        <w:rPr>
                          <w:rFonts w:cs="Arial"/>
                          <w:sz w:val="18"/>
                          <w:szCs w:val="18"/>
                          <w:lang w:eastAsia="en-AU"/>
                        </w:rPr>
                        <w:t>(iii)</w:t>
                      </w:r>
                      <w:r w:rsidRPr="00AC6575">
                        <w:rPr>
                          <w:rFonts w:cs="Arial"/>
                          <w:sz w:val="18"/>
                          <w:szCs w:val="18"/>
                          <w:lang w:eastAsia="en-AU"/>
                        </w:rPr>
                        <w:tab/>
                      </w:r>
                      <w:proofErr w:type="gramStart"/>
                      <w:r w:rsidRPr="00AC6575">
                        <w:rPr>
                          <w:rFonts w:cs="Arial"/>
                          <w:sz w:val="18"/>
                          <w:szCs w:val="18"/>
                          <w:lang w:eastAsia="en-AU"/>
                        </w:rPr>
                        <w:t>radiation</w:t>
                      </w:r>
                      <w:proofErr w:type="gramEnd"/>
                      <w:r w:rsidRPr="00AC6575">
                        <w:rPr>
                          <w:rFonts w:cs="Arial"/>
                          <w:sz w:val="18"/>
                          <w:szCs w:val="18"/>
                          <w:lang w:eastAsia="en-AU"/>
                        </w:rPr>
                        <w:t xml:space="preserve"> doses to members of the public will comply with relevant Australian law and be less than limits recommended by the most recently published and relevant Australian standards, codes of practice, and guidelines effective at the time of the final tailings disposal.</w:t>
                      </w:r>
                    </w:p>
                  </w:txbxContent>
                </v:textbox>
                <w10:anchorlock/>
              </v:shape>
            </w:pict>
          </mc:Fallback>
        </mc:AlternateContent>
      </w:r>
    </w:p>
    <w:p w14:paraId="752C6380" w14:textId="2A2F5E2B" w:rsidR="0040044C" w:rsidRDefault="005C28C2" w:rsidP="00686BAD">
      <w:pPr>
        <w:pStyle w:val="Heading1"/>
        <w:jc w:val="both"/>
      </w:pPr>
      <w:r>
        <w:t>R</w:t>
      </w:r>
      <w:r w:rsidR="00C031D5">
        <w:t xml:space="preserve">ecommended values for </w:t>
      </w:r>
      <w:r w:rsidR="00AA2CBA">
        <w:t xml:space="preserve">public </w:t>
      </w:r>
      <w:r w:rsidR="00BB55AC">
        <w:t xml:space="preserve">radiation </w:t>
      </w:r>
      <w:r w:rsidR="00AA2CBA">
        <w:t>protection</w:t>
      </w:r>
    </w:p>
    <w:p w14:paraId="752C6381" w14:textId="7614F101" w:rsidR="0040044C" w:rsidRDefault="0040044C" w:rsidP="00686BAD">
      <w:pPr>
        <w:pStyle w:val="Caption"/>
        <w:jc w:val="both"/>
      </w:pPr>
      <w:r>
        <w:fldChar w:fldCharType="begin"/>
      </w:r>
      <w:r w:rsidR="00EE744B">
        <w:instrText xml:space="preserve"> STYLEREF 1 \s </w:instrText>
      </w:r>
      <w:r>
        <w:fldChar w:fldCharType="separate"/>
      </w:r>
      <w:r w:rsidR="00225404">
        <w:rPr>
          <w:noProof/>
        </w:rPr>
        <w:t>3</w:t>
      </w:r>
      <w:r>
        <w:fldChar w:fldCharType="end"/>
      </w:r>
      <w:r w:rsidR="00EE744B">
        <w:t>.</w:t>
      </w:r>
      <w:r>
        <w:fldChar w:fldCharType="begin"/>
      </w:r>
      <w:r w:rsidR="00EE744B">
        <w:instrText xml:space="preserve"> SEQ Clause \* ARABIC \s 1 </w:instrText>
      </w:r>
      <w:r>
        <w:fldChar w:fldCharType="separate"/>
      </w:r>
      <w:r w:rsidR="00225404">
        <w:rPr>
          <w:noProof/>
        </w:rPr>
        <w:t>1</w:t>
      </w:r>
      <w:r>
        <w:fldChar w:fldCharType="end"/>
      </w:r>
      <w:r w:rsidR="00FF5A87">
        <w:t xml:space="preserve"> </w:t>
      </w:r>
      <w:r w:rsidR="00BC1579">
        <w:t xml:space="preserve">To protect </w:t>
      </w:r>
      <w:r w:rsidR="00CF3AB7">
        <w:t xml:space="preserve">the health of </w:t>
      </w:r>
      <w:r w:rsidR="00F04F03">
        <w:t>T</w:t>
      </w:r>
      <w:r w:rsidR="00CF3AB7">
        <w:t xml:space="preserve">raditional </w:t>
      </w:r>
      <w:r w:rsidR="00F04F03">
        <w:t>O</w:t>
      </w:r>
      <w:r w:rsidR="00CF3AB7">
        <w:t>wner</w:t>
      </w:r>
      <w:r w:rsidR="00BB55AC">
        <w:t>s</w:t>
      </w:r>
      <w:r w:rsidR="00CF3AB7">
        <w:t xml:space="preserve"> and other </w:t>
      </w:r>
      <w:r w:rsidR="00BB55AC">
        <w:t xml:space="preserve">members of the </w:t>
      </w:r>
      <w:r w:rsidR="00CF3AB7">
        <w:t>public</w:t>
      </w:r>
      <w:r w:rsidR="00BC1579">
        <w:t xml:space="preserve"> on and outside the Ranger Project Area in accor</w:t>
      </w:r>
      <w:r w:rsidR="00154ECC">
        <w:t>dance</w:t>
      </w:r>
      <w:r w:rsidR="00BC1579">
        <w:t xml:space="preserve"> with the rehabilitation </w:t>
      </w:r>
      <w:r w:rsidR="00154ECC">
        <w:t>objectives</w:t>
      </w:r>
      <w:r w:rsidR="00BC1579">
        <w:t xml:space="preserve">, </w:t>
      </w:r>
      <w:r w:rsidR="00CF3AB7">
        <w:t xml:space="preserve">radiation doses </w:t>
      </w:r>
      <w:r w:rsidR="00862C60">
        <w:t xml:space="preserve">to the public </w:t>
      </w:r>
      <w:r w:rsidR="009E57AD">
        <w:t xml:space="preserve">should </w:t>
      </w:r>
      <w:r w:rsidR="0012431F">
        <w:t>not exceed</w:t>
      </w:r>
      <w:r w:rsidR="009E57AD">
        <w:t xml:space="preserve"> the </w:t>
      </w:r>
      <w:r w:rsidR="0021551B">
        <w:t>recommended</w:t>
      </w:r>
      <w:r w:rsidR="009E57AD">
        <w:t xml:space="preserve"> values shown in </w:t>
      </w:r>
      <w:r w:rsidRPr="00E758C7">
        <w:fldChar w:fldCharType="begin"/>
      </w:r>
      <w:r w:rsidR="009E57AD" w:rsidRPr="00E758C7">
        <w:instrText xml:space="preserve"> REF _Ref480218557 \h </w:instrText>
      </w:r>
      <w:r w:rsidR="00E758C7" w:rsidRPr="00E758C7">
        <w:instrText xml:space="preserve"> \* MERGEFORMAT </w:instrText>
      </w:r>
      <w:r w:rsidRPr="00E758C7">
        <w:fldChar w:fldCharType="separate"/>
      </w:r>
      <w:r w:rsidR="00225404" w:rsidRPr="00E758C7">
        <w:t xml:space="preserve">Table </w:t>
      </w:r>
      <w:r w:rsidR="00225404" w:rsidRPr="00E758C7">
        <w:rPr>
          <w:noProof/>
        </w:rPr>
        <w:t>1</w:t>
      </w:r>
      <w:r w:rsidRPr="00E758C7">
        <w:fldChar w:fldCharType="end"/>
      </w:r>
      <w:r w:rsidR="009E57AD">
        <w:t>.</w:t>
      </w:r>
    </w:p>
    <w:p w14:paraId="752C6382" w14:textId="550083EA" w:rsidR="0040044C" w:rsidRPr="00AD5844" w:rsidRDefault="0040044C" w:rsidP="00686BAD">
      <w:pPr>
        <w:pStyle w:val="Caption"/>
        <w:keepNext/>
        <w:jc w:val="both"/>
        <w:rPr>
          <w:b/>
        </w:rPr>
      </w:pPr>
      <w:bookmarkStart w:id="2" w:name="_Ref480218557"/>
      <w:r w:rsidRPr="00AD5844">
        <w:rPr>
          <w:b/>
        </w:rPr>
        <w:t xml:space="preserve">Table </w:t>
      </w:r>
      <w:r w:rsidRPr="00AD5844">
        <w:rPr>
          <w:b/>
        </w:rPr>
        <w:fldChar w:fldCharType="begin"/>
      </w:r>
      <w:r w:rsidRPr="00AD5844">
        <w:rPr>
          <w:b/>
        </w:rPr>
        <w:instrText xml:space="preserve"> SEQ Table \* ARABIC </w:instrText>
      </w:r>
      <w:r w:rsidRPr="00AD5844">
        <w:rPr>
          <w:b/>
        </w:rPr>
        <w:fldChar w:fldCharType="separate"/>
      </w:r>
      <w:r w:rsidR="00225404">
        <w:rPr>
          <w:b/>
          <w:noProof/>
        </w:rPr>
        <w:t>1</w:t>
      </w:r>
      <w:r w:rsidRPr="00AD5844">
        <w:rPr>
          <w:b/>
        </w:rPr>
        <w:fldChar w:fldCharType="end"/>
      </w:r>
      <w:bookmarkEnd w:id="2"/>
      <w:r w:rsidRPr="00AD5844">
        <w:rPr>
          <w:b/>
        </w:rPr>
        <w:t xml:space="preserve"> Re</w:t>
      </w:r>
      <w:r w:rsidR="00BC1579">
        <w:rPr>
          <w:b/>
        </w:rPr>
        <w:t>habil</w:t>
      </w:r>
      <w:r w:rsidR="00700999">
        <w:rPr>
          <w:b/>
        </w:rPr>
        <w:t>i</w:t>
      </w:r>
      <w:r w:rsidR="00BC1579">
        <w:rPr>
          <w:b/>
        </w:rPr>
        <w:t>tation standard</w:t>
      </w:r>
      <w:r w:rsidRPr="00AD5844">
        <w:rPr>
          <w:b/>
        </w:rPr>
        <w:t xml:space="preserve"> for </w:t>
      </w:r>
      <w:r w:rsidR="00862C60">
        <w:rPr>
          <w:b/>
        </w:rPr>
        <w:t xml:space="preserve">public </w:t>
      </w:r>
      <w:r w:rsidRPr="00AD5844">
        <w:rPr>
          <w:b/>
        </w:rPr>
        <w:t>rad</w:t>
      </w:r>
      <w:r w:rsidR="00BC1579">
        <w:rPr>
          <w:b/>
        </w:rPr>
        <w:t xml:space="preserve">iation </w:t>
      </w:r>
      <w:r w:rsidR="00862C60">
        <w:rPr>
          <w:b/>
        </w:rPr>
        <w:t xml:space="preserve">protection </w:t>
      </w:r>
      <w:r w:rsidR="00BC1579">
        <w:rPr>
          <w:b/>
        </w:rPr>
        <w:t>for</w:t>
      </w:r>
      <w:r w:rsidR="00C235C2">
        <w:rPr>
          <w:b/>
        </w:rPr>
        <w:t xml:space="preserve"> </w:t>
      </w:r>
      <w:r w:rsidRPr="00AD5844">
        <w:rPr>
          <w:b/>
        </w:rPr>
        <w:t>Ranger uranium mine</w:t>
      </w:r>
    </w:p>
    <w:tbl>
      <w:tblPr>
        <w:tblStyle w:val="TableGrid"/>
        <w:tblW w:w="5000" w:type="pct"/>
        <w:tblInd w:w="-113" w:type="dxa"/>
        <w:tblLook w:val="04A0" w:firstRow="1" w:lastRow="0" w:firstColumn="1" w:lastColumn="0" w:noHBand="0" w:noVBand="1"/>
      </w:tblPr>
      <w:tblGrid>
        <w:gridCol w:w="2933"/>
        <w:gridCol w:w="5363"/>
      </w:tblGrid>
      <w:tr w:rsidR="007D4128" w:rsidRPr="007D4128" w14:paraId="752C6385" w14:textId="77777777" w:rsidTr="00AD5844">
        <w:trPr>
          <w:cantSplit/>
          <w:tblHeader/>
        </w:trPr>
        <w:tc>
          <w:tcPr>
            <w:tcW w:w="2933" w:type="dxa"/>
          </w:tcPr>
          <w:p w14:paraId="752C6383" w14:textId="77777777" w:rsidR="0040044C" w:rsidRPr="00AD5844" w:rsidRDefault="00217146" w:rsidP="00AD5844">
            <w:pPr>
              <w:pStyle w:val="table1"/>
              <w:rPr>
                <w:b/>
              </w:rPr>
            </w:pPr>
            <w:r>
              <w:rPr>
                <w:b/>
              </w:rPr>
              <w:t xml:space="preserve">Rehabilitation </w:t>
            </w:r>
            <w:r w:rsidR="00154ECC">
              <w:rPr>
                <w:b/>
              </w:rPr>
              <w:t>s</w:t>
            </w:r>
            <w:r w:rsidR="0040044C" w:rsidRPr="00AD5844">
              <w:rPr>
                <w:b/>
              </w:rPr>
              <w:t>tandard</w:t>
            </w:r>
          </w:p>
        </w:tc>
        <w:tc>
          <w:tcPr>
            <w:tcW w:w="5363" w:type="dxa"/>
          </w:tcPr>
          <w:p w14:paraId="752C6384" w14:textId="77777777" w:rsidR="0040044C" w:rsidRPr="00AD5844" w:rsidRDefault="0040044C" w:rsidP="00AD5844">
            <w:pPr>
              <w:pStyle w:val="table1"/>
              <w:rPr>
                <w:b/>
              </w:rPr>
            </w:pPr>
            <w:r w:rsidRPr="00AD5844">
              <w:rPr>
                <w:b/>
              </w:rPr>
              <w:t>Measure of success</w:t>
            </w:r>
          </w:p>
        </w:tc>
      </w:tr>
      <w:tr w:rsidR="00D4604D" w14:paraId="752C6388" w14:textId="77777777" w:rsidTr="00AD5844">
        <w:trPr>
          <w:cantSplit/>
        </w:trPr>
        <w:tc>
          <w:tcPr>
            <w:tcW w:w="2933" w:type="dxa"/>
          </w:tcPr>
          <w:p w14:paraId="752C6386" w14:textId="77777777" w:rsidR="0040044C" w:rsidRDefault="005C28C2" w:rsidP="00AD5844">
            <w:pPr>
              <w:pStyle w:val="table1"/>
            </w:pPr>
            <w:r>
              <w:t xml:space="preserve">Dose constraint of </w:t>
            </w:r>
            <w:r w:rsidRPr="00B52EA9">
              <w:t>0.3</w:t>
            </w:r>
            <w:r w:rsidR="00D4604D">
              <w:t> </w:t>
            </w:r>
            <w:proofErr w:type="spellStart"/>
            <w:r w:rsidRPr="00B52EA9">
              <w:t>mSv</w:t>
            </w:r>
            <w:proofErr w:type="spellEnd"/>
            <w:r w:rsidRPr="00B52EA9">
              <w:t xml:space="preserve"> in a year</w:t>
            </w:r>
          </w:p>
        </w:tc>
        <w:tc>
          <w:tcPr>
            <w:tcW w:w="5363" w:type="dxa"/>
          </w:tcPr>
          <w:p w14:paraId="752C6387" w14:textId="77777777" w:rsidR="0040044C" w:rsidRDefault="005C28C2" w:rsidP="00AD5844">
            <w:pPr>
              <w:pStyle w:val="table1"/>
            </w:pPr>
            <w:r>
              <w:t>Effective dose to members of the public is as low as reasonably achievable below the dose constraint for conditions of agreed future land use</w:t>
            </w:r>
          </w:p>
        </w:tc>
      </w:tr>
      <w:tr w:rsidR="00D4604D" w14:paraId="752C638B" w14:textId="77777777" w:rsidTr="00AD5844">
        <w:trPr>
          <w:cantSplit/>
        </w:trPr>
        <w:tc>
          <w:tcPr>
            <w:tcW w:w="2933" w:type="dxa"/>
          </w:tcPr>
          <w:p w14:paraId="752C6389" w14:textId="77777777" w:rsidR="0040044C" w:rsidRDefault="005C28C2" w:rsidP="00AD5844">
            <w:pPr>
              <w:pStyle w:val="table1"/>
            </w:pPr>
            <w:r>
              <w:t>Dose limit of 1</w:t>
            </w:r>
            <w:r w:rsidR="00EE41B5">
              <w:t>.0</w:t>
            </w:r>
            <w:r w:rsidR="00D4604D">
              <w:t> </w:t>
            </w:r>
            <w:proofErr w:type="spellStart"/>
            <w:r>
              <w:t>mSv</w:t>
            </w:r>
            <w:proofErr w:type="spellEnd"/>
            <w:r>
              <w:t xml:space="preserve"> in a year</w:t>
            </w:r>
          </w:p>
        </w:tc>
        <w:tc>
          <w:tcPr>
            <w:tcW w:w="5363" w:type="dxa"/>
          </w:tcPr>
          <w:p w14:paraId="752C638A" w14:textId="77777777" w:rsidR="0040044C" w:rsidRDefault="005C28C2" w:rsidP="00AD5844">
            <w:pPr>
              <w:pStyle w:val="table1"/>
            </w:pPr>
            <w:r>
              <w:t>Effective dose to members of the public is as low as reasonably achievable below the dose limit for conditions of future land use different to those agreed</w:t>
            </w:r>
          </w:p>
        </w:tc>
      </w:tr>
    </w:tbl>
    <w:p w14:paraId="752C638C" w14:textId="77777777" w:rsidR="0040044C" w:rsidRDefault="0040044C" w:rsidP="00AD5844"/>
    <w:p w14:paraId="752C638D" w14:textId="77777777" w:rsidR="0040044C" w:rsidRDefault="009476EB" w:rsidP="00686BAD">
      <w:pPr>
        <w:pStyle w:val="Heading1"/>
        <w:jc w:val="both"/>
      </w:pPr>
      <w:r>
        <w:t>Scientific basis</w:t>
      </w:r>
    </w:p>
    <w:p w14:paraId="752C638E" w14:textId="77777777" w:rsidR="0040044C" w:rsidRDefault="009476EB" w:rsidP="00686BAD">
      <w:pPr>
        <w:pStyle w:val="Heading2"/>
        <w:jc w:val="both"/>
      </w:pPr>
      <w:r>
        <w:t>Guidelines</w:t>
      </w:r>
      <w:r w:rsidR="0021551B">
        <w:t xml:space="preserve"> and</w:t>
      </w:r>
      <w:r w:rsidR="00246848">
        <w:t xml:space="preserve"> </w:t>
      </w:r>
      <w:r>
        <w:t>standards</w:t>
      </w:r>
      <w:r w:rsidR="00246848">
        <w:t xml:space="preserve"> </w:t>
      </w:r>
      <w:r>
        <w:t xml:space="preserve">used </w:t>
      </w:r>
      <w:r w:rsidR="0021551B">
        <w:t>to</w:t>
      </w:r>
      <w:r>
        <w:t xml:space="preserve"> develop</w:t>
      </w:r>
      <w:r w:rsidR="00154ECC">
        <w:t xml:space="preserve"> the recommended values</w:t>
      </w:r>
    </w:p>
    <w:p w14:paraId="752C638F" w14:textId="24FFD180" w:rsidR="0040044C" w:rsidRDefault="0040044C" w:rsidP="00686BAD">
      <w:pPr>
        <w:jc w:val="both"/>
      </w:pPr>
      <w:r>
        <w:rPr>
          <w:szCs w:val="18"/>
        </w:rPr>
        <w:fldChar w:fldCharType="begin"/>
      </w:r>
      <w:r w:rsidR="00EE744B">
        <w:instrText xml:space="preserve"> STYLEREF 1 \s </w:instrText>
      </w:r>
      <w:r>
        <w:rPr>
          <w:szCs w:val="18"/>
        </w:rPr>
        <w:fldChar w:fldCharType="separate"/>
      </w:r>
      <w:r w:rsidR="00225404">
        <w:rPr>
          <w:noProof/>
        </w:rPr>
        <w:t>4</w:t>
      </w:r>
      <w:r>
        <w:rPr>
          <w:szCs w:val="18"/>
        </w:rPr>
        <w:fldChar w:fldCharType="end"/>
      </w:r>
      <w:r w:rsidR="00EE744B">
        <w:t>.</w:t>
      </w:r>
      <w:r>
        <w:rPr>
          <w:szCs w:val="18"/>
        </w:rPr>
        <w:fldChar w:fldCharType="begin"/>
      </w:r>
      <w:r w:rsidR="00EE744B">
        <w:instrText xml:space="preserve"> SEQ Clause \* ARABIC \s 1 </w:instrText>
      </w:r>
      <w:r>
        <w:rPr>
          <w:szCs w:val="18"/>
        </w:rPr>
        <w:fldChar w:fldCharType="separate"/>
      </w:r>
      <w:r w:rsidR="00225404">
        <w:rPr>
          <w:noProof/>
        </w:rPr>
        <w:t>1</w:t>
      </w:r>
      <w:r>
        <w:rPr>
          <w:szCs w:val="18"/>
        </w:rPr>
        <w:fldChar w:fldCharType="end"/>
      </w:r>
      <w:r w:rsidR="00FF5A87">
        <w:t xml:space="preserve"> </w:t>
      </w:r>
      <w:r w:rsidR="009476EB">
        <w:t xml:space="preserve">This </w:t>
      </w:r>
      <w:r w:rsidR="00494CC6">
        <w:t>R</w:t>
      </w:r>
      <w:r w:rsidR="009476EB">
        <w:t xml:space="preserve">ehabilitation </w:t>
      </w:r>
      <w:r w:rsidR="00494CC6">
        <w:t>S</w:t>
      </w:r>
      <w:r w:rsidR="009476EB">
        <w:t xml:space="preserve">tandard has been developed from the international </w:t>
      </w:r>
      <w:r w:rsidR="009330ED">
        <w:t xml:space="preserve">safety </w:t>
      </w:r>
      <w:r w:rsidR="002D3AB8">
        <w:t xml:space="preserve">guide </w:t>
      </w:r>
      <w:r w:rsidR="002D3AB8" w:rsidRPr="002D3AB8">
        <w:rPr>
          <w:i/>
        </w:rPr>
        <w:t>WS-G-5.1</w:t>
      </w:r>
      <w:r w:rsidR="00494CC6" w:rsidRPr="002D3AB8">
        <w:rPr>
          <w:i/>
        </w:rPr>
        <w:t xml:space="preserve"> </w:t>
      </w:r>
      <w:r w:rsidRPr="00F07178">
        <w:rPr>
          <w:rStyle w:val="Emphasis"/>
        </w:rPr>
        <w:t>Re</w:t>
      </w:r>
      <w:r w:rsidRPr="00AD5844">
        <w:rPr>
          <w:rStyle w:val="Emphasis"/>
        </w:rPr>
        <w:t>lease of sites from regulatory control on termination of practices</w:t>
      </w:r>
      <w:r w:rsidR="009476EB">
        <w:t xml:space="preserve"> (IAEA 2006).</w:t>
      </w:r>
    </w:p>
    <w:bookmarkStart w:id="3" w:name="_Ref482817090"/>
    <w:p w14:paraId="752C6390" w14:textId="794818D4" w:rsidR="009779AD" w:rsidRDefault="009779AD" w:rsidP="00686BAD">
      <w:pPr>
        <w:pStyle w:val="Caption"/>
        <w:jc w:val="both"/>
      </w:pPr>
      <w:r>
        <w:fldChar w:fldCharType="begin"/>
      </w:r>
      <w:r>
        <w:instrText xml:space="preserve"> STYLEREF 1 \s </w:instrText>
      </w:r>
      <w:r>
        <w:fldChar w:fldCharType="separate"/>
      </w:r>
      <w:r w:rsidR="00225404">
        <w:rPr>
          <w:noProof/>
        </w:rPr>
        <w:t>4</w:t>
      </w:r>
      <w:r>
        <w:fldChar w:fldCharType="end"/>
      </w:r>
      <w:r>
        <w:t>.</w:t>
      </w:r>
      <w:fldSimple w:instr=" SEQ Clause \* ARABIC \s 1 ">
        <w:r w:rsidR="00225404">
          <w:rPr>
            <w:noProof/>
          </w:rPr>
          <w:t>2</w:t>
        </w:r>
      </w:fldSimple>
      <w:bookmarkEnd w:id="3"/>
      <w:r>
        <w:t xml:space="preserve"> </w:t>
      </w:r>
      <w:r w:rsidR="00AD1B8C" w:rsidRPr="00AD1B8C">
        <w:t>The representative person is the individual, either real or hypothetical, who receives a dose that is representative of the more highly exposed individuals in the population</w:t>
      </w:r>
      <w:r>
        <w:t xml:space="preserve"> (ICRP 2006). On and outside of the Ranger Project Area, </w:t>
      </w:r>
      <w:r w:rsidR="00F07178">
        <w:t>this is</w:t>
      </w:r>
      <w:r>
        <w:t xml:space="preserve"> anticipate</w:t>
      </w:r>
      <w:r w:rsidR="00F07178">
        <w:t>d</w:t>
      </w:r>
      <w:r>
        <w:t xml:space="preserve"> to be </w:t>
      </w:r>
      <w:r w:rsidR="00F04F03">
        <w:t>T</w:t>
      </w:r>
      <w:r>
        <w:t xml:space="preserve">raditional </w:t>
      </w:r>
      <w:r w:rsidR="00F04F03">
        <w:t>O</w:t>
      </w:r>
      <w:r>
        <w:t>wners, due to their expected future land use for activities such as seasonal camping and collecting bush foods.</w:t>
      </w:r>
    </w:p>
    <w:p w14:paraId="752C6391" w14:textId="77777777" w:rsidR="009779AD" w:rsidRDefault="00A7047C" w:rsidP="00F07178">
      <w:pPr>
        <w:pStyle w:val="Caption"/>
        <w:keepNext/>
        <w:spacing w:after="60"/>
        <w:jc w:val="both"/>
      </w:pPr>
      <w:fldSimple w:instr=" STYLEREF 1 \s ">
        <w:r w:rsidR="00225404">
          <w:rPr>
            <w:noProof/>
          </w:rPr>
          <w:t>4</w:t>
        </w:r>
      </w:fldSimple>
      <w:r w:rsidR="009779AD">
        <w:t>.</w:t>
      </w:r>
      <w:fldSimple w:instr=" SEQ Clause \* ARABIC \s 1 ">
        <w:r w:rsidR="00225404">
          <w:rPr>
            <w:noProof/>
          </w:rPr>
          <w:t>3</w:t>
        </w:r>
      </w:fldSimple>
      <w:r w:rsidR="009779AD">
        <w:t xml:space="preserve"> The effective dose is the sum of the doses obtained from assessment of relevant radiation exposure pathways:</w:t>
      </w:r>
    </w:p>
    <w:p w14:paraId="752C6392" w14:textId="77777777" w:rsidR="009779AD" w:rsidRDefault="009779AD" w:rsidP="00F07178">
      <w:pPr>
        <w:pStyle w:val="ListParagraph"/>
        <w:numPr>
          <w:ilvl w:val="0"/>
          <w:numId w:val="33"/>
        </w:numPr>
        <w:spacing w:after="60"/>
        <w:ind w:left="1077" w:hanging="720"/>
        <w:contextualSpacing w:val="0"/>
      </w:pPr>
      <w:r>
        <w:t>external gamma radiation</w:t>
      </w:r>
    </w:p>
    <w:p w14:paraId="752C6393" w14:textId="77777777" w:rsidR="009779AD" w:rsidRDefault="009779AD" w:rsidP="00F07178">
      <w:pPr>
        <w:pStyle w:val="ListParagraph"/>
        <w:numPr>
          <w:ilvl w:val="0"/>
          <w:numId w:val="33"/>
        </w:numPr>
        <w:spacing w:after="60"/>
        <w:ind w:left="1077" w:hanging="720"/>
        <w:contextualSpacing w:val="0"/>
      </w:pPr>
      <w:r>
        <w:t>ingestion of bush foods</w:t>
      </w:r>
    </w:p>
    <w:p w14:paraId="752C6394" w14:textId="77777777" w:rsidR="009779AD" w:rsidRDefault="009779AD" w:rsidP="00F07178">
      <w:pPr>
        <w:pStyle w:val="ListParagraph"/>
        <w:numPr>
          <w:ilvl w:val="0"/>
          <w:numId w:val="33"/>
        </w:numPr>
        <w:spacing w:after="60"/>
        <w:ind w:left="1077" w:hanging="720"/>
        <w:contextualSpacing w:val="0"/>
      </w:pPr>
      <w:r>
        <w:t>ingestion of water</w:t>
      </w:r>
    </w:p>
    <w:p w14:paraId="752C6395" w14:textId="77777777" w:rsidR="009779AD" w:rsidRDefault="009779AD" w:rsidP="00F07178">
      <w:pPr>
        <w:pStyle w:val="ListParagraph"/>
        <w:numPr>
          <w:ilvl w:val="0"/>
          <w:numId w:val="33"/>
        </w:numPr>
        <w:spacing w:after="60"/>
        <w:ind w:left="1077" w:hanging="720"/>
        <w:contextualSpacing w:val="0"/>
      </w:pPr>
      <w:r>
        <w:t>inhalation of long-lived alpha-emitting radionuclides in dust</w:t>
      </w:r>
    </w:p>
    <w:p w14:paraId="752C6396" w14:textId="77777777" w:rsidR="009779AD" w:rsidRDefault="009779AD" w:rsidP="00686BAD">
      <w:pPr>
        <w:pStyle w:val="ListParagraph"/>
        <w:numPr>
          <w:ilvl w:val="0"/>
          <w:numId w:val="33"/>
        </w:numPr>
        <w:ind w:left="1077" w:hanging="720"/>
      </w:pPr>
      <w:proofErr w:type="gramStart"/>
      <w:r>
        <w:t>inhalation</w:t>
      </w:r>
      <w:proofErr w:type="gramEnd"/>
      <w:r>
        <w:t xml:space="preserve"> of radon progeny.</w:t>
      </w:r>
    </w:p>
    <w:bookmarkStart w:id="4" w:name="_Ref482817210"/>
    <w:p w14:paraId="752C6397" w14:textId="1CF987EC" w:rsidR="009779AD" w:rsidRDefault="009779AD" w:rsidP="00686BAD">
      <w:pPr>
        <w:pStyle w:val="Caption"/>
        <w:jc w:val="both"/>
      </w:pPr>
      <w:r>
        <w:fldChar w:fldCharType="begin"/>
      </w:r>
      <w:r>
        <w:instrText xml:space="preserve"> STYLEREF 1 \s </w:instrText>
      </w:r>
      <w:r>
        <w:fldChar w:fldCharType="separate"/>
      </w:r>
      <w:r w:rsidR="00225404">
        <w:rPr>
          <w:noProof/>
        </w:rPr>
        <w:t>4</w:t>
      </w:r>
      <w:r>
        <w:fldChar w:fldCharType="end"/>
      </w:r>
      <w:r>
        <w:t>.</w:t>
      </w:r>
      <w:fldSimple w:instr=" SEQ Clause \* ARABIC \s 1 ">
        <w:r w:rsidR="00225404">
          <w:rPr>
            <w:noProof/>
          </w:rPr>
          <w:t>4</w:t>
        </w:r>
      </w:fldSimple>
      <w:bookmarkEnd w:id="4"/>
      <w:r>
        <w:t xml:space="preserve"> Effective dose to members of the public is as low as reasonably achievable if the best option to reduce radiation exposures of the public has been selected and implemented from the available options, after considering economic and societal factors.</w:t>
      </w:r>
    </w:p>
    <w:p w14:paraId="752C6398" w14:textId="1EAA4841" w:rsidR="009779AD" w:rsidRDefault="00A7047C" w:rsidP="00686BAD">
      <w:pPr>
        <w:jc w:val="both"/>
      </w:pPr>
      <w:fldSimple w:instr=" STYLEREF 1 \s ">
        <w:r w:rsidR="00225404">
          <w:rPr>
            <w:noProof/>
          </w:rPr>
          <w:t>4</w:t>
        </w:r>
      </w:fldSimple>
      <w:r w:rsidR="009779AD">
        <w:t>.</w:t>
      </w:r>
      <w:fldSimple w:instr=" SEQ Clause \* ARABIC \s 1 ">
        <w:r w:rsidR="00225404">
          <w:rPr>
            <w:noProof/>
          </w:rPr>
          <w:t>5</w:t>
        </w:r>
      </w:fldSimple>
      <w:r w:rsidR="009779AD">
        <w:t xml:space="preserve"> The dose c</w:t>
      </w:r>
      <w:r w:rsidR="008C7BE8">
        <w:t>onstraint and dose limit</w:t>
      </w:r>
      <w:r w:rsidR="0047567E">
        <w:t xml:space="preserve"> proposed in this standard</w:t>
      </w:r>
      <w:r w:rsidR="008C7BE8">
        <w:t xml:space="preserve"> align</w:t>
      </w:r>
      <w:r w:rsidR="009779AD">
        <w:t xml:space="preserve"> with values currently recommended by relevant international bodies (ICRP 2007, IAEA 2014) and by the most recently published and relevant Australian Standards, codes of practice and guidelines (ARPANSA 2005, 201</w:t>
      </w:r>
      <w:r w:rsidR="00F36679">
        <w:t>7</w:t>
      </w:r>
      <w:r w:rsidR="009779AD">
        <w:t>).</w:t>
      </w:r>
    </w:p>
    <w:p w14:paraId="752C6399" w14:textId="77777777" w:rsidR="0040044C" w:rsidRDefault="009476EB" w:rsidP="00686BAD">
      <w:pPr>
        <w:pStyle w:val="Heading2"/>
        <w:jc w:val="both"/>
      </w:pPr>
      <w:r>
        <w:t>Scientific evidence summary</w:t>
      </w:r>
    </w:p>
    <w:p w14:paraId="752C639A" w14:textId="77777777" w:rsidR="0040044C" w:rsidRDefault="0040044C" w:rsidP="00686BAD">
      <w:pPr>
        <w:jc w:val="both"/>
      </w:pPr>
      <w:r>
        <w:rPr>
          <w:szCs w:val="18"/>
        </w:rPr>
        <w:fldChar w:fldCharType="begin"/>
      </w:r>
      <w:r w:rsidR="00EE744B">
        <w:instrText xml:space="preserve"> STYLEREF 1 \s </w:instrText>
      </w:r>
      <w:r>
        <w:rPr>
          <w:szCs w:val="18"/>
        </w:rPr>
        <w:fldChar w:fldCharType="separate"/>
      </w:r>
      <w:r w:rsidR="00225404">
        <w:rPr>
          <w:noProof/>
        </w:rPr>
        <w:t>4</w:t>
      </w:r>
      <w:r>
        <w:rPr>
          <w:szCs w:val="18"/>
        </w:rPr>
        <w:fldChar w:fldCharType="end"/>
      </w:r>
      <w:r w:rsidR="00EE744B">
        <w:t>.</w:t>
      </w:r>
      <w:r>
        <w:rPr>
          <w:szCs w:val="18"/>
        </w:rPr>
        <w:fldChar w:fldCharType="begin"/>
      </w:r>
      <w:r w:rsidR="00EE744B">
        <w:instrText xml:space="preserve"> SEQ Clause \* ARABIC \s 1 </w:instrText>
      </w:r>
      <w:r>
        <w:rPr>
          <w:szCs w:val="18"/>
        </w:rPr>
        <w:fldChar w:fldCharType="separate"/>
      </w:r>
      <w:r w:rsidR="00225404">
        <w:rPr>
          <w:noProof/>
        </w:rPr>
        <w:t>6</w:t>
      </w:r>
      <w:r>
        <w:rPr>
          <w:szCs w:val="18"/>
        </w:rPr>
        <w:fldChar w:fldCharType="end"/>
      </w:r>
      <w:r w:rsidR="00747325">
        <w:t xml:space="preserve"> </w:t>
      </w:r>
      <w:r w:rsidR="008C7BE8">
        <w:t xml:space="preserve">The </w:t>
      </w:r>
      <w:r w:rsidR="00475733">
        <w:t xml:space="preserve">internationally </w:t>
      </w:r>
      <w:r w:rsidR="009476EB">
        <w:t>accepted system of radiological protection is summarised in ICRP (2007).</w:t>
      </w:r>
    </w:p>
    <w:p w14:paraId="752C639B" w14:textId="77777777" w:rsidR="009476EB" w:rsidRPr="00D73CE5" w:rsidRDefault="0040044C" w:rsidP="00686BAD">
      <w:pPr>
        <w:jc w:val="both"/>
      </w:pPr>
      <w:r>
        <w:rPr>
          <w:szCs w:val="18"/>
        </w:rPr>
        <w:fldChar w:fldCharType="begin"/>
      </w:r>
      <w:r w:rsidR="00EE744B">
        <w:instrText xml:space="preserve"> STYLEREF 1 \s </w:instrText>
      </w:r>
      <w:r>
        <w:rPr>
          <w:szCs w:val="18"/>
        </w:rPr>
        <w:fldChar w:fldCharType="separate"/>
      </w:r>
      <w:r w:rsidR="00225404">
        <w:rPr>
          <w:noProof/>
        </w:rPr>
        <w:t>4</w:t>
      </w:r>
      <w:r>
        <w:rPr>
          <w:szCs w:val="18"/>
        </w:rPr>
        <w:fldChar w:fldCharType="end"/>
      </w:r>
      <w:r w:rsidR="00EE744B">
        <w:t>.</w:t>
      </w:r>
      <w:r>
        <w:rPr>
          <w:szCs w:val="18"/>
        </w:rPr>
        <w:fldChar w:fldCharType="begin"/>
      </w:r>
      <w:r w:rsidR="00EE744B">
        <w:instrText xml:space="preserve"> SEQ Clause \* ARABIC \s 1 </w:instrText>
      </w:r>
      <w:r>
        <w:rPr>
          <w:szCs w:val="18"/>
        </w:rPr>
        <w:fldChar w:fldCharType="separate"/>
      </w:r>
      <w:r w:rsidR="00225404">
        <w:rPr>
          <w:noProof/>
        </w:rPr>
        <w:t>7</w:t>
      </w:r>
      <w:r>
        <w:rPr>
          <w:szCs w:val="18"/>
        </w:rPr>
        <w:fldChar w:fldCharType="end"/>
      </w:r>
      <w:r w:rsidR="00747325">
        <w:t xml:space="preserve"> </w:t>
      </w:r>
      <w:r w:rsidR="008C7BE8">
        <w:t>A</w:t>
      </w:r>
      <w:r w:rsidR="009476EB">
        <w:t xml:space="preserve">pplication </w:t>
      </w:r>
      <w:r w:rsidR="009476EB" w:rsidRPr="00FE17A2">
        <w:t xml:space="preserve">of </w:t>
      </w:r>
      <w:r w:rsidR="009476EB">
        <w:t xml:space="preserve">the </w:t>
      </w:r>
      <w:r w:rsidR="009476EB" w:rsidRPr="00FE17A2">
        <w:t xml:space="preserve">dose constraint and dose limit in the context of this </w:t>
      </w:r>
      <w:r w:rsidR="00494CC6">
        <w:t>R</w:t>
      </w:r>
      <w:r w:rsidR="009476EB" w:rsidRPr="00FE17A2">
        <w:t xml:space="preserve">ehabilitation </w:t>
      </w:r>
      <w:r w:rsidR="00494CC6">
        <w:t>S</w:t>
      </w:r>
      <w:r w:rsidR="009476EB" w:rsidRPr="00FE17A2">
        <w:t xml:space="preserve">tandard is summarised in </w:t>
      </w:r>
      <w:r w:rsidR="009476EB">
        <w:t>IAEA (2006)</w:t>
      </w:r>
      <w:r w:rsidR="009476EB" w:rsidRPr="00FE17A2">
        <w:t>.</w:t>
      </w:r>
    </w:p>
    <w:p w14:paraId="752C639C" w14:textId="77777777" w:rsidR="0040044C" w:rsidRDefault="009476EB" w:rsidP="00686BAD">
      <w:pPr>
        <w:pStyle w:val="Heading1"/>
        <w:jc w:val="both"/>
      </w:pPr>
      <w:r>
        <w:t>Future knowledge needs</w:t>
      </w:r>
    </w:p>
    <w:p w14:paraId="1755264E" w14:textId="5C5E136A" w:rsidR="004E7F9F" w:rsidRDefault="004E7F9F" w:rsidP="004E7F9F">
      <w:pPr>
        <w:jc w:val="both"/>
        <w:rPr>
          <w:rFonts w:cs="Arial"/>
          <w:noProof/>
        </w:rPr>
      </w:pPr>
      <w:r>
        <w:rPr>
          <w:rFonts w:cs="Arial"/>
          <w:noProof/>
        </w:rPr>
        <w:t>5</w:t>
      </w:r>
      <w:r w:rsidRPr="00CB39E6">
        <w:rPr>
          <w:rFonts w:cs="Arial"/>
          <w:noProof/>
        </w:rPr>
        <w:t xml:space="preserve">.1 Rehabilitation planning can only be based on the best available information at a given time, but this should not preclude the continual improvement of the knowledge base and its subsequent application where </w:t>
      </w:r>
      <w:r w:rsidR="00261F47">
        <w:rPr>
          <w:rFonts w:cs="Arial"/>
          <w:noProof/>
        </w:rPr>
        <w:t>directly relevant and possible.</w:t>
      </w:r>
    </w:p>
    <w:p w14:paraId="68B3FF82" w14:textId="08E27D99" w:rsidR="00261F47" w:rsidRPr="00CB39E6" w:rsidRDefault="00261F47" w:rsidP="004E7F9F">
      <w:pPr>
        <w:jc w:val="both"/>
        <w:rPr>
          <w:rFonts w:cs="Arial"/>
          <w:noProof/>
        </w:rPr>
      </w:pPr>
      <w:r>
        <w:rPr>
          <w:rFonts w:cs="Arial"/>
          <w:noProof/>
        </w:rPr>
        <w:t>5.2 No additional knowledge needs related to this rehabilitation standard have been identified.</w:t>
      </w:r>
    </w:p>
    <w:p w14:paraId="583BDE16" w14:textId="77777777" w:rsidR="004E7F9F" w:rsidRDefault="004E7F9F" w:rsidP="004E7F9F">
      <w:pPr>
        <w:pStyle w:val="Heading1"/>
        <w:jc w:val="both"/>
      </w:pPr>
      <w:r>
        <w:t>References</w:t>
      </w:r>
    </w:p>
    <w:p w14:paraId="752C63A3" w14:textId="07848837" w:rsidR="0040044C" w:rsidRDefault="009476EB" w:rsidP="00686BAD">
      <w:pPr>
        <w:jc w:val="both"/>
      </w:pPr>
      <w:r w:rsidRPr="007244E3">
        <w:t>ARPANSA 2005</w:t>
      </w:r>
      <w:r w:rsidR="00E65F5B">
        <w:t>.</w:t>
      </w:r>
      <w:r w:rsidRPr="007244E3">
        <w:t xml:space="preserve"> </w:t>
      </w:r>
      <w:r w:rsidR="00A20C52">
        <w:rPr>
          <w:i/>
        </w:rPr>
        <w:t>Code of practice for radiation protection and radioactive waste management in mining and mineral p</w:t>
      </w:r>
      <w:r w:rsidRPr="00593D26">
        <w:rPr>
          <w:i/>
        </w:rPr>
        <w:t>rocessing</w:t>
      </w:r>
      <w:r w:rsidR="00E65F5B">
        <w:t>.</w:t>
      </w:r>
      <w:r w:rsidRPr="007244E3">
        <w:t xml:space="preserve"> Radiation Protection Series Publication No. 9, ARPANSA, </w:t>
      </w:r>
      <w:r w:rsidR="009330ED" w:rsidRPr="009330ED">
        <w:t>Commonwealth of Australia</w:t>
      </w:r>
      <w:r w:rsidRPr="007244E3">
        <w:t>.</w:t>
      </w:r>
    </w:p>
    <w:p w14:paraId="20B4BC73" w14:textId="7229F5D9" w:rsidR="009330ED" w:rsidRDefault="009330ED" w:rsidP="00686BAD">
      <w:pPr>
        <w:jc w:val="both"/>
      </w:pPr>
      <w:r>
        <w:t>ARPANSA 2016</w:t>
      </w:r>
      <w:r w:rsidR="00E65F5B">
        <w:t>.</w:t>
      </w:r>
      <w:r>
        <w:t xml:space="preserve"> </w:t>
      </w:r>
      <w:r>
        <w:rPr>
          <w:i/>
        </w:rPr>
        <w:t>Code for radiation protection in planned exposure situations</w:t>
      </w:r>
      <w:r w:rsidR="00E65F5B">
        <w:t>.</w:t>
      </w:r>
      <w:r w:rsidRPr="009330ED">
        <w:t xml:space="preserve"> Radiation Protection Series Publication C-1, ARPANSA, Commonwealth of Australia.</w:t>
      </w:r>
    </w:p>
    <w:p w14:paraId="30828F83" w14:textId="0AA2422A" w:rsidR="00F36679" w:rsidRDefault="00F36679" w:rsidP="00686BAD">
      <w:pPr>
        <w:jc w:val="both"/>
      </w:pPr>
      <w:r>
        <w:t>ARPANSA 2017</w:t>
      </w:r>
      <w:r w:rsidR="00E65F5B">
        <w:t>.</w:t>
      </w:r>
      <w:r>
        <w:t xml:space="preserve"> </w:t>
      </w:r>
      <w:r w:rsidRPr="00593D26">
        <w:rPr>
          <w:i/>
        </w:rPr>
        <w:t xml:space="preserve">National </w:t>
      </w:r>
      <w:r>
        <w:rPr>
          <w:i/>
        </w:rPr>
        <w:t>directory for radiation p</w:t>
      </w:r>
      <w:r w:rsidRPr="00593D26">
        <w:rPr>
          <w:i/>
        </w:rPr>
        <w:t>rotection (including amendments 1–</w:t>
      </w:r>
      <w:r>
        <w:rPr>
          <w:i/>
        </w:rPr>
        <w:t>7</w:t>
      </w:r>
      <w:r w:rsidRPr="00593D26">
        <w:rPr>
          <w:i/>
        </w:rPr>
        <w:t>)</w:t>
      </w:r>
      <w:r w:rsidR="00E65F5B">
        <w:t>.</w:t>
      </w:r>
      <w:r>
        <w:t xml:space="preserve"> Radiation Protection Series Publication No. 6, </w:t>
      </w:r>
      <w:r w:rsidRPr="007244E3">
        <w:t xml:space="preserve">ARPANSA, </w:t>
      </w:r>
      <w:r>
        <w:t>Commonwealth of Australia</w:t>
      </w:r>
      <w:r w:rsidRPr="007244E3">
        <w:t>.</w:t>
      </w:r>
    </w:p>
    <w:p w14:paraId="752C63A5" w14:textId="7CD8A6DD" w:rsidR="0040044C" w:rsidRDefault="00770BB8" w:rsidP="00686BAD">
      <w:pPr>
        <w:jc w:val="both"/>
      </w:pPr>
      <w:r>
        <w:t>Australian Government 1999</w:t>
      </w:r>
      <w:r w:rsidR="00E65F5B">
        <w:t>.</w:t>
      </w:r>
      <w:r>
        <w:t xml:space="preserve"> </w:t>
      </w:r>
      <w:r w:rsidR="00A20C52">
        <w:rPr>
          <w:rStyle w:val="Emphasis"/>
        </w:rPr>
        <w:t>Environmental r</w:t>
      </w:r>
      <w:r w:rsidRPr="007D0136">
        <w:rPr>
          <w:rStyle w:val="Emphasis"/>
        </w:rPr>
        <w:t>equirements of the Com</w:t>
      </w:r>
      <w:r w:rsidR="00A20C52">
        <w:rPr>
          <w:rStyle w:val="Emphasis"/>
        </w:rPr>
        <w:t>monwealth of Australia for the operation of the Ranger uranium m</w:t>
      </w:r>
      <w:r w:rsidRPr="007D0136">
        <w:rPr>
          <w:rStyle w:val="Emphasis"/>
        </w:rPr>
        <w:t>ine</w:t>
      </w:r>
      <w:r w:rsidR="00E65F5B">
        <w:t>.</w:t>
      </w:r>
      <w:r>
        <w:t xml:space="preserve"> Australian Government </w:t>
      </w:r>
      <w:r w:rsidRPr="00E9276A">
        <w:t>Department of the Environment and Heritage</w:t>
      </w:r>
      <w:r>
        <w:t>, Canberra.</w:t>
      </w:r>
    </w:p>
    <w:p w14:paraId="752C63A6" w14:textId="25B4EC78" w:rsidR="0040044C" w:rsidRDefault="009476EB" w:rsidP="00686BAD">
      <w:pPr>
        <w:jc w:val="both"/>
      </w:pPr>
      <w:r>
        <w:t>IAEA 2006</w:t>
      </w:r>
      <w:r w:rsidR="00E65F5B">
        <w:t>.</w:t>
      </w:r>
      <w:r>
        <w:t xml:space="preserve"> </w:t>
      </w:r>
      <w:r w:rsidRPr="00593D26">
        <w:rPr>
          <w:i/>
        </w:rPr>
        <w:t>Release of sites from regulatory control on termination of practices</w:t>
      </w:r>
      <w:r w:rsidR="00E65F5B">
        <w:t>.</w:t>
      </w:r>
      <w:r>
        <w:t xml:space="preserve"> Safety Guide No. WS-G-5.1, I</w:t>
      </w:r>
      <w:r w:rsidR="00F674AD">
        <w:t>nternational Atomic Energy Agency</w:t>
      </w:r>
      <w:r>
        <w:t>, Vienna.</w:t>
      </w:r>
    </w:p>
    <w:p w14:paraId="752C63A7" w14:textId="44AF00C1" w:rsidR="0040044C" w:rsidRDefault="00F674AD" w:rsidP="00686BAD">
      <w:pPr>
        <w:jc w:val="both"/>
      </w:pPr>
      <w:r>
        <w:t>IAEA 2014</w:t>
      </w:r>
      <w:r w:rsidR="00E65F5B">
        <w:t>.</w:t>
      </w:r>
      <w:r w:rsidR="002F2CA6">
        <w:t xml:space="preserve"> </w:t>
      </w:r>
      <w:r w:rsidR="002F2CA6" w:rsidRPr="00593D26">
        <w:rPr>
          <w:i/>
        </w:rPr>
        <w:t>Radiation protection an</w:t>
      </w:r>
      <w:r w:rsidR="00593D26">
        <w:rPr>
          <w:i/>
        </w:rPr>
        <w:t>d safety of radiation sources: i</w:t>
      </w:r>
      <w:r w:rsidR="002F2CA6" w:rsidRPr="00593D26">
        <w:rPr>
          <w:i/>
        </w:rPr>
        <w:t>nter</w:t>
      </w:r>
      <w:r w:rsidR="00AC6575" w:rsidRPr="00593D26">
        <w:rPr>
          <w:i/>
        </w:rPr>
        <w:t>national basic safety standards</w:t>
      </w:r>
      <w:r w:rsidR="00E65F5B">
        <w:t>.</w:t>
      </w:r>
      <w:r w:rsidR="002F2CA6">
        <w:t xml:space="preserve"> General Safety Requirements Part 3, International Atomic Energy Agency, Vienna.</w:t>
      </w:r>
    </w:p>
    <w:p w14:paraId="752C63A8" w14:textId="728D596B" w:rsidR="0040044C" w:rsidRDefault="009476EB" w:rsidP="00686BAD">
      <w:pPr>
        <w:jc w:val="both"/>
      </w:pPr>
      <w:r w:rsidRPr="00BB20CF">
        <w:t>ICRP 2006</w:t>
      </w:r>
      <w:r w:rsidR="00E65F5B">
        <w:t xml:space="preserve">. </w:t>
      </w:r>
      <w:r w:rsidRPr="00BB20CF">
        <w:t>Assessing dose of the representative person for the purpose of radiation protection of the public and the optimisation of radiological protection: broadening the process</w:t>
      </w:r>
      <w:r w:rsidR="00E65F5B">
        <w:t>.</w:t>
      </w:r>
      <w:r w:rsidRPr="00BB20CF">
        <w:t xml:space="preserve"> ICRP Publication 101, </w:t>
      </w:r>
      <w:r w:rsidRPr="00AC6575">
        <w:rPr>
          <w:i/>
        </w:rPr>
        <w:t>Annals of the ICRP</w:t>
      </w:r>
      <w:r w:rsidRPr="00BB20CF">
        <w:t xml:space="preserve"> 36(3)</w:t>
      </w:r>
      <w:r w:rsidR="00E65F5B">
        <w:t>,</w:t>
      </w:r>
      <w:r w:rsidR="004C5C4C">
        <w:t xml:space="preserve"> </w:t>
      </w:r>
      <w:r w:rsidR="004C5C4C" w:rsidRPr="004C5C4C">
        <w:t>vii-viii, 5-62</w:t>
      </w:r>
      <w:r w:rsidRPr="00BB20CF">
        <w:t>.</w:t>
      </w:r>
    </w:p>
    <w:p w14:paraId="752C63A9" w14:textId="73305A70" w:rsidR="009510CC" w:rsidRPr="009476EB" w:rsidRDefault="009476EB" w:rsidP="00686BAD">
      <w:pPr>
        <w:jc w:val="both"/>
      </w:pPr>
      <w:r>
        <w:t>ICRP 2007</w:t>
      </w:r>
      <w:r w:rsidR="00E65F5B">
        <w:t>.</w:t>
      </w:r>
      <w:r>
        <w:t xml:space="preserve"> </w:t>
      </w:r>
      <w:r w:rsidR="00E65F5B">
        <w:t>T</w:t>
      </w:r>
      <w:r>
        <w:t>he 2007 recommendations of the International Commission on Radiological Protection</w:t>
      </w:r>
      <w:r w:rsidR="00E65F5B">
        <w:t>.</w:t>
      </w:r>
      <w:r>
        <w:t xml:space="preserve"> ICRP Publication 103, </w:t>
      </w:r>
      <w:r w:rsidRPr="00AC6575">
        <w:rPr>
          <w:i/>
        </w:rPr>
        <w:t>Annals of the ICRP</w:t>
      </w:r>
      <w:r w:rsidRPr="00492064">
        <w:t xml:space="preserve"> 37</w:t>
      </w:r>
      <w:r w:rsidR="00E65F5B">
        <w:t>,</w:t>
      </w:r>
      <w:r w:rsidR="00FA6D49">
        <w:t xml:space="preserve"> </w:t>
      </w:r>
      <w:r w:rsidRPr="00492064">
        <w:t>2–4.</w:t>
      </w:r>
    </w:p>
    <w:sectPr w:rsidR="009510CC" w:rsidRPr="009476EB" w:rsidSect="00AD5844">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776D" w14:textId="77777777" w:rsidR="00603EC5" w:rsidRDefault="00603EC5">
      <w:r>
        <w:separator/>
      </w:r>
    </w:p>
  </w:endnote>
  <w:endnote w:type="continuationSeparator" w:id="0">
    <w:p w14:paraId="39D07F15" w14:textId="77777777" w:rsidR="00603EC5" w:rsidRDefault="00603EC5">
      <w:r>
        <w:continuationSeparator/>
      </w:r>
    </w:p>
  </w:endnote>
  <w:endnote w:type="continuationNotice" w:id="1">
    <w:p w14:paraId="5F5F73E2" w14:textId="77777777" w:rsidR="00CB29BB" w:rsidRDefault="00CB2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63B2" w14:textId="77777777" w:rsidR="00603EC5" w:rsidRDefault="00603EC5">
    <w:pPr>
      <w:pStyle w:val="Foo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54653" w14:textId="77777777" w:rsidR="003650A8" w:rsidRDefault="003650A8" w:rsidP="003650A8">
    <w:pPr>
      <w:pStyle w:val="Footer"/>
      <w:jc w:val="left"/>
      <w:rPr>
        <w:i/>
        <w:sz w:val="18"/>
      </w:rPr>
    </w:pPr>
    <w:r>
      <w:rPr>
        <w:i/>
        <w:sz w:val="18"/>
      </w:rPr>
      <w:t>Version 1</w:t>
    </w:r>
  </w:p>
  <w:p w14:paraId="752C63B3" w14:textId="0A000DFF" w:rsidR="00603EC5" w:rsidRPr="003650A8" w:rsidRDefault="003650A8" w:rsidP="003650A8">
    <w:pPr>
      <w:pStyle w:val="Footer"/>
      <w:tabs>
        <w:tab w:val="right" w:pos="8222"/>
      </w:tabs>
      <w:jc w:val="left"/>
    </w:pPr>
    <w:r>
      <w:rPr>
        <w:i/>
        <w:sz w:val="18"/>
      </w:rPr>
      <w:t>September 2018</w:t>
    </w:r>
    <w:r>
      <w:rPr>
        <w:sz w:val="18"/>
      </w:rPr>
      <w:t xml:space="preserve"> </w:t>
    </w:r>
    <w:r>
      <w:tab/>
    </w:r>
    <w:r>
      <w:fldChar w:fldCharType="begin"/>
    </w:r>
    <w:r>
      <w:instrText>PAGE</w:instrText>
    </w:r>
    <w:r>
      <w:fldChar w:fldCharType="separate"/>
    </w:r>
    <w:r w:rsidR="000723BA">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C9734" w14:textId="77777777" w:rsidR="003650A8" w:rsidRDefault="003650A8" w:rsidP="003650A8">
    <w:pPr>
      <w:pStyle w:val="Footer"/>
      <w:jc w:val="left"/>
      <w:rPr>
        <w:i/>
        <w:sz w:val="18"/>
      </w:rPr>
    </w:pPr>
    <w:r>
      <w:rPr>
        <w:i/>
        <w:sz w:val="18"/>
      </w:rPr>
      <w:t>Version 1</w:t>
    </w:r>
  </w:p>
  <w:p w14:paraId="752C63B5" w14:textId="33AE0226" w:rsidR="00603EC5" w:rsidRPr="003650A8" w:rsidRDefault="003650A8" w:rsidP="003650A8">
    <w:pPr>
      <w:pStyle w:val="Footer"/>
      <w:tabs>
        <w:tab w:val="right" w:pos="8222"/>
      </w:tabs>
      <w:jc w:val="left"/>
    </w:pPr>
    <w:r>
      <w:rPr>
        <w:i/>
        <w:sz w:val="18"/>
      </w:rPr>
      <w:t>September 2018</w:t>
    </w:r>
    <w:r>
      <w:rPr>
        <w:sz w:val="18"/>
      </w:rPr>
      <w:t xml:space="preserve"> </w:t>
    </w:r>
    <w:r>
      <w:tab/>
    </w:r>
    <w:r>
      <w:fldChar w:fldCharType="begin"/>
    </w:r>
    <w:r>
      <w:instrText>PAGE</w:instrText>
    </w:r>
    <w:r>
      <w:fldChar w:fldCharType="separate"/>
    </w:r>
    <w:r w:rsidR="000723B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2FD6" w14:textId="77777777" w:rsidR="00603EC5" w:rsidRDefault="00603EC5">
      <w:r>
        <w:separator/>
      </w:r>
    </w:p>
  </w:footnote>
  <w:footnote w:type="continuationSeparator" w:id="0">
    <w:p w14:paraId="4C8BEC43" w14:textId="77777777" w:rsidR="00603EC5" w:rsidRDefault="00603EC5">
      <w:r>
        <w:continuationSeparator/>
      </w:r>
    </w:p>
  </w:footnote>
  <w:footnote w:type="continuationNotice" w:id="1">
    <w:p w14:paraId="530CF99D" w14:textId="77777777" w:rsidR="00CB29BB" w:rsidRDefault="00CB29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63B0" w14:textId="77777777" w:rsidR="00603EC5" w:rsidRDefault="00603EC5">
    <w:pPr>
      <w:pStyle w:val="Header"/>
      <w:jc w:val="right"/>
      <w:rPr>
        <w:smallCap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7B57B" w14:textId="77777777" w:rsidR="000723BA" w:rsidRDefault="00072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63B4" w14:textId="77777777" w:rsidR="00603EC5" w:rsidRDefault="00603EC5" w:rsidP="00AD5844">
    <w:pPr>
      <w:pStyle w:val="Header"/>
      <w:rPr>
        <w:rFonts w:ascii="Arial" w:hAnsi="Arial"/>
        <w:sz w:val="14"/>
      </w:rPr>
    </w:pPr>
    <w:r>
      <w:rPr>
        <w:noProof/>
        <w:lang w:eastAsia="en-AU"/>
      </w:rPr>
      <w:drawing>
        <wp:inline distT="0" distB="0" distL="0" distR="0" wp14:anchorId="752C63B7" wp14:editId="752C63B8">
          <wp:extent cx="3962107" cy="1083212"/>
          <wp:effectExtent l="19050" t="0" r="29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t="6098"/>
                  <a:stretch>
                    <a:fillRect/>
                  </a:stretch>
                </pic:blipFill>
                <pic:spPr bwMode="auto">
                  <a:xfrm>
                    <a:off x="0" y="0"/>
                    <a:ext cx="3962107" cy="10832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AAB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9AE8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087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7889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92D4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1CE9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FED1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088B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207D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9A3A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B06F7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D21168"/>
    <w:multiLevelType w:val="multilevel"/>
    <w:tmpl w:val="5B7AE74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4700DE"/>
    <w:multiLevelType w:val="multilevel"/>
    <w:tmpl w:val="3BBAB414"/>
    <w:lvl w:ilvl="0">
      <w:start w:val="1"/>
      <w:numFmt w:val="lowerRoman"/>
      <w:pStyle w:val="ListNumber"/>
      <w:lvlText w:val="%1)"/>
      <w:lvlJc w:val="left"/>
      <w:pPr>
        <w:ind w:left="360" w:hanging="360"/>
      </w:pPr>
      <w:rPr>
        <w:rFonts w:hint="default"/>
        <w:b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16DEA"/>
    <w:multiLevelType w:val="hybridMultilevel"/>
    <w:tmpl w:val="04404862"/>
    <w:lvl w:ilvl="0" w:tplc="78AA7804">
      <w:start w:val="1"/>
      <w:numFmt w:val="bullet"/>
      <w:lvlText w:val=""/>
      <w:lvlJc w:val="left"/>
      <w:pPr>
        <w:ind w:left="1512" w:hanging="360"/>
      </w:pPr>
      <w:rPr>
        <w:rFonts w:ascii="Symbol" w:hAnsi="Symbol" w:hint="default"/>
      </w:rPr>
    </w:lvl>
    <w:lvl w:ilvl="1" w:tplc="B65A1826" w:tentative="1">
      <w:start w:val="1"/>
      <w:numFmt w:val="bullet"/>
      <w:lvlText w:val="o"/>
      <w:lvlJc w:val="left"/>
      <w:pPr>
        <w:ind w:left="2232" w:hanging="360"/>
      </w:pPr>
      <w:rPr>
        <w:rFonts w:ascii="Courier New" w:hAnsi="Courier New" w:cs="Courier New" w:hint="default"/>
      </w:rPr>
    </w:lvl>
    <w:lvl w:ilvl="2" w:tplc="E290556C" w:tentative="1">
      <w:start w:val="1"/>
      <w:numFmt w:val="bullet"/>
      <w:lvlText w:val=""/>
      <w:lvlJc w:val="left"/>
      <w:pPr>
        <w:ind w:left="2952" w:hanging="360"/>
      </w:pPr>
      <w:rPr>
        <w:rFonts w:ascii="Wingdings" w:hAnsi="Wingdings" w:hint="default"/>
      </w:rPr>
    </w:lvl>
    <w:lvl w:ilvl="3" w:tplc="89BC8374" w:tentative="1">
      <w:start w:val="1"/>
      <w:numFmt w:val="bullet"/>
      <w:lvlText w:val=""/>
      <w:lvlJc w:val="left"/>
      <w:pPr>
        <w:ind w:left="3672" w:hanging="360"/>
      </w:pPr>
      <w:rPr>
        <w:rFonts w:ascii="Symbol" w:hAnsi="Symbol" w:hint="default"/>
      </w:rPr>
    </w:lvl>
    <w:lvl w:ilvl="4" w:tplc="72C8D754" w:tentative="1">
      <w:start w:val="1"/>
      <w:numFmt w:val="bullet"/>
      <w:lvlText w:val="o"/>
      <w:lvlJc w:val="left"/>
      <w:pPr>
        <w:ind w:left="4392" w:hanging="360"/>
      </w:pPr>
      <w:rPr>
        <w:rFonts w:ascii="Courier New" w:hAnsi="Courier New" w:cs="Courier New" w:hint="default"/>
      </w:rPr>
    </w:lvl>
    <w:lvl w:ilvl="5" w:tplc="45A66A9C" w:tentative="1">
      <w:start w:val="1"/>
      <w:numFmt w:val="bullet"/>
      <w:lvlText w:val=""/>
      <w:lvlJc w:val="left"/>
      <w:pPr>
        <w:ind w:left="5112" w:hanging="360"/>
      </w:pPr>
      <w:rPr>
        <w:rFonts w:ascii="Wingdings" w:hAnsi="Wingdings" w:hint="default"/>
      </w:rPr>
    </w:lvl>
    <w:lvl w:ilvl="6" w:tplc="6726B98C" w:tentative="1">
      <w:start w:val="1"/>
      <w:numFmt w:val="bullet"/>
      <w:lvlText w:val=""/>
      <w:lvlJc w:val="left"/>
      <w:pPr>
        <w:ind w:left="5832" w:hanging="360"/>
      </w:pPr>
      <w:rPr>
        <w:rFonts w:ascii="Symbol" w:hAnsi="Symbol" w:hint="default"/>
      </w:rPr>
    </w:lvl>
    <w:lvl w:ilvl="7" w:tplc="C560A3F2" w:tentative="1">
      <w:start w:val="1"/>
      <w:numFmt w:val="bullet"/>
      <w:lvlText w:val="o"/>
      <w:lvlJc w:val="left"/>
      <w:pPr>
        <w:ind w:left="6552" w:hanging="360"/>
      </w:pPr>
      <w:rPr>
        <w:rFonts w:ascii="Courier New" w:hAnsi="Courier New" w:cs="Courier New" w:hint="default"/>
      </w:rPr>
    </w:lvl>
    <w:lvl w:ilvl="8" w:tplc="0A42D82E" w:tentative="1">
      <w:start w:val="1"/>
      <w:numFmt w:val="bullet"/>
      <w:lvlText w:val=""/>
      <w:lvlJc w:val="left"/>
      <w:pPr>
        <w:ind w:left="7272" w:hanging="360"/>
      </w:pPr>
      <w:rPr>
        <w:rFonts w:ascii="Wingdings" w:hAnsi="Wingdings" w:hint="default"/>
      </w:rPr>
    </w:lvl>
  </w:abstractNum>
  <w:abstractNum w:abstractNumId="14" w15:restartNumberingAfterBreak="0">
    <w:nsid w:val="44DF6AE6"/>
    <w:multiLevelType w:val="hybridMultilevel"/>
    <w:tmpl w:val="B24EE78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5" w15:restartNumberingAfterBreak="0">
    <w:nsid w:val="4C05177C"/>
    <w:multiLevelType w:val="hybridMultilevel"/>
    <w:tmpl w:val="3166A77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6" w15:restartNumberingAfterBreak="0">
    <w:nsid w:val="50982936"/>
    <w:multiLevelType w:val="hybridMultilevel"/>
    <w:tmpl w:val="B824CC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4337D"/>
    <w:multiLevelType w:val="hybridMultilevel"/>
    <w:tmpl w:val="4FAC12CC"/>
    <w:lvl w:ilvl="0" w:tplc="2F704094">
      <w:start w:val="1"/>
      <w:numFmt w:val="bullet"/>
      <w:lvlText w:val=""/>
      <w:lvlJc w:val="left"/>
      <w:pPr>
        <w:tabs>
          <w:tab w:val="num" w:pos="360"/>
        </w:tabs>
        <w:ind w:left="357" w:hanging="357"/>
      </w:pPr>
      <w:rPr>
        <w:rFonts w:ascii="Symbol" w:hAnsi="Symbol" w:hint="default"/>
      </w:rPr>
    </w:lvl>
    <w:lvl w:ilvl="1" w:tplc="04090003">
      <w:start w:val="1"/>
      <w:numFmt w:val="bullet"/>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2281B"/>
    <w:multiLevelType w:val="hybridMultilevel"/>
    <w:tmpl w:val="7AE42152"/>
    <w:lvl w:ilvl="0" w:tplc="805E3A28">
      <w:start w:val="1"/>
      <w:numFmt w:val="bullet"/>
      <w:lvlText w:val=""/>
      <w:lvlJc w:val="left"/>
      <w:pPr>
        <w:ind w:left="1512" w:hanging="360"/>
      </w:pPr>
      <w:rPr>
        <w:rFonts w:ascii="Symbol" w:hAnsi="Symbol" w:hint="default"/>
      </w:rPr>
    </w:lvl>
    <w:lvl w:ilvl="1" w:tplc="A6FCB9A4"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15:restartNumberingAfterBreak="0">
    <w:nsid w:val="6FD516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4B5B03"/>
    <w:multiLevelType w:val="hybridMultilevel"/>
    <w:tmpl w:val="0E564588"/>
    <w:lvl w:ilvl="0" w:tplc="33BE6700">
      <w:start w:val="1"/>
      <w:numFmt w:val="decimal"/>
      <w:lvlText w:val="%1"/>
      <w:lvlJc w:val="left"/>
      <w:pPr>
        <w:tabs>
          <w:tab w:val="num" w:pos="360"/>
        </w:tabs>
        <w:ind w:left="360" w:hanging="360"/>
      </w:pPr>
      <w:rPr>
        <w:rFonts w:hint="default"/>
      </w:rPr>
    </w:lvl>
    <w:lvl w:ilvl="1" w:tplc="F822C2C2" w:tentative="1">
      <w:start w:val="1"/>
      <w:numFmt w:val="lowerLetter"/>
      <w:lvlText w:val="%2."/>
      <w:lvlJc w:val="left"/>
      <w:pPr>
        <w:tabs>
          <w:tab w:val="num" w:pos="1440"/>
        </w:tabs>
        <w:ind w:left="1440" w:hanging="360"/>
      </w:pPr>
    </w:lvl>
    <w:lvl w:ilvl="2" w:tplc="31B42AD2" w:tentative="1">
      <w:start w:val="1"/>
      <w:numFmt w:val="lowerRoman"/>
      <w:lvlText w:val="%3."/>
      <w:lvlJc w:val="right"/>
      <w:pPr>
        <w:tabs>
          <w:tab w:val="num" w:pos="2160"/>
        </w:tabs>
        <w:ind w:left="2160" w:hanging="180"/>
      </w:pPr>
    </w:lvl>
    <w:lvl w:ilvl="3" w:tplc="3E20A192" w:tentative="1">
      <w:start w:val="1"/>
      <w:numFmt w:val="decimal"/>
      <w:lvlText w:val="%4."/>
      <w:lvlJc w:val="left"/>
      <w:pPr>
        <w:tabs>
          <w:tab w:val="num" w:pos="2880"/>
        </w:tabs>
        <w:ind w:left="2880" w:hanging="360"/>
      </w:pPr>
    </w:lvl>
    <w:lvl w:ilvl="4" w:tplc="EAAC6DBA" w:tentative="1">
      <w:start w:val="1"/>
      <w:numFmt w:val="lowerLetter"/>
      <w:lvlText w:val="%5."/>
      <w:lvlJc w:val="left"/>
      <w:pPr>
        <w:tabs>
          <w:tab w:val="num" w:pos="3600"/>
        </w:tabs>
        <w:ind w:left="3600" w:hanging="360"/>
      </w:pPr>
    </w:lvl>
    <w:lvl w:ilvl="5" w:tplc="D4262FE0" w:tentative="1">
      <w:start w:val="1"/>
      <w:numFmt w:val="lowerRoman"/>
      <w:lvlText w:val="%6."/>
      <w:lvlJc w:val="right"/>
      <w:pPr>
        <w:tabs>
          <w:tab w:val="num" w:pos="4320"/>
        </w:tabs>
        <w:ind w:left="4320" w:hanging="180"/>
      </w:pPr>
    </w:lvl>
    <w:lvl w:ilvl="6" w:tplc="FFA03292" w:tentative="1">
      <w:start w:val="1"/>
      <w:numFmt w:val="decimal"/>
      <w:lvlText w:val="%7."/>
      <w:lvlJc w:val="left"/>
      <w:pPr>
        <w:tabs>
          <w:tab w:val="num" w:pos="5040"/>
        </w:tabs>
        <w:ind w:left="5040" w:hanging="360"/>
      </w:pPr>
    </w:lvl>
    <w:lvl w:ilvl="7" w:tplc="9650FFCA" w:tentative="1">
      <w:start w:val="1"/>
      <w:numFmt w:val="lowerLetter"/>
      <w:lvlText w:val="%8."/>
      <w:lvlJc w:val="left"/>
      <w:pPr>
        <w:tabs>
          <w:tab w:val="num" w:pos="5760"/>
        </w:tabs>
        <w:ind w:left="5760" w:hanging="360"/>
      </w:pPr>
    </w:lvl>
    <w:lvl w:ilvl="8" w:tplc="94DE7138"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0"/>
  </w:num>
  <w:num w:numId="4">
    <w:abstractNumId w:val="20"/>
  </w:num>
  <w:num w:numId="5">
    <w:abstractNumId w:val="20"/>
  </w:num>
  <w:num w:numId="6">
    <w:abstractNumId w:val="20"/>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6"/>
  </w:num>
  <w:num w:numId="14">
    <w:abstractNumId w:val="17"/>
  </w:num>
  <w:num w:numId="15">
    <w:abstractNumId w:val="20"/>
  </w:num>
  <w:num w:numId="16">
    <w:abstractNumId w:val="16"/>
  </w:num>
  <w:num w:numId="17">
    <w:abstractNumId w:val="17"/>
  </w:num>
  <w:num w:numId="18">
    <w:abstractNumId w:val="20"/>
  </w:num>
  <w:num w:numId="19">
    <w:abstractNumId w:val="16"/>
  </w:num>
  <w:num w:numId="20">
    <w:abstractNumId w:val="17"/>
  </w:num>
  <w:num w:numId="21">
    <w:abstractNumId w:val="20"/>
  </w:num>
  <w:num w:numId="22">
    <w:abstractNumId w:val="19"/>
  </w:num>
  <w:num w:numId="23">
    <w:abstractNumId w:val="18"/>
  </w:num>
  <w:num w:numId="24">
    <w:abstractNumId w:val="14"/>
  </w:num>
  <w:num w:numId="25">
    <w:abstractNumId w:val="13"/>
  </w:num>
  <w:num w:numId="26">
    <w:abstractNumId w:val="15"/>
  </w:num>
  <w:num w:numId="27">
    <w:abstractNumId w:val="11"/>
  </w:num>
  <w:num w:numId="28">
    <w:abstractNumId w:val="0"/>
  </w:num>
  <w:num w:numId="29">
    <w:abstractNumId w:val="1"/>
  </w:num>
  <w:num w:numId="30">
    <w:abstractNumId w:val="2"/>
  </w:num>
  <w:num w:numId="31">
    <w:abstractNumId w:val="3"/>
  </w:num>
  <w:num w:numId="32">
    <w:abstractNumId w:val="4"/>
  </w:num>
  <w:num w:numId="33">
    <w:abstractNumId w:val="12"/>
  </w:num>
  <w:num w:numId="34">
    <w:abstractNumId w:val="5"/>
  </w:num>
  <w:num w:numId="35">
    <w:abstractNumId w:val="6"/>
  </w:num>
  <w:num w:numId="36">
    <w:abstractNumId w:val="7"/>
  </w:num>
  <w:num w:numId="37">
    <w:abstractNumId w:val="8"/>
  </w:num>
  <w:num w:numId="38">
    <w:abstractNumId w:val="10"/>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57"/>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FE"/>
    <w:rsid w:val="00000C74"/>
    <w:rsid w:val="00000C98"/>
    <w:rsid w:val="00004979"/>
    <w:rsid w:val="00006C0E"/>
    <w:rsid w:val="0001070F"/>
    <w:rsid w:val="00011576"/>
    <w:rsid w:val="0001589D"/>
    <w:rsid w:val="00017B14"/>
    <w:rsid w:val="00017DB7"/>
    <w:rsid w:val="00017F1D"/>
    <w:rsid w:val="00021BF4"/>
    <w:rsid w:val="0002272C"/>
    <w:rsid w:val="000249A0"/>
    <w:rsid w:val="00024E5C"/>
    <w:rsid w:val="00027F14"/>
    <w:rsid w:val="0003782C"/>
    <w:rsid w:val="000404F9"/>
    <w:rsid w:val="00040D87"/>
    <w:rsid w:val="00042CFA"/>
    <w:rsid w:val="00046C14"/>
    <w:rsid w:val="00050B13"/>
    <w:rsid w:val="000518C7"/>
    <w:rsid w:val="00053AC8"/>
    <w:rsid w:val="0005479D"/>
    <w:rsid w:val="00064E84"/>
    <w:rsid w:val="000669BE"/>
    <w:rsid w:val="00066C4E"/>
    <w:rsid w:val="000713C6"/>
    <w:rsid w:val="000719CA"/>
    <w:rsid w:val="000723BA"/>
    <w:rsid w:val="00072ED4"/>
    <w:rsid w:val="00075939"/>
    <w:rsid w:val="00076C75"/>
    <w:rsid w:val="00077294"/>
    <w:rsid w:val="000845D9"/>
    <w:rsid w:val="00085761"/>
    <w:rsid w:val="00087931"/>
    <w:rsid w:val="00096C0C"/>
    <w:rsid w:val="00097528"/>
    <w:rsid w:val="000A2B5B"/>
    <w:rsid w:val="000A465B"/>
    <w:rsid w:val="000B2922"/>
    <w:rsid w:val="000B29C9"/>
    <w:rsid w:val="000B2D97"/>
    <w:rsid w:val="000B2EEC"/>
    <w:rsid w:val="000B3732"/>
    <w:rsid w:val="000B3912"/>
    <w:rsid w:val="000B545B"/>
    <w:rsid w:val="000B7847"/>
    <w:rsid w:val="000C092F"/>
    <w:rsid w:val="000C0E75"/>
    <w:rsid w:val="000C571C"/>
    <w:rsid w:val="000C6829"/>
    <w:rsid w:val="000C6BFF"/>
    <w:rsid w:val="000C7914"/>
    <w:rsid w:val="000D11B6"/>
    <w:rsid w:val="000E1375"/>
    <w:rsid w:val="000E4D77"/>
    <w:rsid w:val="000E50A5"/>
    <w:rsid w:val="000E538A"/>
    <w:rsid w:val="000E58C4"/>
    <w:rsid w:val="000E5FAB"/>
    <w:rsid w:val="000E65F5"/>
    <w:rsid w:val="000E76C9"/>
    <w:rsid w:val="000E7C07"/>
    <w:rsid w:val="000F0830"/>
    <w:rsid w:val="000F1BFE"/>
    <w:rsid w:val="000F2976"/>
    <w:rsid w:val="000F5233"/>
    <w:rsid w:val="001036C0"/>
    <w:rsid w:val="00104A4F"/>
    <w:rsid w:val="00105CE6"/>
    <w:rsid w:val="00110195"/>
    <w:rsid w:val="00111997"/>
    <w:rsid w:val="0011217A"/>
    <w:rsid w:val="00113765"/>
    <w:rsid w:val="0011436C"/>
    <w:rsid w:val="00115031"/>
    <w:rsid w:val="001214C4"/>
    <w:rsid w:val="00123CF8"/>
    <w:rsid w:val="0012431F"/>
    <w:rsid w:val="00125327"/>
    <w:rsid w:val="00125F0A"/>
    <w:rsid w:val="0012678B"/>
    <w:rsid w:val="001269FC"/>
    <w:rsid w:val="001270F4"/>
    <w:rsid w:val="00134186"/>
    <w:rsid w:val="00134695"/>
    <w:rsid w:val="00134D9F"/>
    <w:rsid w:val="00134F39"/>
    <w:rsid w:val="00142D27"/>
    <w:rsid w:val="001431F1"/>
    <w:rsid w:val="00145731"/>
    <w:rsid w:val="001460DD"/>
    <w:rsid w:val="0015352B"/>
    <w:rsid w:val="00154A5E"/>
    <w:rsid w:val="00154ECC"/>
    <w:rsid w:val="00157348"/>
    <w:rsid w:val="001601EF"/>
    <w:rsid w:val="00160A95"/>
    <w:rsid w:val="00163EEA"/>
    <w:rsid w:val="00164DE6"/>
    <w:rsid w:val="001656AC"/>
    <w:rsid w:val="0016597F"/>
    <w:rsid w:val="00165ABA"/>
    <w:rsid w:val="00176891"/>
    <w:rsid w:val="00180D27"/>
    <w:rsid w:val="0019142D"/>
    <w:rsid w:val="00191FF6"/>
    <w:rsid w:val="001A2487"/>
    <w:rsid w:val="001A4E41"/>
    <w:rsid w:val="001A7136"/>
    <w:rsid w:val="001B053F"/>
    <w:rsid w:val="001B09BD"/>
    <w:rsid w:val="001B78A2"/>
    <w:rsid w:val="001B7E04"/>
    <w:rsid w:val="001C0E26"/>
    <w:rsid w:val="001C1173"/>
    <w:rsid w:val="001C2362"/>
    <w:rsid w:val="001C3301"/>
    <w:rsid w:val="001C3A3E"/>
    <w:rsid w:val="001C4EE1"/>
    <w:rsid w:val="001C6950"/>
    <w:rsid w:val="001C7CE0"/>
    <w:rsid w:val="001D302B"/>
    <w:rsid w:val="001D4CDA"/>
    <w:rsid w:val="001D589D"/>
    <w:rsid w:val="001D61DA"/>
    <w:rsid w:val="001E2550"/>
    <w:rsid w:val="001E300A"/>
    <w:rsid w:val="001E357E"/>
    <w:rsid w:val="001E6A03"/>
    <w:rsid w:val="001F4AA1"/>
    <w:rsid w:val="00204B37"/>
    <w:rsid w:val="00210645"/>
    <w:rsid w:val="00211FB4"/>
    <w:rsid w:val="00213B63"/>
    <w:rsid w:val="00213B6C"/>
    <w:rsid w:val="00214161"/>
    <w:rsid w:val="002142E4"/>
    <w:rsid w:val="0021551B"/>
    <w:rsid w:val="002156A7"/>
    <w:rsid w:val="00215B62"/>
    <w:rsid w:val="00217146"/>
    <w:rsid w:val="00221233"/>
    <w:rsid w:val="00222BE9"/>
    <w:rsid w:val="00223FBD"/>
    <w:rsid w:val="002243E6"/>
    <w:rsid w:val="002245D8"/>
    <w:rsid w:val="00225404"/>
    <w:rsid w:val="00226125"/>
    <w:rsid w:val="00226DCA"/>
    <w:rsid w:val="00226F5A"/>
    <w:rsid w:val="00231192"/>
    <w:rsid w:val="002326AF"/>
    <w:rsid w:val="00233DF2"/>
    <w:rsid w:val="00235C96"/>
    <w:rsid w:val="00235E84"/>
    <w:rsid w:val="00235F26"/>
    <w:rsid w:val="00235F94"/>
    <w:rsid w:val="00240680"/>
    <w:rsid w:val="00243311"/>
    <w:rsid w:val="002448D0"/>
    <w:rsid w:val="00245C83"/>
    <w:rsid w:val="00246848"/>
    <w:rsid w:val="0025118E"/>
    <w:rsid w:val="002616B6"/>
    <w:rsid w:val="00261F47"/>
    <w:rsid w:val="00262E63"/>
    <w:rsid w:val="00266CC4"/>
    <w:rsid w:val="0027413F"/>
    <w:rsid w:val="00276BDC"/>
    <w:rsid w:val="00277807"/>
    <w:rsid w:val="00280BAB"/>
    <w:rsid w:val="00281988"/>
    <w:rsid w:val="0028721D"/>
    <w:rsid w:val="002A0851"/>
    <w:rsid w:val="002A7E18"/>
    <w:rsid w:val="002B0220"/>
    <w:rsid w:val="002B4431"/>
    <w:rsid w:val="002B44AF"/>
    <w:rsid w:val="002B4C07"/>
    <w:rsid w:val="002B5CCB"/>
    <w:rsid w:val="002C106A"/>
    <w:rsid w:val="002C1E7A"/>
    <w:rsid w:val="002C380E"/>
    <w:rsid w:val="002D056A"/>
    <w:rsid w:val="002D23B7"/>
    <w:rsid w:val="002D35E4"/>
    <w:rsid w:val="002D3AB8"/>
    <w:rsid w:val="002D447D"/>
    <w:rsid w:val="002E2F0F"/>
    <w:rsid w:val="002E3D13"/>
    <w:rsid w:val="002E5826"/>
    <w:rsid w:val="002F0BA5"/>
    <w:rsid w:val="002F2CA6"/>
    <w:rsid w:val="002F468E"/>
    <w:rsid w:val="002F707B"/>
    <w:rsid w:val="002F7B99"/>
    <w:rsid w:val="003100CE"/>
    <w:rsid w:val="00311B98"/>
    <w:rsid w:val="00313409"/>
    <w:rsid w:val="003148CB"/>
    <w:rsid w:val="00315980"/>
    <w:rsid w:val="00315F5E"/>
    <w:rsid w:val="0031698F"/>
    <w:rsid w:val="00317937"/>
    <w:rsid w:val="00317AF0"/>
    <w:rsid w:val="00320C74"/>
    <w:rsid w:val="0032274C"/>
    <w:rsid w:val="00322964"/>
    <w:rsid w:val="00325CC8"/>
    <w:rsid w:val="003263BE"/>
    <w:rsid w:val="00327272"/>
    <w:rsid w:val="00327438"/>
    <w:rsid w:val="00327BBC"/>
    <w:rsid w:val="0033105C"/>
    <w:rsid w:val="0033128E"/>
    <w:rsid w:val="00331426"/>
    <w:rsid w:val="00331506"/>
    <w:rsid w:val="00331E5B"/>
    <w:rsid w:val="0034332C"/>
    <w:rsid w:val="003448B8"/>
    <w:rsid w:val="0034634C"/>
    <w:rsid w:val="00346BE6"/>
    <w:rsid w:val="00347201"/>
    <w:rsid w:val="003502E5"/>
    <w:rsid w:val="00355414"/>
    <w:rsid w:val="00356AF1"/>
    <w:rsid w:val="003650A8"/>
    <w:rsid w:val="003667F8"/>
    <w:rsid w:val="00370817"/>
    <w:rsid w:val="00371A8C"/>
    <w:rsid w:val="00376E45"/>
    <w:rsid w:val="0037727B"/>
    <w:rsid w:val="0038023B"/>
    <w:rsid w:val="00380D71"/>
    <w:rsid w:val="003827FD"/>
    <w:rsid w:val="00384BD8"/>
    <w:rsid w:val="00386168"/>
    <w:rsid w:val="00386C78"/>
    <w:rsid w:val="00394A27"/>
    <w:rsid w:val="00396106"/>
    <w:rsid w:val="003A067F"/>
    <w:rsid w:val="003A0DD0"/>
    <w:rsid w:val="003A26E8"/>
    <w:rsid w:val="003A2704"/>
    <w:rsid w:val="003A3D40"/>
    <w:rsid w:val="003A4445"/>
    <w:rsid w:val="003B066F"/>
    <w:rsid w:val="003B1789"/>
    <w:rsid w:val="003B299C"/>
    <w:rsid w:val="003B3460"/>
    <w:rsid w:val="003B7772"/>
    <w:rsid w:val="003C21C0"/>
    <w:rsid w:val="003C3B81"/>
    <w:rsid w:val="003C76D0"/>
    <w:rsid w:val="003D1712"/>
    <w:rsid w:val="003D55F8"/>
    <w:rsid w:val="003D7C88"/>
    <w:rsid w:val="003D7C8C"/>
    <w:rsid w:val="003E08F8"/>
    <w:rsid w:val="003E25DE"/>
    <w:rsid w:val="003E4BFC"/>
    <w:rsid w:val="003E54C7"/>
    <w:rsid w:val="003E64BA"/>
    <w:rsid w:val="003F01EC"/>
    <w:rsid w:val="003F13C7"/>
    <w:rsid w:val="003F3829"/>
    <w:rsid w:val="003F7FE0"/>
    <w:rsid w:val="0040044C"/>
    <w:rsid w:val="00400D67"/>
    <w:rsid w:val="00404DF1"/>
    <w:rsid w:val="00406518"/>
    <w:rsid w:val="004117E8"/>
    <w:rsid w:val="00413BFC"/>
    <w:rsid w:val="00414B20"/>
    <w:rsid w:val="00415E8C"/>
    <w:rsid w:val="004207B3"/>
    <w:rsid w:val="00425A27"/>
    <w:rsid w:val="00430666"/>
    <w:rsid w:val="00432610"/>
    <w:rsid w:val="00433D24"/>
    <w:rsid w:val="00442678"/>
    <w:rsid w:val="00445C20"/>
    <w:rsid w:val="004479D5"/>
    <w:rsid w:val="00447EA2"/>
    <w:rsid w:val="00451B07"/>
    <w:rsid w:val="00454032"/>
    <w:rsid w:val="00457754"/>
    <w:rsid w:val="0046129E"/>
    <w:rsid w:val="004617D0"/>
    <w:rsid w:val="00463B64"/>
    <w:rsid w:val="00465089"/>
    <w:rsid w:val="004657FE"/>
    <w:rsid w:val="00466B35"/>
    <w:rsid w:val="00471F74"/>
    <w:rsid w:val="00472D5D"/>
    <w:rsid w:val="0047567E"/>
    <w:rsid w:val="004756D5"/>
    <w:rsid w:val="00475733"/>
    <w:rsid w:val="004761F4"/>
    <w:rsid w:val="004767AE"/>
    <w:rsid w:val="00480BD5"/>
    <w:rsid w:val="00482DE9"/>
    <w:rsid w:val="0048329E"/>
    <w:rsid w:val="00483C4A"/>
    <w:rsid w:val="00485140"/>
    <w:rsid w:val="004866CD"/>
    <w:rsid w:val="00486FC5"/>
    <w:rsid w:val="00487D89"/>
    <w:rsid w:val="004903FF"/>
    <w:rsid w:val="004911D3"/>
    <w:rsid w:val="00492064"/>
    <w:rsid w:val="00492C28"/>
    <w:rsid w:val="00494101"/>
    <w:rsid w:val="00494CC6"/>
    <w:rsid w:val="00495BCA"/>
    <w:rsid w:val="00497097"/>
    <w:rsid w:val="0049749E"/>
    <w:rsid w:val="004A025B"/>
    <w:rsid w:val="004A4033"/>
    <w:rsid w:val="004A579F"/>
    <w:rsid w:val="004B13CF"/>
    <w:rsid w:val="004B218A"/>
    <w:rsid w:val="004B2F3D"/>
    <w:rsid w:val="004B401B"/>
    <w:rsid w:val="004B58A8"/>
    <w:rsid w:val="004B77F7"/>
    <w:rsid w:val="004C37BC"/>
    <w:rsid w:val="004C451A"/>
    <w:rsid w:val="004C5C4C"/>
    <w:rsid w:val="004C68AF"/>
    <w:rsid w:val="004C7B02"/>
    <w:rsid w:val="004D06A0"/>
    <w:rsid w:val="004D15CD"/>
    <w:rsid w:val="004E1F27"/>
    <w:rsid w:val="004E3B40"/>
    <w:rsid w:val="004E4021"/>
    <w:rsid w:val="004E7F9F"/>
    <w:rsid w:val="004F1DEB"/>
    <w:rsid w:val="004F2676"/>
    <w:rsid w:val="004F327F"/>
    <w:rsid w:val="004F6802"/>
    <w:rsid w:val="004F6F50"/>
    <w:rsid w:val="004F73E9"/>
    <w:rsid w:val="00500089"/>
    <w:rsid w:val="0050266D"/>
    <w:rsid w:val="00505CD7"/>
    <w:rsid w:val="005068E7"/>
    <w:rsid w:val="00506BAB"/>
    <w:rsid w:val="00510078"/>
    <w:rsid w:val="005109DA"/>
    <w:rsid w:val="00510AB6"/>
    <w:rsid w:val="00511DB9"/>
    <w:rsid w:val="00512701"/>
    <w:rsid w:val="005140B0"/>
    <w:rsid w:val="0051503C"/>
    <w:rsid w:val="00516F7C"/>
    <w:rsid w:val="005227D4"/>
    <w:rsid w:val="00525BE1"/>
    <w:rsid w:val="005303CA"/>
    <w:rsid w:val="00530AA8"/>
    <w:rsid w:val="005315FA"/>
    <w:rsid w:val="005321FE"/>
    <w:rsid w:val="00533656"/>
    <w:rsid w:val="00534293"/>
    <w:rsid w:val="005355AA"/>
    <w:rsid w:val="00536229"/>
    <w:rsid w:val="0054225C"/>
    <w:rsid w:val="005439C2"/>
    <w:rsid w:val="00544154"/>
    <w:rsid w:val="00544239"/>
    <w:rsid w:val="005442D3"/>
    <w:rsid w:val="00544965"/>
    <w:rsid w:val="00544A97"/>
    <w:rsid w:val="005479DC"/>
    <w:rsid w:val="00551213"/>
    <w:rsid w:val="00557A7B"/>
    <w:rsid w:val="00561274"/>
    <w:rsid w:val="0056309D"/>
    <w:rsid w:val="00563CB3"/>
    <w:rsid w:val="00564F03"/>
    <w:rsid w:val="005662DE"/>
    <w:rsid w:val="00571270"/>
    <w:rsid w:val="00572E2A"/>
    <w:rsid w:val="005806E9"/>
    <w:rsid w:val="00581172"/>
    <w:rsid w:val="005816BF"/>
    <w:rsid w:val="00585270"/>
    <w:rsid w:val="00586E16"/>
    <w:rsid w:val="00591815"/>
    <w:rsid w:val="00593D26"/>
    <w:rsid w:val="00595340"/>
    <w:rsid w:val="005957C4"/>
    <w:rsid w:val="00595FA4"/>
    <w:rsid w:val="005A11CD"/>
    <w:rsid w:val="005A4C7F"/>
    <w:rsid w:val="005A5C40"/>
    <w:rsid w:val="005B1EF0"/>
    <w:rsid w:val="005B4285"/>
    <w:rsid w:val="005B5ACB"/>
    <w:rsid w:val="005B60EF"/>
    <w:rsid w:val="005B68C8"/>
    <w:rsid w:val="005C28C2"/>
    <w:rsid w:val="005C7833"/>
    <w:rsid w:val="005C7EE2"/>
    <w:rsid w:val="005D1AC4"/>
    <w:rsid w:val="005D407F"/>
    <w:rsid w:val="005D52DC"/>
    <w:rsid w:val="005D60E2"/>
    <w:rsid w:val="005D6279"/>
    <w:rsid w:val="005D7BE5"/>
    <w:rsid w:val="005E2779"/>
    <w:rsid w:val="005E354E"/>
    <w:rsid w:val="005E3E46"/>
    <w:rsid w:val="005E4AFB"/>
    <w:rsid w:val="005E68DA"/>
    <w:rsid w:val="005E77AE"/>
    <w:rsid w:val="005F327D"/>
    <w:rsid w:val="005F331D"/>
    <w:rsid w:val="005F3CFB"/>
    <w:rsid w:val="005F410B"/>
    <w:rsid w:val="005F42AF"/>
    <w:rsid w:val="005F4A4B"/>
    <w:rsid w:val="005F65E6"/>
    <w:rsid w:val="00601AED"/>
    <w:rsid w:val="00601C9B"/>
    <w:rsid w:val="00603EC5"/>
    <w:rsid w:val="00605BF0"/>
    <w:rsid w:val="0060631F"/>
    <w:rsid w:val="00606BEC"/>
    <w:rsid w:val="00607322"/>
    <w:rsid w:val="0061240B"/>
    <w:rsid w:val="00614B21"/>
    <w:rsid w:val="0061709F"/>
    <w:rsid w:val="00623112"/>
    <w:rsid w:val="006248CF"/>
    <w:rsid w:val="00624D46"/>
    <w:rsid w:val="0062523B"/>
    <w:rsid w:val="0062759B"/>
    <w:rsid w:val="00630609"/>
    <w:rsid w:val="00635B10"/>
    <w:rsid w:val="00642034"/>
    <w:rsid w:val="006426A8"/>
    <w:rsid w:val="00642D5F"/>
    <w:rsid w:val="00644AD8"/>
    <w:rsid w:val="00646D77"/>
    <w:rsid w:val="006471F2"/>
    <w:rsid w:val="00652F54"/>
    <w:rsid w:val="006542DC"/>
    <w:rsid w:val="00654573"/>
    <w:rsid w:val="00654608"/>
    <w:rsid w:val="006553B6"/>
    <w:rsid w:val="0065608E"/>
    <w:rsid w:val="00656167"/>
    <w:rsid w:val="00656DCD"/>
    <w:rsid w:val="00657910"/>
    <w:rsid w:val="00666DB4"/>
    <w:rsid w:val="00667337"/>
    <w:rsid w:val="00667DEA"/>
    <w:rsid w:val="00671085"/>
    <w:rsid w:val="0067174F"/>
    <w:rsid w:val="00672CB5"/>
    <w:rsid w:val="00674D13"/>
    <w:rsid w:val="00675D67"/>
    <w:rsid w:val="0067603A"/>
    <w:rsid w:val="00676BD7"/>
    <w:rsid w:val="0067722C"/>
    <w:rsid w:val="00677BB2"/>
    <w:rsid w:val="00677DF6"/>
    <w:rsid w:val="00686BAD"/>
    <w:rsid w:val="00691D8E"/>
    <w:rsid w:val="00691E0C"/>
    <w:rsid w:val="00693703"/>
    <w:rsid w:val="00696618"/>
    <w:rsid w:val="006969EF"/>
    <w:rsid w:val="006977F4"/>
    <w:rsid w:val="006A040F"/>
    <w:rsid w:val="006A1E0E"/>
    <w:rsid w:val="006A21A8"/>
    <w:rsid w:val="006A29AE"/>
    <w:rsid w:val="006A2F31"/>
    <w:rsid w:val="006A5E5E"/>
    <w:rsid w:val="006B30A6"/>
    <w:rsid w:val="006B44D2"/>
    <w:rsid w:val="006B4740"/>
    <w:rsid w:val="006B7741"/>
    <w:rsid w:val="006C16BC"/>
    <w:rsid w:val="006C2ABD"/>
    <w:rsid w:val="006C3035"/>
    <w:rsid w:val="006C3ADE"/>
    <w:rsid w:val="006C4D21"/>
    <w:rsid w:val="006C5FFF"/>
    <w:rsid w:val="006D0F0D"/>
    <w:rsid w:val="006D14C8"/>
    <w:rsid w:val="006E54AF"/>
    <w:rsid w:val="006F3939"/>
    <w:rsid w:val="006F4A8E"/>
    <w:rsid w:val="00700999"/>
    <w:rsid w:val="00701036"/>
    <w:rsid w:val="00701E39"/>
    <w:rsid w:val="00704EA0"/>
    <w:rsid w:val="0070529F"/>
    <w:rsid w:val="00705831"/>
    <w:rsid w:val="007135BC"/>
    <w:rsid w:val="00715816"/>
    <w:rsid w:val="007244E3"/>
    <w:rsid w:val="007271BB"/>
    <w:rsid w:val="0073053B"/>
    <w:rsid w:val="007319B4"/>
    <w:rsid w:val="00732F92"/>
    <w:rsid w:val="0073509E"/>
    <w:rsid w:val="00735FE2"/>
    <w:rsid w:val="00743C22"/>
    <w:rsid w:val="00745AA8"/>
    <w:rsid w:val="00745D45"/>
    <w:rsid w:val="00747309"/>
    <w:rsid w:val="00747325"/>
    <w:rsid w:val="00751503"/>
    <w:rsid w:val="007521B3"/>
    <w:rsid w:val="00753725"/>
    <w:rsid w:val="00761312"/>
    <w:rsid w:val="00763C5D"/>
    <w:rsid w:val="00764540"/>
    <w:rsid w:val="00764710"/>
    <w:rsid w:val="0076474D"/>
    <w:rsid w:val="00767F4F"/>
    <w:rsid w:val="00770BB8"/>
    <w:rsid w:val="00772DBE"/>
    <w:rsid w:val="007773C1"/>
    <w:rsid w:val="007773FE"/>
    <w:rsid w:val="00781BA0"/>
    <w:rsid w:val="00784CF0"/>
    <w:rsid w:val="0078597E"/>
    <w:rsid w:val="007930F9"/>
    <w:rsid w:val="007934E3"/>
    <w:rsid w:val="007936D6"/>
    <w:rsid w:val="00794C12"/>
    <w:rsid w:val="00795797"/>
    <w:rsid w:val="007A0813"/>
    <w:rsid w:val="007A615F"/>
    <w:rsid w:val="007B27C6"/>
    <w:rsid w:val="007B2EFD"/>
    <w:rsid w:val="007B34B6"/>
    <w:rsid w:val="007B3880"/>
    <w:rsid w:val="007B4340"/>
    <w:rsid w:val="007B5351"/>
    <w:rsid w:val="007B6D4E"/>
    <w:rsid w:val="007C1242"/>
    <w:rsid w:val="007C2263"/>
    <w:rsid w:val="007C5B39"/>
    <w:rsid w:val="007C5EC6"/>
    <w:rsid w:val="007C6B8B"/>
    <w:rsid w:val="007C78EF"/>
    <w:rsid w:val="007D07BC"/>
    <w:rsid w:val="007D293C"/>
    <w:rsid w:val="007D3A08"/>
    <w:rsid w:val="007D4128"/>
    <w:rsid w:val="007D6097"/>
    <w:rsid w:val="007D68EC"/>
    <w:rsid w:val="007E0142"/>
    <w:rsid w:val="007E13BF"/>
    <w:rsid w:val="007E65D9"/>
    <w:rsid w:val="007E6805"/>
    <w:rsid w:val="007F5ED7"/>
    <w:rsid w:val="007F6CE3"/>
    <w:rsid w:val="00800E9C"/>
    <w:rsid w:val="008025D2"/>
    <w:rsid w:val="00802EC2"/>
    <w:rsid w:val="008071A0"/>
    <w:rsid w:val="00811CA5"/>
    <w:rsid w:val="00815A1F"/>
    <w:rsid w:val="00817522"/>
    <w:rsid w:val="00817627"/>
    <w:rsid w:val="00821E45"/>
    <w:rsid w:val="008257D0"/>
    <w:rsid w:val="00826BDB"/>
    <w:rsid w:val="0082750F"/>
    <w:rsid w:val="008315C7"/>
    <w:rsid w:val="00831F5A"/>
    <w:rsid w:val="00835364"/>
    <w:rsid w:val="00840F3E"/>
    <w:rsid w:val="008428E5"/>
    <w:rsid w:val="00842AE6"/>
    <w:rsid w:val="0084399C"/>
    <w:rsid w:val="008450BE"/>
    <w:rsid w:val="008513CD"/>
    <w:rsid w:val="00852E02"/>
    <w:rsid w:val="00852E88"/>
    <w:rsid w:val="00855E93"/>
    <w:rsid w:val="00856681"/>
    <w:rsid w:val="00857F28"/>
    <w:rsid w:val="00862649"/>
    <w:rsid w:val="00862A74"/>
    <w:rsid w:val="00862C60"/>
    <w:rsid w:val="00863E04"/>
    <w:rsid w:val="008641E7"/>
    <w:rsid w:val="00870CCB"/>
    <w:rsid w:val="008712D9"/>
    <w:rsid w:val="00871F22"/>
    <w:rsid w:val="00874011"/>
    <w:rsid w:val="00874E67"/>
    <w:rsid w:val="00876AB6"/>
    <w:rsid w:val="008770C9"/>
    <w:rsid w:val="00880D91"/>
    <w:rsid w:val="008810AC"/>
    <w:rsid w:val="00882BB1"/>
    <w:rsid w:val="00886329"/>
    <w:rsid w:val="00886AA4"/>
    <w:rsid w:val="00887DA2"/>
    <w:rsid w:val="008912CB"/>
    <w:rsid w:val="00894BC9"/>
    <w:rsid w:val="00895B4F"/>
    <w:rsid w:val="00896920"/>
    <w:rsid w:val="008A34C9"/>
    <w:rsid w:val="008A3864"/>
    <w:rsid w:val="008A4BF6"/>
    <w:rsid w:val="008A69D5"/>
    <w:rsid w:val="008A7B98"/>
    <w:rsid w:val="008B21CC"/>
    <w:rsid w:val="008B45C5"/>
    <w:rsid w:val="008B5D0C"/>
    <w:rsid w:val="008C1A00"/>
    <w:rsid w:val="008C2A7C"/>
    <w:rsid w:val="008C3B77"/>
    <w:rsid w:val="008C57B5"/>
    <w:rsid w:val="008C598B"/>
    <w:rsid w:val="008C7BE8"/>
    <w:rsid w:val="008C7EC2"/>
    <w:rsid w:val="008E24CB"/>
    <w:rsid w:val="008E3DBA"/>
    <w:rsid w:val="008E4325"/>
    <w:rsid w:val="008E67E0"/>
    <w:rsid w:val="008F44E5"/>
    <w:rsid w:val="008F5726"/>
    <w:rsid w:val="008F57ED"/>
    <w:rsid w:val="008F60FF"/>
    <w:rsid w:val="008F67EC"/>
    <w:rsid w:val="009005D0"/>
    <w:rsid w:val="00905EB3"/>
    <w:rsid w:val="0091183B"/>
    <w:rsid w:val="00911EB6"/>
    <w:rsid w:val="00912CD3"/>
    <w:rsid w:val="00914032"/>
    <w:rsid w:val="009142FA"/>
    <w:rsid w:val="009178D9"/>
    <w:rsid w:val="00920D45"/>
    <w:rsid w:val="009212C2"/>
    <w:rsid w:val="00922F9B"/>
    <w:rsid w:val="00925EDE"/>
    <w:rsid w:val="00930FF3"/>
    <w:rsid w:val="009318CE"/>
    <w:rsid w:val="009330ED"/>
    <w:rsid w:val="0093780F"/>
    <w:rsid w:val="00941A63"/>
    <w:rsid w:val="009429EF"/>
    <w:rsid w:val="00944246"/>
    <w:rsid w:val="00945766"/>
    <w:rsid w:val="009459C1"/>
    <w:rsid w:val="0094612A"/>
    <w:rsid w:val="00946376"/>
    <w:rsid w:val="00946AA7"/>
    <w:rsid w:val="009476EB"/>
    <w:rsid w:val="009510CC"/>
    <w:rsid w:val="00953F0C"/>
    <w:rsid w:val="00954AD2"/>
    <w:rsid w:val="009611CC"/>
    <w:rsid w:val="00963094"/>
    <w:rsid w:val="009676DA"/>
    <w:rsid w:val="00967F02"/>
    <w:rsid w:val="009700D2"/>
    <w:rsid w:val="00976D42"/>
    <w:rsid w:val="009779AD"/>
    <w:rsid w:val="00977BB0"/>
    <w:rsid w:val="00984157"/>
    <w:rsid w:val="00984795"/>
    <w:rsid w:val="00986822"/>
    <w:rsid w:val="009876A4"/>
    <w:rsid w:val="009909E5"/>
    <w:rsid w:val="00992DA0"/>
    <w:rsid w:val="00993F53"/>
    <w:rsid w:val="009957C5"/>
    <w:rsid w:val="009A2583"/>
    <w:rsid w:val="009A402D"/>
    <w:rsid w:val="009A5FB0"/>
    <w:rsid w:val="009B3EE7"/>
    <w:rsid w:val="009C0078"/>
    <w:rsid w:val="009C081F"/>
    <w:rsid w:val="009C1AF7"/>
    <w:rsid w:val="009C2242"/>
    <w:rsid w:val="009C4161"/>
    <w:rsid w:val="009C54F7"/>
    <w:rsid w:val="009C578E"/>
    <w:rsid w:val="009D0668"/>
    <w:rsid w:val="009D6920"/>
    <w:rsid w:val="009D6FEA"/>
    <w:rsid w:val="009E0EA3"/>
    <w:rsid w:val="009E3360"/>
    <w:rsid w:val="009E397B"/>
    <w:rsid w:val="009E57AD"/>
    <w:rsid w:val="009E7101"/>
    <w:rsid w:val="009F0803"/>
    <w:rsid w:val="009F15D6"/>
    <w:rsid w:val="009F343D"/>
    <w:rsid w:val="009F3C1E"/>
    <w:rsid w:val="009F4DE6"/>
    <w:rsid w:val="009F6522"/>
    <w:rsid w:val="00A02322"/>
    <w:rsid w:val="00A02397"/>
    <w:rsid w:val="00A03FA2"/>
    <w:rsid w:val="00A050B9"/>
    <w:rsid w:val="00A0618B"/>
    <w:rsid w:val="00A12764"/>
    <w:rsid w:val="00A15AE6"/>
    <w:rsid w:val="00A17955"/>
    <w:rsid w:val="00A20C52"/>
    <w:rsid w:val="00A22B7A"/>
    <w:rsid w:val="00A25498"/>
    <w:rsid w:val="00A25708"/>
    <w:rsid w:val="00A26C72"/>
    <w:rsid w:val="00A27F8A"/>
    <w:rsid w:val="00A3097C"/>
    <w:rsid w:val="00A321D9"/>
    <w:rsid w:val="00A32CB9"/>
    <w:rsid w:val="00A346F7"/>
    <w:rsid w:val="00A34C1B"/>
    <w:rsid w:val="00A3527B"/>
    <w:rsid w:val="00A36FE8"/>
    <w:rsid w:val="00A412EE"/>
    <w:rsid w:val="00A4272C"/>
    <w:rsid w:val="00A43ABB"/>
    <w:rsid w:val="00A464D5"/>
    <w:rsid w:val="00A512F1"/>
    <w:rsid w:val="00A5268E"/>
    <w:rsid w:val="00A52D6E"/>
    <w:rsid w:val="00A57542"/>
    <w:rsid w:val="00A61748"/>
    <w:rsid w:val="00A62268"/>
    <w:rsid w:val="00A62C27"/>
    <w:rsid w:val="00A63FD5"/>
    <w:rsid w:val="00A657FD"/>
    <w:rsid w:val="00A67694"/>
    <w:rsid w:val="00A7047C"/>
    <w:rsid w:val="00A70EEE"/>
    <w:rsid w:val="00A72F53"/>
    <w:rsid w:val="00A73581"/>
    <w:rsid w:val="00A7425C"/>
    <w:rsid w:val="00A7463E"/>
    <w:rsid w:val="00A74A35"/>
    <w:rsid w:val="00A76535"/>
    <w:rsid w:val="00A802A5"/>
    <w:rsid w:val="00A82B44"/>
    <w:rsid w:val="00A85E4F"/>
    <w:rsid w:val="00A861E2"/>
    <w:rsid w:val="00A918BB"/>
    <w:rsid w:val="00A94040"/>
    <w:rsid w:val="00A96176"/>
    <w:rsid w:val="00A961F4"/>
    <w:rsid w:val="00AA0643"/>
    <w:rsid w:val="00AA2CBA"/>
    <w:rsid w:val="00AA34DA"/>
    <w:rsid w:val="00AA3BDE"/>
    <w:rsid w:val="00AA3D6F"/>
    <w:rsid w:val="00AA3EA9"/>
    <w:rsid w:val="00AA4EE8"/>
    <w:rsid w:val="00AA4F45"/>
    <w:rsid w:val="00AA763E"/>
    <w:rsid w:val="00AA7A0E"/>
    <w:rsid w:val="00AA7DB0"/>
    <w:rsid w:val="00AB3335"/>
    <w:rsid w:val="00AB3EB9"/>
    <w:rsid w:val="00AC1960"/>
    <w:rsid w:val="00AC1B1E"/>
    <w:rsid w:val="00AC33B2"/>
    <w:rsid w:val="00AC636F"/>
    <w:rsid w:val="00AC6575"/>
    <w:rsid w:val="00AC76DB"/>
    <w:rsid w:val="00AD0B6C"/>
    <w:rsid w:val="00AD0E22"/>
    <w:rsid w:val="00AD1B8C"/>
    <w:rsid w:val="00AD5844"/>
    <w:rsid w:val="00AD7120"/>
    <w:rsid w:val="00AE00CF"/>
    <w:rsid w:val="00AF0824"/>
    <w:rsid w:val="00AF1415"/>
    <w:rsid w:val="00AF2ABA"/>
    <w:rsid w:val="00AF3B48"/>
    <w:rsid w:val="00B0177E"/>
    <w:rsid w:val="00B01AF0"/>
    <w:rsid w:val="00B03757"/>
    <w:rsid w:val="00B0653C"/>
    <w:rsid w:val="00B079F6"/>
    <w:rsid w:val="00B1003A"/>
    <w:rsid w:val="00B124E5"/>
    <w:rsid w:val="00B12E89"/>
    <w:rsid w:val="00B14C89"/>
    <w:rsid w:val="00B15849"/>
    <w:rsid w:val="00B160DB"/>
    <w:rsid w:val="00B208E1"/>
    <w:rsid w:val="00B21A0C"/>
    <w:rsid w:val="00B224AE"/>
    <w:rsid w:val="00B22B9B"/>
    <w:rsid w:val="00B23600"/>
    <w:rsid w:val="00B23F79"/>
    <w:rsid w:val="00B24861"/>
    <w:rsid w:val="00B253A1"/>
    <w:rsid w:val="00B25F04"/>
    <w:rsid w:val="00B310C0"/>
    <w:rsid w:val="00B317B6"/>
    <w:rsid w:val="00B32580"/>
    <w:rsid w:val="00B34228"/>
    <w:rsid w:val="00B37100"/>
    <w:rsid w:val="00B40CE2"/>
    <w:rsid w:val="00B411C7"/>
    <w:rsid w:val="00B45F30"/>
    <w:rsid w:val="00B503A3"/>
    <w:rsid w:val="00B515EF"/>
    <w:rsid w:val="00B527A4"/>
    <w:rsid w:val="00B52EA9"/>
    <w:rsid w:val="00B55093"/>
    <w:rsid w:val="00B57DBA"/>
    <w:rsid w:val="00B6029B"/>
    <w:rsid w:val="00B6095B"/>
    <w:rsid w:val="00B62C88"/>
    <w:rsid w:val="00B63343"/>
    <w:rsid w:val="00B64BF6"/>
    <w:rsid w:val="00B64E71"/>
    <w:rsid w:val="00B66F58"/>
    <w:rsid w:val="00B7532E"/>
    <w:rsid w:val="00B76697"/>
    <w:rsid w:val="00B82C69"/>
    <w:rsid w:val="00B83178"/>
    <w:rsid w:val="00B85A5C"/>
    <w:rsid w:val="00B8630E"/>
    <w:rsid w:val="00B86674"/>
    <w:rsid w:val="00B90AB1"/>
    <w:rsid w:val="00B91DF2"/>
    <w:rsid w:val="00B924A2"/>
    <w:rsid w:val="00B92873"/>
    <w:rsid w:val="00B92DD7"/>
    <w:rsid w:val="00B95DC6"/>
    <w:rsid w:val="00B97C80"/>
    <w:rsid w:val="00BA49E9"/>
    <w:rsid w:val="00BA6A1E"/>
    <w:rsid w:val="00BA7217"/>
    <w:rsid w:val="00BA7FF7"/>
    <w:rsid w:val="00BB1EC5"/>
    <w:rsid w:val="00BB20CF"/>
    <w:rsid w:val="00BB32F7"/>
    <w:rsid w:val="00BB39C0"/>
    <w:rsid w:val="00BB55AC"/>
    <w:rsid w:val="00BB7038"/>
    <w:rsid w:val="00BB7689"/>
    <w:rsid w:val="00BB7F0E"/>
    <w:rsid w:val="00BC0B47"/>
    <w:rsid w:val="00BC0C5D"/>
    <w:rsid w:val="00BC1579"/>
    <w:rsid w:val="00BC2592"/>
    <w:rsid w:val="00BC364D"/>
    <w:rsid w:val="00BC5B18"/>
    <w:rsid w:val="00BC5CE9"/>
    <w:rsid w:val="00BD074F"/>
    <w:rsid w:val="00BD0A95"/>
    <w:rsid w:val="00BD42D1"/>
    <w:rsid w:val="00BE0AEE"/>
    <w:rsid w:val="00BE2324"/>
    <w:rsid w:val="00BE255B"/>
    <w:rsid w:val="00BE28B0"/>
    <w:rsid w:val="00BE4D90"/>
    <w:rsid w:val="00BE6172"/>
    <w:rsid w:val="00BE6F4E"/>
    <w:rsid w:val="00BF3A98"/>
    <w:rsid w:val="00BF3EA4"/>
    <w:rsid w:val="00BF4F7A"/>
    <w:rsid w:val="00C02716"/>
    <w:rsid w:val="00C031D5"/>
    <w:rsid w:val="00C0482E"/>
    <w:rsid w:val="00C104ED"/>
    <w:rsid w:val="00C120F3"/>
    <w:rsid w:val="00C132A2"/>
    <w:rsid w:val="00C1445E"/>
    <w:rsid w:val="00C1660F"/>
    <w:rsid w:val="00C16FB6"/>
    <w:rsid w:val="00C2224D"/>
    <w:rsid w:val="00C235C2"/>
    <w:rsid w:val="00C266FB"/>
    <w:rsid w:val="00C3004F"/>
    <w:rsid w:val="00C308F0"/>
    <w:rsid w:val="00C31720"/>
    <w:rsid w:val="00C34B03"/>
    <w:rsid w:val="00C34DD8"/>
    <w:rsid w:val="00C3775D"/>
    <w:rsid w:val="00C37DF0"/>
    <w:rsid w:val="00C46D53"/>
    <w:rsid w:val="00C55B73"/>
    <w:rsid w:val="00C61C5E"/>
    <w:rsid w:val="00C620C4"/>
    <w:rsid w:val="00C633AF"/>
    <w:rsid w:val="00C637AC"/>
    <w:rsid w:val="00C646F8"/>
    <w:rsid w:val="00C649FC"/>
    <w:rsid w:val="00C6779C"/>
    <w:rsid w:val="00C716C4"/>
    <w:rsid w:val="00C7221B"/>
    <w:rsid w:val="00C72D56"/>
    <w:rsid w:val="00C84273"/>
    <w:rsid w:val="00C84B98"/>
    <w:rsid w:val="00C8688D"/>
    <w:rsid w:val="00C94FB9"/>
    <w:rsid w:val="00C95117"/>
    <w:rsid w:val="00C96358"/>
    <w:rsid w:val="00C978A4"/>
    <w:rsid w:val="00CA0335"/>
    <w:rsid w:val="00CA2C35"/>
    <w:rsid w:val="00CA6136"/>
    <w:rsid w:val="00CA6FAA"/>
    <w:rsid w:val="00CB17F9"/>
    <w:rsid w:val="00CB20CA"/>
    <w:rsid w:val="00CB29BB"/>
    <w:rsid w:val="00CB3C73"/>
    <w:rsid w:val="00CB4778"/>
    <w:rsid w:val="00CC06F9"/>
    <w:rsid w:val="00CC6DCA"/>
    <w:rsid w:val="00CD16C5"/>
    <w:rsid w:val="00CD35DC"/>
    <w:rsid w:val="00CD3A88"/>
    <w:rsid w:val="00CD6922"/>
    <w:rsid w:val="00CE200E"/>
    <w:rsid w:val="00CE5DC5"/>
    <w:rsid w:val="00CE7036"/>
    <w:rsid w:val="00CE7BFB"/>
    <w:rsid w:val="00CF301E"/>
    <w:rsid w:val="00CF3120"/>
    <w:rsid w:val="00CF3AB7"/>
    <w:rsid w:val="00CF4C4E"/>
    <w:rsid w:val="00D01FDF"/>
    <w:rsid w:val="00D21F3E"/>
    <w:rsid w:val="00D3065D"/>
    <w:rsid w:val="00D318EB"/>
    <w:rsid w:val="00D410BE"/>
    <w:rsid w:val="00D41D04"/>
    <w:rsid w:val="00D42073"/>
    <w:rsid w:val="00D4231A"/>
    <w:rsid w:val="00D44129"/>
    <w:rsid w:val="00D444BD"/>
    <w:rsid w:val="00D44924"/>
    <w:rsid w:val="00D4604D"/>
    <w:rsid w:val="00D46CBF"/>
    <w:rsid w:val="00D51A58"/>
    <w:rsid w:val="00D54057"/>
    <w:rsid w:val="00D55CEB"/>
    <w:rsid w:val="00D56FD0"/>
    <w:rsid w:val="00D5773F"/>
    <w:rsid w:val="00D60ED8"/>
    <w:rsid w:val="00D61A64"/>
    <w:rsid w:val="00D61DB6"/>
    <w:rsid w:val="00D62CBD"/>
    <w:rsid w:val="00D63192"/>
    <w:rsid w:val="00D63FD9"/>
    <w:rsid w:val="00D716AC"/>
    <w:rsid w:val="00D73CE5"/>
    <w:rsid w:val="00D73D44"/>
    <w:rsid w:val="00D77C3E"/>
    <w:rsid w:val="00D91515"/>
    <w:rsid w:val="00DA0BA8"/>
    <w:rsid w:val="00DA1E1D"/>
    <w:rsid w:val="00DA240F"/>
    <w:rsid w:val="00DA41A7"/>
    <w:rsid w:val="00DA5C9A"/>
    <w:rsid w:val="00DA5E0F"/>
    <w:rsid w:val="00DA7E32"/>
    <w:rsid w:val="00DB41D8"/>
    <w:rsid w:val="00DB6088"/>
    <w:rsid w:val="00DC2E52"/>
    <w:rsid w:val="00DC4DA7"/>
    <w:rsid w:val="00DD0076"/>
    <w:rsid w:val="00DD0D7B"/>
    <w:rsid w:val="00DD130B"/>
    <w:rsid w:val="00DD4F41"/>
    <w:rsid w:val="00DD7CE5"/>
    <w:rsid w:val="00DE0F57"/>
    <w:rsid w:val="00DE4192"/>
    <w:rsid w:val="00DE60B1"/>
    <w:rsid w:val="00DE62C0"/>
    <w:rsid w:val="00DE6BCF"/>
    <w:rsid w:val="00DF1F6B"/>
    <w:rsid w:val="00DF3E74"/>
    <w:rsid w:val="00E01296"/>
    <w:rsid w:val="00E07C5F"/>
    <w:rsid w:val="00E11374"/>
    <w:rsid w:val="00E122A4"/>
    <w:rsid w:val="00E1324A"/>
    <w:rsid w:val="00E13D58"/>
    <w:rsid w:val="00E1621C"/>
    <w:rsid w:val="00E16763"/>
    <w:rsid w:val="00E2354F"/>
    <w:rsid w:val="00E24065"/>
    <w:rsid w:val="00E251E9"/>
    <w:rsid w:val="00E30C70"/>
    <w:rsid w:val="00E32EB8"/>
    <w:rsid w:val="00E33C73"/>
    <w:rsid w:val="00E36CA9"/>
    <w:rsid w:val="00E36FAF"/>
    <w:rsid w:val="00E408D3"/>
    <w:rsid w:val="00E43721"/>
    <w:rsid w:val="00E43C18"/>
    <w:rsid w:val="00E45DA7"/>
    <w:rsid w:val="00E513FB"/>
    <w:rsid w:val="00E51586"/>
    <w:rsid w:val="00E534CC"/>
    <w:rsid w:val="00E53C0F"/>
    <w:rsid w:val="00E56C72"/>
    <w:rsid w:val="00E57C7E"/>
    <w:rsid w:val="00E60560"/>
    <w:rsid w:val="00E61FFD"/>
    <w:rsid w:val="00E63E7C"/>
    <w:rsid w:val="00E65F5B"/>
    <w:rsid w:val="00E73BF7"/>
    <w:rsid w:val="00E758C7"/>
    <w:rsid w:val="00E7741E"/>
    <w:rsid w:val="00E81CCE"/>
    <w:rsid w:val="00E82DB6"/>
    <w:rsid w:val="00E858BF"/>
    <w:rsid w:val="00E86865"/>
    <w:rsid w:val="00E873EC"/>
    <w:rsid w:val="00E90067"/>
    <w:rsid w:val="00E93AB9"/>
    <w:rsid w:val="00E97AB2"/>
    <w:rsid w:val="00EA142C"/>
    <w:rsid w:val="00EA37E8"/>
    <w:rsid w:val="00EA400E"/>
    <w:rsid w:val="00EA43B5"/>
    <w:rsid w:val="00EA4F58"/>
    <w:rsid w:val="00EA54C5"/>
    <w:rsid w:val="00EA6A34"/>
    <w:rsid w:val="00EA7BF4"/>
    <w:rsid w:val="00EB4E2E"/>
    <w:rsid w:val="00EB4F5C"/>
    <w:rsid w:val="00EC033C"/>
    <w:rsid w:val="00EC0787"/>
    <w:rsid w:val="00EC3042"/>
    <w:rsid w:val="00EC36B6"/>
    <w:rsid w:val="00EC3E54"/>
    <w:rsid w:val="00EC7E08"/>
    <w:rsid w:val="00ED1053"/>
    <w:rsid w:val="00EE2797"/>
    <w:rsid w:val="00EE2AAB"/>
    <w:rsid w:val="00EE319D"/>
    <w:rsid w:val="00EE41B5"/>
    <w:rsid w:val="00EE70A1"/>
    <w:rsid w:val="00EE744B"/>
    <w:rsid w:val="00EE7498"/>
    <w:rsid w:val="00EF0C63"/>
    <w:rsid w:val="00EF61F6"/>
    <w:rsid w:val="00EF69FF"/>
    <w:rsid w:val="00F028C0"/>
    <w:rsid w:val="00F0423E"/>
    <w:rsid w:val="00F04F03"/>
    <w:rsid w:val="00F07178"/>
    <w:rsid w:val="00F12FCB"/>
    <w:rsid w:val="00F15B3B"/>
    <w:rsid w:val="00F15F53"/>
    <w:rsid w:val="00F167CB"/>
    <w:rsid w:val="00F23506"/>
    <w:rsid w:val="00F23A90"/>
    <w:rsid w:val="00F25869"/>
    <w:rsid w:val="00F26B66"/>
    <w:rsid w:val="00F274D2"/>
    <w:rsid w:val="00F342EE"/>
    <w:rsid w:val="00F344E8"/>
    <w:rsid w:val="00F36679"/>
    <w:rsid w:val="00F4009A"/>
    <w:rsid w:val="00F41E45"/>
    <w:rsid w:val="00F43222"/>
    <w:rsid w:val="00F43A4D"/>
    <w:rsid w:val="00F478B6"/>
    <w:rsid w:val="00F504B4"/>
    <w:rsid w:val="00F523CA"/>
    <w:rsid w:val="00F54767"/>
    <w:rsid w:val="00F5738E"/>
    <w:rsid w:val="00F57D8F"/>
    <w:rsid w:val="00F6647C"/>
    <w:rsid w:val="00F674AD"/>
    <w:rsid w:val="00F71F1C"/>
    <w:rsid w:val="00F75F13"/>
    <w:rsid w:val="00F76205"/>
    <w:rsid w:val="00F76EB5"/>
    <w:rsid w:val="00F85FDD"/>
    <w:rsid w:val="00F904EB"/>
    <w:rsid w:val="00F92BC1"/>
    <w:rsid w:val="00F93229"/>
    <w:rsid w:val="00F935E5"/>
    <w:rsid w:val="00F959BD"/>
    <w:rsid w:val="00FA0DB9"/>
    <w:rsid w:val="00FA1789"/>
    <w:rsid w:val="00FA18C0"/>
    <w:rsid w:val="00FA29AC"/>
    <w:rsid w:val="00FA6D49"/>
    <w:rsid w:val="00FA6ECD"/>
    <w:rsid w:val="00FB205A"/>
    <w:rsid w:val="00FB63F8"/>
    <w:rsid w:val="00FB782D"/>
    <w:rsid w:val="00FB794A"/>
    <w:rsid w:val="00FC0B7C"/>
    <w:rsid w:val="00FC229A"/>
    <w:rsid w:val="00FC4C3D"/>
    <w:rsid w:val="00FC7813"/>
    <w:rsid w:val="00FD1244"/>
    <w:rsid w:val="00FD375C"/>
    <w:rsid w:val="00FD3FBB"/>
    <w:rsid w:val="00FE17A2"/>
    <w:rsid w:val="00FE1D81"/>
    <w:rsid w:val="00FE1E4F"/>
    <w:rsid w:val="00FE2465"/>
    <w:rsid w:val="00FE6A62"/>
    <w:rsid w:val="00FF1A8F"/>
    <w:rsid w:val="00FF2DE0"/>
    <w:rsid w:val="00FF5A87"/>
    <w:rsid w:val="00FF7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2C63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B6"/>
    <w:pPr>
      <w:spacing w:after="240" w:line="288" w:lineRule="auto"/>
    </w:pPr>
    <w:rPr>
      <w:rFonts w:ascii="Arial" w:hAnsi="Arial"/>
      <w:lang w:eastAsia="en-US"/>
    </w:rPr>
  </w:style>
  <w:style w:type="paragraph" w:styleId="Heading1">
    <w:name w:val="heading 1"/>
    <w:next w:val="Normal"/>
    <w:uiPriority w:val="1"/>
    <w:qFormat/>
    <w:rsid w:val="005C28C2"/>
    <w:pPr>
      <w:keepNext/>
      <w:numPr>
        <w:numId w:val="27"/>
      </w:numPr>
      <w:spacing w:after="240" w:line="470" w:lineRule="exact"/>
      <w:outlineLvl w:val="0"/>
    </w:pPr>
    <w:rPr>
      <w:rFonts w:ascii="Arial" w:hAnsi="Arial"/>
      <w:b/>
      <w:sz w:val="36"/>
      <w:lang w:eastAsia="en-US"/>
    </w:rPr>
  </w:style>
  <w:style w:type="paragraph" w:styleId="Heading2">
    <w:name w:val="heading 2"/>
    <w:next w:val="Normal"/>
    <w:uiPriority w:val="1"/>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22964"/>
    <w:pPr>
      <w:keepNext/>
      <w:spacing w:before="100" w:after="20" w:line="250" w:lineRule="exact"/>
      <w:outlineLvl w:val="3"/>
    </w:pPr>
    <w:rPr>
      <w:rFonts w:ascii="Arial" w:hAnsi="Arial"/>
      <w:b/>
      <w:lang w:eastAsia="en-US"/>
    </w:rPr>
  </w:style>
  <w:style w:type="paragraph" w:styleId="Heading5">
    <w:name w:val="heading 5"/>
    <w:next w:val="Normal"/>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322964"/>
    <w:pPr>
      <w:keepNext/>
      <w:spacing w:before="60" w:after="20" w:line="250" w:lineRule="atLeast"/>
      <w:outlineLvl w:val="5"/>
    </w:pPr>
    <w:rPr>
      <w:b/>
      <w:sz w:val="20"/>
    </w:rPr>
  </w:style>
  <w:style w:type="paragraph" w:styleId="Heading7">
    <w:name w:val="heading 7"/>
    <w:basedOn w:val="Normal"/>
    <w:next w:val="Normal"/>
    <w:uiPriority w:val="1"/>
    <w:qFormat/>
    <w:rsid w:val="00322964"/>
    <w:pPr>
      <w:spacing w:before="60" w:after="40" w:line="240" w:lineRule="atLeas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2"/>
    <w:unhideWhenUsed/>
    <w:qFormat/>
    <w:rsid w:val="00FF5A87"/>
    <w:rPr>
      <w:iCs/>
      <w:szCs w:val="18"/>
    </w:rPr>
  </w:style>
  <w:style w:type="paragraph" w:styleId="TOC4">
    <w:name w:val="toc 4"/>
    <w:basedOn w:val="Normal"/>
    <w:semiHidden/>
    <w:rsid w:val="007D4128"/>
    <w:pPr>
      <w:tabs>
        <w:tab w:val="left" w:pos="357"/>
        <w:tab w:val="right" w:pos="8250"/>
        <w:tab w:val="left" w:pos="8307"/>
      </w:tabs>
      <w:spacing w:before="40" w:after="40" w:line="260" w:lineRule="atLeast"/>
      <w:ind w:left="1554" w:right="1077" w:hanging="482"/>
    </w:pPr>
    <w:rPr>
      <w:rFonts w:ascii="Arial Bold" w:hAnsi="Arial Bold"/>
      <w:bCs/>
      <w:i/>
      <w:sz w:val="18"/>
      <w:szCs w:val="18"/>
    </w:rPr>
  </w:style>
  <w:style w:type="paragraph" w:styleId="CommentText">
    <w:name w:val="annotation text"/>
    <w:basedOn w:val="Normal"/>
    <w:link w:val="CommentTextChar"/>
    <w:uiPriority w:val="2"/>
    <w:semiHidden/>
    <w:unhideWhenUsed/>
    <w:rsid w:val="00F674AD"/>
    <w:pPr>
      <w:spacing w:line="240" w:lineRule="auto"/>
    </w:pPr>
    <w:rPr>
      <w:sz w:val="24"/>
      <w:szCs w:val="24"/>
    </w:rPr>
  </w:style>
  <w:style w:type="character" w:customStyle="1" w:styleId="CommentTextChar">
    <w:name w:val="Comment Text Char"/>
    <w:basedOn w:val="DefaultParagraphFont"/>
    <w:link w:val="CommentText"/>
    <w:uiPriority w:val="2"/>
    <w:semiHidden/>
    <w:rsid w:val="00F674AD"/>
    <w:rPr>
      <w:rFonts w:ascii="Arial" w:hAnsi="Arial"/>
      <w:sz w:val="24"/>
      <w:szCs w:val="24"/>
      <w:lang w:eastAsia="en-US"/>
    </w:rPr>
  </w:style>
  <w:style w:type="paragraph" w:styleId="Footer">
    <w:name w:val="footer"/>
    <w:link w:val="FooterChar"/>
    <w:uiPriority w:val="2"/>
    <w:rsid w:val="00322964"/>
    <w:pPr>
      <w:jc w:val="center"/>
    </w:pPr>
    <w:rPr>
      <w:rFonts w:ascii="Arial" w:hAnsi="Arial"/>
      <w:lang w:eastAsia="en-US"/>
    </w:rPr>
  </w:style>
  <w:style w:type="paragraph" w:styleId="Header">
    <w:name w:val="header"/>
    <w:uiPriority w:val="2"/>
    <w:rsid w:val="00322964"/>
    <w:rPr>
      <w:lang w:eastAsia="en-US"/>
    </w:rPr>
  </w:style>
  <w:style w:type="paragraph" w:styleId="CommentSubject">
    <w:name w:val="annotation subject"/>
    <w:basedOn w:val="CommentText"/>
    <w:next w:val="CommentText"/>
    <w:link w:val="CommentSubjectChar"/>
    <w:uiPriority w:val="2"/>
    <w:semiHidden/>
    <w:unhideWhenUsed/>
    <w:rsid w:val="00F674AD"/>
    <w:rPr>
      <w:b/>
      <w:bCs/>
      <w:sz w:val="20"/>
      <w:szCs w:val="20"/>
    </w:rPr>
  </w:style>
  <w:style w:type="character" w:customStyle="1" w:styleId="CommentSubjectChar">
    <w:name w:val="Comment Subject Char"/>
    <w:basedOn w:val="CommentTextChar"/>
    <w:link w:val="CommentSubject"/>
    <w:uiPriority w:val="2"/>
    <w:semiHidden/>
    <w:rsid w:val="00F674AD"/>
    <w:rPr>
      <w:rFonts w:ascii="Arial" w:hAnsi="Arial"/>
      <w:b/>
      <w:bCs/>
      <w:sz w:val="20"/>
      <w:szCs w:val="24"/>
      <w:lang w:eastAsia="en-US"/>
    </w:rPr>
  </w:style>
  <w:style w:type="character" w:styleId="FollowedHyperlink">
    <w:name w:val="FollowedHyperlink"/>
    <w:basedOn w:val="DefaultParagraphFont"/>
    <w:uiPriority w:val="2"/>
    <w:semiHidden/>
    <w:unhideWhenUsed/>
    <w:rsid w:val="00EE41B5"/>
    <w:rPr>
      <w:color w:val="800080" w:themeColor="followedHyperlink"/>
      <w:u w:val="single"/>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referencelist1">
    <w:name w:val="reference list 1"/>
    <w:link w:val="referencelist1Char"/>
    <w:uiPriority w:val="2"/>
    <w:qFormat/>
    <w:rsid w:val="00322964"/>
    <w:pPr>
      <w:spacing w:after="120" w:line="280" w:lineRule="atLeast"/>
      <w:ind w:left="360" w:hanging="360"/>
      <w:jc w:val="both"/>
    </w:pPr>
    <w:rPr>
      <w:lang w:eastAsia="en-US"/>
    </w:r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paragraph" w:customStyle="1" w:styleId="platecaption">
    <w:name w:val="plate caption"/>
    <w:basedOn w:val="Normal"/>
    <w:uiPriority w:val="2"/>
    <w:qFormat/>
    <w:rsid w:val="007D4128"/>
    <w:pPr>
      <w:spacing w:line="240" w:lineRule="atLeast"/>
      <w:jc w:val="center"/>
    </w:pPr>
    <w:rPr>
      <w:sz w:val="18"/>
    </w:rPr>
  </w:style>
  <w:style w:type="character" w:styleId="Emphasis">
    <w:name w:val="Emphasis"/>
    <w:basedOn w:val="DefaultParagraphFont"/>
    <w:uiPriority w:val="2"/>
    <w:rsid w:val="00322964"/>
    <w:rPr>
      <w:i/>
      <w:iCs/>
    </w:rPr>
  </w:style>
  <w:style w:type="paragraph" w:styleId="Quote">
    <w:name w:val="Quote"/>
    <w:basedOn w:val="Normal"/>
    <w:next w:val="Normal"/>
    <w:link w:val="QuoteChar"/>
    <w:uiPriority w:val="2"/>
    <w:rsid w:val="007D4128"/>
    <w:pPr>
      <w:spacing w:line="240" w:lineRule="auto"/>
      <w:ind w:left="720" w:right="567"/>
    </w:pPr>
    <w:rPr>
      <w:rFonts w:ascii="Times New Roman" w:hAnsi="Times New Roman"/>
      <w:sz w:val="18"/>
    </w:rPr>
  </w:style>
  <w:style w:type="character" w:customStyle="1" w:styleId="QuoteChar">
    <w:name w:val="Quote Char"/>
    <w:basedOn w:val="DefaultParagraphFont"/>
    <w:link w:val="Quote"/>
    <w:uiPriority w:val="2"/>
    <w:rsid w:val="007D4128"/>
    <w:rPr>
      <w:rFonts w:ascii="Times New Roman" w:hAnsi="Times New Roman"/>
      <w:sz w:val="18"/>
      <w:lang w:eastAsia="en-US"/>
    </w:rPr>
  </w:style>
  <w:style w:type="paragraph" w:styleId="NoSpacing">
    <w:name w:val="No Spacing"/>
    <w:uiPriority w:val="2"/>
    <w:rsid w:val="00322964"/>
    <w:pPr>
      <w:jc w:val="both"/>
    </w:pPr>
    <w:rPr>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customStyle="1" w:styleId="referencelist1Char">
    <w:name w:val="reference list 1 Char"/>
    <w:basedOn w:val="DefaultParagraphFont"/>
    <w:link w:val="referencelist1"/>
    <w:uiPriority w:val="2"/>
    <w:rsid w:val="00A43ABB"/>
    <w:rPr>
      <w:sz w:val="22"/>
      <w:lang w:eastAsia="en-US"/>
    </w:rPr>
  </w:style>
  <w:style w:type="character" w:styleId="Hyperlink">
    <w:name w:val="Hyperlink"/>
    <w:basedOn w:val="DefaultParagraphFont"/>
    <w:uiPriority w:val="2"/>
    <w:rsid w:val="006426A8"/>
    <w:rPr>
      <w:color w:val="0000FF" w:themeColor="hyperlink"/>
      <w:u w:val="single"/>
    </w:rPr>
  </w:style>
  <w:style w:type="paragraph" w:styleId="BalloonText">
    <w:name w:val="Balloon Text"/>
    <w:basedOn w:val="Normal"/>
    <w:link w:val="BalloonTextChar"/>
    <w:uiPriority w:val="2"/>
    <w:rsid w:val="00BF3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BF3EA4"/>
    <w:rPr>
      <w:rFonts w:ascii="Tahoma" w:hAnsi="Tahoma" w:cs="Tahoma"/>
      <w:sz w:val="16"/>
      <w:szCs w:val="16"/>
      <w:lang w:eastAsia="en-US"/>
    </w:rPr>
  </w:style>
  <w:style w:type="character" w:styleId="PlaceholderText">
    <w:name w:val="Placeholder Text"/>
    <w:basedOn w:val="DefaultParagraphFont"/>
    <w:uiPriority w:val="2"/>
    <w:semiHidden/>
    <w:rsid w:val="00B21A0C"/>
    <w:rPr>
      <w:color w:val="808080"/>
    </w:rPr>
  </w:style>
  <w:style w:type="table" w:styleId="TableGrid">
    <w:name w:val="Table Grid"/>
    <w:basedOn w:val="TableNormal"/>
    <w:rsid w:val="003F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2"/>
    <w:rsid w:val="00A72F53"/>
    <w:rPr>
      <w:vertAlign w:val="superscript"/>
    </w:rPr>
  </w:style>
  <w:style w:type="character" w:styleId="CommentReference">
    <w:name w:val="annotation reference"/>
    <w:basedOn w:val="DefaultParagraphFont"/>
    <w:uiPriority w:val="2"/>
    <w:unhideWhenUsed/>
    <w:rsid w:val="009476EB"/>
    <w:rPr>
      <w:sz w:val="16"/>
      <w:szCs w:val="16"/>
    </w:rPr>
  </w:style>
  <w:style w:type="paragraph" w:styleId="Revision">
    <w:name w:val="Revision"/>
    <w:hidden/>
    <w:uiPriority w:val="99"/>
    <w:semiHidden/>
    <w:rsid w:val="005C28C2"/>
    <w:rPr>
      <w:rFonts w:ascii="Arial" w:hAnsi="Arial"/>
      <w:lang w:eastAsia="en-US"/>
    </w:rPr>
  </w:style>
  <w:style w:type="paragraph" w:styleId="ListNumber">
    <w:name w:val="List Number"/>
    <w:basedOn w:val="Normal"/>
    <w:uiPriority w:val="2"/>
    <w:unhideWhenUsed/>
    <w:rsid w:val="003A3D40"/>
    <w:pPr>
      <w:numPr>
        <w:numId w:val="33"/>
      </w:numPr>
      <w:contextualSpacing/>
    </w:pPr>
  </w:style>
  <w:style w:type="paragraph" w:styleId="ListBullet">
    <w:name w:val="List Bullet"/>
    <w:basedOn w:val="Normal"/>
    <w:uiPriority w:val="2"/>
    <w:unhideWhenUsed/>
    <w:rsid w:val="003A3D40"/>
    <w:pPr>
      <w:numPr>
        <w:numId w:val="38"/>
      </w:numPr>
      <w:contextualSpacing/>
    </w:pPr>
  </w:style>
  <w:style w:type="paragraph" w:styleId="ListParagraph">
    <w:name w:val="List Paragraph"/>
    <w:basedOn w:val="Normal"/>
    <w:uiPriority w:val="34"/>
    <w:qFormat/>
    <w:rsid w:val="004E7F9F"/>
    <w:pPr>
      <w:ind w:left="720"/>
      <w:contextualSpacing/>
      <w:jc w:val="both"/>
    </w:pPr>
    <w:rPr>
      <w:rFonts w:eastAsiaTheme="minorHAnsi" w:cstheme="minorBidi"/>
      <w:szCs w:val="22"/>
    </w:rPr>
  </w:style>
  <w:style w:type="character" w:customStyle="1" w:styleId="FooterChar">
    <w:name w:val="Footer Char"/>
    <w:basedOn w:val="DefaultParagraphFont"/>
    <w:link w:val="Footer"/>
    <w:uiPriority w:val="2"/>
    <w:rsid w:val="003650A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1205486066">
      <w:bodyDiv w:val="1"/>
      <w:marLeft w:val="0"/>
      <w:marRight w:val="0"/>
      <w:marTop w:val="0"/>
      <w:marBottom w:val="0"/>
      <w:divBdr>
        <w:top w:val="none" w:sz="0" w:space="0" w:color="auto"/>
        <w:left w:val="none" w:sz="0" w:space="0" w:color="auto"/>
        <w:bottom w:val="none" w:sz="0" w:space="0" w:color="auto"/>
        <w:right w:val="none" w:sz="0" w:space="0" w:color="auto"/>
      </w:divBdr>
    </w:div>
    <w:div w:id="1471243681">
      <w:bodyDiv w:val="1"/>
      <w:marLeft w:val="0"/>
      <w:marRight w:val="0"/>
      <w:marTop w:val="0"/>
      <w:marBottom w:val="0"/>
      <w:divBdr>
        <w:top w:val="none" w:sz="0" w:space="0" w:color="auto"/>
        <w:left w:val="none" w:sz="0" w:space="0" w:color="auto"/>
        <w:bottom w:val="none" w:sz="0" w:space="0" w:color="auto"/>
        <w:right w:val="none" w:sz="0" w:space="0" w:color="auto"/>
      </w:divBdr>
    </w:div>
    <w:div w:id="1616211513">
      <w:bodyDiv w:val="1"/>
      <w:marLeft w:val="0"/>
      <w:marRight w:val="0"/>
      <w:marTop w:val="0"/>
      <w:marBottom w:val="0"/>
      <w:divBdr>
        <w:top w:val="none" w:sz="0" w:space="0" w:color="auto"/>
        <w:left w:val="none" w:sz="0" w:space="0" w:color="auto"/>
        <w:bottom w:val="none" w:sz="0" w:space="0" w:color="auto"/>
        <w:right w:val="none" w:sz="0" w:space="0" w:color="auto"/>
      </w:divBdr>
    </w:div>
    <w:div w:id="20985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vironment.gov.au/science/supervising-scientist/publications/ss-rehabilitation-standar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8244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Radiation — Rehabilitation Standard for the Ranger uranium mine</dc:title>
  <dc:creator>Department of the Environment and Energy</dc:creator>
  <cp:lastModifiedBy>Steve Lenthall</cp:lastModifiedBy>
  <cp:revision>2</cp:revision>
  <dcterms:created xsi:type="dcterms:W3CDTF">2019-02-26T22:47:00Z</dcterms:created>
  <dcterms:modified xsi:type="dcterms:W3CDTF">2019-02-26T22:47:00Z</dcterms:modified>
</cp:coreProperties>
</file>