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B6DA" w14:textId="4DB1C2F4" w:rsidR="007639A9" w:rsidRDefault="00222E4E" w:rsidP="00233FF1">
      <w:pPr>
        <w:jc w:val="right"/>
        <w:rPr>
          <w:sz w:val="20"/>
          <w:szCs w:val="20"/>
        </w:rPr>
      </w:pPr>
      <w:sdt>
        <w:sdtPr>
          <w:rPr>
            <w:sz w:val="20"/>
            <w:szCs w:val="20"/>
          </w:rPr>
          <w:alias w:val="PdrId"/>
          <w:tag w:val="PdrId"/>
          <w:id w:val="1345827858"/>
          <w:placeholder>
            <w:docPart w:val="3DDEB4E6BFC345568444435ED86F99A2"/>
          </w:placeholder>
        </w:sdtPr>
        <w:sdtEndPr/>
        <w:sdtContent>
          <w:r w:rsidR="00B27492">
            <w:rPr>
              <w:sz w:val="20"/>
              <w:szCs w:val="20"/>
              <w:bdr w:val="nil"/>
            </w:rPr>
            <w:t>MS21-009315</w:t>
          </w:r>
        </w:sdtContent>
      </w:sdt>
      <w:r w:rsidR="00B27492">
        <w:rPr>
          <w:sz w:val="20"/>
          <w:szCs w:val="20"/>
        </w:rPr>
        <w:t xml:space="preserve"> </w:t>
      </w:r>
    </w:p>
    <w:p w14:paraId="3790FC3C" w14:textId="77777777" w:rsidR="008720FC" w:rsidRPr="008720FC" w:rsidRDefault="008720FC" w:rsidP="00233FF1">
      <w:pPr>
        <w:jc w:val="right"/>
      </w:pPr>
    </w:p>
    <w:p w14:paraId="1471466E" w14:textId="23643530" w:rsidR="00562126" w:rsidRPr="00233FF1" w:rsidRDefault="00562126" w:rsidP="00233FF1">
      <w:r>
        <w:t>The Hon Mark Furner MP</w:t>
      </w:r>
      <w:r w:rsidRPr="00884701">
        <w:t xml:space="preserve"> </w:t>
      </w:r>
      <w:r w:rsidRPr="00884701">
        <w:br/>
      </w:r>
      <w:r>
        <w:t>Minister for Agriculture Industry Development and Fisheries</w:t>
      </w:r>
      <w:r w:rsidRPr="00884701">
        <w:br/>
        <w:t>PO Box 46</w:t>
      </w:r>
      <w:r w:rsidRPr="00884701">
        <w:br/>
        <w:t>BRISBANE QLD 4001</w:t>
      </w:r>
    </w:p>
    <w:p w14:paraId="58A7A96D" w14:textId="77777777" w:rsidR="00562126" w:rsidRPr="00884701" w:rsidRDefault="00562126" w:rsidP="00233FF1"/>
    <w:p w14:paraId="2B198029" w14:textId="77777777" w:rsidR="000F11C5" w:rsidRDefault="000F11C5" w:rsidP="00233FF1"/>
    <w:p w14:paraId="55E935FF" w14:textId="0181FD0C" w:rsidR="00562126" w:rsidRDefault="00562126" w:rsidP="00233FF1">
      <w:r w:rsidRPr="00884701">
        <w:t xml:space="preserve">Dear </w:t>
      </w:r>
      <w:r>
        <w:t>Minister</w:t>
      </w:r>
    </w:p>
    <w:p w14:paraId="72D55A39" w14:textId="77777777" w:rsidR="00233FF1" w:rsidRPr="00884701" w:rsidRDefault="00233FF1" w:rsidP="00233FF1"/>
    <w:p w14:paraId="4FBAFD80" w14:textId="77777777" w:rsidR="00BA3406" w:rsidRDefault="00BA3406" w:rsidP="00BA3406">
      <w:pPr>
        <w:widowControl w:val="0"/>
        <w:rPr>
          <w:rFonts w:cs="Arial"/>
        </w:rPr>
      </w:pPr>
      <w:r w:rsidRPr="00884701">
        <w:rPr>
          <w:rFonts w:cs="Arial"/>
        </w:rPr>
        <w:t xml:space="preserve">I am writing to you in relation to the assessment of the </w:t>
      </w:r>
      <w:r w:rsidRPr="00884701">
        <w:t xml:space="preserve">Queensland </w:t>
      </w:r>
      <w:r>
        <w:t>Coral</w:t>
      </w:r>
      <w:r w:rsidRPr="00884701">
        <w:t xml:space="preserve"> Fishery</w:t>
      </w:r>
      <w:r>
        <w:t xml:space="preserve"> (the fishery)</w:t>
      </w:r>
      <w:r w:rsidRPr="00884701">
        <w:rPr>
          <w:rFonts w:cs="Arial"/>
        </w:rPr>
        <w:t xml:space="preserve"> under the </w:t>
      </w:r>
      <w:r w:rsidRPr="00884701">
        <w:rPr>
          <w:rFonts w:cs="Arial"/>
          <w:i/>
        </w:rPr>
        <w:t xml:space="preserve">Environment Protection and Biodiversity Conservation Act 1999 </w:t>
      </w:r>
      <w:r w:rsidRPr="00884701">
        <w:rPr>
          <w:rFonts w:cs="Arial"/>
        </w:rPr>
        <w:t>(EPBC Act)</w:t>
      </w:r>
      <w:r>
        <w:rPr>
          <w:rFonts w:cs="Arial"/>
        </w:rPr>
        <w:t xml:space="preserve"> and further to my letters of 11 August and 22 September 2021</w:t>
      </w:r>
      <w:r w:rsidRPr="00884701">
        <w:rPr>
          <w:rFonts w:cs="Arial"/>
        </w:rPr>
        <w:t>.</w:t>
      </w:r>
    </w:p>
    <w:p w14:paraId="73D13DD4" w14:textId="77777777" w:rsidR="00BA3406" w:rsidRPr="00884701" w:rsidRDefault="00BA3406" w:rsidP="00BA3406">
      <w:pPr>
        <w:widowControl w:val="0"/>
        <w:rPr>
          <w:rFonts w:cs="Arial"/>
        </w:rPr>
      </w:pPr>
    </w:p>
    <w:p w14:paraId="3C3647C5" w14:textId="3D3DEC45" w:rsidR="00BA3406" w:rsidRDefault="00BA3406" w:rsidP="00BA3406">
      <w:r w:rsidRPr="00D04235">
        <w:rPr>
          <w:rFonts w:cs="Arial"/>
        </w:rPr>
        <w:t xml:space="preserve">I have </w:t>
      </w:r>
      <w:r>
        <w:rPr>
          <w:rFonts w:cs="Arial"/>
        </w:rPr>
        <w:t>declared the Queensland Coral Fishery an approved</w:t>
      </w:r>
      <w:r w:rsidRPr="00D04235">
        <w:rPr>
          <w:rFonts w:cs="Arial"/>
        </w:rPr>
        <w:t xml:space="preserve"> </w:t>
      </w:r>
      <w:r>
        <w:t>W</w:t>
      </w:r>
      <w:r w:rsidRPr="00D04235">
        <w:t xml:space="preserve">ildlife </w:t>
      </w:r>
      <w:r>
        <w:t>T</w:t>
      </w:r>
      <w:r w:rsidRPr="00D04235">
        <w:t xml:space="preserve">rade </w:t>
      </w:r>
      <w:r>
        <w:t>O</w:t>
      </w:r>
      <w:r w:rsidRPr="00D04235">
        <w:t xml:space="preserve">peration (WTO) under Part 13A of the EPBC Act </w:t>
      </w:r>
      <w:r>
        <w:t xml:space="preserve">for three years </w:t>
      </w:r>
      <w:r w:rsidRPr="00D04235">
        <w:t>until 28 October 2024</w:t>
      </w:r>
      <w:r>
        <w:t>. This approval is</w:t>
      </w:r>
      <w:r w:rsidRPr="00D04235">
        <w:t xml:space="preserve"> contingent </w:t>
      </w:r>
      <w:r>
        <w:t xml:space="preserve">on </w:t>
      </w:r>
      <w:r w:rsidRPr="008956BF">
        <w:t xml:space="preserve">nine </w:t>
      </w:r>
      <w:r>
        <w:t>strict c</w:t>
      </w:r>
      <w:r w:rsidRPr="008956BF">
        <w:t>onditions being met</w:t>
      </w:r>
      <w:r>
        <w:t xml:space="preserve"> by the Queensland Department of Agriculture and Fisheries (refer Attachment 1). I have also included two recommendations to further improve the management of the fishery.</w:t>
      </w:r>
      <w:r w:rsidRPr="00D04235">
        <w:t xml:space="preserve"> </w:t>
      </w:r>
    </w:p>
    <w:p w14:paraId="0B9DEF75" w14:textId="77777777" w:rsidR="00BA3406" w:rsidRDefault="00BA3406" w:rsidP="00BA3406"/>
    <w:p w14:paraId="096C1C53" w14:textId="44F80D8E" w:rsidR="00BA3406" w:rsidRDefault="00BA3406" w:rsidP="00BA3406">
      <w:r>
        <w:t>I am deeply concerned about the current state of this fishery and Queensland’s mismanagement in getting to this point. Australia is currently being scrutinised by the international community with the threat of further trade bans to not just this fishery, but all coral fisheries in Australia. This situation is unacceptable and cannot continue for this or any other Queensland managed fishery which has an international export component.</w:t>
      </w:r>
    </w:p>
    <w:p w14:paraId="7B2CE74F" w14:textId="77777777" w:rsidR="00BA3406" w:rsidRDefault="00BA3406" w:rsidP="00BA3406"/>
    <w:p w14:paraId="0A0D2F11" w14:textId="77777777" w:rsidR="00BA3406" w:rsidRDefault="00BA3406" w:rsidP="00BA3406">
      <w:r>
        <w:t xml:space="preserve">I am aware that both QDAF and industry have recently understood the seriousness of the situation for this fishery. I am encouraged by the commitment </w:t>
      </w:r>
      <w:r w:rsidRPr="00482BE0">
        <w:t>to limit catch within the current season to as close as practicable to the</w:t>
      </w:r>
      <w:r>
        <w:t xml:space="preserve"> new</w:t>
      </w:r>
      <w:r w:rsidRPr="00482BE0">
        <w:t xml:space="preserve"> harvest limits</w:t>
      </w:r>
      <w:r>
        <w:t xml:space="preserve"> as reflected in Condition 7. </w:t>
      </w:r>
    </w:p>
    <w:p w14:paraId="36D35619" w14:textId="77777777" w:rsidR="00BA3406" w:rsidRDefault="00BA3406" w:rsidP="00BA3406"/>
    <w:p w14:paraId="649ADC64" w14:textId="77777777" w:rsidR="00BA3406" w:rsidRDefault="00BA3406" w:rsidP="00BA3406">
      <w:r>
        <w:t xml:space="preserve">To send a positive message to international markets and to assist delaying potentially imminent trade bans, I would encourage a public statement from Queensland regarding the improved management arrangements that will commence from today for this fishery. </w:t>
      </w:r>
    </w:p>
    <w:p w14:paraId="0C7E8BF8" w14:textId="77777777" w:rsidR="004075BA" w:rsidRDefault="004075BA" w:rsidP="00233FF1"/>
    <w:p w14:paraId="6E186982" w14:textId="77777777" w:rsidR="00562126" w:rsidRPr="00884701" w:rsidRDefault="00562126" w:rsidP="00233FF1">
      <w:pPr>
        <w:rPr>
          <w:rFonts w:cs="Arial"/>
        </w:rPr>
      </w:pPr>
      <w:r w:rsidRPr="00884701">
        <w:rPr>
          <w:rFonts w:cs="Arial"/>
        </w:rPr>
        <w:t>Yours sincerely</w:t>
      </w:r>
    </w:p>
    <w:p w14:paraId="39949C3C" w14:textId="6B733FC4" w:rsidR="00562126" w:rsidRDefault="00562126" w:rsidP="00233FF1"/>
    <w:p w14:paraId="3F622628" w14:textId="77777777" w:rsidR="00233FF1" w:rsidRPr="00884701" w:rsidRDefault="00233FF1" w:rsidP="00233FF1"/>
    <w:p w14:paraId="153A74F4" w14:textId="36328A72" w:rsidR="00562126" w:rsidRDefault="00562126" w:rsidP="00233FF1"/>
    <w:p w14:paraId="550869FC" w14:textId="77777777" w:rsidR="00743452" w:rsidRDefault="00743452" w:rsidP="00233FF1">
      <w:pPr>
        <w:tabs>
          <w:tab w:val="left" w:pos="284"/>
        </w:tabs>
      </w:pPr>
    </w:p>
    <w:p w14:paraId="15470F42" w14:textId="77777777" w:rsidR="005B78BB" w:rsidRDefault="00233FF1" w:rsidP="005B78BB">
      <w:r>
        <w:t>SUSSAN LEY</w:t>
      </w:r>
      <w:r>
        <w:br/>
      </w:r>
      <w:r>
        <w:br/>
        <w:t xml:space="preserve">cc: Mr </w:t>
      </w:r>
      <w:r w:rsidRPr="00884701">
        <w:t>Graeme Bolton</w:t>
      </w:r>
      <w:r w:rsidR="005B78BB">
        <w:t>, Deputy Director-General</w:t>
      </w:r>
    </w:p>
    <w:p w14:paraId="2BA92C49" w14:textId="4368EBC7" w:rsidR="00562126" w:rsidRPr="005B78BB" w:rsidRDefault="005B78BB" w:rsidP="005B78BB">
      <w:pPr>
        <w:sectPr w:rsidR="00562126" w:rsidRPr="005B78BB" w:rsidSect="00FF6DD0">
          <w:headerReference w:type="first" r:id="rId11"/>
          <w:footerReference w:type="first" r:id="rId12"/>
          <w:pgSz w:w="11906" w:h="16838"/>
          <w:pgMar w:top="1134" w:right="1418" w:bottom="993" w:left="1418" w:header="567" w:footer="425" w:gutter="0"/>
          <w:pgNumType w:start="1"/>
          <w:cols w:space="708"/>
          <w:titlePg/>
          <w:docGrid w:linePitch="360"/>
        </w:sectPr>
      </w:pPr>
      <w:r>
        <w:t xml:space="preserve">Queensland Department of Agriculture and Fisheries </w:t>
      </w:r>
      <w:r w:rsidR="00562126" w:rsidRPr="00884701">
        <w:br/>
      </w:r>
    </w:p>
    <w:p w14:paraId="1414BE1F" w14:textId="77777777" w:rsidR="00562126" w:rsidRDefault="00562126" w:rsidP="00562126">
      <w:pPr>
        <w:tabs>
          <w:tab w:val="left" w:pos="284"/>
        </w:tabs>
        <w:jc w:val="right"/>
        <w:rPr>
          <w:rFonts w:cs="Arial"/>
          <w:b/>
        </w:rPr>
      </w:pPr>
      <w:r w:rsidRPr="00DF1B48">
        <w:rPr>
          <w:rFonts w:cs="Arial"/>
          <w:b/>
        </w:rPr>
        <w:lastRenderedPageBreak/>
        <w:t>Attachment 1</w:t>
      </w:r>
    </w:p>
    <w:p w14:paraId="7ACE5751" w14:textId="77777777" w:rsidR="00562126" w:rsidRPr="00983E01" w:rsidRDefault="00562126" w:rsidP="00562126">
      <w:pPr>
        <w:tabs>
          <w:tab w:val="left" w:pos="284"/>
        </w:tabs>
        <w:jc w:val="right"/>
        <w:rPr>
          <w:rFonts w:cs="Arial"/>
          <w:b/>
        </w:rPr>
      </w:pPr>
    </w:p>
    <w:p w14:paraId="58F8B722" w14:textId="77777777" w:rsidR="00562126" w:rsidRPr="00DF1B48" w:rsidRDefault="00562126" w:rsidP="00562126">
      <w:pPr>
        <w:spacing w:after="180"/>
        <w:jc w:val="center"/>
        <w:rPr>
          <w:rFonts w:cs="Arial"/>
        </w:rPr>
      </w:pPr>
      <w:r w:rsidRPr="00DF1B48">
        <w:rPr>
          <w:rFonts w:cs="Arial"/>
          <w:b/>
          <w:bCs/>
        </w:rPr>
        <w:t xml:space="preserve">Part 13A </w:t>
      </w:r>
      <w:r>
        <w:rPr>
          <w:rFonts w:cs="Arial"/>
          <w:b/>
          <w:bCs/>
        </w:rPr>
        <w:t>C</w:t>
      </w:r>
      <w:r w:rsidRPr="00DF1B48">
        <w:rPr>
          <w:rFonts w:cs="Arial"/>
          <w:b/>
          <w:bCs/>
        </w:rPr>
        <w:t xml:space="preserve">onditions </w:t>
      </w:r>
      <w:r>
        <w:rPr>
          <w:rFonts w:cs="Arial"/>
          <w:b/>
          <w:bCs/>
        </w:rPr>
        <w:t xml:space="preserve">and Recommendations </w:t>
      </w:r>
      <w:r w:rsidRPr="00DF1B48">
        <w:rPr>
          <w:rFonts w:cs="Arial"/>
          <w:b/>
        </w:rPr>
        <w:t xml:space="preserve">on </w:t>
      </w:r>
      <w:r w:rsidRPr="00DF1B48">
        <w:rPr>
          <w:rFonts w:cs="Arial"/>
          <w:b/>
          <w:bCs/>
        </w:rPr>
        <w:t xml:space="preserve">the approved </w:t>
      </w:r>
      <w:r>
        <w:rPr>
          <w:rFonts w:cs="Arial"/>
          <w:b/>
          <w:bCs/>
        </w:rPr>
        <w:t>W</w:t>
      </w:r>
      <w:r w:rsidRPr="00DF1B48">
        <w:rPr>
          <w:rFonts w:cs="Arial"/>
          <w:b/>
          <w:bCs/>
        </w:rPr>
        <w:t xml:space="preserve">ildlife </w:t>
      </w:r>
      <w:r>
        <w:rPr>
          <w:rFonts w:cs="Arial"/>
          <w:b/>
          <w:bCs/>
        </w:rPr>
        <w:t>T</w:t>
      </w:r>
      <w:r w:rsidRPr="00DF1B48">
        <w:rPr>
          <w:rFonts w:cs="Arial"/>
          <w:b/>
          <w:bCs/>
        </w:rPr>
        <w:t xml:space="preserve">rade </w:t>
      </w:r>
      <w:r>
        <w:rPr>
          <w:rFonts w:cs="Arial"/>
          <w:b/>
          <w:bCs/>
        </w:rPr>
        <w:t>O</w:t>
      </w:r>
      <w:r w:rsidRPr="00DF1B48">
        <w:rPr>
          <w:rFonts w:cs="Arial"/>
          <w:b/>
          <w:bCs/>
        </w:rPr>
        <w:t xml:space="preserve">peration declaration for the Queensland </w:t>
      </w:r>
      <w:r>
        <w:rPr>
          <w:rFonts w:cs="Arial"/>
          <w:b/>
          <w:bCs/>
        </w:rPr>
        <w:t>Coral</w:t>
      </w:r>
      <w:r w:rsidRPr="00DF1B48">
        <w:rPr>
          <w:rFonts w:cs="Arial"/>
          <w:b/>
          <w:bCs/>
        </w:rPr>
        <w:t xml:space="preserve"> Fishery</w:t>
      </w:r>
      <w:r w:rsidRPr="00DF1B48">
        <w:rPr>
          <w:rFonts w:cs="Arial"/>
          <w:b/>
        </w:rPr>
        <w:t xml:space="preserve"> </w:t>
      </w:r>
      <w:r>
        <w:rPr>
          <w:rFonts w:cs="Arial"/>
          <w:b/>
        </w:rPr>
        <w:t>–</w:t>
      </w:r>
      <w:r w:rsidRPr="00DF1B48">
        <w:rPr>
          <w:rFonts w:cs="Arial"/>
          <w:b/>
        </w:rPr>
        <w:t xml:space="preserve"> </w:t>
      </w:r>
      <w:r>
        <w:rPr>
          <w:rFonts w:cs="Arial"/>
          <w:b/>
        </w:rPr>
        <w:t>October 2021</w:t>
      </w:r>
    </w:p>
    <w:p w14:paraId="5896852B" w14:textId="77777777" w:rsidR="00562126" w:rsidRPr="00AB7857" w:rsidRDefault="00562126" w:rsidP="00562126">
      <w:pPr>
        <w:spacing w:after="60" w:line="252" w:lineRule="auto"/>
        <w:rPr>
          <w:rFonts w:cs="Arial"/>
          <w:b/>
          <w:bCs/>
        </w:rPr>
      </w:pPr>
      <w:bookmarkStart w:id="0" w:name="_Hlk39561130"/>
      <w:r w:rsidRPr="00AB7857">
        <w:rPr>
          <w:rFonts w:cs="Arial"/>
          <w:b/>
          <w:bCs/>
        </w:rPr>
        <w:t>Condition 1:</w:t>
      </w:r>
    </w:p>
    <w:p w14:paraId="217F9917" w14:textId="77777777" w:rsidR="00562126" w:rsidRPr="00AB7857" w:rsidRDefault="00562126" w:rsidP="00562126">
      <w:pPr>
        <w:spacing w:after="60" w:line="252" w:lineRule="auto"/>
        <w:rPr>
          <w:rFonts w:cs="Arial"/>
        </w:rPr>
      </w:pPr>
      <w:r w:rsidRPr="00AB7857">
        <w:rPr>
          <w:rFonts w:cs="Arial"/>
        </w:rPr>
        <w:t>The Queensland Department of Agriculture and Fisheries must ensure that operation of the Coral Sea Fishery is carried out in accordance with management regime specified in Queensland Department of Agriculture and Fisheries, and Great Barrier Reef Marine Park Authority issued permits, as well as in the following:</w:t>
      </w:r>
    </w:p>
    <w:p w14:paraId="3720D25C" w14:textId="77777777" w:rsidR="00562126" w:rsidRPr="00AB7857" w:rsidRDefault="00562126" w:rsidP="00562126">
      <w:pPr>
        <w:pStyle w:val="ListParagraph"/>
        <w:numPr>
          <w:ilvl w:val="0"/>
          <w:numId w:val="7"/>
        </w:numPr>
        <w:spacing w:after="160" w:line="252" w:lineRule="auto"/>
        <w:contextualSpacing/>
        <w:rPr>
          <w:rFonts w:cs="Arial"/>
        </w:rPr>
      </w:pPr>
      <w:r w:rsidRPr="00536E52">
        <w:rPr>
          <w:rFonts w:cs="Arial"/>
          <w:i/>
          <w:iCs/>
        </w:rPr>
        <w:t>Fisheries Act 1994</w:t>
      </w:r>
      <w:r w:rsidRPr="00AB7857">
        <w:rPr>
          <w:rFonts w:cs="Arial"/>
        </w:rPr>
        <w:t> (</w:t>
      </w:r>
      <w:bookmarkStart w:id="1" w:name="_Hlk86147529"/>
      <w:r w:rsidRPr="00AB7857">
        <w:rPr>
          <w:rFonts w:cs="Arial"/>
        </w:rPr>
        <w:t>Q</w:t>
      </w:r>
      <w:r>
        <w:rPr>
          <w:rFonts w:cs="Arial"/>
        </w:rPr>
        <w:t>ueensland</w:t>
      </w:r>
      <w:bookmarkEnd w:id="1"/>
      <w:r w:rsidRPr="00AB7857">
        <w:rPr>
          <w:rFonts w:cs="Arial"/>
        </w:rPr>
        <w:t>)</w:t>
      </w:r>
    </w:p>
    <w:p w14:paraId="0132E672"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Fisheries (General) Regulation 2019 (Q</w:t>
      </w:r>
      <w:r>
        <w:rPr>
          <w:rFonts w:cs="Arial"/>
        </w:rPr>
        <w:t>ueensland</w:t>
      </w:r>
      <w:r w:rsidRPr="00AB7857">
        <w:rPr>
          <w:rFonts w:cs="Arial"/>
        </w:rPr>
        <w:t>)</w:t>
      </w:r>
    </w:p>
    <w:p w14:paraId="18BF60C8"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Fisheries (Commercial Fisheries) Regulation 2019 (Q</w:t>
      </w:r>
      <w:r>
        <w:rPr>
          <w:rFonts w:cs="Arial"/>
        </w:rPr>
        <w:t>ueensland</w:t>
      </w:r>
      <w:r w:rsidRPr="00AB7857">
        <w:rPr>
          <w:rFonts w:cs="Arial"/>
        </w:rPr>
        <w:t>)</w:t>
      </w:r>
    </w:p>
    <w:p w14:paraId="00F0A96F"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Fisheries Declaration 2019 (Q</w:t>
      </w:r>
      <w:r>
        <w:rPr>
          <w:rFonts w:cs="Arial"/>
        </w:rPr>
        <w:t>ueensland</w:t>
      </w:r>
      <w:r w:rsidRPr="00AB7857">
        <w:rPr>
          <w:rFonts w:cs="Arial"/>
        </w:rPr>
        <w:t>)</w:t>
      </w:r>
    </w:p>
    <w:p w14:paraId="2BA0BEF6"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Fisheries Quota Declaration 2019 (Q</w:t>
      </w:r>
      <w:r>
        <w:rPr>
          <w:rFonts w:cs="Arial"/>
        </w:rPr>
        <w:t>ueensland</w:t>
      </w:r>
      <w:r w:rsidRPr="00AB7857">
        <w:rPr>
          <w:rFonts w:cs="Arial"/>
        </w:rPr>
        <w:t>)</w:t>
      </w:r>
    </w:p>
    <w:p w14:paraId="50CAA4F8" w14:textId="77777777" w:rsidR="00562126" w:rsidRPr="00AB7857" w:rsidRDefault="00562126" w:rsidP="00562126">
      <w:pPr>
        <w:pStyle w:val="ListParagraph"/>
        <w:numPr>
          <w:ilvl w:val="0"/>
          <w:numId w:val="7"/>
        </w:numPr>
        <w:spacing w:after="160" w:line="252" w:lineRule="auto"/>
        <w:contextualSpacing/>
        <w:rPr>
          <w:rFonts w:cs="Arial"/>
        </w:rPr>
      </w:pPr>
      <w:r w:rsidRPr="00536E52">
        <w:rPr>
          <w:rFonts w:cs="Arial"/>
          <w:i/>
          <w:iCs/>
        </w:rPr>
        <w:t>Marine Parks Act 2004</w:t>
      </w:r>
      <w:r w:rsidRPr="00AB7857">
        <w:rPr>
          <w:rFonts w:cs="Arial"/>
        </w:rPr>
        <w:t> (Q</w:t>
      </w:r>
      <w:r>
        <w:rPr>
          <w:rFonts w:cs="Arial"/>
        </w:rPr>
        <w:t>ueensland</w:t>
      </w:r>
      <w:r w:rsidRPr="00AB7857">
        <w:rPr>
          <w:rFonts w:cs="Arial"/>
        </w:rPr>
        <w:t>)</w:t>
      </w:r>
    </w:p>
    <w:p w14:paraId="09279145"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Marine Parks Regulations 2019 (Q</w:t>
      </w:r>
      <w:r>
        <w:rPr>
          <w:rFonts w:cs="Arial"/>
        </w:rPr>
        <w:t>ueensland</w:t>
      </w:r>
      <w:r w:rsidRPr="00AB7857">
        <w:rPr>
          <w:rFonts w:cs="Arial"/>
        </w:rPr>
        <w:t>)</w:t>
      </w:r>
    </w:p>
    <w:p w14:paraId="4DFCA901" w14:textId="77777777" w:rsidR="00562126" w:rsidRPr="00AB7857" w:rsidRDefault="00562126" w:rsidP="00562126">
      <w:pPr>
        <w:pStyle w:val="ListParagraph"/>
        <w:numPr>
          <w:ilvl w:val="0"/>
          <w:numId w:val="7"/>
        </w:numPr>
        <w:spacing w:after="160" w:line="252" w:lineRule="auto"/>
        <w:contextualSpacing/>
        <w:rPr>
          <w:rFonts w:cs="Arial"/>
        </w:rPr>
      </w:pPr>
      <w:r w:rsidRPr="00536E52">
        <w:rPr>
          <w:rFonts w:cs="Arial"/>
          <w:i/>
          <w:iCs/>
        </w:rPr>
        <w:t>Great Barrier Reef Marine Park Act 1975</w:t>
      </w:r>
      <w:r w:rsidRPr="00AB7857">
        <w:rPr>
          <w:rFonts w:cs="Arial"/>
        </w:rPr>
        <w:t> (C</w:t>
      </w:r>
      <w:r>
        <w:rPr>
          <w:rFonts w:cs="Arial"/>
        </w:rPr>
        <w:t>ommonwealth</w:t>
      </w:r>
      <w:r w:rsidRPr="00AB7857">
        <w:rPr>
          <w:rFonts w:cs="Arial"/>
        </w:rPr>
        <w:t>)</w:t>
      </w:r>
    </w:p>
    <w:p w14:paraId="70EC7A41" w14:textId="77777777" w:rsidR="00562126" w:rsidRPr="00AB7857" w:rsidRDefault="00562126" w:rsidP="00562126">
      <w:pPr>
        <w:pStyle w:val="ListParagraph"/>
        <w:numPr>
          <w:ilvl w:val="0"/>
          <w:numId w:val="7"/>
        </w:numPr>
        <w:spacing w:after="160" w:line="252" w:lineRule="auto"/>
        <w:contextualSpacing/>
        <w:rPr>
          <w:rFonts w:cs="Arial"/>
        </w:rPr>
      </w:pPr>
      <w:r w:rsidRPr="00AB7857">
        <w:rPr>
          <w:rFonts w:cs="Arial"/>
        </w:rPr>
        <w:t>Great Barrier Reef Marine Park Regulations 2019 (C</w:t>
      </w:r>
      <w:r>
        <w:rPr>
          <w:rFonts w:cs="Arial"/>
        </w:rPr>
        <w:t>ommonwealth</w:t>
      </w:r>
      <w:r w:rsidRPr="00AB7857">
        <w:rPr>
          <w:rFonts w:cs="Arial"/>
        </w:rPr>
        <w:t>).</w:t>
      </w:r>
    </w:p>
    <w:p w14:paraId="3B1B0939" w14:textId="77777777" w:rsidR="00562126" w:rsidRPr="00376F2A" w:rsidRDefault="00562126" w:rsidP="00562126">
      <w:pPr>
        <w:spacing w:after="60" w:line="252" w:lineRule="auto"/>
        <w:rPr>
          <w:rFonts w:cs="Arial"/>
          <w:b/>
          <w:bCs/>
        </w:rPr>
      </w:pPr>
      <w:r w:rsidRPr="00AB7857">
        <w:rPr>
          <w:rFonts w:cs="Arial"/>
          <w:b/>
          <w:bCs/>
        </w:rPr>
        <w:t>Condition 2</w:t>
      </w:r>
      <w:r w:rsidRPr="00376F2A">
        <w:rPr>
          <w:rFonts w:cs="Arial"/>
          <w:b/>
          <w:bCs/>
        </w:rPr>
        <w:t>:</w:t>
      </w:r>
    </w:p>
    <w:p w14:paraId="173DA20E" w14:textId="77777777" w:rsidR="00562126" w:rsidRPr="00AB7857" w:rsidRDefault="00562126" w:rsidP="00381DA6">
      <w:pPr>
        <w:spacing w:after="160" w:line="252" w:lineRule="auto"/>
        <w:rPr>
          <w:rFonts w:cs="Arial"/>
        </w:rPr>
      </w:pPr>
      <w:r w:rsidRPr="00AB7857">
        <w:rPr>
          <w:rFonts w:cs="Arial"/>
        </w:rPr>
        <w:t xml:space="preserve">The Queensland Department of Agriculture and Fisheries must inform the Department of Agriculture, </w:t>
      </w:r>
      <w:proofErr w:type="gramStart"/>
      <w:r w:rsidRPr="00AB7857">
        <w:rPr>
          <w:rFonts w:cs="Arial"/>
        </w:rPr>
        <w:t>Water</w:t>
      </w:r>
      <w:proofErr w:type="gramEnd"/>
      <w:r w:rsidRPr="00AB7857">
        <w:rPr>
          <w:rFonts w:cs="Arial"/>
        </w:rPr>
        <w:t xml:space="preserve"> and the Environment of any intended material changes to the Queensland Coral Fishery’s management arrangements that may affect the assessment against which </w:t>
      </w:r>
      <w:r w:rsidRPr="00AB7857">
        <w:rPr>
          <w:rFonts w:cs="Arial"/>
          <w:i/>
          <w:iCs/>
        </w:rPr>
        <w:t>Environment Protection and Biodiversity Conservation Act 1999</w:t>
      </w:r>
      <w:r w:rsidRPr="00AB7857">
        <w:rPr>
          <w:rFonts w:cs="Arial"/>
        </w:rPr>
        <w:t xml:space="preserve"> decisions are made.</w:t>
      </w:r>
    </w:p>
    <w:p w14:paraId="327EBE77" w14:textId="77777777" w:rsidR="00562126" w:rsidRPr="00AB7857" w:rsidRDefault="00562126" w:rsidP="00562126">
      <w:pPr>
        <w:spacing w:after="60" w:line="252" w:lineRule="auto"/>
        <w:rPr>
          <w:rFonts w:cs="Arial"/>
          <w:b/>
          <w:bCs/>
        </w:rPr>
      </w:pPr>
      <w:r w:rsidRPr="00AB7857">
        <w:rPr>
          <w:rFonts w:cs="Arial"/>
          <w:b/>
          <w:bCs/>
        </w:rPr>
        <w:t>Condition 3:</w:t>
      </w:r>
    </w:p>
    <w:p w14:paraId="435DAABB" w14:textId="77777777" w:rsidR="00562126" w:rsidRPr="00AB7857" w:rsidRDefault="00562126" w:rsidP="00381DA6">
      <w:pPr>
        <w:spacing w:after="160"/>
        <w:rPr>
          <w:rFonts w:cs="Arial"/>
        </w:rPr>
      </w:pPr>
      <w:r w:rsidRPr="00AB7857">
        <w:rPr>
          <w:rFonts w:cs="Arial"/>
        </w:rPr>
        <w:t xml:space="preserve">The Queensland Department of Agriculture and Fisheries must inform the Department of Agriculture, </w:t>
      </w:r>
      <w:proofErr w:type="gramStart"/>
      <w:r w:rsidRPr="00AB7857">
        <w:rPr>
          <w:rFonts w:cs="Arial"/>
        </w:rPr>
        <w:t>Water</w:t>
      </w:r>
      <w:proofErr w:type="gramEnd"/>
      <w:r w:rsidRPr="00AB7857">
        <w:rPr>
          <w:rFonts w:cs="Arial"/>
        </w:rPr>
        <w:t xml:space="preserve"> and the Environment of any intended changes to fisheries legislation that may affect the legislative instruments relevant to this approval.</w:t>
      </w:r>
    </w:p>
    <w:p w14:paraId="7B6B970E" w14:textId="77777777" w:rsidR="00562126" w:rsidRPr="00AB7857" w:rsidRDefault="00562126" w:rsidP="00562126">
      <w:pPr>
        <w:spacing w:after="60" w:line="252" w:lineRule="auto"/>
        <w:rPr>
          <w:rFonts w:cs="Arial"/>
          <w:b/>
          <w:bCs/>
        </w:rPr>
      </w:pPr>
      <w:r w:rsidRPr="00AB7857">
        <w:rPr>
          <w:rFonts w:cs="Arial"/>
          <w:b/>
          <w:bCs/>
        </w:rPr>
        <w:t>Condition 4:</w:t>
      </w:r>
    </w:p>
    <w:p w14:paraId="698EED18" w14:textId="77777777" w:rsidR="00562126" w:rsidRPr="00AB7857" w:rsidRDefault="00562126" w:rsidP="00381DA6">
      <w:pPr>
        <w:spacing w:after="160"/>
        <w:rPr>
          <w:rFonts w:cs="Arial"/>
          <w:b/>
        </w:rPr>
      </w:pPr>
      <w:r w:rsidRPr="00683940">
        <w:rPr>
          <w:rFonts w:cs="Arial"/>
        </w:rPr>
        <w:t xml:space="preserve">The Queensland Department of Agriculture and Fisheries must produce and present reports to the Department of Agriculture, </w:t>
      </w:r>
      <w:proofErr w:type="gramStart"/>
      <w:r w:rsidRPr="00683940">
        <w:rPr>
          <w:rFonts w:cs="Arial"/>
        </w:rPr>
        <w:t>Water</w:t>
      </w:r>
      <w:proofErr w:type="gramEnd"/>
      <w:r w:rsidRPr="00683940">
        <w:rPr>
          <w:rFonts w:cs="Arial"/>
        </w:rPr>
        <w:t xml:space="preserve"> and the Environment annually, as per Appendix B of the </w:t>
      </w:r>
      <w:r w:rsidRPr="00683940">
        <w:rPr>
          <w:rFonts w:cs="Arial"/>
          <w:i/>
          <w:iCs/>
        </w:rPr>
        <w:t xml:space="preserve">Guidelines for the Ecologically Sustainable Management of Fisheries </w:t>
      </w:r>
      <w:r>
        <w:rPr>
          <w:rFonts w:cs="Arial"/>
          <w:i/>
          <w:iCs/>
        </w:rPr>
        <w:t>–</w:t>
      </w:r>
      <w:r w:rsidRPr="00683940">
        <w:rPr>
          <w:rFonts w:cs="Arial"/>
          <w:i/>
          <w:iCs/>
        </w:rPr>
        <w:t xml:space="preserve"> 2nd Edition.</w:t>
      </w:r>
    </w:p>
    <w:p w14:paraId="2B2A990C" w14:textId="77777777" w:rsidR="00562126" w:rsidRPr="00376F2A" w:rsidRDefault="00562126" w:rsidP="00562126">
      <w:pPr>
        <w:spacing w:after="60" w:line="252" w:lineRule="auto"/>
        <w:rPr>
          <w:rFonts w:cs="Arial"/>
          <w:b/>
          <w:bCs/>
        </w:rPr>
      </w:pPr>
      <w:r w:rsidRPr="00376F2A">
        <w:rPr>
          <w:rFonts w:cs="Arial"/>
          <w:b/>
          <w:bCs/>
        </w:rPr>
        <w:t>Condition 5:</w:t>
      </w:r>
    </w:p>
    <w:p w14:paraId="1C3E2758" w14:textId="77777777" w:rsidR="00562126" w:rsidRDefault="00562126" w:rsidP="00562126">
      <w:r>
        <w:t>Before the commencement of the 2022–23 fishing season, the Queensland Department of Agriculture and Fisheries must undertake work to better characterise the approximate species composition of catch for species listed in Attachment A for which identification to genus-level is acceptable at export, including by:</w:t>
      </w:r>
    </w:p>
    <w:p w14:paraId="17782779" w14:textId="77777777" w:rsidR="00562126" w:rsidRDefault="00562126" w:rsidP="00562126">
      <w:pPr>
        <w:numPr>
          <w:ilvl w:val="0"/>
          <w:numId w:val="8"/>
        </w:numPr>
        <w:spacing w:after="200"/>
        <w:ind w:left="714" w:hanging="357"/>
      </w:pPr>
      <w:r>
        <w:t>introducing a scientific program to independently characterise the approximate species composition of specimens of the genus Acropora harvested from the Queensland Coral Fishery.</w:t>
      </w:r>
    </w:p>
    <w:p w14:paraId="778F11E3" w14:textId="77777777" w:rsidR="00562126" w:rsidRDefault="00562126" w:rsidP="00562126">
      <w:r>
        <w:t xml:space="preserve">This should be representative of Acropora sp. harvest from all regions and habitats in which the fishery operates and be conducted at regular intervals of no greater than every 12 months. Findings must be reported to the CITES Scientific Authority as part of the annual reporting requirement under Condition 4. </w:t>
      </w:r>
    </w:p>
    <w:p w14:paraId="06386256" w14:textId="77777777" w:rsidR="00562126" w:rsidRDefault="00562126" w:rsidP="00562126">
      <w:pPr>
        <w:spacing w:after="60" w:line="252" w:lineRule="auto"/>
        <w:rPr>
          <w:rFonts w:cs="Arial"/>
          <w:b/>
          <w:bCs/>
        </w:rPr>
      </w:pPr>
    </w:p>
    <w:p w14:paraId="46AE35DD" w14:textId="4F4720BD" w:rsidR="00562126" w:rsidRPr="00376F2A" w:rsidRDefault="00562126" w:rsidP="00562126">
      <w:pPr>
        <w:spacing w:after="60" w:line="252" w:lineRule="auto"/>
        <w:rPr>
          <w:rFonts w:cs="Arial"/>
          <w:b/>
          <w:bCs/>
        </w:rPr>
      </w:pPr>
      <w:r w:rsidRPr="00376F2A">
        <w:rPr>
          <w:rFonts w:cs="Arial"/>
          <w:b/>
          <w:bCs/>
        </w:rPr>
        <w:lastRenderedPageBreak/>
        <w:t>Condition 6:</w:t>
      </w:r>
    </w:p>
    <w:p w14:paraId="245537A1" w14:textId="77777777" w:rsidR="00562126" w:rsidRDefault="00562126" w:rsidP="00562126">
      <w:r>
        <w:t>Before the commencement of the 2022–23 fishing season, the Queensland Department of Agriculture and Fisheries must implement annual harvest limits in the Queensland Coral Fishery:</w:t>
      </w:r>
    </w:p>
    <w:p w14:paraId="7443D4E1" w14:textId="77777777" w:rsidR="00562126" w:rsidRDefault="00562126" w:rsidP="00562126">
      <w:pPr>
        <w:numPr>
          <w:ilvl w:val="0"/>
          <w:numId w:val="9"/>
        </w:numPr>
      </w:pPr>
      <w:r>
        <w:t>provided in Attachment B. These limits are to remain in place until robust data is presented to the satisfaction of the CITES Scientific Authority to underpin a revised Non-Detriment Finding.</w:t>
      </w:r>
    </w:p>
    <w:p w14:paraId="694AC12F" w14:textId="77777777" w:rsidR="00562126" w:rsidRDefault="00562126" w:rsidP="00562126">
      <w:pPr>
        <w:numPr>
          <w:ilvl w:val="0"/>
          <w:numId w:val="9"/>
        </w:numPr>
      </w:pPr>
      <w:r>
        <w:t>for all species with a catch history in the fishery during the reference period used in the Harvest Strategy (except those species of concern listed in Attachment B) and have a catch limit of 150% of the harvest level in the reference period.</w:t>
      </w:r>
    </w:p>
    <w:p w14:paraId="73E2153E" w14:textId="77777777" w:rsidR="00562126" w:rsidRDefault="00562126" w:rsidP="00562126">
      <w:pPr>
        <w:numPr>
          <w:ilvl w:val="0"/>
          <w:numId w:val="9"/>
        </w:numPr>
        <w:spacing w:after="200"/>
        <w:ind w:left="714" w:hanging="357"/>
      </w:pPr>
      <w:r>
        <w:t>of 600 kg for all other CITES listed coral species harvested in the fishery.</w:t>
      </w:r>
    </w:p>
    <w:p w14:paraId="4355DE50" w14:textId="77777777" w:rsidR="00562126" w:rsidRPr="00376F2A" w:rsidRDefault="00562126" w:rsidP="00562126">
      <w:pPr>
        <w:spacing w:after="60" w:line="252" w:lineRule="auto"/>
        <w:rPr>
          <w:rFonts w:cs="Arial"/>
          <w:b/>
          <w:bCs/>
        </w:rPr>
      </w:pPr>
      <w:r w:rsidRPr="00376F2A">
        <w:rPr>
          <w:rFonts w:cs="Arial"/>
          <w:b/>
          <w:bCs/>
        </w:rPr>
        <w:t>Condition 7:</w:t>
      </w:r>
    </w:p>
    <w:p w14:paraId="503E8764" w14:textId="77777777" w:rsidR="00562126" w:rsidRPr="00963260" w:rsidRDefault="00562126" w:rsidP="00562126">
      <w:pPr>
        <w:rPr>
          <w:rFonts w:cstheme="minorHAnsi"/>
        </w:rPr>
      </w:pPr>
      <w:r w:rsidRPr="00963260">
        <w:rPr>
          <w:rFonts w:cstheme="minorHAnsi"/>
        </w:rPr>
        <w:t xml:space="preserve">The Queensland Department of Agriculture and Fisheries must: </w:t>
      </w:r>
    </w:p>
    <w:p w14:paraId="09DCE97D" w14:textId="77777777" w:rsidR="00562126" w:rsidRPr="00963260" w:rsidRDefault="00562126" w:rsidP="00562126">
      <w:pPr>
        <w:pStyle w:val="ListParagraph"/>
        <w:numPr>
          <w:ilvl w:val="0"/>
          <w:numId w:val="10"/>
        </w:numPr>
        <w:spacing w:after="160" w:line="259" w:lineRule="auto"/>
        <w:contextualSpacing/>
        <w:rPr>
          <w:rFonts w:cstheme="minorHAnsi"/>
        </w:rPr>
      </w:pPr>
      <w:r w:rsidRPr="00963260">
        <w:t>for the remainder of the 2021</w:t>
      </w:r>
      <w:r>
        <w:t>–</w:t>
      </w:r>
      <w:r w:rsidRPr="00963260">
        <w:t xml:space="preserve">22 fishing season, work with industry to limit catch within the current season to as close as practicable to the harvest limits outlined in Condition 6. </w:t>
      </w:r>
    </w:p>
    <w:p w14:paraId="7AF611EF" w14:textId="77777777" w:rsidR="00562126" w:rsidRPr="00963260" w:rsidRDefault="00562126" w:rsidP="00562126">
      <w:pPr>
        <w:pStyle w:val="ListParagraph"/>
        <w:numPr>
          <w:ilvl w:val="0"/>
          <w:numId w:val="10"/>
        </w:numPr>
        <w:spacing w:after="160" w:line="259" w:lineRule="auto"/>
        <w:contextualSpacing/>
        <w:rPr>
          <w:rFonts w:cstheme="minorHAnsi"/>
        </w:rPr>
      </w:pPr>
      <w:r w:rsidRPr="00963260">
        <w:t>before the commencement of the 2022–23 fishing season,</w:t>
      </w:r>
      <w:r w:rsidRPr="00963260">
        <w:rPr>
          <w:rFonts w:cstheme="minorHAnsi"/>
        </w:rPr>
        <w:t xml:space="preserve"> inform the Department of Agriculture, Water and the Environment of what mechanism will be used to enforce the harvest limits outlined in Condition 6.</w:t>
      </w:r>
    </w:p>
    <w:p w14:paraId="4D1B0080" w14:textId="77777777" w:rsidR="00562126" w:rsidRPr="00376F2A" w:rsidRDefault="00562126" w:rsidP="00562126">
      <w:pPr>
        <w:pStyle w:val="ListParagraph"/>
        <w:numPr>
          <w:ilvl w:val="0"/>
          <w:numId w:val="10"/>
        </w:numPr>
        <w:spacing w:after="160" w:line="259" w:lineRule="auto"/>
        <w:contextualSpacing/>
        <w:rPr>
          <w:rFonts w:cstheme="minorHAnsi"/>
        </w:rPr>
      </w:pPr>
      <w:r w:rsidRPr="00963260">
        <w:rPr>
          <w:rFonts w:cstheme="minorHAnsi"/>
        </w:rPr>
        <w:t>from the commencement of the 2022</w:t>
      </w:r>
      <w:r>
        <w:rPr>
          <w:rFonts w:cstheme="minorHAnsi"/>
        </w:rPr>
        <w:t>–</w:t>
      </w:r>
      <w:r w:rsidRPr="00963260">
        <w:rPr>
          <w:rFonts w:cstheme="minorHAnsi"/>
        </w:rPr>
        <w:t>23 fishing season, actively manage harvest within the limits specified in Condition 6.</w:t>
      </w:r>
    </w:p>
    <w:p w14:paraId="1FEEFFF3" w14:textId="77777777" w:rsidR="00562126" w:rsidRPr="002919FA" w:rsidRDefault="00562126" w:rsidP="00562126">
      <w:pPr>
        <w:rPr>
          <w:b/>
          <w:bCs/>
        </w:rPr>
      </w:pPr>
      <w:r w:rsidRPr="002919FA">
        <w:rPr>
          <w:b/>
          <w:bCs/>
        </w:rPr>
        <w:t>Condition 8:</w:t>
      </w:r>
    </w:p>
    <w:p w14:paraId="2EDDD1C3" w14:textId="77777777" w:rsidR="00562126" w:rsidRDefault="00562126" w:rsidP="00381DA6">
      <w:pPr>
        <w:spacing w:after="160"/>
      </w:pPr>
      <w:r w:rsidRPr="002919FA">
        <w:t>By 30 June 2022, the Queensland Department of Agriculture and Fisheries must publish a revised</w:t>
      </w:r>
      <w:r>
        <w:t xml:space="preserve"> Ecological Risk Assessment for the Queensland Coral Fishery. </w:t>
      </w:r>
    </w:p>
    <w:p w14:paraId="0EC5006E" w14:textId="77777777" w:rsidR="00562126" w:rsidRPr="002919FA" w:rsidRDefault="00562126" w:rsidP="00562126">
      <w:pPr>
        <w:rPr>
          <w:b/>
          <w:bCs/>
        </w:rPr>
      </w:pPr>
      <w:r w:rsidRPr="002919FA">
        <w:rPr>
          <w:b/>
          <w:bCs/>
        </w:rPr>
        <w:t>Condition 9:</w:t>
      </w:r>
    </w:p>
    <w:p w14:paraId="36AE4697" w14:textId="77777777" w:rsidR="00562126" w:rsidRDefault="00562126" w:rsidP="00381DA6">
      <w:pPr>
        <w:spacing w:after="160"/>
        <w:rPr>
          <w:highlight w:val="yellow"/>
        </w:rPr>
      </w:pPr>
      <w:r>
        <w:t xml:space="preserve">The Queensland Department of Agriculture and Fisheries must, within 90 days of a disturbance event occurring in the Queensland Coral Fishery, inform the CITES Scientific Authority of any potential impacts these may have on the Non-Detriment Finding determinations, including management responses implemented.  </w:t>
      </w:r>
    </w:p>
    <w:p w14:paraId="56D6E566" w14:textId="77777777" w:rsidR="00562126" w:rsidRPr="00376F2A" w:rsidRDefault="00562126" w:rsidP="00562126">
      <w:pPr>
        <w:rPr>
          <w:b/>
          <w:bCs/>
        </w:rPr>
      </w:pPr>
      <w:r w:rsidRPr="00376F2A">
        <w:rPr>
          <w:b/>
          <w:bCs/>
        </w:rPr>
        <w:t>Recommendation 1</w:t>
      </w:r>
      <w:r>
        <w:rPr>
          <w:b/>
          <w:bCs/>
        </w:rPr>
        <w:t>:</w:t>
      </w:r>
    </w:p>
    <w:p w14:paraId="0D2B4C08" w14:textId="77777777" w:rsidR="00562126" w:rsidRPr="00376F2A" w:rsidRDefault="00562126" w:rsidP="00381DA6">
      <w:pPr>
        <w:spacing w:after="160"/>
      </w:pPr>
      <w:r w:rsidRPr="00376F2A">
        <w:t xml:space="preserve">The Queensland Department of Agriculture and Fisheries to provide the facility for fishers in the Queensland Coral Fishery to report harvest of all species listed in Attachment A to species-level. This should be supported by guidance materials and expert review of records where fishers identify knowledge gaps. </w:t>
      </w:r>
    </w:p>
    <w:p w14:paraId="51107771" w14:textId="77777777" w:rsidR="00562126" w:rsidRPr="00376F2A" w:rsidRDefault="00562126" w:rsidP="00562126">
      <w:pPr>
        <w:rPr>
          <w:b/>
          <w:bCs/>
        </w:rPr>
      </w:pPr>
      <w:r w:rsidRPr="00376F2A">
        <w:rPr>
          <w:b/>
          <w:bCs/>
        </w:rPr>
        <w:t>Recommendation 2</w:t>
      </w:r>
      <w:r>
        <w:rPr>
          <w:b/>
          <w:bCs/>
        </w:rPr>
        <w:t>:</w:t>
      </w:r>
    </w:p>
    <w:p w14:paraId="7FC30E27" w14:textId="77777777" w:rsidR="00562126" w:rsidRDefault="00562126" w:rsidP="00562126">
      <w:r w:rsidRPr="00376F2A">
        <w:t xml:space="preserve">Queensland Department of Agriculture and Fisheries to work with the coral harvest industry to develop a traceability framework for the QCF that supports distinguishing wild harvested corals from captive bred corals. </w:t>
      </w:r>
      <w:bookmarkEnd w:id="0"/>
    </w:p>
    <w:p w14:paraId="7902E1C7" w14:textId="77777777" w:rsidR="00562126" w:rsidRDefault="00562126" w:rsidP="00562126">
      <w:r>
        <w:br w:type="page"/>
      </w:r>
    </w:p>
    <w:p w14:paraId="7E9C99FB" w14:textId="77777777" w:rsidR="00562126" w:rsidRPr="00F37422" w:rsidRDefault="00562126" w:rsidP="00562126">
      <w:pPr>
        <w:spacing w:after="120"/>
        <w:jc w:val="right"/>
        <w:rPr>
          <w:rFonts w:cs="Calibri"/>
          <w:b/>
        </w:rPr>
      </w:pPr>
      <w:r w:rsidRPr="00F37422">
        <w:rPr>
          <w:rFonts w:cs="Calibri"/>
          <w:b/>
        </w:rPr>
        <w:lastRenderedPageBreak/>
        <w:t>Attachment A</w:t>
      </w:r>
    </w:p>
    <w:p w14:paraId="27E924BD" w14:textId="77777777" w:rsidR="00623694" w:rsidRPr="007236AF" w:rsidRDefault="00562126" w:rsidP="00623694">
      <w:pPr>
        <w:spacing w:line="256" w:lineRule="auto"/>
        <w:ind w:left="360"/>
        <w:rPr>
          <w:i/>
          <w:iCs/>
        </w:rPr>
      </w:pPr>
      <w:r w:rsidRPr="007236AF">
        <w:rPr>
          <w:lang w:val="en-US"/>
        </w:rPr>
        <w:t>Hard coral (order Scleractinia) taxa where identification to genus level is acceptable but should be identified to species level where feasible. All other hard corals should be recorded to species</w:t>
      </w:r>
    </w:p>
    <w:p w14:paraId="58CC3AC7" w14:textId="00073617" w:rsidR="00562126" w:rsidRPr="0086516E" w:rsidRDefault="00562126" w:rsidP="00562126">
      <w:pPr>
        <w:spacing w:after="120"/>
        <w:rPr>
          <w:rFonts w:cs="Calibri"/>
          <w:bCs/>
        </w:rPr>
      </w:pPr>
    </w:p>
    <w:p w14:paraId="2DF7C33B" w14:textId="77777777" w:rsidR="00562126" w:rsidRDefault="00562126" w:rsidP="00562126">
      <w:pPr>
        <w:spacing w:after="120"/>
        <w:rPr>
          <w:rFonts w:cs="Calibri"/>
          <w:bCs/>
        </w:rPr>
        <w:sectPr w:rsidR="00562126" w:rsidSect="0084723E">
          <w:headerReference w:type="even" r:id="rId13"/>
          <w:headerReference w:type="default" r:id="rId14"/>
          <w:headerReference w:type="first" r:id="rId15"/>
          <w:pgSz w:w="11909" w:h="16834" w:code="9"/>
          <w:pgMar w:top="1440" w:right="1440" w:bottom="1134" w:left="1440" w:header="709" w:footer="709" w:gutter="0"/>
          <w:cols w:space="708"/>
          <w:docGrid w:linePitch="360"/>
        </w:sectPr>
      </w:pPr>
    </w:p>
    <w:p w14:paraId="4D16F563" w14:textId="77777777" w:rsidR="00623694" w:rsidRPr="001C331D" w:rsidRDefault="00623694" w:rsidP="00623694">
      <w:pPr>
        <w:pStyle w:val="ListParagraph"/>
        <w:numPr>
          <w:ilvl w:val="0"/>
          <w:numId w:val="11"/>
        </w:numPr>
        <w:spacing w:after="120"/>
        <w:rPr>
          <w:rFonts w:eastAsia="Times New Roman" w:cs="Calibri"/>
          <w:bCs/>
          <w:lang w:val="en-US"/>
        </w:rPr>
      </w:pPr>
      <w:r w:rsidRPr="001C331D">
        <w:rPr>
          <w:rFonts w:eastAsia="Times New Roman" w:cs="Calibri"/>
          <w:bCs/>
          <w:lang w:val="en-US"/>
        </w:rPr>
        <w:t>Acropora</w:t>
      </w:r>
    </w:p>
    <w:p w14:paraId="04D0BC0C"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Agaricia</w:t>
      </w:r>
      <w:proofErr w:type="spellEnd"/>
    </w:p>
    <w:p w14:paraId="56CACD1C"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Alveopora</w:t>
      </w:r>
      <w:proofErr w:type="spellEnd"/>
    </w:p>
    <w:p w14:paraId="3D2B8037"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Anacropora</w:t>
      </w:r>
      <w:proofErr w:type="spellEnd"/>
    </w:p>
    <w:p w14:paraId="48E29E0A"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Astreopora</w:t>
      </w:r>
      <w:proofErr w:type="spellEnd"/>
    </w:p>
    <w:p w14:paraId="38D5BA3A"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Balanophyllia</w:t>
      </w:r>
      <w:proofErr w:type="spellEnd"/>
    </w:p>
    <w:p w14:paraId="7A561FAE"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Barabattoia</w:t>
      </w:r>
      <w:proofErr w:type="spellEnd"/>
    </w:p>
    <w:p w14:paraId="550A4388"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Blastomussa</w:t>
      </w:r>
      <w:proofErr w:type="spellEnd"/>
    </w:p>
    <w:p w14:paraId="05CD92D9"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Caulastraea</w:t>
      </w:r>
      <w:proofErr w:type="spellEnd"/>
    </w:p>
    <w:p w14:paraId="3A874B8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Coscinaraea</w:t>
      </w:r>
      <w:proofErr w:type="spellEnd"/>
    </w:p>
    <w:p w14:paraId="7369327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Cyphastrea</w:t>
      </w:r>
      <w:proofErr w:type="spellEnd"/>
    </w:p>
    <w:p w14:paraId="25C1D074"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Dendrophyllia</w:t>
      </w:r>
      <w:proofErr w:type="spellEnd"/>
    </w:p>
    <w:p w14:paraId="1766C81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Distichopora</w:t>
      </w:r>
      <w:proofErr w:type="spellEnd"/>
    </w:p>
    <w:p w14:paraId="5D16B494"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Echinophyllia</w:t>
      </w:r>
      <w:proofErr w:type="spellEnd"/>
    </w:p>
    <w:p w14:paraId="4B1A81A2"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Echinopora</w:t>
      </w:r>
      <w:proofErr w:type="spellEnd"/>
      <w:r w:rsidRPr="001C331D">
        <w:rPr>
          <w:rFonts w:eastAsia="Times New Roman" w:cs="Calibri"/>
          <w:bCs/>
          <w:lang w:val="en-US"/>
        </w:rPr>
        <w:t xml:space="preserve"> </w:t>
      </w:r>
    </w:p>
    <w:p w14:paraId="52EC04F5"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Favites</w:t>
      </w:r>
      <w:proofErr w:type="spellEnd"/>
    </w:p>
    <w:p w14:paraId="4387146E"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Fungia</w:t>
      </w:r>
      <w:proofErr w:type="spellEnd"/>
    </w:p>
    <w:p w14:paraId="3027893E"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Galaxea</w:t>
      </w:r>
      <w:proofErr w:type="spellEnd"/>
    </w:p>
    <w:p w14:paraId="77C8DBB9"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Goniastrea</w:t>
      </w:r>
      <w:proofErr w:type="spellEnd"/>
    </w:p>
    <w:p w14:paraId="6FA23DFE"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Goniopora</w:t>
      </w:r>
      <w:proofErr w:type="spellEnd"/>
    </w:p>
    <w:p w14:paraId="3E3127CB"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Heteropsammia</w:t>
      </w:r>
      <w:proofErr w:type="spellEnd"/>
    </w:p>
    <w:p w14:paraId="7ED06D9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Hydnophora</w:t>
      </w:r>
      <w:proofErr w:type="spellEnd"/>
    </w:p>
    <w:p w14:paraId="1D090157"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Leptastrea</w:t>
      </w:r>
      <w:proofErr w:type="spellEnd"/>
    </w:p>
    <w:p w14:paraId="7D85252B"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Leptoseris</w:t>
      </w:r>
      <w:proofErr w:type="spellEnd"/>
    </w:p>
    <w:p w14:paraId="77EFD628"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Lobophyllia</w:t>
      </w:r>
      <w:proofErr w:type="spellEnd"/>
    </w:p>
    <w:p w14:paraId="46F7C054"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Montastrea</w:t>
      </w:r>
      <w:proofErr w:type="spellEnd"/>
    </w:p>
    <w:p w14:paraId="299A43D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Montipora</w:t>
      </w:r>
      <w:proofErr w:type="spellEnd"/>
    </w:p>
    <w:p w14:paraId="1E29431C" w14:textId="77777777" w:rsidR="00623694" w:rsidRPr="001C331D" w:rsidRDefault="00623694" w:rsidP="00623694">
      <w:pPr>
        <w:pStyle w:val="ListParagraph"/>
        <w:numPr>
          <w:ilvl w:val="0"/>
          <w:numId w:val="11"/>
        </w:numPr>
        <w:spacing w:after="120"/>
        <w:rPr>
          <w:rFonts w:eastAsia="Times New Roman" w:cs="Calibri"/>
          <w:bCs/>
          <w:lang w:val="en-US"/>
        </w:rPr>
      </w:pPr>
      <w:r w:rsidRPr="001C331D">
        <w:rPr>
          <w:rFonts w:eastAsia="Times New Roman" w:cs="Calibri"/>
          <w:bCs/>
          <w:lang w:val="en-US"/>
        </w:rPr>
        <w:t>Oculina</w:t>
      </w:r>
    </w:p>
    <w:p w14:paraId="30003EE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Oxypora</w:t>
      </w:r>
      <w:proofErr w:type="spellEnd"/>
    </w:p>
    <w:p w14:paraId="1479BA1A"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Pachyseris</w:t>
      </w:r>
      <w:proofErr w:type="spellEnd"/>
    </w:p>
    <w:p w14:paraId="1CE521EF"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Pavona</w:t>
      </w:r>
      <w:proofErr w:type="spellEnd"/>
    </w:p>
    <w:p w14:paraId="1D5380EE"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Pectinia</w:t>
      </w:r>
      <w:proofErr w:type="spellEnd"/>
    </w:p>
    <w:p w14:paraId="2785D94B"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Platygyra</w:t>
      </w:r>
      <w:proofErr w:type="spellEnd"/>
    </w:p>
    <w:p w14:paraId="54EDD9E0"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Pocillopora</w:t>
      </w:r>
      <w:proofErr w:type="spellEnd"/>
    </w:p>
    <w:p w14:paraId="43CC5917" w14:textId="77777777" w:rsidR="00623694" w:rsidRPr="001C331D" w:rsidRDefault="00623694" w:rsidP="00623694">
      <w:pPr>
        <w:pStyle w:val="ListParagraph"/>
        <w:numPr>
          <w:ilvl w:val="0"/>
          <w:numId w:val="11"/>
        </w:numPr>
        <w:spacing w:after="120"/>
        <w:rPr>
          <w:rFonts w:eastAsia="Times New Roman" w:cs="Calibri"/>
          <w:bCs/>
          <w:lang w:val="en-US"/>
        </w:rPr>
      </w:pPr>
      <w:r w:rsidRPr="001C331D">
        <w:rPr>
          <w:rFonts w:eastAsia="Times New Roman" w:cs="Calibri"/>
          <w:bCs/>
          <w:lang w:val="en-US"/>
        </w:rPr>
        <w:t>Porites</w:t>
      </w:r>
    </w:p>
    <w:p w14:paraId="1182A4B8"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Psammocora</w:t>
      </w:r>
      <w:proofErr w:type="spellEnd"/>
    </w:p>
    <w:p w14:paraId="5BF5E6C2"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Seriatopora</w:t>
      </w:r>
      <w:proofErr w:type="spellEnd"/>
    </w:p>
    <w:p w14:paraId="03A277FF"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Siderastrea</w:t>
      </w:r>
      <w:proofErr w:type="spellEnd"/>
    </w:p>
    <w:p w14:paraId="0AE22B1C"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Stylaster</w:t>
      </w:r>
      <w:proofErr w:type="spellEnd"/>
    </w:p>
    <w:p w14:paraId="219C90DD"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Stylocoeniella</w:t>
      </w:r>
      <w:proofErr w:type="spellEnd"/>
    </w:p>
    <w:p w14:paraId="0E6E30E6" w14:textId="77777777" w:rsidR="00623694" w:rsidRPr="001C331D" w:rsidRDefault="00623694" w:rsidP="00623694">
      <w:pPr>
        <w:pStyle w:val="ListParagraph"/>
        <w:numPr>
          <w:ilvl w:val="0"/>
          <w:numId w:val="11"/>
        </w:numPr>
        <w:spacing w:after="120"/>
        <w:rPr>
          <w:rFonts w:eastAsia="Times New Roman" w:cs="Calibri"/>
          <w:bCs/>
          <w:lang w:val="en-US"/>
        </w:rPr>
      </w:pPr>
      <w:proofErr w:type="spellStart"/>
      <w:r w:rsidRPr="001C331D">
        <w:rPr>
          <w:rFonts w:eastAsia="Times New Roman" w:cs="Calibri"/>
          <w:bCs/>
          <w:lang w:val="en-US"/>
        </w:rPr>
        <w:t>Stylophora</w:t>
      </w:r>
      <w:proofErr w:type="spellEnd"/>
    </w:p>
    <w:p w14:paraId="006A3462" w14:textId="75EEAD81" w:rsidR="00562126" w:rsidRDefault="00562126" w:rsidP="00562126">
      <w:pPr>
        <w:pStyle w:val="ListParagraph"/>
        <w:numPr>
          <w:ilvl w:val="0"/>
          <w:numId w:val="11"/>
        </w:numPr>
        <w:spacing w:after="120"/>
        <w:rPr>
          <w:rFonts w:cs="Calibri"/>
          <w:bCs/>
        </w:rPr>
        <w:sectPr w:rsidR="00562126" w:rsidSect="0086516E">
          <w:type w:val="continuous"/>
          <w:pgSz w:w="11909" w:h="16834" w:code="9"/>
          <w:pgMar w:top="1440" w:right="1440" w:bottom="1134" w:left="1440" w:header="709" w:footer="709" w:gutter="0"/>
          <w:cols w:num="2" w:space="708"/>
          <w:docGrid w:linePitch="360"/>
        </w:sectPr>
      </w:pPr>
      <w:proofErr w:type="spellStart"/>
      <w:r w:rsidRPr="00623694">
        <w:rPr>
          <w:rFonts w:eastAsia="Times New Roman" w:cs="Calibri"/>
          <w:lang w:val="en-US"/>
        </w:rPr>
        <w:t>Turbinaria</w:t>
      </w:r>
      <w:proofErr w:type="spellEnd"/>
    </w:p>
    <w:p w14:paraId="056853BE" w14:textId="77777777" w:rsidR="00562126" w:rsidRPr="00F37422" w:rsidRDefault="00562126" w:rsidP="00562126">
      <w:pPr>
        <w:spacing w:after="120"/>
        <w:jc w:val="right"/>
        <w:rPr>
          <w:b/>
          <w:bCs/>
        </w:rPr>
      </w:pPr>
      <w:r w:rsidRPr="00F37422">
        <w:rPr>
          <w:b/>
          <w:bCs/>
        </w:rPr>
        <w:lastRenderedPageBreak/>
        <w:t>Attachment B</w:t>
      </w:r>
    </w:p>
    <w:p w14:paraId="0E616616" w14:textId="77777777" w:rsidR="00562126" w:rsidRPr="00F37422" w:rsidRDefault="00562126" w:rsidP="00562126">
      <w:pPr>
        <w:spacing w:after="120"/>
        <w:rPr>
          <w:b/>
          <w:bCs/>
        </w:rPr>
      </w:pPr>
      <w:r w:rsidRPr="00F37422">
        <w:rPr>
          <w:b/>
          <w:bCs/>
        </w:rPr>
        <w:t>Annual harvest limits for species of concern</w:t>
      </w:r>
    </w:p>
    <w:p w14:paraId="49961298" w14:textId="77777777" w:rsidR="00562126" w:rsidRPr="004A2A99" w:rsidRDefault="00562126" w:rsidP="00562126">
      <w:pPr>
        <w:rPr>
          <w:b/>
          <w:bCs/>
        </w:rPr>
      </w:pPr>
    </w:p>
    <w:tbl>
      <w:tblPr>
        <w:tblW w:w="8046" w:type="dxa"/>
        <w:tblLayout w:type="fixed"/>
        <w:tblLook w:val="04A0" w:firstRow="1" w:lastRow="0" w:firstColumn="1" w:lastColumn="0" w:noHBand="0" w:noVBand="1"/>
      </w:tblPr>
      <w:tblGrid>
        <w:gridCol w:w="3686"/>
        <w:gridCol w:w="4360"/>
      </w:tblGrid>
      <w:tr w:rsidR="00562126" w:rsidRPr="00E85614" w14:paraId="7B250E67" w14:textId="77777777" w:rsidTr="00381DA6">
        <w:trPr>
          <w:trHeight w:val="276"/>
        </w:trPr>
        <w:tc>
          <w:tcPr>
            <w:tcW w:w="3686" w:type="dxa"/>
            <w:tcBorders>
              <w:top w:val="single" w:sz="4" w:space="0" w:color="auto"/>
              <w:left w:val="nil"/>
              <w:bottom w:val="double" w:sz="4" w:space="0" w:color="auto"/>
              <w:right w:val="nil"/>
            </w:tcBorders>
            <w:shd w:val="clear" w:color="auto" w:fill="D9D9D9"/>
            <w:noWrap/>
            <w:vAlign w:val="bottom"/>
            <w:hideMark/>
          </w:tcPr>
          <w:p w14:paraId="1D543F6C" w14:textId="77777777" w:rsidR="00562126" w:rsidRPr="00E85614" w:rsidRDefault="00562126" w:rsidP="00F12745">
            <w:pPr>
              <w:spacing w:before="120" w:after="120"/>
              <w:rPr>
                <w:color w:val="000000"/>
              </w:rPr>
            </w:pPr>
            <w:r w:rsidRPr="00E85614">
              <w:rPr>
                <w:color w:val="000000"/>
              </w:rPr>
              <w:t>Taxa</w:t>
            </w:r>
          </w:p>
        </w:tc>
        <w:tc>
          <w:tcPr>
            <w:tcW w:w="4360" w:type="dxa"/>
            <w:tcBorders>
              <w:top w:val="single" w:sz="4" w:space="0" w:color="auto"/>
              <w:left w:val="nil"/>
              <w:bottom w:val="double" w:sz="4" w:space="0" w:color="auto"/>
              <w:right w:val="nil"/>
            </w:tcBorders>
            <w:shd w:val="clear" w:color="auto" w:fill="D9D9D9"/>
            <w:noWrap/>
            <w:vAlign w:val="bottom"/>
            <w:hideMark/>
          </w:tcPr>
          <w:p w14:paraId="4411D4FF" w14:textId="77777777" w:rsidR="00562126" w:rsidRPr="00E85614" w:rsidRDefault="00562126" w:rsidP="00F12745">
            <w:pPr>
              <w:spacing w:before="120" w:after="120"/>
              <w:jc w:val="center"/>
              <w:rPr>
                <w:color w:val="000000"/>
              </w:rPr>
            </w:pPr>
            <w:r w:rsidRPr="00E85614">
              <w:rPr>
                <w:color w:val="000000"/>
              </w:rPr>
              <w:t>Harvest limit (kg)</w:t>
            </w:r>
          </w:p>
        </w:tc>
      </w:tr>
      <w:tr w:rsidR="00562126" w:rsidRPr="00E85614" w14:paraId="4351716E" w14:textId="77777777" w:rsidTr="00381DA6">
        <w:trPr>
          <w:trHeight w:val="276"/>
        </w:trPr>
        <w:tc>
          <w:tcPr>
            <w:tcW w:w="3686" w:type="dxa"/>
            <w:tcBorders>
              <w:top w:val="double" w:sz="4" w:space="0" w:color="auto"/>
              <w:left w:val="nil"/>
              <w:bottom w:val="nil"/>
              <w:right w:val="nil"/>
            </w:tcBorders>
            <w:shd w:val="clear" w:color="auto" w:fill="FFF2CC"/>
            <w:noWrap/>
            <w:vAlign w:val="bottom"/>
            <w:hideMark/>
          </w:tcPr>
          <w:p w14:paraId="57A68877" w14:textId="77777777" w:rsidR="00562126" w:rsidRPr="00E85614" w:rsidRDefault="00562126" w:rsidP="00F12745">
            <w:pPr>
              <w:spacing w:before="60" w:after="60"/>
              <w:rPr>
                <w:i/>
                <w:iCs/>
                <w:color w:val="000000"/>
              </w:rPr>
            </w:pPr>
            <w:r w:rsidRPr="00E85614">
              <w:rPr>
                <w:i/>
                <w:iCs/>
                <w:color w:val="000000"/>
              </w:rPr>
              <w:t xml:space="preserve">Acropora </w:t>
            </w:r>
            <w:r w:rsidRPr="00E85614">
              <w:rPr>
                <w:color w:val="000000"/>
              </w:rPr>
              <w:t>spp.</w:t>
            </w:r>
          </w:p>
        </w:tc>
        <w:tc>
          <w:tcPr>
            <w:tcW w:w="4360" w:type="dxa"/>
            <w:tcBorders>
              <w:top w:val="double" w:sz="4" w:space="0" w:color="auto"/>
              <w:left w:val="nil"/>
              <w:bottom w:val="nil"/>
              <w:right w:val="nil"/>
            </w:tcBorders>
            <w:shd w:val="clear" w:color="auto" w:fill="FFF2CC"/>
            <w:noWrap/>
            <w:vAlign w:val="bottom"/>
            <w:hideMark/>
          </w:tcPr>
          <w:p w14:paraId="2ACE3199" w14:textId="77777777" w:rsidR="00562126" w:rsidRPr="00E85614" w:rsidRDefault="00562126" w:rsidP="00F12745">
            <w:pPr>
              <w:spacing w:before="60" w:after="60"/>
              <w:jc w:val="center"/>
              <w:rPr>
                <w:color w:val="000000"/>
              </w:rPr>
            </w:pPr>
            <w:r w:rsidRPr="00E85614">
              <w:rPr>
                <w:color w:val="000000"/>
              </w:rPr>
              <w:t>19,500</w:t>
            </w:r>
          </w:p>
        </w:tc>
      </w:tr>
      <w:tr w:rsidR="00562126" w:rsidRPr="00E85614" w14:paraId="43873305" w14:textId="77777777" w:rsidTr="00381DA6">
        <w:trPr>
          <w:trHeight w:val="276"/>
        </w:trPr>
        <w:tc>
          <w:tcPr>
            <w:tcW w:w="3686" w:type="dxa"/>
            <w:shd w:val="clear" w:color="auto" w:fill="FFF2CC"/>
            <w:noWrap/>
            <w:vAlign w:val="bottom"/>
            <w:hideMark/>
          </w:tcPr>
          <w:p w14:paraId="2679614E" w14:textId="77777777" w:rsidR="00562126" w:rsidRPr="00E85614" w:rsidRDefault="00562126" w:rsidP="00F12745">
            <w:pPr>
              <w:spacing w:before="60" w:after="60"/>
              <w:rPr>
                <w:i/>
                <w:iCs/>
                <w:color w:val="000000"/>
              </w:rPr>
            </w:pPr>
            <w:proofErr w:type="spellStart"/>
            <w:r w:rsidRPr="00E85614">
              <w:rPr>
                <w:i/>
                <w:iCs/>
                <w:color w:val="000000"/>
              </w:rPr>
              <w:t>Micromussa</w:t>
            </w:r>
            <w:proofErr w:type="spellEnd"/>
            <w:r w:rsidRPr="00E85614">
              <w:rPr>
                <w:i/>
                <w:iCs/>
                <w:color w:val="000000"/>
              </w:rPr>
              <w:t xml:space="preserve"> </w:t>
            </w:r>
            <w:proofErr w:type="spellStart"/>
            <w:r w:rsidRPr="00E85614">
              <w:rPr>
                <w:i/>
                <w:iCs/>
                <w:color w:val="000000"/>
              </w:rPr>
              <w:t>lordhowensis</w:t>
            </w:r>
            <w:proofErr w:type="spellEnd"/>
          </w:p>
        </w:tc>
        <w:tc>
          <w:tcPr>
            <w:tcW w:w="4360" w:type="dxa"/>
            <w:shd w:val="clear" w:color="auto" w:fill="FFF2CC"/>
            <w:noWrap/>
            <w:vAlign w:val="bottom"/>
            <w:hideMark/>
          </w:tcPr>
          <w:p w14:paraId="1996A6BC" w14:textId="77777777" w:rsidR="00562126" w:rsidRPr="00E85614" w:rsidRDefault="00562126" w:rsidP="00F12745">
            <w:pPr>
              <w:spacing w:before="60" w:after="60"/>
              <w:jc w:val="center"/>
              <w:rPr>
                <w:color w:val="000000"/>
              </w:rPr>
            </w:pPr>
            <w:r w:rsidRPr="00E85614">
              <w:rPr>
                <w:color w:val="000000"/>
              </w:rPr>
              <w:t>3,715</w:t>
            </w:r>
          </w:p>
        </w:tc>
      </w:tr>
      <w:tr w:rsidR="00562126" w:rsidRPr="00E85614" w14:paraId="2CA3BEAA" w14:textId="77777777" w:rsidTr="00381DA6">
        <w:trPr>
          <w:trHeight w:val="276"/>
        </w:trPr>
        <w:tc>
          <w:tcPr>
            <w:tcW w:w="3686" w:type="dxa"/>
            <w:shd w:val="clear" w:color="auto" w:fill="FFF2CC"/>
            <w:noWrap/>
            <w:vAlign w:val="bottom"/>
            <w:hideMark/>
          </w:tcPr>
          <w:p w14:paraId="34BD0D8D" w14:textId="77777777" w:rsidR="00562126" w:rsidRPr="00E85614" w:rsidRDefault="00562126" w:rsidP="00F12745">
            <w:pPr>
              <w:spacing w:before="60" w:after="60"/>
              <w:rPr>
                <w:i/>
                <w:iCs/>
                <w:color w:val="000000"/>
              </w:rPr>
            </w:pPr>
            <w:proofErr w:type="spellStart"/>
            <w:r w:rsidRPr="00E85614">
              <w:rPr>
                <w:i/>
                <w:iCs/>
                <w:color w:val="000000"/>
              </w:rPr>
              <w:t>Homophyllia</w:t>
            </w:r>
            <w:proofErr w:type="spellEnd"/>
            <w:r w:rsidRPr="00E85614">
              <w:rPr>
                <w:i/>
                <w:iCs/>
                <w:color w:val="000000"/>
              </w:rPr>
              <w:t xml:space="preserve"> </w:t>
            </w:r>
            <w:r w:rsidRPr="00E85614">
              <w:rPr>
                <w:color w:val="000000"/>
              </w:rPr>
              <w:t xml:space="preserve">cf. </w:t>
            </w:r>
            <w:r w:rsidRPr="00E85614">
              <w:rPr>
                <w:i/>
                <w:iCs/>
                <w:color w:val="000000"/>
              </w:rPr>
              <w:t>australis</w:t>
            </w:r>
          </w:p>
        </w:tc>
        <w:tc>
          <w:tcPr>
            <w:tcW w:w="4360" w:type="dxa"/>
            <w:shd w:val="clear" w:color="auto" w:fill="FFF2CC"/>
            <w:noWrap/>
            <w:vAlign w:val="bottom"/>
            <w:hideMark/>
          </w:tcPr>
          <w:p w14:paraId="53BD9FAE" w14:textId="77777777" w:rsidR="00562126" w:rsidRPr="00E85614" w:rsidRDefault="00562126" w:rsidP="00F12745">
            <w:pPr>
              <w:spacing w:before="60" w:after="60"/>
              <w:jc w:val="center"/>
              <w:rPr>
                <w:color w:val="000000"/>
              </w:rPr>
            </w:pPr>
            <w:r w:rsidRPr="00E85614">
              <w:rPr>
                <w:color w:val="000000"/>
              </w:rPr>
              <w:t>1,065</w:t>
            </w:r>
          </w:p>
        </w:tc>
      </w:tr>
      <w:tr w:rsidR="00562126" w:rsidRPr="00E85614" w14:paraId="50C1EB65" w14:textId="77777777" w:rsidTr="00381DA6">
        <w:trPr>
          <w:trHeight w:val="276"/>
        </w:trPr>
        <w:tc>
          <w:tcPr>
            <w:tcW w:w="3686" w:type="dxa"/>
            <w:shd w:val="clear" w:color="auto" w:fill="FFF2CC"/>
            <w:noWrap/>
            <w:vAlign w:val="bottom"/>
            <w:hideMark/>
          </w:tcPr>
          <w:p w14:paraId="20D63B2E" w14:textId="77777777" w:rsidR="00562126" w:rsidRPr="00E85614" w:rsidRDefault="00562126" w:rsidP="00F12745">
            <w:pPr>
              <w:spacing w:before="60" w:after="60"/>
              <w:rPr>
                <w:i/>
                <w:iCs/>
                <w:color w:val="000000"/>
              </w:rPr>
            </w:pPr>
            <w:proofErr w:type="spellStart"/>
            <w:r w:rsidRPr="00E85614">
              <w:rPr>
                <w:i/>
                <w:iCs/>
                <w:color w:val="000000"/>
              </w:rPr>
              <w:t>Trachyphyllia</w:t>
            </w:r>
            <w:proofErr w:type="spellEnd"/>
            <w:r w:rsidRPr="00E85614">
              <w:rPr>
                <w:i/>
                <w:iCs/>
                <w:color w:val="000000"/>
              </w:rPr>
              <w:t xml:space="preserve"> geoffroyi</w:t>
            </w:r>
          </w:p>
        </w:tc>
        <w:tc>
          <w:tcPr>
            <w:tcW w:w="4360" w:type="dxa"/>
            <w:shd w:val="clear" w:color="auto" w:fill="FFF2CC"/>
            <w:noWrap/>
            <w:vAlign w:val="bottom"/>
            <w:hideMark/>
          </w:tcPr>
          <w:p w14:paraId="55A908C2" w14:textId="77777777" w:rsidR="00562126" w:rsidRPr="00E85614" w:rsidRDefault="00562126" w:rsidP="00F12745">
            <w:pPr>
              <w:spacing w:before="60" w:after="60"/>
              <w:jc w:val="center"/>
              <w:rPr>
                <w:color w:val="000000"/>
              </w:rPr>
            </w:pPr>
            <w:r w:rsidRPr="00E85614">
              <w:rPr>
                <w:color w:val="000000"/>
              </w:rPr>
              <w:t>701</w:t>
            </w:r>
          </w:p>
        </w:tc>
      </w:tr>
      <w:tr w:rsidR="00562126" w:rsidRPr="00E85614" w14:paraId="1A6927A3" w14:textId="77777777" w:rsidTr="00381DA6">
        <w:trPr>
          <w:trHeight w:val="276"/>
        </w:trPr>
        <w:tc>
          <w:tcPr>
            <w:tcW w:w="3686" w:type="dxa"/>
            <w:shd w:val="clear" w:color="auto" w:fill="FFF2CC"/>
            <w:noWrap/>
            <w:vAlign w:val="bottom"/>
            <w:hideMark/>
          </w:tcPr>
          <w:p w14:paraId="3A705144" w14:textId="77777777" w:rsidR="00562126" w:rsidRPr="00E85614" w:rsidRDefault="00562126" w:rsidP="00F12745">
            <w:pPr>
              <w:spacing w:before="60" w:after="60"/>
              <w:rPr>
                <w:i/>
                <w:iCs/>
                <w:color w:val="000000"/>
              </w:rPr>
            </w:pPr>
            <w:proofErr w:type="spellStart"/>
            <w:r w:rsidRPr="00E85614">
              <w:rPr>
                <w:i/>
                <w:iCs/>
                <w:color w:val="000000"/>
              </w:rPr>
              <w:t>Acanthophyllia</w:t>
            </w:r>
            <w:proofErr w:type="spellEnd"/>
            <w:r w:rsidRPr="00E85614">
              <w:rPr>
                <w:i/>
                <w:iCs/>
                <w:color w:val="000000"/>
              </w:rPr>
              <w:t xml:space="preserve"> </w:t>
            </w:r>
            <w:proofErr w:type="spellStart"/>
            <w:r w:rsidRPr="00E85614">
              <w:rPr>
                <w:i/>
                <w:iCs/>
                <w:color w:val="000000"/>
              </w:rPr>
              <w:t>deshayesiana</w:t>
            </w:r>
            <w:proofErr w:type="spellEnd"/>
          </w:p>
        </w:tc>
        <w:tc>
          <w:tcPr>
            <w:tcW w:w="4360" w:type="dxa"/>
            <w:shd w:val="clear" w:color="auto" w:fill="FFF2CC"/>
            <w:noWrap/>
            <w:vAlign w:val="bottom"/>
            <w:hideMark/>
          </w:tcPr>
          <w:p w14:paraId="01EA73CD" w14:textId="77777777" w:rsidR="00562126" w:rsidRPr="00E85614" w:rsidRDefault="00562126" w:rsidP="00F12745">
            <w:pPr>
              <w:spacing w:before="60" w:after="60"/>
              <w:jc w:val="center"/>
              <w:rPr>
                <w:color w:val="000000"/>
              </w:rPr>
            </w:pPr>
            <w:r w:rsidRPr="00E85614">
              <w:rPr>
                <w:color w:val="000000"/>
              </w:rPr>
              <w:t>600</w:t>
            </w:r>
          </w:p>
        </w:tc>
      </w:tr>
      <w:tr w:rsidR="00562126" w:rsidRPr="00E85614" w14:paraId="7DC13C06" w14:textId="77777777" w:rsidTr="00381DA6">
        <w:trPr>
          <w:trHeight w:val="276"/>
        </w:trPr>
        <w:tc>
          <w:tcPr>
            <w:tcW w:w="3686" w:type="dxa"/>
            <w:shd w:val="clear" w:color="auto" w:fill="E2EFDA"/>
            <w:noWrap/>
            <w:vAlign w:val="bottom"/>
            <w:hideMark/>
          </w:tcPr>
          <w:p w14:paraId="4F22597B" w14:textId="77777777" w:rsidR="00562126" w:rsidRPr="00E85614" w:rsidRDefault="00562126" w:rsidP="00F12745">
            <w:pPr>
              <w:spacing w:before="60" w:after="60"/>
              <w:rPr>
                <w:i/>
                <w:iCs/>
                <w:color w:val="000000"/>
              </w:rPr>
            </w:pPr>
            <w:proofErr w:type="spellStart"/>
            <w:r w:rsidRPr="00E85614">
              <w:rPr>
                <w:i/>
                <w:iCs/>
                <w:color w:val="000000"/>
              </w:rPr>
              <w:t>Catalaphyllia</w:t>
            </w:r>
            <w:proofErr w:type="spellEnd"/>
            <w:r w:rsidRPr="00E85614">
              <w:rPr>
                <w:i/>
                <w:iCs/>
                <w:color w:val="000000"/>
              </w:rPr>
              <w:t xml:space="preserve"> </w:t>
            </w:r>
            <w:proofErr w:type="spellStart"/>
            <w:r w:rsidRPr="00E85614">
              <w:rPr>
                <w:i/>
                <w:iCs/>
                <w:color w:val="000000"/>
              </w:rPr>
              <w:t>jardinei</w:t>
            </w:r>
            <w:proofErr w:type="spellEnd"/>
          </w:p>
        </w:tc>
        <w:tc>
          <w:tcPr>
            <w:tcW w:w="4360" w:type="dxa"/>
            <w:shd w:val="clear" w:color="auto" w:fill="E2EFDA"/>
            <w:noWrap/>
            <w:vAlign w:val="bottom"/>
            <w:hideMark/>
          </w:tcPr>
          <w:p w14:paraId="73CF962D" w14:textId="77777777" w:rsidR="00562126" w:rsidRPr="00E85614" w:rsidRDefault="00562126" w:rsidP="00F12745">
            <w:pPr>
              <w:spacing w:before="60" w:after="60"/>
              <w:jc w:val="center"/>
              <w:rPr>
                <w:color w:val="000000"/>
              </w:rPr>
            </w:pPr>
            <w:r w:rsidRPr="00E85614">
              <w:rPr>
                <w:color w:val="000000"/>
              </w:rPr>
              <w:t>1,772</w:t>
            </w:r>
          </w:p>
        </w:tc>
      </w:tr>
      <w:tr w:rsidR="00562126" w:rsidRPr="00E85614" w14:paraId="2F6540E2" w14:textId="77777777" w:rsidTr="00381DA6">
        <w:trPr>
          <w:trHeight w:val="276"/>
        </w:trPr>
        <w:tc>
          <w:tcPr>
            <w:tcW w:w="3686" w:type="dxa"/>
            <w:shd w:val="clear" w:color="auto" w:fill="E2EFDA"/>
            <w:noWrap/>
            <w:vAlign w:val="bottom"/>
            <w:hideMark/>
          </w:tcPr>
          <w:p w14:paraId="79289FCC" w14:textId="77777777" w:rsidR="00562126" w:rsidRPr="00E85614" w:rsidRDefault="00562126" w:rsidP="00F12745">
            <w:pPr>
              <w:spacing w:before="60" w:after="60"/>
              <w:rPr>
                <w:i/>
                <w:iCs/>
                <w:color w:val="000000"/>
              </w:rPr>
            </w:pPr>
            <w:proofErr w:type="spellStart"/>
            <w:r w:rsidRPr="00E85614">
              <w:rPr>
                <w:i/>
                <w:iCs/>
                <w:color w:val="000000"/>
              </w:rPr>
              <w:t>Fimbriaphyllia</w:t>
            </w:r>
            <w:proofErr w:type="spellEnd"/>
            <w:r w:rsidRPr="00E85614">
              <w:rPr>
                <w:i/>
                <w:iCs/>
                <w:color w:val="000000"/>
              </w:rPr>
              <w:t xml:space="preserve"> </w:t>
            </w:r>
            <w:proofErr w:type="spellStart"/>
            <w:r w:rsidRPr="00E85614">
              <w:rPr>
                <w:i/>
                <w:iCs/>
                <w:color w:val="000000"/>
              </w:rPr>
              <w:t>ancora</w:t>
            </w:r>
            <w:proofErr w:type="spellEnd"/>
          </w:p>
        </w:tc>
        <w:tc>
          <w:tcPr>
            <w:tcW w:w="4360" w:type="dxa"/>
            <w:shd w:val="clear" w:color="auto" w:fill="E2EFDA"/>
            <w:noWrap/>
            <w:vAlign w:val="bottom"/>
            <w:hideMark/>
          </w:tcPr>
          <w:p w14:paraId="26874B6C" w14:textId="77777777" w:rsidR="00562126" w:rsidRPr="00E85614" w:rsidRDefault="00562126" w:rsidP="00F12745">
            <w:pPr>
              <w:spacing w:before="60" w:after="60"/>
              <w:jc w:val="center"/>
              <w:rPr>
                <w:color w:val="000000"/>
              </w:rPr>
            </w:pPr>
            <w:r w:rsidRPr="00E85614">
              <w:rPr>
                <w:color w:val="000000"/>
              </w:rPr>
              <w:t>1,863</w:t>
            </w:r>
          </w:p>
        </w:tc>
      </w:tr>
      <w:tr w:rsidR="00562126" w:rsidRPr="00E85614" w14:paraId="72816881" w14:textId="77777777" w:rsidTr="00381DA6">
        <w:trPr>
          <w:trHeight w:val="276"/>
        </w:trPr>
        <w:tc>
          <w:tcPr>
            <w:tcW w:w="3686" w:type="dxa"/>
            <w:shd w:val="clear" w:color="auto" w:fill="E2EFDA"/>
            <w:noWrap/>
            <w:vAlign w:val="bottom"/>
            <w:hideMark/>
          </w:tcPr>
          <w:p w14:paraId="5A76DEFD" w14:textId="77777777" w:rsidR="00562126" w:rsidRPr="00E85614" w:rsidRDefault="00562126" w:rsidP="00F12745">
            <w:pPr>
              <w:spacing w:before="60" w:after="60"/>
              <w:rPr>
                <w:i/>
                <w:iCs/>
                <w:color w:val="000000"/>
              </w:rPr>
            </w:pPr>
            <w:proofErr w:type="spellStart"/>
            <w:r w:rsidRPr="00E85614">
              <w:rPr>
                <w:i/>
                <w:iCs/>
                <w:color w:val="000000"/>
              </w:rPr>
              <w:t>Euphyllia</w:t>
            </w:r>
            <w:proofErr w:type="spellEnd"/>
            <w:r w:rsidRPr="00E85614">
              <w:rPr>
                <w:i/>
                <w:iCs/>
                <w:color w:val="000000"/>
              </w:rPr>
              <w:t xml:space="preserve"> </w:t>
            </w:r>
            <w:proofErr w:type="spellStart"/>
            <w:r w:rsidRPr="00E85614">
              <w:rPr>
                <w:i/>
                <w:iCs/>
                <w:color w:val="000000"/>
              </w:rPr>
              <w:t>glabrescens</w:t>
            </w:r>
            <w:proofErr w:type="spellEnd"/>
          </w:p>
        </w:tc>
        <w:tc>
          <w:tcPr>
            <w:tcW w:w="4360" w:type="dxa"/>
            <w:shd w:val="clear" w:color="auto" w:fill="E2EFDA"/>
            <w:noWrap/>
            <w:vAlign w:val="bottom"/>
            <w:hideMark/>
          </w:tcPr>
          <w:p w14:paraId="1D55754A" w14:textId="77777777" w:rsidR="00562126" w:rsidRPr="00E85614" w:rsidRDefault="00562126" w:rsidP="00F12745">
            <w:pPr>
              <w:spacing w:before="60" w:after="60"/>
              <w:jc w:val="center"/>
              <w:rPr>
                <w:color w:val="000000"/>
              </w:rPr>
            </w:pPr>
            <w:r w:rsidRPr="00E85614">
              <w:rPr>
                <w:color w:val="000000"/>
              </w:rPr>
              <w:t>926</w:t>
            </w:r>
          </w:p>
        </w:tc>
      </w:tr>
      <w:tr w:rsidR="00562126" w:rsidRPr="00E85614" w14:paraId="05605326" w14:textId="77777777" w:rsidTr="00381DA6">
        <w:trPr>
          <w:trHeight w:val="276"/>
        </w:trPr>
        <w:tc>
          <w:tcPr>
            <w:tcW w:w="3686" w:type="dxa"/>
            <w:shd w:val="clear" w:color="auto" w:fill="E2EFDA"/>
            <w:noWrap/>
            <w:vAlign w:val="bottom"/>
            <w:hideMark/>
          </w:tcPr>
          <w:p w14:paraId="699307C9" w14:textId="77777777" w:rsidR="00562126" w:rsidRPr="00E85614" w:rsidRDefault="00562126" w:rsidP="00F12745">
            <w:pPr>
              <w:spacing w:before="60" w:after="60"/>
              <w:rPr>
                <w:i/>
                <w:iCs/>
                <w:color w:val="000000"/>
              </w:rPr>
            </w:pPr>
            <w:proofErr w:type="spellStart"/>
            <w:r w:rsidRPr="00E85614">
              <w:rPr>
                <w:i/>
                <w:iCs/>
                <w:color w:val="000000"/>
              </w:rPr>
              <w:t>Duncanopsammia</w:t>
            </w:r>
            <w:proofErr w:type="spellEnd"/>
            <w:r w:rsidRPr="00E85614">
              <w:rPr>
                <w:i/>
                <w:iCs/>
                <w:color w:val="000000"/>
              </w:rPr>
              <w:t xml:space="preserve"> </w:t>
            </w:r>
            <w:proofErr w:type="spellStart"/>
            <w:r w:rsidRPr="00E85614">
              <w:rPr>
                <w:i/>
                <w:iCs/>
                <w:color w:val="000000"/>
              </w:rPr>
              <w:t>axifuga</w:t>
            </w:r>
            <w:proofErr w:type="spellEnd"/>
          </w:p>
        </w:tc>
        <w:tc>
          <w:tcPr>
            <w:tcW w:w="4360" w:type="dxa"/>
            <w:shd w:val="clear" w:color="auto" w:fill="E2EFDA"/>
            <w:noWrap/>
            <w:vAlign w:val="bottom"/>
            <w:hideMark/>
          </w:tcPr>
          <w:p w14:paraId="489E8BA7" w14:textId="77777777" w:rsidR="00562126" w:rsidRPr="00E85614" w:rsidRDefault="00562126" w:rsidP="00F12745">
            <w:pPr>
              <w:spacing w:before="60" w:after="60"/>
              <w:jc w:val="center"/>
              <w:rPr>
                <w:color w:val="000000"/>
              </w:rPr>
            </w:pPr>
            <w:r w:rsidRPr="00E85614">
              <w:rPr>
                <w:color w:val="000000"/>
              </w:rPr>
              <w:t>966</w:t>
            </w:r>
          </w:p>
        </w:tc>
      </w:tr>
      <w:tr w:rsidR="00562126" w:rsidRPr="00E85614" w14:paraId="6BA2F7AE" w14:textId="77777777" w:rsidTr="00381DA6">
        <w:trPr>
          <w:trHeight w:val="276"/>
        </w:trPr>
        <w:tc>
          <w:tcPr>
            <w:tcW w:w="3686" w:type="dxa"/>
            <w:shd w:val="clear" w:color="auto" w:fill="E2EFDA"/>
            <w:noWrap/>
            <w:vAlign w:val="bottom"/>
            <w:hideMark/>
          </w:tcPr>
          <w:p w14:paraId="5B62853C" w14:textId="77777777" w:rsidR="00562126" w:rsidRPr="00E85614" w:rsidRDefault="00562126" w:rsidP="00F12745">
            <w:pPr>
              <w:spacing w:before="60" w:after="60"/>
              <w:rPr>
                <w:i/>
                <w:iCs/>
                <w:color w:val="000000"/>
              </w:rPr>
            </w:pPr>
            <w:proofErr w:type="spellStart"/>
            <w:r w:rsidRPr="00E85614">
              <w:rPr>
                <w:i/>
                <w:iCs/>
                <w:color w:val="000000"/>
              </w:rPr>
              <w:t>Cycloseris</w:t>
            </w:r>
            <w:proofErr w:type="spellEnd"/>
            <w:r w:rsidRPr="00E85614">
              <w:rPr>
                <w:i/>
                <w:iCs/>
                <w:color w:val="000000"/>
              </w:rPr>
              <w:t xml:space="preserve"> </w:t>
            </w:r>
            <w:proofErr w:type="spellStart"/>
            <w:r w:rsidRPr="00E85614">
              <w:rPr>
                <w:i/>
                <w:iCs/>
                <w:color w:val="000000"/>
              </w:rPr>
              <w:t>cyclolites</w:t>
            </w:r>
            <w:proofErr w:type="spellEnd"/>
          </w:p>
        </w:tc>
        <w:tc>
          <w:tcPr>
            <w:tcW w:w="4360" w:type="dxa"/>
            <w:shd w:val="clear" w:color="auto" w:fill="E2EFDA"/>
            <w:noWrap/>
            <w:vAlign w:val="bottom"/>
            <w:hideMark/>
          </w:tcPr>
          <w:p w14:paraId="6D9E43FB" w14:textId="77777777" w:rsidR="00562126" w:rsidRPr="00E85614" w:rsidRDefault="00562126" w:rsidP="00F12745">
            <w:pPr>
              <w:spacing w:before="60" w:after="60"/>
              <w:jc w:val="center"/>
              <w:rPr>
                <w:color w:val="000000"/>
              </w:rPr>
            </w:pPr>
            <w:r w:rsidRPr="00E85614">
              <w:rPr>
                <w:color w:val="000000"/>
              </w:rPr>
              <w:t>600</w:t>
            </w:r>
          </w:p>
        </w:tc>
      </w:tr>
      <w:tr w:rsidR="00562126" w:rsidRPr="00E85614" w14:paraId="50496C37" w14:textId="77777777" w:rsidTr="00381DA6">
        <w:trPr>
          <w:trHeight w:val="276"/>
        </w:trPr>
        <w:tc>
          <w:tcPr>
            <w:tcW w:w="3686" w:type="dxa"/>
            <w:tcBorders>
              <w:top w:val="nil"/>
              <w:left w:val="nil"/>
              <w:bottom w:val="single" w:sz="4" w:space="0" w:color="auto"/>
              <w:right w:val="nil"/>
            </w:tcBorders>
            <w:shd w:val="clear" w:color="auto" w:fill="E2EFDA"/>
            <w:noWrap/>
            <w:vAlign w:val="bottom"/>
            <w:hideMark/>
          </w:tcPr>
          <w:p w14:paraId="6604C605" w14:textId="77777777" w:rsidR="00562126" w:rsidRPr="00E85614" w:rsidRDefault="00562126" w:rsidP="00F12745">
            <w:pPr>
              <w:spacing w:before="60" w:after="60"/>
              <w:rPr>
                <w:i/>
                <w:iCs/>
                <w:color w:val="000000"/>
              </w:rPr>
            </w:pPr>
            <w:proofErr w:type="spellStart"/>
            <w:r w:rsidRPr="00E85614">
              <w:rPr>
                <w:i/>
                <w:iCs/>
                <w:color w:val="000000"/>
              </w:rPr>
              <w:t>Montipora</w:t>
            </w:r>
            <w:proofErr w:type="spellEnd"/>
            <w:r w:rsidRPr="00E85614">
              <w:rPr>
                <w:i/>
                <w:iCs/>
                <w:color w:val="000000"/>
              </w:rPr>
              <w:t xml:space="preserve"> </w:t>
            </w:r>
            <w:r w:rsidRPr="00E85614">
              <w:rPr>
                <w:color w:val="000000"/>
              </w:rPr>
              <w:t>spp.</w:t>
            </w:r>
          </w:p>
        </w:tc>
        <w:tc>
          <w:tcPr>
            <w:tcW w:w="4360" w:type="dxa"/>
            <w:tcBorders>
              <w:top w:val="nil"/>
              <w:left w:val="nil"/>
              <w:bottom w:val="single" w:sz="4" w:space="0" w:color="auto"/>
              <w:right w:val="nil"/>
            </w:tcBorders>
            <w:shd w:val="clear" w:color="auto" w:fill="E2EFDA"/>
            <w:noWrap/>
            <w:vAlign w:val="bottom"/>
            <w:hideMark/>
          </w:tcPr>
          <w:p w14:paraId="602D98BD" w14:textId="77777777" w:rsidR="00562126" w:rsidRPr="00E85614" w:rsidRDefault="00562126" w:rsidP="00F12745">
            <w:pPr>
              <w:spacing w:before="60" w:after="60"/>
              <w:jc w:val="center"/>
              <w:rPr>
                <w:color w:val="000000"/>
              </w:rPr>
            </w:pPr>
            <w:r w:rsidRPr="00E85614">
              <w:rPr>
                <w:color w:val="000000"/>
              </w:rPr>
              <w:t>1,099</w:t>
            </w:r>
          </w:p>
        </w:tc>
      </w:tr>
    </w:tbl>
    <w:p w14:paraId="4076E38A" w14:textId="3E9C3777" w:rsidR="00965316" w:rsidRPr="004B4657" w:rsidRDefault="00965316" w:rsidP="00562126">
      <w:pPr>
        <w:rPr>
          <w:lang w:val="en"/>
        </w:rPr>
      </w:pPr>
    </w:p>
    <w:sectPr w:rsidR="00965316" w:rsidRPr="004B4657" w:rsidSect="00FA4CF0">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6BDF" w14:textId="77777777" w:rsidR="00D75A1B" w:rsidRDefault="00B27492">
      <w:r>
        <w:separator/>
      </w:r>
    </w:p>
  </w:endnote>
  <w:endnote w:type="continuationSeparator" w:id="0">
    <w:p w14:paraId="0DAE4DAE" w14:textId="77777777" w:rsidR="00D75A1B" w:rsidRDefault="00B27492">
      <w:r>
        <w:continuationSeparator/>
      </w:r>
    </w:p>
  </w:endnote>
  <w:endnote w:type="continuationNotice" w:id="1">
    <w:p w14:paraId="01F78B42" w14:textId="77777777" w:rsidR="00A82268" w:rsidRDefault="00A8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8E9E" w14:textId="4350803F" w:rsidR="00084B5E" w:rsidRPr="00233FF1" w:rsidRDefault="00084B5E" w:rsidP="00233FF1">
    <w:pPr>
      <w:pBdr>
        <w:top w:val="single" w:sz="4" w:space="1" w:color="auto"/>
      </w:pBdr>
      <w:tabs>
        <w:tab w:val="center" w:pos="4513"/>
        <w:tab w:val="right" w:pos="9026"/>
      </w:tabs>
      <w:jc w:val="center"/>
      <w:rPr>
        <w:rFonts w:eastAsiaTheme="minorHAnsi"/>
        <w:color w:val="000000" w:themeColor="text1"/>
        <w:sz w:val="20"/>
      </w:rPr>
    </w:pPr>
    <w:r w:rsidRPr="00CC45F0">
      <w:rPr>
        <w:rFonts w:eastAsiaTheme="minorHAnsi"/>
        <w:color w:val="000000" w:themeColor="text1"/>
        <w:sz w:val="20"/>
      </w:rPr>
      <w:t>Parliament Ho</w:t>
    </w:r>
    <w:r>
      <w:rPr>
        <w:rFonts w:eastAsiaTheme="minorHAnsi"/>
        <w:color w:val="000000" w:themeColor="text1"/>
        <w:sz w:val="20"/>
      </w:rPr>
      <w:t>use Canberra ACT 2600 Telephone (02) 6277 7920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2A6AB722" w14:textId="77777777" w:rsidR="00100BEF" w:rsidRDefault="00B27492">
        <w:pPr>
          <w:pStyle w:val="Footer"/>
          <w:jc w:val="center"/>
        </w:pPr>
        <w:r>
          <w:fldChar w:fldCharType="begin"/>
        </w:r>
        <w:r>
          <w:instrText xml:space="preserve"> PAGE   \* MERGEFORMAT </w:instrText>
        </w:r>
        <w:r>
          <w:fldChar w:fldCharType="separate"/>
        </w:r>
        <w:r w:rsidR="0039220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4A40" w14:textId="6FD4C4BF" w:rsidR="001337A4" w:rsidRPr="00456519" w:rsidRDefault="001337A4" w:rsidP="0045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CEE0" w14:textId="77777777" w:rsidR="00D75A1B" w:rsidRDefault="00B27492">
      <w:r>
        <w:separator/>
      </w:r>
    </w:p>
  </w:footnote>
  <w:footnote w:type="continuationSeparator" w:id="0">
    <w:p w14:paraId="0D341FAB" w14:textId="77777777" w:rsidR="00D75A1B" w:rsidRDefault="00B27492">
      <w:r>
        <w:continuationSeparator/>
      </w:r>
    </w:p>
  </w:footnote>
  <w:footnote w:type="continuationNotice" w:id="1">
    <w:p w14:paraId="0E2C3311" w14:textId="77777777" w:rsidR="00A82268" w:rsidRDefault="00A82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107F" w14:textId="77777777" w:rsidR="00084B5E" w:rsidRDefault="00084B5E" w:rsidP="00084B5E">
    <w:pPr>
      <w:pStyle w:val="Footer"/>
      <w:tabs>
        <w:tab w:val="right" w:pos="9356"/>
      </w:tabs>
      <w:jc w:val="center"/>
      <w:rPr>
        <w:noProof/>
      </w:rPr>
    </w:pPr>
  </w:p>
  <w:p w14:paraId="2FD6C469" w14:textId="77777777" w:rsidR="00084B5E" w:rsidRPr="00E57B6C" w:rsidRDefault="00084B5E" w:rsidP="00084B5E">
    <w:pPr>
      <w:pStyle w:val="Footer"/>
      <w:tabs>
        <w:tab w:val="right" w:pos="9356"/>
      </w:tabs>
      <w:jc w:val="center"/>
    </w:pPr>
    <w:r>
      <w:rPr>
        <w:noProof/>
      </w:rPr>
      <w:drawing>
        <wp:inline distT="0" distB="0" distL="0" distR="0" wp14:anchorId="5CA373CE" wp14:editId="059E8992">
          <wp:extent cx="1133475" cy="8321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e-rgb.jpg"/>
                  <pic:cNvPicPr/>
                </pic:nvPicPr>
                <pic:blipFill>
                  <a:blip r:embed="rId1" cstate="print">
                    <a:biLevel thresh="75000"/>
                    <a:extLst>
                      <a:ext uri="{BEBA8EAE-BF5A-486C-A8C5-ECC9F3942E4B}">
                        <a14:imgProps xmlns:a14="http://schemas.microsoft.com/office/drawing/2010/main">
                          <a14:imgLayer>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5863" cy="877955"/>
                  </a:xfrm>
                  <a:prstGeom prst="rect">
                    <a:avLst/>
                  </a:prstGeom>
                </pic:spPr>
              </pic:pic>
            </a:graphicData>
          </a:graphic>
        </wp:inline>
      </w:drawing>
    </w:r>
  </w:p>
  <w:p w14:paraId="5D39B5C0" w14:textId="77777777" w:rsidR="00084B5E" w:rsidRPr="00D93A22" w:rsidRDefault="00084B5E" w:rsidP="00084B5E">
    <w:pPr>
      <w:jc w:val="center"/>
    </w:pPr>
  </w:p>
  <w:p w14:paraId="09FE7D24" w14:textId="77777777" w:rsidR="00084B5E" w:rsidRPr="0092530C" w:rsidRDefault="00084B5E" w:rsidP="00084B5E">
    <w:pPr>
      <w:tabs>
        <w:tab w:val="center" w:pos="4513"/>
        <w:tab w:val="right" w:pos="9026"/>
      </w:tabs>
      <w:jc w:val="center"/>
      <w:rPr>
        <w:rFonts w:eastAsiaTheme="minorHAnsi"/>
        <w:b/>
        <w:sz w:val="28"/>
      </w:rPr>
    </w:pPr>
    <w:r>
      <w:rPr>
        <w:rFonts w:eastAsiaTheme="minorHAnsi"/>
        <w:b/>
        <w:sz w:val="28"/>
      </w:rPr>
      <w:t>THE HON SUSSAN LEY</w:t>
    </w:r>
    <w:r w:rsidRPr="0092530C">
      <w:rPr>
        <w:rFonts w:eastAsiaTheme="minorHAnsi"/>
        <w:b/>
        <w:sz w:val="28"/>
      </w:rPr>
      <w:t xml:space="preserve"> MP</w:t>
    </w:r>
  </w:p>
  <w:p w14:paraId="03138142" w14:textId="77777777" w:rsidR="00084B5E" w:rsidRPr="0092530C" w:rsidRDefault="00084B5E" w:rsidP="00084B5E">
    <w:pPr>
      <w:tabs>
        <w:tab w:val="center" w:pos="4513"/>
        <w:tab w:val="right" w:pos="9026"/>
      </w:tabs>
      <w:jc w:val="center"/>
      <w:rPr>
        <w:rFonts w:eastAsiaTheme="minorHAnsi"/>
        <w:b/>
      </w:rPr>
    </w:pPr>
    <w:r>
      <w:rPr>
        <w:rFonts w:eastAsiaTheme="minorHAnsi"/>
        <w:b/>
      </w:rPr>
      <w:t>MINISTER FOR THE ENVIRONMENT</w:t>
    </w:r>
  </w:p>
  <w:p w14:paraId="1E5276C7" w14:textId="4843C898" w:rsidR="00084B5E" w:rsidRPr="00A624A3" w:rsidRDefault="00084B5E" w:rsidP="00084B5E">
    <w:pPr>
      <w:pStyle w:val="Footer"/>
      <w:tabs>
        <w:tab w:val="right" w:pos="9356"/>
      </w:tabs>
      <w:jc w:val="center"/>
      <w:rPr>
        <w:b/>
      </w:rPr>
    </w:pPr>
    <w:r w:rsidRPr="00A624A3">
      <w:rPr>
        <w:b/>
      </w:rPr>
      <w:t>MEMBER FOR FARRER</w:t>
    </w:r>
    <w:r w:rsidR="00233FF1">
      <w:rPr>
        <w:b/>
      </w:rPr>
      <w:br/>
    </w:r>
  </w:p>
  <w:p w14:paraId="687B901C" w14:textId="31C526BA" w:rsidR="00562126" w:rsidRPr="00FA0CF5" w:rsidRDefault="00562126" w:rsidP="00E6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8235" w14:textId="77777777" w:rsidR="00562126" w:rsidRDefault="00562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28A7" w14:textId="77777777" w:rsidR="00562126" w:rsidRDefault="00562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6E1A" w14:textId="77777777" w:rsidR="00562126" w:rsidRDefault="005621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0BA9" w14:textId="77777777" w:rsidR="00876C4E" w:rsidRPr="00C20A26" w:rsidRDefault="00876C4E" w:rsidP="00876C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86619E"/>
    <w:multiLevelType w:val="hybridMultilevel"/>
    <w:tmpl w:val="6938F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F67C1B"/>
    <w:multiLevelType w:val="hybridMultilevel"/>
    <w:tmpl w:val="71903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181D57"/>
    <w:multiLevelType w:val="hybridMultilevel"/>
    <w:tmpl w:val="9BDAA6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6C9B3EA3"/>
    <w:multiLevelType w:val="hybridMultilevel"/>
    <w:tmpl w:val="850A5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4"/>
  </w:num>
  <w:num w:numId="4">
    <w:abstractNumId w:val="3"/>
  </w:num>
  <w:num w:numId="5">
    <w:abstractNumId w:val="8"/>
  </w:num>
  <w:num w:numId="6">
    <w:abstractNumId w:val="2"/>
  </w:num>
  <w:num w:numId="7">
    <w:abstractNumId w:val="6"/>
  </w:num>
  <w:num w:numId="8">
    <w:abstractNumId w:val="9"/>
  </w:num>
  <w:num w:numId="9">
    <w:abstractNumId w:val="1"/>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C3E83"/>
    <w:rsid w:val="00004AEE"/>
    <w:rsid w:val="00005CAA"/>
    <w:rsid w:val="00010210"/>
    <w:rsid w:val="00012D66"/>
    <w:rsid w:val="00015ADA"/>
    <w:rsid w:val="00020C99"/>
    <w:rsid w:val="000242C5"/>
    <w:rsid w:val="0002707B"/>
    <w:rsid w:val="0005148E"/>
    <w:rsid w:val="00072C5A"/>
    <w:rsid w:val="000759E5"/>
    <w:rsid w:val="000774EC"/>
    <w:rsid w:val="000836A4"/>
    <w:rsid w:val="00084AC6"/>
    <w:rsid w:val="00084B5E"/>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11C5"/>
    <w:rsid w:val="000F2CF2"/>
    <w:rsid w:val="000F66DE"/>
    <w:rsid w:val="00100BEF"/>
    <w:rsid w:val="00111326"/>
    <w:rsid w:val="0011498E"/>
    <w:rsid w:val="00117A45"/>
    <w:rsid w:val="001224AE"/>
    <w:rsid w:val="001337A4"/>
    <w:rsid w:val="001337D4"/>
    <w:rsid w:val="00147C12"/>
    <w:rsid w:val="00150415"/>
    <w:rsid w:val="001527A1"/>
    <w:rsid w:val="001530DC"/>
    <w:rsid w:val="00154989"/>
    <w:rsid w:val="00155A9F"/>
    <w:rsid w:val="00160262"/>
    <w:rsid w:val="00160561"/>
    <w:rsid w:val="001638BB"/>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F389E"/>
    <w:rsid w:val="00202C90"/>
    <w:rsid w:val="002066AB"/>
    <w:rsid w:val="00213DE8"/>
    <w:rsid w:val="00216118"/>
    <w:rsid w:val="002209AB"/>
    <w:rsid w:val="00222E4E"/>
    <w:rsid w:val="002251E3"/>
    <w:rsid w:val="00227A95"/>
    <w:rsid w:val="002316BD"/>
    <w:rsid w:val="00233FF1"/>
    <w:rsid w:val="00236FC8"/>
    <w:rsid w:val="002473FC"/>
    <w:rsid w:val="00252E3C"/>
    <w:rsid w:val="00261EF4"/>
    <w:rsid w:val="00262198"/>
    <w:rsid w:val="00264F16"/>
    <w:rsid w:val="00285F1B"/>
    <w:rsid w:val="00292B81"/>
    <w:rsid w:val="002B18AE"/>
    <w:rsid w:val="002C1C93"/>
    <w:rsid w:val="002C5066"/>
    <w:rsid w:val="002C5813"/>
    <w:rsid w:val="002D4AAC"/>
    <w:rsid w:val="002E4757"/>
    <w:rsid w:val="002F045A"/>
    <w:rsid w:val="0030039D"/>
    <w:rsid w:val="0030326F"/>
    <w:rsid w:val="00310701"/>
    <w:rsid w:val="00314822"/>
    <w:rsid w:val="00315137"/>
    <w:rsid w:val="00315980"/>
    <w:rsid w:val="00316F7F"/>
    <w:rsid w:val="003218E8"/>
    <w:rsid w:val="00325E34"/>
    <w:rsid w:val="00330DCE"/>
    <w:rsid w:val="00331E11"/>
    <w:rsid w:val="00334761"/>
    <w:rsid w:val="00334DF5"/>
    <w:rsid w:val="00337EBC"/>
    <w:rsid w:val="00341DCD"/>
    <w:rsid w:val="0034563E"/>
    <w:rsid w:val="003518D6"/>
    <w:rsid w:val="0035460C"/>
    <w:rsid w:val="003556BD"/>
    <w:rsid w:val="00365147"/>
    <w:rsid w:val="0037016E"/>
    <w:rsid w:val="00372908"/>
    <w:rsid w:val="00381DA6"/>
    <w:rsid w:val="00383020"/>
    <w:rsid w:val="00392203"/>
    <w:rsid w:val="00394D7E"/>
    <w:rsid w:val="003975FD"/>
    <w:rsid w:val="003B057D"/>
    <w:rsid w:val="003B49CC"/>
    <w:rsid w:val="003B60CC"/>
    <w:rsid w:val="003B6945"/>
    <w:rsid w:val="003C1B25"/>
    <w:rsid w:val="003C2443"/>
    <w:rsid w:val="003C5DA3"/>
    <w:rsid w:val="003D4BCD"/>
    <w:rsid w:val="003D6C2B"/>
    <w:rsid w:val="003E01D8"/>
    <w:rsid w:val="003E2100"/>
    <w:rsid w:val="003F02CB"/>
    <w:rsid w:val="003F6F5B"/>
    <w:rsid w:val="003F73F7"/>
    <w:rsid w:val="0040342D"/>
    <w:rsid w:val="004075BA"/>
    <w:rsid w:val="0041192D"/>
    <w:rsid w:val="00413EE1"/>
    <w:rsid w:val="0042128E"/>
    <w:rsid w:val="00432B60"/>
    <w:rsid w:val="00440698"/>
    <w:rsid w:val="004540E2"/>
    <w:rsid w:val="00454454"/>
    <w:rsid w:val="00456519"/>
    <w:rsid w:val="00467924"/>
    <w:rsid w:val="004712A5"/>
    <w:rsid w:val="0047266F"/>
    <w:rsid w:val="00474A99"/>
    <w:rsid w:val="00476D6B"/>
    <w:rsid w:val="00492C16"/>
    <w:rsid w:val="004A0678"/>
    <w:rsid w:val="004A3237"/>
    <w:rsid w:val="004A48A3"/>
    <w:rsid w:val="004B0D92"/>
    <w:rsid w:val="004B0EC0"/>
    <w:rsid w:val="004B4657"/>
    <w:rsid w:val="004B66F1"/>
    <w:rsid w:val="004C3EA0"/>
    <w:rsid w:val="004F7169"/>
    <w:rsid w:val="00500D66"/>
    <w:rsid w:val="00514C8E"/>
    <w:rsid w:val="00531DBF"/>
    <w:rsid w:val="0053687F"/>
    <w:rsid w:val="00545759"/>
    <w:rsid w:val="00545BE0"/>
    <w:rsid w:val="00546930"/>
    <w:rsid w:val="005515BA"/>
    <w:rsid w:val="00554C6A"/>
    <w:rsid w:val="00562126"/>
    <w:rsid w:val="00562E85"/>
    <w:rsid w:val="00563220"/>
    <w:rsid w:val="0056332F"/>
    <w:rsid w:val="005719B3"/>
    <w:rsid w:val="0057295E"/>
    <w:rsid w:val="00581C39"/>
    <w:rsid w:val="00585191"/>
    <w:rsid w:val="005903B6"/>
    <w:rsid w:val="005A0247"/>
    <w:rsid w:val="005A126E"/>
    <w:rsid w:val="005A452F"/>
    <w:rsid w:val="005B140D"/>
    <w:rsid w:val="005B78BB"/>
    <w:rsid w:val="005C1FEA"/>
    <w:rsid w:val="005C3495"/>
    <w:rsid w:val="005E3DFC"/>
    <w:rsid w:val="005E5942"/>
    <w:rsid w:val="005E60AF"/>
    <w:rsid w:val="005F1DEA"/>
    <w:rsid w:val="00601EC0"/>
    <w:rsid w:val="00607FC9"/>
    <w:rsid w:val="00622FE1"/>
    <w:rsid w:val="00623694"/>
    <w:rsid w:val="0062521C"/>
    <w:rsid w:val="00630A2B"/>
    <w:rsid w:val="00632DC7"/>
    <w:rsid w:val="006357FB"/>
    <w:rsid w:val="006406FC"/>
    <w:rsid w:val="006408E1"/>
    <w:rsid w:val="00640E57"/>
    <w:rsid w:val="00646122"/>
    <w:rsid w:val="00653E16"/>
    <w:rsid w:val="00655F2D"/>
    <w:rsid w:val="00657220"/>
    <w:rsid w:val="00657362"/>
    <w:rsid w:val="0066104B"/>
    <w:rsid w:val="006655EE"/>
    <w:rsid w:val="0066717A"/>
    <w:rsid w:val="00667C10"/>
    <w:rsid w:val="00667EF4"/>
    <w:rsid w:val="00676FCA"/>
    <w:rsid w:val="00677177"/>
    <w:rsid w:val="00681E6F"/>
    <w:rsid w:val="0068612E"/>
    <w:rsid w:val="00687C92"/>
    <w:rsid w:val="0069534E"/>
    <w:rsid w:val="0069669C"/>
    <w:rsid w:val="006A1200"/>
    <w:rsid w:val="006A3704"/>
    <w:rsid w:val="006A4F4E"/>
    <w:rsid w:val="006A6C23"/>
    <w:rsid w:val="006B14DB"/>
    <w:rsid w:val="006B21C4"/>
    <w:rsid w:val="006C3E83"/>
    <w:rsid w:val="006C4A1A"/>
    <w:rsid w:val="006D0393"/>
    <w:rsid w:val="006D1A83"/>
    <w:rsid w:val="006E1CFE"/>
    <w:rsid w:val="006F10C4"/>
    <w:rsid w:val="006F40E9"/>
    <w:rsid w:val="006F5603"/>
    <w:rsid w:val="006F7B87"/>
    <w:rsid w:val="00701400"/>
    <w:rsid w:val="007037CF"/>
    <w:rsid w:val="007167C0"/>
    <w:rsid w:val="00720481"/>
    <w:rsid w:val="00733193"/>
    <w:rsid w:val="00743452"/>
    <w:rsid w:val="00744DDA"/>
    <w:rsid w:val="00745E03"/>
    <w:rsid w:val="00746191"/>
    <w:rsid w:val="00753F77"/>
    <w:rsid w:val="0075732A"/>
    <w:rsid w:val="007600F8"/>
    <w:rsid w:val="00760262"/>
    <w:rsid w:val="0076310C"/>
    <w:rsid w:val="007639A9"/>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E5D00"/>
    <w:rsid w:val="00800F64"/>
    <w:rsid w:val="00801050"/>
    <w:rsid w:val="00802F0B"/>
    <w:rsid w:val="00810A67"/>
    <w:rsid w:val="00833CF7"/>
    <w:rsid w:val="00834CDE"/>
    <w:rsid w:val="00842464"/>
    <w:rsid w:val="00845601"/>
    <w:rsid w:val="00855C5C"/>
    <w:rsid w:val="00861C15"/>
    <w:rsid w:val="008720FC"/>
    <w:rsid w:val="008739D9"/>
    <w:rsid w:val="008749FE"/>
    <w:rsid w:val="00876C4E"/>
    <w:rsid w:val="008A3C96"/>
    <w:rsid w:val="008B4019"/>
    <w:rsid w:val="008B65C9"/>
    <w:rsid w:val="008C2D4A"/>
    <w:rsid w:val="008D3900"/>
    <w:rsid w:val="008D6A5D"/>
    <w:rsid w:val="008D6E1D"/>
    <w:rsid w:val="008F39B4"/>
    <w:rsid w:val="008F4162"/>
    <w:rsid w:val="00903E02"/>
    <w:rsid w:val="00913175"/>
    <w:rsid w:val="00916EDB"/>
    <w:rsid w:val="00920861"/>
    <w:rsid w:val="00922B13"/>
    <w:rsid w:val="009242EF"/>
    <w:rsid w:val="0092530C"/>
    <w:rsid w:val="00932291"/>
    <w:rsid w:val="00932861"/>
    <w:rsid w:val="009331BC"/>
    <w:rsid w:val="0093408E"/>
    <w:rsid w:val="00935ED2"/>
    <w:rsid w:val="00952DDF"/>
    <w:rsid w:val="009610A3"/>
    <w:rsid w:val="00963B6A"/>
    <w:rsid w:val="00965316"/>
    <w:rsid w:val="00970950"/>
    <w:rsid w:val="0097282B"/>
    <w:rsid w:val="009812D4"/>
    <w:rsid w:val="009920D8"/>
    <w:rsid w:val="009952F5"/>
    <w:rsid w:val="009A6DB7"/>
    <w:rsid w:val="009B38BE"/>
    <w:rsid w:val="009C3D0F"/>
    <w:rsid w:val="009E1B19"/>
    <w:rsid w:val="009F27F6"/>
    <w:rsid w:val="009F35E2"/>
    <w:rsid w:val="009F40B2"/>
    <w:rsid w:val="009F65F9"/>
    <w:rsid w:val="009F68BA"/>
    <w:rsid w:val="00A0289C"/>
    <w:rsid w:val="00A06277"/>
    <w:rsid w:val="00A0775D"/>
    <w:rsid w:val="00A079DC"/>
    <w:rsid w:val="00A111C2"/>
    <w:rsid w:val="00A31835"/>
    <w:rsid w:val="00A338E7"/>
    <w:rsid w:val="00A35CAA"/>
    <w:rsid w:val="00A36E7F"/>
    <w:rsid w:val="00A41453"/>
    <w:rsid w:val="00A41E65"/>
    <w:rsid w:val="00A43E0A"/>
    <w:rsid w:val="00A530C7"/>
    <w:rsid w:val="00A55F5B"/>
    <w:rsid w:val="00A60185"/>
    <w:rsid w:val="00A624A3"/>
    <w:rsid w:val="00A661EA"/>
    <w:rsid w:val="00A82268"/>
    <w:rsid w:val="00A830E5"/>
    <w:rsid w:val="00A85CB4"/>
    <w:rsid w:val="00A87135"/>
    <w:rsid w:val="00A93280"/>
    <w:rsid w:val="00A951EA"/>
    <w:rsid w:val="00AA2548"/>
    <w:rsid w:val="00AA58C4"/>
    <w:rsid w:val="00AA7003"/>
    <w:rsid w:val="00AB11C8"/>
    <w:rsid w:val="00AC08A8"/>
    <w:rsid w:val="00AD56C8"/>
    <w:rsid w:val="00AD58F2"/>
    <w:rsid w:val="00AE626F"/>
    <w:rsid w:val="00B0512A"/>
    <w:rsid w:val="00B0529F"/>
    <w:rsid w:val="00B1418B"/>
    <w:rsid w:val="00B21195"/>
    <w:rsid w:val="00B24B22"/>
    <w:rsid w:val="00B25310"/>
    <w:rsid w:val="00B27492"/>
    <w:rsid w:val="00B32F8F"/>
    <w:rsid w:val="00B3492A"/>
    <w:rsid w:val="00B37681"/>
    <w:rsid w:val="00B41BA3"/>
    <w:rsid w:val="00B54DE9"/>
    <w:rsid w:val="00B553EC"/>
    <w:rsid w:val="00B55E3F"/>
    <w:rsid w:val="00B56EE9"/>
    <w:rsid w:val="00B62E34"/>
    <w:rsid w:val="00B63C1E"/>
    <w:rsid w:val="00B93DD0"/>
    <w:rsid w:val="00B97732"/>
    <w:rsid w:val="00BA3406"/>
    <w:rsid w:val="00BA65A8"/>
    <w:rsid w:val="00BA6D19"/>
    <w:rsid w:val="00BA7461"/>
    <w:rsid w:val="00BA7DA9"/>
    <w:rsid w:val="00BC4215"/>
    <w:rsid w:val="00BD1A6F"/>
    <w:rsid w:val="00BD2318"/>
    <w:rsid w:val="00BE6D3C"/>
    <w:rsid w:val="00BE7852"/>
    <w:rsid w:val="00BF1C7D"/>
    <w:rsid w:val="00BF7CEE"/>
    <w:rsid w:val="00C03880"/>
    <w:rsid w:val="00C135CF"/>
    <w:rsid w:val="00C20A26"/>
    <w:rsid w:val="00C2683F"/>
    <w:rsid w:val="00C3184D"/>
    <w:rsid w:val="00C4714E"/>
    <w:rsid w:val="00C51CCA"/>
    <w:rsid w:val="00C5504F"/>
    <w:rsid w:val="00C57B55"/>
    <w:rsid w:val="00C63376"/>
    <w:rsid w:val="00C74F97"/>
    <w:rsid w:val="00C809B7"/>
    <w:rsid w:val="00C8276E"/>
    <w:rsid w:val="00C842AC"/>
    <w:rsid w:val="00C96688"/>
    <w:rsid w:val="00CA0723"/>
    <w:rsid w:val="00CB1690"/>
    <w:rsid w:val="00CC4365"/>
    <w:rsid w:val="00CC45F0"/>
    <w:rsid w:val="00CD11B0"/>
    <w:rsid w:val="00CE71C2"/>
    <w:rsid w:val="00CF34E9"/>
    <w:rsid w:val="00CF42D5"/>
    <w:rsid w:val="00CF4EDA"/>
    <w:rsid w:val="00D021CB"/>
    <w:rsid w:val="00D07510"/>
    <w:rsid w:val="00D10F1A"/>
    <w:rsid w:val="00D116F8"/>
    <w:rsid w:val="00D17596"/>
    <w:rsid w:val="00D21D54"/>
    <w:rsid w:val="00D22640"/>
    <w:rsid w:val="00D26D3A"/>
    <w:rsid w:val="00D363F3"/>
    <w:rsid w:val="00D3792D"/>
    <w:rsid w:val="00D45EE3"/>
    <w:rsid w:val="00D4633F"/>
    <w:rsid w:val="00D50618"/>
    <w:rsid w:val="00D509E9"/>
    <w:rsid w:val="00D52D81"/>
    <w:rsid w:val="00D53B1C"/>
    <w:rsid w:val="00D75A1B"/>
    <w:rsid w:val="00D93A22"/>
    <w:rsid w:val="00DA1B12"/>
    <w:rsid w:val="00DA47C4"/>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57B6C"/>
    <w:rsid w:val="00E60213"/>
    <w:rsid w:val="00E661B2"/>
    <w:rsid w:val="00E74D29"/>
    <w:rsid w:val="00E75CC9"/>
    <w:rsid w:val="00E83C74"/>
    <w:rsid w:val="00E83CEE"/>
    <w:rsid w:val="00E91F18"/>
    <w:rsid w:val="00E9226D"/>
    <w:rsid w:val="00EA416C"/>
    <w:rsid w:val="00EA5941"/>
    <w:rsid w:val="00EB60CE"/>
    <w:rsid w:val="00EB7D53"/>
    <w:rsid w:val="00EE014F"/>
    <w:rsid w:val="00EE3146"/>
    <w:rsid w:val="00EE6AD9"/>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15B1"/>
    <w:rsid w:val="00FD1379"/>
    <w:rsid w:val="00FD1694"/>
    <w:rsid w:val="00FD7636"/>
    <w:rsid w:val="00FE2847"/>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6AB6DA"/>
  <w15:chartTrackingRefBased/>
  <w15:docId w15:val="{6DB9E3E8-5986-49E1-9C1B-4EB403B9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PlaceholderText">
    <w:name w:val="Placeholder Text"/>
    <w:basedOn w:val="DefaultParagraphFont"/>
    <w:uiPriority w:val="99"/>
    <w:semiHidden/>
    <w:rsid w:val="000242C5"/>
    <w:rPr>
      <w:color w:val="808080"/>
    </w:rPr>
  </w:style>
  <w:style w:type="character" w:styleId="Hyperlink">
    <w:name w:val="Hyperlink"/>
    <w:basedOn w:val="DefaultParagraphFont"/>
    <w:uiPriority w:val="99"/>
    <w:unhideWhenUsed/>
    <w:rsid w:val="00562126"/>
    <w:rPr>
      <w:color w:val="0000FF"/>
      <w:u w:val="single"/>
    </w:rPr>
  </w:style>
  <w:style w:type="character" w:customStyle="1" w:styleId="ListParagraphChar">
    <w:name w:val="List Paragraph Char"/>
    <w:basedOn w:val="DefaultParagraphFont"/>
    <w:link w:val="ListParagraph"/>
    <w:uiPriority w:val="34"/>
    <w:rsid w:val="0056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EB4E6BFC345568444435ED86F99A2"/>
        <w:category>
          <w:name w:val="General"/>
          <w:gallery w:val="placeholder"/>
        </w:category>
        <w:types>
          <w:type w:val="bbPlcHdr"/>
        </w:types>
        <w:behaviors>
          <w:behavior w:val="content"/>
        </w:behaviors>
        <w:guid w:val="{D6CD59ED-32A5-4373-A5FB-EC62A38F3126}"/>
      </w:docPartPr>
      <w:docPartBody>
        <w:p w:rsidR="001638BB" w:rsidRDefault="00167ED6" w:rsidP="00B62E34">
          <w:pPr>
            <w:pStyle w:val="3DDEB4E6BFC345568444435ED86F99A2"/>
          </w:pPr>
          <w:r w:rsidRPr="00A028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4E"/>
    <w:rsid w:val="0005665F"/>
    <w:rsid w:val="000836A4"/>
    <w:rsid w:val="001638BB"/>
    <w:rsid w:val="00163F6B"/>
    <w:rsid w:val="00167ED6"/>
    <w:rsid w:val="001D1D8F"/>
    <w:rsid w:val="0028036B"/>
    <w:rsid w:val="003F73F7"/>
    <w:rsid w:val="00733D6B"/>
    <w:rsid w:val="007D403F"/>
    <w:rsid w:val="00861C15"/>
    <w:rsid w:val="008A2259"/>
    <w:rsid w:val="009F27F6"/>
    <w:rsid w:val="00B62E34"/>
    <w:rsid w:val="00BA5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36B"/>
  </w:style>
  <w:style w:type="paragraph" w:customStyle="1" w:styleId="3DDEB4E6BFC345568444435ED86F99A2">
    <w:name w:val="3DDEB4E6BFC345568444435ED86F99A2"/>
    <w:rsid w:val="00B62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69217-6963-4DB9-8D6C-D1DB097EA8B2}"/>
</file>

<file path=customXml/itemProps2.xml><?xml version="1.0" encoding="utf-8"?>
<ds:datastoreItem xmlns:ds="http://schemas.openxmlformats.org/officeDocument/2006/customXml" ds:itemID="{9BAD3DB7-147D-407B-B034-A63C38F3EB9D}">
  <ds:schemaRefs>
    <ds:schemaRef ds:uri="http://schemas.openxmlformats.org/package/2006/metadata/core-properties"/>
    <ds:schemaRef ds:uri="http://schemas.microsoft.com/office/2006/documentManagement/types"/>
    <ds:schemaRef ds:uri="http://schemas.microsoft.com/office/infopath/2007/PartnerControls"/>
    <ds:schemaRef ds:uri="826DA509-0712-4140-8BC8-422AFAAF766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B8E6C7A-E07E-428E-A8FF-1E4CEFEFE931}">
  <ds:schemaRefs>
    <ds:schemaRef ds:uri="http://schemas.openxmlformats.org/officeDocument/2006/bibliography"/>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Letter to Minister Furner – October 2021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 Furner – October 2021</dc:title>
  <dc:subject>Approval of a Wildlife Trade Operation for the Queensland Coral Fishery</dc:subject>
  <dc:creator>Sussan Ley</dc:creator>
  <cp:lastModifiedBy>Bec Durack</cp:lastModifiedBy>
  <cp:revision>2</cp:revision>
  <cp:lastPrinted>2021-10-28T04:01:00Z</cp:lastPrinted>
  <dcterms:created xsi:type="dcterms:W3CDTF">2021-10-29T02:26:00Z</dcterms:created>
  <dcterms:modified xsi:type="dcterms:W3CDTF">2021-10-29T02:26:00Z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
  </property>
  <property fmtid="{D5CDD505-2E9C-101B-9397-08002B2CF9AE}" pid="4" name="ContactOfficer">
    <vt:lpwstr>Adam Sincock</vt:lpwstr>
  </property>
  <property fmtid="{D5CDD505-2E9C-101B-9397-08002B2CF9AE}" pid="5" name="ContactOfficerPhone">
    <vt:lpwstr>0262725147</vt:lpwstr>
  </property>
  <property fmtid="{D5CDD505-2E9C-101B-9397-08002B2CF9AE}" pid="6" name="ContentTypeId">
    <vt:lpwstr>0x0101004B6FD6131ACCD942B99EE496FC609FF4</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GroupResponsible">
    <vt:lpwstr>Heritage Reef and Wildlife Trade Division (HRWT) G4</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Block">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Date">
    <vt:lpwstr/>
  </property>
  <property fmtid="{D5CDD505-2E9C-101B-9397-08002B2CF9AE}" pid="18" name="InitiatorContactName">
    <vt:lpwstr/>
  </property>
  <property fmtid="{D5CDD505-2E9C-101B-9397-08002B2CF9AE}" pid="19" name="InitiatorContactPosition">
    <vt:lpwstr/>
  </property>
  <property fmtid="{D5CDD505-2E9C-101B-9397-08002B2CF9AE}" pid="20" name="InitiatorCountry">
    <vt:lpwstr/>
  </property>
  <property fmtid="{D5CDD505-2E9C-101B-9397-08002B2CF9AE}" pid="21" name="InitiatorEmail">
    <vt:lpwstr/>
  </property>
  <property fmtid="{D5CDD505-2E9C-101B-9397-08002B2CF9AE}" pid="22" name="InitiatorFax">
    <vt:lpwstr/>
  </property>
  <property fmtid="{D5CDD505-2E9C-101B-9397-08002B2CF9AE}" pid="23" name="InitiatorFirstName">
    <vt:lpwstr/>
  </property>
  <property fmtid="{D5CDD505-2E9C-101B-9397-08002B2CF9AE}" pid="24" name="InitiatorFormalTitle">
    <vt:lpwstr/>
  </property>
  <property fmtid="{D5CDD505-2E9C-101B-9397-08002B2CF9AE}" pid="25" name="InitiatorFullName">
    <vt:lpwstr/>
  </property>
  <property fmtid="{D5CDD505-2E9C-101B-9397-08002B2CF9AE}" pid="26" name="InitiatorLastName">
    <vt:lpwstr/>
  </property>
  <property fmtid="{D5CDD505-2E9C-101B-9397-08002B2CF9AE}" pid="27" name="InitiatorMobile">
    <vt:lpwstr/>
  </property>
  <property fmtid="{D5CDD505-2E9C-101B-9397-08002B2CF9AE}" pid="28" name="InitiatorMPElectorate">
    <vt:lpwstr/>
  </property>
  <property fmtid="{D5CDD505-2E9C-101B-9397-08002B2CF9AE}" pid="29" name="InitiatorMPState">
    <vt:lpwstr/>
  </property>
  <property fmtid="{D5CDD505-2E9C-101B-9397-08002B2CF9AE}" pid="30" name="InitiatorName">
    <vt:lpwstr/>
  </property>
  <property fmtid="{D5CDD505-2E9C-101B-9397-08002B2CF9AE}" pid="31" name="InitiatorOnBehalfVia">
    <vt:lpwstr/>
  </property>
  <property fmtid="{D5CDD505-2E9C-101B-9397-08002B2CF9AE}" pid="32" name="InitiatorOrganisation">
    <vt:lpwstr/>
  </property>
  <property fmtid="{D5CDD505-2E9C-101B-9397-08002B2CF9AE}" pid="33" name="InitiatorOrganisationContactInformation">
    <vt:lpwstr/>
  </property>
  <property fmtid="{D5CDD505-2E9C-101B-9397-08002B2CF9AE}" pid="34" name="InitiatorOrganisationType">
    <vt:lpwstr/>
  </property>
  <property fmtid="{D5CDD505-2E9C-101B-9397-08002B2CF9AE}" pid="35" name="InitiatorOrganisationWebsite">
    <vt:lpwstr/>
  </property>
  <property fmtid="{D5CDD505-2E9C-101B-9397-08002B2CF9AE}" pid="36" name="InitiatorParliamentaryTitle">
    <vt:lpwstr/>
  </property>
  <property fmtid="{D5CDD505-2E9C-101B-9397-08002B2CF9AE}" pid="37" name="InitiatorPhone">
    <vt:lpwstr/>
  </property>
  <property fmtid="{D5CDD505-2E9C-101B-9397-08002B2CF9AE}" pid="38" name="InitiatorPostCode">
    <vt:lpwstr/>
  </property>
  <property fmtid="{D5CDD505-2E9C-101B-9397-08002B2CF9AE}" pid="39" name="InitiatorPostNominal">
    <vt:lpwstr/>
  </property>
  <property fmtid="{D5CDD505-2E9C-101B-9397-08002B2CF9AE}" pid="40" name="InitiatorState">
    <vt:lpwstr/>
  </property>
  <property fmtid="{D5CDD505-2E9C-101B-9397-08002B2CF9AE}" pid="41" name="InitiatorSuburbOrCity">
    <vt:lpwstr/>
  </property>
  <property fmtid="{D5CDD505-2E9C-101B-9397-08002B2CF9AE}" pid="42" name="InitiatorSuburbStatePostcode">
    <vt:lpwstr/>
  </property>
  <property fmtid="{D5CDD505-2E9C-101B-9397-08002B2CF9AE}" pid="43" name="InitiatorTitle">
    <vt:lpwstr/>
  </property>
  <property fmtid="{D5CDD505-2E9C-101B-9397-08002B2CF9AE}" pid="44" name="InitiatorTitledFullName">
    <vt:lpwstr/>
  </property>
  <property fmtid="{D5CDD505-2E9C-101B-9397-08002B2CF9AE}" pid="45" name="Ministers">
    <vt:lpwstr>Sussan Ley</vt:lpwstr>
  </property>
  <property fmtid="{D5CDD505-2E9C-101B-9397-08002B2CF9AE}" pid="46" name="MOActionActualDate">
    <vt:lpwstr/>
  </property>
  <property fmtid="{D5CDD505-2E9C-101B-9397-08002B2CF9AE}" pid="47" name="MOActionDueDate">
    <vt:lpwstr/>
  </property>
  <property fmtid="{D5CDD505-2E9C-101B-9397-08002B2CF9AE}" pid="48" name="PdrId">
    <vt:lpwstr>MS21-009315</vt:lpwstr>
  </property>
  <property fmtid="{D5CDD505-2E9C-101B-9397-08002B2CF9AE}" pid="49" name="Principal">
    <vt:lpwstr>For Decision</vt:lpwstr>
  </property>
  <property fmtid="{D5CDD505-2E9C-101B-9397-08002B2CF9AE}" pid="50" name="ReasonForSensitivity">
    <vt:lpwstr/>
  </property>
  <property fmtid="{D5CDD505-2E9C-101B-9397-08002B2CF9AE}" pid="51" name="RecordPoint_ActiveItemListId">
    <vt:lpwstr>{2836d6ca-b524-45b2-a060-3bebba2daa37}</vt:lpwstr>
  </property>
  <property fmtid="{D5CDD505-2E9C-101B-9397-08002B2CF9AE}" pid="52" name="RecordPoint_ActiveItemMoved">
    <vt:lpwstr/>
  </property>
  <property fmtid="{D5CDD505-2E9C-101B-9397-08002B2CF9AE}" pid="53" name="RecordPoint_ActiveItemSiteId">
    <vt:lpwstr>{5de2fa14-5cd9-4f3d-a0bc-2dab554b1fc6}</vt:lpwstr>
  </property>
  <property fmtid="{D5CDD505-2E9C-101B-9397-08002B2CF9AE}" pid="54" name="RecordPoint_ActiveItemUniqueId">
    <vt:lpwstr>{f0028852-64ba-4bdb-ad00-6c9338bcac2c}</vt:lpwstr>
  </property>
  <property fmtid="{D5CDD505-2E9C-101B-9397-08002B2CF9AE}" pid="55" name="RecordPoint_ActiveItemWebId">
    <vt:lpwstr>{8f77d035-eb8b-4475-96eb-c860be21f07c}</vt:lpwstr>
  </property>
  <property fmtid="{D5CDD505-2E9C-101B-9397-08002B2CF9AE}" pid="56" name="RecordPoint_RecordFormat">
    <vt:lpwstr/>
  </property>
  <property fmtid="{D5CDD505-2E9C-101B-9397-08002B2CF9AE}" pid="57" name="RecordPoint_RecordNumberSubmitted">
    <vt:lpwstr/>
  </property>
  <property fmtid="{D5CDD505-2E9C-101B-9397-08002B2CF9AE}" pid="58" name="RecordPoint_SubmissionCompleted">
    <vt:lpwstr/>
  </property>
  <property fmtid="{D5CDD505-2E9C-101B-9397-08002B2CF9AE}" pid="59" name="RecordPoint_SubmissionDate">
    <vt:lpwstr/>
  </property>
  <property fmtid="{D5CDD505-2E9C-101B-9397-08002B2CF9AE}" pid="60" name="RecordPoint_WorkflowType">
    <vt:lpwstr>ActiveSubmitStub</vt:lpwstr>
  </property>
  <property fmtid="{D5CDD505-2E9C-101B-9397-08002B2CF9AE}" pid="61" name="RegisteredDate">
    <vt:lpwstr>19 October 2021</vt:lpwstr>
  </property>
  <property fmtid="{D5CDD505-2E9C-101B-9397-08002B2CF9AE}" pid="62" name="RequestedAction">
    <vt:lpwstr>For Decision</vt:lpwstr>
  </property>
  <property fmtid="{D5CDD505-2E9C-101B-9397-08002B2CF9AE}" pid="63" name="ResponsibleMinister">
    <vt:lpwstr>Sussan Ley</vt:lpwstr>
  </property>
  <property fmtid="{D5CDD505-2E9C-101B-9397-08002B2CF9AE}" pid="64" name="SecurityClassification">
    <vt:lpwstr>OFFICIAL  </vt:lpwstr>
  </property>
  <property fmtid="{D5CDD505-2E9C-101B-9397-08002B2CF9AE}" pid="65" name="SignedDate">
    <vt:lpwstr/>
  </property>
  <property fmtid="{D5CDD505-2E9C-101B-9397-08002B2CF9AE}" pid="66" name="Subject">
    <vt:lpwstr>Approval of a Wildlife Trade Operation for the Queensland Coral Fishery</vt:lpwstr>
  </property>
  <property fmtid="{D5CDD505-2E9C-101B-9397-08002B2CF9AE}" pid="67" name="TaskSeqNo">
    <vt:lpwstr>0</vt:lpwstr>
  </property>
  <property fmtid="{D5CDD505-2E9C-101B-9397-08002B2CF9AE}" pid="68" name="TemplateSubType">
    <vt:lpwstr>Standard with letter</vt:lpwstr>
  </property>
  <property fmtid="{D5CDD505-2E9C-101B-9397-08002B2CF9AE}" pid="69" name="TemplateType">
    <vt:lpwstr>Sussan Ley</vt:lpwstr>
  </property>
  <property fmtid="{D5CDD505-2E9C-101B-9397-08002B2CF9AE}" pid="70" name="TrustedGroups">
    <vt:lpwstr>Parliamentary Coordinator MS, DLO, Ministerial Staff - Coalition 2013, Business Administrator, Limited Distribution MS</vt:lpwstr>
  </property>
</Properties>
</file>