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69255" w14:textId="77777777" w:rsidR="00D8670B" w:rsidRDefault="009B37A9">
      <w:pPr>
        <w:spacing w:before="3" w:after="1622"/>
        <w:ind w:left="1404" w:right="14"/>
        <w:textAlignment w:val="baseline"/>
      </w:pPr>
      <w:r>
        <w:rPr>
          <w:noProof/>
        </w:rPr>
        <w:drawing>
          <wp:inline distT="0" distB="0" distL="0" distR="0" wp14:anchorId="3D0EF253" wp14:editId="0173417C">
            <wp:extent cx="6071870" cy="501078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6071870" cy="5010785"/>
                    </a:xfrm>
                    <a:prstGeom prst="rect">
                      <a:avLst/>
                    </a:prstGeom>
                  </pic:spPr>
                </pic:pic>
              </a:graphicData>
            </a:graphic>
          </wp:inline>
        </w:drawing>
      </w:r>
    </w:p>
    <w:p w14:paraId="6A88909B" w14:textId="77777777" w:rsidR="00D8670B" w:rsidRDefault="009B37A9">
      <w:pPr>
        <w:spacing w:line="465" w:lineRule="exact"/>
        <w:textAlignment w:val="baseline"/>
        <w:rPr>
          <w:rFonts w:ascii="Arial Narrow" w:eastAsia="Arial Narrow" w:hAnsi="Arial Narrow"/>
          <w:b/>
          <w:color w:val="096EB8"/>
          <w:spacing w:val="9"/>
          <w:w w:val="105"/>
          <w:sz w:val="40"/>
        </w:rPr>
      </w:pPr>
      <w:r>
        <w:rPr>
          <w:rFonts w:ascii="Arial Narrow" w:eastAsia="Arial Narrow" w:hAnsi="Arial Narrow"/>
          <w:b/>
          <w:color w:val="096EB8"/>
          <w:spacing w:val="9"/>
          <w:w w:val="105"/>
          <w:sz w:val="40"/>
        </w:rPr>
        <w:t>Healthy HeadWaters Water Use Efficiency</w:t>
      </w:r>
    </w:p>
    <w:p w14:paraId="14208053" w14:textId="77777777" w:rsidR="00D8670B" w:rsidRDefault="009B37A9">
      <w:pPr>
        <w:spacing w:before="213" w:after="1832" w:line="822" w:lineRule="exact"/>
        <w:textAlignment w:val="baseline"/>
        <w:rPr>
          <w:rFonts w:ascii="Arial Narrow" w:eastAsia="Arial Narrow" w:hAnsi="Arial Narrow"/>
          <w:b/>
          <w:color w:val="096EB8"/>
          <w:spacing w:val="2"/>
          <w:w w:val="105"/>
          <w:sz w:val="70"/>
        </w:rPr>
      </w:pPr>
      <w:r>
        <w:rPr>
          <w:rFonts w:ascii="Arial Narrow" w:eastAsia="Arial Narrow" w:hAnsi="Arial Narrow"/>
          <w:b/>
          <w:color w:val="096EB8"/>
          <w:spacing w:val="2"/>
          <w:w w:val="105"/>
          <w:sz w:val="70"/>
        </w:rPr>
        <w:t xml:space="preserve">Phase </w:t>
      </w:r>
      <w:r>
        <w:rPr>
          <w:rFonts w:eastAsia="Times New Roman"/>
          <w:b/>
          <w:color w:val="096EB8"/>
          <w:spacing w:val="2"/>
          <w:w w:val="135"/>
          <w:sz w:val="55"/>
        </w:rPr>
        <w:t xml:space="preserve">2 </w:t>
      </w:r>
      <w:r>
        <w:rPr>
          <w:rFonts w:ascii="Arial Narrow" w:eastAsia="Arial Narrow" w:hAnsi="Arial Narrow"/>
          <w:b/>
          <w:color w:val="096EB8"/>
          <w:spacing w:val="2"/>
          <w:w w:val="105"/>
          <w:sz w:val="70"/>
        </w:rPr>
        <w:t>Final Report</w:t>
      </w:r>
    </w:p>
    <w:p w14:paraId="3DE7A6DA" w14:textId="77777777" w:rsidR="00D8670B" w:rsidRDefault="009B37A9">
      <w:pPr>
        <w:spacing w:before="1012" w:line="288" w:lineRule="exact"/>
        <w:textAlignment w:val="baseline"/>
        <w:rPr>
          <w:rFonts w:eastAsia="Times New Roman"/>
          <w:color w:val="000000"/>
          <w:sz w:val="24"/>
        </w:rPr>
      </w:pPr>
      <w:r>
        <w:pict w14:anchorId="3DA3D1AB">
          <v:shapetype id="_x0000_t202" coordsize="21600,21600" o:spt="202" path="m,l,21600r21600,l21600,xe">
            <v:stroke joinstyle="miter"/>
            <v:path gradientshapeok="t" o:connecttype="rect"/>
          </v:shapetype>
          <v:shape id="_x0000_s0" o:spid="_x0000_s1167" type="#_x0000_t202" style="position:absolute;margin-left:-.35pt;margin-top:0;width:489.95pt;height:64.1pt;z-index:-251730944;mso-wrap-distance-left:0;mso-wrap-distance-right: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375"/>
                    <w:gridCol w:w="7424"/>
                  </w:tblGrid>
                  <w:tr w:rsidR="00D8670B" w14:paraId="4BA69561" w14:textId="77777777">
                    <w:tblPrEx>
                      <w:tblCellMar>
                        <w:top w:w="0" w:type="dxa"/>
                        <w:bottom w:w="0" w:type="dxa"/>
                      </w:tblCellMar>
                    </w:tblPrEx>
                    <w:trPr>
                      <w:trHeight w:hRule="exact" w:val="842"/>
                    </w:trPr>
                    <w:tc>
                      <w:tcPr>
                        <w:tcW w:w="2375" w:type="dxa"/>
                        <w:tcBorders>
                          <w:top w:val="none" w:sz="0" w:space="0" w:color="000000"/>
                          <w:left w:val="none" w:sz="0" w:space="0" w:color="000000"/>
                          <w:bottom w:val="none" w:sz="0" w:space="0" w:color="000000"/>
                          <w:right w:val="none" w:sz="0" w:space="0" w:color="000000"/>
                        </w:tcBorders>
                      </w:tcPr>
                      <w:p w14:paraId="2652E17D" w14:textId="77777777" w:rsidR="00D8670B" w:rsidRDefault="009B37A9">
                        <w:pPr>
                          <w:spacing w:before="14"/>
                          <w:jc w:val="center"/>
                          <w:textAlignment w:val="baseline"/>
                        </w:pPr>
                        <w:r>
                          <w:rPr>
                            <w:noProof/>
                          </w:rPr>
                          <w:drawing>
                            <wp:inline distT="0" distB="0" distL="0" distR="0" wp14:anchorId="3F5C1AF5" wp14:editId="4B82EF36">
                              <wp:extent cx="708660" cy="52578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6"/>
                                      <a:stretch>
                                        <a:fillRect/>
                                      </a:stretch>
                                    </pic:blipFill>
                                    <pic:spPr>
                                      <a:xfrm>
                                        <a:off x="0" y="0"/>
                                        <a:ext cx="708660" cy="525780"/>
                                      </a:xfrm>
                                      <a:prstGeom prst="rect">
                                        <a:avLst/>
                                      </a:prstGeom>
                                    </pic:spPr>
                                  </pic:pic>
                                </a:graphicData>
                              </a:graphic>
                            </wp:inline>
                          </w:drawing>
                        </w:r>
                      </w:p>
                    </w:tc>
                    <w:tc>
                      <w:tcPr>
                        <w:tcW w:w="7424" w:type="dxa"/>
                        <w:vMerge w:val="restart"/>
                        <w:tcBorders>
                          <w:top w:val="none" w:sz="0" w:space="0" w:color="000000"/>
                          <w:left w:val="none" w:sz="0" w:space="0" w:color="000000"/>
                          <w:bottom w:val="single" w:sz="0" w:space="0" w:color="000000"/>
                          <w:right w:val="none" w:sz="0" w:space="0" w:color="000000"/>
                        </w:tcBorders>
                      </w:tcPr>
                      <w:p w14:paraId="54A150D3" w14:textId="77777777" w:rsidR="00D8670B" w:rsidRDefault="009B37A9">
                        <w:pPr>
                          <w:spacing w:before="14"/>
                          <w:ind w:left="3137"/>
                          <w:jc w:val="right"/>
                          <w:textAlignment w:val="baseline"/>
                        </w:pPr>
                        <w:r>
                          <w:rPr>
                            <w:noProof/>
                          </w:rPr>
                          <w:drawing>
                            <wp:inline distT="0" distB="0" distL="0" distR="0" wp14:anchorId="791FCC05" wp14:editId="53E2E11D">
                              <wp:extent cx="680720" cy="63563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7"/>
                                      <a:stretch>
                                        <a:fillRect/>
                                      </a:stretch>
                                    </pic:blipFill>
                                    <pic:spPr>
                                      <a:xfrm>
                                        <a:off x="0" y="0"/>
                                        <a:ext cx="680720" cy="635635"/>
                                      </a:xfrm>
                                      <a:prstGeom prst="rect">
                                        <a:avLst/>
                                      </a:prstGeom>
                                    </pic:spPr>
                                  </pic:pic>
                                </a:graphicData>
                              </a:graphic>
                            </wp:inline>
                          </w:drawing>
                        </w:r>
                      </w:p>
                    </w:tc>
                  </w:tr>
                  <w:tr w:rsidR="00D8670B" w14:paraId="0A3038F1" w14:textId="77777777">
                    <w:tblPrEx>
                      <w:tblCellMar>
                        <w:top w:w="0" w:type="dxa"/>
                        <w:bottom w:w="0" w:type="dxa"/>
                      </w:tblCellMar>
                    </w:tblPrEx>
                    <w:trPr>
                      <w:trHeight w:hRule="exact" w:val="375"/>
                    </w:trPr>
                    <w:tc>
                      <w:tcPr>
                        <w:tcW w:w="2375" w:type="dxa"/>
                        <w:tcBorders>
                          <w:top w:val="none" w:sz="0" w:space="0" w:color="000000"/>
                          <w:left w:val="none" w:sz="0" w:space="0" w:color="000000"/>
                          <w:bottom w:val="single" w:sz="5" w:space="0" w:color="6D6D6D"/>
                          <w:right w:val="none" w:sz="0" w:space="0" w:color="000000"/>
                        </w:tcBorders>
                        <w:vAlign w:val="center"/>
                      </w:tcPr>
                      <w:p w14:paraId="50BD8533" w14:textId="77777777" w:rsidR="00D8670B" w:rsidRDefault="009B37A9">
                        <w:pPr>
                          <w:spacing w:before="70" w:after="47" w:line="250" w:lineRule="exact"/>
                          <w:jc w:val="center"/>
                          <w:textAlignment w:val="baseline"/>
                          <w:rPr>
                            <w:rFonts w:eastAsia="Times New Roman"/>
                            <w:b/>
                            <w:color w:val="000000"/>
                            <w:sz w:val="23"/>
                          </w:rPr>
                        </w:pPr>
                        <w:r>
                          <w:rPr>
                            <w:rFonts w:eastAsia="Times New Roman"/>
                            <w:b/>
                            <w:color w:val="000000"/>
                            <w:sz w:val="23"/>
                          </w:rPr>
                          <w:t>Australian Government</w:t>
                        </w:r>
                      </w:p>
                    </w:tc>
                    <w:tc>
                      <w:tcPr>
                        <w:tcW w:w="7424" w:type="dxa"/>
                        <w:vMerge/>
                        <w:tcBorders>
                          <w:top w:val="single" w:sz="0" w:space="0" w:color="000000"/>
                          <w:left w:val="none" w:sz="0" w:space="0" w:color="000000"/>
                          <w:bottom w:val="single" w:sz="0" w:space="0" w:color="000000"/>
                          <w:right w:val="none" w:sz="0" w:space="0" w:color="000000"/>
                        </w:tcBorders>
                      </w:tcPr>
                      <w:p w14:paraId="11ABE300" w14:textId="77777777" w:rsidR="00D8670B" w:rsidRDefault="00D8670B"/>
                    </w:tc>
                  </w:tr>
                  <w:tr w:rsidR="00D8670B" w14:paraId="6163D744" w14:textId="77777777">
                    <w:tblPrEx>
                      <w:tblCellMar>
                        <w:top w:w="0" w:type="dxa"/>
                        <w:bottom w:w="0" w:type="dxa"/>
                      </w:tblCellMar>
                    </w:tblPrEx>
                    <w:trPr>
                      <w:trHeight w:hRule="exact" w:val="65"/>
                    </w:trPr>
                    <w:tc>
                      <w:tcPr>
                        <w:tcW w:w="2375" w:type="dxa"/>
                        <w:tcBorders>
                          <w:top w:val="single" w:sz="5" w:space="0" w:color="6D6D6D"/>
                          <w:left w:val="none" w:sz="0" w:space="0" w:color="000000"/>
                          <w:bottom w:val="none" w:sz="0" w:space="0" w:color="000000"/>
                          <w:right w:val="none" w:sz="0" w:space="0" w:color="000000"/>
                        </w:tcBorders>
                      </w:tcPr>
                      <w:p w14:paraId="77052307" w14:textId="77777777" w:rsidR="00D8670B" w:rsidRDefault="00D8670B"/>
                    </w:tc>
                    <w:tc>
                      <w:tcPr>
                        <w:tcW w:w="7424" w:type="dxa"/>
                        <w:vMerge/>
                        <w:tcBorders>
                          <w:top w:val="single" w:sz="0" w:space="0" w:color="000000"/>
                          <w:left w:val="none" w:sz="0" w:space="0" w:color="000000"/>
                          <w:bottom w:val="none" w:sz="0" w:space="0" w:color="000000"/>
                          <w:right w:val="none" w:sz="0" w:space="0" w:color="000000"/>
                        </w:tcBorders>
                      </w:tcPr>
                      <w:p w14:paraId="1B1DCD90" w14:textId="77777777" w:rsidR="00D8670B" w:rsidRDefault="00D8670B"/>
                    </w:tc>
                  </w:tr>
                </w:tbl>
                <w:p w14:paraId="4E463042" w14:textId="77777777" w:rsidR="00000000" w:rsidRDefault="009B37A9"/>
              </w:txbxContent>
            </v:textbox>
          </v:shape>
        </w:pict>
      </w:r>
    </w:p>
    <w:p w14:paraId="7AF8C399" w14:textId="77777777" w:rsidR="00D8670B" w:rsidRDefault="00D8670B">
      <w:pPr>
        <w:sectPr w:rsidR="00D8670B">
          <w:pgSz w:w="11909" w:h="16841"/>
          <w:pgMar w:top="1840" w:right="87" w:bottom="205" w:left="842" w:header="720" w:footer="720" w:gutter="0"/>
          <w:cols w:space="720"/>
        </w:sectPr>
      </w:pPr>
    </w:p>
    <w:p w14:paraId="3474AC95" w14:textId="77777777" w:rsidR="00D8670B" w:rsidRDefault="009B37A9">
      <w:pPr>
        <w:tabs>
          <w:tab w:val="right" w:pos="10224"/>
        </w:tabs>
        <w:spacing w:line="240" w:lineRule="exact"/>
        <w:textAlignment w:val="baseline"/>
        <w:rPr>
          <w:rFonts w:eastAsia="Times New Roman"/>
          <w:b/>
          <w:color w:val="000000"/>
          <w:sz w:val="23"/>
        </w:rPr>
      </w:pPr>
      <w:r>
        <w:rPr>
          <w:rFonts w:eastAsia="Times New Roman"/>
          <w:b/>
          <w:color w:val="000000"/>
          <w:sz w:val="23"/>
        </w:rPr>
        <w:t>Department of Agriculture</w:t>
      </w:r>
      <w:r>
        <w:rPr>
          <w:rFonts w:eastAsia="Times New Roman"/>
          <w:b/>
          <w:color w:val="000000"/>
          <w:sz w:val="23"/>
        </w:rPr>
        <w:tab/>
      </w:r>
      <w:r>
        <w:rPr>
          <w:rFonts w:ascii="Arial Narrow" w:eastAsia="Arial Narrow" w:hAnsi="Arial Narrow"/>
          <w:b/>
          <w:color w:val="000000"/>
          <w:sz w:val="20"/>
        </w:rPr>
        <w:t xml:space="preserve">Queensland </w:t>
      </w:r>
      <w:r>
        <w:rPr>
          <w:rFonts w:ascii="Arial Narrow" w:eastAsia="Arial Narrow" w:hAnsi="Arial Narrow"/>
          <w:color w:val="000000"/>
          <w:sz w:val="20"/>
        </w:rPr>
        <w:t>Government</w:t>
      </w:r>
    </w:p>
    <w:p w14:paraId="7B0DAE76" w14:textId="77777777" w:rsidR="00D8670B" w:rsidRDefault="00D8670B">
      <w:pPr>
        <w:sectPr w:rsidR="00D8670B">
          <w:type w:val="continuous"/>
          <w:pgSz w:w="11909" w:h="16841"/>
          <w:pgMar w:top="1840" w:right="818" w:bottom="205" w:left="871" w:header="720" w:footer="720" w:gutter="0"/>
          <w:cols w:space="720"/>
        </w:sectPr>
      </w:pPr>
    </w:p>
    <w:p w14:paraId="56EAD901" w14:textId="77777777" w:rsidR="00D8670B" w:rsidRDefault="009B37A9">
      <w:pPr>
        <w:spacing w:before="10" w:line="228" w:lineRule="exact"/>
        <w:textAlignment w:val="baseline"/>
        <w:rPr>
          <w:rFonts w:ascii="Arial" w:eastAsia="Arial" w:hAnsi="Arial"/>
          <w:color w:val="000000"/>
          <w:sz w:val="20"/>
        </w:rPr>
      </w:pPr>
      <w:r>
        <w:rPr>
          <w:rFonts w:ascii="Arial" w:eastAsia="Arial" w:hAnsi="Arial"/>
          <w:color w:val="000000"/>
          <w:sz w:val="20"/>
        </w:rPr>
        <w:lastRenderedPageBreak/>
        <w:t>© State of Queensland (Department of Natural Resources, Mines and Energy) 2020</w:t>
      </w:r>
    </w:p>
    <w:p w14:paraId="0A93EA30" w14:textId="77777777" w:rsidR="00D8670B" w:rsidRDefault="009B37A9">
      <w:pPr>
        <w:spacing w:before="473" w:line="229" w:lineRule="exact"/>
        <w:ind w:right="216"/>
        <w:textAlignment w:val="baseline"/>
        <w:rPr>
          <w:rFonts w:ascii="Arial" w:eastAsia="Arial" w:hAnsi="Arial"/>
          <w:color w:val="000000"/>
          <w:sz w:val="20"/>
        </w:rPr>
      </w:pPr>
      <w:r>
        <w:rPr>
          <w:rFonts w:ascii="Arial" w:eastAsia="Arial" w:hAnsi="Arial"/>
          <w:color w:val="000000"/>
          <w:sz w:val="20"/>
        </w:rPr>
        <w:t>This document has been prepared with all due diligence and care, based on the best available information at the time of publication. The department holds no responsibility for a</w:t>
      </w:r>
      <w:r>
        <w:rPr>
          <w:rFonts w:ascii="Arial" w:eastAsia="Arial" w:hAnsi="Arial"/>
          <w:color w:val="000000"/>
          <w:sz w:val="20"/>
        </w:rPr>
        <w:t>ny errors or omissions within this document. Any decisions made by other parties based on this document are solely the responsibility of those parties. Information contained in this document is from a number of sources and, as such, does not necessarily re</w:t>
      </w:r>
      <w:r>
        <w:rPr>
          <w:rFonts w:ascii="Arial" w:eastAsia="Arial" w:hAnsi="Arial"/>
          <w:color w:val="000000"/>
          <w:sz w:val="20"/>
        </w:rPr>
        <w:t>present government or departmental policy.</w:t>
      </w:r>
    </w:p>
    <w:p w14:paraId="678BD959" w14:textId="77777777" w:rsidR="00D8670B" w:rsidRDefault="009B37A9">
      <w:pPr>
        <w:spacing w:before="473" w:after="916" w:line="228" w:lineRule="exact"/>
        <w:textAlignment w:val="baseline"/>
        <w:rPr>
          <w:rFonts w:ascii="Arial" w:eastAsia="Arial" w:hAnsi="Arial"/>
          <w:color w:val="000000"/>
          <w:spacing w:val="-2"/>
          <w:sz w:val="20"/>
        </w:rPr>
      </w:pPr>
      <w:r>
        <w:rPr>
          <w:rFonts w:ascii="Arial" w:eastAsia="Arial" w:hAnsi="Arial"/>
          <w:color w:val="000000"/>
          <w:spacing w:val="-2"/>
          <w:sz w:val="20"/>
        </w:rPr>
        <w:t>March 2020</w:t>
      </w:r>
    </w:p>
    <w:p w14:paraId="7B1E2816" w14:textId="77777777" w:rsidR="00D8670B" w:rsidRDefault="009B37A9">
      <w:pPr>
        <w:spacing w:before="165" w:line="227" w:lineRule="exact"/>
        <w:jc w:val="center"/>
        <w:textAlignment w:val="baseline"/>
        <w:rPr>
          <w:rFonts w:ascii="Arial" w:eastAsia="Arial" w:hAnsi="Arial"/>
          <w:color w:val="000000"/>
          <w:sz w:val="20"/>
        </w:rPr>
      </w:pPr>
      <w:r>
        <w:pict w14:anchorId="50AF59A0">
          <v:line id="_x0000_s1166" style="position:absolute;left:0;text-align:left;z-index:251673600;mso-position-horizontal-relative:page;mso-position-vertical-relative:page" from="41.05pt,789.1pt" to="555.1pt,789.1pt" strokeweight="1.7pt">
            <w10:wrap anchorx="page" anchory="page"/>
          </v:line>
        </w:pict>
      </w:r>
      <w:r>
        <w:rPr>
          <w:rFonts w:ascii="Arial" w:eastAsia="Arial" w:hAnsi="Arial"/>
          <w:color w:val="000000"/>
          <w:sz w:val="20"/>
        </w:rPr>
        <w:t>2</w:t>
      </w:r>
    </w:p>
    <w:p w14:paraId="4EF4BE64" w14:textId="77777777" w:rsidR="00D8670B" w:rsidRDefault="00D8670B">
      <w:pPr>
        <w:sectPr w:rsidR="00D8670B">
          <w:pgSz w:w="11909" w:h="16838"/>
          <w:pgMar w:top="12280" w:right="808" w:bottom="282" w:left="821" w:header="720" w:footer="720" w:gutter="0"/>
          <w:cols w:space="720"/>
        </w:sectPr>
      </w:pPr>
    </w:p>
    <w:p w14:paraId="1E38D979" w14:textId="77777777" w:rsidR="00D8670B" w:rsidRDefault="009B37A9">
      <w:pPr>
        <w:spacing w:line="388" w:lineRule="exact"/>
        <w:textAlignment w:val="baseline"/>
        <w:rPr>
          <w:rFonts w:ascii="Arial" w:eastAsia="Arial" w:hAnsi="Arial"/>
          <w:b/>
          <w:color w:val="1C75BB"/>
          <w:spacing w:val="-1"/>
          <w:sz w:val="34"/>
        </w:rPr>
      </w:pPr>
      <w:r>
        <w:rPr>
          <w:rFonts w:ascii="Arial" w:eastAsia="Arial" w:hAnsi="Arial"/>
          <w:b/>
          <w:color w:val="1C75BB"/>
          <w:spacing w:val="-1"/>
          <w:sz w:val="34"/>
        </w:rPr>
        <w:lastRenderedPageBreak/>
        <w:t>Executive summary</w:t>
      </w:r>
    </w:p>
    <w:p w14:paraId="05FBB3F4" w14:textId="77777777" w:rsidR="00D8670B" w:rsidRDefault="009B37A9">
      <w:pPr>
        <w:spacing w:before="247" w:line="322" w:lineRule="exact"/>
        <w:textAlignment w:val="baseline"/>
        <w:rPr>
          <w:rFonts w:ascii="Arial" w:eastAsia="Arial" w:hAnsi="Arial"/>
          <w:b/>
          <w:color w:val="2C7176"/>
          <w:spacing w:val="-2"/>
          <w:sz w:val="28"/>
        </w:rPr>
      </w:pPr>
      <w:r>
        <w:rPr>
          <w:rFonts w:ascii="Arial" w:eastAsia="Arial" w:hAnsi="Arial"/>
          <w:b/>
          <w:color w:val="2C7176"/>
          <w:spacing w:val="-2"/>
          <w:sz w:val="28"/>
        </w:rPr>
        <w:t>Introduction</w:t>
      </w:r>
    </w:p>
    <w:p w14:paraId="24334593" w14:textId="77777777" w:rsidR="00D8670B" w:rsidRDefault="009B37A9">
      <w:pPr>
        <w:spacing w:before="117" w:line="231" w:lineRule="exact"/>
        <w:ind w:right="864"/>
        <w:textAlignment w:val="baseline"/>
        <w:rPr>
          <w:rFonts w:ascii="Arial" w:eastAsia="Arial" w:hAnsi="Arial"/>
          <w:color w:val="000000"/>
          <w:sz w:val="20"/>
        </w:rPr>
      </w:pPr>
      <w:r>
        <w:rPr>
          <w:rFonts w:ascii="Arial" w:eastAsia="Arial" w:hAnsi="Arial"/>
          <w:color w:val="000000"/>
          <w:sz w:val="20"/>
        </w:rPr>
        <w:t>The Queensland Government is working to manage Murray–</w:t>
      </w:r>
      <w:r>
        <w:rPr>
          <w:rFonts w:ascii="Arial" w:eastAsia="Arial" w:hAnsi="Arial"/>
          <w:color w:val="000000"/>
          <w:sz w:val="20"/>
        </w:rPr>
        <w:t>Darling Basin water resources to meet social, economic and environmental needs.</w:t>
      </w:r>
    </w:p>
    <w:p w14:paraId="5E00D924" w14:textId="77777777" w:rsidR="00D8670B" w:rsidRDefault="009B37A9">
      <w:pPr>
        <w:spacing w:before="121" w:line="230" w:lineRule="exact"/>
        <w:ind w:right="216"/>
        <w:textAlignment w:val="baseline"/>
        <w:rPr>
          <w:rFonts w:ascii="Arial" w:eastAsia="Arial" w:hAnsi="Arial"/>
          <w:color w:val="000000"/>
          <w:sz w:val="20"/>
        </w:rPr>
      </w:pPr>
      <w:r>
        <w:rPr>
          <w:rFonts w:ascii="Arial" w:eastAsia="Arial" w:hAnsi="Arial"/>
          <w:color w:val="000000"/>
          <w:sz w:val="20"/>
        </w:rPr>
        <w:t>The Queensland and Australian governments and other Basin states (New South Wales, Victoria, South Australia and the Australian Capital Territory) entered into agreements for “</w:t>
      </w:r>
      <w:r>
        <w:rPr>
          <w:rFonts w:ascii="Arial" w:eastAsia="Arial" w:hAnsi="Arial"/>
          <w:color w:val="000000"/>
          <w:sz w:val="20"/>
        </w:rPr>
        <w:t>priority projects” to deliver water saving infrastructure, return of water to the environment and adaptation to climate change.</w:t>
      </w:r>
    </w:p>
    <w:p w14:paraId="61971185" w14:textId="77777777" w:rsidR="00D8670B" w:rsidRDefault="009B37A9">
      <w:pPr>
        <w:spacing w:before="119" w:line="231" w:lineRule="exact"/>
        <w:ind w:right="216"/>
        <w:textAlignment w:val="baseline"/>
        <w:rPr>
          <w:rFonts w:ascii="Arial" w:eastAsia="Arial" w:hAnsi="Arial"/>
          <w:color w:val="000000"/>
          <w:sz w:val="20"/>
        </w:rPr>
      </w:pPr>
      <w:r>
        <w:rPr>
          <w:rFonts w:ascii="Arial" w:eastAsia="Arial" w:hAnsi="Arial"/>
          <w:color w:val="000000"/>
          <w:sz w:val="20"/>
        </w:rPr>
        <w:t xml:space="preserve">The Healthy HeadWaters Water Use Efficiency (HHWUE) program was one of Queensland’s priority projects. The HHWUE program helped </w:t>
      </w:r>
      <w:r>
        <w:rPr>
          <w:rFonts w:ascii="Arial" w:eastAsia="Arial" w:hAnsi="Arial"/>
          <w:color w:val="000000"/>
          <w:sz w:val="20"/>
        </w:rPr>
        <w:t>Queensland meet its water reform commitments with the following objectives:</w:t>
      </w:r>
    </w:p>
    <w:p w14:paraId="7B87F42E" w14:textId="77777777" w:rsidR="00D8670B" w:rsidRDefault="009B37A9">
      <w:pPr>
        <w:numPr>
          <w:ilvl w:val="0"/>
          <w:numId w:val="1"/>
        </w:numPr>
        <w:tabs>
          <w:tab w:val="clear" w:pos="360"/>
          <w:tab w:val="left" w:pos="792"/>
        </w:tabs>
        <w:spacing w:before="130" w:line="230" w:lineRule="exact"/>
        <w:ind w:left="792" w:right="432" w:hanging="360"/>
        <w:textAlignment w:val="baseline"/>
        <w:rPr>
          <w:rFonts w:ascii="Arial" w:eastAsia="Arial" w:hAnsi="Arial"/>
          <w:color w:val="000000"/>
          <w:sz w:val="20"/>
        </w:rPr>
      </w:pPr>
      <w:r>
        <w:rPr>
          <w:rFonts w:ascii="Arial" w:eastAsia="Arial" w:hAnsi="Arial"/>
          <w:color w:val="000000"/>
          <w:sz w:val="20"/>
        </w:rPr>
        <w:t>assist in securing a long-term sustainable future for irrigation communities as a result of realising water savings through targeted investment in on-farm water use efficiency</w:t>
      </w:r>
    </w:p>
    <w:p w14:paraId="29AF72E3" w14:textId="77777777" w:rsidR="00D8670B" w:rsidRDefault="009B37A9">
      <w:pPr>
        <w:numPr>
          <w:ilvl w:val="0"/>
          <w:numId w:val="1"/>
        </w:numPr>
        <w:tabs>
          <w:tab w:val="clear" w:pos="360"/>
          <w:tab w:val="left" w:pos="792"/>
        </w:tabs>
        <w:spacing w:before="136" w:line="230" w:lineRule="exact"/>
        <w:ind w:left="792" w:right="288" w:hanging="360"/>
        <w:textAlignment w:val="baseline"/>
        <w:rPr>
          <w:rFonts w:ascii="Arial" w:eastAsia="Arial" w:hAnsi="Arial"/>
          <w:color w:val="000000"/>
          <w:sz w:val="20"/>
        </w:rPr>
      </w:pPr>
      <w:r>
        <w:rPr>
          <w:rFonts w:ascii="Arial" w:eastAsia="Arial" w:hAnsi="Arial"/>
          <w:color w:val="000000"/>
          <w:sz w:val="20"/>
        </w:rPr>
        <w:t>deliver water to the environment by transferring a portion of the water savings achieved through HHWUE funding in on-farm water use efficiency to the Australian Government for management by the Commonwealth Environmental Water Office</w:t>
      </w:r>
    </w:p>
    <w:p w14:paraId="4AD730C7" w14:textId="77777777" w:rsidR="00D8670B" w:rsidRDefault="009B37A9">
      <w:pPr>
        <w:numPr>
          <w:ilvl w:val="0"/>
          <w:numId w:val="1"/>
        </w:numPr>
        <w:tabs>
          <w:tab w:val="clear" w:pos="360"/>
          <w:tab w:val="left" w:pos="792"/>
        </w:tabs>
        <w:spacing w:before="130" w:line="230" w:lineRule="exact"/>
        <w:ind w:left="792" w:right="648" w:hanging="360"/>
        <w:textAlignment w:val="baseline"/>
        <w:rPr>
          <w:rFonts w:ascii="Arial" w:eastAsia="Arial" w:hAnsi="Arial"/>
          <w:color w:val="000000"/>
          <w:sz w:val="20"/>
        </w:rPr>
      </w:pPr>
      <w:r>
        <w:rPr>
          <w:rFonts w:ascii="Arial" w:eastAsia="Arial" w:hAnsi="Arial"/>
          <w:color w:val="000000"/>
          <w:sz w:val="20"/>
        </w:rPr>
        <w:t>assist faster adoption</w:t>
      </w:r>
      <w:r>
        <w:rPr>
          <w:rFonts w:ascii="Arial" w:eastAsia="Arial" w:hAnsi="Arial"/>
          <w:color w:val="000000"/>
          <w:sz w:val="20"/>
        </w:rPr>
        <w:t xml:space="preserve"> of more efficient water use technologies across the irrigation sector, leading to greater value returns per megalitre to producers.</w:t>
      </w:r>
    </w:p>
    <w:p w14:paraId="3C77129E" w14:textId="77777777" w:rsidR="00D8670B" w:rsidRDefault="009B37A9">
      <w:pPr>
        <w:spacing w:before="117" w:line="232" w:lineRule="exact"/>
        <w:ind w:right="648"/>
        <w:textAlignment w:val="baseline"/>
        <w:rPr>
          <w:rFonts w:ascii="Arial" w:eastAsia="Arial" w:hAnsi="Arial"/>
          <w:color w:val="000000"/>
          <w:sz w:val="20"/>
        </w:rPr>
      </w:pPr>
      <w:r>
        <w:rPr>
          <w:rFonts w:ascii="Arial" w:eastAsia="Arial" w:hAnsi="Arial"/>
          <w:color w:val="000000"/>
          <w:sz w:val="20"/>
        </w:rPr>
        <w:t>The Australian Government allocated up to $154 million</w:t>
      </w:r>
      <w:r>
        <w:rPr>
          <w:rFonts w:ascii="Arial" w:eastAsia="Arial" w:hAnsi="Arial"/>
          <w:color w:val="000000"/>
          <w:sz w:val="20"/>
          <w:vertAlign w:val="superscript"/>
        </w:rPr>
        <w:t>1</w:t>
      </w:r>
      <w:r>
        <w:rPr>
          <w:rFonts w:ascii="Arial" w:eastAsia="Arial" w:hAnsi="Arial"/>
          <w:color w:val="000000"/>
          <w:sz w:val="20"/>
        </w:rPr>
        <w:t xml:space="preserve"> for two phases of the HHWUE program. This report discusses the outc</w:t>
      </w:r>
      <w:r>
        <w:rPr>
          <w:rFonts w:ascii="Arial" w:eastAsia="Arial" w:hAnsi="Arial"/>
          <w:color w:val="000000"/>
          <w:sz w:val="20"/>
        </w:rPr>
        <w:t>omes of Phase 2 which ran from 2012 to 2019.</w:t>
      </w:r>
    </w:p>
    <w:p w14:paraId="3F120673" w14:textId="77777777" w:rsidR="00D8670B" w:rsidRDefault="009B37A9">
      <w:pPr>
        <w:spacing w:before="119" w:line="231" w:lineRule="exact"/>
        <w:ind w:right="936"/>
        <w:textAlignment w:val="baseline"/>
        <w:rPr>
          <w:rFonts w:ascii="Arial" w:eastAsia="Arial" w:hAnsi="Arial"/>
          <w:color w:val="000000"/>
          <w:sz w:val="20"/>
        </w:rPr>
      </w:pPr>
      <w:r>
        <w:rPr>
          <w:rFonts w:ascii="Arial" w:eastAsia="Arial" w:hAnsi="Arial"/>
          <w:color w:val="000000"/>
          <w:sz w:val="20"/>
        </w:rPr>
        <w:t>The program was delivered under a Water Management Partnership Agreement Schedule 2 between the Queensland and Australian governments.</w:t>
      </w:r>
    </w:p>
    <w:p w14:paraId="318E3575" w14:textId="77777777" w:rsidR="00D8670B" w:rsidRDefault="009B37A9">
      <w:pPr>
        <w:spacing w:before="241" w:line="322" w:lineRule="exact"/>
        <w:textAlignment w:val="baseline"/>
        <w:rPr>
          <w:rFonts w:ascii="Arial" w:eastAsia="Arial" w:hAnsi="Arial"/>
          <w:b/>
          <w:color w:val="2C7176"/>
          <w:spacing w:val="-1"/>
          <w:sz w:val="28"/>
        </w:rPr>
      </w:pPr>
      <w:r>
        <w:rPr>
          <w:rFonts w:ascii="Arial" w:eastAsia="Arial" w:hAnsi="Arial"/>
          <w:b/>
          <w:color w:val="2C7176"/>
          <w:spacing w:val="-1"/>
          <w:sz w:val="28"/>
        </w:rPr>
        <w:t>Program conduct</w:t>
      </w:r>
    </w:p>
    <w:p w14:paraId="37A58E84" w14:textId="77777777" w:rsidR="00D8670B" w:rsidRDefault="009B37A9">
      <w:pPr>
        <w:spacing w:before="119" w:line="230" w:lineRule="exact"/>
        <w:textAlignment w:val="baseline"/>
        <w:rPr>
          <w:rFonts w:ascii="Arial" w:eastAsia="Arial" w:hAnsi="Arial"/>
          <w:color w:val="000000"/>
          <w:sz w:val="20"/>
        </w:rPr>
      </w:pPr>
      <w:r>
        <w:rPr>
          <w:rFonts w:ascii="Arial" w:eastAsia="Arial" w:hAnsi="Arial"/>
          <w:color w:val="000000"/>
          <w:sz w:val="20"/>
        </w:rPr>
        <w:t>Phase 2 of the HHWUE program contained two components:</w:t>
      </w:r>
    </w:p>
    <w:p w14:paraId="65591C97" w14:textId="77777777" w:rsidR="00D8670B" w:rsidRDefault="009B37A9">
      <w:pPr>
        <w:numPr>
          <w:ilvl w:val="0"/>
          <w:numId w:val="1"/>
        </w:numPr>
        <w:tabs>
          <w:tab w:val="clear" w:pos="360"/>
          <w:tab w:val="left" w:pos="792"/>
        </w:tabs>
        <w:spacing w:before="110" w:line="250" w:lineRule="exact"/>
        <w:ind w:left="432"/>
        <w:textAlignment w:val="baseline"/>
        <w:rPr>
          <w:rFonts w:ascii="Arial" w:eastAsia="Arial" w:hAnsi="Arial"/>
          <w:color w:val="000000"/>
          <w:spacing w:val="-1"/>
          <w:sz w:val="20"/>
        </w:rPr>
      </w:pPr>
      <w:r>
        <w:rPr>
          <w:rFonts w:ascii="Arial" w:eastAsia="Arial" w:hAnsi="Arial"/>
          <w:color w:val="000000"/>
          <w:spacing w:val="-1"/>
          <w:sz w:val="20"/>
        </w:rPr>
        <w:t>an in</w:t>
      </w:r>
      <w:r>
        <w:rPr>
          <w:rFonts w:ascii="Arial" w:eastAsia="Arial" w:hAnsi="Arial"/>
          <w:color w:val="000000"/>
          <w:spacing w:val="-1"/>
          <w:sz w:val="20"/>
        </w:rPr>
        <w:t>frastructure funding program</w:t>
      </w:r>
    </w:p>
    <w:p w14:paraId="26AAC75D" w14:textId="77777777" w:rsidR="00D8670B" w:rsidRDefault="009B37A9">
      <w:pPr>
        <w:numPr>
          <w:ilvl w:val="0"/>
          <w:numId w:val="1"/>
        </w:numPr>
        <w:tabs>
          <w:tab w:val="clear" w:pos="360"/>
          <w:tab w:val="left" w:pos="792"/>
        </w:tabs>
        <w:spacing w:before="114" w:line="250" w:lineRule="exact"/>
        <w:ind w:left="432"/>
        <w:textAlignment w:val="baseline"/>
        <w:rPr>
          <w:rFonts w:ascii="Arial" w:eastAsia="Arial" w:hAnsi="Arial"/>
          <w:color w:val="000000"/>
          <w:sz w:val="20"/>
        </w:rPr>
      </w:pPr>
      <w:r>
        <w:rPr>
          <w:rFonts w:ascii="Arial" w:eastAsia="Arial" w:hAnsi="Arial"/>
          <w:color w:val="000000"/>
          <w:sz w:val="20"/>
        </w:rPr>
        <w:t>complementary measures to support the funding program.</w:t>
      </w:r>
    </w:p>
    <w:p w14:paraId="00AF13F4" w14:textId="77777777" w:rsidR="00D8670B" w:rsidRDefault="009B37A9">
      <w:pPr>
        <w:spacing w:before="125" w:line="298" w:lineRule="exact"/>
        <w:textAlignment w:val="baseline"/>
        <w:rPr>
          <w:rFonts w:ascii="Arial" w:eastAsia="Arial" w:hAnsi="Arial"/>
          <w:b/>
          <w:color w:val="346C36"/>
          <w:sz w:val="26"/>
        </w:rPr>
      </w:pPr>
      <w:r>
        <w:rPr>
          <w:rFonts w:ascii="Arial" w:eastAsia="Arial" w:hAnsi="Arial"/>
          <w:b/>
          <w:color w:val="346C36"/>
          <w:sz w:val="26"/>
        </w:rPr>
        <w:t>Infrastructure funding program</w:t>
      </w:r>
    </w:p>
    <w:p w14:paraId="579D30F6" w14:textId="77777777" w:rsidR="00D8670B" w:rsidRDefault="009B37A9">
      <w:pPr>
        <w:spacing w:before="120" w:line="228" w:lineRule="exact"/>
        <w:textAlignment w:val="baseline"/>
        <w:rPr>
          <w:rFonts w:ascii="Arial" w:eastAsia="Arial" w:hAnsi="Arial"/>
          <w:color w:val="000000"/>
          <w:sz w:val="20"/>
        </w:rPr>
      </w:pPr>
      <w:r>
        <w:rPr>
          <w:rFonts w:ascii="Arial" w:eastAsia="Arial" w:hAnsi="Arial"/>
          <w:color w:val="000000"/>
          <w:sz w:val="20"/>
        </w:rPr>
        <w:t>The Queensland Government delivered ten HHWUE program funding rounds between August 2012 and</w:t>
      </w:r>
    </w:p>
    <w:p w14:paraId="446C257C" w14:textId="77777777" w:rsidR="00D8670B" w:rsidRDefault="009B37A9">
      <w:pPr>
        <w:spacing w:line="228" w:lineRule="exact"/>
        <w:textAlignment w:val="baseline"/>
        <w:rPr>
          <w:rFonts w:ascii="Arial" w:eastAsia="Arial" w:hAnsi="Arial"/>
          <w:color w:val="000000"/>
          <w:sz w:val="20"/>
        </w:rPr>
      </w:pPr>
      <w:r>
        <w:rPr>
          <w:rFonts w:ascii="Arial" w:eastAsia="Arial" w:hAnsi="Arial"/>
          <w:color w:val="000000"/>
          <w:sz w:val="20"/>
        </w:rPr>
        <w:t>June 2017. Funding was available for upgrades to on-farm infrastructure to improve the efficiency and productivity</w:t>
      </w:r>
    </w:p>
    <w:p w14:paraId="03E6DC5E" w14:textId="77777777" w:rsidR="00D8670B" w:rsidRDefault="009B37A9">
      <w:pPr>
        <w:spacing w:line="230" w:lineRule="exact"/>
        <w:textAlignment w:val="baseline"/>
        <w:rPr>
          <w:rFonts w:ascii="Arial" w:eastAsia="Arial" w:hAnsi="Arial"/>
          <w:color w:val="000000"/>
          <w:sz w:val="20"/>
        </w:rPr>
      </w:pPr>
      <w:r>
        <w:rPr>
          <w:rFonts w:ascii="Arial" w:eastAsia="Arial" w:hAnsi="Arial"/>
          <w:color w:val="000000"/>
          <w:sz w:val="20"/>
        </w:rPr>
        <w:t>of on-farm water use and management.</w:t>
      </w:r>
    </w:p>
    <w:p w14:paraId="4AA0BF37" w14:textId="77777777" w:rsidR="00D8670B" w:rsidRDefault="009B37A9">
      <w:pPr>
        <w:spacing w:before="124" w:line="272" w:lineRule="exact"/>
        <w:textAlignment w:val="baseline"/>
        <w:rPr>
          <w:rFonts w:ascii="Arial" w:eastAsia="Arial" w:hAnsi="Arial"/>
          <w:b/>
          <w:color w:val="55532D"/>
          <w:sz w:val="24"/>
        </w:rPr>
      </w:pPr>
      <w:r>
        <w:rPr>
          <w:rFonts w:ascii="Arial" w:eastAsia="Arial" w:hAnsi="Arial"/>
          <w:b/>
          <w:color w:val="55532D"/>
          <w:sz w:val="24"/>
        </w:rPr>
        <w:t>Application guidelines</w:t>
      </w:r>
    </w:p>
    <w:p w14:paraId="13D47C3F" w14:textId="77777777" w:rsidR="00D8670B" w:rsidRDefault="009B37A9">
      <w:pPr>
        <w:spacing w:before="124" w:line="230" w:lineRule="exact"/>
        <w:ind w:right="72"/>
        <w:textAlignment w:val="baseline"/>
        <w:rPr>
          <w:rFonts w:ascii="Arial" w:eastAsia="Arial" w:hAnsi="Arial"/>
          <w:color w:val="000000"/>
          <w:sz w:val="20"/>
        </w:rPr>
      </w:pPr>
      <w:r>
        <w:rPr>
          <w:rFonts w:ascii="Arial" w:eastAsia="Arial" w:hAnsi="Arial"/>
          <w:color w:val="000000"/>
          <w:sz w:val="20"/>
        </w:rPr>
        <w:t>The HHWUE program provided up to 90 per cent of the total cost of works. Up to 50</w:t>
      </w:r>
      <w:r>
        <w:rPr>
          <w:rFonts w:ascii="Arial" w:eastAsia="Arial" w:hAnsi="Arial"/>
          <w:color w:val="000000"/>
          <w:sz w:val="20"/>
        </w:rPr>
        <w:t xml:space="preserve"> per cent of the water saved by the works was retained by the irrigator, with the remainder transferred to the Australian Government for environmental use.</w:t>
      </w:r>
    </w:p>
    <w:p w14:paraId="59AF3981" w14:textId="77777777" w:rsidR="00D8670B" w:rsidRDefault="009B37A9">
      <w:pPr>
        <w:spacing w:before="120" w:line="230" w:lineRule="exact"/>
        <w:textAlignment w:val="baseline"/>
        <w:rPr>
          <w:rFonts w:ascii="Arial" w:eastAsia="Arial" w:hAnsi="Arial"/>
          <w:color w:val="000000"/>
          <w:sz w:val="20"/>
        </w:rPr>
      </w:pPr>
      <w:r>
        <w:rPr>
          <w:rFonts w:ascii="Arial" w:eastAsia="Arial" w:hAnsi="Arial"/>
          <w:color w:val="000000"/>
          <w:sz w:val="20"/>
        </w:rPr>
        <w:t>Eligible irrigators were required to:</w:t>
      </w:r>
    </w:p>
    <w:p w14:paraId="323DE1AE" w14:textId="77777777" w:rsidR="00D8670B" w:rsidRDefault="009B37A9">
      <w:pPr>
        <w:numPr>
          <w:ilvl w:val="0"/>
          <w:numId w:val="1"/>
        </w:numPr>
        <w:tabs>
          <w:tab w:val="clear" w:pos="360"/>
          <w:tab w:val="left" w:pos="792"/>
        </w:tabs>
        <w:spacing w:before="110" w:line="250" w:lineRule="exact"/>
        <w:ind w:left="432"/>
        <w:textAlignment w:val="baseline"/>
        <w:rPr>
          <w:rFonts w:ascii="Arial" w:eastAsia="Arial" w:hAnsi="Arial"/>
          <w:color w:val="000000"/>
          <w:spacing w:val="-1"/>
          <w:sz w:val="20"/>
        </w:rPr>
      </w:pPr>
      <w:r>
        <w:rPr>
          <w:rFonts w:ascii="Arial" w:eastAsia="Arial" w:hAnsi="Arial"/>
          <w:color w:val="000000"/>
          <w:spacing w:val="-1"/>
          <w:sz w:val="20"/>
        </w:rPr>
        <w:t>be registered for GST with a valid ABN or ACN</w:t>
      </w:r>
    </w:p>
    <w:p w14:paraId="0B07A58F" w14:textId="77777777" w:rsidR="00D8670B" w:rsidRDefault="009B37A9">
      <w:pPr>
        <w:numPr>
          <w:ilvl w:val="0"/>
          <w:numId w:val="1"/>
        </w:numPr>
        <w:tabs>
          <w:tab w:val="clear" w:pos="360"/>
          <w:tab w:val="left" w:pos="792"/>
        </w:tabs>
        <w:spacing w:before="135" w:line="230" w:lineRule="exact"/>
        <w:ind w:left="792" w:right="72" w:hanging="360"/>
        <w:textAlignment w:val="baseline"/>
        <w:rPr>
          <w:rFonts w:ascii="Arial" w:eastAsia="Arial" w:hAnsi="Arial"/>
          <w:color w:val="000000"/>
          <w:sz w:val="20"/>
        </w:rPr>
      </w:pPr>
      <w:r>
        <w:rPr>
          <w:rFonts w:ascii="Arial" w:eastAsia="Arial" w:hAnsi="Arial"/>
          <w:color w:val="000000"/>
          <w:sz w:val="20"/>
        </w:rPr>
        <w:t>have access to l</w:t>
      </w:r>
      <w:r>
        <w:rPr>
          <w:rFonts w:ascii="Arial" w:eastAsia="Arial" w:hAnsi="Arial"/>
          <w:color w:val="000000"/>
          <w:sz w:val="20"/>
        </w:rPr>
        <w:t>and and a tradable water entitlement in an eligible area of the Queensland Murray–Darling Basin (eligible areas changed depending on water recovery priorities)</w:t>
      </w:r>
    </w:p>
    <w:p w14:paraId="3F670E28" w14:textId="77777777" w:rsidR="00D8670B" w:rsidRDefault="009B37A9">
      <w:pPr>
        <w:numPr>
          <w:ilvl w:val="0"/>
          <w:numId w:val="1"/>
        </w:numPr>
        <w:tabs>
          <w:tab w:val="clear" w:pos="360"/>
          <w:tab w:val="left" w:pos="792"/>
        </w:tabs>
        <w:spacing w:before="110" w:line="250" w:lineRule="exact"/>
        <w:ind w:left="432"/>
        <w:textAlignment w:val="baseline"/>
        <w:rPr>
          <w:rFonts w:ascii="Arial" w:eastAsia="Arial" w:hAnsi="Arial"/>
          <w:color w:val="000000"/>
          <w:sz w:val="20"/>
        </w:rPr>
      </w:pPr>
      <w:r>
        <w:rPr>
          <w:rFonts w:ascii="Arial" w:eastAsia="Arial" w:hAnsi="Arial"/>
          <w:color w:val="000000"/>
          <w:sz w:val="20"/>
        </w:rPr>
        <w:t>be able to enter into a contract with the Queensland Government</w:t>
      </w:r>
    </w:p>
    <w:p w14:paraId="6F96D8A3" w14:textId="77777777" w:rsidR="00D8670B" w:rsidRDefault="009B37A9">
      <w:pPr>
        <w:numPr>
          <w:ilvl w:val="0"/>
          <w:numId w:val="1"/>
        </w:numPr>
        <w:tabs>
          <w:tab w:val="clear" w:pos="360"/>
          <w:tab w:val="left" w:pos="792"/>
        </w:tabs>
        <w:spacing w:before="14" w:line="351" w:lineRule="exact"/>
        <w:ind w:right="864" w:firstLine="432"/>
        <w:textAlignment w:val="baseline"/>
        <w:rPr>
          <w:rFonts w:ascii="Arial" w:eastAsia="Arial" w:hAnsi="Arial"/>
          <w:color w:val="000000"/>
          <w:sz w:val="20"/>
        </w:rPr>
      </w:pPr>
      <w:r>
        <w:rPr>
          <w:rFonts w:ascii="Arial" w:eastAsia="Arial" w:hAnsi="Arial"/>
          <w:color w:val="000000"/>
          <w:sz w:val="20"/>
        </w:rPr>
        <w:t>be able to oversee the project i</w:t>
      </w:r>
      <w:r>
        <w:rPr>
          <w:rFonts w:ascii="Arial" w:eastAsia="Arial" w:hAnsi="Arial"/>
          <w:color w:val="000000"/>
          <w:sz w:val="20"/>
        </w:rPr>
        <w:t>n accordance with Queensland and Australian laws and standards. Eligible projects had to:</w:t>
      </w:r>
    </w:p>
    <w:p w14:paraId="0901E9B1" w14:textId="77777777" w:rsidR="00D8670B" w:rsidRDefault="009B37A9">
      <w:pPr>
        <w:numPr>
          <w:ilvl w:val="0"/>
          <w:numId w:val="1"/>
        </w:numPr>
        <w:tabs>
          <w:tab w:val="clear" w:pos="360"/>
          <w:tab w:val="left" w:pos="792"/>
        </w:tabs>
        <w:spacing w:before="114" w:line="250" w:lineRule="exact"/>
        <w:ind w:left="432"/>
        <w:textAlignment w:val="baseline"/>
        <w:rPr>
          <w:rFonts w:ascii="Arial" w:eastAsia="Arial" w:hAnsi="Arial"/>
          <w:color w:val="000000"/>
          <w:sz w:val="20"/>
        </w:rPr>
      </w:pPr>
      <w:r>
        <w:rPr>
          <w:rFonts w:ascii="Arial" w:eastAsia="Arial" w:hAnsi="Arial"/>
          <w:color w:val="000000"/>
          <w:sz w:val="20"/>
        </w:rPr>
        <w:t>relate to storage, distribution or in-field use of water for primary production</w:t>
      </w:r>
    </w:p>
    <w:p w14:paraId="296EE42C" w14:textId="77777777" w:rsidR="00D8670B" w:rsidRDefault="009B37A9">
      <w:pPr>
        <w:numPr>
          <w:ilvl w:val="0"/>
          <w:numId w:val="1"/>
        </w:numPr>
        <w:tabs>
          <w:tab w:val="clear" w:pos="360"/>
          <w:tab w:val="left" w:pos="792"/>
        </w:tabs>
        <w:spacing w:before="110" w:after="560" w:line="250" w:lineRule="exact"/>
        <w:ind w:left="432"/>
        <w:textAlignment w:val="baseline"/>
        <w:rPr>
          <w:rFonts w:ascii="Arial" w:eastAsia="Arial" w:hAnsi="Arial"/>
          <w:color w:val="000000"/>
          <w:sz w:val="20"/>
        </w:rPr>
      </w:pPr>
      <w:r>
        <w:rPr>
          <w:rFonts w:ascii="Arial" w:eastAsia="Arial" w:hAnsi="Arial"/>
          <w:color w:val="000000"/>
          <w:sz w:val="20"/>
        </w:rPr>
        <w:t>construct, upgrade or commission on-farm water saving irrigation infrastructure</w:t>
      </w:r>
    </w:p>
    <w:p w14:paraId="1E3440A8" w14:textId="77777777" w:rsidR="00D8670B" w:rsidRDefault="009B37A9">
      <w:pPr>
        <w:spacing w:before="345" w:after="216" w:line="205" w:lineRule="exact"/>
        <w:textAlignment w:val="baseline"/>
        <w:rPr>
          <w:rFonts w:ascii="Arial" w:eastAsia="Arial" w:hAnsi="Arial"/>
          <w:color w:val="000000"/>
          <w:sz w:val="12"/>
        </w:rPr>
      </w:pPr>
      <w:r>
        <w:pict w14:anchorId="720E1F85">
          <v:line id="_x0000_s1165" style="position:absolute;z-index:251674624;mso-position-horizontal-relative:page;mso-position-vertical-relative:page" from="40.75pt,749.75pt" to="186.75pt,749.75pt" strokeweight=".7pt">
            <w10:wrap anchorx="page" anchory="page"/>
          </v:line>
        </w:pict>
      </w:r>
      <w:r>
        <w:rPr>
          <w:rFonts w:ascii="Arial" w:eastAsia="Arial" w:hAnsi="Arial"/>
          <w:color w:val="000000"/>
          <w:sz w:val="12"/>
        </w:rPr>
        <w:t xml:space="preserve">1 </w:t>
      </w:r>
      <w:r>
        <w:rPr>
          <w:rFonts w:ascii="Arial" w:eastAsia="Arial" w:hAnsi="Arial"/>
          <w:color w:val="000000"/>
          <w:sz w:val="18"/>
        </w:rPr>
        <w:t>All financial information in this document is GST exclusive unless otherwise stated</w:t>
      </w:r>
    </w:p>
    <w:p w14:paraId="55A12A3F" w14:textId="77777777" w:rsidR="00D8670B" w:rsidRDefault="009B37A9">
      <w:pPr>
        <w:spacing w:before="165" w:line="227" w:lineRule="exact"/>
        <w:jc w:val="center"/>
        <w:textAlignment w:val="baseline"/>
        <w:rPr>
          <w:rFonts w:ascii="Arial" w:eastAsia="Arial" w:hAnsi="Arial"/>
          <w:color w:val="000000"/>
          <w:sz w:val="20"/>
        </w:rPr>
      </w:pPr>
      <w:r>
        <w:pict w14:anchorId="22DC2DB3">
          <v:line id="_x0000_s1164" style="position:absolute;left:0;text-align:left;z-index:251675648;mso-position-horizontal-relative:page;mso-position-vertical-relative:page" from="40.75pt,789.1pt" to="554.8pt,789.1pt" strokeweight="1.7pt">
            <w10:wrap anchorx="page" anchory="page"/>
          </v:line>
        </w:pict>
      </w:r>
      <w:r>
        <w:rPr>
          <w:rFonts w:ascii="Arial" w:eastAsia="Arial" w:hAnsi="Arial"/>
          <w:color w:val="000000"/>
          <w:sz w:val="20"/>
        </w:rPr>
        <w:t>3</w:t>
      </w:r>
    </w:p>
    <w:p w14:paraId="22DE9C17" w14:textId="77777777" w:rsidR="00D8670B" w:rsidRDefault="00D8670B">
      <w:pPr>
        <w:sectPr w:rsidR="00D8670B">
          <w:pgSz w:w="11909" w:h="16838"/>
          <w:pgMar w:top="1140" w:right="814" w:bottom="282" w:left="815" w:header="720" w:footer="720" w:gutter="0"/>
          <w:cols w:space="720"/>
        </w:sectPr>
      </w:pPr>
    </w:p>
    <w:p w14:paraId="5116D2BB" w14:textId="77777777" w:rsidR="00D8670B" w:rsidRDefault="009B37A9">
      <w:pPr>
        <w:numPr>
          <w:ilvl w:val="0"/>
          <w:numId w:val="1"/>
        </w:numPr>
        <w:tabs>
          <w:tab w:val="clear" w:pos="360"/>
          <w:tab w:val="left" w:pos="792"/>
        </w:tabs>
        <w:spacing w:before="24" w:line="235" w:lineRule="exact"/>
        <w:ind w:left="792" w:right="360" w:hanging="360"/>
        <w:textAlignment w:val="baseline"/>
        <w:rPr>
          <w:rFonts w:ascii="Arial" w:eastAsia="Arial" w:hAnsi="Arial"/>
          <w:color w:val="000000"/>
          <w:sz w:val="20"/>
        </w:rPr>
      </w:pPr>
      <w:r>
        <w:rPr>
          <w:rFonts w:ascii="Arial" w:eastAsia="Arial" w:hAnsi="Arial"/>
          <w:color w:val="000000"/>
          <w:sz w:val="20"/>
        </w:rPr>
        <w:lastRenderedPageBreak/>
        <w:t>offer between 50 and 100 per cent (and at least 10 ML) of water savings as a tradable entitlement to the Australian Government</w:t>
      </w:r>
    </w:p>
    <w:p w14:paraId="739F287F" w14:textId="77777777" w:rsidR="00D8670B" w:rsidRDefault="009B37A9">
      <w:pPr>
        <w:numPr>
          <w:ilvl w:val="0"/>
          <w:numId w:val="1"/>
        </w:numPr>
        <w:tabs>
          <w:tab w:val="clear" w:pos="360"/>
          <w:tab w:val="left" w:pos="792"/>
        </w:tabs>
        <w:spacing w:line="380" w:lineRule="exact"/>
        <w:ind w:firstLine="432"/>
        <w:textAlignment w:val="baseline"/>
        <w:rPr>
          <w:rFonts w:ascii="Arial" w:eastAsia="Arial" w:hAnsi="Arial"/>
          <w:color w:val="000000"/>
          <w:sz w:val="20"/>
        </w:rPr>
      </w:pPr>
      <w:r>
        <w:rPr>
          <w:rFonts w:ascii="Arial" w:eastAsia="Arial" w:hAnsi="Arial"/>
          <w:color w:val="000000"/>
          <w:sz w:val="20"/>
        </w:rPr>
        <w:t xml:space="preserve">include an irrigator contribution of at least 10 per cent to the total project cost. </w:t>
      </w:r>
      <w:r>
        <w:rPr>
          <w:rFonts w:ascii="Arial" w:eastAsia="Arial" w:hAnsi="Arial"/>
          <w:color w:val="000000"/>
          <w:sz w:val="20"/>
        </w:rPr>
        <w:br/>
      </w:r>
      <w:r>
        <w:rPr>
          <w:rFonts w:ascii="Arial" w:eastAsia="Arial" w:hAnsi="Arial"/>
          <w:b/>
          <w:color w:val="55532D"/>
          <w:sz w:val="24"/>
        </w:rPr>
        <w:t>Assessment</w:t>
      </w:r>
    </w:p>
    <w:p w14:paraId="3BE184CD" w14:textId="77777777" w:rsidR="00D8670B" w:rsidRDefault="009B37A9">
      <w:pPr>
        <w:spacing w:before="118" w:line="230" w:lineRule="exact"/>
        <w:ind w:right="72"/>
        <w:textAlignment w:val="baseline"/>
        <w:rPr>
          <w:rFonts w:ascii="Arial" w:eastAsia="Arial" w:hAnsi="Arial"/>
          <w:color w:val="000000"/>
          <w:sz w:val="20"/>
        </w:rPr>
      </w:pPr>
      <w:r>
        <w:rPr>
          <w:rFonts w:ascii="Arial" w:eastAsia="Arial" w:hAnsi="Arial"/>
          <w:color w:val="000000"/>
          <w:sz w:val="20"/>
        </w:rPr>
        <w:t>Funding rounds were generally op</w:t>
      </w:r>
      <w:r>
        <w:rPr>
          <w:rFonts w:ascii="Arial" w:eastAsia="Arial" w:hAnsi="Arial"/>
          <w:color w:val="000000"/>
          <w:sz w:val="20"/>
        </w:rPr>
        <w:t>en for six months. The Queensland Government assessed applications received under compliance, environmental, technical feasibility, governance and value for money criteria. The Australian Government provided final approval of applications.</w:t>
      </w:r>
    </w:p>
    <w:p w14:paraId="55B07F44" w14:textId="77777777" w:rsidR="00D8670B" w:rsidRDefault="009B37A9">
      <w:pPr>
        <w:spacing w:before="125" w:line="276" w:lineRule="exact"/>
        <w:textAlignment w:val="baseline"/>
        <w:rPr>
          <w:rFonts w:ascii="Arial" w:eastAsia="Arial" w:hAnsi="Arial"/>
          <w:b/>
          <w:color w:val="55532D"/>
          <w:spacing w:val="-1"/>
          <w:sz w:val="24"/>
        </w:rPr>
      </w:pPr>
      <w:r>
        <w:rPr>
          <w:rFonts w:ascii="Arial" w:eastAsia="Arial" w:hAnsi="Arial"/>
          <w:b/>
          <w:color w:val="55532D"/>
          <w:spacing w:val="-1"/>
          <w:sz w:val="24"/>
        </w:rPr>
        <w:t>Contracts</w:t>
      </w:r>
    </w:p>
    <w:p w14:paraId="6F0F48E3" w14:textId="77777777" w:rsidR="00D8670B" w:rsidRDefault="009B37A9">
      <w:pPr>
        <w:spacing w:before="115" w:line="230" w:lineRule="exact"/>
        <w:ind w:right="360"/>
        <w:textAlignment w:val="baseline"/>
        <w:rPr>
          <w:rFonts w:ascii="Arial" w:eastAsia="Arial" w:hAnsi="Arial"/>
          <w:color w:val="000000"/>
          <w:sz w:val="20"/>
        </w:rPr>
      </w:pPr>
      <w:r>
        <w:rPr>
          <w:rFonts w:ascii="Arial" w:eastAsia="Arial" w:hAnsi="Arial"/>
          <w:color w:val="000000"/>
          <w:sz w:val="20"/>
        </w:rPr>
        <w:t>Approv</w:t>
      </w:r>
      <w:r>
        <w:rPr>
          <w:rFonts w:ascii="Arial" w:eastAsia="Arial" w:hAnsi="Arial"/>
          <w:color w:val="000000"/>
          <w:sz w:val="20"/>
        </w:rPr>
        <w:t>ed irrigators entered into two contracts: a contract with the Queensland Government for the project and funding, and a water entitlement transfer deed with the Australian Government for the transfer of the water. Contracts detailed obligations such as comp</w:t>
      </w:r>
      <w:r>
        <w:rPr>
          <w:rFonts w:ascii="Arial" w:eastAsia="Arial" w:hAnsi="Arial"/>
          <w:color w:val="000000"/>
          <w:sz w:val="20"/>
        </w:rPr>
        <w:t>liance with legislation, reporting, timely delivery, record keeping and claiming payments. The Queensland Government monitored project contracts by obtaining regular reports, conducting site inspections and monitoring projects for any variations.</w:t>
      </w:r>
    </w:p>
    <w:p w14:paraId="386C2FF7" w14:textId="77777777" w:rsidR="00D8670B" w:rsidRDefault="009B37A9">
      <w:pPr>
        <w:spacing w:before="125" w:line="276" w:lineRule="exact"/>
        <w:textAlignment w:val="baseline"/>
        <w:rPr>
          <w:rFonts w:ascii="Arial" w:eastAsia="Arial" w:hAnsi="Arial"/>
          <w:b/>
          <w:color w:val="55532D"/>
          <w:spacing w:val="-1"/>
          <w:sz w:val="24"/>
        </w:rPr>
      </w:pPr>
      <w:r>
        <w:rPr>
          <w:rFonts w:ascii="Arial" w:eastAsia="Arial" w:hAnsi="Arial"/>
          <w:b/>
          <w:color w:val="55532D"/>
          <w:spacing w:val="-1"/>
          <w:sz w:val="24"/>
        </w:rPr>
        <w:t>Payment c</w:t>
      </w:r>
      <w:r>
        <w:rPr>
          <w:rFonts w:ascii="Arial" w:eastAsia="Arial" w:hAnsi="Arial"/>
          <w:b/>
          <w:color w:val="55532D"/>
          <w:spacing w:val="-1"/>
          <w:sz w:val="24"/>
        </w:rPr>
        <w:t>laims</w:t>
      </w:r>
    </w:p>
    <w:p w14:paraId="2978E82E" w14:textId="77777777" w:rsidR="00D8670B" w:rsidRDefault="009B37A9">
      <w:pPr>
        <w:spacing w:before="118" w:line="230" w:lineRule="exact"/>
        <w:ind w:right="288"/>
        <w:textAlignment w:val="baseline"/>
        <w:rPr>
          <w:rFonts w:ascii="Arial" w:eastAsia="Arial" w:hAnsi="Arial"/>
          <w:color w:val="000000"/>
          <w:sz w:val="20"/>
        </w:rPr>
      </w:pPr>
      <w:r>
        <w:rPr>
          <w:rFonts w:ascii="Arial" w:eastAsia="Arial" w:hAnsi="Arial"/>
          <w:color w:val="000000"/>
          <w:sz w:val="20"/>
        </w:rPr>
        <w:t>The Queensland Government made three types of milestone payments for each project according to a milestone table that formed part of the contract:</w:t>
      </w:r>
    </w:p>
    <w:p w14:paraId="1E6FF133" w14:textId="77777777" w:rsidR="00D8670B" w:rsidRDefault="009B37A9">
      <w:pPr>
        <w:numPr>
          <w:ilvl w:val="0"/>
          <w:numId w:val="1"/>
        </w:numPr>
        <w:tabs>
          <w:tab w:val="clear" w:pos="360"/>
          <w:tab w:val="left" w:pos="792"/>
        </w:tabs>
        <w:spacing w:before="132" w:line="230" w:lineRule="exact"/>
        <w:ind w:left="792" w:right="144" w:hanging="360"/>
        <w:jc w:val="both"/>
        <w:textAlignment w:val="baseline"/>
        <w:rPr>
          <w:rFonts w:ascii="Arial" w:eastAsia="Arial" w:hAnsi="Arial"/>
          <w:color w:val="000000"/>
          <w:sz w:val="20"/>
        </w:rPr>
      </w:pPr>
      <w:r>
        <w:rPr>
          <w:rFonts w:ascii="Arial" w:eastAsia="Arial" w:hAnsi="Arial"/>
          <w:color w:val="000000"/>
          <w:sz w:val="20"/>
        </w:rPr>
        <w:t xml:space="preserve">first payment </w:t>
      </w:r>
      <w:r>
        <w:rPr>
          <w:rFonts w:ascii="Arial" w:eastAsia="Arial" w:hAnsi="Arial"/>
          <w:color w:val="000000"/>
          <w:sz w:val="21"/>
        </w:rPr>
        <w:t xml:space="preserve">– </w:t>
      </w:r>
      <w:r>
        <w:rPr>
          <w:rFonts w:ascii="Arial" w:eastAsia="Arial" w:hAnsi="Arial"/>
          <w:color w:val="000000"/>
          <w:sz w:val="20"/>
        </w:rPr>
        <w:t xml:space="preserve">paid upon transfer of the water entitlement and usually prior to works starting. The amount was equal to the agreed </w:t>
      </w:r>
      <w:r>
        <w:rPr>
          <w:rFonts w:ascii="Arial" w:eastAsia="Arial" w:hAnsi="Arial"/>
          <w:color w:val="000000"/>
          <w:sz w:val="21"/>
        </w:rPr>
        <w:t xml:space="preserve">“price” of the water entitlement </w:t>
      </w:r>
      <w:r>
        <w:rPr>
          <w:rFonts w:ascii="Arial" w:eastAsia="Arial" w:hAnsi="Arial"/>
          <w:color w:val="000000"/>
          <w:sz w:val="20"/>
        </w:rPr>
        <w:t>to be transferred</w:t>
      </w:r>
    </w:p>
    <w:p w14:paraId="4784E5C1" w14:textId="77777777" w:rsidR="00D8670B" w:rsidRDefault="009B37A9">
      <w:pPr>
        <w:numPr>
          <w:ilvl w:val="0"/>
          <w:numId w:val="1"/>
        </w:numPr>
        <w:tabs>
          <w:tab w:val="clear" w:pos="360"/>
          <w:tab w:val="left" w:pos="792"/>
        </w:tabs>
        <w:spacing w:before="134" w:line="230" w:lineRule="exact"/>
        <w:ind w:left="432"/>
        <w:jc w:val="both"/>
        <w:textAlignment w:val="baseline"/>
        <w:rPr>
          <w:rFonts w:ascii="Arial" w:eastAsia="Arial" w:hAnsi="Arial"/>
          <w:color w:val="000000"/>
          <w:spacing w:val="-1"/>
          <w:sz w:val="20"/>
        </w:rPr>
      </w:pPr>
      <w:r>
        <w:rPr>
          <w:rFonts w:ascii="Arial" w:eastAsia="Arial" w:hAnsi="Arial"/>
          <w:color w:val="000000"/>
          <w:spacing w:val="-1"/>
          <w:sz w:val="20"/>
        </w:rPr>
        <w:t xml:space="preserve">intermediate milestones </w:t>
      </w:r>
      <w:r>
        <w:rPr>
          <w:rFonts w:ascii="Arial" w:eastAsia="Arial" w:hAnsi="Arial"/>
          <w:color w:val="000000"/>
          <w:spacing w:val="-1"/>
          <w:sz w:val="21"/>
        </w:rPr>
        <w:t xml:space="preserve">– </w:t>
      </w:r>
      <w:r>
        <w:rPr>
          <w:rFonts w:ascii="Arial" w:eastAsia="Arial" w:hAnsi="Arial"/>
          <w:color w:val="000000"/>
          <w:spacing w:val="-1"/>
          <w:sz w:val="20"/>
        </w:rPr>
        <w:t>paid upon irrigators demonstrating a specified level of progress and expenditure</w:t>
      </w:r>
    </w:p>
    <w:p w14:paraId="506EE7BE" w14:textId="77777777" w:rsidR="00D8670B" w:rsidRDefault="009B37A9">
      <w:pPr>
        <w:numPr>
          <w:ilvl w:val="0"/>
          <w:numId w:val="1"/>
        </w:numPr>
        <w:tabs>
          <w:tab w:val="clear" w:pos="360"/>
          <w:tab w:val="left" w:pos="792"/>
        </w:tabs>
        <w:spacing w:before="123" w:line="236" w:lineRule="exact"/>
        <w:ind w:left="792" w:right="288" w:hanging="360"/>
        <w:jc w:val="both"/>
        <w:textAlignment w:val="baseline"/>
        <w:rPr>
          <w:rFonts w:ascii="Arial" w:eastAsia="Arial" w:hAnsi="Arial"/>
          <w:color w:val="000000"/>
          <w:sz w:val="20"/>
        </w:rPr>
      </w:pPr>
      <w:r>
        <w:rPr>
          <w:rFonts w:ascii="Arial" w:eastAsia="Arial" w:hAnsi="Arial"/>
          <w:color w:val="000000"/>
          <w:sz w:val="20"/>
        </w:rPr>
        <w:t xml:space="preserve">final payment </w:t>
      </w:r>
      <w:r>
        <w:rPr>
          <w:rFonts w:ascii="Arial" w:eastAsia="Arial" w:hAnsi="Arial"/>
          <w:color w:val="000000"/>
          <w:sz w:val="21"/>
        </w:rPr>
        <w:t xml:space="preserve">– </w:t>
      </w:r>
      <w:r>
        <w:rPr>
          <w:rFonts w:ascii="Arial" w:eastAsia="Arial" w:hAnsi="Arial"/>
          <w:color w:val="000000"/>
          <w:sz w:val="20"/>
        </w:rPr>
        <w:t>paid upon irrigators demonstrating commissioning of works. The amount was equal to 20 per cent of the total Australian Government funding.</w:t>
      </w:r>
    </w:p>
    <w:p w14:paraId="49BD3A91" w14:textId="77777777" w:rsidR="00D8670B" w:rsidRDefault="009B37A9">
      <w:pPr>
        <w:spacing w:before="121" w:line="297" w:lineRule="exact"/>
        <w:textAlignment w:val="baseline"/>
        <w:rPr>
          <w:rFonts w:ascii="Arial" w:eastAsia="Arial" w:hAnsi="Arial"/>
          <w:b/>
          <w:color w:val="346C36"/>
          <w:sz w:val="26"/>
        </w:rPr>
      </w:pPr>
      <w:r>
        <w:rPr>
          <w:rFonts w:ascii="Arial" w:eastAsia="Arial" w:hAnsi="Arial"/>
          <w:b/>
          <w:color w:val="346C36"/>
          <w:sz w:val="26"/>
        </w:rPr>
        <w:t>Complementary measur</w:t>
      </w:r>
      <w:r>
        <w:rPr>
          <w:rFonts w:ascii="Arial" w:eastAsia="Arial" w:hAnsi="Arial"/>
          <w:b/>
          <w:color w:val="346C36"/>
          <w:sz w:val="26"/>
        </w:rPr>
        <w:t>es</w:t>
      </w:r>
    </w:p>
    <w:p w14:paraId="7B7C9EA5" w14:textId="77777777" w:rsidR="00D8670B" w:rsidRDefault="009B37A9">
      <w:pPr>
        <w:spacing w:before="120" w:line="230" w:lineRule="exact"/>
        <w:ind w:right="648"/>
        <w:textAlignment w:val="baseline"/>
        <w:rPr>
          <w:rFonts w:ascii="Arial" w:eastAsia="Arial" w:hAnsi="Arial"/>
          <w:color w:val="000000"/>
          <w:sz w:val="20"/>
        </w:rPr>
      </w:pPr>
      <w:r>
        <w:rPr>
          <w:rFonts w:ascii="Arial" w:eastAsia="Arial" w:hAnsi="Arial"/>
          <w:color w:val="000000"/>
          <w:sz w:val="20"/>
        </w:rPr>
        <w:t>The Queensland Government also delivered complementary measures projects under the HHWUE program. These complementary measures engaged stakeholders with the HHWUE program and develop industry knowledge of water use efficiency measures:</w:t>
      </w:r>
    </w:p>
    <w:p w14:paraId="76DF1533" w14:textId="77777777" w:rsidR="00D8670B" w:rsidRDefault="009B37A9">
      <w:pPr>
        <w:numPr>
          <w:ilvl w:val="0"/>
          <w:numId w:val="1"/>
        </w:numPr>
        <w:tabs>
          <w:tab w:val="clear" w:pos="360"/>
          <w:tab w:val="left" w:pos="792"/>
        </w:tabs>
        <w:spacing w:before="131" w:line="230" w:lineRule="exact"/>
        <w:ind w:left="792" w:right="144" w:hanging="360"/>
        <w:jc w:val="both"/>
        <w:textAlignment w:val="baseline"/>
        <w:rPr>
          <w:rFonts w:ascii="Arial" w:eastAsia="Arial" w:hAnsi="Arial"/>
          <w:color w:val="000000"/>
          <w:sz w:val="20"/>
        </w:rPr>
      </w:pPr>
      <w:r>
        <w:rPr>
          <w:rFonts w:ascii="Arial" w:eastAsia="Arial" w:hAnsi="Arial"/>
          <w:color w:val="000000"/>
          <w:sz w:val="20"/>
        </w:rPr>
        <w:t xml:space="preserve">Technical advice </w:t>
      </w:r>
      <w:r>
        <w:rPr>
          <w:rFonts w:ascii="Arial" w:eastAsia="Arial" w:hAnsi="Arial"/>
          <w:color w:val="000000"/>
          <w:sz w:val="20"/>
        </w:rPr>
        <w:t xml:space="preserve">grants </w:t>
      </w:r>
      <w:r>
        <w:rPr>
          <w:rFonts w:ascii="Arial" w:eastAsia="Arial" w:hAnsi="Arial"/>
          <w:color w:val="000000"/>
          <w:sz w:val="21"/>
        </w:rPr>
        <w:t xml:space="preserve">– </w:t>
      </w:r>
      <w:r>
        <w:rPr>
          <w:rFonts w:ascii="Arial" w:eastAsia="Arial" w:hAnsi="Arial"/>
          <w:color w:val="000000"/>
          <w:sz w:val="20"/>
        </w:rPr>
        <w:t>the Queensland Government approved 61 small grants for irrigators to consider suitable water use efficiency options with the assistance of a qualified irrigation professional</w:t>
      </w:r>
    </w:p>
    <w:p w14:paraId="673D5011" w14:textId="77777777" w:rsidR="00D8670B" w:rsidRDefault="009B37A9">
      <w:pPr>
        <w:numPr>
          <w:ilvl w:val="0"/>
          <w:numId w:val="1"/>
        </w:numPr>
        <w:tabs>
          <w:tab w:val="clear" w:pos="360"/>
          <w:tab w:val="left" w:pos="792"/>
        </w:tabs>
        <w:spacing w:before="135" w:line="230" w:lineRule="exact"/>
        <w:ind w:left="792" w:right="504" w:hanging="360"/>
        <w:textAlignment w:val="baseline"/>
        <w:rPr>
          <w:rFonts w:ascii="Arial" w:eastAsia="Arial" w:hAnsi="Arial"/>
          <w:color w:val="000000"/>
          <w:spacing w:val="-1"/>
          <w:sz w:val="20"/>
        </w:rPr>
      </w:pPr>
      <w:r>
        <w:rPr>
          <w:rFonts w:ascii="Arial" w:eastAsia="Arial" w:hAnsi="Arial"/>
          <w:color w:val="000000"/>
          <w:spacing w:val="-1"/>
          <w:sz w:val="20"/>
        </w:rPr>
        <w:t xml:space="preserve">Eligibility check and pre-lodgement information </w:t>
      </w:r>
      <w:r>
        <w:rPr>
          <w:rFonts w:ascii="Arial" w:eastAsia="Arial" w:hAnsi="Arial"/>
          <w:color w:val="000000"/>
          <w:spacing w:val="-1"/>
          <w:sz w:val="21"/>
        </w:rPr>
        <w:t xml:space="preserve">– </w:t>
      </w:r>
      <w:r>
        <w:rPr>
          <w:rFonts w:ascii="Arial" w:eastAsia="Arial" w:hAnsi="Arial"/>
          <w:color w:val="000000"/>
          <w:spacing w:val="-1"/>
          <w:sz w:val="20"/>
        </w:rPr>
        <w:t>the Queensland Governm</w:t>
      </w:r>
      <w:r>
        <w:rPr>
          <w:rFonts w:ascii="Arial" w:eastAsia="Arial" w:hAnsi="Arial"/>
          <w:color w:val="000000"/>
          <w:spacing w:val="-1"/>
          <w:sz w:val="20"/>
        </w:rPr>
        <w:t>ent conducted 43 eligibility checks to help irrigators ensure they were fully informed before committing to an application</w:t>
      </w:r>
    </w:p>
    <w:p w14:paraId="363596D6" w14:textId="77777777" w:rsidR="00D8670B" w:rsidRDefault="009B37A9">
      <w:pPr>
        <w:numPr>
          <w:ilvl w:val="0"/>
          <w:numId w:val="1"/>
        </w:numPr>
        <w:tabs>
          <w:tab w:val="clear" w:pos="360"/>
          <w:tab w:val="left" w:pos="792"/>
        </w:tabs>
        <w:spacing w:before="130" w:line="230" w:lineRule="exact"/>
        <w:ind w:left="792" w:right="144" w:hanging="360"/>
        <w:jc w:val="both"/>
        <w:textAlignment w:val="baseline"/>
        <w:rPr>
          <w:rFonts w:ascii="Arial" w:eastAsia="Arial" w:hAnsi="Arial"/>
          <w:color w:val="000000"/>
          <w:sz w:val="20"/>
        </w:rPr>
      </w:pPr>
      <w:r>
        <w:rPr>
          <w:rFonts w:ascii="Arial" w:eastAsia="Arial" w:hAnsi="Arial"/>
          <w:color w:val="000000"/>
          <w:sz w:val="20"/>
        </w:rPr>
        <w:t xml:space="preserve">Engagement </w:t>
      </w:r>
      <w:r>
        <w:rPr>
          <w:rFonts w:ascii="Arial" w:eastAsia="Arial" w:hAnsi="Arial"/>
          <w:color w:val="000000"/>
          <w:sz w:val="21"/>
        </w:rPr>
        <w:t xml:space="preserve">– </w:t>
      </w:r>
      <w:r>
        <w:rPr>
          <w:rFonts w:ascii="Arial" w:eastAsia="Arial" w:hAnsi="Arial"/>
          <w:color w:val="000000"/>
          <w:sz w:val="20"/>
        </w:rPr>
        <w:t>the program was represented at 79 meetings, including 17 HHWUE-led events, to develop and maintain connections with industry during Phase 2</w:t>
      </w:r>
    </w:p>
    <w:p w14:paraId="40E8507B" w14:textId="77777777" w:rsidR="00D8670B" w:rsidRDefault="009B37A9">
      <w:pPr>
        <w:numPr>
          <w:ilvl w:val="0"/>
          <w:numId w:val="1"/>
        </w:numPr>
        <w:tabs>
          <w:tab w:val="clear" w:pos="360"/>
          <w:tab w:val="left" w:pos="792"/>
        </w:tabs>
        <w:spacing w:before="136" w:line="230" w:lineRule="exact"/>
        <w:ind w:left="792" w:right="360" w:hanging="360"/>
        <w:textAlignment w:val="baseline"/>
        <w:rPr>
          <w:rFonts w:ascii="Arial" w:eastAsia="Arial" w:hAnsi="Arial"/>
          <w:color w:val="000000"/>
          <w:sz w:val="20"/>
        </w:rPr>
      </w:pPr>
      <w:r>
        <w:rPr>
          <w:rFonts w:ascii="Arial" w:eastAsia="Arial" w:hAnsi="Arial"/>
          <w:color w:val="000000"/>
          <w:sz w:val="20"/>
        </w:rPr>
        <w:t xml:space="preserve">Benchmarking </w:t>
      </w:r>
      <w:r>
        <w:rPr>
          <w:rFonts w:ascii="Arial" w:eastAsia="Arial" w:hAnsi="Arial"/>
          <w:color w:val="000000"/>
          <w:sz w:val="21"/>
        </w:rPr>
        <w:t xml:space="preserve">– </w:t>
      </w:r>
      <w:r>
        <w:rPr>
          <w:rFonts w:ascii="Arial" w:eastAsia="Arial" w:hAnsi="Arial"/>
          <w:color w:val="000000"/>
          <w:sz w:val="20"/>
        </w:rPr>
        <w:t>the Queensland Government engaged an irrigation consultant to assess and report on performance, water</w:t>
      </w:r>
      <w:r>
        <w:rPr>
          <w:rFonts w:ascii="Arial" w:eastAsia="Arial" w:hAnsi="Arial"/>
          <w:color w:val="000000"/>
          <w:sz w:val="20"/>
        </w:rPr>
        <w:t xml:space="preserve"> use and energy consumption of 41 irrigation systems across the Condamine and Balonne and Border Rivers catchments</w:t>
      </w:r>
    </w:p>
    <w:p w14:paraId="2B645620" w14:textId="77777777" w:rsidR="00D8670B" w:rsidRDefault="009B37A9">
      <w:pPr>
        <w:numPr>
          <w:ilvl w:val="0"/>
          <w:numId w:val="1"/>
        </w:numPr>
        <w:tabs>
          <w:tab w:val="clear" w:pos="360"/>
          <w:tab w:val="left" w:pos="792"/>
        </w:tabs>
        <w:spacing w:before="136" w:line="230" w:lineRule="exact"/>
        <w:ind w:left="792" w:right="360" w:hanging="360"/>
        <w:jc w:val="both"/>
        <w:textAlignment w:val="baseline"/>
        <w:rPr>
          <w:rFonts w:ascii="Arial" w:eastAsia="Arial" w:hAnsi="Arial"/>
          <w:color w:val="000000"/>
          <w:sz w:val="20"/>
        </w:rPr>
      </w:pPr>
      <w:r>
        <w:rPr>
          <w:rFonts w:ascii="Arial" w:eastAsia="Arial" w:hAnsi="Arial"/>
          <w:color w:val="000000"/>
          <w:sz w:val="20"/>
        </w:rPr>
        <w:t xml:space="preserve">Industry Advisory Committee </w:t>
      </w:r>
      <w:r>
        <w:rPr>
          <w:rFonts w:ascii="Arial" w:eastAsia="Arial" w:hAnsi="Arial"/>
          <w:color w:val="000000"/>
          <w:sz w:val="21"/>
        </w:rPr>
        <w:t xml:space="preserve">– </w:t>
      </w:r>
      <w:r>
        <w:rPr>
          <w:rFonts w:ascii="Arial" w:eastAsia="Arial" w:hAnsi="Arial"/>
          <w:color w:val="000000"/>
          <w:sz w:val="20"/>
        </w:rPr>
        <w:t>an industry advisory committee chaired by the Queensland Government enhanced program outcomes by recommending t</w:t>
      </w:r>
      <w:r>
        <w:rPr>
          <w:rFonts w:ascii="Arial" w:eastAsia="Arial" w:hAnsi="Arial"/>
          <w:color w:val="000000"/>
          <w:sz w:val="20"/>
        </w:rPr>
        <w:t>he project deliver relevant events and complementary measures projects</w:t>
      </w:r>
    </w:p>
    <w:p w14:paraId="4348E27D" w14:textId="77777777" w:rsidR="00D8670B" w:rsidRDefault="009B37A9">
      <w:pPr>
        <w:numPr>
          <w:ilvl w:val="0"/>
          <w:numId w:val="1"/>
        </w:numPr>
        <w:tabs>
          <w:tab w:val="clear" w:pos="360"/>
          <w:tab w:val="left" w:pos="792"/>
        </w:tabs>
        <w:spacing w:before="130" w:line="230" w:lineRule="exact"/>
        <w:ind w:left="792" w:right="720" w:hanging="360"/>
        <w:textAlignment w:val="baseline"/>
        <w:rPr>
          <w:rFonts w:ascii="Arial" w:eastAsia="Arial" w:hAnsi="Arial"/>
          <w:color w:val="000000"/>
          <w:sz w:val="20"/>
        </w:rPr>
      </w:pPr>
      <w:r>
        <w:rPr>
          <w:rFonts w:ascii="Arial" w:eastAsia="Arial" w:hAnsi="Arial"/>
          <w:color w:val="000000"/>
          <w:sz w:val="20"/>
        </w:rPr>
        <w:t xml:space="preserve">Industry development </w:t>
      </w:r>
      <w:r>
        <w:rPr>
          <w:rFonts w:ascii="Arial" w:eastAsia="Arial" w:hAnsi="Arial"/>
          <w:color w:val="000000"/>
          <w:sz w:val="21"/>
        </w:rPr>
        <w:t xml:space="preserve">– </w:t>
      </w:r>
      <w:r>
        <w:rPr>
          <w:rFonts w:ascii="Arial" w:eastAsia="Arial" w:hAnsi="Arial"/>
          <w:color w:val="000000"/>
          <w:sz w:val="20"/>
        </w:rPr>
        <w:t>the program delivered projects to increase industry knowledge of water use efficiency technologies and develop decision making tools.</w:t>
      </w:r>
    </w:p>
    <w:p w14:paraId="5E25BF95" w14:textId="77777777" w:rsidR="00D8670B" w:rsidRDefault="009B37A9">
      <w:pPr>
        <w:spacing w:before="126" w:line="297" w:lineRule="exact"/>
        <w:textAlignment w:val="baseline"/>
        <w:rPr>
          <w:rFonts w:ascii="Arial" w:eastAsia="Arial" w:hAnsi="Arial"/>
          <w:b/>
          <w:color w:val="346C36"/>
          <w:sz w:val="26"/>
        </w:rPr>
      </w:pPr>
      <w:r>
        <w:rPr>
          <w:rFonts w:ascii="Arial" w:eastAsia="Arial" w:hAnsi="Arial"/>
          <w:b/>
          <w:color w:val="346C36"/>
          <w:sz w:val="26"/>
        </w:rPr>
        <w:t>Promotional activities</w:t>
      </w:r>
    </w:p>
    <w:p w14:paraId="69339FBA" w14:textId="77777777" w:rsidR="00D8670B" w:rsidRDefault="009B37A9">
      <w:pPr>
        <w:spacing w:before="116" w:line="230" w:lineRule="exact"/>
        <w:ind w:right="144"/>
        <w:textAlignment w:val="baseline"/>
        <w:rPr>
          <w:rFonts w:ascii="Arial" w:eastAsia="Arial" w:hAnsi="Arial"/>
          <w:color w:val="000000"/>
          <w:sz w:val="20"/>
        </w:rPr>
      </w:pPr>
      <w:r>
        <w:rPr>
          <w:rFonts w:ascii="Arial" w:eastAsia="Arial" w:hAnsi="Arial"/>
          <w:color w:val="000000"/>
          <w:sz w:val="20"/>
        </w:rPr>
        <w:t>Phase 2 included a tiered communication strategy to maximise participation from eligible irrigators. The strategy promoted the program to key irrigator groups through local activities such as small field days, one-on-one contact, direct mail and email. Wid</w:t>
      </w:r>
      <w:r>
        <w:rPr>
          <w:rFonts w:ascii="Arial" w:eastAsia="Arial" w:hAnsi="Arial"/>
          <w:color w:val="000000"/>
          <w:sz w:val="20"/>
        </w:rPr>
        <w:t>er groups were captured through general activities such as advertising, online content and attendance at conferences or trade shows.</w:t>
      </w:r>
    </w:p>
    <w:p w14:paraId="7C839249" w14:textId="77777777" w:rsidR="00D8670B" w:rsidRDefault="009B37A9">
      <w:pPr>
        <w:spacing w:before="122" w:after="627" w:line="230" w:lineRule="exact"/>
        <w:ind w:right="72"/>
        <w:textAlignment w:val="baseline"/>
        <w:rPr>
          <w:rFonts w:ascii="Arial" w:eastAsia="Arial" w:hAnsi="Arial"/>
          <w:color w:val="000000"/>
          <w:sz w:val="20"/>
        </w:rPr>
      </w:pPr>
      <w:r>
        <w:rPr>
          <w:rFonts w:ascii="Arial" w:eastAsia="Arial" w:hAnsi="Arial"/>
          <w:color w:val="000000"/>
          <w:sz w:val="20"/>
        </w:rPr>
        <w:t>In addition to engagement events, the HHWUE program was promoted through 153 activities during Phase 2, including program u</w:t>
      </w:r>
      <w:r>
        <w:rPr>
          <w:rFonts w:ascii="Arial" w:eastAsia="Arial" w:hAnsi="Arial"/>
          <w:color w:val="000000"/>
          <w:sz w:val="20"/>
        </w:rPr>
        <w:t>pdates, articles in industry publications, media releases, public notices, letters and a video. The Queensland Government had 740 direct formal contacts with 374 irrigators, consultants and other industry representatives.</w:t>
      </w:r>
    </w:p>
    <w:p w14:paraId="5E8FF40D" w14:textId="77777777" w:rsidR="00D8670B" w:rsidRDefault="009B37A9">
      <w:pPr>
        <w:spacing w:before="164" w:line="228" w:lineRule="exact"/>
        <w:jc w:val="center"/>
        <w:textAlignment w:val="baseline"/>
        <w:rPr>
          <w:rFonts w:ascii="Arial" w:eastAsia="Arial" w:hAnsi="Arial"/>
          <w:color w:val="000000"/>
          <w:sz w:val="20"/>
        </w:rPr>
      </w:pPr>
      <w:r>
        <w:pict w14:anchorId="73D1F395">
          <v:line id="_x0000_s1163" style="position:absolute;left:0;text-align:left;z-index:251676672;mso-position-horizontal-relative:page;mso-position-vertical-relative:page" from="40.75pt,789.1pt" to="554.8pt,789.1pt" strokeweight="1.7pt">
            <w10:wrap anchorx="page" anchory="page"/>
          </v:line>
        </w:pict>
      </w:r>
      <w:r>
        <w:rPr>
          <w:rFonts w:ascii="Arial" w:eastAsia="Arial" w:hAnsi="Arial"/>
          <w:color w:val="000000"/>
          <w:sz w:val="20"/>
        </w:rPr>
        <w:t>4</w:t>
      </w:r>
    </w:p>
    <w:p w14:paraId="5392888A" w14:textId="77777777" w:rsidR="00D8670B" w:rsidRDefault="00D8670B">
      <w:pPr>
        <w:sectPr w:rsidR="00D8670B">
          <w:pgSz w:w="11909" w:h="16838"/>
          <w:pgMar w:top="1120" w:right="814" w:bottom="282" w:left="815" w:header="720" w:footer="720" w:gutter="0"/>
          <w:cols w:space="720"/>
        </w:sectPr>
      </w:pPr>
    </w:p>
    <w:p w14:paraId="378CEC9A" w14:textId="77777777" w:rsidR="00D8670B" w:rsidRDefault="009B37A9">
      <w:pPr>
        <w:spacing w:before="5" w:line="299" w:lineRule="exact"/>
        <w:textAlignment w:val="baseline"/>
        <w:rPr>
          <w:rFonts w:ascii="Arial" w:eastAsia="Arial" w:hAnsi="Arial"/>
          <w:b/>
          <w:color w:val="346C36"/>
          <w:spacing w:val="-1"/>
          <w:sz w:val="26"/>
        </w:rPr>
      </w:pPr>
      <w:r>
        <w:rPr>
          <w:rFonts w:ascii="Arial" w:eastAsia="Arial" w:hAnsi="Arial"/>
          <w:b/>
          <w:color w:val="346C36"/>
          <w:spacing w:val="-1"/>
          <w:sz w:val="26"/>
        </w:rPr>
        <w:lastRenderedPageBreak/>
        <w:t>Program governance</w:t>
      </w:r>
    </w:p>
    <w:p w14:paraId="345D9AF3" w14:textId="77777777" w:rsidR="00D8670B" w:rsidRDefault="009B37A9">
      <w:pPr>
        <w:spacing w:before="119" w:line="230" w:lineRule="exact"/>
        <w:ind w:right="72"/>
        <w:textAlignment w:val="baseline"/>
        <w:rPr>
          <w:rFonts w:ascii="Arial" w:eastAsia="Arial" w:hAnsi="Arial"/>
          <w:color w:val="000000"/>
          <w:sz w:val="20"/>
        </w:rPr>
      </w:pPr>
      <w:r>
        <w:rPr>
          <w:rFonts w:ascii="Arial" w:eastAsia="Arial" w:hAnsi="Arial"/>
          <w:color w:val="000000"/>
          <w:sz w:val="20"/>
        </w:rPr>
        <w:t>The Queensland and Australian governments employed a number of measures to ensure sound governance of the HHWUE program in accordance with the Water Management Partnership Agreement. The Queensland Government established and evolved inte</w:t>
      </w:r>
      <w:r>
        <w:rPr>
          <w:rFonts w:ascii="Arial" w:eastAsia="Arial" w:hAnsi="Arial"/>
          <w:color w:val="000000"/>
          <w:sz w:val="20"/>
        </w:rPr>
        <w:t>rnal procedures and practices by drawing on knowledge from the project management discipline:</w:t>
      </w:r>
    </w:p>
    <w:p w14:paraId="060E2F4D" w14:textId="77777777" w:rsidR="00D8670B" w:rsidRDefault="009B37A9">
      <w:pPr>
        <w:numPr>
          <w:ilvl w:val="0"/>
          <w:numId w:val="1"/>
        </w:numPr>
        <w:tabs>
          <w:tab w:val="clear" w:pos="360"/>
          <w:tab w:val="left" w:pos="792"/>
        </w:tabs>
        <w:spacing w:before="131" w:line="230" w:lineRule="exact"/>
        <w:ind w:left="792" w:right="72" w:hanging="360"/>
        <w:textAlignment w:val="baseline"/>
        <w:rPr>
          <w:rFonts w:ascii="Arial" w:eastAsia="Arial" w:hAnsi="Arial"/>
          <w:color w:val="000000"/>
          <w:sz w:val="20"/>
        </w:rPr>
      </w:pPr>
      <w:r>
        <w:rPr>
          <w:rFonts w:ascii="Arial" w:eastAsia="Arial" w:hAnsi="Arial"/>
          <w:color w:val="000000"/>
          <w:sz w:val="20"/>
        </w:rPr>
        <w:t xml:space="preserve">integration </w:t>
      </w:r>
      <w:r>
        <w:rPr>
          <w:rFonts w:ascii="Arial" w:eastAsia="Arial" w:hAnsi="Arial"/>
          <w:color w:val="000000"/>
          <w:sz w:val="21"/>
        </w:rPr>
        <w:t>– the program was part of the Queensland Government’s approac</w:t>
      </w:r>
      <w:r>
        <w:rPr>
          <w:rFonts w:ascii="Arial" w:eastAsia="Arial" w:hAnsi="Arial"/>
          <w:color w:val="000000"/>
          <w:sz w:val="20"/>
        </w:rPr>
        <w:t xml:space="preserve">h to implementing the Basin Plan. The program was governed under the </w:t>
      </w:r>
      <w:r>
        <w:rPr>
          <w:rFonts w:ascii="Arial" w:eastAsia="Arial" w:hAnsi="Arial"/>
          <w:i/>
          <w:color w:val="000000"/>
          <w:sz w:val="20"/>
        </w:rPr>
        <w:t>Intergovernmental Ag</w:t>
      </w:r>
      <w:r>
        <w:rPr>
          <w:rFonts w:ascii="Arial" w:eastAsia="Arial" w:hAnsi="Arial"/>
          <w:i/>
          <w:color w:val="000000"/>
          <w:sz w:val="20"/>
        </w:rPr>
        <w:t>reement on Implementing Water Reform in the Murray</w:t>
      </w:r>
      <w:r>
        <w:rPr>
          <w:rFonts w:ascii="Arial" w:eastAsia="Arial" w:hAnsi="Arial"/>
          <w:i/>
          <w:color w:val="000000"/>
          <w:sz w:val="23"/>
        </w:rPr>
        <w:t>–</w:t>
      </w:r>
      <w:r>
        <w:rPr>
          <w:rFonts w:ascii="Arial" w:eastAsia="Arial" w:hAnsi="Arial"/>
          <w:i/>
          <w:color w:val="000000"/>
          <w:sz w:val="20"/>
        </w:rPr>
        <w:t xml:space="preserve">Darling Basin, </w:t>
      </w:r>
      <w:r>
        <w:rPr>
          <w:rFonts w:ascii="Arial" w:eastAsia="Arial" w:hAnsi="Arial"/>
          <w:color w:val="000000"/>
          <w:sz w:val="20"/>
        </w:rPr>
        <w:t>Water Management Partnership Agreement and internal policies and procedures</w:t>
      </w:r>
    </w:p>
    <w:p w14:paraId="69395A56" w14:textId="77777777" w:rsidR="00D8670B" w:rsidRDefault="009B37A9">
      <w:pPr>
        <w:numPr>
          <w:ilvl w:val="0"/>
          <w:numId w:val="1"/>
        </w:numPr>
        <w:tabs>
          <w:tab w:val="clear" w:pos="360"/>
          <w:tab w:val="left" w:pos="792"/>
        </w:tabs>
        <w:spacing w:before="125" w:line="235" w:lineRule="exact"/>
        <w:ind w:left="792" w:right="360" w:hanging="360"/>
        <w:textAlignment w:val="baseline"/>
        <w:rPr>
          <w:rFonts w:ascii="Arial" w:eastAsia="Arial" w:hAnsi="Arial"/>
          <w:color w:val="000000"/>
          <w:sz w:val="20"/>
        </w:rPr>
      </w:pPr>
      <w:r>
        <w:rPr>
          <w:rFonts w:ascii="Arial" w:eastAsia="Arial" w:hAnsi="Arial"/>
          <w:color w:val="000000"/>
          <w:sz w:val="20"/>
        </w:rPr>
        <w:t xml:space="preserve">scope </w:t>
      </w:r>
      <w:r>
        <w:rPr>
          <w:rFonts w:ascii="Arial" w:eastAsia="Arial" w:hAnsi="Arial"/>
          <w:color w:val="000000"/>
          <w:sz w:val="21"/>
        </w:rPr>
        <w:t xml:space="preserve">– </w:t>
      </w:r>
      <w:r>
        <w:rPr>
          <w:rFonts w:ascii="Arial" w:eastAsia="Arial" w:hAnsi="Arial"/>
          <w:color w:val="000000"/>
          <w:sz w:val="20"/>
        </w:rPr>
        <w:t>the scope, including the funding program, complementary measures and promotional activities, was established in the agreed Water Management Partnership Agreement Schedule 2</w:t>
      </w:r>
    </w:p>
    <w:p w14:paraId="584B8C61" w14:textId="77777777" w:rsidR="00D8670B" w:rsidRDefault="009B37A9">
      <w:pPr>
        <w:numPr>
          <w:ilvl w:val="0"/>
          <w:numId w:val="1"/>
        </w:numPr>
        <w:tabs>
          <w:tab w:val="clear" w:pos="360"/>
          <w:tab w:val="left" w:pos="792"/>
        </w:tabs>
        <w:spacing w:before="131" w:line="230" w:lineRule="exact"/>
        <w:ind w:left="792" w:right="288" w:hanging="360"/>
        <w:textAlignment w:val="baseline"/>
        <w:rPr>
          <w:rFonts w:ascii="Arial" w:eastAsia="Arial" w:hAnsi="Arial"/>
          <w:color w:val="000000"/>
          <w:spacing w:val="-1"/>
          <w:sz w:val="20"/>
        </w:rPr>
      </w:pPr>
      <w:r>
        <w:rPr>
          <w:rFonts w:ascii="Arial" w:eastAsia="Arial" w:hAnsi="Arial"/>
          <w:color w:val="000000"/>
          <w:spacing w:val="-1"/>
          <w:sz w:val="20"/>
        </w:rPr>
        <w:t xml:space="preserve">time </w:t>
      </w:r>
      <w:r>
        <w:rPr>
          <w:rFonts w:ascii="Arial" w:eastAsia="Arial" w:hAnsi="Arial"/>
          <w:color w:val="000000"/>
          <w:spacing w:val="-1"/>
          <w:sz w:val="21"/>
        </w:rPr>
        <w:t xml:space="preserve">– </w:t>
      </w:r>
      <w:r>
        <w:rPr>
          <w:rFonts w:ascii="Arial" w:eastAsia="Arial" w:hAnsi="Arial"/>
          <w:color w:val="000000"/>
          <w:spacing w:val="-1"/>
          <w:sz w:val="20"/>
        </w:rPr>
        <w:t>the Schedule 2 established the start and end dates of the program. An annual</w:t>
      </w:r>
      <w:r>
        <w:rPr>
          <w:rFonts w:ascii="Arial" w:eastAsia="Arial" w:hAnsi="Arial"/>
          <w:color w:val="000000"/>
          <w:spacing w:val="-1"/>
          <w:sz w:val="20"/>
        </w:rPr>
        <w:t xml:space="preserve"> project plan agreed between the Queensland and Australian governments identified the activities for each financial year. The program team established and monitored timelines around implementation and funding cycles</w:t>
      </w:r>
    </w:p>
    <w:p w14:paraId="655537BB" w14:textId="77777777" w:rsidR="00D8670B" w:rsidRDefault="009B37A9">
      <w:pPr>
        <w:numPr>
          <w:ilvl w:val="0"/>
          <w:numId w:val="1"/>
        </w:numPr>
        <w:tabs>
          <w:tab w:val="clear" w:pos="360"/>
          <w:tab w:val="left" w:pos="792"/>
        </w:tabs>
        <w:spacing w:before="135" w:line="230" w:lineRule="exact"/>
        <w:ind w:left="792" w:right="144" w:hanging="360"/>
        <w:textAlignment w:val="baseline"/>
        <w:rPr>
          <w:rFonts w:ascii="Arial" w:eastAsia="Arial" w:hAnsi="Arial"/>
          <w:color w:val="000000"/>
          <w:sz w:val="20"/>
        </w:rPr>
      </w:pPr>
      <w:r>
        <w:rPr>
          <w:rFonts w:ascii="Arial" w:eastAsia="Arial" w:hAnsi="Arial"/>
          <w:color w:val="000000"/>
          <w:sz w:val="20"/>
        </w:rPr>
        <w:t xml:space="preserve">cost </w:t>
      </w:r>
      <w:r>
        <w:rPr>
          <w:rFonts w:ascii="Arial" w:eastAsia="Arial" w:hAnsi="Arial"/>
          <w:color w:val="000000"/>
          <w:sz w:val="21"/>
        </w:rPr>
        <w:t xml:space="preserve">– </w:t>
      </w:r>
      <w:r>
        <w:rPr>
          <w:rFonts w:ascii="Arial" w:eastAsia="Arial" w:hAnsi="Arial"/>
          <w:color w:val="000000"/>
          <w:sz w:val="20"/>
        </w:rPr>
        <w:t>the program was fully funded by t</w:t>
      </w:r>
      <w:r>
        <w:rPr>
          <w:rFonts w:ascii="Arial" w:eastAsia="Arial" w:hAnsi="Arial"/>
          <w:color w:val="000000"/>
          <w:sz w:val="20"/>
        </w:rPr>
        <w:t>he Australian Government. The budget including infrastructure funding, complementary measures and program management costs was identified in the Schedule 2. The Queensland Government monitored income and expenditure using its existing financial systems</w:t>
      </w:r>
    </w:p>
    <w:p w14:paraId="1148009D" w14:textId="77777777" w:rsidR="00D8670B" w:rsidRDefault="009B37A9">
      <w:pPr>
        <w:numPr>
          <w:ilvl w:val="0"/>
          <w:numId w:val="1"/>
        </w:numPr>
        <w:tabs>
          <w:tab w:val="clear" w:pos="360"/>
          <w:tab w:val="left" w:pos="792"/>
        </w:tabs>
        <w:spacing w:before="131" w:line="230" w:lineRule="exact"/>
        <w:ind w:left="792" w:right="432" w:hanging="360"/>
        <w:textAlignment w:val="baseline"/>
        <w:rPr>
          <w:rFonts w:ascii="Arial" w:eastAsia="Arial" w:hAnsi="Arial"/>
          <w:color w:val="000000"/>
          <w:spacing w:val="-1"/>
          <w:sz w:val="20"/>
        </w:rPr>
      </w:pPr>
      <w:r>
        <w:rPr>
          <w:rFonts w:ascii="Arial" w:eastAsia="Arial" w:hAnsi="Arial"/>
          <w:color w:val="000000"/>
          <w:spacing w:val="-1"/>
          <w:sz w:val="20"/>
        </w:rPr>
        <w:t>qua</w:t>
      </w:r>
      <w:r>
        <w:rPr>
          <w:rFonts w:ascii="Arial" w:eastAsia="Arial" w:hAnsi="Arial"/>
          <w:color w:val="000000"/>
          <w:spacing w:val="-1"/>
          <w:sz w:val="20"/>
        </w:rPr>
        <w:t xml:space="preserve">lity </w:t>
      </w:r>
      <w:r>
        <w:rPr>
          <w:rFonts w:ascii="Arial" w:eastAsia="Arial" w:hAnsi="Arial"/>
          <w:color w:val="000000"/>
          <w:spacing w:val="-1"/>
          <w:sz w:val="21"/>
        </w:rPr>
        <w:t xml:space="preserve">– </w:t>
      </w:r>
      <w:r>
        <w:rPr>
          <w:rFonts w:ascii="Arial" w:eastAsia="Arial" w:hAnsi="Arial"/>
          <w:color w:val="000000"/>
          <w:spacing w:val="-1"/>
          <w:sz w:val="20"/>
        </w:rPr>
        <w:t>the project office maintained and implemented quality measures in contract administration. Internal quality controls were integral to procedures and program documentation. The Queensland and Australian governments undertook the reviews to ensure the</w:t>
      </w:r>
      <w:r>
        <w:rPr>
          <w:rFonts w:ascii="Arial" w:eastAsia="Arial" w:hAnsi="Arial"/>
          <w:color w:val="000000"/>
          <w:spacing w:val="-1"/>
          <w:sz w:val="20"/>
        </w:rPr>
        <w:t xml:space="preserve"> program met its agreed quality standards</w:t>
      </w:r>
    </w:p>
    <w:p w14:paraId="124C4E4C" w14:textId="77777777" w:rsidR="00D8670B" w:rsidRDefault="009B37A9">
      <w:pPr>
        <w:numPr>
          <w:ilvl w:val="0"/>
          <w:numId w:val="1"/>
        </w:numPr>
        <w:tabs>
          <w:tab w:val="clear" w:pos="360"/>
          <w:tab w:val="left" w:pos="792"/>
        </w:tabs>
        <w:spacing w:before="137" w:line="230" w:lineRule="exact"/>
        <w:ind w:left="792" w:right="504" w:hanging="360"/>
        <w:textAlignment w:val="baseline"/>
        <w:rPr>
          <w:rFonts w:ascii="Arial" w:eastAsia="Arial" w:hAnsi="Arial"/>
          <w:color w:val="000000"/>
          <w:sz w:val="20"/>
        </w:rPr>
      </w:pPr>
      <w:r>
        <w:rPr>
          <w:rFonts w:ascii="Arial" w:eastAsia="Arial" w:hAnsi="Arial"/>
          <w:color w:val="000000"/>
          <w:sz w:val="20"/>
        </w:rPr>
        <w:t xml:space="preserve">human resources </w:t>
      </w:r>
      <w:r>
        <w:rPr>
          <w:rFonts w:ascii="Arial" w:eastAsia="Arial" w:hAnsi="Arial"/>
          <w:color w:val="000000"/>
          <w:sz w:val="21"/>
        </w:rPr>
        <w:t xml:space="preserve">– </w:t>
      </w:r>
      <w:r>
        <w:rPr>
          <w:rFonts w:ascii="Arial" w:eastAsia="Arial" w:hAnsi="Arial"/>
          <w:color w:val="000000"/>
          <w:sz w:val="20"/>
        </w:rPr>
        <w:t xml:space="preserve">the HHWUE program was delivered by a team based primarily in the Toowoomba office of the Department of Natural Resources, Mines and Energy. The team operated under the </w:t>
      </w:r>
      <w:r>
        <w:rPr>
          <w:rFonts w:ascii="Arial" w:eastAsia="Arial" w:hAnsi="Arial"/>
          <w:color w:val="000000"/>
          <w:sz w:val="21"/>
        </w:rPr>
        <w:t xml:space="preserve">Queensland Government and department’s </w:t>
      </w:r>
      <w:r>
        <w:rPr>
          <w:rFonts w:ascii="Arial" w:eastAsia="Arial" w:hAnsi="Arial"/>
          <w:color w:val="000000"/>
          <w:sz w:val="20"/>
        </w:rPr>
        <w:t>human resources policies and procedures</w:t>
      </w:r>
    </w:p>
    <w:p w14:paraId="1464631F" w14:textId="77777777" w:rsidR="00D8670B" w:rsidRDefault="009B37A9">
      <w:pPr>
        <w:numPr>
          <w:ilvl w:val="0"/>
          <w:numId w:val="1"/>
        </w:numPr>
        <w:tabs>
          <w:tab w:val="clear" w:pos="360"/>
          <w:tab w:val="left" w:pos="792"/>
        </w:tabs>
        <w:spacing w:before="130" w:line="230" w:lineRule="exact"/>
        <w:ind w:left="792" w:right="504" w:hanging="360"/>
        <w:textAlignment w:val="baseline"/>
        <w:rPr>
          <w:rFonts w:ascii="Arial" w:eastAsia="Arial" w:hAnsi="Arial"/>
          <w:color w:val="000000"/>
          <w:sz w:val="20"/>
        </w:rPr>
      </w:pPr>
      <w:r>
        <w:rPr>
          <w:rFonts w:ascii="Arial" w:eastAsia="Arial" w:hAnsi="Arial"/>
          <w:color w:val="000000"/>
          <w:sz w:val="20"/>
        </w:rPr>
        <w:t>communica</w:t>
      </w:r>
      <w:r>
        <w:rPr>
          <w:rFonts w:ascii="Arial" w:eastAsia="Arial" w:hAnsi="Arial"/>
          <w:color w:val="000000"/>
          <w:sz w:val="20"/>
        </w:rPr>
        <w:t xml:space="preserve">tions and stakeholders </w:t>
      </w:r>
      <w:r>
        <w:rPr>
          <w:rFonts w:ascii="Arial" w:eastAsia="Arial" w:hAnsi="Arial"/>
          <w:color w:val="000000"/>
          <w:sz w:val="21"/>
        </w:rPr>
        <w:t xml:space="preserve">– </w:t>
      </w:r>
      <w:r>
        <w:rPr>
          <w:rFonts w:ascii="Arial" w:eastAsia="Arial" w:hAnsi="Arial"/>
          <w:color w:val="000000"/>
          <w:sz w:val="20"/>
        </w:rPr>
        <w:t xml:space="preserve">the Queensland Government developed a strategy to identify and </w:t>
      </w:r>
      <w:r>
        <w:rPr>
          <w:rFonts w:ascii="Arial" w:eastAsia="Arial" w:hAnsi="Arial"/>
          <w:color w:val="000000"/>
          <w:sz w:val="21"/>
        </w:rPr>
        <w:t>meet the program’s promotional and stakeholder management objectives</w:t>
      </w:r>
    </w:p>
    <w:p w14:paraId="6A3B67DD" w14:textId="77777777" w:rsidR="00D8670B" w:rsidRDefault="009B37A9">
      <w:pPr>
        <w:numPr>
          <w:ilvl w:val="0"/>
          <w:numId w:val="1"/>
        </w:numPr>
        <w:tabs>
          <w:tab w:val="clear" w:pos="360"/>
          <w:tab w:val="left" w:pos="792"/>
        </w:tabs>
        <w:spacing w:before="135" w:line="230" w:lineRule="exact"/>
        <w:ind w:left="792" w:right="72" w:hanging="360"/>
        <w:textAlignment w:val="baseline"/>
        <w:rPr>
          <w:rFonts w:ascii="Arial" w:eastAsia="Arial" w:hAnsi="Arial"/>
          <w:color w:val="000000"/>
          <w:sz w:val="20"/>
        </w:rPr>
      </w:pPr>
      <w:r>
        <w:rPr>
          <w:rFonts w:ascii="Arial" w:eastAsia="Arial" w:hAnsi="Arial"/>
          <w:color w:val="000000"/>
          <w:sz w:val="20"/>
        </w:rPr>
        <w:t xml:space="preserve">risk </w:t>
      </w:r>
      <w:r>
        <w:rPr>
          <w:rFonts w:ascii="Arial" w:eastAsia="Arial" w:hAnsi="Arial"/>
          <w:color w:val="000000"/>
          <w:sz w:val="21"/>
        </w:rPr>
        <w:t xml:space="preserve">– </w:t>
      </w:r>
      <w:r>
        <w:rPr>
          <w:rFonts w:ascii="Arial" w:eastAsia="Arial" w:hAnsi="Arial"/>
          <w:color w:val="000000"/>
          <w:sz w:val="20"/>
        </w:rPr>
        <w:t xml:space="preserve">consistent with the Enterprise Risk Management Framework and standard </w:t>
      </w:r>
      <w:r>
        <w:rPr>
          <w:rFonts w:ascii="Arial" w:eastAsia="Arial" w:hAnsi="Arial"/>
          <w:i/>
          <w:color w:val="000000"/>
          <w:sz w:val="20"/>
        </w:rPr>
        <w:t>AS/NZS ISO 30111:2009</w:t>
      </w:r>
      <w:r>
        <w:rPr>
          <w:rFonts w:ascii="Arial" w:eastAsia="Arial" w:hAnsi="Arial"/>
          <w:color w:val="000000"/>
          <w:sz w:val="20"/>
        </w:rPr>
        <w:t>,</w:t>
      </w:r>
      <w:r>
        <w:rPr>
          <w:rFonts w:ascii="Arial" w:eastAsia="Arial" w:hAnsi="Arial"/>
          <w:color w:val="000000"/>
          <w:sz w:val="20"/>
        </w:rPr>
        <w:t xml:space="preserve"> the HHWUE program developed a subsidiary risk management plan which outlined how program and project risks were identified, assessed, mitigated and monitored</w:t>
      </w:r>
    </w:p>
    <w:p w14:paraId="040C6DB1" w14:textId="77777777" w:rsidR="00D8670B" w:rsidRDefault="009B37A9">
      <w:pPr>
        <w:numPr>
          <w:ilvl w:val="0"/>
          <w:numId w:val="1"/>
        </w:numPr>
        <w:tabs>
          <w:tab w:val="clear" w:pos="360"/>
          <w:tab w:val="left" w:pos="792"/>
        </w:tabs>
        <w:spacing w:before="131" w:line="230" w:lineRule="exact"/>
        <w:ind w:left="792" w:right="144" w:hanging="360"/>
        <w:textAlignment w:val="baseline"/>
        <w:rPr>
          <w:rFonts w:ascii="Arial" w:eastAsia="Arial" w:hAnsi="Arial"/>
          <w:color w:val="000000"/>
          <w:spacing w:val="-1"/>
          <w:sz w:val="20"/>
        </w:rPr>
      </w:pPr>
      <w:r>
        <w:rPr>
          <w:rFonts w:ascii="Arial" w:eastAsia="Arial" w:hAnsi="Arial"/>
          <w:color w:val="000000"/>
          <w:spacing w:val="-1"/>
          <w:sz w:val="20"/>
        </w:rPr>
        <w:t xml:space="preserve">procurement </w:t>
      </w:r>
      <w:r>
        <w:rPr>
          <w:rFonts w:ascii="Arial" w:eastAsia="Arial" w:hAnsi="Arial"/>
          <w:color w:val="000000"/>
          <w:spacing w:val="-1"/>
          <w:sz w:val="21"/>
        </w:rPr>
        <w:t xml:space="preserve">– </w:t>
      </w:r>
      <w:r>
        <w:rPr>
          <w:rFonts w:ascii="Arial" w:eastAsia="Arial" w:hAnsi="Arial"/>
          <w:color w:val="000000"/>
          <w:spacing w:val="-1"/>
          <w:sz w:val="20"/>
        </w:rPr>
        <w:t xml:space="preserve">the Queensland Government engaged contractors in accordance with its procurement and </w:t>
      </w:r>
      <w:r>
        <w:rPr>
          <w:rFonts w:ascii="Arial" w:eastAsia="Arial" w:hAnsi="Arial"/>
          <w:color w:val="000000"/>
          <w:spacing w:val="-1"/>
          <w:sz w:val="20"/>
        </w:rPr>
        <w:br/>
        <w:t xml:space="preserve">finance policies and procedures including the </w:t>
      </w:r>
      <w:r>
        <w:rPr>
          <w:rFonts w:ascii="Arial" w:eastAsia="Arial" w:hAnsi="Arial"/>
          <w:color w:val="000000"/>
          <w:spacing w:val="-1"/>
          <w:sz w:val="21"/>
        </w:rPr>
        <w:t xml:space="preserve">department’s </w:t>
      </w:r>
      <w:r>
        <w:rPr>
          <w:rFonts w:ascii="Arial" w:eastAsia="Arial" w:hAnsi="Arial"/>
          <w:i/>
          <w:color w:val="000000"/>
          <w:spacing w:val="-1"/>
          <w:sz w:val="20"/>
        </w:rPr>
        <w:t>Financial management practice manual</w:t>
      </w:r>
      <w:r>
        <w:rPr>
          <w:rFonts w:ascii="Arial" w:eastAsia="Arial" w:hAnsi="Arial"/>
          <w:color w:val="000000"/>
          <w:spacing w:val="-1"/>
          <w:sz w:val="20"/>
        </w:rPr>
        <w:t>.</w:t>
      </w:r>
    </w:p>
    <w:p w14:paraId="6BD8E20F" w14:textId="77777777" w:rsidR="00D8670B" w:rsidRDefault="009B37A9">
      <w:pPr>
        <w:spacing w:before="246" w:line="319" w:lineRule="exact"/>
        <w:textAlignment w:val="baseline"/>
        <w:rPr>
          <w:rFonts w:ascii="Arial" w:eastAsia="Arial" w:hAnsi="Arial"/>
          <w:b/>
          <w:color w:val="2C7176"/>
          <w:sz w:val="28"/>
        </w:rPr>
      </w:pPr>
      <w:r>
        <w:rPr>
          <w:rFonts w:ascii="Arial" w:eastAsia="Arial" w:hAnsi="Arial"/>
          <w:b/>
          <w:color w:val="2C7176"/>
          <w:sz w:val="28"/>
        </w:rPr>
        <w:t>Outcomes and evaluation</w:t>
      </w:r>
    </w:p>
    <w:p w14:paraId="7A655394" w14:textId="77777777" w:rsidR="00D8670B" w:rsidRDefault="009B37A9">
      <w:pPr>
        <w:spacing w:before="121" w:line="230" w:lineRule="exact"/>
        <w:ind w:right="144"/>
        <w:textAlignment w:val="baseline"/>
        <w:rPr>
          <w:rFonts w:ascii="Arial" w:eastAsia="Arial" w:hAnsi="Arial"/>
          <w:color w:val="000000"/>
          <w:sz w:val="20"/>
        </w:rPr>
      </w:pPr>
      <w:r>
        <w:rPr>
          <w:rFonts w:ascii="Arial" w:eastAsia="Arial" w:hAnsi="Arial"/>
          <w:color w:val="000000"/>
          <w:sz w:val="20"/>
        </w:rPr>
        <w:t>The Queensland Government used a number of source</w:t>
      </w:r>
      <w:r>
        <w:rPr>
          <w:rFonts w:ascii="Arial" w:eastAsia="Arial" w:hAnsi="Arial"/>
          <w:color w:val="000000"/>
          <w:sz w:val="20"/>
        </w:rPr>
        <w:t>s (e.g. project data, surveys, third-party studies) to monitor and evaluate the Phase 2 HHWUE program against its three overarching aims.</w:t>
      </w:r>
    </w:p>
    <w:p w14:paraId="1C4457F8" w14:textId="77777777" w:rsidR="00D8670B" w:rsidRDefault="009B37A9">
      <w:pPr>
        <w:spacing w:before="122" w:line="299" w:lineRule="exact"/>
        <w:textAlignment w:val="baseline"/>
        <w:rPr>
          <w:rFonts w:ascii="Arial" w:eastAsia="Arial" w:hAnsi="Arial"/>
          <w:b/>
          <w:color w:val="346C36"/>
          <w:sz w:val="26"/>
        </w:rPr>
      </w:pPr>
      <w:r>
        <w:rPr>
          <w:rFonts w:ascii="Arial" w:eastAsia="Arial" w:hAnsi="Arial"/>
          <w:b/>
          <w:color w:val="346C36"/>
          <w:sz w:val="26"/>
        </w:rPr>
        <w:t>Long-term sustainable future</w:t>
      </w:r>
    </w:p>
    <w:p w14:paraId="04EF7AAC" w14:textId="77777777" w:rsidR="00D8670B" w:rsidRDefault="009B37A9">
      <w:pPr>
        <w:spacing w:before="118" w:line="230" w:lineRule="exact"/>
        <w:ind w:right="288"/>
        <w:textAlignment w:val="baseline"/>
        <w:rPr>
          <w:rFonts w:ascii="Arial" w:eastAsia="Arial" w:hAnsi="Arial"/>
          <w:color w:val="000000"/>
          <w:spacing w:val="-1"/>
          <w:sz w:val="20"/>
        </w:rPr>
      </w:pPr>
      <w:r>
        <w:rPr>
          <w:rFonts w:ascii="Arial" w:eastAsia="Arial" w:hAnsi="Arial"/>
          <w:color w:val="000000"/>
          <w:spacing w:val="-1"/>
          <w:sz w:val="20"/>
        </w:rPr>
        <w:t>The HHWUE program helped irrigation communities become more sustainable at an industry, p</w:t>
      </w:r>
      <w:r>
        <w:rPr>
          <w:rFonts w:ascii="Arial" w:eastAsia="Arial" w:hAnsi="Arial"/>
          <w:color w:val="000000"/>
          <w:spacing w:val="-1"/>
          <w:sz w:val="20"/>
        </w:rPr>
        <w:t>riority catchment and project scale by establishing efficient infrastructure and building knowledge of water use efficiency practices.</w:t>
      </w:r>
    </w:p>
    <w:p w14:paraId="7241C716" w14:textId="77777777" w:rsidR="00D8670B" w:rsidRDefault="009B37A9">
      <w:pPr>
        <w:spacing w:before="120" w:line="275" w:lineRule="exact"/>
        <w:textAlignment w:val="baseline"/>
        <w:rPr>
          <w:rFonts w:ascii="Arial" w:eastAsia="Arial" w:hAnsi="Arial"/>
          <w:b/>
          <w:color w:val="55532D"/>
          <w:sz w:val="24"/>
        </w:rPr>
      </w:pPr>
      <w:r>
        <w:rPr>
          <w:rFonts w:ascii="Arial" w:eastAsia="Arial" w:hAnsi="Arial"/>
          <w:b/>
          <w:color w:val="55532D"/>
          <w:sz w:val="24"/>
        </w:rPr>
        <w:t>Irrigation industry</w:t>
      </w:r>
    </w:p>
    <w:p w14:paraId="607F9672" w14:textId="77777777" w:rsidR="00D8670B" w:rsidRDefault="009B37A9">
      <w:pPr>
        <w:spacing w:before="120" w:line="230" w:lineRule="exact"/>
        <w:ind w:right="72"/>
        <w:textAlignment w:val="baseline"/>
        <w:rPr>
          <w:rFonts w:ascii="Arial" w:eastAsia="Arial" w:hAnsi="Arial"/>
          <w:color w:val="000000"/>
          <w:sz w:val="20"/>
        </w:rPr>
      </w:pPr>
      <w:r>
        <w:rPr>
          <w:rFonts w:ascii="Arial" w:eastAsia="Arial" w:hAnsi="Arial"/>
          <w:color w:val="000000"/>
          <w:sz w:val="20"/>
        </w:rPr>
        <w:t>An industry benefit of the HHWUE funding program was investment in infrastructure which required less water to operate, which in turn increased industry efficiency and productivity. In contrast to a direct water purchase, the program contributed significan</w:t>
      </w:r>
      <w:r>
        <w:rPr>
          <w:rFonts w:ascii="Arial" w:eastAsia="Arial" w:hAnsi="Arial"/>
          <w:color w:val="000000"/>
          <w:sz w:val="20"/>
        </w:rPr>
        <w:t>tly to water recovery while reinvesting funds into the agriculture industry. Additionally, the complementary measures projects developed industry knowledge of sustainability practices.</w:t>
      </w:r>
    </w:p>
    <w:p w14:paraId="19BB6C35" w14:textId="77777777" w:rsidR="00D8670B" w:rsidRDefault="009B37A9">
      <w:pPr>
        <w:spacing w:before="120" w:line="275" w:lineRule="exact"/>
        <w:textAlignment w:val="baseline"/>
        <w:rPr>
          <w:rFonts w:ascii="Arial" w:eastAsia="Arial" w:hAnsi="Arial"/>
          <w:b/>
          <w:color w:val="55532D"/>
          <w:spacing w:val="-1"/>
          <w:sz w:val="24"/>
        </w:rPr>
      </w:pPr>
      <w:r>
        <w:rPr>
          <w:rFonts w:ascii="Arial" w:eastAsia="Arial" w:hAnsi="Arial"/>
          <w:b/>
          <w:color w:val="55532D"/>
          <w:spacing w:val="-1"/>
          <w:sz w:val="24"/>
        </w:rPr>
        <w:t>Priority catchments</w:t>
      </w:r>
    </w:p>
    <w:p w14:paraId="4632EA18" w14:textId="77777777" w:rsidR="00D8670B" w:rsidRDefault="009B37A9">
      <w:pPr>
        <w:spacing w:before="121" w:line="230" w:lineRule="exact"/>
        <w:ind w:right="72"/>
        <w:textAlignment w:val="baseline"/>
        <w:rPr>
          <w:rFonts w:ascii="Arial" w:eastAsia="Arial" w:hAnsi="Arial"/>
          <w:color w:val="000000"/>
          <w:sz w:val="20"/>
        </w:rPr>
      </w:pPr>
      <w:r>
        <w:rPr>
          <w:rFonts w:ascii="Arial" w:eastAsia="Arial" w:hAnsi="Arial"/>
          <w:color w:val="000000"/>
          <w:sz w:val="20"/>
        </w:rPr>
        <w:t>The program focussed on participation in priority c</w:t>
      </w:r>
      <w:r>
        <w:rPr>
          <w:rFonts w:ascii="Arial" w:eastAsia="Arial" w:hAnsi="Arial"/>
          <w:color w:val="000000"/>
          <w:sz w:val="20"/>
        </w:rPr>
        <w:t xml:space="preserve">atchments and communities such as St George, Dirranbandi and Goondiwindi. The majority of funded projects aligned with priority catchments for water recovery, particularly the Lower Balonne (32 projects) and Border Rivers (20 projects) regions. During the </w:t>
      </w:r>
      <w:r>
        <w:rPr>
          <w:rFonts w:ascii="Arial" w:eastAsia="Arial" w:hAnsi="Arial"/>
          <w:color w:val="000000"/>
          <w:sz w:val="20"/>
        </w:rPr>
        <w:t>construction phase, projects generated a socioeconomic stimulus in these communities and the region. Irrigators directly engaged an estimated 260 contractors and suppliers during construction of Phase 2 HHWUE projects.</w:t>
      </w:r>
    </w:p>
    <w:p w14:paraId="2A4B8771" w14:textId="77777777" w:rsidR="00D8670B" w:rsidRDefault="009B37A9">
      <w:pPr>
        <w:spacing w:before="120" w:line="275" w:lineRule="exact"/>
        <w:textAlignment w:val="baseline"/>
        <w:rPr>
          <w:rFonts w:ascii="Arial" w:eastAsia="Arial" w:hAnsi="Arial"/>
          <w:b/>
          <w:color w:val="55532D"/>
          <w:sz w:val="24"/>
        </w:rPr>
      </w:pPr>
      <w:r>
        <w:rPr>
          <w:rFonts w:ascii="Arial" w:eastAsia="Arial" w:hAnsi="Arial"/>
          <w:b/>
          <w:color w:val="55532D"/>
          <w:sz w:val="24"/>
        </w:rPr>
        <w:t>Irrigation enterprises</w:t>
      </w:r>
    </w:p>
    <w:p w14:paraId="2E97C308" w14:textId="77777777" w:rsidR="00D8670B" w:rsidRDefault="009B37A9">
      <w:pPr>
        <w:spacing w:before="119" w:after="104" w:line="230" w:lineRule="exact"/>
        <w:ind w:right="288"/>
        <w:textAlignment w:val="baseline"/>
        <w:rPr>
          <w:rFonts w:ascii="Arial" w:eastAsia="Arial" w:hAnsi="Arial"/>
          <w:color w:val="000000"/>
          <w:spacing w:val="-1"/>
          <w:sz w:val="20"/>
        </w:rPr>
      </w:pPr>
      <w:r>
        <w:rPr>
          <w:rFonts w:ascii="Arial" w:eastAsia="Arial" w:hAnsi="Arial"/>
          <w:color w:val="000000"/>
          <w:spacing w:val="-1"/>
          <w:sz w:val="20"/>
        </w:rPr>
        <w:t>Australian Gov</w:t>
      </w:r>
      <w:r>
        <w:rPr>
          <w:rFonts w:ascii="Arial" w:eastAsia="Arial" w:hAnsi="Arial"/>
          <w:color w:val="000000"/>
          <w:spacing w:val="-1"/>
          <w:sz w:val="20"/>
        </w:rPr>
        <w:t>ernment contributed $73,916,531.44 to 64 Phase 2 funded projects representing infrastructure works of approximately $90 million. Forty-three enterprises participated in this phase, some with multiple projects</w:t>
      </w:r>
    </w:p>
    <w:p w14:paraId="0F21E09A" w14:textId="77777777" w:rsidR="00D8670B" w:rsidRDefault="009B37A9">
      <w:pPr>
        <w:spacing w:before="164" w:line="228" w:lineRule="exact"/>
        <w:jc w:val="center"/>
        <w:textAlignment w:val="baseline"/>
        <w:rPr>
          <w:rFonts w:ascii="Arial" w:eastAsia="Arial" w:hAnsi="Arial"/>
          <w:color w:val="000000"/>
          <w:sz w:val="20"/>
        </w:rPr>
      </w:pPr>
      <w:r>
        <w:pict w14:anchorId="587A86E0">
          <v:line id="_x0000_s1162" style="position:absolute;left:0;text-align:left;z-index:251677696;mso-position-horizontal-relative:page;mso-position-vertical-relative:page" from="40.75pt,789.1pt" to="554.8pt,789.1pt" strokeweight="1.7pt">
            <w10:wrap anchorx="page" anchory="page"/>
          </v:line>
        </w:pict>
      </w:r>
      <w:r>
        <w:rPr>
          <w:rFonts w:ascii="Arial" w:eastAsia="Arial" w:hAnsi="Arial"/>
          <w:color w:val="000000"/>
          <w:sz w:val="20"/>
        </w:rPr>
        <w:t>5</w:t>
      </w:r>
    </w:p>
    <w:p w14:paraId="21B22D7E" w14:textId="77777777" w:rsidR="00D8670B" w:rsidRDefault="00D8670B">
      <w:pPr>
        <w:sectPr w:rsidR="00D8670B">
          <w:pgSz w:w="11909" w:h="16838"/>
          <w:pgMar w:top="1140" w:right="814" w:bottom="282" w:left="815" w:header="720" w:footer="720" w:gutter="0"/>
          <w:cols w:space="720"/>
        </w:sectPr>
      </w:pPr>
    </w:p>
    <w:p w14:paraId="4B88016E" w14:textId="77777777" w:rsidR="00D8670B" w:rsidRDefault="009B37A9">
      <w:pPr>
        <w:spacing w:before="19" w:line="230" w:lineRule="exact"/>
        <w:ind w:right="360"/>
        <w:textAlignment w:val="baseline"/>
        <w:rPr>
          <w:rFonts w:ascii="Arial" w:eastAsia="Arial" w:hAnsi="Arial"/>
          <w:color w:val="000000"/>
          <w:sz w:val="20"/>
        </w:rPr>
      </w:pPr>
      <w:r>
        <w:rPr>
          <w:rFonts w:ascii="Arial" w:eastAsia="Arial" w:hAnsi="Arial"/>
          <w:color w:val="000000"/>
          <w:sz w:val="20"/>
        </w:rPr>
        <w:lastRenderedPageBreak/>
        <w:t>for a range of works. In addit</w:t>
      </w:r>
      <w:r>
        <w:rPr>
          <w:rFonts w:ascii="Arial" w:eastAsia="Arial" w:hAnsi="Arial"/>
          <w:color w:val="000000"/>
          <w:sz w:val="20"/>
        </w:rPr>
        <w:t xml:space="preserve">ion to water efficiencies, irrigators cited ongoing benefits from projects including improved productivity per hectare, increased management flexibility, reduced operating costs, ability to use less labour-intensive systems, reduced energy requirement and </w:t>
      </w:r>
      <w:r>
        <w:rPr>
          <w:rFonts w:ascii="Arial" w:eastAsia="Arial" w:hAnsi="Arial"/>
          <w:color w:val="000000"/>
          <w:sz w:val="20"/>
        </w:rPr>
        <w:t>increased options for risk management.</w:t>
      </w:r>
    </w:p>
    <w:p w14:paraId="3BABBDD1" w14:textId="77777777" w:rsidR="00D8670B" w:rsidRDefault="009B37A9">
      <w:pPr>
        <w:spacing w:before="127" w:line="297" w:lineRule="exact"/>
        <w:textAlignment w:val="baseline"/>
        <w:rPr>
          <w:rFonts w:ascii="Arial" w:eastAsia="Arial" w:hAnsi="Arial"/>
          <w:b/>
          <w:color w:val="346C36"/>
          <w:sz w:val="26"/>
        </w:rPr>
      </w:pPr>
      <w:r>
        <w:rPr>
          <w:rFonts w:ascii="Arial" w:eastAsia="Arial" w:hAnsi="Arial"/>
          <w:b/>
          <w:color w:val="346C36"/>
          <w:sz w:val="26"/>
        </w:rPr>
        <w:t>Water for the environment</w:t>
      </w:r>
    </w:p>
    <w:p w14:paraId="469DC122" w14:textId="77777777" w:rsidR="00D8670B" w:rsidRDefault="009B37A9">
      <w:pPr>
        <w:spacing w:before="115" w:line="230" w:lineRule="exact"/>
        <w:ind w:right="288"/>
        <w:textAlignment w:val="baseline"/>
        <w:rPr>
          <w:rFonts w:ascii="Arial" w:eastAsia="Arial" w:hAnsi="Arial"/>
          <w:color w:val="000000"/>
          <w:sz w:val="20"/>
        </w:rPr>
      </w:pPr>
      <w:r>
        <w:rPr>
          <w:rFonts w:ascii="Arial" w:eastAsia="Arial" w:hAnsi="Arial"/>
          <w:color w:val="000000"/>
          <w:sz w:val="20"/>
        </w:rPr>
        <w:t>Funded Phase 2 projects achieved an estimated 28.8 gigalitres (GL) water savings across four Queensland Murray</w:t>
      </w:r>
      <w:r>
        <w:rPr>
          <w:rFonts w:ascii="Arial" w:eastAsia="Arial" w:hAnsi="Arial"/>
          <w:color w:val="000000"/>
          <w:sz w:val="23"/>
        </w:rPr>
        <w:t>–</w:t>
      </w:r>
      <w:r>
        <w:rPr>
          <w:rFonts w:ascii="Arial" w:eastAsia="Arial" w:hAnsi="Arial"/>
          <w:color w:val="000000"/>
          <w:sz w:val="20"/>
        </w:rPr>
        <w:t>Darling Basin catchments, of which 18.6 GL were permanently transferred to the Australian Government for environmental use.</w:t>
      </w:r>
    </w:p>
    <w:p w14:paraId="2D0716C3" w14:textId="77777777" w:rsidR="00D8670B" w:rsidRDefault="009B37A9">
      <w:pPr>
        <w:spacing w:before="120" w:line="230" w:lineRule="exact"/>
        <w:ind w:right="144"/>
        <w:textAlignment w:val="baseline"/>
        <w:rPr>
          <w:rFonts w:ascii="Arial" w:eastAsia="Arial" w:hAnsi="Arial"/>
          <w:color w:val="000000"/>
          <w:sz w:val="20"/>
        </w:rPr>
      </w:pPr>
      <w:r>
        <w:rPr>
          <w:rFonts w:ascii="Arial" w:eastAsia="Arial" w:hAnsi="Arial"/>
          <w:color w:val="000000"/>
          <w:sz w:val="20"/>
        </w:rPr>
        <w:t>Phase 2 projects offe</w:t>
      </w:r>
      <w:r>
        <w:rPr>
          <w:rFonts w:ascii="Arial" w:eastAsia="Arial" w:hAnsi="Arial"/>
          <w:color w:val="000000"/>
          <w:sz w:val="20"/>
        </w:rPr>
        <w:t>red between 50 and 100 per cent of the total water savings to the Australian Government. On average, projects transferred 69.2 per cent of the water savings to the Australian Government.</w:t>
      </w:r>
    </w:p>
    <w:p w14:paraId="0400EF6A" w14:textId="77777777" w:rsidR="00D8670B" w:rsidRDefault="009B37A9">
      <w:pPr>
        <w:spacing w:before="121" w:line="230" w:lineRule="exact"/>
        <w:ind w:right="288"/>
        <w:textAlignment w:val="baseline"/>
        <w:rPr>
          <w:rFonts w:ascii="Arial" w:eastAsia="Arial" w:hAnsi="Arial"/>
          <w:color w:val="000000"/>
          <w:sz w:val="20"/>
        </w:rPr>
      </w:pPr>
      <w:r>
        <w:rPr>
          <w:rFonts w:ascii="Arial" w:eastAsia="Arial" w:hAnsi="Arial"/>
          <w:color w:val="000000"/>
          <w:sz w:val="20"/>
        </w:rPr>
        <w:t xml:space="preserve">Over the two phases, the HHWUE program achieved an estimated 40.9 GL </w:t>
      </w:r>
      <w:r>
        <w:rPr>
          <w:rFonts w:ascii="Arial" w:eastAsia="Arial" w:hAnsi="Arial"/>
          <w:color w:val="000000"/>
          <w:sz w:val="20"/>
        </w:rPr>
        <w:t>water savings and contributed 25 GL water to the environment, which is equal to 19.1 GL long term average annual yield.</w:t>
      </w:r>
    </w:p>
    <w:p w14:paraId="32ED6E4E" w14:textId="77777777" w:rsidR="00D8670B" w:rsidRDefault="009B37A9">
      <w:pPr>
        <w:spacing w:before="122" w:line="297" w:lineRule="exact"/>
        <w:textAlignment w:val="baseline"/>
        <w:rPr>
          <w:rFonts w:ascii="Arial" w:eastAsia="Arial" w:hAnsi="Arial"/>
          <w:b/>
          <w:color w:val="346C36"/>
          <w:sz w:val="26"/>
        </w:rPr>
      </w:pPr>
      <w:r>
        <w:rPr>
          <w:rFonts w:ascii="Arial" w:eastAsia="Arial" w:hAnsi="Arial"/>
          <w:b/>
          <w:color w:val="346C36"/>
          <w:sz w:val="26"/>
        </w:rPr>
        <w:t>Faster adoption of efficient water use technologies</w:t>
      </w:r>
    </w:p>
    <w:p w14:paraId="59AD7409" w14:textId="77777777" w:rsidR="00D8670B" w:rsidRDefault="009B37A9">
      <w:pPr>
        <w:spacing w:before="118" w:line="231" w:lineRule="exact"/>
        <w:ind w:right="360"/>
        <w:textAlignment w:val="baseline"/>
        <w:rPr>
          <w:rFonts w:ascii="Arial" w:eastAsia="Arial" w:hAnsi="Arial"/>
          <w:color w:val="000000"/>
          <w:sz w:val="20"/>
        </w:rPr>
      </w:pPr>
      <w:r>
        <w:rPr>
          <w:rFonts w:ascii="Arial" w:eastAsia="Arial" w:hAnsi="Arial"/>
          <w:color w:val="000000"/>
          <w:sz w:val="20"/>
        </w:rPr>
        <w:t>The HHWUE program assisted faster adoption of more efficient water use technologies by raising awareness of efficient technologies and providing funding to assist and enable uptake.</w:t>
      </w:r>
    </w:p>
    <w:p w14:paraId="6E4964F8" w14:textId="77777777" w:rsidR="00D8670B" w:rsidRDefault="009B37A9">
      <w:pPr>
        <w:spacing w:before="125" w:line="275" w:lineRule="exact"/>
        <w:textAlignment w:val="baseline"/>
        <w:rPr>
          <w:rFonts w:ascii="Arial" w:eastAsia="Arial" w:hAnsi="Arial"/>
          <w:b/>
          <w:color w:val="55532D"/>
          <w:sz w:val="24"/>
        </w:rPr>
      </w:pPr>
      <w:r>
        <w:rPr>
          <w:rFonts w:ascii="Arial" w:eastAsia="Arial" w:hAnsi="Arial"/>
          <w:b/>
          <w:color w:val="55532D"/>
          <w:sz w:val="24"/>
        </w:rPr>
        <w:t>Awareness-raising activities</w:t>
      </w:r>
    </w:p>
    <w:p w14:paraId="10B366EC" w14:textId="77777777" w:rsidR="00D8670B" w:rsidRDefault="009B37A9">
      <w:pPr>
        <w:spacing w:before="115" w:line="230" w:lineRule="exact"/>
        <w:ind w:right="288"/>
        <w:textAlignment w:val="baseline"/>
        <w:rPr>
          <w:rFonts w:ascii="Arial" w:eastAsia="Arial" w:hAnsi="Arial"/>
          <w:color w:val="000000"/>
          <w:sz w:val="20"/>
        </w:rPr>
      </w:pPr>
      <w:r>
        <w:rPr>
          <w:rFonts w:ascii="Arial" w:eastAsia="Arial" w:hAnsi="Arial"/>
          <w:color w:val="000000"/>
          <w:sz w:val="20"/>
        </w:rPr>
        <w:t>Phase 2 complementary measures projects raise</w:t>
      </w:r>
      <w:r>
        <w:rPr>
          <w:rFonts w:ascii="Arial" w:eastAsia="Arial" w:hAnsi="Arial"/>
          <w:color w:val="000000"/>
          <w:sz w:val="20"/>
        </w:rPr>
        <w:t>d awareness of water use efficiency technologies and their benefits. The projects also developed tools and knowledge to provide irrigators greater certainty when assessing existing practice or choosing new technologies. The Queensland Government identified</w:t>
      </w:r>
      <w:r>
        <w:rPr>
          <w:rFonts w:ascii="Arial" w:eastAsia="Arial" w:hAnsi="Arial"/>
          <w:color w:val="000000"/>
          <w:sz w:val="20"/>
        </w:rPr>
        <w:t xml:space="preserve"> these opportunities through Phase 1 studies and ongoing engagement with the irrigation industry.</w:t>
      </w:r>
    </w:p>
    <w:p w14:paraId="4D8023B5" w14:textId="77777777" w:rsidR="00D8670B" w:rsidRDefault="009B37A9">
      <w:pPr>
        <w:spacing w:before="126" w:line="275" w:lineRule="exact"/>
        <w:textAlignment w:val="baseline"/>
        <w:rPr>
          <w:rFonts w:ascii="Arial" w:eastAsia="Arial" w:hAnsi="Arial"/>
          <w:b/>
          <w:color w:val="55532D"/>
          <w:sz w:val="24"/>
        </w:rPr>
      </w:pPr>
      <w:r>
        <w:rPr>
          <w:rFonts w:ascii="Arial" w:eastAsia="Arial" w:hAnsi="Arial"/>
          <w:b/>
          <w:color w:val="55532D"/>
          <w:sz w:val="24"/>
        </w:rPr>
        <w:t>Funding for efficient technologies</w:t>
      </w:r>
    </w:p>
    <w:p w14:paraId="47E6A488" w14:textId="77777777" w:rsidR="00D8670B" w:rsidRDefault="009B37A9">
      <w:pPr>
        <w:spacing w:before="120" w:line="228" w:lineRule="exact"/>
        <w:ind w:right="216"/>
        <w:textAlignment w:val="baseline"/>
        <w:rPr>
          <w:rFonts w:ascii="Arial" w:eastAsia="Arial" w:hAnsi="Arial"/>
          <w:color w:val="000000"/>
          <w:sz w:val="20"/>
        </w:rPr>
      </w:pPr>
      <w:r>
        <w:rPr>
          <w:rFonts w:ascii="Arial" w:eastAsia="Arial" w:hAnsi="Arial"/>
          <w:color w:val="000000"/>
          <w:sz w:val="20"/>
        </w:rPr>
        <w:t>The HHWUE program encouraged uptake of technologies by providing funding for irrigators to convert or upgrade their systems</w:t>
      </w:r>
      <w:r>
        <w:rPr>
          <w:rFonts w:ascii="Arial" w:eastAsia="Arial" w:hAnsi="Arial"/>
          <w:color w:val="000000"/>
          <w:sz w:val="20"/>
        </w:rPr>
        <w:t xml:space="preserve"> to more water use efficient infrastructure. Through funding of $73,916,531.44, the program contributed to in-field, storages and distribution upgrades on 43 enterprises including:</w:t>
      </w:r>
    </w:p>
    <w:p w14:paraId="7642BDB6" w14:textId="77777777" w:rsidR="00D8670B" w:rsidRDefault="009B37A9">
      <w:pPr>
        <w:numPr>
          <w:ilvl w:val="0"/>
          <w:numId w:val="1"/>
        </w:numPr>
        <w:tabs>
          <w:tab w:val="clear" w:pos="360"/>
          <w:tab w:val="left" w:pos="792"/>
        </w:tabs>
        <w:spacing w:before="116" w:line="248" w:lineRule="exact"/>
        <w:ind w:left="432"/>
        <w:textAlignment w:val="baseline"/>
        <w:rPr>
          <w:rFonts w:ascii="Arial" w:eastAsia="Arial" w:hAnsi="Arial"/>
          <w:color w:val="000000"/>
          <w:sz w:val="20"/>
        </w:rPr>
      </w:pPr>
      <w:r>
        <w:rPr>
          <w:rFonts w:ascii="Arial" w:eastAsia="Arial" w:hAnsi="Arial"/>
          <w:color w:val="000000"/>
          <w:sz w:val="20"/>
        </w:rPr>
        <w:t>48 storages with a combined volume of 106 GL modified to reduce losses from</w:t>
      </w:r>
      <w:r>
        <w:rPr>
          <w:rFonts w:ascii="Arial" w:eastAsia="Arial" w:hAnsi="Arial"/>
          <w:color w:val="000000"/>
          <w:sz w:val="20"/>
        </w:rPr>
        <w:t xml:space="preserve"> seepage and evaporation</w:t>
      </w:r>
    </w:p>
    <w:p w14:paraId="7974D3D1" w14:textId="77777777" w:rsidR="00D8670B" w:rsidRDefault="009B37A9">
      <w:pPr>
        <w:numPr>
          <w:ilvl w:val="0"/>
          <w:numId w:val="1"/>
        </w:numPr>
        <w:tabs>
          <w:tab w:val="clear" w:pos="360"/>
          <w:tab w:val="left" w:pos="792"/>
        </w:tabs>
        <w:spacing w:before="117" w:line="248" w:lineRule="exact"/>
        <w:ind w:left="432"/>
        <w:textAlignment w:val="baseline"/>
        <w:rPr>
          <w:rFonts w:ascii="Arial" w:eastAsia="Arial" w:hAnsi="Arial"/>
          <w:color w:val="000000"/>
          <w:sz w:val="20"/>
        </w:rPr>
      </w:pPr>
      <w:r>
        <w:rPr>
          <w:rFonts w:ascii="Arial" w:eastAsia="Arial" w:hAnsi="Arial"/>
          <w:color w:val="000000"/>
          <w:sz w:val="20"/>
        </w:rPr>
        <w:t>3082 hectares converted or upgraded to 25 centre pivot and lateral move machines</w:t>
      </w:r>
    </w:p>
    <w:p w14:paraId="11EEFDED" w14:textId="77777777" w:rsidR="00D8670B" w:rsidRDefault="009B37A9">
      <w:pPr>
        <w:numPr>
          <w:ilvl w:val="0"/>
          <w:numId w:val="1"/>
        </w:numPr>
        <w:tabs>
          <w:tab w:val="clear" w:pos="360"/>
          <w:tab w:val="left" w:pos="792"/>
        </w:tabs>
        <w:spacing w:before="112" w:line="248" w:lineRule="exact"/>
        <w:ind w:left="432"/>
        <w:textAlignment w:val="baseline"/>
        <w:rPr>
          <w:rFonts w:ascii="Arial" w:eastAsia="Arial" w:hAnsi="Arial"/>
          <w:color w:val="000000"/>
          <w:sz w:val="20"/>
        </w:rPr>
      </w:pPr>
      <w:r>
        <w:rPr>
          <w:rFonts w:ascii="Arial" w:eastAsia="Arial" w:hAnsi="Arial"/>
          <w:color w:val="000000"/>
          <w:sz w:val="20"/>
        </w:rPr>
        <w:t>5616 hectares of other irrigation systems converted or upgraded.</w:t>
      </w:r>
    </w:p>
    <w:p w14:paraId="18903076" w14:textId="77777777" w:rsidR="00D8670B" w:rsidRDefault="009B37A9">
      <w:pPr>
        <w:spacing w:before="121" w:line="230" w:lineRule="exact"/>
        <w:ind w:right="216"/>
        <w:textAlignment w:val="baseline"/>
        <w:rPr>
          <w:rFonts w:ascii="Arial" w:eastAsia="Arial" w:hAnsi="Arial"/>
          <w:color w:val="000000"/>
          <w:sz w:val="20"/>
        </w:rPr>
      </w:pPr>
      <w:r>
        <w:rPr>
          <w:rFonts w:ascii="Arial" w:eastAsia="Arial" w:hAnsi="Arial"/>
          <w:color w:val="000000"/>
          <w:sz w:val="20"/>
        </w:rPr>
        <w:t>Twenty-two out of 23 agreed the HHWUE project enabled them to complete projects soone</w:t>
      </w:r>
      <w:r>
        <w:rPr>
          <w:rFonts w:ascii="Arial" w:eastAsia="Arial" w:hAnsi="Arial"/>
          <w:color w:val="000000"/>
          <w:sz w:val="20"/>
        </w:rPr>
        <w:t>r than they would have on their own.</w:t>
      </w:r>
    </w:p>
    <w:p w14:paraId="6E9FDDA8" w14:textId="77777777" w:rsidR="00D8670B" w:rsidRDefault="009B37A9">
      <w:pPr>
        <w:spacing w:before="243" w:line="323" w:lineRule="exact"/>
        <w:textAlignment w:val="baseline"/>
        <w:rPr>
          <w:rFonts w:ascii="Arial" w:eastAsia="Arial" w:hAnsi="Arial"/>
          <w:b/>
          <w:color w:val="2C7176"/>
          <w:spacing w:val="-1"/>
          <w:sz w:val="28"/>
        </w:rPr>
      </w:pPr>
      <w:r>
        <w:rPr>
          <w:rFonts w:ascii="Arial" w:eastAsia="Arial" w:hAnsi="Arial"/>
          <w:b/>
          <w:color w:val="2C7176"/>
          <w:spacing w:val="-1"/>
          <w:sz w:val="28"/>
        </w:rPr>
        <w:t>Financial summary</w:t>
      </w:r>
    </w:p>
    <w:p w14:paraId="0607581E" w14:textId="77777777" w:rsidR="00D8670B" w:rsidRDefault="009B37A9">
      <w:pPr>
        <w:spacing w:before="118" w:line="228" w:lineRule="exact"/>
        <w:textAlignment w:val="baseline"/>
        <w:rPr>
          <w:rFonts w:ascii="Arial" w:eastAsia="Arial" w:hAnsi="Arial"/>
          <w:color w:val="000000"/>
          <w:sz w:val="20"/>
        </w:rPr>
      </w:pPr>
      <w:r>
        <w:rPr>
          <w:rFonts w:ascii="Arial" w:eastAsia="Arial" w:hAnsi="Arial"/>
          <w:color w:val="000000"/>
          <w:sz w:val="20"/>
        </w:rPr>
        <w:t>The Australian Government funded the HHWUE program under the Sustainable Rural Water Use and</w:t>
      </w:r>
    </w:p>
    <w:p w14:paraId="62CC2188" w14:textId="77777777" w:rsidR="00D8670B" w:rsidRDefault="009B37A9">
      <w:pPr>
        <w:spacing w:before="2" w:line="230" w:lineRule="exact"/>
        <w:textAlignment w:val="baseline"/>
        <w:rPr>
          <w:rFonts w:ascii="Arial" w:eastAsia="Arial" w:hAnsi="Arial"/>
          <w:color w:val="000000"/>
          <w:sz w:val="20"/>
        </w:rPr>
      </w:pPr>
      <w:r>
        <w:rPr>
          <w:rFonts w:ascii="Arial" w:eastAsia="Arial" w:hAnsi="Arial"/>
          <w:color w:val="000000"/>
          <w:sz w:val="20"/>
        </w:rPr>
        <w:t>Infrastructure Program, as part of the implementation of the Murray</w:t>
      </w:r>
      <w:r>
        <w:rPr>
          <w:rFonts w:ascii="Arial" w:eastAsia="Arial" w:hAnsi="Arial"/>
          <w:color w:val="000000"/>
          <w:sz w:val="23"/>
        </w:rPr>
        <w:t>–</w:t>
      </w:r>
      <w:r>
        <w:rPr>
          <w:rFonts w:ascii="Arial" w:eastAsia="Arial" w:hAnsi="Arial"/>
          <w:color w:val="000000"/>
          <w:sz w:val="20"/>
        </w:rPr>
        <w:t>Darling Basin Plan in Queensland. The Water Management Partnership Agreement Schedule 2, under which the program was delivered, identified the funding for infrastructure projects and progr</w:t>
      </w:r>
      <w:r>
        <w:rPr>
          <w:rFonts w:ascii="Arial" w:eastAsia="Arial" w:hAnsi="Arial"/>
          <w:color w:val="000000"/>
          <w:sz w:val="20"/>
        </w:rPr>
        <w:t>am management for each round and financial year. The total actual Australian Government funding for Phase 2 was $78,994,354.76. The Queensland Government obtained other Phase 2 contributions to the program totalling $16,061,037.77.</w:t>
      </w:r>
    </w:p>
    <w:p w14:paraId="4C2F45CF" w14:textId="77777777" w:rsidR="00D8670B" w:rsidRDefault="009B37A9">
      <w:pPr>
        <w:spacing w:before="119" w:line="231" w:lineRule="exact"/>
        <w:ind w:right="648"/>
        <w:textAlignment w:val="baseline"/>
        <w:rPr>
          <w:rFonts w:ascii="Arial" w:eastAsia="Arial" w:hAnsi="Arial"/>
          <w:color w:val="000000"/>
          <w:sz w:val="20"/>
        </w:rPr>
      </w:pPr>
      <w:r>
        <w:rPr>
          <w:rFonts w:ascii="Arial" w:eastAsia="Arial" w:hAnsi="Arial"/>
          <w:color w:val="000000"/>
          <w:sz w:val="20"/>
        </w:rPr>
        <w:t>Over the program life, t</w:t>
      </w:r>
      <w:r>
        <w:rPr>
          <w:rFonts w:ascii="Arial" w:eastAsia="Arial" w:hAnsi="Arial"/>
          <w:color w:val="000000"/>
          <w:sz w:val="20"/>
        </w:rPr>
        <w:t>he Australian Government provided funding of $103,878,770.95, and the Queensland Government obtained other contributions of $21,795,099.75, approximately 21 per cent.</w:t>
      </w:r>
    </w:p>
    <w:p w14:paraId="4C95E326" w14:textId="77777777" w:rsidR="00D8670B" w:rsidRDefault="009B37A9">
      <w:pPr>
        <w:spacing w:before="243" w:line="323" w:lineRule="exact"/>
        <w:textAlignment w:val="baseline"/>
        <w:rPr>
          <w:rFonts w:ascii="Arial" w:eastAsia="Arial" w:hAnsi="Arial"/>
          <w:b/>
          <w:color w:val="2C7176"/>
          <w:spacing w:val="-2"/>
          <w:sz w:val="28"/>
        </w:rPr>
      </w:pPr>
      <w:r>
        <w:rPr>
          <w:rFonts w:ascii="Arial" w:eastAsia="Arial" w:hAnsi="Arial"/>
          <w:b/>
          <w:color w:val="2C7176"/>
          <w:spacing w:val="-2"/>
          <w:sz w:val="28"/>
        </w:rPr>
        <w:t>Conclusion</w:t>
      </w:r>
    </w:p>
    <w:p w14:paraId="2D38178D" w14:textId="77777777" w:rsidR="00D8670B" w:rsidRDefault="009B37A9">
      <w:pPr>
        <w:spacing w:before="116" w:line="230" w:lineRule="exact"/>
        <w:ind w:right="792"/>
        <w:textAlignment w:val="baseline"/>
        <w:rPr>
          <w:rFonts w:ascii="Arial" w:eastAsia="Arial" w:hAnsi="Arial"/>
          <w:color w:val="000000"/>
          <w:spacing w:val="-1"/>
          <w:sz w:val="20"/>
        </w:rPr>
      </w:pPr>
      <w:r>
        <w:rPr>
          <w:rFonts w:ascii="Arial" w:eastAsia="Arial" w:hAnsi="Arial"/>
          <w:color w:val="000000"/>
          <w:spacing w:val="-1"/>
          <w:sz w:val="20"/>
        </w:rPr>
        <w:t>Through Phase 2, the HHWUE program has helped secure a long-term sustainable f</w:t>
      </w:r>
      <w:r>
        <w:rPr>
          <w:rFonts w:ascii="Arial" w:eastAsia="Arial" w:hAnsi="Arial"/>
          <w:color w:val="000000"/>
          <w:spacing w:val="-1"/>
          <w:sz w:val="20"/>
        </w:rPr>
        <w:t>uture for irrigation communities, delivered water to the environment and assisted adoption of efficient water use technologies.</w:t>
      </w:r>
    </w:p>
    <w:p w14:paraId="5BEC4188" w14:textId="77777777" w:rsidR="00D8670B" w:rsidRDefault="009B37A9">
      <w:pPr>
        <w:spacing w:before="125" w:line="228" w:lineRule="exact"/>
        <w:ind w:right="216"/>
        <w:textAlignment w:val="baseline"/>
        <w:rPr>
          <w:rFonts w:ascii="Arial" w:eastAsia="Arial" w:hAnsi="Arial"/>
          <w:color w:val="000000"/>
          <w:spacing w:val="-1"/>
          <w:sz w:val="20"/>
        </w:rPr>
      </w:pPr>
      <w:r>
        <w:rPr>
          <w:rFonts w:ascii="Arial" w:eastAsia="Arial" w:hAnsi="Arial"/>
          <w:color w:val="000000"/>
          <w:spacing w:val="-1"/>
          <w:sz w:val="20"/>
        </w:rPr>
        <w:t xml:space="preserve">The Queensland and Australian governments have continuously improved the program to be responsive to emerging stakeholder needs </w:t>
      </w:r>
      <w:r>
        <w:rPr>
          <w:rFonts w:ascii="Arial" w:eastAsia="Arial" w:hAnsi="Arial"/>
          <w:color w:val="000000"/>
          <w:spacing w:val="-1"/>
          <w:sz w:val="20"/>
        </w:rPr>
        <w:t>while operating within its agreed framework. Additionally, HHWUE produced insights and learnings valuable to similar future programs, particularly regarding program delivery to meet objectives while balancing participation and ensuring a control environmen</w:t>
      </w:r>
      <w:r>
        <w:rPr>
          <w:rFonts w:ascii="Arial" w:eastAsia="Arial" w:hAnsi="Arial"/>
          <w:color w:val="000000"/>
          <w:spacing w:val="-1"/>
          <w:sz w:val="20"/>
        </w:rPr>
        <w:t>t for appropriate use of government funding.</w:t>
      </w:r>
    </w:p>
    <w:p w14:paraId="119AD8EC" w14:textId="77777777" w:rsidR="00D8670B" w:rsidRDefault="009B37A9">
      <w:pPr>
        <w:spacing w:before="122" w:after="359" w:line="230" w:lineRule="exact"/>
        <w:ind w:right="216"/>
        <w:textAlignment w:val="baseline"/>
        <w:rPr>
          <w:rFonts w:ascii="Arial" w:eastAsia="Arial" w:hAnsi="Arial"/>
          <w:color w:val="000000"/>
          <w:sz w:val="20"/>
        </w:rPr>
      </w:pPr>
      <w:r>
        <w:rPr>
          <w:rFonts w:ascii="Arial" w:eastAsia="Arial" w:hAnsi="Arial"/>
          <w:color w:val="000000"/>
          <w:sz w:val="20"/>
        </w:rPr>
        <w:t>The program has secured water savings in priority catchments, and funded measures to improve the resilience of vulnerable communities and the irrigation industry. Funded projects invested in regional economies d</w:t>
      </w:r>
      <w:r>
        <w:rPr>
          <w:rFonts w:ascii="Arial" w:eastAsia="Arial" w:hAnsi="Arial"/>
          <w:color w:val="000000"/>
          <w:sz w:val="20"/>
        </w:rPr>
        <w:t>uring construction and continue to achieve profitability gains for enterprises across the QMDB. The reports, tools and information developed through studies inform and support the industry now and into the future.</w:t>
      </w:r>
    </w:p>
    <w:p w14:paraId="7C809964" w14:textId="77777777" w:rsidR="00D8670B" w:rsidRDefault="009B37A9">
      <w:pPr>
        <w:spacing w:before="165" w:line="227" w:lineRule="exact"/>
        <w:jc w:val="center"/>
        <w:textAlignment w:val="baseline"/>
        <w:rPr>
          <w:rFonts w:ascii="Arial" w:eastAsia="Arial" w:hAnsi="Arial"/>
          <w:color w:val="000000"/>
          <w:sz w:val="20"/>
        </w:rPr>
      </w:pPr>
      <w:r>
        <w:pict w14:anchorId="6F952101">
          <v:line id="_x0000_s1161" style="position:absolute;left:0;text-align:left;z-index:251678720;mso-position-horizontal-relative:page;mso-position-vertical-relative:page" from="40.75pt,789.1pt" to="554.8pt,789.1pt" strokeweight="1.7pt">
            <w10:wrap anchorx="page" anchory="page"/>
          </v:line>
        </w:pict>
      </w:r>
      <w:r>
        <w:rPr>
          <w:rFonts w:ascii="Arial" w:eastAsia="Arial" w:hAnsi="Arial"/>
          <w:color w:val="000000"/>
          <w:sz w:val="20"/>
        </w:rPr>
        <w:t>6</w:t>
      </w:r>
    </w:p>
    <w:p w14:paraId="6C89925A" w14:textId="77777777" w:rsidR="00D8670B" w:rsidRDefault="00D8670B">
      <w:pPr>
        <w:sectPr w:rsidR="00D8670B">
          <w:pgSz w:w="11909" w:h="16838"/>
          <w:pgMar w:top="1120" w:right="814" w:bottom="282" w:left="815" w:header="720" w:footer="720" w:gutter="0"/>
          <w:cols w:space="720"/>
        </w:sectPr>
      </w:pPr>
    </w:p>
    <w:p w14:paraId="74C07ECD" w14:textId="77777777" w:rsidR="00D8670B" w:rsidRDefault="009B37A9">
      <w:pPr>
        <w:spacing w:line="386" w:lineRule="exact"/>
        <w:textAlignment w:val="baseline"/>
        <w:rPr>
          <w:rFonts w:ascii="Arial" w:eastAsia="Arial" w:hAnsi="Arial"/>
          <w:b/>
          <w:color w:val="1C75BB"/>
          <w:spacing w:val="-3"/>
          <w:sz w:val="34"/>
        </w:rPr>
      </w:pPr>
      <w:r>
        <w:rPr>
          <w:rFonts w:ascii="Arial" w:eastAsia="Arial" w:hAnsi="Arial"/>
          <w:b/>
          <w:color w:val="1C75BB"/>
          <w:spacing w:val="-3"/>
          <w:sz w:val="34"/>
        </w:rPr>
        <w:lastRenderedPageBreak/>
        <w:t>Contents</w:t>
      </w:r>
    </w:p>
    <w:p w14:paraId="17CD8545" w14:textId="77777777" w:rsidR="00D8670B" w:rsidRDefault="009B37A9">
      <w:pPr>
        <w:tabs>
          <w:tab w:val="left" w:pos="432"/>
          <w:tab w:val="right" w:leader="dot" w:pos="10296"/>
        </w:tabs>
        <w:spacing w:before="128" w:line="230" w:lineRule="exact"/>
        <w:textAlignment w:val="baseline"/>
        <w:rPr>
          <w:rFonts w:ascii="Arial" w:eastAsia="Arial" w:hAnsi="Arial"/>
          <w:color w:val="000000"/>
          <w:sz w:val="20"/>
        </w:rPr>
      </w:pPr>
      <w:r>
        <w:rPr>
          <w:rFonts w:ascii="Arial" w:eastAsia="Arial" w:hAnsi="Arial"/>
          <w:color w:val="000000"/>
          <w:sz w:val="20"/>
        </w:rPr>
        <w:t>1</w:t>
      </w:r>
      <w:r>
        <w:rPr>
          <w:rFonts w:ascii="Arial" w:eastAsia="Arial" w:hAnsi="Arial"/>
          <w:color w:val="000000"/>
          <w:sz w:val="20"/>
        </w:rPr>
        <w:tab/>
      </w:r>
      <w:r>
        <w:rPr>
          <w:rFonts w:ascii="Arial" w:eastAsia="Arial" w:hAnsi="Arial"/>
          <w:color w:val="000000"/>
          <w:sz w:val="20"/>
        </w:rPr>
        <w:t>Introduction</w:t>
      </w:r>
      <w:r>
        <w:rPr>
          <w:rFonts w:ascii="Arial" w:eastAsia="Arial" w:hAnsi="Arial"/>
          <w:color w:val="000000"/>
          <w:sz w:val="20"/>
        </w:rPr>
        <w:tab/>
        <w:t>8</w:t>
      </w:r>
    </w:p>
    <w:p w14:paraId="427E7937" w14:textId="77777777" w:rsidR="00D8670B" w:rsidRDefault="009B37A9">
      <w:pPr>
        <w:tabs>
          <w:tab w:val="left" w:pos="432"/>
          <w:tab w:val="right" w:leader="dot" w:pos="10296"/>
        </w:tabs>
        <w:spacing w:before="120" w:line="230" w:lineRule="exact"/>
        <w:textAlignment w:val="baseline"/>
        <w:rPr>
          <w:rFonts w:ascii="Arial" w:eastAsia="Arial" w:hAnsi="Arial"/>
          <w:color w:val="000000"/>
          <w:sz w:val="20"/>
        </w:rPr>
      </w:pPr>
      <w:r>
        <w:rPr>
          <w:rFonts w:ascii="Arial" w:eastAsia="Arial" w:hAnsi="Arial"/>
          <w:color w:val="000000"/>
          <w:sz w:val="20"/>
        </w:rPr>
        <w:t>2</w:t>
      </w:r>
      <w:r>
        <w:rPr>
          <w:rFonts w:ascii="Arial" w:eastAsia="Arial" w:hAnsi="Arial"/>
          <w:color w:val="000000"/>
          <w:sz w:val="20"/>
        </w:rPr>
        <w:tab/>
        <w:t>Program conduct</w:t>
      </w:r>
      <w:r>
        <w:rPr>
          <w:rFonts w:ascii="Arial" w:eastAsia="Arial" w:hAnsi="Arial"/>
          <w:color w:val="000000"/>
          <w:sz w:val="20"/>
        </w:rPr>
        <w:tab/>
        <w:t>10</w:t>
      </w:r>
    </w:p>
    <w:p w14:paraId="08FD01F5" w14:textId="77777777" w:rsidR="00D8670B" w:rsidRDefault="009B37A9">
      <w:pPr>
        <w:tabs>
          <w:tab w:val="decimal" w:pos="360"/>
          <w:tab w:val="left" w:pos="936"/>
          <w:tab w:val="right" w:leader="dot" w:pos="10296"/>
        </w:tabs>
        <w:spacing w:before="120" w:line="230" w:lineRule="exact"/>
        <w:ind w:left="216"/>
        <w:textAlignment w:val="baseline"/>
        <w:rPr>
          <w:rFonts w:ascii="Arial" w:eastAsia="Arial" w:hAnsi="Arial"/>
          <w:color w:val="000000"/>
          <w:sz w:val="20"/>
        </w:rPr>
      </w:pPr>
      <w:r>
        <w:rPr>
          <w:rFonts w:ascii="Arial" w:eastAsia="Arial" w:hAnsi="Arial"/>
          <w:color w:val="000000"/>
          <w:sz w:val="20"/>
        </w:rPr>
        <w:tab/>
        <w:t>2.1</w:t>
      </w:r>
      <w:r>
        <w:rPr>
          <w:rFonts w:ascii="Arial" w:eastAsia="Arial" w:hAnsi="Arial"/>
          <w:color w:val="000000"/>
          <w:sz w:val="20"/>
        </w:rPr>
        <w:tab/>
        <w:t>Infrastructure funding program</w:t>
      </w:r>
      <w:r>
        <w:rPr>
          <w:rFonts w:ascii="Arial" w:eastAsia="Arial" w:hAnsi="Arial"/>
          <w:color w:val="000000"/>
          <w:sz w:val="20"/>
        </w:rPr>
        <w:tab/>
        <w:t>10</w:t>
      </w:r>
    </w:p>
    <w:p w14:paraId="6D40D8B6" w14:textId="77777777" w:rsidR="00D8670B" w:rsidRDefault="009B37A9">
      <w:pPr>
        <w:tabs>
          <w:tab w:val="left" w:pos="1152"/>
          <w:tab w:val="right" w:leader="dot" w:pos="10296"/>
        </w:tabs>
        <w:spacing w:before="121" w:line="230" w:lineRule="exact"/>
        <w:ind w:left="432"/>
        <w:textAlignment w:val="baseline"/>
        <w:rPr>
          <w:rFonts w:ascii="Arial" w:eastAsia="Arial" w:hAnsi="Arial"/>
          <w:color w:val="000000"/>
          <w:sz w:val="20"/>
        </w:rPr>
      </w:pPr>
      <w:r>
        <w:rPr>
          <w:rFonts w:ascii="Arial" w:eastAsia="Arial" w:hAnsi="Arial"/>
          <w:color w:val="000000"/>
          <w:sz w:val="20"/>
        </w:rPr>
        <w:t>2.1.1</w:t>
      </w:r>
      <w:r>
        <w:rPr>
          <w:rFonts w:ascii="Arial" w:eastAsia="Arial" w:hAnsi="Arial"/>
          <w:color w:val="000000"/>
          <w:sz w:val="20"/>
        </w:rPr>
        <w:tab/>
        <w:t>Application guidelines</w:t>
      </w:r>
      <w:r>
        <w:rPr>
          <w:rFonts w:ascii="Arial" w:eastAsia="Arial" w:hAnsi="Arial"/>
          <w:color w:val="000000"/>
          <w:sz w:val="20"/>
        </w:rPr>
        <w:tab/>
        <w:t>10</w:t>
      </w:r>
    </w:p>
    <w:p w14:paraId="6BC6AD9C" w14:textId="77777777" w:rsidR="00D8670B" w:rsidRDefault="009B37A9">
      <w:pPr>
        <w:tabs>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2.1.2 Assessment</w:t>
      </w:r>
      <w:r>
        <w:rPr>
          <w:rFonts w:ascii="Arial" w:eastAsia="Arial" w:hAnsi="Arial"/>
          <w:color w:val="000000"/>
          <w:sz w:val="20"/>
        </w:rPr>
        <w:tab/>
        <w:t>12</w:t>
      </w:r>
    </w:p>
    <w:p w14:paraId="3FFF1E4D" w14:textId="77777777" w:rsidR="00D8670B" w:rsidRDefault="009B37A9">
      <w:pPr>
        <w:tabs>
          <w:tab w:val="right" w:leader="dot" w:pos="10296"/>
        </w:tabs>
        <w:spacing w:before="121" w:line="230" w:lineRule="exact"/>
        <w:ind w:left="432"/>
        <w:textAlignment w:val="baseline"/>
        <w:rPr>
          <w:rFonts w:ascii="Arial" w:eastAsia="Arial" w:hAnsi="Arial"/>
          <w:color w:val="000000"/>
          <w:sz w:val="20"/>
        </w:rPr>
      </w:pPr>
      <w:r>
        <w:rPr>
          <w:rFonts w:ascii="Arial" w:eastAsia="Arial" w:hAnsi="Arial"/>
          <w:color w:val="000000"/>
          <w:sz w:val="20"/>
        </w:rPr>
        <w:t>2.1.3 Contract negotiation</w:t>
      </w:r>
      <w:r>
        <w:rPr>
          <w:rFonts w:ascii="Arial" w:eastAsia="Arial" w:hAnsi="Arial"/>
          <w:color w:val="000000"/>
          <w:sz w:val="20"/>
        </w:rPr>
        <w:tab/>
        <w:t>15</w:t>
      </w:r>
    </w:p>
    <w:p w14:paraId="393A47B7" w14:textId="77777777" w:rsidR="00D8670B" w:rsidRDefault="009B37A9">
      <w:pPr>
        <w:tabs>
          <w:tab w:val="right" w:leader="dot" w:pos="10296"/>
        </w:tabs>
        <w:spacing w:before="115" w:line="230" w:lineRule="exact"/>
        <w:ind w:left="432"/>
        <w:textAlignment w:val="baseline"/>
        <w:rPr>
          <w:rFonts w:ascii="Arial" w:eastAsia="Arial" w:hAnsi="Arial"/>
          <w:color w:val="000000"/>
          <w:sz w:val="20"/>
        </w:rPr>
      </w:pPr>
      <w:r>
        <w:rPr>
          <w:rFonts w:ascii="Arial" w:eastAsia="Arial" w:hAnsi="Arial"/>
          <w:color w:val="000000"/>
          <w:sz w:val="20"/>
        </w:rPr>
        <w:t>2.1.4 Water transfer</w:t>
      </w:r>
      <w:r>
        <w:rPr>
          <w:rFonts w:ascii="Arial" w:eastAsia="Arial" w:hAnsi="Arial"/>
          <w:color w:val="000000"/>
          <w:sz w:val="20"/>
        </w:rPr>
        <w:tab/>
        <w:t>16</w:t>
      </w:r>
    </w:p>
    <w:p w14:paraId="0BDE05DC" w14:textId="77777777" w:rsidR="00D8670B" w:rsidRDefault="009B37A9">
      <w:pPr>
        <w:tabs>
          <w:tab w:val="right" w:leader="dot" w:pos="10296"/>
        </w:tabs>
        <w:spacing w:before="121" w:line="230" w:lineRule="exact"/>
        <w:ind w:left="432"/>
        <w:textAlignment w:val="baseline"/>
        <w:rPr>
          <w:rFonts w:ascii="Arial" w:eastAsia="Arial" w:hAnsi="Arial"/>
          <w:color w:val="000000"/>
          <w:sz w:val="20"/>
        </w:rPr>
      </w:pPr>
      <w:r>
        <w:rPr>
          <w:rFonts w:ascii="Arial" w:eastAsia="Arial" w:hAnsi="Arial"/>
          <w:color w:val="000000"/>
          <w:sz w:val="20"/>
        </w:rPr>
        <w:t>2.1.5 Payment claims</w:t>
      </w:r>
      <w:r>
        <w:rPr>
          <w:rFonts w:ascii="Arial" w:eastAsia="Arial" w:hAnsi="Arial"/>
          <w:color w:val="000000"/>
          <w:sz w:val="20"/>
        </w:rPr>
        <w:tab/>
        <w:t>17</w:t>
      </w:r>
    </w:p>
    <w:p w14:paraId="5F937C3F" w14:textId="77777777" w:rsidR="00D8670B" w:rsidRDefault="009B37A9">
      <w:pPr>
        <w:tabs>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2.1.6 Contract monitoring</w:t>
      </w:r>
      <w:r>
        <w:rPr>
          <w:rFonts w:ascii="Arial" w:eastAsia="Arial" w:hAnsi="Arial"/>
          <w:color w:val="000000"/>
          <w:sz w:val="20"/>
        </w:rPr>
        <w:tab/>
        <w:t>20</w:t>
      </w:r>
    </w:p>
    <w:p w14:paraId="381266FC" w14:textId="77777777" w:rsidR="00D8670B" w:rsidRDefault="009B37A9">
      <w:pPr>
        <w:tabs>
          <w:tab w:val="decimal" w:pos="360"/>
          <w:tab w:val="left" w:pos="936"/>
          <w:tab w:val="right" w:leader="dot" w:pos="10296"/>
        </w:tabs>
        <w:spacing w:before="120" w:line="230" w:lineRule="exact"/>
        <w:ind w:left="216"/>
        <w:textAlignment w:val="baseline"/>
        <w:rPr>
          <w:rFonts w:ascii="Arial" w:eastAsia="Arial" w:hAnsi="Arial"/>
          <w:color w:val="000000"/>
          <w:sz w:val="20"/>
        </w:rPr>
      </w:pPr>
      <w:r>
        <w:rPr>
          <w:rFonts w:ascii="Arial" w:eastAsia="Arial" w:hAnsi="Arial"/>
          <w:color w:val="000000"/>
          <w:sz w:val="20"/>
        </w:rPr>
        <w:tab/>
        <w:t>2.2</w:t>
      </w:r>
      <w:r>
        <w:rPr>
          <w:rFonts w:ascii="Arial" w:eastAsia="Arial" w:hAnsi="Arial"/>
          <w:color w:val="000000"/>
          <w:sz w:val="20"/>
        </w:rPr>
        <w:tab/>
        <w:t>Complementary measures</w:t>
      </w:r>
      <w:r>
        <w:rPr>
          <w:rFonts w:ascii="Arial" w:eastAsia="Arial" w:hAnsi="Arial"/>
          <w:color w:val="000000"/>
          <w:sz w:val="20"/>
        </w:rPr>
        <w:tab/>
        <w:t>21</w:t>
      </w:r>
    </w:p>
    <w:p w14:paraId="3505B32E" w14:textId="77777777" w:rsidR="00D8670B" w:rsidRDefault="009B37A9">
      <w:pPr>
        <w:tabs>
          <w:tab w:val="right" w:leader="dot" w:pos="10296"/>
        </w:tabs>
        <w:spacing w:before="121" w:line="230" w:lineRule="exact"/>
        <w:ind w:left="432"/>
        <w:textAlignment w:val="baseline"/>
        <w:rPr>
          <w:rFonts w:ascii="Arial" w:eastAsia="Arial" w:hAnsi="Arial"/>
          <w:color w:val="000000"/>
          <w:sz w:val="20"/>
        </w:rPr>
      </w:pPr>
      <w:r>
        <w:rPr>
          <w:rFonts w:ascii="Arial" w:eastAsia="Arial" w:hAnsi="Arial"/>
          <w:color w:val="000000"/>
          <w:sz w:val="20"/>
        </w:rPr>
        <w:t>2.2.1 Technical advice grants</w:t>
      </w:r>
      <w:r>
        <w:rPr>
          <w:rFonts w:ascii="Arial" w:eastAsia="Arial" w:hAnsi="Arial"/>
          <w:color w:val="000000"/>
          <w:sz w:val="20"/>
        </w:rPr>
        <w:tab/>
        <w:t>21</w:t>
      </w:r>
    </w:p>
    <w:p w14:paraId="36B7B930" w14:textId="77777777" w:rsidR="00D8670B" w:rsidRDefault="009B37A9">
      <w:pPr>
        <w:tabs>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2.2.2 Eligibility check and pre-lodgement information</w:t>
      </w:r>
      <w:r>
        <w:rPr>
          <w:rFonts w:ascii="Arial" w:eastAsia="Arial" w:hAnsi="Arial"/>
          <w:color w:val="000000"/>
          <w:sz w:val="20"/>
        </w:rPr>
        <w:tab/>
        <w:t>22</w:t>
      </w:r>
    </w:p>
    <w:p w14:paraId="4148393C" w14:textId="77777777" w:rsidR="00D8670B" w:rsidRDefault="009B37A9">
      <w:pPr>
        <w:tabs>
          <w:tab w:val="right" w:leader="dot" w:pos="10296"/>
        </w:tabs>
        <w:spacing w:before="121" w:line="230" w:lineRule="exact"/>
        <w:ind w:left="432"/>
        <w:textAlignment w:val="baseline"/>
        <w:rPr>
          <w:rFonts w:ascii="Arial" w:eastAsia="Arial" w:hAnsi="Arial"/>
          <w:color w:val="000000"/>
          <w:sz w:val="20"/>
        </w:rPr>
      </w:pPr>
      <w:r>
        <w:rPr>
          <w:rFonts w:ascii="Arial" w:eastAsia="Arial" w:hAnsi="Arial"/>
          <w:color w:val="000000"/>
          <w:sz w:val="20"/>
        </w:rPr>
        <w:t>2.2.3 Engagement</w:t>
      </w:r>
      <w:r>
        <w:rPr>
          <w:rFonts w:ascii="Arial" w:eastAsia="Arial" w:hAnsi="Arial"/>
          <w:color w:val="000000"/>
          <w:sz w:val="20"/>
        </w:rPr>
        <w:tab/>
        <w:t>22</w:t>
      </w:r>
    </w:p>
    <w:p w14:paraId="0AC881A0" w14:textId="77777777" w:rsidR="00D8670B" w:rsidRDefault="009B37A9">
      <w:pPr>
        <w:tabs>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2.2.4 Benchmarking</w:t>
      </w:r>
      <w:r>
        <w:rPr>
          <w:rFonts w:ascii="Arial" w:eastAsia="Arial" w:hAnsi="Arial"/>
          <w:color w:val="000000"/>
          <w:sz w:val="20"/>
        </w:rPr>
        <w:tab/>
        <w:t>24</w:t>
      </w:r>
    </w:p>
    <w:p w14:paraId="49218DE6" w14:textId="77777777" w:rsidR="00D8670B" w:rsidRDefault="009B37A9">
      <w:pPr>
        <w:tabs>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2.2.5 Industry Advisory Committee</w:t>
      </w:r>
      <w:r>
        <w:rPr>
          <w:rFonts w:ascii="Arial" w:eastAsia="Arial" w:hAnsi="Arial"/>
          <w:color w:val="000000"/>
          <w:sz w:val="20"/>
        </w:rPr>
        <w:tab/>
        <w:t>24</w:t>
      </w:r>
    </w:p>
    <w:p w14:paraId="274D81EE" w14:textId="77777777" w:rsidR="00D8670B" w:rsidRDefault="009B37A9">
      <w:pPr>
        <w:tabs>
          <w:tab w:val="right" w:leader="dot" w:pos="10296"/>
        </w:tabs>
        <w:spacing w:before="121" w:line="230" w:lineRule="exact"/>
        <w:ind w:left="432"/>
        <w:textAlignment w:val="baseline"/>
        <w:rPr>
          <w:rFonts w:ascii="Arial" w:eastAsia="Arial" w:hAnsi="Arial"/>
          <w:color w:val="000000"/>
          <w:sz w:val="20"/>
        </w:rPr>
      </w:pPr>
      <w:r>
        <w:rPr>
          <w:rFonts w:ascii="Arial" w:eastAsia="Arial" w:hAnsi="Arial"/>
          <w:color w:val="000000"/>
          <w:sz w:val="20"/>
        </w:rPr>
        <w:t>2.2.6 Industry development</w:t>
      </w:r>
      <w:r>
        <w:rPr>
          <w:rFonts w:ascii="Arial" w:eastAsia="Arial" w:hAnsi="Arial"/>
          <w:color w:val="000000"/>
          <w:sz w:val="20"/>
        </w:rPr>
        <w:tab/>
      </w:r>
      <w:r>
        <w:rPr>
          <w:rFonts w:ascii="Arial" w:eastAsia="Arial" w:hAnsi="Arial"/>
          <w:color w:val="000000"/>
          <w:sz w:val="20"/>
        </w:rPr>
        <w:t>25</w:t>
      </w:r>
    </w:p>
    <w:p w14:paraId="637E44FA" w14:textId="77777777" w:rsidR="00D8670B" w:rsidRDefault="009B37A9">
      <w:pPr>
        <w:tabs>
          <w:tab w:val="decimal" w:pos="360"/>
          <w:tab w:val="left" w:pos="936"/>
          <w:tab w:val="right" w:leader="dot" w:pos="10296"/>
        </w:tabs>
        <w:spacing w:before="120" w:line="230" w:lineRule="exact"/>
        <w:ind w:left="216"/>
        <w:textAlignment w:val="baseline"/>
        <w:rPr>
          <w:rFonts w:ascii="Arial" w:eastAsia="Arial" w:hAnsi="Arial"/>
          <w:color w:val="000000"/>
          <w:sz w:val="20"/>
        </w:rPr>
      </w:pPr>
      <w:r>
        <w:rPr>
          <w:rFonts w:ascii="Arial" w:eastAsia="Arial" w:hAnsi="Arial"/>
          <w:color w:val="000000"/>
          <w:sz w:val="20"/>
        </w:rPr>
        <w:tab/>
        <w:t>2.3</w:t>
      </w:r>
      <w:r>
        <w:rPr>
          <w:rFonts w:ascii="Arial" w:eastAsia="Arial" w:hAnsi="Arial"/>
          <w:color w:val="000000"/>
          <w:sz w:val="20"/>
        </w:rPr>
        <w:tab/>
        <w:t>Promotional activities</w:t>
      </w:r>
      <w:r>
        <w:rPr>
          <w:rFonts w:ascii="Arial" w:eastAsia="Arial" w:hAnsi="Arial"/>
          <w:color w:val="000000"/>
          <w:sz w:val="20"/>
        </w:rPr>
        <w:tab/>
        <w:t>25</w:t>
      </w:r>
    </w:p>
    <w:p w14:paraId="7E290987" w14:textId="77777777" w:rsidR="00D8670B" w:rsidRDefault="009B37A9">
      <w:pPr>
        <w:tabs>
          <w:tab w:val="decimal" w:pos="360"/>
          <w:tab w:val="left" w:pos="936"/>
          <w:tab w:val="right" w:leader="dot" w:pos="10296"/>
        </w:tabs>
        <w:spacing w:before="116" w:line="230" w:lineRule="exact"/>
        <w:ind w:left="216"/>
        <w:textAlignment w:val="baseline"/>
        <w:rPr>
          <w:rFonts w:ascii="Arial" w:eastAsia="Arial" w:hAnsi="Arial"/>
          <w:color w:val="000000"/>
          <w:sz w:val="20"/>
        </w:rPr>
      </w:pPr>
      <w:r>
        <w:rPr>
          <w:rFonts w:ascii="Arial" w:eastAsia="Arial" w:hAnsi="Arial"/>
          <w:color w:val="000000"/>
          <w:sz w:val="20"/>
        </w:rPr>
        <w:tab/>
        <w:t>2.4</w:t>
      </w:r>
      <w:r>
        <w:rPr>
          <w:rFonts w:ascii="Arial" w:eastAsia="Arial" w:hAnsi="Arial"/>
          <w:color w:val="000000"/>
          <w:sz w:val="20"/>
        </w:rPr>
        <w:tab/>
        <w:t>Program governance</w:t>
      </w:r>
      <w:r>
        <w:rPr>
          <w:rFonts w:ascii="Arial" w:eastAsia="Arial" w:hAnsi="Arial"/>
          <w:color w:val="000000"/>
          <w:sz w:val="20"/>
        </w:rPr>
        <w:tab/>
        <w:t>27</w:t>
      </w:r>
    </w:p>
    <w:p w14:paraId="075F70AA" w14:textId="77777777" w:rsidR="00D8670B" w:rsidRDefault="009B37A9">
      <w:pPr>
        <w:tabs>
          <w:tab w:val="left" w:pos="1152"/>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2.4.1</w:t>
      </w:r>
      <w:r>
        <w:rPr>
          <w:rFonts w:ascii="Arial" w:eastAsia="Arial" w:hAnsi="Arial"/>
          <w:color w:val="000000"/>
          <w:sz w:val="20"/>
        </w:rPr>
        <w:tab/>
        <w:t>Integration</w:t>
      </w:r>
      <w:r>
        <w:rPr>
          <w:rFonts w:ascii="Arial" w:eastAsia="Arial" w:hAnsi="Arial"/>
          <w:color w:val="000000"/>
          <w:sz w:val="20"/>
        </w:rPr>
        <w:tab/>
        <w:t>27</w:t>
      </w:r>
    </w:p>
    <w:p w14:paraId="7371DD88" w14:textId="77777777" w:rsidR="00D8670B" w:rsidRDefault="009B37A9">
      <w:pPr>
        <w:tabs>
          <w:tab w:val="right" w:leader="dot" w:pos="10296"/>
        </w:tabs>
        <w:spacing w:before="121" w:line="230" w:lineRule="exact"/>
        <w:ind w:left="432"/>
        <w:textAlignment w:val="baseline"/>
        <w:rPr>
          <w:rFonts w:ascii="Arial" w:eastAsia="Arial" w:hAnsi="Arial"/>
          <w:color w:val="000000"/>
          <w:sz w:val="20"/>
        </w:rPr>
      </w:pPr>
      <w:r>
        <w:rPr>
          <w:rFonts w:ascii="Arial" w:eastAsia="Arial" w:hAnsi="Arial"/>
          <w:color w:val="000000"/>
          <w:sz w:val="20"/>
        </w:rPr>
        <w:t>2.4.2 Scope</w:t>
      </w:r>
      <w:r>
        <w:rPr>
          <w:rFonts w:ascii="Arial" w:eastAsia="Arial" w:hAnsi="Arial"/>
          <w:color w:val="000000"/>
          <w:sz w:val="20"/>
        </w:rPr>
        <w:tab/>
        <w:t>27</w:t>
      </w:r>
    </w:p>
    <w:p w14:paraId="724C97F3" w14:textId="77777777" w:rsidR="00D8670B" w:rsidRDefault="009B37A9">
      <w:pPr>
        <w:tabs>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2.4.3 Time</w:t>
      </w:r>
      <w:r>
        <w:rPr>
          <w:rFonts w:ascii="Arial" w:eastAsia="Arial" w:hAnsi="Arial"/>
          <w:color w:val="000000"/>
          <w:sz w:val="20"/>
        </w:rPr>
        <w:tab/>
        <w:t>27</w:t>
      </w:r>
    </w:p>
    <w:p w14:paraId="7F6E34B1" w14:textId="77777777" w:rsidR="00D8670B" w:rsidRDefault="009B37A9">
      <w:pPr>
        <w:tabs>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2.4.4 Cost</w:t>
      </w:r>
      <w:r>
        <w:rPr>
          <w:rFonts w:ascii="Arial" w:eastAsia="Arial" w:hAnsi="Arial"/>
          <w:color w:val="000000"/>
          <w:sz w:val="20"/>
        </w:rPr>
        <w:tab/>
        <w:t>28</w:t>
      </w:r>
    </w:p>
    <w:p w14:paraId="41E86E66" w14:textId="77777777" w:rsidR="00D8670B" w:rsidRDefault="009B37A9">
      <w:pPr>
        <w:tabs>
          <w:tab w:val="right" w:leader="dot" w:pos="10296"/>
        </w:tabs>
        <w:spacing w:before="121" w:line="230" w:lineRule="exact"/>
        <w:ind w:left="432"/>
        <w:textAlignment w:val="baseline"/>
        <w:rPr>
          <w:rFonts w:ascii="Arial" w:eastAsia="Arial" w:hAnsi="Arial"/>
          <w:color w:val="000000"/>
          <w:sz w:val="20"/>
        </w:rPr>
      </w:pPr>
      <w:r>
        <w:rPr>
          <w:rFonts w:ascii="Arial" w:eastAsia="Arial" w:hAnsi="Arial"/>
          <w:color w:val="000000"/>
          <w:sz w:val="20"/>
        </w:rPr>
        <w:t>2.4.5 Quality</w:t>
      </w:r>
      <w:r>
        <w:rPr>
          <w:rFonts w:ascii="Arial" w:eastAsia="Arial" w:hAnsi="Arial"/>
          <w:color w:val="000000"/>
          <w:sz w:val="20"/>
        </w:rPr>
        <w:tab/>
        <w:t>28</w:t>
      </w:r>
    </w:p>
    <w:p w14:paraId="0CE021E3" w14:textId="77777777" w:rsidR="00D8670B" w:rsidRDefault="009B37A9">
      <w:pPr>
        <w:tabs>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 xml:space="preserve">2.4.6 Human resource </w:t>
      </w:r>
      <w:r>
        <w:rPr>
          <w:rFonts w:ascii="Arial" w:eastAsia="Arial" w:hAnsi="Arial"/>
          <w:color w:val="000000"/>
          <w:sz w:val="20"/>
        </w:rPr>
        <w:tab/>
        <w:t>30</w:t>
      </w:r>
    </w:p>
    <w:p w14:paraId="0D80CB59" w14:textId="77777777" w:rsidR="00D8670B" w:rsidRDefault="009B37A9">
      <w:pPr>
        <w:tabs>
          <w:tab w:val="right" w:leader="dot" w:pos="10296"/>
        </w:tabs>
        <w:spacing w:before="121" w:line="230" w:lineRule="exact"/>
        <w:ind w:left="432"/>
        <w:textAlignment w:val="baseline"/>
        <w:rPr>
          <w:rFonts w:ascii="Arial" w:eastAsia="Arial" w:hAnsi="Arial"/>
          <w:color w:val="000000"/>
          <w:sz w:val="20"/>
        </w:rPr>
      </w:pPr>
      <w:r>
        <w:rPr>
          <w:rFonts w:ascii="Arial" w:eastAsia="Arial" w:hAnsi="Arial"/>
          <w:color w:val="000000"/>
          <w:sz w:val="20"/>
        </w:rPr>
        <w:t>2.4.7 Communications and stakeholders</w:t>
      </w:r>
      <w:r>
        <w:rPr>
          <w:rFonts w:ascii="Arial" w:eastAsia="Arial" w:hAnsi="Arial"/>
          <w:color w:val="000000"/>
          <w:sz w:val="20"/>
        </w:rPr>
        <w:tab/>
        <w:t>30</w:t>
      </w:r>
    </w:p>
    <w:p w14:paraId="2105CC8E" w14:textId="77777777" w:rsidR="00D8670B" w:rsidRDefault="009B37A9">
      <w:pPr>
        <w:tabs>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2.4.8 Risk</w:t>
      </w:r>
      <w:r>
        <w:rPr>
          <w:rFonts w:ascii="Arial" w:eastAsia="Arial" w:hAnsi="Arial"/>
          <w:color w:val="000000"/>
          <w:sz w:val="20"/>
        </w:rPr>
        <w:tab/>
        <w:t>31</w:t>
      </w:r>
    </w:p>
    <w:p w14:paraId="76853867" w14:textId="77777777" w:rsidR="00D8670B" w:rsidRDefault="009B37A9">
      <w:pPr>
        <w:tabs>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2.4.9 Procurement</w:t>
      </w:r>
      <w:r>
        <w:rPr>
          <w:rFonts w:ascii="Arial" w:eastAsia="Arial" w:hAnsi="Arial"/>
          <w:color w:val="000000"/>
          <w:sz w:val="20"/>
        </w:rPr>
        <w:tab/>
        <w:t>31</w:t>
      </w:r>
    </w:p>
    <w:p w14:paraId="6FD1B8EF" w14:textId="77777777" w:rsidR="00D8670B" w:rsidRDefault="009B37A9">
      <w:pPr>
        <w:tabs>
          <w:tab w:val="left" w:pos="432"/>
          <w:tab w:val="right" w:leader="dot" w:pos="10296"/>
        </w:tabs>
        <w:spacing w:before="121" w:line="230" w:lineRule="exact"/>
        <w:textAlignment w:val="baseline"/>
        <w:rPr>
          <w:rFonts w:ascii="Arial" w:eastAsia="Arial" w:hAnsi="Arial"/>
          <w:color w:val="000000"/>
          <w:sz w:val="20"/>
        </w:rPr>
      </w:pPr>
      <w:r>
        <w:rPr>
          <w:rFonts w:ascii="Arial" w:eastAsia="Arial" w:hAnsi="Arial"/>
          <w:color w:val="000000"/>
          <w:sz w:val="20"/>
        </w:rPr>
        <w:t>3</w:t>
      </w:r>
      <w:r>
        <w:rPr>
          <w:rFonts w:ascii="Arial" w:eastAsia="Arial" w:hAnsi="Arial"/>
          <w:color w:val="000000"/>
          <w:sz w:val="20"/>
        </w:rPr>
        <w:tab/>
        <w:t>Outcomes and evaluation</w:t>
      </w:r>
      <w:r>
        <w:rPr>
          <w:rFonts w:ascii="Arial" w:eastAsia="Arial" w:hAnsi="Arial"/>
          <w:color w:val="000000"/>
          <w:sz w:val="20"/>
        </w:rPr>
        <w:tab/>
        <w:t>33</w:t>
      </w:r>
    </w:p>
    <w:p w14:paraId="5BB089DB" w14:textId="77777777" w:rsidR="00D8670B" w:rsidRDefault="009B37A9">
      <w:pPr>
        <w:tabs>
          <w:tab w:val="decimal" w:pos="360"/>
          <w:tab w:val="left" w:pos="936"/>
          <w:tab w:val="right" w:leader="dot" w:pos="10296"/>
        </w:tabs>
        <w:spacing w:before="120" w:line="230" w:lineRule="exact"/>
        <w:ind w:left="216"/>
        <w:textAlignment w:val="baseline"/>
        <w:rPr>
          <w:rFonts w:ascii="Arial" w:eastAsia="Arial" w:hAnsi="Arial"/>
          <w:color w:val="000000"/>
          <w:sz w:val="20"/>
        </w:rPr>
      </w:pPr>
      <w:r>
        <w:rPr>
          <w:rFonts w:ascii="Arial" w:eastAsia="Arial" w:hAnsi="Arial"/>
          <w:color w:val="000000"/>
          <w:sz w:val="20"/>
        </w:rPr>
        <w:tab/>
        <w:t>3.1</w:t>
      </w:r>
      <w:r>
        <w:rPr>
          <w:rFonts w:ascii="Arial" w:eastAsia="Arial" w:hAnsi="Arial"/>
          <w:color w:val="000000"/>
          <w:sz w:val="20"/>
        </w:rPr>
        <w:tab/>
        <w:t>Long-term sustainable future</w:t>
      </w:r>
      <w:r>
        <w:rPr>
          <w:rFonts w:ascii="Arial" w:eastAsia="Arial" w:hAnsi="Arial"/>
          <w:color w:val="000000"/>
          <w:sz w:val="20"/>
        </w:rPr>
        <w:tab/>
        <w:t>33</w:t>
      </w:r>
    </w:p>
    <w:p w14:paraId="1EA57917" w14:textId="77777777" w:rsidR="00D8670B" w:rsidRDefault="009B37A9">
      <w:pPr>
        <w:tabs>
          <w:tab w:val="left" w:pos="1152"/>
          <w:tab w:val="right" w:leader="dot" w:pos="10296"/>
        </w:tabs>
        <w:spacing w:before="116" w:line="230" w:lineRule="exact"/>
        <w:ind w:left="432"/>
        <w:textAlignment w:val="baseline"/>
        <w:rPr>
          <w:rFonts w:ascii="Arial" w:eastAsia="Arial" w:hAnsi="Arial"/>
          <w:color w:val="000000"/>
          <w:sz w:val="20"/>
        </w:rPr>
      </w:pPr>
      <w:r>
        <w:rPr>
          <w:rFonts w:ascii="Arial" w:eastAsia="Arial" w:hAnsi="Arial"/>
          <w:color w:val="000000"/>
          <w:sz w:val="20"/>
        </w:rPr>
        <w:t>3.1.1</w:t>
      </w:r>
      <w:r>
        <w:rPr>
          <w:rFonts w:ascii="Arial" w:eastAsia="Arial" w:hAnsi="Arial"/>
          <w:color w:val="000000"/>
          <w:sz w:val="20"/>
        </w:rPr>
        <w:tab/>
        <w:t>Irrigation industry</w:t>
      </w:r>
      <w:r>
        <w:rPr>
          <w:rFonts w:ascii="Arial" w:eastAsia="Arial" w:hAnsi="Arial"/>
          <w:color w:val="000000"/>
          <w:sz w:val="20"/>
        </w:rPr>
        <w:tab/>
        <w:t>33</w:t>
      </w:r>
    </w:p>
    <w:p w14:paraId="4D233BB9" w14:textId="77777777" w:rsidR="00D8670B" w:rsidRDefault="009B37A9">
      <w:pPr>
        <w:tabs>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3.1.2 Priority catchments</w:t>
      </w:r>
      <w:r>
        <w:rPr>
          <w:rFonts w:ascii="Arial" w:eastAsia="Arial" w:hAnsi="Arial"/>
          <w:color w:val="000000"/>
          <w:sz w:val="20"/>
        </w:rPr>
        <w:tab/>
        <w:t>33</w:t>
      </w:r>
    </w:p>
    <w:p w14:paraId="5BB71646" w14:textId="77777777" w:rsidR="00D8670B" w:rsidRDefault="009B37A9">
      <w:pPr>
        <w:tabs>
          <w:tab w:val="right" w:leader="dot" w:pos="10296"/>
        </w:tabs>
        <w:spacing w:before="121" w:line="230" w:lineRule="exact"/>
        <w:ind w:left="432"/>
        <w:textAlignment w:val="baseline"/>
        <w:rPr>
          <w:rFonts w:ascii="Arial" w:eastAsia="Arial" w:hAnsi="Arial"/>
          <w:color w:val="000000"/>
          <w:sz w:val="20"/>
        </w:rPr>
      </w:pPr>
      <w:r>
        <w:rPr>
          <w:rFonts w:ascii="Arial" w:eastAsia="Arial" w:hAnsi="Arial"/>
          <w:color w:val="000000"/>
          <w:sz w:val="20"/>
        </w:rPr>
        <w:t>3.1.3 Irrigation enterprises</w:t>
      </w:r>
      <w:r>
        <w:rPr>
          <w:rFonts w:ascii="Arial" w:eastAsia="Arial" w:hAnsi="Arial"/>
          <w:color w:val="000000"/>
          <w:sz w:val="20"/>
        </w:rPr>
        <w:tab/>
        <w:t>36</w:t>
      </w:r>
    </w:p>
    <w:p w14:paraId="19DE751E" w14:textId="77777777" w:rsidR="00D8670B" w:rsidRDefault="009B37A9">
      <w:pPr>
        <w:tabs>
          <w:tab w:val="decimal" w:pos="360"/>
          <w:tab w:val="left" w:pos="936"/>
          <w:tab w:val="right" w:leader="dot" w:pos="10296"/>
        </w:tabs>
        <w:spacing w:before="120" w:line="230" w:lineRule="exact"/>
        <w:ind w:left="216"/>
        <w:textAlignment w:val="baseline"/>
        <w:rPr>
          <w:rFonts w:ascii="Arial" w:eastAsia="Arial" w:hAnsi="Arial"/>
          <w:color w:val="000000"/>
          <w:sz w:val="20"/>
        </w:rPr>
      </w:pPr>
      <w:r>
        <w:rPr>
          <w:rFonts w:ascii="Arial" w:eastAsia="Arial" w:hAnsi="Arial"/>
          <w:color w:val="000000"/>
          <w:sz w:val="20"/>
        </w:rPr>
        <w:tab/>
        <w:t>3.2</w:t>
      </w:r>
      <w:r>
        <w:rPr>
          <w:rFonts w:ascii="Arial" w:eastAsia="Arial" w:hAnsi="Arial"/>
          <w:color w:val="000000"/>
          <w:sz w:val="20"/>
        </w:rPr>
        <w:tab/>
        <w:t>Water to the environment</w:t>
      </w:r>
      <w:r>
        <w:rPr>
          <w:rFonts w:ascii="Arial" w:eastAsia="Arial" w:hAnsi="Arial"/>
          <w:color w:val="000000"/>
          <w:sz w:val="20"/>
        </w:rPr>
        <w:tab/>
        <w:t>37</w:t>
      </w:r>
    </w:p>
    <w:p w14:paraId="063FB2C7" w14:textId="77777777" w:rsidR="00D8670B" w:rsidRDefault="009B37A9">
      <w:pPr>
        <w:tabs>
          <w:tab w:val="decimal" w:pos="360"/>
          <w:tab w:val="left" w:pos="936"/>
          <w:tab w:val="right" w:leader="dot" w:pos="10296"/>
        </w:tabs>
        <w:spacing w:before="120" w:line="230" w:lineRule="exact"/>
        <w:ind w:left="216"/>
        <w:textAlignment w:val="baseline"/>
        <w:rPr>
          <w:rFonts w:ascii="Arial" w:eastAsia="Arial" w:hAnsi="Arial"/>
          <w:color w:val="000000"/>
          <w:sz w:val="20"/>
        </w:rPr>
      </w:pPr>
      <w:r>
        <w:rPr>
          <w:rFonts w:ascii="Arial" w:eastAsia="Arial" w:hAnsi="Arial"/>
          <w:color w:val="000000"/>
          <w:sz w:val="20"/>
        </w:rPr>
        <w:tab/>
        <w:t>3.3</w:t>
      </w:r>
      <w:r>
        <w:rPr>
          <w:rFonts w:ascii="Arial" w:eastAsia="Arial" w:hAnsi="Arial"/>
          <w:color w:val="000000"/>
          <w:sz w:val="20"/>
        </w:rPr>
        <w:tab/>
        <w:t>Faster adoption of efficient water use te</w:t>
      </w:r>
      <w:r>
        <w:rPr>
          <w:rFonts w:ascii="Arial" w:eastAsia="Arial" w:hAnsi="Arial"/>
          <w:color w:val="000000"/>
          <w:sz w:val="20"/>
        </w:rPr>
        <w:t>chnologies</w:t>
      </w:r>
      <w:r>
        <w:rPr>
          <w:rFonts w:ascii="Arial" w:eastAsia="Arial" w:hAnsi="Arial"/>
          <w:color w:val="000000"/>
          <w:sz w:val="20"/>
        </w:rPr>
        <w:tab/>
        <w:t>39</w:t>
      </w:r>
    </w:p>
    <w:p w14:paraId="54BA3C95" w14:textId="77777777" w:rsidR="00D8670B" w:rsidRDefault="009B37A9">
      <w:pPr>
        <w:tabs>
          <w:tab w:val="right" w:leader="dot" w:pos="10296"/>
        </w:tabs>
        <w:spacing w:before="121" w:line="230" w:lineRule="exact"/>
        <w:ind w:left="432"/>
        <w:textAlignment w:val="baseline"/>
        <w:rPr>
          <w:rFonts w:ascii="Arial" w:eastAsia="Arial" w:hAnsi="Arial"/>
          <w:color w:val="000000"/>
          <w:sz w:val="20"/>
        </w:rPr>
      </w:pPr>
      <w:r>
        <w:rPr>
          <w:rFonts w:ascii="Arial" w:eastAsia="Arial" w:hAnsi="Arial"/>
          <w:color w:val="000000"/>
          <w:sz w:val="20"/>
        </w:rPr>
        <w:t>3.3.1 Awareness-raising activities</w:t>
      </w:r>
      <w:r>
        <w:rPr>
          <w:rFonts w:ascii="Arial" w:eastAsia="Arial" w:hAnsi="Arial"/>
          <w:color w:val="000000"/>
          <w:sz w:val="20"/>
        </w:rPr>
        <w:tab/>
        <w:t>39</w:t>
      </w:r>
    </w:p>
    <w:p w14:paraId="07B2F421" w14:textId="77777777" w:rsidR="00D8670B" w:rsidRDefault="009B37A9">
      <w:pPr>
        <w:tabs>
          <w:tab w:val="right" w:leader="dot" w:pos="10296"/>
        </w:tabs>
        <w:spacing w:before="120" w:line="230" w:lineRule="exact"/>
        <w:ind w:left="432"/>
        <w:textAlignment w:val="baseline"/>
        <w:rPr>
          <w:rFonts w:ascii="Arial" w:eastAsia="Arial" w:hAnsi="Arial"/>
          <w:color w:val="000000"/>
          <w:sz w:val="20"/>
        </w:rPr>
      </w:pPr>
      <w:r>
        <w:rPr>
          <w:rFonts w:ascii="Arial" w:eastAsia="Arial" w:hAnsi="Arial"/>
          <w:color w:val="000000"/>
          <w:sz w:val="20"/>
        </w:rPr>
        <w:t>3.3.2 Funding for efficient technologies</w:t>
      </w:r>
      <w:r>
        <w:rPr>
          <w:rFonts w:ascii="Arial" w:eastAsia="Arial" w:hAnsi="Arial"/>
          <w:color w:val="000000"/>
          <w:sz w:val="20"/>
        </w:rPr>
        <w:tab/>
        <w:t>40</w:t>
      </w:r>
    </w:p>
    <w:p w14:paraId="774C3ADA" w14:textId="77777777" w:rsidR="00D8670B" w:rsidRDefault="009B37A9">
      <w:pPr>
        <w:tabs>
          <w:tab w:val="left" w:pos="432"/>
          <w:tab w:val="right" w:leader="dot" w:pos="10296"/>
        </w:tabs>
        <w:spacing w:before="121" w:line="230" w:lineRule="exact"/>
        <w:textAlignment w:val="baseline"/>
        <w:rPr>
          <w:rFonts w:ascii="Arial" w:eastAsia="Arial" w:hAnsi="Arial"/>
          <w:color w:val="000000"/>
          <w:sz w:val="20"/>
        </w:rPr>
      </w:pPr>
      <w:r>
        <w:rPr>
          <w:rFonts w:ascii="Arial" w:eastAsia="Arial" w:hAnsi="Arial"/>
          <w:color w:val="000000"/>
          <w:sz w:val="20"/>
        </w:rPr>
        <w:t>4</w:t>
      </w:r>
      <w:r>
        <w:rPr>
          <w:rFonts w:ascii="Arial" w:eastAsia="Arial" w:hAnsi="Arial"/>
          <w:color w:val="000000"/>
          <w:sz w:val="20"/>
        </w:rPr>
        <w:tab/>
        <w:t>Financial summary</w:t>
      </w:r>
      <w:r>
        <w:rPr>
          <w:rFonts w:ascii="Arial" w:eastAsia="Arial" w:hAnsi="Arial"/>
          <w:color w:val="000000"/>
          <w:sz w:val="20"/>
        </w:rPr>
        <w:tab/>
        <w:t>42</w:t>
      </w:r>
    </w:p>
    <w:p w14:paraId="427AA51F" w14:textId="77777777" w:rsidR="00D8670B" w:rsidRDefault="009B37A9">
      <w:pPr>
        <w:tabs>
          <w:tab w:val="right" w:leader="dot" w:pos="10296"/>
        </w:tabs>
        <w:spacing w:before="120" w:line="230" w:lineRule="exact"/>
        <w:textAlignment w:val="baseline"/>
        <w:rPr>
          <w:rFonts w:ascii="Arial" w:eastAsia="Arial" w:hAnsi="Arial"/>
          <w:color w:val="000000"/>
          <w:sz w:val="20"/>
        </w:rPr>
      </w:pPr>
      <w:r>
        <w:rPr>
          <w:rFonts w:ascii="Arial" w:eastAsia="Arial" w:hAnsi="Arial"/>
          <w:color w:val="000000"/>
          <w:sz w:val="20"/>
        </w:rPr>
        <w:t>5 Conclusion</w:t>
      </w:r>
      <w:r>
        <w:rPr>
          <w:rFonts w:ascii="Arial" w:eastAsia="Arial" w:hAnsi="Arial"/>
          <w:color w:val="000000"/>
          <w:sz w:val="20"/>
        </w:rPr>
        <w:tab/>
        <w:t>43</w:t>
      </w:r>
    </w:p>
    <w:p w14:paraId="761D6DB3" w14:textId="77777777" w:rsidR="00D8670B" w:rsidRDefault="009B37A9">
      <w:pPr>
        <w:tabs>
          <w:tab w:val="right" w:leader="dot" w:pos="10296"/>
        </w:tabs>
        <w:spacing w:before="120" w:after="569" w:line="230" w:lineRule="exact"/>
        <w:textAlignment w:val="baseline"/>
        <w:rPr>
          <w:rFonts w:ascii="Arial" w:eastAsia="Arial" w:hAnsi="Arial"/>
          <w:color w:val="000000"/>
          <w:sz w:val="20"/>
        </w:rPr>
      </w:pPr>
      <w:r>
        <w:rPr>
          <w:rFonts w:ascii="Arial" w:eastAsia="Arial" w:hAnsi="Arial"/>
          <w:color w:val="000000"/>
          <w:sz w:val="20"/>
        </w:rPr>
        <w:t>6 Learnings</w:t>
      </w:r>
      <w:r>
        <w:rPr>
          <w:rFonts w:ascii="Arial" w:eastAsia="Arial" w:hAnsi="Arial"/>
          <w:color w:val="000000"/>
          <w:sz w:val="20"/>
        </w:rPr>
        <w:tab/>
        <w:t>45</w:t>
      </w:r>
    </w:p>
    <w:p w14:paraId="62066B41" w14:textId="77777777" w:rsidR="00D8670B" w:rsidRDefault="009B37A9">
      <w:pPr>
        <w:spacing w:before="165" w:line="227" w:lineRule="exact"/>
        <w:jc w:val="center"/>
        <w:textAlignment w:val="baseline"/>
        <w:rPr>
          <w:rFonts w:ascii="Arial" w:eastAsia="Arial" w:hAnsi="Arial"/>
          <w:color w:val="000000"/>
          <w:sz w:val="20"/>
        </w:rPr>
      </w:pPr>
      <w:r>
        <w:pict w14:anchorId="47201734">
          <v:line id="_x0000_s1160" style="position:absolute;left:0;text-align:left;z-index:251679744;mso-position-horizontal-relative:page;mso-position-vertical-relative:page" from="40.75pt,789.1pt" to="554.8pt,789.1pt" strokeweight="1.7pt">
            <w10:wrap anchorx="page" anchory="page"/>
          </v:line>
        </w:pict>
      </w:r>
      <w:r>
        <w:rPr>
          <w:rFonts w:ascii="Arial" w:eastAsia="Arial" w:hAnsi="Arial"/>
          <w:color w:val="000000"/>
          <w:sz w:val="20"/>
        </w:rPr>
        <w:t>7</w:t>
      </w:r>
    </w:p>
    <w:p w14:paraId="2B4D86F0" w14:textId="77777777" w:rsidR="00D8670B" w:rsidRDefault="00D8670B">
      <w:pPr>
        <w:sectPr w:rsidR="00D8670B">
          <w:pgSz w:w="11909" w:h="16838"/>
          <w:pgMar w:top="1140" w:right="814" w:bottom="282" w:left="815" w:header="720" w:footer="720" w:gutter="0"/>
          <w:cols w:space="720"/>
        </w:sectPr>
      </w:pPr>
    </w:p>
    <w:p w14:paraId="583E755C" w14:textId="77777777" w:rsidR="00D8670B" w:rsidRDefault="009B37A9">
      <w:pPr>
        <w:spacing w:after="115" w:line="386" w:lineRule="exact"/>
        <w:textAlignment w:val="baseline"/>
        <w:rPr>
          <w:rFonts w:ascii="Arial" w:eastAsia="Arial" w:hAnsi="Arial"/>
          <w:b/>
          <w:color w:val="1C75BB"/>
          <w:spacing w:val="7"/>
          <w:sz w:val="34"/>
        </w:rPr>
      </w:pPr>
      <w:r>
        <w:rPr>
          <w:rFonts w:ascii="Arial" w:eastAsia="Arial" w:hAnsi="Arial"/>
          <w:b/>
          <w:color w:val="1C75BB"/>
          <w:spacing w:val="7"/>
          <w:sz w:val="34"/>
        </w:rPr>
        <w:lastRenderedPageBreak/>
        <w:t>1 Introduction</w:t>
      </w:r>
    </w:p>
    <w:p w14:paraId="6F2931E5" w14:textId="77777777" w:rsidR="00D8670B" w:rsidRDefault="009B37A9">
      <w:pPr>
        <w:shd w:val="solid" w:color="EAF4FB" w:fill="EAF4FB"/>
        <w:spacing w:after="150" w:line="206" w:lineRule="exact"/>
        <w:ind w:left="144" w:right="576"/>
        <w:textAlignment w:val="baseline"/>
        <w:rPr>
          <w:rFonts w:ascii="Arial" w:eastAsia="Arial" w:hAnsi="Arial"/>
          <w:color w:val="000000"/>
          <w:spacing w:val="-2"/>
          <w:sz w:val="18"/>
        </w:rPr>
      </w:pPr>
      <w:r>
        <w:rPr>
          <w:rFonts w:ascii="Arial" w:eastAsia="Arial" w:hAnsi="Arial"/>
          <w:color w:val="000000"/>
          <w:spacing w:val="-2"/>
          <w:sz w:val="18"/>
        </w:rPr>
        <w:t>This report describes Phase 2 of the Healthy HeadWaters Water Use Efficiency program which ran from 2012 to 2019. It documents the program’s delivery, success and learnings in meeting the outcomes identified in the Water Management Partnership Agreement Sc</w:t>
      </w:r>
      <w:r>
        <w:rPr>
          <w:rFonts w:ascii="Arial" w:eastAsia="Arial" w:hAnsi="Arial"/>
          <w:color w:val="000000"/>
          <w:spacing w:val="-2"/>
          <w:sz w:val="18"/>
        </w:rPr>
        <w:t>hedule 2 and meets the Final Project Report requirement at Schedule 2 Item 1.3.</w:t>
      </w:r>
    </w:p>
    <w:p w14:paraId="1A6C187A" w14:textId="77777777" w:rsidR="00D8670B" w:rsidRDefault="009B37A9">
      <w:pPr>
        <w:spacing w:before="86" w:line="230" w:lineRule="exact"/>
        <w:ind w:right="864"/>
        <w:textAlignment w:val="baseline"/>
        <w:rPr>
          <w:rFonts w:ascii="Arial" w:eastAsia="Arial" w:hAnsi="Arial"/>
          <w:color w:val="000000"/>
          <w:sz w:val="20"/>
        </w:rPr>
      </w:pPr>
      <w:r>
        <w:rPr>
          <w:rFonts w:ascii="Arial" w:eastAsia="Arial" w:hAnsi="Arial"/>
          <w:color w:val="000000"/>
          <w:sz w:val="20"/>
        </w:rPr>
        <w:t>The Queensland Government is working to manage Murray–Darling Basin water resources to meet social, economic and environmental needs.</w:t>
      </w:r>
    </w:p>
    <w:p w14:paraId="3FF3C495" w14:textId="77777777" w:rsidR="00D8670B" w:rsidRDefault="009B37A9">
      <w:pPr>
        <w:spacing w:before="123" w:line="230" w:lineRule="exact"/>
        <w:ind w:right="360"/>
        <w:textAlignment w:val="baseline"/>
        <w:rPr>
          <w:rFonts w:ascii="Arial" w:eastAsia="Arial" w:hAnsi="Arial"/>
          <w:color w:val="000000"/>
          <w:sz w:val="20"/>
        </w:rPr>
      </w:pPr>
      <w:r>
        <w:rPr>
          <w:rFonts w:ascii="Arial" w:eastAsia="Arial" w:hAnsi="Arial"/>
          <w:color w:val="000000"/>
          <w:sz w:val="20"/>
        </w:rPr>
        <w:t>In 2008, the Queensland and Australian gov</w:t>
      </w:r>
      <w:r>
        <w:rPr>
          <w:rFonts w:ascii="Arial" w:eastAsia="Arial" w:hAnsi="Arial"/>
          <w:color w:val="000000"/>
          <w:sz w:val="20"/>
        </w:rPr>
        <w:t xml:space="preserve">ernments and other Basin states (New South Wales, Victoria, South Australia and the Australian Capital Territory) entered into an agreement on sustainability in the Murray–Darling Basin. The </w:t>
      </w:r>
      <w:r>
        <w:rPr>
          <w:rFonts w:ascii="Arial" w:eastAsia="Arial" w:hAnsi="Arial"/>
          <w:i/>
          <w:color w:val="000000"/>
          <w:sz w:val="20"/>
        </w:rPr>
        <w:t>Intergovernmental Agreement on Implementing Water Reform in the M</w:t>
      </w:r>
      <w:r>
        <w:rPr>
          <w:rFonts w:ascii="Arial" w:eastAsia="Arial" w:hAnsi="Arial"/>
          <w:i/>
          <w:color w:val="000000"/>
          <w:sz w:val="20"/>
        </w:rPr>
        <w:t>urray</w:t>
      </w:r>
      <w:r>
        <w:rPr>
          <w:rFonts w:ascii="Arial" w:eastAsia="Arial" w:hAnsi="Arial"/>
          <w:i/>
          <w:color w:val="000000"/>
          <w:sz w:val="23"/>
        </w:rPr>
        <w:t>–</w:t>
      </w:r>
      <w:r>
        <w:rPr>
          <w:rFonts w:ascii="Arial" w:eastAsia="Arial" w:hAnsi="Arial"/>
          <w:i/>
          <w:color w:val="000000"/>
          <w:sz w:val="20"/>
        </w:rPr>
        <w:t xml:space="preserve">Darling Basin </w:t>
      </w:r>
      <w:r>
        <w:rPr>
          <w:rFonts w:ascii="Arial" w:eastAsia="Arial" w:hAnsi="Arial"/>
          <w:color w:val="000000"/>
          <w:sz w:val="20"/>
        </w:rPr>
        <w:t xml:space="preserve">was a precursor to, and now supports, the </w:t>
      </w:r>
      <w:r>
        <w:rPr>
          <w:rFonts w:ascii="Arial" w:eastAsia="Arial" w:hAnsi="Arial"/>
          <w:i/>
          <w:color w:val="000000"/>
          <w:sz w:val="20"/>
        </w:rPr>
        <w:t>Basin Plan 2012</w:t>
      </w:r>
      <w:r>
        <w:rPr>
          <w:rFonts w:ascii="Arial" w:eastAsia="Arial" w:hAnsi="Arial"/>
          <w:color w:val="000000"/>
          <w:sz w:val="20"/>
        </w:rPr>
        <w:t xml:space="preserve">. This overarching agreement allowed for the Australian </w:t>
      </w:r>
      <w:r>
        <w:rPr>
          <w:rFonts w:ascii="Arial" w:eastAsia="Arial" w:hAnsi="Arial"/>
          <w:color w:val="000000"/>
          <w:sz w:val="20"/>
        </w:rPr>
        <w:t>Government to enter into agreements with individual states for “priority projects” to deliver water saving infrastructure, return of water to the environment and adaptation to climate change.</w:t>
      </w:r>
    </w:p>
    <w:p w14:paraId="05C94DD1" w14:textId="77777777" w:rsidR="00D8670B" w:rsidRDefault="009B37A9">
      <w:pPr>
        <w:spacing w:before="120" w:after="426" w:line="230" w:lineRule="exact"/>
        <w:ind w:right="144"/>
        <w:textAlignment w:val="baseline"/>
        <w:rPr>
          <w:rFonts w:ascii="Arial" w:eastAsia="Arial" w:hAnsi="Arial"/>
          <w:color w:val="000000"/>
          <w:sz w:val="20"/>
        </w:rPr>
      </w:pPr>
      <w:r>
        <w:rPr>
          <w:rFonts w:ascii="Arial" w:eastAsia="Arial" w:hAnsi="Arial"/>
          <w:color w:val="000000"/>
          <w:sz w:val="20"/>
        </w:rPr>
        <w:t xml:space="preserve">The Healthy HeadWaters Water Use Efficiency (HHWUE) program was </w:t>
      </w:r>
      <w:r>
        <w:rPr>
          <w:rFonts w:ascii="Arial" w:eastAsia="Arial" w:hAnsi="Arial"/>
          <w:color w:val="000000"/>
          <w:sz w:val="20"/>
        </w:rPr>
        <w:t>one of Queensland’s priority projects. The HHWUE program helped Queensland meet its water reform commitments with the following aims.</w:t>
      </w:r>
    </w:p>
    <w:p w14:paraId="16BAFB8F" w14:textId="77777777" w:rsidR="00D8670B" w:rsidRDefault="009B37A9">
      <w:pPr>
        <w:spacing w:after="475"/>
        <w:ind w:left="30" w:right="41"/>
        <w:textAlignment w:val="baseline"/>
      </w:pPr>
      <w:r>
        <w:rPr>
          <w:noProof/>
        </w:rPr>
        <w:drawing>
          <wp:inline distT="0" distB="0" distL="0" distR="0" wp14:anchorId="3526F8D6" wp14:editId="1412BCA7">
            <wp:extent cx="6482715" cy="207264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8"/>
                    <a:stretch>
                      <a:fillRect/>
                    </a:stretch>
                  </pic:blipFill>
                  <pic:spPr>
                    <a:xfrm>
                      <a:off x="0" y="0"/>
                      <a:ext cx="6482715" cy="2072640"/>
                    </a:xfrm>
                    <a:prstGeom prst="rect">
                      <a:avLst/>
                    </a:prstGeom>
                  </pic:spPr>
                </pic:pic>
              </a:graphicData>
            </a:graphic>
          </wp:inline>
        </w:drawing>
      </w:r>
    </w:p>
    <w:p w14:paraId="1E514C02" w14:textId="77777777" w:rsidR="00D8670B" w:rsidRDefault="009B37A9">
      <w:pPr>
        <w:spacing w:before="7" w:line="230" w:lineRule="exact"/>
        <w:ind w:right="288"/>
        <w:textAlignment w:val="baseline"/>
        <w:rPr>
          <w:rFonts w:ascii="Arial" w:eastAsia="Arial" w:hAnsi="Arial"/>
          <w:color w:val="000000"/>
          <w:sz w:val="20"/>
        </w:rPr>
      </w:pPr>
      <w:r>
        <w:rPr>
          <w:rFonts w:ascii="Arial" w:eastAsia="Arial" w:hAnsi="Arial"/>
          <w:color w:val="000000"/>
          <w:sz w:val="20"/>
        </w:rPr>
        <w:t>The Australian Government allocated up to $154 million</w:t>
      </w:r>
      <w:r>
        <w:rPr>
          <w:rFonts w:ascii="Arial" w:eastAsia="Arial" w:hAnsi="Arial"/>
          <w:color w:val="000000"/>
          <w:sz w:val="20"/>
          <w:vertAlign w:val="superscript"/>
        </w:rPr>
        <w:t>2</w:t>
      </w:r>
      <w:r>
        <w:rPr>
          <w:rFonts w:ascii="Arial" w:eastAsia="Arial" w:hAnsi="Arial"/>
          <w:color w:val="000000"/>
          <w:sz w:val="20"/>
        </w:rPr>
        <w:t xml:space="preserve"> for the HHWUE program to fund water use efficiency improvements for irrigation infrastructure in the Queensland Murray–Darling Basin (QMDB). In return for funding, irrigators transferred a proportion of water savings to the environment. The allocation als</w:t>
      </w:r>
      <w:r>
        <w:rPr>
          <w:rFonts w:ascii="Arial" w:eastAsia="Arial" w:hAnsi="Arial"/>
          <w:color w:val="000000"/>
          <w:sz w:val="20"/>
        </w:rPr>
        <w:t>o included funding for complementary measures projects and studies.</w:t>
      </w:r>
    </w:p>
    <w:p w14:paraId="2FDD9EE7" w14:textId="77777777" w:rsidR="00D8670B" w:rsidRDefault="009B37A9">
      <w:pPr>
        <w:spacing w:before="117" w:line="230" w:lineRule="exact"/>
        <w:ind w:right="144"/>
        <w:textAlignment w:val="baseline"/>
        <w:rPr>
          <w:rFonts w:ascii="Arial" w:eastAsia="Arial" w:hAnsi="Arial"/>
          <w:color w:val="000000"/>
          <w:sz w:val="20"/>
        </w:rPr>
      </w:pPr>
      <w:r>
        <w:rPr>
          <w:rFonts w:ascii="Arial" w:eastAsia="Arial" w:hAnsi="Arial"/>
          <w:color w:val="000000"/>
          <w:sz w:val="20"/>
        </w:rPr>
        <w:t>In 2009, the Australian Government provided the Queensland Government initial advance funding of $898,149.36 in 2009 for program planning and research. From this research, the Queensland G</w:t>
      </w:r>
      <w:r>
        <w:rPr>
          <w:rFonts w:ascii="Arial" w:eastAsia="Arial" w:hAnsi="Arial"/>
          <w:color w:val="000000"/>
          <w:sz w:val="20"/>
        </w:rPr>
        <w:t>overnment developed a business case for the HHWUE program. The Australian Government approved the business case, including delivery of the program in two phases. Phase 1 was a pilot with two funding rounds. Further rounds under Phase 2 were dependent on th</w:t>
      </w:r>
      <w:r>
        <w:rPr>
          <w:rFonts w:ascii="Arial" w:eastAsia="Arial" w:hAnsi="Arial"/>
          <w:color w:val="000000"/>
          <w:sz w:val="20"/>
        </w:rPr>
        <w:t>e outcomes of the pilot.</w:t>
      </w:r>
    </w:p>
    <w:p w14:paraId="6425C3E8" w14:textId="77777777" w:rsidR="00D8670B" w:rsidRDefault="009B37A9">
      <w:pPr>
        <w:spacing w:before="118" w:after="1511" w:line="230" w:lineRule="exact"/>
        <w:ind w:right="144"/>
        <w:textAlignment w:val="baseline"/>
        <w:rPr>
          <w:rFonts w:ascii="Arial" w:eastAsia="Arial" w:hAnsi="Arial"/>
          <w:color w:val="000000"/>
          <w:sz w:val="20"/>
        </w:rPr>
      </w:pPr>
      <w:r>
        <w:rPr>
          <w:rFonts w:ascii="Arial" w:eastAsia="Arial" w:hAnsi="Arial"/>
          <w:color w:val="000000"/>
          <w:sz w:val="20"/>
        </w:rPr>
        <w:t>In 2010, the Queensland and Australian governments entered into a Water Management Partnership Agreement for priority projects including the HHWUE program. The agreement included a Schedule 2 for Phase 1 of the program which outlin</w:t>
      </w:r>
      <w:r>
        <w:rPr>
          <w:rFonts w:ascii="Arial" w:eastAsia="Arial" w:hAnsi="Arial"/>
          <w:color w:val="000000"/>
          <w:sz w:val="20"/>
        </w:rPr>
        <w:t>ed the milestones, budget and other requirements. Phase 1 ran from 1 May 2010 to 30 October 2013 with a total budget of $23 million. The two pilot funding rounds yielded 10 approved projects representing $19 million of Australian Government funding. The 10</w:t>
      </w:r>
      <w:r>
        <w:rPr>
          <w:rFonts w:ascii="Arial" w:eastAsia="Arial" w:hAnsi="Arial"/>
          <w:color w:val="000000"/>
          <w:sz w:val="20"/>
        </w:rPr>
        <w:t xml:space="preserve"> projects proposed 10 gigalitres (GL)</w:t>
      </w:r>
      <w:r>
        <w:rPr>
          <w:rFonts w:ascii="Arial" w:eastAsia="Arial" w:hAnsi="Arial"/>
          <w:color w:val="000000"/>
          <w:sz w:val="20"/>
          <w:vertAlign w:val="superscript"/>
        </w:rPr>
        <w:t>3</w:t>
      </w:r>
      <w:r>
        <w:rPr>
          <w:rFonts w:ascii="Arial" w:eastAsia="Arial" w:hAnsi="Arial"/>
          <w:color w:val="000000"/>
          <w:sz w:val="20"/>
        </w:rPr>
        <w:t xml:space="preserve"> of water savings of which 6 GL were returned to the environment. Phase 1 included a number of complementary measures to benchmark the overall health of the QMDB irrigation industry and existing efficiency technologies</w:t>
      </w:r>
      <w:r>
        <w:rPr>
          <w:rFonts w:ascii="Arial" w:eastAsia="Arial" w:hAnsi="Arial"/>
          <w:color w:val="000000"/>
          <w:sz w:val="20"/>
        </w:rPr>
        <w:t>.</w:t>
      </w:r>
    </w:p>
    <w:p w14:paraId="17D979C5" w14:textId="77777777" w:rsidR="00D8670B" w:rsidRDefault="009B37A9">
      <w:pPr>
        <w:spacing w:before="225" w:line="205" w:lineRule="exact"/>
        <w:textAlignment w:val="baseline"/>
        <w:rPr>
          <w:rFonts w:ascii="Arial" w:eastAsia="Arial" w:hAnsi="Arial"/>
          <w:color w:val="000000"/>
          <w:sz w:val="12"/>
        </w:rPr>
      </w:pPr>
      <w:r>
        <w:pict w14:anchorId="2E7757C2">
          <v:line id="_x0000_s1159" style="position:absolute;z-index:251680768;mso-position-horizontal-relative:page;mso-position-vertical-relative:page" from="40.75pt,739.45pt" to="186.75pt,739.45pt" strokeweight=".7pt">
            <w10:wrap anchorx="page" anchory="page"/>
          </v:line>
        </w:pict>
      </w:r>
      <w:r>
        <w:rPr>
          <w:rFonts w:ascii="Arial" w:eastAsia="Arial" w:hAnsi="Arial"/>
          <w:color w:val="000000"/>
          <w:sz w:val="12"/>
        </w:rPr>
        <w:t xml:space="preserve">2 </w:t>
      </w:r>
      <w:r>
        <w:rPr>
          <w:rFonts w:ascii="Arial" w:eastAsia="Arial" w:hAnsi="Arial"/>
          <w:color w:val="000000"/>
          <w:sz w:val="18"/>
        </w:rPr>
        <w:t>All financial information in this document is GST exclusive unless otherwise stated</w:t>
      </w:r>
    </w:p>
    <w:p w14:paraId="0D212FEB" w14:textId="77777777" w:rsidR="00D8670B" w:rsidRDefault="009B37A9">
      <w:pPr>
        <w:spacing w:before="121" w:after="216" w:line="205" w:lineRule="exact"/>
        <w:textAlignment w:val="baseline"/>
        <w:rPr>
          <w:rFonts w:ascii="Arial" w:eastAsia="Arial" w:hAnsi="Arial"/>
          <w:color w:val="000000"/>
          <w:sz w:val="12"/>
        </w:rPr>
      </w:pPr>
      <w:r>
        <w:rPr>
          <w:rFonts w:ascii="Arial" w:eastAsia="Arial" w:hAnsi="Arial"/>
          <w:color w:val="000000"/>
          <w:sz w:val="12"/>
        </w:rPr>
        <w:t xml:space="preserve">3 </w:t>
      </w:r>
      <w:r>
        <w:rPr>
          <w:rFonts w:ascii="Arial" w:eastAsia="Arial" w:hAnsi="Arial"/>
          <w:color w:val="000000"/>
          <w:sz w:val="18"/>
        </w:rPr>
        <w:t>All water volumes in this document are in nominal volume unless otherwise stated</w:t>
      </w:r>
    </w:p>
    <w:p w14:paraId="4D380A6F" w14:textId="77777777" w:rsidR="00D8670B" w:rsidRDefault="009B37A9">
      <w:pPr>
        <w:spacing w:before="164" w:line="228" w:lineRule="exact"/>
        <w:jc w:val="center"/>
        <w:textAlignment w:val="baseline"/>
        <w:rPr>
          <w:rFonts w:ascii="Arial" w:eastAsia="Arial" w:hAnsi="Arial"/>
          <w:color w:val="000000"/>
          <w:sz w:val="20"/>
        </w:rPr>
      </w:pPr>
      <w:r>
        <w:pict w14:anchorId="336E7F99">
          <v:line id="_x0000_s1158" style="position:absolute;left:0;text-align:left;z-index:251681792;mso-position-horizontal-relative:page;mso-position-vertical-relative:page" from="40.75pt,789.1pt" to="554.8pt,789.1pt" strokeweight="1.7pt">
            <w10:wrap anchorx="page" anchory="page"/>
          </v:line>
        </w:pict>
      </w:r>
      <w:r>
        <w:rPr>
          <w:rFonts w:ascii="Arial" w:eastAsia="Arial" w:hAnsi="Arial"/>
          <w:color w:val="000000"/>
          <w:sz w:val="20"/>
        </w:rPr>
        <w:t>8</w:t>
      </w:r>
    </w:p>
    <w:p w14:paraId="79F529C6" w14:textId="77777777" w:rsidR="00D8670B" w:rsidRDefault="00D8670B">
      <w:pPr>
        <w:sectPr w:rsidR="00D8670B">
          <w:pgSz w:w="11909" w:h="16838"/>
          <w:pgMar w:top="1140" w:right="814" w:bottom="282" w:left="815" w:header="720" w:footer="720" w:gutter="0"/>
          <w:cols w:space="720"/>
        </w:sectPr>
      </w:pPr>
    </w:p>
    <w:p w14:paraId="4D508EE2" w14:textId="77777777" w:rsidR="00D8670B" w:rsidRDefault="009B37A9">
      <w:pPr>
        <w:spacing w:before="12" w:after="165"/>
        <w:ind w:left="30" w:right="45"/>
        <w:textAlignment w:val="baseline"/>
      </w:pPr>
      <w:r>
        <w:rPr>
          <w:noProof/>
        </w:rPr>
        <w:lastRenderedPageBreak/>
        <w:drawing>
          <wp:inline distT="0" distB="0" distL="0" distR="0" wp14:anchorId="3121ED6B" wp14:editId="2DDC071F">
            <wp:extent cx="6480175" cy="365125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9"/>
                    <a:stretch>
                      <a:fillRect/>
                    </a:stretch>
                  </pic:blipFill>
                  <pic:spPr>
                    <a:xfrm>
                      <a:off x="0" y="0"/>
                      <a:ext cx="6480175" cy="3651250"/>
                    </a:xfrm>
                    <a:prstGeom prst="rect">
                      <a:avLst/>
                    </a:prstGeom>
                  </pic:spPr>
                </pic:pic>
              </a:graphicData>
            </a:graphic>
          </wp:inline>
        </w:drawing>
      </w:r>
    </w:p>
    <w:p w14:paraId="26865AFB"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1: Phase 1 and Phase 2 commencement timeline</w:t>
      </w:r>
    </w:p>
    <w:p w14:paraId="0B5D11B9" w14:textId="77777777" w:rsidR="00D8670B" w:rsidRDefault="009B37A9">
      <w:pPr>
        <w:spacing w:before="473" w:after="453" w:line="230" w:lineRule="exact"/>
        <w:ind w:right="72"/>
        <w:textAlignment w:val="baseline"/>
        <w:rPr>
          <w:rFonts w:ascii="Arial" w:eastAsia="Arial" w:hAnsi="Arial"/>
          <w:color w:val="000000"/>
          <w:sz w:val="20"/>
        </w:rPr>
      </w:pPr>
      <w:r>
        <w:rPr>
          <w:rFonts w:ascii="Arial" w:eastAsia="Arial" w:hAnsi="Arial"/>
          <w:color w:val="000000"/>
          <w:sz w:val="20"/>
        </w:rPr>
        <w:t>Following a preliminary evaluation of Phase 1, the Queensland Government proposed a business case for further funding rounds. The format of the program was to be similar to the pilot, with some changes ba</w:t>
      </w:r>
      <w:r>
        <w:rPr>
          <w:rFonts w:ascii="Arial" w:eastAsia="Arial" w:hAnsi="Arial"/>
          <w:color w:val="000000"/>
          <w:sz w:val="20"/>
        </w:rPr>
        <w:t xml:space="preserve">sed on the results and recommendations from the first two rounds completed under Phase 1. The Australian Government approved the business case for Phase 2, and the Queensland and Australian governments entered into a new Schedule 2 to the Water Management </w:t>
      </w:r>
      <w:r>
        <w:rPr>
          <w:rFonts w:ascii="Arial" w:eastAsia="Arial" w:hAnsi="Arial"/>
          <w:color w:val="000000"/>
          <w:sz w:val="20"/>
        </w:rPr>
        <w:t>Partnership Agreement for Phase 2. A final evaluation of Phase 1 in 2013 further informed the program’s continuous improvement.</w:t>
      </w:r>
    </w:p>
    <w:p w14:paraId="0C7DA513" w14:textId="77777777" w:rsidR="00D8670B" w:rsidRDefault="009B37A9">
      <w:pPr>
        <w:spacing w:line="228" w:lineRule="exact"/>
        <w:jc w:val="center"/>
        <w:textAlignment w:val="baseline"/>
        <w:rPr>
          <w:rFonts w:ascii="Arial" w:eastAsia="Arial" w:hAnsi="Arial"/>
          <w:color w:val="000000"/>
          <w:sz w:val="20"/>
        </w:rPr>
      </w:pPr>
      <w:r>
        <w:pict w14:anchorId="311BE34C">
          <v:shape id="_x0000_s1157" type="#_x0000_t202" style="position:absolute;left:0;text-align:left;margin-left:42.5pt;margin-top:480.5pt;width:510pt;height:263.45pt;z-index:-251729920;mso-wrap-distance-left:1.75pt;mso-wrap-distance-right:2.25pt;mso-wrap-distance-bottom:53.35pt;mso-position-horizontal-relative:page;mso-position-vertical-relative:page" fillcolor="#eaf4fb" stroked="f">
            <v:textbox inset="0,0,0,0">
              <w:txbxContent>
                <w:p w14:paraId="67A9CC60" w14:textId="77777777" w:rsidR="00000000" w:rsidRDefault="009B37A9"/>
              </w:txbxContent>
            </v:textbox>
            <w10:wrap type="square" anchorx="page" anchory="page"/>
          </v:shape>
        </w:pict>
      </w:r>
      <w:r>
        <w:pict w14:anchorId="15EBB7E6">
          <v:shape id="_x0000_s1156" type="#_x0000_t202" style="position:absolute;left:0;text-align:left;margin-left:42.5pt;margin-top:480.5pt;width:510pt;height:16.55pt;z-index:-251728896;mso-wrap-distance-left:0;mso-wrap-distance-right:0;mso-position-horizontal-relative:page;mso-position-vertical-relative:page" filled="f" stroked="f">
            <v:textbox inset="0,0,0,0">
              <w:txbxContent>
                <w:p w14:paraId="736C2FF1" w14:textId="77777777" w:rsidR="00D8670B" w:rsidRDefault="009B37A9">
                  <w:pPr>
                    <w:spacing w:before="127" w:line="199" w:lineRule="exact"/>
                    <w:textAlignment w:val="baseline"/>
                    <w:rPr>
                      <w:rFonts w:ascii="Arial" w:eastAsia="Arial" w:hAnsi="Arial"/>
                      <w:b/>
                      <w:color w:val="15568B"/>
                      <w:sz w:val="18"/>
                    </w:rPr>
                  </w:pPr>
                  <w:r>
                    <w:rPr>
                      <w:rFonts w:ascii="Arial" w:eastAsia="Arial" w:hAnsi="Arial"/>
                      <w:b/>
                      <w:color w:val="15568B"/>
                      <w:sz w:val="18"/>
                    </w:rPr>
                    <w:t>Delivering the Basin Plan in Queensland</w:t>
                  </w:r>
                </w:p>
              </w:txbxContent>
            </v:textbox>
            <w10:wrap type="square" anchorx="page" anchory="page"/>
          </v:shape>
        </w:pict>
      </w:r>
      <w:r>
        <w:pict w14:anchorId="0EFAAB81">
          <v:shape id="_x0000_s1155" type="#_x0000_t202" style="position:absolute;left:0;text-align:left;margin-left:298.3pt;margin-top:497.05pt;width:254.2pt;height:169.2pt;z-index:-251727872;mso-wrap-distance-left:0;mso-wrap-distance-right:0;mso-position-horizontal-relative:page;mso-position-vertical-relative:page" filled="f" stroked="f">
            <v:textbox inset="0,0,0,0">
              <w:txbxContent>
                <w:p w14:paraId="5501B8B9" w14:textId="77777777" w:rsidR="00D8670B" w:rsidRDefault="009B37A9">
                  <w:pPr>
                    <w:spacing w:before="241" w:line="207" w:lineRule="exact"/>
                    <w:ind w:right="288"/>
                    <w:textAlignment w:val="baseline"/>
                    <w:rPr>
                      <w:rFonts w:ascii="Arial" w:eastAsia="Arial" w:hAnsi="Arial"/>
                      <w:color w:val="000000"/>
                      <w:sz w:val="18"/>
                    </w:rPr>
                  </w:pPr>
                  <w:r>
                    <w:rPr>
                      <w:rFonts w:ascii="Arial" w:eastAsia="Arial" w:hAnsi="Arial"/>
                      <w:color w:val="000000"/>
                      <w:sz w:val="18"/>
                    </w:rPr>
                    <w:t>The QMDB covers 260 011 km</w:t>
                  </w:r>
                  <w:r>
                    <w:rPr>
                      <w:rFonts w:ascii="Arial" w:eastAsia="Arial" w:hAnsi="Arial"/>
                      <w:color w:val="000000"/>
                      <w:sz w:val="18"/>
                      <w:vertAlign w:val="superscript"/>
                    </w:rPr>
                    <w:t>2</w:t>
                  </w:r>
                  <w:r>
                    <w:rPr>
                      <w:rFonts w:ascii="Arial" w:eastAsia="Arial" w:hAnsi="Arial"/>
                      <w:color w:val="000000"/>
                      <w:sz w:val="18"/>
                    </w:rPr>
                    <w:t xml:space="preserve"> (15 per cent) of Queensland and is approximately 25 per cent of the area of the total Murray</w:t>
                  </w:r>
                  <w:r>
                    <w:rPr>
                      <w:rFonts w:ascii="Arial" w:eastAsia="Arial" w:hAnsi="Arial"/>
                      <w:color w:val="000000"/>
                    </w:rPr>
                    <w:t>–</w:t>
                  </w:r>
                  <w:r>
                    <w:rPr>
                      <w:rFonts w:ascii="Arial" w:eastAsia="Arial" w:hAnsi="Arial"/>
                      <w:color w:val="000000"/>
                      <w:sz w:val="18"/>
                    </w:rPr>
                    <w:t>Darling Basin. The catchments within the QMDB include the Condamine and Balonne, Border Rivers, Moonie, Warrego, Nebine and Paroo.</w:t>
                  </w:r>
                </w:p>
                <w:p w14:paraId="3E187277" w14:textId="77777777" w:rsidR="00D8670B" w:rsidRDefault="009B37A9">
                  <w:pPr>
                    <w:spacing w:before="123" w:line="207" w:lineRule="exact"/>
                    <w:ind w:right="288"/>
                    <w:textAlignment w:val="baseline"/>
                    <w:rPr>
                      <w:rFonts w:ascii="Arial" w:eastAsia="Arial" w:hAnsi="Arial"/>
                      <w:color w:val="000000"/>
                      <w:sz w:val="18"/>
                    </w:rPr>
                  </w:pPr>
                  <w:r>
                    <w:rPr>
                      <w:rFonts w:ascii="Arial" w:eastAsia="Arial" w:hAnsi="Arial"/>
                      <w:color w:val="000000"/>
                      <w:sz w:val="18"/>
                    </w:rPr>
                    <w:t>The QMDB is a major producer of</w:t>
                  </w:r>
                  <w:r>
                    <w:rPr>
                      <w:rFonts w:ascii="Arial" w:eastAsia="Arial" w:hAnsi="Arial"/>
                      <w:color w:val="000000"/>
                      <w:sz w:val="18"/>
                    </w:rPr>
                    <w:t xml:space="preserve"> both dryland and irrigated cotton, broadacre crops, livestock and horticulture. Irrigation infrastructure includes on-farm water storages, delivery and in-field application systems.</w:t>
                  </w:r>
                </w:p>
                <w:p w14:paraId="4AEC103A" w14:textId="77777777" w:rsidR="00D8670B" w:rsidRDefault="009B37A9">
                  <w:pPr>
                    <w:spacing w:before="122" w:line="207" w:lineRule="exact"/>
                    <w:ind w:right="216"/>
                    <w:textAlignment w:val="baseline"/>
                    <w:rPr>
                      <w:rFonts w:ascii="Arial" w:eastAsia="Arial" w:hAnsi="Arial"/>
                      <w:color w:val="000000"/>
                      <w:spacing w:val="-1"/>
                      <w:sz w:val="18"/>
                    </w:rPr>
                  </w:pPr>
                  <w:r>
                    <w:rPr>
                      <w:rFonts w:ascii="Arial" w:eastAsia="Arial" w:hAnsi="Arial"/>
                      <w:color w:val="000000"/>
                      <w:spacing w:val="-1"/>
                      <w:sz w:val="18"/>
                    </w:rPr>
                    <w:t>In 2012, the Basin states agreed to the Murray</w:t>
                  </w:r>
                  <w:r>
                    <w:rPr>
                      <w:rFonts w:ascii="Arial" w:eastAsia="Arial" w:hAnsi="Arial"/>
                      <w:color w:val="000000"/>
                      <w:spacing w:val="-1"/>
                    </w:rPr>
                    <w:t>–</w:t>
                  </w:r>
                  <w:r>
                    <w:rPr>
                      <w:rFonts w:ascii="Arial" w:eastAsia="Arial" w:hAnsi="Arial"/>
                      <w:color w:val="000000"/>
                      <w:spacing w:val="-1"/>
                      <w:sz w:val="18"/>
                    </w:rPr>
                    <w:t>Darling Basin Plan. The Ba</w:t>
                  </w:r>
                  <w:r>
                    <w:rPr>
                      <w:rFonts w:ascii="Arial" w:eastAsia="Arial" w:hAnsi="Arial"/>
                      <w:color w:val="000000"/>
                      <w:spacing w:val="-1"/>
                      <w:sz w:val="18"/>
                    </w:rPr>
                    <w:t>sin Plan recognises the impact of drought and water use on the Murray</w:t>
                  </w:r>
                  <w:r>
                    <w:rPr>
                      <w:rFonts w:ascii="Arial" w:eastAsia="Arial" w:hAnsi="Arial"/>
                      <w:color w:val="000000"/>
                      <w:spacing w:val="-1"/>
                    </w:rPr>
                    <w:t>–</w:t>
                  </w:r>
                  <w:r>
                    <w:rPr>
                      <w:rFonts w:ascii="Arial" w:eastAsia="Arial" w:hAnsi="Arial"/>
                      <w:color w:val="000000"/>
                      <w:spacing w:val="-1"/>
                      <w:sz w:val="18"/>
                    </w:rPr>
                    <w:t>Darling Basin and aims both to restore it to a sustainable level and support the water-dependent communities. The Basin Plan aims to improve</w:t>
                  </w:r>
                </w:p>
              </w:txbxContent>
            </v:textbox>
            <w10:wrap type="square" anchorx="page" anchory="page"/>
          </v:shape>
        </w:pict>
      </w:r>
      <w:r>
        <w:pict w14:anchorId="41922923">
          <v:shape id="_x0000_s1154" type="#_x0000_t202" style="position:absolute;left:0;text-align:left;margin-left:42.5pt;margin-top:666.25pt;width:510pt;height:76.8pt;z-index:-251726848;mso-wrap-distance-left:0;mso-wrap-distance-right:0;mso-position-horizontal-relative:page;mso-position-vertical-relative:page" filled="f" stroked="f">
            <v:textbox inset="0,0,0,0">
              <w:txbxContent>
                <w:p w14:paraId="31AFB6E9" w14:textId="77777777" w:rsidR="00D8670B" w:rsidRDefault="009B37A9">
                  <w:pPr>
                    <w:spacing w:line="206" w:lineRule="exact"/>
                    <w:ind w:left="5184"/>
                    <w:textAlignment w:val="baseline"/>
                    <w:rPr>
                      <w:rFonts w:ascii="Arial" w:eastAsia="Arial" w:hAnsi="Arial"/>
                      <w:color w:val="000000"/>
                      <w:sz w:val="18"/>
                    </w:rPr>
                  </w:pPr>
                  <w:r>
                    <w:rPr>
                      <w:rFonts w:ascii="Arial" w:eastAsia="Arial" w:hAnsi="Arial"/>
                      <w:color w:val="000000"/>
                      <w:sz w:val="18"/>
                    </w:rPr>
                    <w:t>water management through measures includin</w:t>
                  </w:r>
                  <w:r>
                    <w:rPr>
                      <w:rFonts w:ascii="Arial" w:eastAsia="Arial" w:hAnsi="Arial"/>
                      <w:color w:val="000000"/>
                      <w:sz w:val="18"/>
                    </w:rPr>
                    <w:t>g:</w:t>
                  </w:r>
                </w:p>
                <w:p w14:paraId="3D08D107" w14:textId="77777777" w:rsidR="00D8670B" w:rsidRDefault="009B37A9">
                  <w:pPr>
                    <w:tabs>
                      <w:tab w:val="left" w:pos="864"/>
                    </w:tabs>
                    <w:spacing w:before="147" w:line="207" w:lineRule="exact"/>
                    <w:ind w:left="432"/>
                    <w:textAlignment w:val="baseline"/>
                    <w:rPr>
                      <w:rFonts w:ascii="Segoe UI Symbol" w:eastAsia="Segoe UI Symbol" w:hAnsi="Segoe UI Symbol"/>
                      <w:color w:val="000000"/>
                    </w:rPr>
                  </w:pPr>
                  <w:r>
                    <w:rPr>
                      <w:rFonts w:ascii="Segoe UI Symbol" w:eastAsia="Segoe UI Symbol" w:hAnsi="Segoe UI Symbol"/>
                      <w:color w:val="000000"/>
                    </w:rPr>
                    <w:t></w:t>
                  </w:r>
                  <w:r>
                    <w:rPr>
                      <w:rFonts w:ascii="Arial" w:eastAsia="Arial" w:hAnsi="Arial"/>
                      <w:color w:val="000000"/>
                      <w:sz w:val="18"/>
                    </w:rPr>
                    <w:tab/>
                    <w:t>delivering water for the environment to improve the health of rivers, wetlands and floodplains</w:t>
                  </w:r>
                </w:p>
                <w:p w14:paraId="1647BEDB" w14:textId="77777777" w:rsidR="00D8670B" w:rsidRDefault="009B37A9">
                  <w:pPr>
                    <w:tabs>
                      <w:tab w:val="left" w:pos="864"/>
                    </w:tabs>
                    <w:spacing w:before="115" w:line="207" w:lineRule="exact"/>
                    <w:ind w:left="792" w:right="2448" w:hanging="360"/>
                    <w:textAlignment w:val="baseline"/>
                    <w:rPr>
                      <w:rFonts w:ascii="Segoe UI Symbol" w:eastAsia="Segoe UI Symbol" w:hAnsi="Segoe UI Symbol"/>
                      <w:color w:val="000000"/>
                    </w:rPr>
                  </w:pPr>
                  <w:r>
                    <w:rPr>
                      <w:rFonts w:ascii="Segoe UI Symbol" w:eastAsia="Segoe UI Symbol" w:hAnsi="Segoe UI Symbol"/>
                      <w:color w:val="000000"/>
                    </w:rPr>
                    <w:t></w:t>
                  </w:r>
                  <w:r>
                    <w:rPr>
                      <w:rFonts w:ascii="Arial" w:eastAsia="Arial" w:hAnsi="Arial"/>
                      <w:color w:val="000000"/>
                      <w:sz w:val="18"/>
                    </w:rPr>
                    <w:tab/>
                    <w:t>decreasing water consumption in catchments and across the Basin to meet sustainable reduction targets.</w:t>
                  </w:r>
                </w:p>
                <w:p w14:paraId="59718BB5" w14:textId="77777777" w:rsidR="00D8670B" w:rsidRDefault="009B37A9">
                  <w:pPr>
                    <w:spacing w:before="120" w:after="119" w:line="207" w:lineRule="exact"/>
                    <w:textAlignment w:val="baseline"/>
                    <w:rPr>
                      <w:rFonts w:ascii="Arial" w:eastAsia="Arial" w:hAnsi="Arial"/>
                      <w:color w:val="000000"/>
                      <w:sz w:val="18"/>
                    </w:rPr>
                  </w:pPr>
                  <w:r>
                    <w:rPr>
                      <w:rFonts w:ascii="Arial" w:eastAsia="Arial" w:hAnsi="Arial"/>
                      <w:color w:val="000000"/>
                      <w:sz w:val="18"/>
                    </w:rPr>
                    <w:t>The HHWUE program was developed as part of the implementation of the Basin Plan in Queensland.</w:t>
                  </w:r>
                </w:p>
              </w:txbxContent>
            </v:textbox>
            <w10:wrap type="square" anchorx="page" anchory="page"/>
          </v:shape>
        </w:pict>
      </w:r>
      <w:r>
        <w:pict w14:anchorId="1F41032D">
          <v:shape id="_x0000_s1153" type="#_x0000_t202" style="position:absolute;left:0;text-align:left;margin-left:50.15pt;margin-top:509.3pt;width:238.55pt;height:2in;z-index:-251725824;mso-wrap-distance-left:7.65pt;mso-wrap-distance-top:12.25pt;mso-wrap-distance-right:9.6pt;mso-wrap-distance-bottom:12.95pt;mso-position-horizontal-relative:page;mso-position-vertical-relative:page" stroked="f">
            <v:textbox inset="0,0,0,0">
              <w:txbxContent>
                <w:p w14:paraId="2CD114F5" w14:textId="77777777" w:rsidR="00D8670B" w:rsidRDefault="009B37A9">
                  <w:pPr>
                    <w:textAlignment w:val="baseline"/>
                  </w:pPr>
                  <w:r>
                    <w:rPr>
                      <w:noProof/>
                    </w:rPr>
                    <w:drawing>
                      <wp:inline distT="0" distB="0" distL="0" distR="0" wp14:anchorId="41E2F4C5" wp14:editId="3AD4FE3C">
                        <wp:extent cx="3029585" cy="182880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0"/>
                                <a:stretch>
                                  <a:fillRect/>
                                </a:stretch>
                              </pic:blipFill>
                              <pic:spPr>
                                <a:xfrm>
                                  <a:off x="0" y="0"/>
                                  <a:ext cx="3029585" cy="1828800"/>
                                </a:xfrm>
                                <a:prstGeom prst="rect">
                                  <a:avLst/>
                                </a:prstGeom>
                              </pic:spPr>
                            </pic:pic>
                          </a:graphicData>
                        </a:graphic>
                      </wp:inline>
                    </w:drawing>
                  </w:r>
                </w:p>
              </w:txbxContent>
            </v:textbox>
            <w10:wrap type="square" anchorx="page" anchory="page"/>
          </v:shape>
        </w:pict>
      </w:r>
      <w:r>
        <w:pict w14:anchorId="1C239890">
          <v:shape id="_x0000_s1152" type="#_x0000_t202" style="position:absolute;left:0;text-align:left;margin-left:461.05pt;margin-top:666.7pt;width:87.85pt;height:61.45pt;z-index:-251724800;mso-wrap-distance-left:0;mso-wrap-distance-right:0;mso-position-horizontal-relative:page;mso-position-vertical-relative:page" stroked="f">
            <v:textbox inset="0,0,0,0">
              <w:txbxContent>
                <w:p w14:paraId="4E44C21B" w14:textId="77777777" w:rsidR="00D8670B" w:rsidRDefault="009B37A9">
                  <w:pPr>
                    <w:textAlignment w:val="baseline"/>
                  </w:pPr>
                  <w:r>
                    <w:rPr>
                      <w:noProof/>
                    </w:rPr>
                    <w:drawing>
                      <wp:inline distT="0" distB="0" distL="0" distR="0" wp14:anchorId="182A2761" wp14:editId="24357714">
                        <wp:extent cx="1115695" cy="78041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1"/>
                                <a:stretch>
                                  <a:fillRect/>
                                </a:stretch>
                              </pic:blipFill>
                              <pic:spPr>
                                <a:xfrm>
                                  <a:off x="0" y="0"/>
                                  <a:ext cx="1115695" cy="780415"/>
                                </a:xfrm>
                                <a:prstGeom prst="rect">
                                  <a:avLst/>
                                </a:prstGeom>
                              </pic:spPr>
                            </pic:pic>
                          </a:graphicData>
                        </a:graphic>
                      </wp:inline>
                    </w:drawing>
                  </w:r>
                </w:p>
              </w:txbxContent>
            </v:textbox>
            <w10:wrap anchorx="page" anchory="page"/>
          </v:shape>
        </w:pict>
      </w:r>
      <w:r>
        <w:pict w14:anchorId="1CA07D2B">
          <v:line id="_x0000_s1151" style="position:absolute;left:0;text-align:left;z-index:251682816;mso-position-horizontal-relative:page;mso-position-vertical-relative:page" from="40.75pt,789.1pt" to="554.45pt,789.1pt" strokeweight="1.7pt">
            <w10:wrap anchorx="page" anchory="page"/>
          </v:line>
        </w:pict>
      </w:r>
      <w:r>
        <w:rPr>
          <w:rFonts w:ascii="Arial" w:eastAsia="Arial" w:hAnsi="Arial"/>
          <w:color w:val="000000"/>
          <w:sz w:val="20"/>
        </w:rPr>
        <w:t>9</w:t>
      </w:r>
    </w:p>
    <w:p w14:paraId="4B328C97" w14:textId="77777777" w:rsidR="00D8670B" w:rsidRDefault="00D8670B">
      <w:pPr>
        <w:sectPr w:rsidR="00D8670B">
          <w:pgSz w:w="11909" w:h="16838"/>
          <w:pgMar w:top="1140" w:right="814" w:bottom="282" w:left="815" w:header="720" w:footer="720" w:gutter="0"/>
          <w:cols w:space="720"/>
        </w:sectPr>
      </w:pPr>
    </w:p>
    <w:p w14:paraId="6D4849A8" w14:textId="77777777" w:rsidR="00D8670B" w:rsidRDefault="009B37A9">
      <w:pPr>
        <w:spacing w:line="388" w:lineRule="exact"/>
        <w:textAlignment w:val="baseline"/>
        <w:rPr>
          <w:rFonts w:ascii="Arial" w:eastAsia="Arial" w:hAnsi="Arial"/>
          <w:b/>
          <w:color w:val="1C75BB"/>
          <w:spacing w:val="7"/>
          <w:sz w:val="34"/>
        </w:rPr>
      </w:pPr>
      <w:r>
        <w:rPr>
          <w:rFonts w:ascii="Arial" w:eastAsia="Arial" w:hAnsi="Arial"/>
          <w:b/>
          <w:color w:val="1C75BB"/>
          <w:spacing w:val="7"/>
          <w:sz w:val="34"/>
        </w:rPr>
        <w:lastRenderedPageBreak/>
        <w:t>2 Program conduct</w:t>
      </w:r>
    </w:p>
    <w:p w14:paraId="093E92D8" w14:textId="77777777" w:rsidR="00D8670B" w:rsidRDefault="009B37A9">
      <w:pPr>
        <w:spacing w:before="125" w:line="230" w:lineRule="exact"/>
        <w:textAlignment w:val="baseline"/>
        <w:rPr>
          <w:rFonts w:ascii="Arial" w:eastAsia="Arial" w:hAnsi="Arial"/>
          <w:color w:val="000000"/>
          <w:sz w:val="20"/>
        </w:rPr>
      </w:pPr>
      <w:r>
        <w:rPr>
          <w:rFonts w:ascii="Arial" w:eastAsia="Arial" w:hAnsi="Arial"/>
          <w:color w:val="000000"/>
          <w:sz w:val="20"/>
        </w:rPr>
        <w:t>Phase 2 of the HHWUE program started on 1 August 2012 and contained two components:</w:t>
      </w:r>
    </w:p>
    <w:p w14:paraId="40940FA8" w14:textId="77777777" w:rsidR="00D8670B" w:rsidRDefault="009B37A9">
      <w:pPr>
        <w:numPr>
          <w:ilvl w:val="0"/>
          <w:numId w:val="1"/>
        </w:numPr>
        <w:tabs>
          <w:tab w:val="clear" w:pos="360"/>
          <w:tab w:val="left" w:pos="792"/>
        </w:tabs>
        <w:spacing w:before="130" w:line="230" w:lineRule="exact"/>
        <w:ind w:left="432"/>
        <w:textAlignment w:val="baseline"/>
        <w:rPr>
          <w:rFonts w:ascii="Arial" w:eastAsia="Arial" w:hAnsi="Arial"/>
          <w:color w:val="000000"/>
          <w:spacing w:val="-1"/>
          <w:sz w:val="20"/>
        </w:rPr>
      </w:pPr>
      <w:r>
        <w:rPr>
          <w:rFonts w:ascii="Arial" w:eastAsia="Arial" w:hAnsi="Arial"/>
          <w:color w:val="000000"/>
          <w:spacing w:val="-1"/>
          <w:sz w:val="20"/>
        </w:rPr>
        <w:t>an infrastructure funding program</w:t>
      </w:r>
    </w:p>
    <w:p w14:paraId="0B2979CD" w14:textId="77777777" w:rsidR="00D8670B" w:rsidRDefault="009B37A9">
      <w:pPr>
        <w:numPr>
          <w:ilvl w:val="0"/>
          <w:numId w:val="1"/>
        </w:numPr>
        <w:tabs>
          <w:tab w:val="clear" w:pos="360"/>
          <w:tab w:val="left" w:pos="792"/>
        </w:tabs>
        <w:spacing w:before="134" w:line="230" w:lineRule="exact"/>
        <w:ind w:left="432"/>
        <w:textAlignment w:val="baseline"/>
        <w:rPr>
          <w:rFonts w:ascii="Arial" w:eastAsia="Arial" w:hAnsi="Arial"/>
          <w:color w:val="000000"/>
          <w:sz w:val="20"/>
        </w:rPr>
      </w:pPr>
      <w:r>
        <w:rPr>
          <w:rFonts w:ascii="Arial" w:eastAsia="Arial" w:hAnsi="Arial"/>
          <w:color w:val="000000"/>
          <w:sz w:val="20"/>
        </w:rPr>
        <w:t>complementary measures to support the funding program.</w:t>
      </w:r>
    </w:p>
    <w:p w14:paraId="513251D0" w14:textId="77777777" w:rsidR="00D8670B" w:rsidRDefault="009B37A9">
      <w:pPr>
        <w:spacing w:before="243" w:line="319" w:lineRule="exact"/>
        <w:textAlignment w:val="baseline"/>
        <w:rPr>
          <w:rFonts w:ascii="Arial" w:eastAsia="Arial" w:hAnsi="Arial"/>
          <w:b/>
          <w:color w:val="2D7276"/>
          <w:spacing w:val="3"/>
          <w:sz w:val="28"/>
        </w:rPr>
      </w:pPr>
      <w:r>
        <w:rPr>
          <w:rFonts w:ascii="Arial" w:eastAsia="Arial" w:hAnsi="Arial"/>
          <w:b/>
          <w:color w:val="2D7276"/>
          <w:spacing w:val="3"/>
          <w:sz w:val="28"/>
        </w:rPr>
        <w:t>2.1 Infrastructure funding program</w:t>
      </w:r>
    </w:p>
    <w:p w14:paraId="12797613" w14:textId="77777777" w:rsidR="00D8670B" w:rsidRDefault="009B37A9">
      <w:pPr>
        <w:spacing w:before="121" w:line="230" w:lineRule="exact"/>
        <w:ind w:right="72"/>
        <w:textAlignment w:val="baseline"/>
        <w:rPr>
          <w:rFonts w:ascii="Arial" w:eastAsia="Arial" w:hAnsi="Arial"/>
          <w:color w:val="000000"/>
          <w:sz w:val="20"/>
        </w:rPr>
      </w:pPr>
      <w:r>
        <w:rPr>
          <w:rFonts w:ascii="Arial" w:eastAsia="Arial" w:hAnsi="Arial"/>
          <w:color w:val="000000"/>
          <w:sz w:val="20"/>
        </w:rPr>
        <w:t xml:space="preserve">Under Phase 2, the Queensland Government delivered ten HHWUE program funding rounds between August 2012 and June 2017. Funding was available for upgrades to on-farm infrastructure. These upgrades were intended to improve the efficiency and productivity of </w:t>
      </w:r>
      <w:r>
        <w:rPr>
          <w:rFonts w:ascii="Arial" w:eastAsia="Arial" w:hAnsi="Arial"/>
          <w:color w:val="000000"/>
          <w:sz w:val="20"/>
        </w:rPr>
        <w:t>on-farm water use and management.</w:t>
      </w:r>
    </w:p>
    <w:p w14:paraId="58B384C0" w14:textId="77777777" w:rsidR="00D8670B" w:rsidRDefault="009B37A9">
      <w:pPr>
        <w:spacing w:before="121" w:line="230" w:lineRule="exact"/>
        <w:ind w:right="72"/>
        <w:textAlignment w:val="baseline"/>
        <w:rPr>
          <w:rFonts w:ascii="Arial" w:eastAsia="Arial" w:hAnsi="Arial"/>
          <w:color w:val="000000"/>
          <w:sz w:val="20"/>
        </w:rPr>
      </w:pPr>
      <w:r>
        <w:rPr>
          <w:rFonts w:ascii="Arial" w:eastAsia="Arial" w:hAnsi="Arial"/>
          <w:color w:val="000000"/>
          <w:sz w:val="20"/>
        </w:rPr>
        <w:t>The HHWUE program provided up to 90 per cent of the total cost of works. Up to 50 per cent of the water saved by the works was retained by the irrigator, with the remainder transferred to the Australian Government for envi</w:t>
      </w:r>
      <w:r>
        <w:rPr>
          <w:rFonts w:ascii="Arial" w:eastAsia="Arial" w:hAnsi="Arial"/>
          <w:color w:val="000000"/>
          <w:sz w:val="20"/>
        </w:rPr>
        <w:t>ronmental use.</w:t>
      </w:r>
    </w:p>
    <w:p w14:paraId="79F8AF62" w14:textId="77777777" w:rsidR="00D8670B" w:rsidRDefault="009B37A9">
      <w:pPr>
        <w:spacing w:before="243" w:line="319" w:lineRule="exact"/>
        <w:textAlignment w:val="baseline"/>
        <w:rPr>
          <w:rFonts w:ascii="Arial" w:eastAsia="Arial" w:hAnsi="Arial"/>
          <w:b/>
          <w:color w:val="346C37"/>
          <w:sz w:val="28"/>
        </w:rPr>
      </w:pPr>
      <w:r>
        <w:rPr>
          <w:rFonts w:ascii="Arial" w:eastAsia="Arial" w:hAnsi="Arial"/>
          <w:b/>
          <w:color w:val="346C37"/>
          <w:sz w:val="28"/>
        </w:rPr>
        <w:t>2.1.1 Application guidelines</w:t>
      </w:r>
    </w:p>
    <w:p w14:paraId="546D498C" w14:textId="77777777" w:rsidR="00D8670B" w:rsidRDefault="009B37A9">
      <w:pPr>
        <w:spacing w:before="122" w:line="230" w:lineRule="exact"/>
        <w:ind w:right="216"/>
        <w:textAlignment w:val="baseline"/>
        <w:rPr>
          <w:rFonts w:ascii="Arial" w:eastAsia="Arial" w:hAnsi="Arial"/>
          <w:color w:val="000000"/>
          <w:sz w:val="20"/>
        </w:rPr>
      </w:pPr>
      <w:r>
        <w:rPr>
          <w:rFonts w:ascii="Arial" w:eastAsia="Arial" w:hAnsi="Arial"/>
          <w:color w:val="000000"/>
          <w:sz w:val="20"/>
        </w:rPr>
        <w:t>At the start of each round, the Queensland Government released application guidelines outlining eligibility criteria, closing dates, assessment criteria and general contract information. Early application packs a</w:t>
      </w:r>
      <w:r>
        <w:rPr>
          <w:rFonts w:ascii="Arial" w:eastAsia="Arial" w:hAnsi="Arial"/>
          <w:color w:val="000000"/>
          <w:sz w:val="20"/>
        </w:rPr>
        <w:t>lso included case studies of water use efficiency projects, sample applications and other guidance material, however as irrigators became more familiar with the process these were discontinued. Irrigators could access the application pack by visiting the H</w:t>
      </w:r>
      <w:r>
        <w:rPr>
          <w:rFonts w:ascii="Arial" w:eastAsia="Arial" w:hAnsi="Arial"/>
          <w:color w:val="000000"/>
          <w:sz w:val="20"/>
        </w:rPr>
        <w:t>HWUE program webpage or contacting the Queensland Government.</w:t>
      </w:r>
    </w:p>
    <w:p w14:paraId="7FAB5EF1" w14:textId="77777777" w:rsidR="00D8670B" w:rsidRDefault="009B37A9">
      <w:pPr>
        <w:spacing w:before="241" w:line="300" w:lineRule="exact"/>
        <w:textAlignment w:val="baseline"/>
        <w:rPr>
          <w:rFonts w:ascii="Arial" w:eastAsia="Arial" w:hAnsi="Arial"/>
          <w:b/>
          <w:color w:val="55532D"/>
          <w:sz w:val="26"/>
        </w:rPr>
      </w:pPr>
      <w:r>
        <w:rPr>
          <w:rFonts w:ascii="Arial" w:eastAsia="Arial" w:hAnsi="Arial"/>
          <w:b/>
          <w:color w:val="55532D"/>
          <w:sz w:val="26"/>
        </w:rPr>
        <w:t>2.1.1.1 Eligibility</w:t>
      </w:r>
    </w:p>
    <w:p w14:paraId="6C6630A5" w14:textId="77777777" w:rsidR="00D8670B" w:rsidRDefault="009B37A9">
      <w:pPr>
        <w:spacing w:before="117" w:after="75" w:line="230" w:lineRule="exact"/>
        <w:textAlignment w:val="baseline"/>
        <w:rPr>
          <w:rFonts w:ascii="Arial" w:eastAsia="Arial" w:hAnsi="Arial"/>
          <w:color w:val="000000"/>
          <w:sz w:val="20"/>
        </w:rPr>
      </w:pPr>
      <w:r>
        <w:rPr>
          <w:rFonts w:ascii="Arial" w:eastAsia="Arial" w:hAnsi="Arial"/>
          <w:color w:val="000000"/>
          <w:sz w:val="20"/>
        </w:rPr>
        <w:t>In general, eligible irrigators were required to:</w:t>
      </w:r>
    </w:p>
    <w:p w14:paraId="276515C4" w14:textId="77777777" w:rsidR="00D8670B" w:rsidRDefault="009B37A9">
      <w:pPr>
        <w:spacing w:after="112"/>
        <w:ind w:left="30" w:right="41"/>
        <w:textAlignment w:val="baseline"/>
      </w:pPr>
      <w:r>
        <w:rPr>
          <w:noProof/>
        </w:rPr>
        <w:drawing>
          <wp:inline distT="0" distB="0" distL="0" distR="0" wp14:anchorId="53EE9E95" wp14:editId="6D09E96E">
            <wp:extent cx="6482715" cy="136525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2"/>
                    <a:stretch>
                      <a:fillRect/>
                    </a:stretch>
                  </pic:blipFill>
                  <pic:spPr>
                    <a:xfrm>
                      <a:off x="0" y="0"/>
                      <a:ext cx="6482715" cy="1365250"/>
                    </a:xfrm>
                    <a:prstGeom prst="rect">
                      <a:avLst/>
                    </a:prstGeom>
                  </pic:spPr>
                </pic:pic>
              </a:graphicData>
            </a:graphic>
          </wp:inline>
        </w:drawing>
      </w:r>
    </w:p>
    <w:p w14:paraId="6C00C25D" w14:textId="77777777" w:rsidR="00D8670B" w:rsidRDefault="009B37A9">
      <w:pPr>
        <w:spacing w:after="109" w:line="230" w:lineRule="exact"/>
        <w:ind w:right="288"/>
        <w:textAlignment w:val="baseline"/>
        <w:rPr>
          <w:rFonts w:ascii="Arial" w:eastAsia="Arial" w:hAnsi="Arial"/>
          <w:color w:val="000000"/>
          <w:sz w:val="20"/>
        </w:rPr>
      </w:pPr>
      <w:r>
        <w:rPr>
          <w:rFonts w:ascii="Arial" w:eastAsia="Arial" w:hAnsi="Arial"/>
          <w:color w:val="000000"/>
          <w:sz w:val="20"/>
        </w:rPr>
        <w:t>Below is a list of all water products eligible during Phase 2 of the HHWUE program. Not all products were eligible for each round as areas changed depending on water recovery priorities at the time.</w:t>
      </w:r>
    </w:p>
    <w:tbl>
      <w:tblPr>
        <w:tblW w:w="0" w:type="auto"/>
        <w:tblLayout w:type="fixed"/>
        <w:tblCellMar>
          <w:left w:w="0" w:type="dxa"/>
          <w:right w:w="0" w:type="dxa"/>
        </w:tblCellMar>
        <w:tblLook w:val="0000" w:firstRow="0" w:lastRow="0" w:firstColumn="0" w:lastColumn="0" w:noHBand="0" w:noVBand="0"/>
      </w:tblPr>
      <w:tblGrid>
        <w:gridCol w:w="1253"/>
        <w:gridCol w:w="1604"/>
        <w:gridCol w:w="436"/>
        <w:gridCol w:w="6987"/>
      </w:tblGrid>
      <w:tr w:rsidR="00D8670B" w14:paraId="21A699BB" w14:textId="77777777">
        <w:tblPrEx>
          <w:tblCellMar>
            <w:top w:w="0" w:type="dxa"/>
            <w:bottom w:w="0" w:type="dxa"/>
          </w:tblCellMar>
        </w:tblPrEx>
        <w:trPr>
          <w:trHeight w:hRule="exact" w:val="451"/>
        </w:trPr>
        <w:tc>
          <w:tcPr>
            <w:tcW w:w="1253" w:type="dxa"/>
            <w:tcBorders>
              <w:top w:val="none" w:sz="0" w:space="0" w:color="020000"/>
              <w:left w:val="none" w:sz="0" w:space="0" w:color="020000"/>
              <w:bottom w:val="none" w:sz="0" w:space="0" w:color="020000"/>
              <w:right w:val="none" w:sz="0" w:space="0" w:color="020000"/>
            </w:tcBorders>
            <w:shd w:val="clear" w:color="CAE2F7" w:fill="CAE2F7"/>
            <w:vAlign w:val="center"/>
          </w:tcPr>
          <w:p w14:paraId="742D5288" w14:textId="77777777" w:rsidR="00D8670B" w:rsidRDefault="009B37A9">
            <w:pPr>
              <w:spacing w:before="123" w:after="114" w:line="205" w:lineRule="exact"/>
              <w:ind w:left="150"/>
              <w:textAlignment w:val="baseline"/>
              <w:rPr>
                <w:rFonts w:ascii="Arial" w:eastAsia="Arial" w:hAnsi="Arial"/>
                <w:b/>
                <w:color w:val="15568B"/>
                <w:sz w:val="18"/>
              </w:rPr>
            </w:pPr>
            <w:r>
              <w:rPr>
                <w:rFonts w:ascii="Arial" w:eastAsia="Arial" w:hAnsi="Arial"/>
                <w:b/>
                <w:color w:val="15568B"/>
                <w:sz w:val="18"/>
              </w:rPr>
              <w:t>Catchment</w:t>
            </w:r>
          </w:p>
        </w:tc>
        <w:tc>
          <w:tcPr>
            <w:tcW w:w="1604" w:type="dxa"/>
            <w:tcBorders>
              <w:top w:val="none" w:sz="0" w:space="0" w:color="020000"/>
              <w:left w:val="none" w:sz="0" w:space="0" w:color="020000"/>
              <w:bottom w:val="none" w:sz="0" w:space="0" w:color="020000"/>
              <w:right w:val="none" w:sz="0" w:space="0" w:color="020000"/>
            </w:tcBorders>
            <w:shd w:val="clear" w:color="CAE2F7" w:fill="CAE2F7"/>
            <w:vAlign w:val="center"/>
          </w:tcPr>
          <w:p w14:paraId="09C42937" w14:textId="77777777" w:rsidR="00D8670B" w:rsidRDefault="009B37A9">
            <w:pPr>
              <w:spacing w:before="123" w:after="114" w:line="205" w:lineRule="exact"/>
              <w:ind w:left="140"/>
              <w:textAlignment w:val="baseline"/>
              <w:rPr>
                <w:rFonts w:ascii="Arial" w:eastAsia="Arial" w:hAnsi="Arial"/>
                <w:b/>
                <w:color w:val="15568B"/>
                <w:sz w:val="18"/>
              </w:rPr>
            </w:pPr>
            <w:r>
              <w:rPr>
                <w:rFonts w:ascii="Arial" w:eastAsia="Arial" w:hAnsi="Arial"/>
                <w:b/>
                <w:color w:val="15568B"/>
                <w:sz w:val="18"/>
              </w:rPr>
              <w:t>Water Type</w:t>
            </w:r>
          </w:p>
        </w:tc>
        <w:tc>
          <w:tcPr>
            <w:tcW w:w="7423" w:type="dxa"/>
            <w:gridSpan w:val="2"/>
            <w:tcBorders>
              <w:top w:val="none" w:sz="0" w:space="0" w:color="020000"/>
              <w:left w:val="none" w:sz="0" w:space="0" w:color="020000"/>
              <w:bottom w:val="none" w:sz="0" w:space="0" w:color="020000"/>
              <w:right w:val="none" w:sz="0" w:space="0" w:color="020000"/>
            </w:tcBorders>
            <w:shd w:val="clear" w:color="CAE2F7" w:fill="CAE2F7"/>
            <w:vAlign w:val="center"/>
          </w:tcPr>
          <w:p w14:paraId="456DD58F" w14:textId="77777777" w:rsidR="00D8670B" w:rsidRDefault="009B37A9">
            <w:pPr>
              <w:spacing w:before="123" w:after="114" w:line="205" w:lineRule="exact"/>
              <w:ind w:right="6750"/>
              <w:jc w:val="right"/>
              <w:textAlignment w:val="baseline"/>
              <w:rPr>
                <w:rFonts w:ascii="Arial" w:eastAsia="Arial" w:hAnsi="Arial"/>
                <w:b/>
                <w:color w:val="15568B"/>
                <w:sz w:val="18"/>
              </w:rPr>
            </w:pPr>
            <w:r>
              <w:rPr>
                <w:rFonts w:ascii="Arial" w:eastAsia="Arial" w:hAnsi="Arial"/>
                <w:b/>
                <w:color w:val="15568B"/>
                <w:sz w:val="18"/>
              </w:rPr>
              <w:t>Zones</w:t>
            </w:r>
          </w:p>
        </w:tc>
      </w:tr>
      <w:tr w:rsidR="00D8670B" w14:paraId="139C07D2" w14:textId="77777777">
        <w:tblPrEx>
          <w:tblCellMar>
            <w:top w:w="0" w:type="dxa"/>
            <w:bottom w:w="0" w:type="dxa"/>
          </w:tblCellMar>
        </w:tblPrEx>
        <w:trPr>
          <w:trHeight w:hRule="exact" w:val="490"/>
        </w:trPr>
        <w:tc>
          <w:tcPr>
            <w:tcW w:w="1253" w:type="dxa"/>
            <w:tcBorders>
              <w:top w:val="none" w:sz="0" w:space="0" w:color="020000"/>
              <w:left w:val="none" w:sz="0" w:space="0" w:color="020000"/>
              <w:bottom w:val="none" w:sz="0" w:space="0" w:color="020000"/>
              <w:right w:val="none" w:sz="0" w:space="0" w:color="020000"/>
            </w:tcBorders>
          </w:tcPr>
          <w:p w14:paraId="0F64590D" w14:textId="77777777" w:rsidR="00D8670B" w:rsidRDefault="009B37A9">
            <w:pPr>
              <w:spacing w:before="78" w:line="201" w:lineRule="exact"/>
              <w:ind w:left="144"/>
              <w:textAlignment w:val="baseline"/>
              <w:rPr>
                <w:rFonts w:ascii="Arial" w:eastAsia="Arial" w:hAnsi="Arial"/>
                <w:b/>
                <w:color w:val="15568B"/>
                <w:sz w:val="18"/>
              </w:rPr>
            </w:pPr>
            <w:r>
              <w:rPr>
                <w:rFonts w:ascii="Arial" w:eastAsia="Arial" w:hAnsi="Arial"/>
                <w:b/>
                <w:color w:val="15568B"/>
                <w:sz w:val="18"/>
              </w:rPr>
              <w:t>Condamine and</w:t>
            </w:r>
          </w:p>
        </w:tc>
        <w:tc>
          <w:tcPr>
            <w:tcW w:w="1604" w:type="dxa"/>
            <w:tcBorders>
              <w:top w:val="none" w:sz="0" w:space="0" w:color="020000"/>
              <w:left w:val="none" w:sz="0" w:space="0" w:color="020000"/>
              <w:bottom w:val="none" w:sz="0" w:space="0" w:color="020000"/>
              <w:right w:val="none" w:sz="0" w:space="0" w:color="020000"/>
            </w:tcBorders>
            <w:vAlign w:val="center"/>
          </w:tcPr>
          <w:p w14:paraId="17B91174" w14:textId="77777777" w:rsidR="00D8670B" w:rsidRDefault="009B37A9">
            <w:pPr>
              <w:spacing w:before="123" w:after="152" w:line="205" w:lineRule="exact"/>
              <w:ind w:left="140"/>
              <w:textAlignment w:val="baseline"/>
              <w:rPr>
                <w:rFonts w:ascii="Arial" w:eastAsia="Arial" w:hAnsi="Arial"/>
                <w:color w:val="000000"/>
                <w:sz w:val="18"/>
              </w:rPr>
            </w:pPr>
            <w:r>
              <w:rPr>
                <w:rFonts w:ascii="Arial" w:eastAsia="Arial" w:hAnsi="Arial"/>
                <w:color w:val="000000"/>
                <w:sz w:val="18"/>
              </w:rPr>
              <w:t>Supplemented</w:t>
            </w:r>
          </w:p>
        </w:tc>
        <w:tc>
          <w:tcPr>
            <w:tcW w:w="436" w:type="dxa"/>
            <w:tcBorders>
              <w:top w:val="none" w:sz="0" w:space="0" w:color="020000"/>
              <w:left w:val="none" w:sz="0" w:space="0" w:color="020000"/>
              <w:bottom w:val="none" w:sz="0" w:space="0" w:color="020000"/>
              <w:right w:val="none" w:sz="0" w:space="0" w:color="020000"/>
            </w:tcBorders>
            <w:vAlign w:val="center"/>
          </w:tcPr>
          <w:p w14:paraId="31DF5ECA" w14:textId="77777777" w:rsidR="00D8670B" w:rsidRDefault="009B37A9">
            <w:pPr>
              <w:spacing w:before="124" w:after="143" w:line="213" w:lineRule="exact"/>
              <w:jc w:val="right"/>
              <w:textAlignment w:val="baseline"/>
              <w:rPr>
                <w:rFonts w:ascii="Tahoma" w:eastAsia="Tahoma" w:hAnsi="Tahoma"/>
                <w:color w:val="000000"/>
                <w:sz w:val="19"/>
              </w:rPr>
            </w:pPr>
            <w:r>
              <w:rPr>
                <w:rFonts w:ascii="Tahoma" w:eastAsia="Tahoma" w:hAnsi="Tahoma"/>
                <w:color w:val="000000"/>
                <w:sz w:val="19"/>
              </w:rPr>
              <w:t>•</w:t>
            </w:r>
          </w:p>
        </w:tc>
        <w:tc>
          <w:tcPr>
            <w:tcW w:w="6987" w:type="dxa"/>
            <w:tcBorders>
              <w:top w:val="none" w:sz="0" w:space="0" w:color="020000"/>
              <w:left w:val="none" w:sz="0" w:space="0" w:color="020000"/>
              <w:bottom w:val="none" w:sz="0" w:space="0" w:color="020000"/>
              <w:right w:val="none" w:sz="0" w:space="0" w:color="020000"/>
            </w:tcBorders>
            <w:vAlign w:val="center"/>
          </w:tcPr>
          <w:p w14:paraId="61444871" w14:textId="77777777" w:rsidR="00D8670B" w:rsidRDefault="009B37A9">
            <w:pPr>
              <w:spacing w:before="137" w:after="138" w:line="205" w:lineRule="exact"/>
              <w:ind w:left="150"/>
              <w:textAlignment w:val="baseline"/>
              <w:rPr>
                <w:rFonts w:ascii="Arial" w:eastAsia="Arial" w:hAnsi="Arial"/>
                <w:color w:val="000000"/>
                <w:sz w:val="18"/>
              </w:rPr>
            </w:pPr>
            <w:r>
              <w:rPr>
                <w:rFonts w:ascii="Arial" w:eastAsia="Arial" w:hAnsi="Arial"/>
                <w:color w:val="000000"/>
                <w:sz w:val="18"/>
              </w:rPr>
              <w:t>Chinchilla Weir Water Supply Scheme</w:t>
            </w:r>
          </w:p>
        </w:tc>
      </w:tr>
      <w:tr w:rsidR="00D8670B" w14:paraId="32D56174" w14:textId="77777777">
        <w:tblPrEx>
          <w:tblCellMar>
            <w:top w:w="0" w:type="dxa"/>
            <w:bottom w:w="0" w:type="dxa"/>
          </w:tblCellMar>
        </w:tblPrEx>
        <w:trPr>
          <w:trHeight w:hRule="exact" w:val="273"/>
        </w:trPr>
        <w:tc>
          <w:tcPr>
            <w:tcW w:w="1253" w:type="dxa"/>
            <w:tcBorders>
              <w:top w:val="none" w:sz="0" w:space="0" w:color="020000"/>
              <w:left w:val="none" w:sz="0" w:space="0" w:color="020000"/>
              <w:bottom w:val="none" w:sz="0" w:space="0" w:color="020000"/>
              <w:right w:val="none" w:sz="0" w:space="0" w:color="020000"/>
            </w:tcBorders>
            <w:vAlign w:val="center"/>
          </w:tcPr>
          <w:p w14:paraId="63E4C4ED" w14:textId="77777777" w:rsidR="00D8670B" w:rsidRDefault="009B37A9">
            <w:pPr>
              <w:spacing w:before="41" w:after="18" w:line="205" w:lineRule="exact"/>
              <w:ind w:left="150"/>
              <w:textAlignment w:val="baseline"/>
              <w:rPr>
                <w:rFonts w:ascii="Arial" w:eastAsia="Arial" w:hAnsi="Arial"/>
                <w:b/>
                <w:color w:val="15568B"/>
                <w:sz w:val="18"/>
              </w:rPr>
            </w:pPr>
            <w:r>
              <w:rPr>
                <w:rFonts w:ascii="Arial" w:eastAsia="Arial" w:hAnsi="Arial"/>
                <w:b/>
                <w:color w:val="15568B"/>
                <w:sz w:val="18"/>
              </w:rPr>
              <w:t>Balonne</w:t>
            </w:r>
          </w:p>
        </w:tc>
        <w:tc>
          <w:tcPr>
            <w:tcW w:w="1604" w:type="dxa"/>
            <w:tcBorders>
              <w:top w:val="none" w:sz="0" w:space="0" w:color="020000"/>
              <w:left w:val="none" w:sz="0" w:space="0" w:color="020000"/>
              <w:bottom w:val="none" w:sz="0" w:space="0" w:color="020000"/>
              <w:right w:val="none" w:sz="0" w:space="0" w:color="020000"/>
            </w:tcBorders>
          </w:tcPr>
          <w:p w14:paraId="5A63966E"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436" w:type="dxa"/>
            <w:tcBorders>
              <w:top w:val="none" w:sz="0" w:space="0" w:color="020000"/>
              <w:left w:val="none" w:sz="0" w:space="0" w:color="020000"/>
              <w:bottom w:val="none" w:sz="0" w:space="0" w:color="020000"/>
              <w:right w:val="none" w:sz="0" w:space="0" w:color="020000"/>
            </w:tcBorders>
          </w:tcPr>
          <w:p w14:paraId="398EEE1A" w14:textId="77777777" w:rsidR="00D8670B" w:rsidRDefault="009B37A9">
            <w:pPr>
              <w:spacing w:after="81" w:line="183" w:lineRule="exact"/>
              <w:jc w:val="right"/>
              <w:textAlignment w:val="baseline"/>
              <w:rPr>
                <w:rFonts w:ascii="Tahoma" w:eastAsia="Tahoma" w:hAnsi="Tahoma"/>
                <w:color w:val="000000"/>
                <w:sz w:val="19"/>
              </w:rPr>
            </w:pPr>
            <w:r>
              <w:rPr>
                <w:rFonts w:ascii="Tahoma" w:eastAsia="Tahoma" w:hAnsi="Tahoma"/>
                <w:color w:val="000000"/>
                <w:sz w:val="19"/>
              </w:rPr>
              <w:t>•</w:t>
            </w:r>
          </w:p>
        </w:tc>
        <w:tc>
          <w:tcPr>
            <w:tcW w:w="6987" w:type="dxa"/>
            <w:tcBorders>
              <w:top w:val="none" w:sz="0" w:space="0" w:color="020000"/>
              <w:left w:val="none" w:sz="0" w:space="0" w:color="020000"/>
              <w:bottom w:val="none" w:sz="0" w:space="0" w:color="020000"/>
              <w:right w:val="none" w:sz="0" w:space="0" w:color="020000"/>
            </w:tcBorders>
          </w:tcPr>
          <w:p w14:paraId="3B5123C0" w14:textId="77777777" w:rsidR="00D8670B" w:rsidRDefault="009B37A9">
            <w:pPr>
              <w:spacing w:after="76" w:line="188" w:lineRule="exact"/>
              <w:ind w:left="150"/>
              <w:textAlignment w:val="baseline"/>
              <w:rPr>
                <w:rFonts w:ascii="Arial" w:eastAsia="Arial" w:hAnsi="Arial"/>
                <w:color w:val="000000"/>
                <w:sz w:val="18"/>
              </w:rPr>
            </w:pPr>
            <w:r>
              <w:rPr>
                <w:rFonts w:ascii="Arial" w:eastAsia="Arial" w:hAnsi="Arial"/>
                <w:color w:val="000000"/>
                <w:sz w:val="18"/>
              </w:rPr>
              <w:t>St George Water Supply Scheme (zones 1-4)</w:t>
            </w:r>
          </w:p>
        </w:tc>
      </w:tr>
      <w:tr w:rsidR="00D8670B" w14:paraId="4C01E83B" w14:textId="77777777">
        <w:tblPrEx>
          <w:tblCellMar>
            <w:top w:w="0" w:type="dxa"/>
            <w:bottom w:w="0" w:type="dxa"/>
          </w:tblCellMar>
        </w:tblPrEx>
        <w:trPr>
          <w:trHeight w:hRule="exact" w:val="370"/>
        </w:trPr>
        <w:tc>
          <w:tcPr>
            <w:tcW w:w="1253" w:type="dxa"/>
            <w:tcBorders>
              <w:top w:val="none" w:sz="0" w:space="0" w:color="020000"/>
              <w:left w:val="none" w:sz="0" w:space="0" w:color="020000"/>
              <w:bottom w:val="none" w:sz="0" w:space="0" w:color="020000"/>
              <w:right w:val="none" w:sz="0" w:space="0" w:color="020000"/>
            </w:tcBorders>
          </w:tcPr>
          <w:p w14:paraId="3F087DC7"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604" w:type="dxa"/>
            <w:tcBorders>
              <w:top w:val="none" w:sz="0" w:space="0" w:color="020000"/>
              <w:left w:val="none" w:sz="0" w:space="0" w:color="020000"/>
              <w:bottom w:val="none" w:sz="0" w:space="0" w:color="020000"/>
              <w:right w:val="none" w:sz="0" w:space="0" w:color="020000"/>
            </w:tcBorders>
          </w:tcPr>
          <w:p w14:paraId="43CDFE94"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436" w:type="dxa"/>
            <w:tcBorders>
              <w:top w:val="none" w:sz="0" w:space="0" w:color="020000"/>
              <w:left w:val="none" w:sz="0" w:space="0" w:color="020000"/>
              <w:bottom w:val="none" w:sz="0" w:space="0" w:color="020000"/>
              <w:right w:val="none" w:sz="0" w:space="0" w:color="020000"/>
            </w:tcBorders>
          </w:tcPr>
          <w:p w14:paraId="50AC51F3" w14:textId="77777777" w:rsidR="00D8670B" w:rsidRDefault="009B37A9">
            <w:pPr>
              <w:spacing w:before="38" w:after="114" w:line="213" w:lineRule="exact"/>
              <w:jc w:val="right"/>
              <w:textAlignment w:val="baseline"/>
              <w:rPr>
                <w:rFonts w:ascii="Tahoma" w:eastAsia="Tahoma" w:hAnsi="Tahoma"/>
                <w:color w:val="000000"/>
                <w:sz w:val="19"/>
              </w:rPr>
            </w:pPr>
            <w:r>
              <w:rPr>
                <w:rFonts w:ascii="Tahoma" w:eastAsia="Tahoma" w:hAnsi="Tahoma"/>
                <w:color w:val="000000"/>
                <w:sz w:val="19"/>
              </w:rPr>
              <w:t>•</w:t>
            </w:r>
          </w:p>
        </w:tc>
        <w:tc>
          <w:tcPr>
            <w:tcW w:w="6987" w:type="dxa"/>
            <w:tcBorders>
              <w:top w:val="none" w:sz="0" w:space="0" w:color="020000"/>
              <w:left w:val="none" w:sz="0" w:space="0" w:color="020000"/>
              <w:bottom w:val="none" w:sz="0" w:space="0" w:color="020000"/>
              <w:right w:val="none" w:sz="0" w:space="0" w:color="020000"/>
            </w:tcBorders>
            <w:vAlign w:val="center"/>
          </w:tcPr>
          <w:p w14:paraId="7DD0BD7A" w14:textId="77777777" w:rsidR="00D8670B" w:rsidRDefault="009B37A9">
            <w:pPr>
              <w:spacing w:before="51" w:after="109" w:line="205" w:lineRule="exact"/>
              <w:ind w:left="150"/>
              <w:textAlignment w:val="baseline"/>
              <w:rPr>
                <w:rFonts w:ascii="Arial" w:eastAsia="Arial" w:hAnsi="Arial"/>
                <w:color w:val="000000"/>
                <w:sz w:val="18"/>
              </w:rPr>
            </w:pPr>
            <w:r>
              <w:rPr>
                <w:rFonts w:ascii="Arial" w:eastAsia="Arial" w:hAnsi="Arial"/>
                <w:color w:val="000000"/>
                <w:sz w:val="18"/>
              </w:rPr>
              <w:t>Upper Condamine Water Supply Scheme (zones 2-4)</w:t>
            </w:r>
          </w:p>
        </w:tc>
      </w:tr>
      <w:tr w:rsidR="00D8670B" w14:paraId="4EDB4C33" w14:textId="77777777">
        <w:tblPrEx>
          <w:tblCellMar>
            <w:top w:w="0" w:type="dxa"/>
            <w:bottom w:w="0" w:type="dxa"/>
          </w:tblCellMar>
        </w:tblPrEx>
        <w:trPr>
          <w:trHeight w:hRule="exact" w:val="403"/>
        </w:trPr>
        <w:tc>
          <w:tcPr>
            <w:tcW w:w="1253" w:type="dxa"/>
            <w:tcBorders>
              <w:top w:val="none" w:sz="0" w:space="0" w:color="020000"/>
              <w:left w:val="none" w:sz="0" w:space="0" w:color="020000"/>
              <w:bottom w:val="none" w:sz="0" w:space="0" w:color="020000"/>
              <w:right w:val="none" w:sz="0" w:space="0" w:color="020000"/>
            </w:tcBorders>
          </w:tcPr>
          <w:p w14:paraId="00370378"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604" w:type="dxa"/>
            <w:tcBorders>
              <w:top w:val="none" w:sz="0" w:space="0" w:color="020000"/>
              <w:left w:val="none" w:sz="0" w:space="0" w:color="020000"/>
              <w:bottom w:val="none" w:sz="0" w:space="0" w:color="020000"/>
              <w:right w:val="none" w:sz="0" w:space="0" w:color="020000"/>
            </w:tcBorders>
            <w:vAlign w:val="center"/>
          </w:tcPr>
          <w:p w14:paraId="598CB283" w14:textId="77777777" w:rsidR="00D8670B" w:rsidRDefault="009B37A9">
            <w:pPr>
              <w:spacing w:before="127" w:after="66" w:line="205" w:lineRule="exact"/>
              <w:ind w:left="140"/>
              <w:textAlignment w:val="baseline"/>
              <w:rPr>
                <w:rFonts w:ascii="Arial" w:eastAsia="Arial" w:hAnsi="Arial"/>
                <w:color w:val="000000"/>
                <w:sz w:val="18"/>
              </w:rPr>
            </w:pPr>
            <w:r>
              <w:rPr>
                <w:rFonts w:ascii="Arial" w:eastAsia="Arial" w:hAnsi="Arial"/>
                <w:color w:val="000000"/>
                <w:sz w:val="18"/>
              </w:rPr>
              <w:t>Unsupplemented</w:t>
            </w:r>
          </w:p>
        </w:tc>
        <w:tc>
          <w:tcPr>
            <w:tcW w:w="436" w:type="dxa"/>
            <w:tcBorders>
              <w:top w:val="none" w:sz="0" w:space="0" w:color="020000"/>
              <w:left w:val="none" w:sz="0" w:space="0" w:color="020000"/>
              <w:bottom w:val="none" w:sz="0" w:space="0" w:color="020000"/>
              <w:right w:val="none" w:sz="0" w:space="0" w:color="020000"/>
            </w:tcBorders>
            <w:vAlign w:val="center"/>
          </w:tcPr>
          <w:p w14:paraId="05A933F8" w14:textId="77777777" w:rsidR="00D8670B" w:rsidRDefault="009B37A9">
            <w:pPr>
              <w:spacing w:before="129" w:after="56" w:line="213" w:lineRule="exact"/>
              <w:jc w:val="right"/>
              <w:textAlignment w:val="baseline"/>
              <w:rPr>
                <w:rFonts w:ascii="Tahoma" w:eastAsia="Tahoma" w:hAnsi="Tahoma"/>
                <w:color w:val="000000"/>
                <w:sz w:val="19"/>
              </w:rPr>
            </w:pPr>
            <w:r>
              <w:rPr>
                <w:rFonts w:ascii="Tahoma" w:eastAsia="Tahoma" w:hAnsi="Tahoma"/>
                <w:color w:val="000000"/>
                <w:sz w:val="19"/>
              </w:rPr>
              <w:t>•</w:t>
            </w:r>
          </w:p>
        </w:tc>
        <w:tc>
          <w:tcPr>
            <w:tcW w:w="6987" w:type="dxa"/>
            <w:tcBorders>
              <w:top w:val="none" w:sz="0" w:space="0" w:color="020000"/>
              <w:left w:val="none" w:sz="0" w:space="0" w:color="020000"/>
              <w:bottom w:val="none" w:sz="0" w:space="0" w:color="020000"/>
              <w:right w:val="none" w:sz="0" w:space="0" w:color="020000"/>
            </w:tcBorders>
            <w:vAlign w:val="center"/>
          </w:tcPr>
          <w:p w14:paraId="473B73EE" w14:textId="77777777" w:rsidR="00D8670B" w:rsidRDefault="009B37A9">
            <w:pPr>
              <w:spacing w:before="142" w:after="51" w:line="205" w:lineRule="exact"/>
              <w:ind w:left="150"/>
              <w:textAlignment w:val="baseline"/>
              <w:rPr>
                <w:rFonts w:ascii="Arial" w:eastAsia="Arial" w:hAnsi="Arial"/>
                <w:color w:val="000000"/>
                <w:sz w:val="18"/>
              </w:rPr>
            </w:pPr>
            <w:r>
              <w:rPr>
                <w:rFonts w:ascii="Arial" w:eastAsia="Arial" w:hAnsi="Arial"/>
                <w:color w:val="000000"/>
                <w:sz w:val="18"/>
              </w:rPr>
              <w:t>Condamine and Balonne Water Management Area (zones 1-9)</w:t>
            </w:r>
          </w:p>
        </w:tc>
      </w:tr>
      <w:tr w:rsidR="00D8670B" w14:paraId="09CE65AC" w14:textId="77777777">
        <w:tblPrEx>
          <w:tblCellMar>
            <w:top w:w="0" w:type="dxa"/>
            <w:bottom w:w="0" w:type="dxa"/>
          </w:tblCellMar>
        </w:tblPrEx>
        <w:trPr>
          <w:trHeight w:hRule="exact" w:val="336"/>
        </w:trPr>
        <w:tc>
          <w:tcPr>
            <w:tcW w:w="1253" w:type="dxa"/>
            <w:tcBorders>
              <w:top w:val="none" w:sz="0" w:space="0" w:color="020000"/>
              <w:left w:val="none" w:sz="0" w:space="0" w:color="020000"/>
              <w:bottom w:val="none" w:sz="0" w:space="0" w:color="020000"/>
              <w:right w:val="none" w:sz="0" w:space="0" w:color="020000"/>
            </w:tcBorders>
          </w:tcPr>
          <w:p w14:paraId="4E071918"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604" w:type="dxa"/>
            <w:tcBorders>
              <w:top w:val="none" w:sz="0" w:space="0" w:color="020000"/>
              <w:left w:val="none" w:sz="0" w:space="0" w:color="020000"/>
              <w:bottom w:val="none" w:sz="0" w:space="0" w:color="020000"/>
              <w:right w:val="none" w:sz="0" w:space="0" w:color="020000"/>
            </w:tcBorders>
          </w:tcPr>
          <w:p w14:paraId="015A7C06"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436" w:type="dxa"/>
            <w:tcBorders>
              <w:top w:val="none" w:sz="0" w:space="0" w:color="020000"/>
              <w:left w:val="none" w:sz="0" w:space="0" w:color="020000"/>
              <w:bottom w:val="none" w:sz="0" w:space="0" w:color="020000"/>
              <w:right w:val="none" w:sz="0" w:space="0" w:color="020000"/>
            </w:tcBorders>
            <w:vAlign w:val="center"/>
          </w:tcPr>
          <w:p w14:paraId="07549E8B" w14:textId="77777777" w:rsidR="00D8670B" w:rsidRDefault="009B37A9">
            <w:pPr>
              <w:spacing w:before="62" w:after="52" w:line="213" w:lineRule="exact"/>
              <w:jc w:val="right"/>
              <w:textAlignment w:val="baseline"/>
              <w:rPr>
                <w:rFonts w:ascii="Tahoma" w:eastAsia="Tahoma" w:hAnsi="Tahoma"/>
                <w:color w:val="000000"/>
                <w:sz w:val="19"/>
              </w:rPr>
            </w:pPr>
            <w:r>
              <w:rPr>
                <w:rFonts w:ascii="Tahoma" w:eastAsia="Tahoma" w:hAnsi="Tahoma"/>
                <w:color w:val="000000"/>
                <w:sz w:val="19"/>
              </w:rPr>
              <w:t>•</w:t>
            </w:r>
          </w:p>
        </w:tc>
        <w:tc>
          <w:tcPr>
            <w:tcW w:w="6987" w:type="dxa"/>
            <w:tcBorders>
              <w:top w:val="none" w:sz="0" w:space="0" w:color="020000"/>
              <w:left w:val="none" w:sz="0" w:space="0" w:color="020000"/>
              <w:bottom w:val="none" w:sz="0" w:space="0" w:color="020000"/>
              <w:right w:val="none" w:sz="0" w:space="0" w:color="020000"/>
            </w:tcBorders>
            <w:vAlign w:val="center"/>
          </w:tcPr>
          <w:p w14:paraId="5452DBFD" w14:textId="77777777" w:rsidR="00D8670B" w:rsidRDefault="009B37A9">
            <w:pPr>
              <w:spacing w:before="75" w:after="47" w:line="205" w:lineRule="exact"/>
              <w:ind w:left="150"/>
              <w:textAlignment w:val="baseline"/>
              <w:rPr>
                <w:rFonts w:ascii="Arial" w:eastAsia="Arial" w:hAnsi="Arial"/>
                <w:color w:val="000000"/>
                <w:sz w:val="18"/>
              </w:rPr>
            </w:pPr>
            <w:r>
              <w:rPr>
                <w:rFonts w:ascii="Arial" w:eastAsia="Arial" w:hAnsi="Arial"/>
                <w:color w:val="000000"/>
                <w:sz w:val="18"/>
              </w:rPr>
              <w:t>Lower Balonne Water Management Area (zones 1-10)</w:t>
            </w:r>
          </w:p>
        </w:tc>
      </w:tr>
      <w:tr w:rsidR="00D8670B" w14:paraId="5A3022F2" w14:textId="77777777">
        <w:tblPrEx>
          <w:tblCellMar>
            <w:top w:w="0" w:type="dxa"/>
            <w:bottom w:w="0" w:type="dxa"/>
          </w:tblCellMar>
        </w:tblPrEx>
        <w:trPr>
          <w:trHeight w:hRule="exact" w:val="399"/>
        </w:trPr>
        <w:tc>
          <w:tcPr>
            <w:tcW w:w="1253" w:type="dxa"/>
            <w:tcBorders>
              <w:top w:val="none" w:sz="0" w:space="0" w:color="020000"/>
              <w:left w:val="none" w:sz="0" w:space="0" w:color="020000"/>
              <w:bottom w:val="none" w:sz="0" w:space="0" w:color="020000"/>
              <w:right w:val="none" w:sz="0" w:space="0" w:color="020000"/>
            </w:tcBorders>
          </w:tcPr>
          <w:p w14:paraId="4E1F30BB"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604" w:type="dxa"/>
            <w:tcBorders>
              <w:top w:val="none" w:sz="0" w:space="0" w:color="020000"/>
              <w:left w:val="none" w:sz="0" w:space="0" w:color="020000"/>
              <w:bottom w:val="none" w:sz="0" w:space="0" w:color="020000"/>
              <w:right w:val="none" w:sz="0" w:space="0" w:color="020000"/>
            </w:tcBorders>
          </w:tcPr>
          <w:p w14:paraId="1D9D4715"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436" w:type="dxa"/>
            <w:tcBorders>
              <w:top w:val="none" w:sz="0" w:space="0" w:color="020000"/>
              <w:left w:val="none" w:sz="0" w:space="0" w:color="020000"/>
              <w:bottom w:val="none" w:sz="0" w:space="0" w:color="020000"/>
              <w:right w:val="none" w:sz="0" w:space="0" w:color="020000"/>
            </w:tcBorders>
            <w:vAlign w:val="center"/>
          </w:tcPr>
          <w:p w14:paraId="35BCBF9B" w14:textId="77777777" w:rsidR="00D8670B" w:rsidRDefault="009B37A9">
            <w:pPr>
              <w:spacing w:before="67" w:after="114" w:line="213" w:lineRule="exact"/>
              <w:jc w:val="right"/>
              <w:textAlignment w:val="baseline"/>
              <w:rPr>
                <w:rFonts w:ascii="Tahoma" w:eastAsia="Tahoma" w:hAnsi="Tahoma"/>
                <w:color w:val="000000"/>
                <w:sz w:val="19"/>
              </w:rPr>
            </w:pPr>
            <w:r>
              <w:rPr>
                <w:rFonts w:ascii="Tahoma" w:eastAsia="Tahoma" w:hAnsi="Tahoma"/>
                <w:color w:val="000000"/>
                <w:sz w:val="19"/>
              </w:rPr>
              <w:t>•</w:t>
            </w:r>
          </w:p>
        </w:tc>
        <w:tc>
          <w:tcPr>
            <w:tcW w:w="6987" w:type="dxa"/>
            <w:tcBorders>
              <w:top w:val="none" w:sz="0" w:space="0" w:color="020000"/>
              <w:left w:val="none" w:sz="0" w:space="0" w:color="020000"/>
              <w:bottom w:val="none" w:sz="0" w:space="0" w:color="020000"/>
              <w:right w:val="none" w:sz="0" w:space="0" w:color="020000"/>
            </w:tcBorders>
            <w:vAlign w:val="center"/>
          </w:tcPr>
          <w:p w14:paraId="250F6205" w14:textId="77777777" w:rsidR="00D8670B" w:rsidRDefault="009B37A9">
            <w:pPr>
              <w:spacing w:before="80" w:after="109" w:line="205" w:lineRule="exact"/>
              <w:ind w:left="150"/>
              <w:textAlignment w:val="baseline"/>
              <w:rPr>
                <w:rFonts w:ascii="Arial" w:eastAsia="Arial" w:hAnsi="Arial"/>
                <w:color w:val="000000"/>
                <w:sz w:val="18"/>
              </w:rPr>
            </w:pPr>
            <w:r>
              <w:rPr>
                <w:rFonts w:ascii="Arial" w:eastAsia="Arial" w:hAnsi="Arial"/>
                <w:color w:val="000000"/>
                <w:sz w:val="18"/>
              </w:rPr>
              <w:t>Upper Condamine Water Management Area (zones 5-16)</w:t>
            </w:r>
          </w:p>
        </w:tc>
      </w:tr>
      <w:tr w:rsidR="00D8670B" w14:paraId="7509BF44" w14:textId="77777777">
        <w:tblPrEx>
          <w:tblCellMar>
            <w:top w:w="0" w:type="dxa"/>
            <w:bottom w:w="0" w:type="dxa"/>
          </w:tblCellMar>
        </w:tblPrEx>
        <w:trPr>
          <w:trHeight w:hRule="exact" w:val="456"/>
        </w:trPr>
        <w:tc>
          <w:tcPr>
            <w:tcW w:w="1253" w:type="dxa"/>
            <w:tcBorders>
              <w:top w:val="none" w:sz="0" w:space="0" w:color="020000"/>
              <w:left w:val="none" w:sz="0" w:space="0" w:color="020000"/>
              <w:bottom w:val="none" w:sz="0" w:space="0" w:color="020000"/>
              <w:right w:val="none" w:sz="0" w:space="0" w:color="020000"/>
            </w:tcBorders>
          </w:tcPr>
          <w:p w14:paraId="03B9828C"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604" w:type="dxa"/>
            <w:tcBorders>
              <w:top w:val="none" w:sz="0" w:space="0" w:color="020000"/>
              <w:left w:val="none" w:sz="0" w:space="0" w:color="020000"/>
              <w:bottom w:val="none" w:sz="0" w:space="0" w:color="020000"/>
              <w:right w:val="none" w:sz="0" w:space="0" w:color="020000"/>
            </w:tcBorders>
            <w:vAlign w:val="center"/>
          </w:tcPr>
          <w:p w14:paraId="7ED1E629" w14:textId="77777777" w:rsidR="00D8670B" w:rsidRDefault="009B37A9">
            <w:pPr>
              <w:spacing w:before="127" w:after="124" w:line="205" w:lineRule="exact"/>
              <w:ind w:left="140"/>
              <w:textAlignment w:val="baseline"/>
              <w:rPr>
                <w:rFonts w:ascii="Arial" w:eastAsia="Arial" w:hAnsi="Arial"/>
                <w:color w:val="000000"/>
                <w:sz w:val="18"/>
              </w:rPr>
            </w:pPr>
            <w:r>
              <w:rPr>
                <w:rFonts w:ascii="Arial" w:eastAsia="Arial" w:hAnsi="Arial"/>
                <w:color w:val="000000"/>
                <w:sz w:val="18"/>
              </w:rPr>
              <w:t>Overland flow</w:t>
            </w:r>
          </w:p>
        </w:tc>
        <w:tc>
          <w:tcPr>
            <w:tcW w:w="436" w:type="dxa"/>
            <w:tcBorders>
              <w:top w:val="none" w:sz="0" w:space="0" w:color="020000"/>
              <w:left w:val="none" w:sz="0" w:space="0" w:color="020000"/>
              <w:bottom w:val="none" w:sz="0" w:space="0" w:color="020000"/>
              <w:right w:val="none" w:sz="0" w:space="0" w:color="020000"/>
            </w:tcBorders>
            <w:vAlign w:val="center"/>
          </w:tcPr>
          <w:p w14:paraId="5577A0AA" w14:textId="77777777" w:rsidR="00D8670B" w:rsidRDefault="009B37A9">
            <w:pPr>
              <w:spacing w:before="128" w:after="115" w:line="213" w:lineRule="exact"/>
              <w:jc w:val="right"/>
              <w:textAlignment w:val="baseline"/>
              <w:rPr>
                <w:rFonts w:ascii="Tahoma" w:eastAsia="Tahoma" w:hAnsi="Tahoma"/>
                <w:color w:val="000000"/>
                <w:sz w:val="19"/>
              </w:rPr>
            </w:pPr>
            <w:r>
              <w:rPr>
                <w:rFonts w:ascii="Tahoma" w:eastAsia="Tahoma" w:hAnsi="Tahoma"/>
                <w:color w:val="000000"/>
                <w:sz w:val="19"/>
              </w:rPr>
              <w:t>•</w:t>
            </w:r>
          </w:p>
        </w:tc>
        <w:tc>
          <w:tcPr>
            <w:tcW w:w="6987" w:type="dxa"/>
            <w:tcBorders>
              <w:top w:val="none" w:sz="0" w:space="0" w:color="020000"/>
              <w:left w:val="none" w:sz="0" w:space="0" w:color="020000"/>
              <w:bottom w:val="none" w:sz="0" w:space="0" w:color="020000"/>
              <w:right w:val="none" w:sz="0" w:space="0" w:color="020000"/>
            </w:tcBorders>
            <w:vAlign w:val="center"/>
          </w:tcPr>
          <w:p w14:paraId="695B77A4" w14:textId="77777777" w:rsidR="00D8670B" w:rsidRDefault="009B37A9">
            <w:pPr>
              <w:spacing w:before="141" w:after="110" w:line="205" w:lineRule="exact"/>
              <w:ind w:left="150"/>
              <w:textAlignment w:val="baseline"/>
              <w:rPr>
                <w:rFonts w:ascii="Arial" w:eastAsia="Arial" w:hAnsi="Arial"/>
                <w:color w:val="000000"/>
                <w:sz w:val="18"/>
              </w:rPr>
            </w:pPr>
            <w:r>
              <w:rPr>
                <w:rFonts w:ascii="Arial" w:eastAsia="Arial" w:hAnsi="Arial"/>
                <w:color w:val="000000"/>
                <w:sz w:val="18"/>
              </w:rPr>
              <w:t>Lower Balonne Water Management Area</w:t>
            </w:r>
          </w:p>
        </w:tc>
      </w:tr>
      <w:tr w:rsidR="00D8670B" w14:paraId="37DD3A8C" w14:textId="77777777">
        <w:tblPrEx>
          <w:tblCellMar>
            <w:top w:w="0" w:type="dxa"/>
            <w:bottom w:w="0" w:type="dxa"/>
          </w:tblCellMar>
        </w:tblPrEx>
        <w:trPr>
          <w:trHeight w:hRule="exact" w:val="326"/>
        </w:trPr>
        <w:tc>
          <w:tcPr>
            <w:tcW w:w="1253" w:type="dxa"/>
            <w:tcBorders>
              <w:top w:val="none" w:sz="0" w:space="0" w:color="020000"/>
              <w:left w:val="none" w:sz="0" w:space="0" w:color="020000"/>
              <w:bottom w:val="none" w:sz="0" w:space="0" w:color="020000"/>
              <w:right w:val="none" w:sz="0" w:space="0" w:color="020000"/>
            </w:tcBorders>
            <w:shd w:val="clear" w:color="EAF4FB" w:fill="EAF4FB"/>
            <w:vAlign w:val="center"/>
          </w:tcPr>
          <w:p w14:paraId="11FB9B1A" w14:textId="77777777" w:rsidR="00D8670B" w:rsidRDefault="009B37A9">
            <w:pPr>
              <w:spacing w:before="127" w:line="189" w:lineRule="exact"/>
              <w:ind w:left="150"/>
              <w:textAlignment w:val="baseline"/>
              <w:rPr>
                <w:rFonts w:ascii="Arial" w:eastAsia="Arial" w:hAnsi="Arial"/>
                <w:b/>
                <w:color w:val="15568B"/>
                <w:sz w:val="18"/>
              </w:rPr>
            </w:pPr>
            <w:r>
              <w:rPr>
                <w:rFonts w:ascii="Arial" w:eastAsia="Arial" w:hAnsi="Arial"/>
                <w:b/>
                <w:color w:val="15568B"/>
                <w:sz w:val="18"/>
              </w:rPr>
              <w:t>Border</w:t>
            </w:r>
          </w:p>
        </w:tc>
        <w:tc>
          <w:tcPr>
            <w:tcW w:w="1604" w:type="dxa"/>
            <w:tcBorders>
              <w:top w:val="none" w:sz="0" w:space="0" w:color="020000"/>
              <w:left w:val="none" w:sz="0" w:space="0" w:color="020000"/>
              <w:bottom w:val="none" w:sz="0" w:space="0" w:color="020000"/>
              <w:right w:val="none" w:sz="0" w:space="0" w:color="020000"/>
            </w:tcBorders>
            <w:shd w:val="clear" w:color="EAF4FB" w:fill="EAF4FB"/>
            <w:vAlign w:val="center"/>
          </w:tcPr>
          <w:p w14:paraId="7C79F09C" w14:textId="77777777" w:rsidR="00D8670B" w:rsidRDefault="009B37A9">
            <w:pPr>
              <w:spacing w:before="132" w:line="184" w:lineRule="exact"/>
              <w:ind w:left="140"/>
              <w:textAlignment w:val="baseline"/>
              <w:rPr>
                <w:rFonts w:ascii="Arial" w:eastAsia="Arial" w:hAnsi="Arial"/>
                <w:color w:val="000000"/>
                <w:sz w:val="18"/>
              </w:rPr>
            </w:pPr>
            <w:r>
              <w:rPr>
                <w:rFonts w:ascii="Arial" w:eastAsia="Arial" w:hAnsi="Arial"/>
                <w:color w:val="000000"/>
                <w:sz w:val="18"/>
              </w:rPr>
              <w:t>Supplemented</w:t>
            </w:r>
          </w:p>
        </w:tc>
        <w:tc>
          <w:tcPr>
            <w:tcW w:w="436" w:type="dxa"/>
            <w:tcBorders>
              <w:top w:val="none" w:sz="0" w:space="0" w:color="020000"/>
              <w:left w:val="none" w:sz="0" w:space="0" w:color="020000"/>
              <w:bottom w:val="none" w:sz="0" w:space="0" w:color="020000"/>
              <w:right w:val="none" w:sz="0" w:space="0" w:color="020000"/>
            </w:tcBorders>
            <w:shd w:val="clear" w:color="EAF4FB" w:fill="EAF4FB"/>
            <w:vAlign w:val="center"/>
          </w:tcPr>
          <w:p w14:paraId="6D108B67" w14:textId="77777777" w:rsidR="00D8670B" w:rsidRDefault="009B37A9">
            <w:pPr>
              <w:spacing w:before="128" w:line="188" w:lineRule="exact"/>
              <w:jc w:val="right"/>
              <w:textAlignment w:val="baseline"/>
              <w:rPr>
                <w:rFonts w:ascii="Tahoma" w:eastAsia="Tahoma" w:hAnsi="Tahoma"/>
                <w:color w:val="000000"/>
                <w:sz w:val="19"/>
              </w:rPr>
            </w:pPr>
            <w:r>
              <w:rPr>
                <w:rFonts w:ascii="Tahoma" w:eastAsia="Tahoma" w:hAnsi="Tahoma"/>
                <w:color w:val="000000"/>
                <w:sz w:val="19"/>
              </w:rPr>
              <w:t>•</w:t>
            </w:r>
          </w:p>
        </w:tc>
        <w:tc>
          <w:tcPr>
            <w:tcW w:w="6987" w:type="dxa"/>
            <w:tcBorders>
              <w:top w:val="none" w:sz="0" w:space="0" w:color="020000"/>
              <w:left w:val="none" w:sz="0" w:space="0" w:color="020000"/>
              <w:bottom w:val="none" w:sz="0" w:space="0" w:color="020000"/>
              <w:right w:val="none" w:sz="0" w:space="0" w:color="020000"/>
            </w:tcBorders>
            <w:shd w:val="clear" w:color="EAF4FB" w:fill="EAF4FB"/>
          </w:tcPr>
          <w:p w14:paraId="2EC0DCA4" w14:textId="77777777" w:rsidR="00D8670B" w:rsidRDefault="009B37A9">
            <w:pPr>
              <w:spacing w:before="141" w:line="175" w:lineRule="exact"/>
              <w:ind w:left="150"/>
              <w:textAlignment w:val="baseline"/>
              <w:rPr>
                <w:rFonts w:ascii="Arial" w:eastAsia="Arial" w:hAnsi="Arial"/>
                <w:color w:val="000000"/>
                <w:sz w:val="18"/>
              </w:rPr>
            </w:pPr>
            <w:r>
              <w:rPr>
                <w:rFonts w:ascii="Arial" w:eastAsia="Arial" w:hAnsi="Arial"/>
                <w:color w:val="000000"/>
                <w:sz w:val="18"/>
              </w:rPr>
              <w:t>Border Rivers Water Supply Scheme (zones A-B)</w:t>
            </w:r>
          </w:p>
        </w:tc>
      </w:tr>
      <w:tr w:rsidR="00D8670B" w14:paraId="1018A39D" w14:textId="77777777">
        <w:tblPrEx>
          <w:tblCellMar>
            <w:top w:w="0" w:type="dxa"/>
            <w:bottom w:w="0" w:type="dxa"/>
          </w:tblCellMar>
        </w:tblPrEx>
        <w:trPr>
          <w:trHeight w:hRule="exact" w:val="230"/>
        </w:trPr>
        <w:tc>
          <w:tcPr>
            <w:tcW w:w="1253" w:type="dxa"/>
            <w:tcBorders>
              <w:top w:val="none" w:sz="0" w:space="0" w:color="020000"/>
              <w:left w:val="none" w:sz="0" w:space="0" w:color="020000"/>
              <w:bottom w:val="none" w:sz="0" w:space="0" w:color="020000"/>
              <w:right w:val="none" w:sz="0" w:space="0" w:color="020000"/>
            </w:tcBorders>
            <w:shd w:val="clear" w:color="EAF4FB" w:fill="EAF4FB"/>
            <w:vAlign w:val="center"/>
          </w:tcPr>
          <w:p w14:paraId="3D1BE4D3" w14:textId="77777777" w:rsidR="00D8670B" w:rsidRDefault="009B37A9">
            <w:pPr>
              <w:spacing w:after="9" w:line="205" w:lineRule="exact"/>
              <w:ind w:left="150"/>
              <w:textAlignment w:val="baseline"/>
              <w:rPr>
                <w:rFonts w:ascii="Arial" w:eastAsia="Arial" w:hAnsi="Arial"/>
                <w:b/>
                <w:color w:val="15568B"/>
                <w:sz w:val="18"/>
              </w:rPr>
            </w:pPr>
            <w:r>
              <w:rPr>
                <w:rFonts w:ascii="Arial" w:eastAsia="Arial" w:hAnsi="Arial"/>
                <w:b/>
                <w:color w:val="15568B"/>
                <w:sz w:val="18"/>
              </w:rPr>
              <w:t>Rivers</w:t>
            </w:r>
          </w:p>
        </w:tc>
        <w:tc>
          <w:tcPr>
            <w:tcW w:w="1604" w:type="dxa"/>
            <w:tcBorders>
              <w:top w:val="none" w:sz="0" w:space="0" w:color="020000"/>
              <w:left w:val="none" w:sz="0" w:space="0" w:color="020000"/>
              <w:bottom w:val="none" w:sz="0" w:space="0" w:color="020000"/>
              <w:right w:val="none" w:sz="0" w:space="0" w:color="020000"/>
            </w:tcBorders>
            <w:shd w:val="clear" w:color="EAF4FB" w:fill="EAF4FB"/>
          </w:tcPr>
          <w:p w14:paraId="722655EE"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436" w:type="dxa"/>
            <w:tcBorders>
              <w:top w:val="none" w:sz="0" w:space="0" w:color="020000"/>
              <w:left w:val="none" w:sz="0" w:space="0" w:color="020000"/>
              <w:bottom w:val="none" w:sz="0" w:space="0" w:color="020000"/>
              <w:right w:val="none" w:sz="0" w:space="0" w:color="020000"/>
            </w:tcBorders>
            <w:shd w:val="clear" w:color="EAF4FB" w:fill="EAF4FB"/>
          </w:tcPr>
          <w:p w14:paraId="43BB7F26"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6987" w:type="dxa"/>
            <w:tcBorders>
              <w:top w:val="none" w:sz="0" w:space="0" w:color="020000"/>
              <w:left w:val="none" w:sz="0" w:space="0" w:color="020000"/>
              <w:bottom w:val="none" w:sz="0" w:space="0" w:color="020000"/>
              <w:right w:val="none" w:sz="0" w:space="0" w:color="020000"/>
            </w:tcBorders>
            <w:shd w:val="clear" w:color="EAF4FB" w:fill="EAF4FB"/>
          </w:tcPr>
          <w:p w14:paraId="0B09C008"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r>
      <w:tr w:rsidR="00D8670B" w14:paraId="60324A31" w14:textId="77777777">
        <w:tblPrEx>
          <w:tblCellMar>
            <w:top w:w="0" w:type="dxa"/>
            <w:bottom w:w="0" w:type="dxa"/>
          </w:tblCellMar>
        </w:tblPrEx>
        <w:trPr>
          <w:trHeight w:hRule="exact" w:val="308"/>
        </w:trPr>
        <w:tc>
          <w:tcPr>
            <w:tcW w:w="1253" w:type="dxa"/>
            <w:tcBorders>
              <w:top w:val="none" w:sz="0" w:space="0" w:color="020000"/>
              <w:left w:val="none" w:sz="0" w:space="0" w:color="020000"/>
              <w:bottom w:val="none" w:sz="0" w:space="0" w:color="020000"/>
              <w:right w:val="none" w:sz="0" w:space="0" w:color="020000"/>
            </w:tcBorders>
            <w:shd w:val="clear" w:color="EAF4FB" w:fill="EAF4FB"/>
          </w:tcPr>
          <w:p w14:paraId="1C497410"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604" w:type="dxa"/>
            <w:tcBorders>
              <w:top w:val="none" w:sz="0" w:space="0" w:color="020000"/>
              <w:left w:val="none" w:sz="0" w:space="0" w:color="020000"/>
              <w:bottom w:val="none" w:sz="0" w:space="0" w:color="020000"/>
              <w:right w:val="none" w:sz="0" w:space="0" w:color="020000"/>
            </w:tcBorders>
            <w:shd w:val="clear" w:color="EAF4FB" w:fill="EAF4FB"/>
            <w:vAlign w:val="center"/>
          </w:tcPr>
          <w:p w14:paraId="48F63BDD" w14:textId="77777777" w:rsidR="00D8670B" w:rsidRDefault="009B37A9">
            <w:pPr>
              <w:spacing w:before="32" w:after="71" w:line="205" w:lineRule="exact"/>
              <w:ind w:left="140"/>
              <w:textAlignment w:val="baseline"/>
              <w:rPr>
                <w:rFonts w:ascii="Arial" w:eastAsia="Arial" w:hAnsi="Arial"/>
                <w:color w:val="000000"/>
                <w:sz w:val="18"/>
              </w:rPr>
            </w:pPr>
            <w:r>
              <w:rPr>
                <w:rFonts w:ascii="Arial" w:eastAsia="Arial" w:hAnsi="Arial"/>
                <w:color w:val="000000"/>
                <w:sz w:val="18"/>
              </w:rPr>
              <w:t>Unsupplemented</w:t>
            </w:r>
          </w:p>
        </w:tc>
        <w:tc>
          <w:tcPr>
            <w:tcW w:w="436" w:type="dxa"/>
            <w:tcBorders>
              <w:top w:val="none" w:sz="0" w:space="0" w:color="020000"/>
              <w:left w:val="none" w:sz="0" w:space="0" w:color="020000"/>
              <w:bottom w:val="none" w:sz="0" w:space="0" w:color="020000"/>
              <w:right w:val="none" w:sz="0" w:space="0" w:color="020000"/>
            </w:tcBorders>
            <w:shd w:val="clear" w:color="EAF4FB" w:fill="EAF4FB"/>
            <w:vAlign w:val="center"/>
          </w:tcPr>
          <w:p w14:paraId="29637403" w14:textId="77777777" w:rsidR="00D8670B" w:rsidRDefault="009B37A9">
            <w:pPr>
              <w:spacing w:before="33" w:after="62" w:line="213" w:lineRule="exact"/>
              <w:jc w:val="right"/>
              <w:textAlignment w:val="baseline"/>
              <w:rPr>
                <w:rFonts w:ascii="Tahoma" w:eastAsia="Tahoma" w:hAnsi="Tahoma"/>
                <w:color w:val="000000"/>
                <w:sz w:val="19"/>
              </w:rPr>
            </w:pPr>
            <w:r>
              <w:rPr>
                <w:rFonts w:ascii="Tahoma" w:eastAsia="Tahoma" w:hAnsi="Tahoma"/>
                <w:color w:val="000000"/>
                <w:sz w:val="19"/>
              </w:rPr>
              <w:t>•</w:t>
            </w:r>
          </w:p>
        </w:tc>
        <w:tc>
          <w:tcPr>
            <w:tcW w:w="6987" w:type="dxa"/>
            <w:tcBorders>
              <w:top w:val="none" w:sz="0" w:space="0" w:color="020000"/>
              <w:left w:val="none" w:sz="0" w:space="0" w:color="020000"/>
              <w:bottom w:val="none" w:sz="0" w:space="0" w:color="020000"/>
              <w:right w:val="none" w:sz="0" w:space="0" w:color="020000"/>
            </w:tcBorders>
            <w:shd w:val="clear" w:color="EAF4FB" w:fill="EAF4FB"/>
            <w:vAlign w:val="center"/>
          </w:tcPr>
          <w:p w14:paraId="6766720D" w14:textId="77777777" w:rsidR="00D8670B" w:rsidRDefault="009B37A9">
            <w:pPr>
              <w:spacing w:before="46" w:after="57" w:line="205" w:lineRule="exact"/>
              <w:ind w:left="150"/>
              <w:textAlignment w:val="baseline"/>
              <w:rPr>
                <w:rFonts w:ascii="Arial" w:eastAsia="Arial" w:hAnsi="Arial"/>
                <w:color w:val="000000"/>
                <w:sz w:val="18"/>
              </w:rPr>
            </w:pPr>
            <w:r>
              <w:rPr>
                <w:rFonts w:ascii="Arial" w:eastAsia="Arial" w:hAnsi="Arial"/>
                <w:color w:val="000000"/>
                <w:sz w:val="18"/>
              </w:rPr>
              <w:t>Border Rivers Water Management Area (Dumaresq, Macintyre and Barwon zones)</w:t>
            </w:r>
          </w:p>
        </w:tc>
      </w:tr>
      <w:tr w:rsidR="00D8670B" w14:paraId="0A72B1CF" w14:textId="77777777">
        <w:tblPrEx>
          <w:tblCellMar>
            <w:top w:w="0" w:type="dxa"/>
            <w:bottom w:w="0" w:type="dxa"/>
          </w:tblCellMar>
        </w:tblPrEx>
        <w:trPr>
          <w:trHeight w:hRule="exact" w:val="336"/>
        </w:trPr>
        <w:tc>
          <w:tcPr>
            <w:tcW w:w="1253" w:type="dxa"/>
            <w:tcBorders>
              <w:top w:val="none" w:sz="0" w:space="0" w:color="020000"/>
              <w:left w:val="none" w:sz="0" w:space="0" w:color="020000"/>
              <w:bottom w:val="none" w:sz="0" w:space="0" w:color="020000"/>
              <w:right w:val="none" w:sz="0" w:space="0" w:color="020000"/>
            </w:tcBorders>
            <w:shd w:val="clear" w:color="EAF4FB" w:fill="EAF4FB"/>
          </w:tcPr>
          <w:p w14:paraId="0455221B"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604" w:type="dxa"/>
            <w:tcBorders>
              <w:top w:val="none" w:sz="0" w:space="0" w:color="020000"/>
              <w:left w:val="none" w:sz="0" w:space="0" w:color="020000"/>
              <w:bottom w:val="none" w:sz="0" w:space="0" w:color="020000"/>
              <w:right w:val="none" w:sz="0" w:space="0" w:color="020000"/>
            </w:tcBorders>
            <w:shd w:val="clear" w:color="EAF4FB" w:fill="EAF4FB"/>
          </w:tcPr>
          <w:p w14:paraId="510A134A"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436" w:type="dxa"/>
            <w:tcBorders>
              <w:top w:val="none" w:sz="0" w:space="0" w:color="020000"/>
              <w:left w:val="none" w:sz="0" w:space="0" w:color="020000"/>
              <w:bottom w:val="none" w:sz="0" w:space="0" w:color="020000"/>
              <w:right w:val="none" w:sz="0" w:space="0" w:color="020000"/>
            </w:tcBorders>
            <w:shd w:val="clear" w:color="EAF4FB" w:fill="EAF4FB"/>
            <w:vAlign w:val="center"/>
          </w:tcPr>
          <w:p w14:paraId="0A92E18B" w14:textId="77777777" w:rsidR="00D8670B" w:rsidRDefault="009B37A9">
            <w:pPr>
              <w:spacing w:before="61" w:after="57" w:line="213" w:lineRule="exact"/>
              <w:jc w:val="right"/>
              <w:textAlignment w:val="baseline"/>
              <w:rPr>
                <w:rFonts w:ascii="Tahoma" w:eastAsia="Tahoma" w:hAnsi="Tahoma"/>
                <w:color w:val="000000"/>
                <w:sz w:val="19"/>
              </w:rPr>
            </w:pPr>
            <w:r>
              <w:rPr>
                <w:rFonts w:ascii="Tahoma" w:eastAsia="Tahoma" w:hAnsi="Tahoma"/>
                <w:color w:val="000000"/>
                <w:sz w:val="19"/>
              </w:rPr>
              <w:t>•</w:t>
            </w:r>
          </w:p>
        </w:tc>
        <w:tc>
          <w:tcPr>
            <w:tcW w:w="6987" w:type="dxa"/>
            <w:tcBorders>
              <w:top w:val="none" w:sz="0" w:space="0" w:color="020000"/>
              <w:left w:val="none" w:sz="0" w:space="0" w:color="020000"/>
              <w:bottom w:val="none" w:sz="0" w:space="0" w:color="020000"/>
              <w:right w:val="none" w:sz="0" w:space="0" w:color="020000"/>
            </w:tcBorders>
            <w:shd w:val="clear" w:color="EAF4FB" w:fill="EAF4FB"/>
            <w:vAlign w:val="center"/>
          </w:tcPr>
          <w:p w14:paraId="3FE334F0" w14:textId="77777777" w:rsidR="00D8670B" w:rsidRDefault="009B37A9">
            <w:pPr>
              <w:spacing w:before="74" w:after="52" w:line="205" w:lineRule="exact"/>
              <w:ind w:left="150"/>
              <w:textAlignment w:val="baseline"/>
              <w:rPr>
                <w:rFonts w:ascii="Arial" w:eastAsia="Arial" w:hAnsi="Arial"/>
                <w:color w:val="000000"/>
                <w:sz w:val="18"/>
              </w:rPr>
            </w:pPr>
            <w:r>
              <w:rPr>
                <w:rFonts w:ascii="Arial" w:eastAsia="Arial" w:hAnsi="Arial"/>
                <w:color w:val="000000"/>
                <w:sz w:val="18"/>
              </w:rPr>
              <w:t>Upper Weir Water Management Area (classes UW2A, UW2B and UW2C)</w:t>
            </w:r>
          </w:p>
        </w:tc>
      </w:tr>
      <w:tr w:rsidR="00D8670B" w14:paraId="4BA0474A" w14:textId="77777777">
        <w:tblPrEx>
          <w:tblCellMar>
            <w:top w:w="0" w:type="dxa"/>
            <w:bottom w:w="0" w:type="dxa"/>
          </w:tblCellMar>
        </w:tblPrEx>
        <w:trPr>
          <w:trHeight w:hRule="exact" w:val="403"/>
        </w:trPr>
        <w:tc>
          <w:tcPr>
            <w:tcW w:w="1253" w:type="dxa"/>
            <w:tcBorders>
              <w:top w:val="none" w:sz="0" w:space="0" w:color="020000"/>
              <w:left w:val="none" w:sz="0" w:space="0" w:color="020000"/>
              <w:bottom w:val="none" w:sz="0" w:space="0" w:color="020000"/>
              <w:right w:val="none" w:sz="0" w:space="0" w:color="020000"/>
            </w:tcBorders>
            <w:shd w:val="clear" w:color="EAF4FB" w:fill="EAF4FB"/>
          </w:tcPr>
          <w:p w14:paraId="6D1C04C6"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604" w:type="dxa"/>
            <w:tcBorders>
              <w:top w:val="none" w:sz="0" w:space="0" w:color="020000"/>
              <w:left w:val="none" w:sz="0" w:space="0" w:color="020000"/>
              <w:bottom w:val="none" w:sz="0" w:space="0" w:color="020000"/>
              <w:right w:val="none" w:sz="0" w:space="0" w:color="020000"/>
            </w:tcBorders>
            <w:shd w:val="clear" w:color="EAF4FB" w:fill="EAF4FB"/>
          </w:tcPr>
          <w:p w14:paraId="66F01112"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436" w:type="dxa"/>
            <w:tcBorders>
              <w:top w:val="none" w:sz="0" w:space="0" w:color="020000"/>
              <w:left w:val="none" w:sz="0" w:space="0" w:color="020000"/>
              <w:bottom w:val="none" w:sz="0" w:space="0" w:color="020000"/>
              <w:right w:val="none" w:sz="0" w:space="0" w:color="020000"/>
            </w:tcBorders>
            <w:shd w:val="clear" w:color="EAF4FB" w:fill="EAF4FB"/>
            <w:vAlign w:val="center"/>
          </w:tcPr>
          <w:p w14:paraId="22CBC42B" w14:textId="77777777" w:rsidR="00D8670B" w:rsidRDefault="009B37A9">
            <w:pPr>
              <w:spacing w:before="66" w:after="119" w:line="213" w:lineRule="exact"/>
              <w:jc w:val="right"/>
              <w:textAlignment w:val="baseline"/>
              <w:rPr>
                <w:rFonts w:ascii="Tahoma" w:eastAsia="Tahoma" w:hAnsi="Tahoma"/>
                <w:color w:val="000000"/>
                <w:sz w:val="19"/>
              </w:rPr>
            </w:pPr>
            <w:r>
              <w:rPr>
                <w:rFonts w:ascii="Tahoma" w:eastAsia="Tahoma" w:hAnsi="Tahoma"/>
                <w:color w:val="000000"/>
                <w:sz w:val="19"/>
              </w:rPr>
              <w:t>•</w:t>
            </w:r>
          </w:p>
        </w:tc>
        <w:tc>
          <w:tcPr>
            <w:tcW w:w="6987" w:type="dxa"/>
            <w:tcBorders>
              <w:top w:val="none" w:sz="0" w:space="0" w:color="020000"/>
              <w:left w:val="none" w:sz="0" w:space="0" w:color="020000"/>
              <w:bottom w:val="none" w:sz="0" w:space="0" w:color="020000"/>
              <w:right w:val="none" w:sz="0" w:space="0" w:color="020000"/>
            </w:tcBorders>
            <w:shd w:val="clear" w:color="EAF4FB" w:fill="EAF4FB"/>
            <w:vAlign w:val="center"/>
          </w:tcPr>
          <w:p w14:paraId="7E317D49" w14:textId="77777777" w:rsidR="00D8670B" w:rsidRDefault="009B37A9">
            <w:pPr>
              <w:spacing w:before="79" w:after="114" w:line="205" w:lineRule="exact"/>
              <w:ind w:left="150"/>
              <w:textAlignment w:val="baseline"/>
              <w:rPr>
                <w:rFonts w:ascii="Arial" w:eastAsia="Arial" w:hAnsi="Arial"/>
                <w:color w:val="000000"/>
                <w:sz w:val="18"/>
              </w:rPr>
            </w:pPr>
            <w:r>
              <w:rPr>
                <w:rFonts w:ascii="Arial" w:eastAsia="Arial" w:hAnsi="Arial"/>
                <w:color w:val="000000"/>
                <w:sz w:val="18"/>
              </w:rPr>
              <w:t>Lower Weir Water Management Area</w:t>
            </w:r>
          </w:p>
        </w:tc>
      </w:tr>
    </w:tbl>
    <w:p w14:paraId="5EDBBFC4" w14:textId="77777777" w:rsidR="00D8670B" w:rsidRDefault="00D8670B">
      <w:pPr>
        <w:spacing w:after="533" w:line="20" w:lineRule="exact"/>
      </w:pPr>
    </w:p>
    <w:p w14:paraId="2F58B2E6" w14:textId="77777777" w:rsidR="00D8670B" w:rsidRDefault="009B37A9">
      <w:pPr>
        <w:spacing w:before="164" w:line="228" w:lineRule="exact"/>
        <w:jc w:val="center"/>
        <w:textAlignment w:val="baseline"/>
        <w:rPr>
          <w:rFonts w:ascii="Arial" w:eastAsia="Arial" w:hAnsi="Arial"/>
          <w:color w:val="000000"/>
          <w:spacing w:val="35"/>
          <w:sz w:val="20"/>
        </w:rPr>
      </w:pPr>
      <w:r>
        <w:pict w14:anchorId="21349373">
          <v:line id="_x0000_s1150" style="position:absolute;left:0;text-align:left;z-index:251683840;mso-position-horizontal-relative:page;mso-position-vertical-relative:page" from="40.75pt,789.1pt" to="554.8pt,789.1pt" strokeweight="1.7pt">
            <w10:wrap anchorx="page" anchory="page"/>
          </v:line>
        </w:pict>
      </w:r>
      <w:r>
        <w:rPr>
          <w:rFonts w:ascii="Arial" w:eastAsia="Arial" w:hAnsi="Arial"/>
          <w:color w:val="000000"/>
          <w:spacing w:val="35"/>
          <w:sz w:val="20"/>
        </w:rPr>
        <w:t>10</w:t>
      </w:r>
    </w:p>
    <w:p w14:paraId="78D3DC38" w14:textId="77777777" w:rsidR="00D8670B" w:rsidRDefault="00D8670B">
      <w:pPr>
        <w:sectPr w:rsidR="00D8670B">
          <w:pgSz w:w="11909" w:h="16838"/>
          <w:pgMar w:top="1140" w:right="814" w:bottom="282" w:left="815" w:header="720" w:footer="720" w:gutter="0"/>
          <w:cols w:space="720"/>
        </w:sectPr>
      </w:pPr>
    </w:p>
    <w:p w14:paraId="72B45929" w14:textId="77777777" w:rsidR="00D8670B" w:rsidRDefault="009B37A9">
      <w:pPr>
        <w:tabs>
          <w:tab w:val="left" w:pos="1368"/>
        </w:tabs>
        <w:spacing w:before="32" w:after="113" w:line="219" w:lineRule="exact"/>
        <w:ind w:left="144"/>
        <w:textAlignment w:val="baseline"/>
        <w:rPr>
          <w:rFonts w:ascii="Arial" w:eastAsia="Arial" w:hAnsi="Arial"/>
          <w:b/>
          <w:color w:val="15568B"/>
          <w:spacing w:val="7"/>
          <w:sz w:val="18"/>
        </w:rPr>
      </w:pPr>
      <w:r>
        <w:rPr>
          <w:rFonts w:ascii="Arial" w:eastAsia="Arial" w:hAnsi="Arial"/>
          <w:b/>
          <w:color w:val="15568B"/>
          <w:spacing w:val="7"/>
          <w:sz w:val="18"/>
        </w:rPr>
        <w:lastRenderedPageBreak/>
        <w:t>Moonie</w:t>
      </w:r>
      <w:r>
        <w:rPr>
          <w:rFonts w:ascii="Arial" w:eastAsia="Arial" w:hAnsi="Arial"/>
          <w:color w:val="000000"/>
          <w:spacing w:val="7"/>
          <w:sz w:val="18"/>
        </w:rPr>
        <w:tab/>
        <w:t xml:space="preserve">Unsupplemented </w:t>
      </w:r>
      <w:r>
        <w:rPr>
          <w:rFonts w:ascii="Tahoma" w:eastAsia="Tahoma" w:hAnsi="Tahoma"/>
          <w:color w:val="000000"/>
          <w:spacing w:val="7"/>
          <w:sz w:val="19"/>
        </w:rPr>
        <w:t xml:space="preserve">• </w:t>
      </w:r>
      <w:r>
        <w:rPr>
          <w:rFonts w:ascii="Arial" w:eastAsia="Arial" w:hAnsi="Arial"/>
          <w:color w:val="000000"/>
          <w:spacing w:val="7"/>
          <w:sz w:val="18"/>
        </w:rPr>
        <w:t>Moonie Water Management Area (zones A-D)</w:t>
      </w:r>
    </w:p>
    <w:p w14:paraId="0BCD6DD0" w14:textId="77777777" w:rsidR="00D8670B" w:rsidRDefault="009B37A9">
      <w:pPr>
        <w:shd w:val="solid" w:color="EAF4FB" w:fill="EAF4FB"/>
        <w:tabs>
          <w:tab w:val="left" w:pos="1368"/>
        </w:tabs>
        <w:spacing w:after="586" w:line="219" w:lineRule="exact"/>
        <w:ind w:left="144"/>
        <w:textAlignment w:val="baseline"/>
        <w:rPr>
          <w:rFonts w:ascii="Arial" w:eastAsia="Arial" w:hAnsi="Arial"/>
          <w:b/>
          <w:color w:val="15568B"/>
          <w:spacing w:val="7"/>
          <w:sz w:val="18"/>
        </w:rPr>
      </w:pPr>
      <w:r>
        <w:rPr>
          <w:rFonts w:ascii="Arial" w:eastAsia="Arial" w:hAnsi="Arial"/>
          <w:b/>
          <w:color w:val="15568B"/>
          <w:spacing w:val="7"/>
          <w:sz w:val="18"/>
        </w:rPr>
        <w:t>Warrego</w:t>
      </w:r>
      <w:r>
        <w:rPr>
          <w:rFonts w:ascii="Arial" w:eastAsia="Arial" w:hAnsi="Arial"/>
          <w:color w:val="000000"/>
          <w:spacing w:val="7"/>
          <w:sz w:val="18"/>
        </w:rPr>
        <w:tab/>
        <w:t xml:space="preserve">Unsupplemented </w:t>
      </w:r>
      <w:r>
        <w:rPr>
          <w:rFonts w:ascii="Tahoma" w:eastAsia="Tahoma" w:hAnsi="Tahoma"/>
          <w:color w:val="000000"/>
          <w:spacing w:val="7"/>
          <w:sz w:val="19"/>
        </w:rPr>
        <w:t xml:space="preserve">• </w:t>
      </w:r>
      <w:r>
        <w:rPr>
          <w:rFonts w:ascii="Arial" w:eastAsia="Arial" w:hAnsi="Arial"/>
          <w:color w:val="000000"/>
          <w:spacing w:val="7"/>
          <w:sz w:val="18"/>
        </w:rPr>
        <w:t>Lower Warrego Water Management Area (zones A-D)</w:t>
      </w:r>
    </w:p>
    <w:p w14:paraId="62FA7809" w14:textId="77777777" w:rsidR="00D8670B" w:rsidRDefault="009B37A9">
      <w:pPr>
        <w:spacing w:line="229" w:lineRule="exact"/>
        <w:ind w:right="72"/>
        <w:textAlignment w:val="baseline"/>
        <w:rPr>
          <w:rFonts w:ascii="Arial" w:eastAsia="Arial" w:hAnsi="Arial"/>
          <w:color w:val="000000"/>
          <w:sz w:val="20"/>
        </w:rPr>
      </w:pPr>
      <w:r>
        <w:rPr>
          <w:rFonts w:ascii="Arial" w:eastAsia="Arial" w:hAnsi="Arial"/>
          <w:color w:val="000000"/>
          <w:sz w:val="20"/>
        </w:rPr>
        <w:t>Irrigators participating in the HHWUE program were required to own the land or water related to the project, or have documented consent of the</w:t>
      </w:r>
      <w:r>
        <w:rPr>
          <w:rFonts w:ascii="Arial" w:eastAsia="Arial" w:hAnsi="Arial"/>
          <w:color w:val="000000"/>
          <w:sz w:val="20"/>
        </w:rPr>
        <w:t xml:space="preserve"> owners. Irrigators could offer water from a different location within the same water management zone to the land on which works were proposed. In round 12, irrigators were also able to offer “dislocated” water (i.e. water from a different zone within the </w:t>
      </w:r>
      <w:r>
        <w:rPr>
          <w:rFonts w:ascii="Arial" w:eastAsia="Arial" w:hAnsi="Arial"/>
          <w:color w:val="000000"/>
          <w:sz w:val="20"/>
        </w:rPr>
        <w:t>same catchment to the land on which works were proposed). This flexibility enabled irrigators with multiple properties in the same catchment to align their projects better to their farm-level business priorities.</w:t>
      </w:r>
    </w:p>
    <w:p w14:paraId="3DDBE94E" w14:textId="77777777" w:rsidR="00D8670B" w:rsidRDefault="009B37A9">
      <w:pPr>
        <w:spacing w:before="122" w:after="450" w:line="230" w:lineRule="exact"/>
        <w:ind w:right="72"/>
        <w:textAlignment w:val="baseline"/>
        <w:rPr>
          <w:rFonts w:ascii="Arial" w:eastAsia="Arial" w:hAnsi="Arial"/>
          <w:color w:val="000000"/>
          <w:sz w:val="20"/>
        </w:rPr>
      </w:pPr>
      <w:r>
        <w:rPr>
          <w:rFonts w:ascii="Arial" w:eastAsia="Arial" w:hAnsi="Arial"/>
          <w:color w:val="000000"/>
          <w:sz w:val="20"/>
        </w:rPr>
        <w:t>From round four, “cross border” projects be</w:t>
      </w:r>
      <w:r>
        <w:rPr>
          <w:rFonts w:ascii="Arial" w:eastAsia="Arial" w:hAnsi="Arial"/>
          <w:color w:val="000000"/>
          <w:sz w:val="20"/>
        </w:rPr>
        <w:t>came eligible, offering flexibility for irrigators who owned property on the Macintyre and Dumaresq Rivers on either side of the Queensland and New South Wales border to participate. Cross border projects were required to offer Queensland water allocations</w:t>
      </w:r>
      <w:r>
        <w:rPr>
          <w:rFonts w:ascii="Arial" w:eastAsia="Arial" w:hAnsi="Arial"/>
          <w:color w:val="000000"/>
          <w:sz w:val="20"/>
        </w:rPr>
        <w:t>, however works could occur on adjacent land in the Border Rivers region of New South Wales.</w:t>
      </w:r>
    </w:p>
    <w:p w14:paraId="38922EBA" w14:textId="77777777" w:rsidR="00D8670B" w:rsidRDefault="009B37A9">
      <w:pPr>
        <w:spacing w:after="85" w:line="230" w:lineRule="exact"/>
        <w:textAlignment w:val="baseline"/>
        <w:rPr>
          <w:rFonts w:ascii="Arial" w:eastAsia="Arial" w:hAnsi="Arial"/>
          <w:color w:val="000000"/>
          <w:spacing w:val="-1"/>
          <w:sz w:val="20"/>
        </w:rPr>
      </w:pPr>
      <w:r>
        <w:pict w14:anchorId="790976B2">
          <v:shape id="_x0000_s1149" type="#_x0000_t202" style="position:absolute;margin-left:40.75pt;margin-top:270.5pt;width:514pt;height:186.95pt;z-index:-251723776;mso-wrap-distance-left:0;mso-wrap-distance-right:0;mso-wrap-distance-bottom:23.6pt;mso-position-horizontal-relative:page;mso-position-vertical-relative:page" fillcolor="#eaf4fb" stroked="f">
            <v:textbox inset="0,0,0,0">
              <w:txbxContent>
                <w:p w14:paraId="6AE70DA9" w14:textId="77777777" w:rsidR="00000000" w:rsidRDefault="009B37A9"/>
              </w:txbxContent>
            </v:textbox>
            <w10:wrap type="square" anchorx="page" anchory="page"/>
          </v:shape>
        </w:pict>
      </w:r>
      <w:r>
        <w:pict w14:anchorId="7B1B7549">
          <v:shape id="_x0000_s1148" type="#_x0000_t202" style="position:absolute;margin-left:40.75pt;margin-top:270.5pt;width:514pt;height:186.95pt;z-index:-251722752;mso-wrap-distance-left:0;mso-wrap-distance-right:0;mso-position-horizontal-relative:page;mso-position-vertical-relative:page" filled="f" stroked="f">
            <v:textbox inset="0,0,0,0">
              <w:txbxContent>
                <w:p w14:paraId="5B8D078F" w14:textId="77777777" w:rsidR="00D8670B" w:rsidRDefault="009B37A9">
                  <w:pPr>
                    <w:spacing w:before="127" w:line="205" w:lineRule="exact"/>
                    <w:ind w:left="144"/>
                    <w:textAlignment w:val="baseline"/>
                    <w:rPr>
                      <w:rFonts w:ascii="Arial" w:eastAsia="Arial" w:hAnsi="Arial"/>
                      <w:b/>
                      <w:color w:val="15568B"/>
                      <w:sz w:val="18"/>
                    </w:rPr>
                  </w:pPr>
                  <w:r>
                    <w:rPr>
                      <w:rFonts w:ascii="Arial" w:eastAsia="Arial" w:hAnsi="Arial"/>
                      <w:b/>
                      <w:color w:val="15568B"/>
                      <w:sz w:val="18"/>
                    </w:rPr>
                    <w:t>Water management in Queensland</w:t>
                  </w:r>
                </w:p>
                <w:p w14:paraId="4C67CF44" w14:textId="77777777" w:rsidR="00D8670B" w:rsidRDefault="009B37A9">
                  <w:pPr>
                    <w:spacing w:before="246" w:line="206" w:lineRule="exact"/>
                    <w:ind w:left="144" w:right="360"/>
                    <w:textAlignment w:val="baseline"/>
                    <w:rPr>
                      <w:rFonts w:ascii="Arial" w:eastAsia="Arial" w:hAnsi="Arial"/>
                      <w:color w:val="000000"/>
                      <w:sz w:val="18"/>
                    </w:rPr>
                  </w:pPr>
                  <w:r>
                    <w:rPr>
                      <w:rFonts w:ascii="Arial" w:eastAsia="Arial" w:hAnsi="Arial"/>
                      <w:color w:val="000000"/>
                      <w:sz w:val="18"/>
                    </w:rPr>
                    <w:t>In Queensland, water is managed in catchments (e.g. Condamine and Balonne, Border Rivers), each of which is defined under a statutory Water Plan. The Water Plan establishes overarching measures, outcomes and performance indicators, in addition to amounts o</w:t>
                  </w:r>
                  <w:r>
                    <w:rPr>
                      <w:rFonts w:ascii="Arial" w:eastAsia="Arial" w:hAnsi="Arial"/>
                      <w:color w:val="000000"/>
                      <w:sz w:val="18"/>
                    </w:rPr>
                    <w:t>f water available for use and criteria for making licencing decisions.</w:t>
                  </w:r>
                </w:p>
                <w:p w14:paraId="45874722" w14:textId="77777777" w:rsidR="00D8670B" w:rsidRDefault="009B37A9">
                  <w:pPr>
                    <w:spacing w:before="120" w:line="206" w:lineRule="exact"/>
                    <w:ind w:left="144" w:right="144"/>
                    <w:jc w:val="both"/>
                    <w:textAlignment w:val="baseline"/>
                    <w:rPr>
                      <w:rFonts w:ascii="Arial" w:eastAsia="Arial" w:hAnsi="Arial"/>
                      <w:color w:val="000000"/>
                      <w:sz w:val="18"/>
                    </w:rPr>
                  </w:pPr>
                  <w:r>
                    <w:rPr>
                      <w:rFonts w:ascii="Arial" w:eastAsia="Arial" w:hAnsi="Arial"/>
                      <w:color w:val="000000"/>
                      <w:sz w:val="18"/>
                    </w:rPr>
                    <w:t>The Water Plan breaks each catchment into “water management areas” each of which has its own specifications. Each water management area is further broken down into local zones.</w:t>
                  </w:r>
                </w:p>
                <w:p w14:paraId="71C0BE9D" w14:textId="77777777" w:rsidR="00D8670B" w:rsidRDefault="009B37A9">
                  <w:pPr>
                    <w:spacing w:before="122" w:line="205" w:lineRule="exact"/>
                    <w:ind w:left="144"/>
                    <w:textAlignment w:val="baseline"/>
                    <w:rPr>
                      <w:rFonts w:ascii="Arial" w:eastAsia="Arial" w:hAnsi="Arial"/>
                      <w:color w:val="000000"/>
                      <w:sz w:val="18"/>
                    </w:rPr>
                  </w:pPr>
                  <w:r>
                    <w:rPr>
                      <w:rFonts w:ascii="Arial" w:eastAsia="Arial" w:hAnsi="Arial"/>
                      <w:color w:val="000000"/>
                      <w:sz w:val="18"/>
                    </w:rPr>
                    <w:t>Water is</w:t>
                  </w:r>
                  <w:r>
                    <w:rPr>
                      <w:rFonts w:ascii="Arial" w:eastAsia="Arial" w:hAnsi="Arial"/>
                      <w:color w:val="000000"/>
                      <w:sz w:val="18"/>
                    </w:rPr>
                    <w:t xml:space="preserve"> generally classified as:</w:t>
                  </w:r>
                </w:p>
                <w:p w14:paraId="0A5D7005" w14:textId="77777777" w:rsidR="00D8670B" w:rsidRDefault="009B37A9">
                  <w:pPr>
                    <w:numPr>
                      <w:ilvl w:val="0"/>
                      <w:numId w:val="2"/>
                    </w:numPr>
                    <w:tabs>
                      <w:tab w:val="clear" w:pos="360"/>
                      <w:tab w:val="left" w:pos="864"/>
                    </w:tabs>
                    <w:spacing w:before="135" w:line="206" w:lineRule="exact"/>
                    <w:ind w:left="864" w:right="1512" w:hanging="360"/>
                    <w:textAlignment w:val="baseline"/>
                    <w:rPr>
                      <w:rFonts w:ascii="Arial" w:eastAsia="Arial" w:hAnsi="Arial"/>
                      <w:color w:val="000000"/>
                      <w:sz w:val="18"/>
                    </w:rPr>
                  </w:pPr>
                  <w:r>
                    <w:rPr>
                      <w:rFonts w:ascii="Arial" w:eastAsia="Arial" w:hAnsi="Arial"/>
                      <w:color w:val="000000"/>
                      <w:sz w:val="18"/>
                    </w:rPr>
                    <w:t>Supplemented – surface (i.e. river) water supplied by releasing water from centrally managed dams or weirs</w:t>
                  </w:r>
                </w:p>
                <w:p w14:paraId="3D9F2158" w14:textId="77777777" w:rsidR="00D8670B" w:rsidRDefault="009B37A9">
                  <w:pPr>
                    <w:numPr>
                      <w:ilvl w:val="0"/>
                      <w:numId w:val="2"/>
                    </w:numPr>
                    <w:tabs>
                      <w:tab w:val="clear" w:pos="360"/>
                      <w:tab w:val="left" w:pos="864"/>
                    </w:tabs>
                    <w:spacing w:before="118" w:line="223" w:lineRule="exact"/>
                    <w:ind w:left="864" w:hanging="360"/>
                    <w:textAlignment w:val="baseline"/>
                    <w:rPr>
                      <w:rFonts w:ascii="Arial" w:eastAsia="Arial" w:hAnsi="Arial"/>
                      <w:color w:val="000000"/>
                      <w:sz w:val="18"/>
                    </w:rPr>
                  </w:pPr>
                  <w:r>
                    <w:rPr>
                      <w:rFonts w:ascii="Arial" w:eastAsia="Arial" w:hAnsi="Arial"/>
                      <w:color w:val="000000"/>
                      <w:sz w:val="18"/>
                    </w:rPr>
                    <w:t>Unsupplemented – surface water supplied by natural river flows</w:t>
                  </w:r>
                </w:p>
                <w:p w14:paraId="1CCF0948" w14:textId="77777777" w:rsidR="00D8670B" w:rsidRDefault="009B37A9">
                  <w:pPr>
                    <w:numPr>
                      <w:ilvl w:val="0"/>
                      <w:numId w:val="2"/>
                    </w:numPr>
                    <w:tabs>
                      <w:tab w:val="clear" w:pos="360"/>
                      <w:tab w:val="left" w:pos="864"/>
                    </w:tabs>
                    <w:spacing w:before="118" w:line="223" w:lineRule="exact"/>
                    <w:ind w:left="864" w:hanging="360"/>
                    <w:textAlignment w:val="baseline"/>
                    <w:rPr>
                      <w:rFonts w:ascii="Arial" w:eastAsia="Arial" w:hAnsi="Arial"/>
                      <w:color w:val="000000"/>
                      <w:sz w:val="18"/>
                    </w:rPr>
                  </w:pPr>
                  <w:r>
                    <w:rPr>
                      <w:rFonts w:ascii="Arial" w:eastAsia="Arial" w:hAnsi="Arial"/>
                      <w:color w:val="000000"/>
                      <w:sz w:val="18"/>
                    </w:rPr>
                    <w:t>Overland flow – water that runs across land after rainfall</w:t>
                  </w:r>
                </w:p>
                <w:p w14:paraId="4DA3E09A" w14:textId="77777777" w:rsidR="00D8670B" w:rsidRDefault="009B37A9">
                  <w:pPr>
                    <w:numPr>
                      <w:ilvl w:val="0"/>
                      <w:numId w:val="2"/>
                    </w:numPr>
                    <w:tabs>
                      <w:tab w:val="clear" w:pos="360"/>
                      <w:tab w:val="left" w:pos="864"/>
                    </w:tabs>
                    <w:spacing w:before="113" w:after="114" w:line="223" w:lineRule="exact"/>
                    <w:ind w:left="864" w:hanging="360"/>
                    <w:textAlignment w:val="baseline"/>
                    <w:rPr>
                      <w:rFonts w:ascii="Arial" w:eastAsia="Arial" w:hAnsi="Arial"/>
                      <w:color w:val="000000"/>
                      <w:sz w:val="18"/>
                    </w:rPr>
                  </w:pPr>
                  <w:r>
                    <w:rPr>
                      <w:rFonts w:ascii="Arial" w:eastAsia="Arial" w:hAnsi="Arial"/>
                      <w:color w:val="000000"/>
                      <w:sz w:val="18"/>
                    </w:rPr>
                    <w:t>Groundwater – water from underground aquifers such as the Great Artesian Basin.</w:t>
                  </w:r>
                </w:p>
              </w:txbxContent>
            </v:textbox>
            <w10:wrap type="square" anchorx="page" anchory="page"/>
          </v:shape>
        </w:pict>
      </w:r>
      <w:r>
        <w:pict w14:anchorId="676F5DA4">
          <v:shape id="_x0000_s1147" type="#_x0000_t202" style="position:absolute;margin-left:460.8pt;margin-top:390pt;width:87.6pt;height:61.45pt;z-index:-251721728;mso-wrap-distance-left:0;mso-wrap-distance-right:0;mso-position-horizontal-relative:page;mso-position-vertical-relative:page" stroked="f">
            <v:textbox inset="0,0,0,0">
              <w:txbxContent>
                <w:p w14:paraId="60FD6C55" w14:textId="77777777" w:rsidR="00D8670B" w:rsidRDefault="009B37A9">
                  <w:pPr>
                    <w:textAlignment w:val="baseline"/>
                  </w:pPr>
                  <w:r>
                    <w:rPr>
                      <w:noProof/>
                    </w:rPr>
                    <w:drawing>
                      <wp:inline distT="0" distB="0" distL="0" distR="0" wp14:anchorId="3225EEA4" wp14:editId="7440E224">
                        <wp:extent cx="1112520" cy="78041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3"/>
                                <a:stretch>
                                  <a:fillRect/>
                                </a:stretch>
                              </pic:blipFill>
                              <pic:spPr>
                                <a:xfrm>
                                  <a:off x="0" y="0"/>
                                  <a:ext cx="1112520" cy="780415"/>
                                </a:xfrm>
                                <a:prstGeom prst="rect">
                                  <a:avLst/>
                                </a:prstGeom>
                              </pic:spPr>
                            </pic:pic>
                          </a:graphicData>
                        </a:graphic>
                      </wp:inline>
                    </w:drawing>
                  </w:r>
                </w:p>
              </w:txbxContent>
            </v:textbox>
            <w10:wrap anchorx="page" anchory="page"/>
          </v:shape>
        </w:pict>
      </w:r>
      <w:r>
        <w:rPr>
          <w:rFonts w:ascii="Arial" w:eastAsia="Arial" w:hAnsi="Arial"/>
          <w:color w:val="000000"/>
          <w:spacing w:val="-1"/>
          <w:sz w:val="20"/>
        </w:rPr>
        <w:t>Eligible projects were to:</w:t>
      </w:r>
    </w:p>
    <w:p w14:paraId="5B1763CB" w14:textId="77777777" w:rsidR="00D8670B" w:rsidRDefault="009B37A9">
      <w:pPr>
        <w:spacing w:after="116"/>
        <w:ind w:left="30" w:right="41"/>
        <w:textAlignment w:val="baseline"/>
      </w:pPr>
      <w:r>
        <w:rPr>
          <w:noProof/>
        </w:rPr>
        <w:drawing>
          <wp:inline distT="0" distB="0" distL="0" distR="0" wp14:anchorId="36683A9D" wp14:editId="304D1181">
            <wp:extent cx="6482715" cy="136271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4"/>
                    <a:stretch>
                      <a:fillRect/>
                    </a:stretch>
                  </pic:blipFill>
                  <pic:spPr>
                    <a:xfrm>
                      <a:off x="0" y="0"/>
                      <a:ext cx="6482715" cy="1362710"/>
                    </a:xfrm>
                    <a:prstGeom prst="rect">
                      <a:avLst/>
                    </a:prstGeom>
                  </pic:spPr>
                </pic:pic>
              </a:graphicData>
            </a:graphic>
          </wp:inline>
        </w:drawing>
      </w:r>
    </w:p>
    <w:p w14:paraId="2B5C54DD" w14:textId="77777777" w:rsidR="00D8670B" w:rsidRDefault="009B37A9">
      <w:pPr>
        <w:spacing w:line="229" w:lineRule="exact"/>
        <w:ind w:right="216"/>
        <w:textAlignment w:val="baseline"/>
        <w:rPr>
          <w:rFonts w:ascii="Arial" w:eastAsia="Arial" w:hAnsi="Arial"/>
          <w:color w:val="000000"/>
          <w:sz w:val="20"/>
        </w:rPr>
      </w:pPr>
      <w:r>
        <w:rPr>
          <w:rFonts w:ascii="Arial" w:eastAsia="Arial" w:hAnsi="Arial"/>
          <w:color w:val="000000"/>
          <w:sz w:val="20"/>
        </w:rPr>
        <w:t>While the minimum irrigator contribution was 50 per cent of the water savings and 10 per cent of the total project cost, many irrigators chose</w:t>
      </w:r>
      <w:r>
        <w:rPr>
          <w:rFonts w:ascii="Arial" w:eastAsia="Arial" w:hAnsi="Arial"/>
          <w:color w:val="000000"/>
          <w:sz w:val="20"/>
        </w:rPr>
        <w:t xml:space="preserve"> to offer a higher contribution to improve the “value for money” of their applications. From round five, irrigators were able to offer additional water in lieu of a “cash” irrigator contribution. The Queensland and Australian governments developed this opt</w:t>
      </w:r>
      <w:r>
        <w:rPr>
          <w:rFonts w:ascii="Arial" w:eastAsia="Arial" w:hAnsi="Arial"/>
          <w:color w:val="000000"/>
          <w:sz w:val="20"/>
        </w:rPr>
        <w:t>ion in response to feedback from irrigators who had a limited cash flow and could not easily make a cash contribution to their projects.</w:t>
      </w:r>
    </w:p>
    <w:p w14:paraId="10306E44" w14:textId="77777777" w:rsidR="00D8670B" w:rsidRDefault="009B37A9">
      <w:pPr>
        <w:spacing w:before="246" w:line="295" w:lineRule="exact"/>
        <w:textAlignment w:val="baseline"/>
        <w:rPr>
          <w:rFonts w:ascii="Arial" w:eastAsia="Arial" w:hAnsi="Arial"/>
          <w:b/>
          <w:color w:val="55532D"/>
          <w:sz w:val="26"/>
        </w:rPr>
      </w:pPr>
      <w:r>
        <w:rPr>
          <w:rFonts w:ascii="Arial" w:eastAsia="Arial" w:hAnsi="Arial"/>
          <w:b/>
          <w:color w:val="55532D"/>
          <w:sz w:val="26"/>
        </w:rPr>
        <w:t>2.1.1.2 Applications</w:t>
      </w:r>
    </w:p>
    <w:p w14:paraId="2D02E139" w14:textId="77777777" w:rsidR="00D8670B" w:rsidRDefault="009B37A9">
      <w:pPr>
        <w:spacing w:before="119" w:after="138" w:line="230" w:lineRule="exact"/>
        <w:ind w:right="72"/>
        <w:textAlignment w:val="baseline"/>
        <w:rPr>
          <w:rFonts w:ascii="Arial" w:eastAsia="Arial" w:hAnsi="Arial"/>
          <w:color w:val="000000"/>
          <w:sz w:val="20"/>
        </w:rPr>
      </w:pPr>
      <w:r>
        <w:rPr>
          <w:rFonts w:ascii="Arial" w:eastAsia="Arial" w:hAnsi="Arial"/>
          <w:color w:val="000000"/>
          <w:sz w:val="20"/>
        </w:rPr>
        <w:t>Irrigators applying for HHWUE funding were required to submit complete applications. Complete applications included the application form and attachments describing the location, works, technical feasibility, methodology of calculating water savings, manage</w:t>
      </w:r>
      <w:r>
        <w:rPr>
          <w:rFonts w:ascii="Arial" w:eastAsia="Arial" w:hAnsi="Arial"/>
          <w:color w:val="000000"/>
          <w:sz w:val="20"/>
        </w:rPr>
        <w:t>ment plan, budget and timeframe. Applications were required to include approval of all landholders and water owners. The irrigator’s qualified irrigation professional signed a certification confirming the project and water savings were feasible and based o</w:t>
      </w:r>
      <w:r>
        <w:rPr>
          <w:rFonts w:ascii="Arial" w:eastAsia="Arial" w:hAnsi="Arial"/>
          <w:color w:val="000000"/>
          <w:sz w:val="20"/>
        </w:rPr>
        <w:t>n sound methodology. Recognised qualifications were Registered Professional Engineer of Queensland, Irrigation Australia Certified Irrigation Designer or Irrigation Australia Certified Irrigation Agronomist.</w:t>
      </w:r>
    </w:p>
    <w:p w14:paraId="62871C39" w14:textId="77777777" w:rsidR="00D8670B" w:rsidRDefault="009B37A9">
      <w:pPr>
        <w:spacing w:before="164" w:line="228" w:lineRule="exact"/>
        <w:jc w:val="center"/>
        <w:textAlignment w:val="baseline"/>
        <w:rPr>
          <w:rFonts w:ascii="Arial" w:eastAsia="Arial" w:hAnsi="Arial"/>
          <w:color w:val="000000"/>
          <w:spacing w:val="25"/>
          <w:sz w:val="20"/>
        </w:rPr>
      </w:pPr>
      <w:r>
        <w:pict w14:anchorId="4E106FC3">
          <v:line id="_x0000_s1146" style="position:absolute;left:0;text-align:left;z-index:251684864;mso-position-horizontal-relative:page;mso-position-vertical-relative:page" from="40.75pt,789.1pt" to="554.8pt,789.1pt" strokeweight="1.7pt">
            <w10:wrap anchorx="page" anchory="page"/>
          </v:line>
        </w:pict>
      </w:r>
      <w:r>
        <w:rPr>
          <w:rFonts w:ascii="Arial" w:eastAsia="Arial" w:hAnsi="Arial"/>
          <w:color w:val="000000"/>
          <w:spacing w:val="25"/>
          <w:sz w:val="20"/>
        </w:rPr>
        <w:t>11</w:t>
      </w:r>
    </w:p>
    <w:p w14:paraId="7452B2B6" w14:textId="77777777" w:rsidR="00D8670B" w:rsidRDefault="00D8670B">
      <w:pPr>
        <w:sectPr w:rsidR="00D8670B">
          <w:pgSz w:w="11909" w:h="16838"/>
          <w:pgMar w:top="1220" w:right="814" w:bottom="282" w:left="815" w:header="720" w:footer="720" w:gutter="0"/>
          <w:cols w:space="720"/>
        </w:sectPr>
      </w:pPr>
    </w:p>
    <w:p w14:paraId="239EE190" w14:textId="77777777" w:rsidR="00D8670B" w:rsidRDefault="009B37A9">
      <w:pPr>
        <w:spacing w:before="5" w:line="299" w:lineRule="exact"/>
        <w:textAlignment w:val="baseline"/>
        <w:rPr>
          <w:rFonts w:ascii="Arial" w:eastAsia="Arial" w:hAnsi="Arial"/>
          <w:b/>
          <w:color w:val="55532D"/>
          <w:sz w:val="26"/>
        </w:rPr>
      </w:pPr>
      <w:r>
        <w:rPr>
          <w:rFonts w:ascii="Arial" w:eastAsia="Arial" w:hAnsi="Arial"/>
          <w:b/>
          <w:color w:val="55532D"/>
          <w:sz w:val="26"/>
        </w:rPr>
        <w:lastRenderedPageBreak/>
        <w:t>2.1.1.3 Closing dates</w:t>
      </w:r>
    </w:p>
    <w:p w14:paraId="21400517" w14:textId="77777777" w:rsidR="00D8670B" w:rsidRDefault="009B37A9">
      <w:pPr>
        <w:spacing w:before="115" w:line="231" w:lineRule="exact"/>
        <w:ind w:right="504"/>
        <w:textAlignment w:val="baseline"/>
        <w:rPr>
          <w:rFonts w:ascii="Arial" w:eastAsia="Arial" w:hAnsi="Arial"/>
          <w:color w:val="000000"/>
          <w:sz w:val="20"/>
        </w:rPr>
      </w:pPr>
      <w:r>
        <w:rPr>
          <w:rFonts w:ascii="Arial" w:eastAsia="Arial" w:hAnsi="Arial"/>
          <w:color w:val="000000"/>
          <w:sz w:val="20"/>
        </w:rPr>
        <w:t>Rounds w</w:t>
      </w:r>
      <w:r>
        <w:rPr>
          <w:rFonts w:ascii="Arial" w:eastAsia="Arial" w:hAnsi="Arial"/>
          <w:color w:val="000000"/>
          <w:sz w:val="20"/>
        </w:rPr>
        <w:t>ere generally open for six months. Prior to applying, irrigators were encouraged to request technical, eligibility or pre-lodgement information (see sections 2.2.1 and 2.2.2).</w:t>
      </w:r>
    </w:p>
    <w:p w14:paraId="30100A8A" w14:textId="77777777" w:rsidR="00D8670B" w:rsidRDefault="009B37A9">
      <w:pPr>
        <w:spacing w:before="119" w:line="231" w:lineRule="exact"/>
        <w:ind w:right="1080"/>
        <w:jc w:val="both"/>
        <w:textAlignment w:val="baseline"/>
        <w:rPr>
          <w:rFonts w:ascii="Arial" w:eastAsia="Arial" w:hAnsi="Arial"/>
          <w:b/>
          <w:color w:val="000000"/>
          <w:sz w:val="19"/>
        </w:rPr>
      </w:pPr>
      <w:r>
        <w:rPr>
          <w:rFonts w:ascii="Arial" w:eastAsia="Arial" w:hAnsi="Arial"/>
          <w:b/>
          <w:color w:val="000000"/>
          <w:sz w:val="19"/>
        </w:rPr>
        <w:t>During rounds three to six, the Queensland Government used a “two step” applicat</w:t>
      </w:r>
      <w:r>
        <w:rPr>
          <w:rFonts w:ascii="Arial" w:eastAsia="Arial" w:hAnsi="Arial"/>
          <w:b/>
          <w:color w:val="000000"/>
          <w:sz w:val="19"/>
        </w:rPr>
        <w:t xml:space="preserve">ion process </w:t>
      </w:r>
      <w:r>
        <w:rPr>
          <w:rFonts w:ascii="Arial" w:eastAsia="Arial" w:hAnsi="Arial"/>
          <w:color w:val="000000"/>
          <w:sz w:val="20"/>
        </w:rPr>
        <w:t>to make applications simpler and more flexible:</w:t>
      </w:r>
    </w:p>
    <w:p w14:paraId="72711909" w14:textId="77777777" w:rsidR="00D8670B" w:rsidRDefault="009B37A9">
      <w:pPr>
        <w:numPr>
          <w:ilvl w:val="0"/>
          <w:numId w:val="1"/>
        </w:numPr>
        <w:tabs>
          <w:tab w:val="clear" w:pos="360"/>
          <w:tab w:val="left" w:pos="792"/>
        </w:tabs>
        <w:spacing w:before="127" w:line="231" w:lineRule="exact"/>
        <w:ind w:left="792" w:right="288" w:hanging="360"/>
        <w:textAlignment w:val="baseline"/>
        <w:rPr>
          <w:rFonts w:ascii="Arial" w:eastAsia="Arial" w:hAnsi="Arial"/>
          <w:color w:val="000000"/>
          <w:sz w:val="20"/>
        </w:rPr>
      </w:pPr>
      <w:r>
        <w:rPr>
          <w:rFonts w:ascii="Arial" w:eastAsia="Arial" w:hAnsi="Arial"/>
          <w:color w:val="000000"/>
          <w:sz w:val="20"/>
        </w:rPr>
        <w:t>Firstly, irrigators submitted expressions of interest outlining their proposed projects and included maps, plans, costings and supporting information. At the end of the application period the Queensland Government assessed expressions of interest received.</w:t>
      </w:r>
      <w:r>
        <w:rPr>
          <w:rFonts w:ascii="Arial" w:eastAsia="Arial" w:hAnsi="Arial"/>
          <w:color w:val="000000"/>
          <w:sz w:val="20"/>
        </w:rPr>
        <w:t xml:space="preserve"> If required, the Queensland Government sought additional information from irrigators during this assessment period</w:t>
      </w:r>
    </w:p>
    <w:p w14:paraId="77DA645A" w14:textId="77777777" w:rsidR="00D8670B" w:rsidRDefault="009B37A9">
      <w:pPr>
        <w:numPr>
          <w:ilvl w:val="0"/>
          <w:numId w:val="1"/>
        </w:numPr>
        <w:tabs>
          <w:tab w:val="clear" w:pos="360"/>
          <w:tab w:val="left" w:pos="792"/>
        </w:tabs>
        <w:spacing w:before="133" w:after="417" w:line="231" w:lineRule="exact"/>
        <w:ind w:left="792" w:right="288" w:hanging="360"/>
        <w:textAlignment w:val="baseline"/>
        <w:rPr>
          <w:rFonts w:ascii="Arial" w:eastAsia="Arial" w:hAnsi="Arial"/>
          <w:color w:val="000000"/>
          <w:sz w:val="20"/>
        </w:rPr>
      </w:pPr>
      <w:r>
        <w:rPr>
          <w:rFonts w:ascii="Arial" w:eastAsia="Arial" w:hAnsi="Arial"/>
          <w:color w:val="000000"/>
          <w:sz w:val="20"/>
        </w:rPr>
        <w:t>Secondly, eligible irrigators were invited to complete their application by submitting a proposal. The proposal identified the amount of fun</w:t>
      </w:r>
      <w:r>
        <w:rPr>
          <w:rFonts w:ascii="Arial" w:eastAsia="Arial" w:hAnsi="Arial"/>
          <w:color w:val="000000"/>
          <w:sz w:val="20"/>
        </w:rPr>
        <w:t>ding requested and water offered, and included the signatures of all land and water owner</w:t>
      </w:r>
      <w:r>
        <w:rPr>
          <w:rFonts w:ascii="Arial" w:eastAsia="Arial" w:hAnsi="Arial"/>
          <w:b/>
          <w:color w:val="000000"/>
          <w:sz w:val="19"/>
        </w:rPr>
        <w:t>s and a certification by the irrigator’s qualified professional.</w:t>
      </w:r>
    </w:p>
    <w:p w14:paraId="1048DB17" w14:textId="77777777" w:rsidR="00D8670B" w:rsidRDefault="009B37A9">
      <w:pPr>
        <w:spacing w:after="141"/>
        <w:ind w:left="30" w:right="89"/>
        <w:textAlignment w:val="baseline"/>
      </w:pPr>
      <w:r>
        <w:rPr>
          <w:noProof/>
        </w:rPr>
        <w:drawing>
          <wp:inline distT="0" distB="0" distL="0" distR="0" wp14:anchorId="679C6F0B" wp14:editId="17A5551D">
            <wp:extent cx="6452235" cy="216725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5"/>
                    <a:stretch>
                      <a:fillRect/>
                    </a:stretch>
                  </pic:blipFill>
                  <pic:spPr>
                    <a:xfrm>
                      <a:off x="0" y="0"/>
                      <a:ext cx="6452235" cy="2167255"/>
                    </a:xfrm>
                    <a:prstGeom prst="rect">
                      <a:avLst/>
                    </a:prstGeom>
                  </pic:spPr>
                </pic:pic>
              </a:graphicData>
            </a:graphic>
          </wp:inline>
        </w:drawing>
      </w:r>
    </w:p>
    <w:p w14:paraId="5609C7B6"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3: Two step application process</w:t>
      </w:r>
    </w:p>
    <w:p w14:paraId="503F8076" w14:textId="77777777" w:rsidR="00D8670B" w:rsidRDefault="009B37A9">
      <w:pPr>
        <w:spacing w:before="115" w:after="431" w:line="231" w:lineRule="exact"/>
        <w:ind w:right="72"/>
        <w:textAlignment w:val="baseline"/>
        <w:rPr>
          <w:rFonts w:ascii="Arial" w:eastAsia="Arial" w:hAnsi="Arial"/>
          <w:color w:val="000000"/>
          <w:sz w:val="20"/>
        </w:rPr>
      </w:pPr>
      <w:r>
        <w:rPr>
          <w:rFonts w:ascii="Arial" w:eastAsia="Arial" w:hAnsi="Arial"/>
          <w:color w:val="000000"/>
          <w:sz w:val="20"/>
        </w:rPr>
        <w:t>Later industry feedback indicated irrigators preferred shorter application periods with a faster turnaround time on approvals. As a result, from round seven onwards, applications reverted to a single step process. The rounds were still open for six months,</w:t>
      </w:r>
      <w:r>
        <w:rPr>
          <w:rFonts w:ascii="Arial" w:eastAsia="Arial" w:hAnsi="Arial"/>
          <w:color w:val="000000"/>
          <w:sz w:val="20"/>
        </w:rPr>
        <w:t xml:space="preserve"> however applications were assessed in monthly intakes (i.e. six intakes per round). Closing dates were usually the last business day of each month. Irrigators whose applications were declined in one intake were able to reapply with revised projects later </w:t>
      </w:r>
      <w:r>
        <w:rPr>
          <w:rFonts w:ascii="Arial" w:eastAsia="Arial" w:hAnsi="Arial"/>
          <w:color w:val="000000"/>
          <w:sz w:val="20"/>
        </w:rPr>
        <w:t>in the round.</w:t>
      </w:r>
    </w:p>
    <w:p w14:paraId="2F300590" w14:textId="77777777" w:rsidR="00D8670B" w:rsidRDefault="009B37A9">
      <w:pPr>
        <w:spacing w:after="140"/>
        <w:ind w:left="985" w:right="1063"/>
        <w:textAlignment w:val="baseline"/>
      </w:pPr>
      <w:r>
        <w:rPr>
          <w:noProof/>
        </w:rPr>
        <w:drawing>
          <wp:inline distT="0" distB="0" distL="0" distR="0" wp14:anchorId="41E58CD3" wp14:editId="3CBEE572">
            <wp:extent cx="5227320" cy="241109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16"/>
                    <a:stretch>
                      <a:fillRect/>
                    </a:stretch>
                  </pic:blipFill>
                  <pic:spPr>
                    <a:xfrm>
                      <a:off x="0" y="0"/>
                      <a:ext cx="5227320" cy="2411095"/>
                    </a:xfrm>
                    <a:prstGeom prst="rect">
                      <a:avLst/>
                    </a:prstGeom>
                  </pic:spPr>
                </pic:pic>
              </a:graphicData>
            </a:graphic>
          </wp:inline>
        </w:drawing>
      </w:r>
    </w:p>
    <w:p w14:paraId="60521EDB"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4: Single step application process</w:t>
      </w:r>
    </w:p>
    <w:p w14:paraId="4976A494" w14:textId="77777777" w:rsidR="00D8670B" w:rsidRDefault="009B37A9">
      <w:pPr>
        <w:spacing w:before="242" w:line="319" w:lineRule="exact"/>
        <w:textAlignment w:val="baseline"/>
        <w:rPr>
          <w:rFonts w:ascii="Arial" w:eastAsia="Arial" w:hAnsi="Arial"/>
          <w:b/>
          <w:color w:val="326C36"/>
          <w:spacing w:val="1"/>
          <w:sz w:val="28"/>
        </w:rPr>
      </w:pPr>
      <w:r>
        <w:rPr>
          <w:rFonts w:ascii="Arial" w:eastAsia="Arial" w:hAnsi="Arial"/>
          <w:b/>
          <w:color w:val="326C36"/>
          <w:spacing w:val="1"/>
          <w:sz w:val="28"/>
        </w:rPr>
        <w:t>2.1.2 Assessment</w:t>
      </w:r>
    </w:p>
    <w:p w14:paraId="6794A69E" w14:textId="77777777" w:rsidR="00D8670B" w:rsidRDefault="009B37A9">
      <w:pPr>
        <w:spacing w:before="118" w:after="278" w:line="231" w:lineRule="exact"/>
        <w:textAlignment w:val="baseline"/>
        <w:rPr>
          <w:rFonts w:ascii="Arial" w:eastAsia="Arial" w:hAnsi="Arial"/>
          <w:color w:val="000000"/>
          <w:sz w:val="20"/>
        </w:rPr>
      </w:pPr>
      <w:r>
        <w:rPr>
          <w:rFonts w:ascii="Arial" w:eastAsia="Arial" w:hAnsi="Arial"/>
          <w:color w:val="000000"/>
          <w:sz w:val="20"/>
        </w:rPr>
        <w:t>Applications received during funding rounds were assessed according to five criteria: compliance, environmental,</w:t>
      </w:r>
    </w:p>
    <w:p w14:paraId="4CC8E7F8" w14:textId="77777777" w:rsidR="00D8670B" w:rsidRDefault="009B37A9">
      <w:pPr>
        <w:spacing w:before="162" w:line="230" w:lineRule="exact"/>
        <w:jc w:val="center"/>
        <w:textAlignment w:val="baseline"/>
        <w:rPr>
          <w:rFonts w:ascii="Arial" w:eastAsia="Arial" w:hAnsi="Arial"/>
          <w:color w:val="000000"/>
          <w:spacing w:val="33"/>
          <w:sz w:val="20"/>
        </w:rPr>
      </w:pPr>
      <w:r>
        <w:pict w14:anchorId="3D3B3C9E">
          <v:line id="_x0000_s1145" style="position:absolute;left:0;text-align:left;z-index:251685888;mso-position-horizontal-relative:page;mso-position-vertical-relative:page" from="40.75pt,789.1pt" to="554.8pt,789.1pt" strokeweight="1.7pt">
            <w10:wrap anchorx="page" anchory="page"/>
          </v:line>
        </w:pict>
      </w:r>
      <w:r>
        <w:rPr>
          <w:rFonts w:ascii="Arial" w:eastAsia="Arial" w:hAnsi="Arial"/>
          <w:color w:val="000000"/>
          <w:spacing w:val="33"/>
          <w:sz w:val="20"/>
        </w:rPr>
        <w:t>12</w:t>
      </w:r>
    </w:p>
    <w:p w14:paraId="5277F680" w14:textId="77777777" w:rsidR="00D8670B" w:rsidRDefault="00D8670B">
      <w:pPr>
        <w:sectPr w:rsidR="00D8670B">
          <w:pgSz w:w="11909" w:h="16838"/>
          <w:pgMar w:top="1140" w:right="814" w:bottom="282" w:left="815" w:header="720" w:footer="720" w:gutter="0"/>
          <w:cols w:space="720"/>
        </w:sectPr>
      </w:pPr>
    </w:p>
    <w:p w14:paraId="5F386B6F" w14:textId="77777777" w:rsidR="00D8670B" w:rsidRDefault="009B37A9">
      <w:pPr>
        <w:spacing w:before="19" w:line="230" w:lineRule="exact"/>
        <w:ind w:right="936"/>
        <w:textAlignment w:val="baseline"/>
        <w:rPr>
          <w:rFonts w:ascii="Arial" w:eastAsia="Arial" w:hAnsi="Arial"/>
          <w:color w:val="000000"/>
          <w:sz w:val="20"/>
        </w:rPr>
      </w:pPr>
      <w:r>
        <w:rPr>
          <w:rFonts w:ascii="Arial" w:eastAsia="Arial" w:hAnsi="Arial"/>
          <w:color w:val="000000"/>
          <w:sz w:val="20"/>
        </w:rPr>
        <w:lastRenderedPageBreak/>
        <w:t>technical feasibility, governance and value for money. The assessment panel comprised of the immediate Queensland Government program team, with input from expert sources.</w:t>
      </w:r>
    </w:p>
    <w:p w14:paraId="127E607C" w14:textId="77777777" w:rsidR="00D8670B" w:rsidRDefault="009B37A9">
      <w:pPr>
        <w:spacing w:before="122" w:line="229" w:lineRule="exact"/>
        <w:textAlignment w:val="baseline"/>
        <w:rPr>
          <w:rFonts w:ascii="Arial" w:eastAsia="Arial" w:hAnsi="Arial"/>
          <w:color w:val="000000"/>
          <w:sz w:val="20"/>
        </w:rPr>
      </w:pPr>
      <w:r>
        <w:rPr>
          <w:rFonts w:ascii="Arial" w:eastAsia="Arial" w:hAnsi="Arial"/>
          <w:color w:val="000000"/>
          <w:sz w:val="20"/>
        </w:rPr>
        <w:t>The first four criteria were assessed to confirm the irrigator had provided the requi</w:t>
      </w:r>
      <w:r>
        <w:rPr>
          <w:rFonts w:ascii="Arial" w:eastAsia="Arial" w:hAnsi="Arial"/>
          <w:color w:val="000000"/>
          <w:sz w:val="20"/>
        </w:rPr>
        <w:t>red information and the</w:t>
      </w:r>
    </w:p>
    <w:p w14:paraId="154842C0" w14:textId="77777777" w:rsidR="00D8670B" w:rsidRDefault="009B37A9">
      <w:pPr>
        <w:spacing w:before="1" w:line="230" w:lineRule="exact"/>
        <w:ind w:right="72"/>
        <w:textAlignment w:val="baseline"/>
        <w:rPr>
          <w:rFonts w:ascii="Arial" w:eastAsia="Arial" w:hAnsi="Arial"/>
          <w:color w:val="000000"/>
          <w:sz w:val="20"/>
        </w:rPr>
      </w:pPr>
      <w:r>
        <w:rPr>
          <w:rFonts w:ascii="Arial" w:eastAsia="Arial" w:hAnsi="Arial"/>
          <w:color w:val="000000"/>
          <w:sz w:val="20"/>
        </w:rPr>
        <w:t>application met the eligibility criteria for the round. If information was incomplete the Queensland Government could request additional information. All irrigators were required to provide this information within a set timeframe (u</w:t>
      </w:r>
      <w:r>
        <w:rPr>
          <w:rFonts w:ascii="Arial" w:eastAsia="Arial" w:hAnsi="Arial"/>
          <w:color w:val="000000"/>
          <w:sz w:val="20"/>
        </w:rPr>
        <w:t>sually one week for applications under the two-step process, or two business days for applications under the single-step process).</w:t>
      </w:r>
    </w:p>
    <w:p w14:paraId="10358117" w14:textId="77777777" w:rsidR="00D8670B" w:rsidRDefault="009B37A9">
      <w:pPr>
        <w:spacing w:before="122" w:after="75" w:line="230" w:lineRule="exact"/>
        <w:ind w:right="216"/>
        <w:textAlignment w:val="baseline"/>
        <w:rPr>
          <w:rFonts w:ascii="Arial" w:eastAsia="Arial" w:hAnsi="Arial"/>
          <w:color w:val="000000"/>
          <w:sz w:val="20"/>
        </w:rPr>
      </w:pPr>
      <w:r>
        <w:rPr>
          <w:rFonts w:ascii="Arial" w:eastAsia="Arial" w:hAnsi="Arial"/>
          <w:color w:val="000000"/>
          <w:sz w:val="20"/>
        </w:rPr>
        <w:t xml:space="preserve">The Queensland Government assessed the value for money criterion against an assumed threshold, and the Australian Government verified the assessment during its decision making process. The value for money proposal was final at the time of application, and </w:t>
      </w:r>
      <w:r>
        <w:rPr>
          <w:rFonts w:ascii="Arial" w:eastAsia="Arial" w:hAnsi="Arial"/>
          <w:color w:val="000000"/>
          <w:sz w:val="20"/>
        </w:rPr>
        <w:t>the irrigator could not adjust the amount of funding requested or water offered unless they withdrew and resubmitted the application in a subsequent intake.</w:t>
      </w:r>
    </w:p>
    <w:p w14:paraId="6FA611D0" w14:textId="77777777" w:rsidR="00D8670B" w:rsidRDefault="009B37A9">
      <w:pPr>
        <w:spacing w:after="121"/>
        <w:ind w:left="524" w:right="549"/>
        <w:textAlignment w:val="baseline"/>
      </w:pPr>
      <w:r>
        <w:rPr>
          <w:noProof/>
        </w:rPr>
        <w:drawing>
          <wp:inline distT="0" distB="0" distL="0" distR="0" wp14:anchorId="24915E2E" wp14:editId="02750AD4">
            <wp:extent cx="5846445" cy="363029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7"/>
                    <a:stretch>
                      <a:fillRect/>
                    </a:stretch>
                  </pic:blipFill>
                  <pic:spPr>
                    <a:xfrm>
                      <a:off x="0" y="0"/>
                      <a:ext cx="5846445" cy="3630295"/>
                    </a:xfrm>
                    <a:prstGeom prst="rect">
                      <a:avLst/>
                    </a:prstGeom>
                  </pic:spPr>
                </pic:pic>
              </a:graphicData>
            </a:graphic>
          </wp:inline>
        </w:drawing>
      </w:r>
    </w:p>
    <w:p w14:paraId="51065D2F"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5: Assessment criteria</w:t>
      </w:r>
    </w:p>
    <w:p w14:paraId="7C31C164" w14:textId="77777777" w:rsidR="00D8670B" w:rsidRDefault="009B37A9">
      <w:pPr>
        <w:spacing w:before="245" w:line="298" w:lineRule="exact"/>
        <w:textAlignment w:val="baseline"/>
        <w:rPr>
          <w:rFonts w:ascii="Arial" w:eastAsia="Arial" w:hAnsi="Arial"/>
          <w:b/>
          <w:color w:val="55532D"/>
          <w:sz w:val="26"/>
        </w:rPr>
      </w:pPr>
      <w:r>
        <w:rPr>
          <w:rFonts w:ascii="Arial" w:eastAsia="Arial" w:hAnsi="Arial"/>
          <w:b/>
          <w:color w:val="55532D"/>
          <w:sz w:val="26"/>
        </w:rPr>
        <w:t>2.1.2.1 Compliance and eligibility criterion</w:t>
      </w:r>
    </w:p>
    <w:p w14:paraId="1BD51A0F" w14:textId="77777777" w:rsidR="00D8670B" w:rsidRDefault="009B37A9">
      <w:pPr>
        <w:spacing w:before="121" w:line="230" w:lineRule="exact"/>
        <w:ind w:right="288"/>
        <w:textAlignment w:val="baseline"/>
        <w:rPr>
          <w:rFonts w:ascii="Arial" w:eastAsia="Arial" w:hAnsi="Arial"/>
          <w:color w:val="000000"/>
          <w:sz w:val="20"/>
        </w:rPr>
      </w:pPr>
      <w:r>
        <w:rPr>
          <w:rFonts w:ascii="Arial" w:eastAsia="Arial" w:hAnsi="Arial"/>
          <w:color w:val="000000"/>
          <w:sz w:val="20"/>
        </w:rPr>
        <w:t>The first step of asse</w:t>
      </w:r>
      <w:r>
        <w:rPr>
          <w:rFonts w:ascii="Arial" w:eastAsia="Arial" w:hAnsi="Arial"/>
          <w:color w:val="000000"/>
          <w:sz w:val="20"/>
        </w:rPr>
        <w:t>ssment included receipting the application and checking for completeness. The assessment panel conducted searches of land and water title data and business/company registers to determine the application’s compliance with the eligibility criteria for the ro</w:t>
      </w:r>
      <w:r>
        <w:rPr>
          <w:rFonts w:ascii="Arial" w:eastAsia="Arial" w:hAnsi="Arial"/>
          <w:color w:val="000000"/>
          <w:sz w:val="20"/>
        </w:rPr>
        <w:t>und.</w:t>
      </w:r>
    </w:p>
    <w:p w14:paraId="59556752" w14:textId="77777777" w:rsidR="00D8670B" w:rsidRDefault="009B37A9">
      <w:pPr>
        <w:spacing w:before="240" w:line="298" w:lineRule="exact"/>
        <w:textAlignment w:val="baseline"/>
        <w:rPr>
          <w:rFonts w:ascii="Arial" w:eastAsia="Arial" w:hAnsi="Arial"/>
          <w:b/>
          <w:color w:val="55532D"/>
          <w:sz w:val="26"/>
        </w:rPr>
      </w:pPr>
      <w:r>
        <w:rPr>
          <w:rFonts w:ascii="Arial" w:eastAsia="Arial" w:hAnsi="Arial"/>
          <w:b/>
          <w:color w:val="55532D"/>
          <w:sz w:val="26"/>
        </w:rPr>
        <w:t>2.1.2.2 Environmental criterion</w:t>
      </w:r>
    </w:p>
    <w:p w14:paraId="3C69A5A2" w14:textId="77777777" w:rsidR="00D8670B" w:rsidRDefault="009B37A9">
      <w:pPr>
        <w:spacing w:before="120" w:line="230" w:lineRule="exact"/>
        <w:ind w:right="288"/>
        <w:textAlignment w:val="baseline"/>
        <w:rPr>
          <w:rFonts w:ascii="Arial" w:eastAsia="Arial" w:hAnsi="Arial"/>
          <w:color w:val="000000"/>
          <w:sz w:val="20"/>
        </w:rPr>
      </w:pPr>
      <w:r>
        <w:rPr>
          <w:rFonts w:ascii="Arial" w:eastAsia="Arial" w:hAnsi="Arial"/>
          <w:color w:val="000000"/>
          <w:sz w:val="20"/>
        </w:rPr>
        <w:t>The panel reviewed the application to determine whether the proposed works were sufficiently described and the associated estimated water savings reasonable. This check included input from the Queensland Government’s wa</w:t>
      </w:r>
      <w:r>
        <w:rPr>
          <w:rFonts w:ascii="Arial" w:eastAsia="Arial" w:hAnsi="Arial"/>
          <w:color w:val="000000"/>
          <w:sz w:val="20"/>
        </w:rPr>
        <w:t>ter licencing unit who advised whether the offered water entitlements were possible to trade in an unencumbered state, the steps to transfer and likely approvals required for the works and transfer.</w:t>
      </w:r>
    </w:p>
    <w:p w14:paraId="3C040075" w14:textId="77777777" w:rsidR="00D8670B" w:rsidRDefault="009B37A9">
      <w:pPr>
        <w:spacing w:before="121" w:line="230" w:lineRule="exact"/>
        <w:ind w:right="288"/>
        <w:textAlignment w:val="baseline"/>
        <w:rPr>
          <w:rFonts w:ascii="Arial" w:eastAsia="Arial" w:hAnsi="Arial"/>
          <w:color w:val="000000"/>
          <w:sz w:val="20"/>
        </w:rPr>
      </w:pPr>
      <w:r>
        <w:rPr>
          <w:rFonts w:ascii="Arial" w:eastAsia="Arial" w:hAnsi="Arial"/>
          <w:color w:val="000000"/>
          <w:sz w:val="20"/>
        </w:rPr>
        <w:t>For some entitlements (particularly those in the Lower Ba</w:t>
      </w:r>
      <w:r>
        <w:rPr>
          <w:rFonts w:ascii="Arial" w:eastAsia="Arial" w:hAnsi="Arial"/>
          <w:color w:val="000000"/>
          <w:sz w:val="20"/>
        </w:rPr>
        <w:t>lonne region), the Australian Government also required information regarding environmental benefits. To meet this requirement, the Queensland Government obtained a hydrological modelling report from Queensland Hydrology identifying the expected characteris</w:t>
      </w:r>
      <w:r>
        <w:rPr>
          <w:rFonts w:ascii="Arial" w:eastAsia="Arial" w:hAnsi="Arial"/>
          <w:color w:val="000000"/>
          <w:sz w:val="20"/>
        </w:rPr>
        <w:t>tics and benefits of these water entitlements following transfer.</w:t>
      </w:r>
    </w:p>
    <w:p w14:paraId="009262B9" w14:textId="77777777" w:rsidR="00D8670B" w:rsidRDefault="009B37A9">
      <w:pPr>
        <w:spacing w:before="117" w:after="685" w:line="230" w:lineRule="exact"/>
        <w:ind w:right="288"/>
        <w:textAlignment w:val="baseline"/>
        <w:rPr>
          <w:rFonts w:ascii="Arial" w:eastAsia="Arial" w:hAnsi="Arial"/>
          <w:color w:val="000000"/>
          <w:sz w:val="20"/>
        </w:rPr>
      </w:pPr>
      <w:r>
        <w:rPr>
          <w:rFonts w:ascii="Arial" w:eastAsia="Arial" w:hAnsi="Arial"/>
          <w:color w:val="000000"/>
          <w:sz w:val="20"/>
        </w:rPr>
        <w:t>The Queensland Government also engaged an independent Registered Professional Engineer of Queensland to assess each project. This assessor reported on whether the methodology, pre-works loss</w:t>
      </w:r>
      <w:r>
        <w:rPr>
          <w:rFonts w:ascii="Arial" w:eastAsia="Arial" w:hAnsi="Arial"/>
          <w:color w:val="000000"/>
          <w:sz w:val="20"/>
        </w:rPr>
        <w:t>es and proposed water savings were reasonable. Where the assessor considered the application information incomplete or unclear, the Queensland Government could seek additional information from the irrigator.</w:t>
      </w:r>
    </w:p>
    <w:p w14:paraId="0AE1FAFF" w14:textId="77777777" w:rsidR="00D8670B" w:rsidRDefault="009B37A9">
      <w:pPr>
        <w:spacing w:before="165" w:line="227" w:lineRule="exact"/>
        <w:jc w:val="center"/>
        <w:textAlignment w:val="baseline"/>
        <w:rPr>
          <w:rFonts w:ascii="Arial" w:eastAsia="Arial" w:hAnsi="Arial"/>
          <w:color w:val="000000"/>
          <w:spacing w:val="35"/>
          <w:sz w:val="20"/>
        </w:rPr>
      </w:pPr>
      <w:r>
        <w:pict w14:anchorId="060E54CF">
          <v:line id="_x0000_s1144" style="position:absolute;left:0;text-align:left;z-index:251686912;mso-position-horizontal-relative:page;mso-position-vertical-relative:page" from="40.75pt,789.1pt" to="554.8pt,789.1pt" strokeweight="1.7pt">
            <w10:wrap anchorx="page" anchory="page"/>
          </v:line>
        </w:pict>
      </w:r>
      <w:r>
        <w:rPr>
          <w:rFonts w:ascii="Arial" w:eastAsia="Arial" w:hAnsi="Arial"/>
          <w:color w:val="000000"/>
          <w:spacing w:val="35"/>
          <w:sz w:val="20"/>
        </w:rPr>
        <w:t>13</w:t>
      </w:r>
    </w:p>
    <w:p w14:paraId="1A66CD6D" w14:textId="77777777" w:rsidR="00D8670B" w:rsidRDefault="00D8670B">
      <w:pPr>
        <w:sectPr w:rsidR="00D8670B">
          <w:pgSz w:w="11909" w:h="16838"/>
          <w:pgMar w:top="1120" w:right="814" w:bottom="282" w:left="815" w:header="720" w:footer="720" w:gutter="0"/>
          <w:cols w:space="720"/>
        </w:sectPr>
      </w:pPr>
    </w:p>
    <w:p w14:paraId="74E383D5" w14:textId="77777777" w:rsidR="00D8670B" w:rsidRDefault="009B37A9">
      <w:pPr>
        <w:spacing w:before="5" w:line="299" w:lineRule="exact"/>
        <w:textAlignment w:val="baseline"/>
        <w:rPr>
          <w:rFonts w:ascii="Arial" w:eastAsia="Arial" w:hAnsi="Arial"/>
          <w:b/>
          <w:color w:val="55532D"/>
          <w:sz w:val="26"/>
        </w:rPr>
      </w:pPr>
      <w:r>
        <w:rPr>
          <w:rFonts w:ascii="Arial" w:eastAsia="Arial" w:hAnsi="Arial"/>
          <w:b/>
          <w:color w:val="55532D"/>
          <w:sz w:val="26"/>
        </w:rPr>
        <w:lastRenderedPageBreak/>
        <w:t>2.1.2.3 Technical feasibility criterion</w:t>
      </w:r>
    </w:p>
    <w:p w14:paraId="57457189" w14:textId="77777777" w:rsidR="00D8670B" w:rsidRDefault="009B37A9">
      <w:pPr>
        <w:spacing w:before="115" w:after="459" w:line="230" w:lineRule="exact"/>
        <w:ind w:right="216"/>
        <w:textAlignment w:val="baseline"/>
        <w:rPr>
          <w:rFonts w:ascii="Arial" w:eastAsia="Arial" w:hAnsi="Arial"/>
          <w:color w:val="000000"/>
          <w:sz w:val="20"/>
        </w:rPr>
      </w:pPr>
      <w:r>
        <w:rPr>
          <w:rFonts w:ascii="Arial" w:eastAsia="Arial" w:hAnsi="Arial"/>
          <w:color w:val="000000"/>
          <w:sz w:val="20"/>
        </w:rPr>
        <w:t>Each application required certification from the irrigator’s qualified irrigation professional that the project was technically feasible (see section 2.1.1.2). Applications had to include sufficient information for t</w:t>
      </w:r>
      <w:r>
        <w:rPr>
          <w:rFonts w:ascii="Arial" w:eastAsia="Arial" w:hAnsi="Arial"/>
          <w:color w:val="000000"/>
          <w:sz w:val="20"/>
        </w:rPr>
        <w:t>he Queensland Government’s independent assessor to review and confirm feasibility of the proposed projects. The panel also considered the nature of proposed projects against previous applications and studies regarding types of upgrades likely to achieve wa</w:t>
      </w:r>
      <w:r>
        <w:rPr>
          <w:rFonts w:ascii="Arial" w:eastAsia="Arial" w:hAnsi="Arial"/>
          <w:color w:val="000000"/>
          <w:sz w:val="20"/>
        </w:rPr>
        <w:t>ter savings.</w:t>
      </w:r>
    </w:p>
    <w:p w14:paraId="1E216D43" w14:textId="77777777" w:rsidR="00D8670B" w:rsidRDefault="009B37A9">
      <w:pPr>
        <w:spacing w:before="2" w:line="299" w:lineRule="exact"/>
        <w:textAlignment w:val="baseline"/>
        <w:rPr>
          <w:rFonts w:ascii="Arial" w:eastAsia="Arial" w:hAnsi="Arial"/>
          <w:b/>
          <w:color w:val="55532D"/>
          <w:sz w:val="26"/>
        </w:rPr>
      </w:pPr>
      <w:r>
        <w:pict w14:anchorId="6ED84178">
          <v:shape id="_x0000_s1143" type="#_x0000_t202" style="position:absolute;margin-left:40.75pt;margin-top:158.65pt;width:514pt;height:240.7pt;z-index:-251720704;mso-wrap-distance-left:0;mso-wrap-distance-right:0;mso-wrap-distance-bottom:29.8pt;mso-position-horizontal-relative:page;mso-position-vertical-relative:page" fillcolor="#eaf4fb" stroked="f">
            <v:textbox inset="0,0,0,0">
              <w:txbxContent>
                <w:p w14:paraId="16E5E68F" w14:textId="77777777" w:rsidR="00000000" w:rsidRDefault="009B37A9"/>
              </w:txbxContent>
            </v:textbox>
            <w10:wrap type="square" anchorx="page" anchory="page"/>
          </v:shape>
        </w:pict>
      </w:r>
      <w:r>
        <w:pict w14:anchorId="7954823D">
          <v:shape id="_x0000_s1142" type="#_x0000_t202" style="position:absolute;margin-left:40.75pt;margin-top:158.65pt;width:514pt;height:240.7pt;z-index:-251719680;mso-wrap-distance-left:0;mso-wrap-distance-right:0;mso-position-horizontal-relative:page;mso-position-vertical-relative:page" filled="f" stroked="f">
            <v:textbox inset="0,0,0,0">
              <w:txbxContent>
                <w:p w14:paraId="558DC7B8" w14:textId="77777777" w:rsidR="00D8670B" w:rsidRDefault="009B37A9">
                  <w:pPr>
                    <w:spacing w:before="122" w:line="205" w:lineRule="exact"/>
                    <w:ind w:left="144"/>
                    <w:textAlignment w:val="baseline"/>
                    <w:rPr>
                      <w:rFonts w:ascii="Arial" w:eastAsia="Arial" w:hAnsi="Arial"/>
                      <w:b/>
                      <w:color w:val="15568B"/>
                      <w:sz w:val="18"/>
                    </w:rPr>
                  </w:pPr>
                  <w:r>
                    <w:rPr>
                      <w:rFonts w:ascii="Arial" w:eastAsia="Arial" w:hAnsi="Arial"/>
                      <w:b/>
                      <w:color w:val="15568B"/>
                      <w:sz w:val="18"/>
                    </w:rPr>
                    <w:t>Water use efficiency measures</w:t>
                  </w:r>
                </w:p>
                <w:p w14:paraId="3B33BDD4" w14:textId="77777777" w:rsidR="00D8670B" w:rsidRDefault="009B37A9">
                  <w:pPr>
                    <w:spacing w:before="248" w:line="207" w:lineRule="exact"/>
                    <w:ind w:left="144" w:right="288"/>
                    <w:jc w:val="both"/>
                    <w:textAlignment w:val="baseline"/>
                    <w:rPr>
                      <w:rFonts w:ascii="Arial" w:eastAsia="Arial" w:hAnsi="Arial"/>
                      <w:color w:val="000000"/>
                      <w:sz w:val="18"/>
                    </w:rPr>
                  </w:pPr>
                  <w:r>
                    <w:rPr>
                      <w:rFonts w:ascii="Arial" w:eastAsia="Arial" w:hAnsi="Arial"/>
                      <w:color w:val="000000"/>
                      <w:sz w:val="18"/>
                    </w:rPr>
                    <w:t>Applications proposed measures to improve the water use efficiency of storages, distribution and in-field systems. Types of projects commonly seen included:</w:t>
                  </w:r>
                </w:p>
                <w:p w14:paraId="4B063BA4" w14:textId="77777777" w:rsidR="00D8670B" w:rsidRDefault="009B37A9">
                  <w:pPr>
                    <w:numPr>
                      <w:ilvl w:val="0"/>
                      <w:numId w:val="2"/>
                    </w:numPr>
                    <w:tabs>
                      <w:tab w:val="clear" w:pos="360"/>
                      <w:tab w:val="left" w:pos="864"/>
                    </w:tabs>
                    <w:spacing w:before="132" w:line="207" w:lineRule="exact"/>
                    <w:ind w:left="864" w:right="288" w:hanging="360"/>
                    <w:textAlignment w:val="baseline"/>
                    <w:rPr>
                      <w:rFonts w:ascii="Arial" w:eastAsia="Arial" w:hAnsi="Arial"/>
                      <w:color w:val="000000"/>
                      <w:sz w:val="18"/>
                    </w:rPr>
                  </w:pPr>
                  <w:r>
                    <w:rPr>
                      <w:rFonts w:ascii="Arial" w:eastAsia="Arial" w:hAnsi="Arial"/>
                      <w:color w:val="000000"/>
                      <w:sz w:val="18"/>
                    </w:rPr>
                    <w:t>storage modification – storage modification refers</w:t>
                  </w:r>
                  <w:r>
                    <w:rPr>
                      <w:rFonts w:ascii="Arial" w:eastAsia="Arial" w:hAnsi="Arial"/>
                      <w:color w:val="000000"/>
                      <w:sz w:val="18"/>
                    </w:rPr>
                    <w:t xml:space="preserve"> to a number of measures to mitigate seepage and evaporation losses. These measures are usually based on reducing the surface or floor area to improve storage efficiency. For instance, replacing a shallow storage with a deep storage of the same volume resu</w:t>
                  </w:r>
                  <w:r>
                    <w:rPr>
                      <w:rFonts w:ascii="Arial" w:eastAsia="Arial" w:hAnsi="Arial"/>
                      <w:color w:val="000000"/>
                      <w:sz w:val="18"/>
                    </w:rPr>
                    <w:t>lts in less area exposed to evaporation losses</w:t>
                  </w:r>
                </w:p>
                <w:p w14:paraId="492AE34F" w14:textId="77777777" w:rsidR="00D8670B" w:rsidRDefault="009B37A9">
                  <w:pPr>
                    <w:numPr>
                      <w:ilvl w:val="0"/>
                      <w:numId w:val="2"/>
                    </w:numPr>
                    <w:tabs>
                      <w:tab w:val="clear" w:pos="360"/>
                      <w:tab w:val="left" w:pos="864"/>
                    </w:tabs>
                    <w:spacing w:before="131" w:line="207" w:lineRule="exact"/>
                    <w:ind w:left="864" w:right="144" w:hanging="360"/>
                    <w:textAlignment w:val="baseline"/>
                    <w:rPr>
                      <w:rFonts w:ascii="Arial" w:eastAsia="Arial" w:hAnsi="Arial"/>
                      <w:color w:val="000000"/>
                      <w:spacing w:val="2"/>
                      <w:sz w:val="18"/>
                    </w:rPr>
                  </w:pPr>
                  <w:r>
                    <w:rPr>
                      <w:rFonts w:ascii="Arial" w:eastAsia="Arial" w:hAnsi="Arial"/>
                      <w:color w:val="000000"/>
                      <w:spacing w:val="2"/>
                      <w:sz w:val="18"/>
                    </w:rPr>
                    <w:t xml:space="preserve">bankless channel – bankless channel is a form of surface irrigation. Fields are divided into “bays” along a head ditch, usually separated by gates or similar control measures in the head ditch and tail drain. </w:t>
                  </w:r>
                  <w:r>
                    <w:rPr>
                      <w:rFonts w:ascii="Arial" w:eastAsia="Arial" w:hAnsi="Arial"/>
                      <w:color w:val="000000"/>
                      <w:spacing w:val="2"/>
                      <w:sz w:val="18"/>
                    </w:rPr>
                    <w:t>Water is released along the head ditch to the gate and runs down the bay. Once the bay is sufficiently irrigated, the gate is opened and water flows into the next bay. This system allows greater control over water flow. This increased control means less wa</w:t>
                  </w:r>
                  <w:r>
                    <w:rPr>
                      <w:rFonts w:ascii="Arial" w:eastAsia="Arial" w:hAnsi="Arial"/>
                      <w:color w:val="000000"/>
                      <w:spacing w:val="2"/>
                      <w:sz w:val="18"/>
                    </w:rPr>
                    <w:t>ter is lost to run-off, evaporation or deep drainage, which reduces the amount of water required to irrigate the area</w:t>
                  </w:r>
                </w:p>
                <w:p w14:paraId="0D5F3AA6" w14:textId="77777777" w:rsidR="00D8670B" w:rsidRDefault="009B37A9">
                  <w:pPr>
                    <w:numPr>
                      <w:ilvl w:val="0"/>
                      <w:numId w:val="2"/>
                    </w:numPr>
                    <w:tabs>
                      <w:tab w:val="clear" w:pos="360"/>
                      <w:tab w:val="left" w:pos="864"/>
                    </w:tabs>
                    <w:spacing w:before="130" w:line="207" w:lineRule="exact"/>
                    <w:ind w:left="864" w:hanging="360"/>
                    <w:textAlignment w:val="baseline"/>
                    <w:rPr>
                      <w:rFonts w:ascii="Arial" w:eastAsia="Arial" w:hAnsi="Arial"/>
                      <w:color w:val="000000"/>
                      <w:sz w:val="18"/>
                    </w:rPr>
                  </w:pPr>
                  <w:r>
                    <w:rPr>
                      <w:rFonts w:ascii="Arial" w:eastAsia="Arial" w:hAnsi="Arial"/>
                      <w:color w:val="000000"/>
                      <w:sz w:val="18"/>
                    </w:rPr>
                    <w:t xml:space="preserve">centre pivot and lateral move – </w:t>
                  </w:r>
                  <w:r>
                    <w:rPr>
                      <w:rFonts w:ascii="Arial" w:eastAsia="Arial" w:hAnsi="Arial"/>
                      <w:color w:val="000000"/>
                      <w:sz w:val="18"/>
                    </w:rPr>
                    <w:t>these automated low-pressure overhead watering systems enable better</w:t>
                  </w:r>
                </w:p>
                <w:p w14:paraId="1959A9D4" w14:textId="77777777" w:rsidR="00D8670B" w:rsidRDefault="009B37A9">
                  <w:pPr>
                    <w:spacing w:before="3" w:line="207" w:lineRule="exact"/>
                    <w:ind w:left="864"/>
                    <w:textAlignment w:val="baseline"/>
                    <w:rPr>
                      <w:rFonts w:ascii="Arial" w:eastAsia="Arial" w:hAnsi="Arial"/>
                      <w:color w:val="000000"/>
                      <w:sz w:val="18"/>
                    </w:rPr>
                  </w:pPr>
                  <w:r>
                    <w:rPr>
                      <w:rFonts w:ascii="Arial" w:eastAsia="Arial" w:hAnsi="Arial"/>
                      <w:color w:val="000000"/>
                      <w:sz w:val="18"/>
                    </w:rPr>
                    <w:t>watering precision than systems such as siphons which traditionally flood large areas. Centre pivot</w:t>
                  </w:r>
                </w:p>
                <w:p w14:paraId="1FD4F459" w14:textId="77777777" w:rsidR="00D8670B" w:rsidRDefault="009B37A9">
                  <w:pPr>
                    <w:spacing w:line="207" w:lineRule="exact"/>
                    <w:ind w:left="864"/>
                    <w:textAlignment w:val="baseline"/>
                    <w:rPr>
                      <w:rFonts w:ascii="Arial" w:eastAsia="Arial" w:hAnsi="Arial"/>
                      <w:color w:val="000000"/>
                      <w:sz w:val="18"/>
                    </w:rPr>
                  </w:pPr>
                  <w:r>
                    <w:rPr>
                      <w:rFonts w:ascii="Arial" w:eastAsia="Arial" w:hAnsi="Arial"/>
                      <w:color w:val="000000"/>
                      <w:sz w:val="18"/>
                    </w:rPr>
                    <w:t>machines are generally fixed at one end and travel in a circle. Lateral move machines a</w:t>
                  </w:r>
                  <w:r>
                    <w:rPr>
                      <w:rFonts w:ascii="Arial" w:eastAsia="Arial" w:hAnsi="Arial"/>
                      <w:color w:val="000000"/>
                      <w:sz w:val="18"/>
                    </w:rPr>
                    <w:t>re</w:t>
                  </w:r>
                </w:p>
                <w:p w14:paraId="47AEB500" w14:textId="77777777" w:rsidR="00D8670B" w:rsidRDefault="009B37A9">
                  <w:pPr>
                    <w:spacing w:line="206" w:lineRule="exact"/>
                    <w:ind w:left="864"/>
                    <w:textAlignment w:val="baseline"/>
                    <w:rPr>
                      <w:rFonts w:ascii="Arial" w:eastAsia="Arial" w:hAnsi="Arial"/>
                      <w:color w:val="000000"/>
                      <w:sz w:val="18"/>
                    </w:rPr>
                  </w:pPr>
                  <w:r>
                    <w:rPr>
                      <w:rFonts w:ascii="Arial" w:eastAsia="Arial" w:hAnsi="Arial"/>
                      <w:color w:val="000000"/>
                      <w:sz w:val="18"/>
                    </w:rPr>
                    <w:t>not fixed at either end and can travel in a linear pattern. The increased precision means</w:t>
                  </w:r>
                </w:p>
                <w:p w14:paraId="1462A375" w14:textId="77777777" w:rsidR="00D8670B" w:rsidRDefault="009B37A9">
                  <w:pPr>
                    <w:spacing w:line="207" w:lineRule="exact"/>
                    <w:ind w:left="864"/>
                    <w:textAlignment w:val="baseline"/>
                    <w:rPr>
                      <w:rFonts w:ascii="Arial" w:eastAsia="Arial" w:hAnsi="Arial"/>
                      <w:color w:val="000000"/>
                      <w:sz w:val="18"/>
                    </w:rPr>
                  </w:pPr>
                  <w:r>
                    <w:rPr>
                      <w:rFonts w:ascii="Arial" w:eastAsia="Arial" w:hAnsi="Arial"/>
                      <w:color w:val="000000"/>
                      <w:sz w:val="18"/>
                    </w:rPr>
                    <w:t>less water is lost to run-off, evaporation or deep drainage, which reduces the amount of</w:t>
                  </w:r>
                </w:p>
                <w:p w14:paraId="27258CE8" w14:textId="77777777" w:rsidR="00D8670B" w:rsidRDefault="009B37A9">
                  <w:pPr>
                    <w:spacing w:after="109" w:line="206" w:lineRule="exact"/>
                    <w:ind w:left="864"/>
                    <w:textAlignment w:val="baseline"/>
                    <w:rPr>
                      <w:rFonts w:ascii="Arial" w:eastAsia="Arial" w:hAnsi="Arial"/>
                      <w:color w:val="000000"/>
                      <w:sz w:val="18"/>
                    </w:rPr>
                  </w:pPr>
                  <w:r>
                    <w:rPr>
                      <w:rFonts w:ascii="Arial" w:eastAsia="Arial" w:hAnsi="Arial"/>
                      <w:color w:val="000000"/>
                      <w:sz w:val="18"/>
                    </w:rPr>
                    <w:t>water required to irrigate the area.</w:t>
                  </w:r>
                </w:p>
              </w:txbxContent>
            </v:textbox>
            <w10:wrap type="square" anchorx="page" anchory="page"/>
          </v:shape>
        </w:pict>
      </w:r>
      <w:r>
        <w:pict w14:anchorId="3A1562DC">
          <v:shape id="_x0000_s1141" type="#_x0000_t202" style="position:absolute;margin-left:456.5pt;margin-top:332.15pt;width:87.8pt;height:61.45pt;z-index:-251718656;mso-wrap-distance-left:0;mso-wrap-distance-right:0;mso-position-horizontal-relative:page;mso-position-vertical-relative:page" stroked="f">
            <v:textbox inset="0,0,0,0">
              <w:txbxContent>
                <w:p w14:paraId="738F411D" w14:textId="77777777" w:rsidR="00D8670B" w:rsidRDefault="009B37A9">
                  <w:pPr>
                    <w:textAlignment w:val="baseline"/>
                  </w:pPr>
                  <w:r>
                    <w:rPr>
                      <w:noProof/>
                    </w:rPr>
                    <w:drawing>
                      <wp:inline distT="0" distB="0" distL="0" distR="0" wp14:anchorId="783073BD" wp14:editId="75D512D1">
                        <wp:extent cx="1115060" cy="78041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18"/>
                                <a:stretch>
                                  <a:fillRect/>
                                </a:stretch>
                              </pic:blipFill>
                              <pic:spPr>
                                <a:xfrm>
                                  <a:off x="0" y="0"/>
                                  <a:ext cx="1115060" cy="780415"/>
                                </a:xfrm>
                                <a:prstGeom prst="rect">
                                  <a:avLst/>
                                </a:prstGeom>
                              </pic:spPr>
                            </pic:pic>
                          </a:graphicData>
                        </a:graphic>
                      </wp:inline>
                    </w:drawing>
                  </w:r>
                </w:p>
              </w:txbxContent>
            </v:textbox>
            <w10:wrap anchorx="page" anchory="page"/>
          </v:shape>
        </w:pict>
      </w:r>
      <w:r>
        <w:rPr>
          <w:rFonts w:ascii="Arial" w:eastAsia="Arial" w:hAnsi="Arial"/>
          <w:b/>
          <w:color w:val="55532D"/>
          <w:sz w:val="26"/>
        </w:rPr>
        <w:t>2.1.2.4 Governance criterion</w:t>
      </w:r>
    </w:p>
    <w:p w14:paraId="03696AAD" w14:textId="77777777" w:rsidR="00D8670B" w:rsidRDefault="009B37A9">
      <w:pPr>
        <w:spacing w:before="115" w:line="230" w:lineRule="exact"/>
        <w:ind w:right="72"/>
        <w:textAlignment w:val="baseline"/>
        <w:rPr>
          <w:rFonts w:ascii="Arial" w:eastAsia="Arial" w:hAnsi="Arial"/>
          <w:color w:val="000000"/>
          <w:sz w:val="20"/>
        </w:rPr>
      </w:pPr>
      <w:r>
        <w:rPr>
          <w:rFonts w:ascii="Arial" w:eastAsia="Arial" w:hAnsi="Arial"/>
          <w:color w:val="000000"/>
          <w:sz w:val="20"/>
        </w:rPr>
        <w:t>Irr</w:t>
      </w:r>
      <w:r>
        <w:rPr>
          <w:rFonts w:ascii="Arial" w:eastAsia="Arial" w:hAnsi="Arial"/>
          <w:color w:val="000000"/>
          <w:sz w:val="20"/>
        </w:rPr>
        <w:t>igators were required to identify the timeframe for works and describe how they would manage projects to ensure works were completed on time. This requirement became more important towards the end of the HHWUE program. Project implementation could only occ</w:t>
      </w:r>
      <w:r>
        <w:rPr>
          <w:rFonts w:ascii="Arial" w:eastAsia="Arial" w:hAnsi="Arial"/>
          <w:color w:val="000000"/>
          <w:sz w:val="20"/>
        </w:rPr>
        <w:t>ur within short timeframes, and irrigators were required to demonstrate their capacity to complete the works on time.</w:t>
      </w:r>
    </w:p>
    <w:p w14:paraId="7E2E1F53" w14:textId="77777777" w:rsidR="00D8670B" w:rsidRDefault="009B37A9">
      <w:pPr>
        <w:spacing w:before="121" w:line="230" w:lineRule="exact"/>
        <w:ind w:right="288"/>
        <w:textAlignment w:val="baseline"/>
        <w:rPr>
          <w:rFonts w:ascii="Arial" w:eastAsia="Arial" w:hAnsi="Arial"/>
          <w:color w:val="000000"/>
          <w:sz w:val="20"/>
        </w:rPr>
      </w:pPr>
      <w:r>
        <w:rPr>
          <w:rFonts w:ascii="Arial" w:eastAsia="Arial" w:hAnsi="Arial"/>
          <w:color w:val="000000"/>
          <w:sz w:val="20"/>
        </w:rPr>
        <w:t xml:space="preserve">Irrigators were required to propose a project budget with allowance for application preparation, project management, capital, earthmoving </w:t>
      </w:r>
      <w:r>
        <w:rPr>
          <w:rFonts w:ascii="Arial" w:eastAsia="Arial" w:hAnsi="Arial"/>
          <w:color w:val="000000"/>
          <w:sz w:val="20"/>
        </w:rPr>
        <w:t>and commissioning. The Queensland Government assessed the proposed budgets to ensure the costs were eligible and supported by either a quotation, calculations (with workings shown and quotations for unit rates applied) or estimates for minor items.</w:t>
      </w:r>
    </w:p>
    <w:p w14:paraId="4A74A0FF" w14:textId="77777777" w:rsidR="00D8670B" w:rsidRDefault="009B37A9">
      <w:pPr>
        <w:spacing w:before="241" w:line="299" w:lineRule="exact"/>
        <w:textAlignment w:val="baseline"/>
        <w:rPr>
          <w:rFonts w:ascii="Arial" w:eastAsia="Arial" w:hAnsi="Arial"/>
          <w:b/>
          <w:color w:val="55532D"/>
          <w:sz w:val="26"/>
        </w:rPr>
      </w:pPr>
      <w:r>
        <w:rPr>
          <w:rFonts w:ascii="Arial" w:eastAsia="Arial" w:hAnsi="Arial"/>
          <w:b/>
          <w:color w:val="55532D"/>
          <w:sz w:val="26"/>
        </w:rPr>
        <w:t>2.1.2.5</w:t>
      </w:r>
      <w:r>
        <w:rPr>
          <w:rFonts w:ascii="Arial" w:eastAsia="Arial" w:hAnsi="Arial"/>
          <w:b/>
          <w:color w:val="55532D"/>
          <w:sz w:val="26"/>
        </w:rPr>
        <w:t xml:space="preserve"> Value for money criterion</w:t>
      </w:r>
    </w:p>
    <w:p w14:paraId="77513B90" w14:textId="77777777" w:rsidR="00D8670B" w:rsidRDefault="009B37A9">
      <w:pPr>
        <w:spacing w:before="120" w:line="230" w:lineRule="exact"/>
        <w:ind w:right="432"/>
        <w:textAlignment w:val="baseline"/>
        <w:rPr>
          <w:rFonts w:ascii="Arial" w:eastAsia="Arial" w:hAnsi="Arial"/>
          <w:color w:val="000000"/>
          <w:sz w:val="20"/>
        </w:rPr>
      </w:pPr>
      <w:r>
        <w:rPr>
          <w:rFonts w:ascii="Arial" w:eastAsia="Arial" w:hAnsi="Arial"/>
          <w:color w:val="000000"/>
          <w:sz w:val="20"/>
        </w:rPr>
        <w:t>The value for money of the application was expressed as the cost per megalitre (ML) of water that a project represented for investment by the Australian Government. The value for money figure for each application was calculated b</w:t>
      </w:r>
      <w:r>
        <w:rPr>
          <w:rFonts w:ascii="Arial" w:eastAsia="Arial" w:hAnsi="Arial"/>
          <w:color w:val="000000"/>
          <w:sz w:val="20"/>
        </w:rPr>
        <w:t xml:space="preserve">y dividing the funding requested by the ML of water offered. A margin was added to the funding requested to account for program management overheads. The cost per megalitre was then compared to a regional benchmark price for the water to achieve a “market </w:t>
      </w:r>
      <w:r>
        <w:rPr>
          <w:rFonts w:ascii="Arial" w:eastAsia="Arial" w:hAnsi="Arial"/>
          <w:color w:val="000000"/>
          <w:sz w:val="20"/>
        </w:rPr>
        <w:t>multiple”.</w:t>
      </w:r>
    </w:p>
    <w:p w14:paraId="0266F6DB" w14:textId="77777777" w:rsidR="00D8670B" w:rsidRDefault="009B37A9">
      <w:pPr>
        <w:spacing w:before="117" w:line="230" w:lineRule="exact"/>
        <w:ind w:right="72"/>
        <w:textAlignment w:val="baseline"/>
        <w:rPr>
          <w:rFonts w:ascii="Arial" w:eastAsia="Arial" w:hAnsi="Arial"/>
          <w:color w:val="000000"/>
          <w:sz w:val="20"/>
        </w:rPr>
      </w:pPr>
      <w:r>
        <w:rPr>
          <w:rFonts w:ascii="Arial" w:eastAsia="Arial" w:hAnsi="Arial"/>
          <w:color w:val="000000"/>
          <w:sz w:val="20"/>
        </w:rPr>
        <w:t>The Australian Government set the regional benchmark price depending on the water entitlement location and characteristics. The price was determined based on historical trade data and valuations. In areas where trade data was limited, the Queensland Govern</w:t>
      </w:r>
      <w:r>
        <w:rPr>
          <w:rFonts w:ascii="Arial" w:eastAsia="Arial" w:hAnsi="Arial"/>
          <w:color w:val="000000"/>
          <w:sz w:val="20"/>
        </w:rPr>
        <w:t>ment sought additional valuations through its State Valuation Service to inform its initial assessment. The Australian Government also sought valuations as required.</w:t>
      </w:r>
    </w:p>
    <w:p w14:paraId="4318E6A2" w14:textId="77777777" w:rsidR="00D8670B" w:rsidRDefault="009B37A9">
      <w:pPr>
        <w:spacing w:before="121" w:after="905" w:line="230" w:lineRule="exact"/>
        <w:ind w:right="288"/>
        <w:jc w:val="both"/>
        <w:textAlignment w:val="baseline"/>
        <w:rPr>
          <w:rFonts w:ascii="Arial" w:eastAsia="Arial" w:hAnsi="Arial"/>
          <w:color w:val="000000"/>
          <w:sz w:val="20"/>
        </w:rPr>
      </w:pPr>
      <w:r>
        <w:rPr>
          <w:rFonts w:ascii="Arial" w:eastAsia="Arial" w:hAnsi="Arial"/>
          <w:color w:val="000000"/>
          <w:sz w:val="20"/>
        </w:rPr>
        <w:t>The market multiple reflected how many times above the market price the Australian Governm</w:t>
      </w:r>
      <w:r>
        <w:rPr>
          <w:rFonts w:ascii="Arial" w:eastAsia="Arial" w:hAnsi="Arial"/>
          <w:color w:val="000000"/>
          <w:sz w:val="20"/>
        </w:rPr>
        <w:t>ent would pay per ML of water offered should the application be funded. Approved projects were generally within a market multiple range of 2.0 to 2.51. Applications with a lower market multiple were considered of greater value for money to the Australian G</w:t>
      </w:r>
      <w:r>
        <w:rPr>
          <w:rFonts w:ascii="Arial" w:eastAsia="Arial" w:hAnsi="Arial"/>
          <w:color w:val="000000"/>
          <w:sz w:val="20"/>
        </w:rPr>
        <w:t>overnment and more likely to be approved for funding.</w:t>
      </w:r>
    </w:p>
    <w:p w14:paraId="2D549BBD" w14:textId="77777777" w:rsidR="00D8670B" w:rsidRDefault="009B37A9">
      <w:pPr>
        <w:spacing w:before="165" w:line="227" w:lineRule="exact"/>
        <w:jc w:val="center"/>
        <w:textAlignment w:val="baseline"/>
        <w:rPr>
          <w:rFonts w:ascii="Arial" w:eastAsia="Arial" w:hAnsi="Arial"/>
          <w:color w:val="000000"/>
          <w:spacing w:val="35"/>
          <w:sz w:val="20"/>
        </w:rPr>
      </w:pPr>
      <w:r>
        <w:pict w14:anchorId="617E5FC5">
          <v:line id="_x0000_s1140" style="position:absolute;left:0;text-align:left;z-index:251687936;mso-position-horizontal-relative:page;mso-position-vertical-relative:page" from="40.75pt,789.1pt" to="554.8pt,789.1pt" strokeweight="1.7pt">
            <w10:wrap anchorx="page" anchory="page"/>
          </v:line>
        </w:pict>
      </w:r>
      <w:r>
        <w:rPr>
          <w:rFonts w:ascii="Arial" w:eastAsia="Arial" w:hAnsi="Arial"/>
          <w:color w:val="000000"/>
          <w:spacing w:val="35"/>
          <w:sz w:val="20"/>
        </w:rPr>
        <w:t>14</w:t>
      </w:r>
    </w:p>
    <w:p w14:paraId="21E765B2" w14:textId="77777777" w:rsidR="00D8670B" w:rsidRDefault="00D8670B">
      <w:pPr>
        <w:sectPr w:rsidR="00D8670B">
          <w:pgSz w:w="11909" w:h="16838"/>
          <w:pgMar w:top="1140" w:right="814" w:bottom="282" w:left="815" w:header="720" w:footer="720" w:gutter="0"/>
          <w:cols w:space="720"/>
        </w:sectPr>
      </w:pPr>
    </w:p>
    <w:p w14:paraId="453534CE" w14:textId="77777777" w:rsidR="00D8670B" w:rsidRDefault="009B37A9">
      <w:pPr>
        <w:spacing w:before="135" w:line="205" w:lineRule="exact"/>
        <w:ind w:left="144"/>
        <w:textAlignment w:val="baseline"/>
        <w:rPr>
          <w:rFonts w:ascii="Arial" w:eastAsia="Arial" w:hAnsi="Arial"/>
          <w:b/>
          <w:color w:val="15568B"/>
          <w:sz w:val="18"/>
        </w:rPr>
      </w:pPr>
      <w:r>
        <w:lastRenderedPageBreak/>
        <w:pict w14:anchorId="482CFE34">
          <v:shape id="_x0000_s1139" type="#_x0000_t202" style="position:absolute;left:0;text-align:left;margin-left:40.75pt;margin-top:56pt;width:514pt;height:140.8pt;z-index:-251717632;mso-wrap-distance-left:0;mso-wrap-distance-right:0;mso-wrap-distance-bottom:29.75pt;mso-position-horizontal-relative:page;mso-position-vertical-relative:page" fillcolor="#eaf4fb" stroked="f">
            <v:textbox inset="0,0,0,0">
              <w:txbxContent>
                <w:p w14:paraId="016D4071" w14:textId="77777777" w:rsidR="00000000" w:rsidRDefault="009B37A9"/>
              </w:txbxContent>
            </v:textbox>
            <w10:wrap anchorx="page" anchory="page"/>
          </v:shape>
        </w:pict>
      </w:r>
      <w:r>
        <w:rPr>
          <w:rFonts w:ascii="Arial" w:eastAsia="Arial" w:hAnsi="Arial"/>
          <w:b/>
          <w:color w:val="15568B"/>
          <w:sz w:val="18"/>
        </w:rPr>
        <w:t>Calculating value for money</w:t>
      </w:r>
    </w:p>
    <w:p w14:paraId="2537A631" w14:textId="77777777" w:rsidR="00D8670B" w:rsidRDefault="009B37A9">
      <w:pPr>
        <w:spacing w:before="249" w:line="206" w:lineRule="exact"/>
        <w:ind w:left="144" w:right="936"/>
        <w:textAlignment w:val="baseline"/>
        <w:rPr>
          <w:rFonts w:ascii="Arial" w:eastAsia="Arial" w:hAnsi="Arial"/>
          <w:color w:val="000000"/>
          <w:sz w:val="18"/>
        </w:rPr>
      </w:pPr>
      <w:r>
        <w:rPr>
          <w:rFonts w:ascii="Arial" w:eastAsia="Arial" w:hAnsi="Arial"/>
          <w:color w:val="000000"/>
          <w:sz w:val="18"/>
        </w:rPr>
        <w:t>The value for money market multiple was calculated based on the funding requested, water offered to the Australian Government and regional benchmark. For instance:</w:t>
      </w:r>
    </w:p>
    <w:p w14:paraId="62EF7A18" w14:textId="77777777" w:rsidR="00D8670B" w:rsidRDefault="009B37A9">
      <w:pPr>
        <w:numPr>
          <w:ilvl w:val="0"/>
          <w:numId w:val="2"/>
        </w:numPr>
        <w:tabs>
          <w:tab w:val="clear" w:pos="360"/>
          <w:tab w:val="left" w:pos="864"/>
        </w:tabs>
        <w:spacing w:before="114" w:line="222" w:lineRule="exact"/>
        <w:ind w:left="504"/>
        <w:textAlignment w:val="baseline"/>
        <w:rPr>
          <w:rFonts w:ascii="Arial" w:eastAsia="Arial" w:hAnsi="Arial"/>
          <w:color w:val="000000"/>
          <w:sz w:val="18"/>
        </w:rPr>
      </w:pPr>
      <w:r>
        <w:rPr>
          <w:rFonts w:ascii="Arial" w:eastAsia="Arial" w:hAnsi="Arial"/>
          <w:color w:val="000000"/>
          <w:sz w:val="18"/>
        </w:rPr>
        <w:t>Funding sought: $900,000</w:t>
      </w:r>
    </w:p>
    <w:p w14:paraId="182BD1D3" w14:textId="77777777" w:rsidR="00D8670B" w:rsidRDefault="009B37A9">
      <w:pPr>
        <w:numPr>
          <w:ilvl w:val="0"/>
          <w:numId w:val="2"/>
        </w:numPr>
        <w:tabs>
          <w:tab w:val="clear" w:pos="360"/>
          <w:tab w:val="left" w:pos="864"/>
        </w:tabs>
        <w:spacing w:before="119" w:line="222" w:lineRule="exact"/>
        <w:ind w:left="504"/>
        <w:textAlignment w:val="baseline"/>
        <w:rPr>
          <w:rFonts w:ascii="Arial" w:eastAsia="Arial" w:hAnsi="Arial"/>
          <w:color w:val="000000"/>
          <w:sz w:val="18"/>
        </w:rPr>
      </w:pPr>
      <w:r>
        <w:pict w14:anchorId="0120F17A">
          <v:shape id="_x0000_s1138" type="#_x0000_t202" style="position:absolute;left:0;text-align:left;margin-left:458.4pt;margin-top:129.85pt;width:87.85pt;height:61.65pt;z-index:-251716608;mso-wrap-distance-left:53.5pt;mso-wrap-distance-top:34.35pt;mso-wrap-distance-right:8.5pt;mso-wrap-distance-bottom:5.3pt;mso-position-horizontal-relative:page;mso-position-vertical-relative:page" stroked="f">
            <v:textbox inset="0,0,0,0">
              <w:txbxContent>
                <w:p w14:paraId="62E6BBFB" w14:textId="77777777" w:rsidR="00D8670B" w:rsidRDefault="009B37A9">
                  <w:pPr>
                    <w:textAlignment w:val="baseline"/>
                  </w:pPr>
                  <w:r>
                    <w:rPr>
                      <w:noProof/>
                    </w:rPr>
                    <w:drawing>
                      <wp:inline distT="0" distB="0" distL="0" distR="0" wp14:anchorId="0A3FD131" wp14:editId="4D49029E">
                        <wp:extent cx="1115695" cy="78295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19"/>
                                <a:stretch>
                                  <a:fillRect/>
                                </a:stretch>
                              </pic:blipFill>
                              <pic:spPr>
                                <a:xfrm>
                                  <a:off x="0" y="0"/>
                                  <a:ext cx="1115695" cy="782955"/>
                                </a:xfrm>
                                <a:prstGeom prst="rect">
                                  <a:avLst/>
                                </a:prstGeom>
                              </pic:spPr>
                            </pic:pic>
                          </a:graphicData>
                        </a:graphic>
                      </wp:inline>
                    </w:drawing>
                  </w:r>
                </w:p>
              </w:txbxContent>
            </v:textbox>
            <w10:wrap type="square" anchorx="page" anchory="page"/>
          </v:shape>
        </w:pict>
      </w:r>
      <w:r>
        <w:rPr>
          <w:rFonts w:ascii="Arial" w:eastAsia="Arial" w:hAnsi="Arial"/>
          <w:color w:val="000000"/>
          <w:sz w:val="18"/>
        </w:rPr>
        <w:t>Water offered to the Australian Government: 225 ML</w:t>
      </w:r>
    </w:p>
    <w:p w14:paraId="641D3CBA" w14:textId="77777777" w:rsidR="00D8670B" w:rsidRDefault="009B37A9">
      <w:pPr>
        <w:numPr>
          <w:ilvl w:val="0"/>
          <w:numId w:val="2"/>
        </w:numPr>
        <w:tabs>
          <w:tab w:val="clear" w:pos="360"/>
          <w:tab w:val="left" w:pos="864"/>
        </w:tabs>
        <w:spacing w:before="119" w:line="222" w:lineRule="exact"/>
        <w:ind w:left="504"/>
        <w:textAlignment w:val="baseline"/>
        <w:rPr>
          <w:rFonts w:ascii="Arial" w:eastAsia="Arial" w:hAnsi="Arial"/>
          <w:color w:val="000000"/>
          <w:sz w:val="18"/>
        </w:rPr>
      </w:pPr>
      <w:r>
        <w:rPr>
          <w:rFonts w:ascii="Arial" w:eastAsia="Arial" w:hAnsi="Arial"/>
          <w:color w:val="000000"/>
          <w:sz w:val="18"/>
        </w:rPr>
        <w:t>Cost per ML</w:t>
      </w:r>
      <w:r>
        <w:rPr>
          <w:rFonts w:ascii="Arial" w:eastAsia="Arial" w:hAnsi="Arial"/>
          <w:color w:val="000000"/>
          <w:sz w:val="18"/>
        </w:rPr>
        <w:t>: $4000/ML ($900,000/225 ML)</w:t>
      </w:r>
    </w:p>
    <w:p w14:paraId="50AFAACC" w14:textId="77777777" w:rsidR="00D8670B" w:rsidRDefault="009B37A9">
      <w:pPr>
        <w:numPr>
          <w:ilvl w:val="0"/>
          <w:numId w:val="2"/>
        </w:numPr>
        <w:tabs>
          <w:tab w:val="clear" w:pos="360"/>
          <w:tab w:val="left" w:pos="864"/>
        </w:tabs>
        <w:spacing w:before="114" w:line="222" w:lineRule="exact"/>
        <w:ind w:left="504"/>
        <w:textAlignment w:val="baseline"/>
        <w:rPr>
          <w:rFonts w:ascii="Arial" w:eastAsia="Arial" w:hAnsi="Arial"/>
          <w:color w:val="000000"/>
          <w:sz w:val="18"/>
        </w:rPr>
      </w:pPr>
      <w:r>
        <w:rPr>
          <w:rFonts w:ascii="Arial" w:eastAsia="Arial" w:hAnsi="Arial"/>
          <w:color w:val="000000"/>
          <w:sz w:val="18"/>
        </w:rPr>
        <w:t>Regional benchmark: $1770/ML</w:t>
      </w:r>
    </w:p>
    <w:p w14:paraId="7E383E47" w14:textId="77777777" w:rsidR="00D8670B" w:rsidRDefault="009B37A9">
      <w:pPr>
        <w:numPr>
          <w:ilvl w:val="0"/>
          <w:numId w:val="2"/>
        </w:numPr>
        <w:tabs>
          <w:tab w:val="clear" w:pos="360"/>
          <w:tab w:val="left" w:pos="864"/>
        </w:tabs>
        <w:spacing w:before="119" w:after="115" w:line="222" w:lineRule="exact"/>
        <w:ind w:left="504"/>
        <w:textAlignment w:val="baseline"/>
        <w:rPr>
          <w:rFonts w:ascii="Arial" w:eastAsia="Arial" w:hAnsi="Arial"/>
          <w:color w:val="000000"/>
          <w:spacing w:val="-2"/>
          <w:sz w:val="18"/>
        </w:rPr>
      </w:pPr>
      <w:r>
        <w:rPr>
          <w:rFonts w:ascii="Arial" w:eastAsia="Arial" w:hAnsi="Arial"/>
          <w:color w:val="000000"/>
          <w:spacing w:val="-2"/>
          <w:sz w:val="18"/>
        </w:rPr>
        <w:t>Market multiple: 2.25 ($4000/$1770) not including program management margin.</w:t>
      </w:r>
    </w:p>
    <w:p w14:paraId="4EBA38C1" w14:textId="77777777" w:rsidR="00D8670B" w:rsidRDefault="00D8670B">
      <w:pPr>
        <w:spacing w:before="325" w:line="288" w:lineRule="exact"/>
        <w:textAlignment w:val="baseline"/>
        <w:rPr>
          <w:rFonts w:eastAsia="Times New Roman"/>
          <w:color w:val="000000"/>
          <w:sz w:val="24"/>
        </w:rPr>
      </w:pPr>
    </w:p>
    <w:p w14:paraId="592033D5" w14:textId="77777777" w:rsidR="00D8670B" w:rsidRDefault="009B37A9">
      <w:pPr>
        <w:spacing w:before="2" w:line="296" w:lineRule="exact"/>
        <w:textAlignment w:val="baseline"/>
        <w:rPr>
          <w:rFonts w:ascii="Arial" w:eastAsia="Arial" w:hAnsi="Arial"/>
          <w:b/>
          <w:color w:val="55532D"/>
          <w:sz w:val="26"/>
        </w:rPr>
      </w:pPr>
      <w:r>
        <w:rPr>
          <w:rFonts w:ascii="Arial" w:eastAsia="Arial" w:hAnsi="Arial"/>
          <w:b/>
          <w:color w:val="55532D"/>
          <w:sz w:val="26"/>
        </w:rPr>
        <w:t>2.1.2.6 Recommendation of applications</w:t>
      </w:r>
    </w:p>
    <w:p w14:paraId="4371458D" w14:textId="77777777" w:rsidR="00D8670B" w:rsidRDefault="009B37A9">
      <w:pPr>
        <w:spacing w:before="116" w:line="230" w:lineRule="exact"/>
        <w:ind w:right="936"/>
        <w:textAlignment w:val="baseline"/>
        <w:rPr>
          <w:rFonts w:ascii="Arial" w:eastAsia="Arial" w:hAnsi="Arial"/>
          <w:color w:val="000000"/>
          <w:sz w:val="20"/>
        </w:rPr>
      </w:pPr>
      <w:r>
        <w:rPr>
          <w:rFonts w:ascii="Arial" w:eastAsia="Arial" w:hAnsi="Arial"/>
          <w:color w:val="000000"/>
          <w:sz w:val="20"/>
        </w:rPr>
        <w:t>Following application assessment, the Queensland Government recommended projects to the Australian Government for approval in a “works package”. The works package included both recommended and not recommended projects.</w:t>
      </w:r>
    </w:p>
    <w:p w14:paraId="6B85FD86" w14:textId="77777777" w:rsidR="00D8670B" w:rsidRDefault="009B37A9">
      <w:pPr>
        <w:spacing w:before="123" w:line="230" w:lineRule="exact"/>
        <w:ind w:right="216"/>
        <w:textAlignment w:val="baseline"/>
        <w:rPr>
          <w:rFonts w:ascii="Arial" w:eastAsia="Arial" w:hAnsi="Arial"/>
          <w:color w:val="000000"/>
          <w:sz w:val="20"/>
        </w:rPr>
      </w:pPr>
      <w:r>
        <w:rPr>
          <w:rFonts w:ascii="Arial" w:eastAsia="Arial" w:hAnsi="Arial"/>
          <w:color w:val="000000"/>
          <w:sz w:val="20"/>
        </w:rPr>
        <w:t>The Australian Government responded w</w:t>
      </w:r>
      <w:r>
        <w:rPr>
          <w:rFonts w:ascii="Arial" w:eastAsia="Arial" w:hAnsi="Arial"/>
          <w:color w:val="000000"/>
          <w:sz w:val="20"/>
        </w:rPr>
        <w:t>ith its approval by letter, listing applications approved and applications declined with the reasons. From rounds three to six, the Queensland and Australian governments entered into a variation to the Water Management Partnership Agreement Schedule 2 list</w:t>
      </w:r>
      <w:r>
        <w:rPr>
          <w:rFonts w:ascii="Arial" w:eastAsia="Arial" w:hAnsi="Arial"/>
          <w:color w:val="000000"/>
          <w:sz w:val="20"/>
        </w:rPr>
        <w:t>ing the approved projects in the agreement. Following this variation, the Queensland Government was able to enter into contracts with approved irrigators. From round seven onwards, the process was amended to suit the shorter assessment periods. The approva</w:t>
      </w:r>
      <w:r>
        <w:rPr>
          <w:rFonts w:ascii="Arial" w:eastAsia="Arial" w:hAnsi="Arial"/>
          <w:color w:val="000000"/>
          <w:sz w:val="20"/>
        </w:rPr>
        <w:t>l letter, signed by both governments, was sufficient authority for the Queensland Government to enter into contracts with irrigators.</w:t>
      </w:r>
    </w:p>
    <w:p w14:paraId="0E5BEC94" w14:textId="77777777" w:rsidR="00D8670B" w:rsidRDefault="009B37A9">
      <w:pPr>
        <w:spacing w:before="242" w:line="296" w:lineRule="exact"/>
        <w:textAlignment w:val="baseline"/>
        <w:rPr>
          <w:rFonts w:ascii="Arial" w:eastAsia="Arial" w:hAnsi="Arial"/>
          <w:b/>
          <w:color w:val="55532D"/>
          <w:sz w:val="26"/>
        </w:rPr>
      </w:pPr>
      <w:r>
        <w:rPr>
          <w:rFonts w:ascii="Arial" w:eastAsia="Arial" w:hAnsi="Arial"/>
          <w:b/>
          <w:color w:val="55532D"/>
          <w:sz w:val="26"/>
        </w:rPr>
        <w:t>2.1.2.7 Application outcomes</w:t>
      </w:r>
    </w:p>
    <w:p w14:paraId="778F96A5" w14:textId="77777777" w:rsidR="00D8670B" w:rsidRDefault="009B37A9">
      <w:pPr>
        <w:spacing w:before="124" w:line="228" w:lineRule="exact"/>
        <w:ind w:right="72"/>
        <w:textAlignment w:val="baseline"/>
        <w:rPr>
          <w:rFonts w:ascii="Arial" w:eastAsia="Arial" w:hAnsi="Arial"/>
          <w:color w:val="000000"/>
          <w:sz w:val="20"/>
        </w:rPr>
      </w:pPr>
      <w:r>
        <w:rPr>
          <w:rFonts w:ascii="Arial" w:eastAsia="Arial" w:hAnsi="Arial"/>
          <w:color w:val="000000"/>
          <w:sz w:val="20"/>
        </w:rPr>
        <w:t>The Queensland Government notified irrigators by phone immediately upon receiving the Austral</w:t>
      </w:r>
      <w:r>
        <w:rPr>
          <w:rFonts w:ascii="Arial" w:eastAsia="Arial" w:hAnsi="Arial"/>
          <w:color w:val="000000"/>
          <w:sz w:val="20"/>
        </w:rPr>
        <w:t>ian Government’s approval letter. Following the phone call, the Queensland Government sent written notifications to irrigators. Irrigators with approved projects also received an information sheet on the next steps, a draft contract and a sample water enti</w:t>
      </w:r>
      <w:r>
        <w:rPr>
          <w:rFonts w:ascii="Arial" w:eastAsia="Arial" w:hAnsi="Arial"/>
          <w:color w:val="000000"/>
          <w:sz w:val="20"/>
        </w:rPr>
        <w:t>tlement transfer deed.</w:t>
      </w:r>
    </w:p>
    <w:p w14:paraId="5A933093" w14:textId="77777777" w:rsidR="00D8670B" w:rsidRDefault="009B37A9">
      <w:pPr>
        <w:spacing w:before="122" w:line="230" w:lineRule="exact"/>
        <w:ind w:right="72"/>
        <w:textAlignment w:val="baseline"/>
        <w:rPr>
          <w:rFonts w:ascii="Arial" w:eastAsia="Arial" w:hAnsi="Arial"/>
          <w:color w:val="000000"/>
          <w:sz w:val="20"/>
        </w:rPr>
      </w:pPr>
      <w:r>
        <w:rPr>
          <w:rFonts w:ascii="Arial" w:eastAsia="Arial" w:hAnsi="Arial"/>
          <w:color w:val="000000"/>
          <w:sz w:val="20"/>
        </w:rPr>
        <w:t>Irrigators with declined projects were provided the reasons their applications were declined and offered the opportunity to discuss the matter with the Queensland or Australian governments. In most cases, applications were declined o</w:t>
      </w:r>
      <w:r>
        <w:rPr>
          <w:rFonts w:ascii="Arial" w:eastAsia="Arial" w:hAnsi="Arial"/>
          <w:color w:val="000000"/>
          <w:sz w:val="20"/>
        </w:rPr>
        <w:t>n the basis of value for money (i.e. the price per ML of water was higher than the Australian Government was willing to fund). Often, irrigators chose to reapply in a subsequent round with a revised value for money proposal.</w:t>
      </w:r>
    </w:p>
    <w:p w14:paraId="5BBB6253" w14:textId="77777777" w:rsidR="00D8670B" w:rsidRDefault="009B37A9">
      <w:pPr>
        <w:spacing w:before="244" w:line="322" w:lineRule="exact"/>
        <w:textAlignment w:val="baseline"/>
        <w:rPr>
          <w:rFonts w:ascii="Arial" w:eastAsia="Arial" w:hAnsi="Arial"/>
          <w:b/>
          <w:color w:val="346C36"/>
          <w:sz w:val="28"/>
        </w:rPr>
      </w:pPr>
      <w:r>
        <w:rPr>
          <w:rFonts w:ascii="Arial" w:eastAsia="Arial" w:hAnsi="Arial"/>
          <w:b/>
          <w:color w:val="346C36"/>
          <w:sz w:val="28"/>
        </w:rPr>
        <w:t>2.1.3 Contract negotiation</w:t>
      </w:r>
    </w:p>
    <w:p w14:paraId="3EB7EBB6" w14:textId="77777777" w:rsidR="00D8670B" w:rsidRDefault="009B37A9">
      <w:pPr>
        <w:spacing w:before="115" w:line="231" w:lineRule="exact"/>
        <w:ind w:right="504"/>
        <w:textAlignment w:val="baseline"/>
        <w:rPr>
          <w:rFonts w:ascii="Arial" w:eastAsia="Arial" w:hAnsi="Arial"/>
          <w:color w:val="000000"/>
          <w:spacing w:val="-1"/>
          <w:sz w:val="20"/>
        </w:rPr>
      </w:pPr>
      <w:r>
        <w:rPr>
          <w:rFonts w:ascii="Arial" w:eastAsia="Arial" w:hAnsi="Arial"/>
          <w:color w:val="000000"/>
          <w:spacing w:val="-1"/>
          <w:sz w:val="20"/>
        </w:rPr>
        <w:t>Approved irrigators entered into two contracts: a contract with the Queensland Government for the project and funding, and a water entitlement transfer deed with the Australian Government for the transfer of the water.</w:t>
      </w:r>
    </w:p>
    <w:p w14:paraId="30DA6BA0" w14:textId="77777777" w:rsidR="00D8670B" w:rsidRDefault="009B37A9">
      <w:pPr>
        <w:spacing w:before="242" w:line="296" w:lineRule="exact"/>
        <w:textAlignment w:val="baseline"/>
        <w:rPr>
          <w:rFonts w:ascii="Arial" w:eastAsia="Arial" w:hAnsi="Arial"/>
          <w:b/>
          <w:color w:val="55532D"/>
          <w:sz w:val="26"/>
        </w:rPr>
      </w:pPr>
      <w:r>
        <w:rPr>
          <w:rFonts w:ascii="Arial" w:eastAsia="Arial" w:hAnsi="Arial"/>
          <w:b/>
          <w:color w:val="55532D"/>
          <w:sz w:val="26"/>
        </w:rPr>
        <w:t>2.1.3.1 Contracts</w:t>
      </w:r>
    </w:p>
    <w:p w14:paraId="465FB00B" w14:textId="77777777" w:rsidR="00D8670B" w:rsidRDefault="009B37A9">
      <w:pPr>
        <w:spacing w:before="121" w:line="230" w:lineRule="exact"/>
        <w:ind w:right="360"/>
        <w:textAlignment w:val="baseline"/>
        <w:rPr>
          <w:rFonts w:ascii="Arial" w:eastAsia="Arial" w:hAnsi="Arial"/>
          <w:color w:val="000000"/>
          <w:sz w:val="20"/>
        </w:rPr>
      </w:pPr>
      <w:r>
        <w:rPr>
          <w:rFonts w:ascii="Arial" w:eastAsia="Arial" w:hAnsi="Arial"/>
          <w:color w:val="000000"/>
          <w:sz w:val="20"/>
        </w:rPr>
        <w:t>For each project, t</w:t>
      </w:r>
      <w:r>
        <w:rPr>
          <w:rFonts w:ascii="Arial" w:eastAsia="Arial" w:hAnsi="Arial"/>
          <w:color w:val="000000"/>
          <w:sz w:val="20"/>
        </w:rPr>
        <w:t>he irrigator, landholder, water owner and Queensland Government entered into a contract. Contracts detailed obligations such as compliance with legislation, reporting, timely delivery, record keeping and claiming payments.</w:t>
      </w:r>
    </w:p>
    <w:p w14:paraId="5FF16472" w14:textId="77777777" w:rsidR="00D8670B" w:rsidRDefault="009B37A9">
      <w:pPr>
        <w:spacing w:before="121" w:line="230" w:lineRule="exact"/>
        <w:ind w:right="360"/>
        <w:textAlignment w:val="baseline"/>
        <w:rPr>
          <w:rFonts w:ascii="Arial" w:eastAsia="Arial" w:hAnsi="Arial"/>
          <w:color w:val="000000"/>
          <w:sz w:val="20"/>
        </w:rPr>
      </w:pPr>
      <w:r>
        <w:rPr>
          <w:rFonts w:ascii="Arial" w:eastAsia="Arial" w:hAnsi="Arial"/>
          <w:color w:val="000000"/>
          <w:sz w:val="20"/>
        </w:rPr>
        <w:t>Contracts were developed from a s</w:t>
      </w:r>
      <w:r>
        <w:rPr>
          <w:rFonts w:ascii="Arial" w:eastAsia="Arial" w:hAnsi="Arial"/>
          <w:color w:val="000000"/>
          <w:sz w:val="20"/>
        </w:rPr>
        <w:t>tandard Queensland Government contract template with modifications for the HHWUE program. The contracts were contingent on irrigators’ subsequently entering into water entitlement transfer deeds with the Australian Government.</w:t>
      </w:r>
    </w:p>
    <w:p w14:paraId="4AA74A12" w14:textId="77777777" w:rsidR="00D8670B" w:rsidRDefault="009B37A9">
      <w:pPr>
        <w:spacing w:before="119" w:line="231" w:lineRule="exact"/>
        <w:ind w:right="576"/>
        <w:textAlignment w:val="baseline"/>
        <w:rPr>
          <w:rFonts w:ascii="Arial" w:eastAsia="Arial" w:hAnsi="Arial"/>
          <w:color w:val="000000"/>
          <w:sz w:val="20"/>
        </w:rPr>
      </w:pPr>
      <w:r>
        <w:rPr>
          <w:rFonts w:ascii="Arial" w:eastAsia="Arial" w:hAnsi="Arial"/>
          <w:color w:val="000000"/>
          <w:sz w:val="20"/>
        </w:rPr>
        <w:t>Irrigators could negotiate milestone dates within the overall timeframe of the HHWUE program, the number of intermediate milestones and special conditions (from round eight onwards) in the Schedule 1.</w:t>
      </w:r>
    </w:p>
    <w:p w14:paraId="0ED17A85" w14:textId="77777777" w:rsidR="00D8670B" w:rsidRDefault="009B37A9">
      <w:pPr>
        <w:spacing w:before="114" w:line="231" w:lineRule="exact"/>
        <w:ind w:right="144"/>
        <w:textAlignment w:val="baseline"/>
        <w:rPr>
          <w:rFonts w:ascii="Arial" w:eastAsia="Arial" w:hAnsi="Arial"/>
          <w:color w:val="000000"/>
          <w:spacing w:val="-1"/>
          <w:sz w:val="20"/>
        </w:rPr>
      </w:pPr>
      <w:r>
        <w:rPr>
          <w:rFonts w:ascii="Arial" w:eastAsia="Arial" w:hAnsi="Arial"/>
          <w:color w:val="000000"/>
          <w:spacing w:val="-1"/>
          <w:sz w:val="20"/>
        </w:rPr>
        <w:t>The contract template was updated from time to time, fo</w:t>
      </w:r>
      <w:r>
        <w:rPr>
          <w:rFonts w:ascii="Arial" w:eastAsia="Arial" w:hAnsi="Arial"/>
          <w:color w:val="000000"/>
          <w:spacing w:val="-1"/>
          <w:sz w:val="20"/>
        </w:rPr>
        <w:t>r instance in response to legislation or for consistency with HHWUE process improvements. An additional version of the template was developed for cross border projects.</w:t>
      </w:r>
    </w:p>
    <w:p w14:paraId="1555FBF6" w14:textId="77777777" w:rsidR="00D8670B" w:rsidRDefault="009B37A9">
      <w:pPr>
        <w:spacing w:before="247" w:line="296" w:lineRule="exact"/>
        <w:textAlignment w:val="baseline"/>
        <w:rPr>
          <w:rFonts w:ascii="Arial" w:eastAsia="Arial" w:hAnsi="Arial"/>
          <w:b/>
          <w:color w:val="55532D"/>
          <w:sz w:val="26"/>
        </w:rPr>
      </w:pPr>
      <w:r>
        <w:rPr>
          <w:rFonts w:ascii="Arial" w:eastAsia="Arial" w:hAnsi="Arial"/>
          <w:b/>
          <w:color w:val="55532D"/>
          <w:sz w:val="26"/>
        </w:rPr>
        <w:t>2.1.3.2 Pre-contractual meetings</w:t>
      </w:r>
    </w:p>
    <w:p w14:paraId="1EAFD653" w14:textId="77777777" w:rsidR="00D8670B" w:rsidRDefault="009B37A9">
      <w:pPr>
        <w:spacing w:before="117" w:after="191" w:line="228" w:lineRule="exact"/>
        <w:textAlignment w:val="baseline"/>
        <w:rPr>
          <w:rFonts w:ascii="Arial" w:eastAsia="Arial" w:hAnsi="Arial"/>
          <w:color w:val="000000"/>
          <w:sz w:val="20"/>
        </w:rPr>
      </w:pPr>
      <w:r>
        <w:rPr>
          <w:rFonts w:ascii="Arial" w:eastAsia="Arial" w:hAnsi="Arial"/>
          <w:color w:val="000000"/>
          <w:sz w:val="20"/>
        </w:rPr>
        <w:t>The Queensland Government held a pre-contractual meeti</w:t>
      </w:r>
      <w:r>
        <w:rPr>
          <w:rFonts w:ascii="Arial" w:eastAsia="Arial" w:hAnsi="Arial"/>
          <w:color w:val="000000"/>
          <w:sz w:val="20"/>
        </w:rPr>
        <w:t>ng with each approved irrigator. Irrigators were invited to</w:t>
      </w:r>
    </w:p>
    <w:p w14:paraId="5ABDEC57" w14:textId="77777777" w:rsidR="00D8670B" w:rsidRDefault="009B37A9">
      <w:pPr>
        <w:spacing w:before="165" w:line="227" w:lineRule="exact"/>
        <w:jc w:val="center"/>
        <w:textAlignment w:val="baseline"/>
        <w:rPr>
          <w:rFonts w:ascii="Arial" w:eastAsia="Arial" w:hAnsi="Arial"/>
          <w:color w:val="000000"/>
          <w:spacing w:val="35"/>
          <w:sz w:val="20"/>
        </w:rPr>
      </w:pPr>
      <w:r>
        <w:pict w14:anchorId="67DC8DF7">
          <v:line id="_x0000_s1137" style="position:absolute;left:0;text-align:left;z-index:251688960;mso-position-horizontal-relative:page;mso-position-vertical-relative:page" from="40.75pt,789.1pt" to="554.8pt,789.1pt" strokeweight="1.7pt">
            <w10:wrap anchorx="page" anchory="page"/>
          </v:line>
        </w:pict>
      </w:r>
      <w:r>
        <w:rPr>
          <w:rFonts w:ascii="Arial" w:eastAsia="Arial" w:hAnsi="Arial"/>
          <w:color w:val="000000"/>
          <w:spacing w:val="35"/>
          <w:sz w:val="20"/>
        </w:rPr>
        <w:t>15</w:t>
      </w:r>
    </w:p>
    <w:p w14:paraId="4320BCAB" w14:textId="77777777" w:rsidR="00D8670B" w:rsidRDefault="00D8670B">
      <w:pPr>
        <w:sectPr w:rsidR="00D8670B">
          <w:pgSz w:w="11909" w:h="16838"/>
          <w:pgMar w:top="1120" w:right="814" w:bottom="282" w:left="815" w:header="720" w:footer="720" w:gutter="0"/>
          <w:cols w:space="720"/>
        </w:sectPr>
      </w:pPr>
    </w:p>
    <w:p w14:paraId="59F2B7A6" w14:textId="77777777" w:rsidR="00D8670B" w:rsidRDefault="009B37A9">
      <w:pPr>
        <w:spacing w:before="20" w:line="230" w:lineRule="exact"/>
        <w:ind w:right="144"/>
        <w:textAlignment w:val="baseline"/>
        <w:rPr>
          <w:rFonts w:ascii="Arial" w:eastAsia="Arial" w:hAnsi="Arial"/>
          <w:color w:val="000000"/>
          <w:sz w:val="20"/>
        </w:rPr>
      </w:pPr>
      <w:r>
        <w:rPr>
          <w:rFonts w:ascii="Arial" w:eastAsia="Arial" w:hAnsi="Arial"/>
          <w:color w:val="000000"/>
          <w:sz w:val="20"/>
        </w:rPr>
        <w:lastRenderedPageBreak/>
        <w:t>include their consultants, landholders, water owners and any other interested parties at these meetings. The meetings introduced irrigators to the contract and processes such as the water transfer, payments and reporting. If a draft contract had not previo</w:t>
      </w:r>
      <w:r>
        <w:rPr>
          <w:rFonts w:ascii="Arial" w:eastAsia="Arial" w:hAnsi="Arial"/>
          <w:color w:val="000000"/>
          <w:sz w:val="20"/>
        </w:rPr>
        <w:t>usly been provided to the irrigator, the Queensland Government presented it at this time. The Queensland Government recommended all irrigators seek independent legal advice before entering into contracts.</w:t>
      </w:r>
    </w:p>
    <w:p w14:paraId="4F7C38BD" w14:textId="77777777" w:rsidR="00D8670B" w:rsidRDefault="009B37A9">
      <w:pPr>
        <w:spacing w:before="120" w:line="230" w:lineRule="exact"/>
        <w:ind w:right="1080"/>
        <w:textAlignment w:val="baseline"/>
        <w:rPr>
          <w:rFonts w:ascii="Arial" w:eastAsia="Arial" w:hAnsi="Arial"/>
          <w:color w:val="000000"/>
          <w:sz w:val="20"/>
        </w:rPr>
      </w:pPr>
      <w:r>
        <w:rPr>
          <w:rFonts w:ascii="Arial" w:eastAsia="Arial" w:hAnsi="Arial"/>
          <w:color w:val="000000"/>
          <w:sz w:val="20"/>
        </w:rPr>
        <w:t>Following the pre-contractual meeting, the Queensla</w:t>
      </w:r>
      <w:r>
        <w:rPr>
          <w:rFonts w:ascii="Arial" w:eastAsia="Arial" w:hAnsi="Arial"/>
          <w:color w:val="000000"/>
          <w:sz w:val="20"/>
        </w:rPr>
        <w:t>nd Government requested the irrigator confirm their acceptance of the contract and provide any documentation necessary for establishment.</w:t>
      </w:r>
    </w:p>
    <w:p w14:paraId="6B9997E7" w14:textId="77777777" w:rsidR="00D8670B" w:rsidRDefault="009B37A9">
      <w:pPr>
        <w:spacing w:before="243" w:line="298" w:lineRule="exact"/>
        <w:textAlignment w:val="baseline"/>
        <w:rPr>
          <w:rFonts w:ascii="Arial" w:eastAsia="Arial" w:hAnsi="Arial"/>
          <w:b/>
          <w:color w:val="55532D"/>
          <w:spacing w:val="-1"/>
          <w:sz w:val="26"/>
        </w:rPr>
      </w:pPr>
      <w:r>
        <w:rPr>
          <w:rFonts w:ascii="Arial" w:eastAsia="Arial" w:hAnsi="Arial"/>
          <w:b/>
          <w:color w:val="55532D"/>
          <w:spacing w:val="-1"/>
          <w:sz w:val="26"/>
        </w:rPr>
        <w:t>2.1.3.3 Signing</w:t>
      </w:r>
    </w:p>
    <w:p w14:paraId="7E6572AC" w14:textId="77777777" w:rsidR="00D8670B" w:rsidRDefault="009B37A9">
      <w:pPr>
        <w:spacing w:before="119" w:line="230" w:lineRule="exact"/>
        <w:ind w:right="216"/>
        <w:textAlignment w:val="baseline"/>
        <w:rPr>
          <w:rFonts w:ascii="Arial" w:eastAsia="Arial" w:hAnsi="Arial"/>
          <w:color w:val="000000"/>
          <w:sz w:val="20"/>
        </w:rPr>
      </w:pPr>
      <w:r>
        <w:rPr>
          <w:rFonts w:ascii="Arial" w:eastAsia="Arial" w:hAnsi="Arial"/>
          <w:color w:val="000000"/>
          <w:sz w:val="20"/>
        </w:rPr>
        <w:t>Once the irrigator confirmed acceptance of the draft contract, the Queensland Government prepared a fi</w:t>
      </w:r>
      <w:r>
        <w:rPr>
          <w:rFonts w:ascii="Arial" w:eastAsia="Arial" w:hAnsi="Arial"/>
          <w:color w:val="000000"/>
          <w:sz w:val="20"/>
        </w:rPr>
        <w:t>nal contract for signing. In most cases, the Queensland Government signed the final contract first. Where this timing was unsuitable however, contracts were signed in counterpart (i.e. by the parties concurrently on duplicate copies of the contract).</w:t>
      </w:r>
    </w:p>
    <w:p w14:paraId="14ED3722" w14:textId="77777777" w:rsidR="00D8670B" w:rsidRDefault="009B37A9">
      <w:pPr>
        <w:spacing w:before="121" w:line="230" w:lineRule="exact"/>
        <w:ind w:right="144"/>
        <w:textAlignment w:val="baseline"/>
        <w:rPr>
          <w:rFonts w:ascii="Arial" w:eastAsia="Arial" w:hAnsi="Arial"/>
          <w:color w:val="000000"/>
          <w:sz w:val="20"/>
        </w:rPr>
      </w:pPr>
      <w:r>
        <w:rPr>
          <w:rFonts w:ascii="Arial" w:eastAsia="Arial" w:hAnsi="Arial"/>
          <w:color w:val="000000"/>
          <w:sz w:val="20"/>
        </w:rPr>
        <w:t xml:space="preserve">Once </w:t>
      </w:r>
      <w:r>
        <w:rPr>
          <w:rFonts w:ascii="Arial" w:eastAsia="Arial" w:hAnsi="Arial"/>
          <w:color w:val="000000"/>
          <w:sz w:val="20"/>
        </w:rPr>
        <w:t>the contract was signed, changes could only be made through a deed of variation. For projects prior to round eight, all original parties were required to sign variations. For projects from round eight onwards, the water owner had no further obligation to s</w:t>
      </w:r>
      <w:r>
        <w:rPr>
          <w:rFonts w:ascii="Arial" w:eastAsia="Arial" w:hAnsi="Arial"/>
          <w:color w:val="000000"/>
          <w:sz w:val="20"/>
        </w:rPr>
        <w:t>ign variations once the water transfer had taken place.</w:t>
      </w:r>
    </w:p>
    <w:p w14:paraId="6B68D68F" w14:textId="77777777" w:rsidR="00D8670B" w:rsidRDefault="009B37A9">
      <w:pPr>
        <w:spacing w:before="117" w:line="230" w:lineRule="exact"/>
        <w:ind w:right="216"/>
        <w:textAlignment w:val="baseline"/>
        <w:rPr>
          <w:rFonts w:ascii="Arial" w:eastAsia="Arial" w:hAnsi="Arial"/>
          <w:color w:val="000000"/>
          <w:sz w:val="20"/>
        </w:rPr>
      </w:pPr>
      <w:r>
        <w:rPr>
          <w:rFonts w:ascii="Arial" w:eastAsia="Arial" w:hAnsi="Arial"/>
          <w:color w:val="000000"/>
          <w:sz w:val="20"/>
        </w:rPr>
        <w:t>Upon signing contracts, irrigators were required to provide the Queensland Government various evidence of their meeting agreed obligations including insurances. From round five, irrigators were requir</w:t>
      </w:r>
      <w:r>
        <w:rPr>
          <w:rFonts w:ascii="Arial" w:eastAsia="Arial" w:hAnsi="Arial"/>
          <w:color w:val="000000"/>
          <w:sz w:val="20"/>
        </w:rPr>
        <w:t>ed to provide additional information on how they would meet their compliance obligations, in the form of a compliance plan identifying any approvals or permits required for their works, how they would be obtained and the evidence which would be provided to</w:t>
      </w:r>
      <w:r>
        <w:rPr>
          <w:rFonts w:ascii="Arial" w:eastAsia="Arial" w:hAnsi="Arial"/>
          <w:color w:val="000000"/>
          <w:sz w:val="20"/>
        </w:rPr>
        <w:t xml:space="preserve"> the Queensland Government.</w:t>
      </w:r>
    </w:p>
    <w:p w14:paraId="2FFC2988" w14:textId="77777777" w:rsidR="00D8670B" w:rsidRDefault="009B37A9">
      <w:pPr>
        <w:spacing w:before="243" w:line="319" w:lineRule="exact"/>
        <w:textAlignment w:val="baseline"/>
        <w:rPr>
          <w:rFonts w:ascii="Arial" w:eastAsia="Arial" w:hAnsi="Arial"/>
          <w:b/>
          <w:color w:val="336C36"/>
          <w:spacing w:val="1"/>
          <w:sz w:val="28"/>
        </w:rPr>
      </w:pPr>
      <w:r>
        <w:rPr>
          <w:rFonts w:ascii="Arial" w:eastAsia="Arial" w:hAnsi="Arial"/>
          <w:b/>
          <w:color w:val="336C36"/>
          <w:spacing w:val="1"/>
          <w:sz w:val="28"/>
        </w:rPr>
        <w:t>2.1.4 Water transfer</w:t>
      </w:r>
    </w:p>
    <w:p w14:paraId="77D20A5D" w14:textId="77777777" w:rsidR="00D8670B" w:rsidRDefault="009B37A9">
      <w:pPr>
        <w:spacing w:before="121" w:after="76" w:line="230" w:lineRule="exact"/>
        <w:ind w:right="72"/>
        <w:textAlignment w:val="baseline"/>
        <w:rPr>
          <w:rFonts w:ascii="Arial" w:eastAsia="Arial" w:hAnsi="Arial"/>
          <w:color w:val="000000"/>
          <w:sz w:val="20"/>
        </w:rPr>
      </w:pPr>
      <w:r>
        <w:rPr>
          <w:rFonts w:ascii="Arial" w:eastAsia="Arial" w:hAnsi="Arial"/>
          <w:color w:val="000000"/>
          <w:sz w:val="20"/>
        </w:rPr>
        <w:t>Irrigators returned water to the environment by transferring a water entitlement to the Australian Government. Water transfer was a pre-requisite for any funding payments. While irrigators could start work on their projects upon approval, any work undertak</w:t>
      </w:r>
      <w:r>
        <w:rPr>
          <w:rFonts w:ascii="Arial" w:eastAsia="Arial" w:hAnsi="Arial"/>
          <w:color w:val="000000"/>
          <w:sz w:val="20"/>
        </w:rPr>
        <w:t>en prior to the contract being signed and water transferred was at their risk.</w:t>
      </w:r>
    </w:p>
    <w:p w14:paraId="4FE48852" w14:textId="77777777" w:rsidR="00D8670B" w:rsidRDefault="009B37A9">
      <w:pPr>
        <w:spacing w:after="140"/>
        <w:ind w:left="601" w:right="626"/>
        <w:textAlignment w:val="baseline"/>
      </w:pPr>
      <w:r>
        <w:rPr>
          <w:noProof/>
        </w:rPr>
        <w:drawing>
          <wp:inline distT="0" distB="0" distL="0" distR="0" wp14:anchorId="133F22DD" wp14:editId="5F2D1445">
            <wp:extent cx="5748655" cy="163068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0"/>
                    <a:stretch>
                      <a:fillRect/>
                    </a:stretch>
                  </pic:blipFill>
                  <pic:spPr>
                    <a:xfrm>
                      <a:off x="0" y="0"/>
                      <a:ext cx="5748655" cy="1630680"/>
                    </a:xfrm>
                    <a:prstGeom prst="rect">
                      <a:avLst/>
                    </a:prstGeom>
                  </pic:spPr>
                </pic:pic>
              </a:graphicData>
            </a:graphic>
          </wp:inline>
        </w:drawing>
      </w:r>
    </w:p>
    <w:p w14:paraId="0D4E996B"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6: Common steps and timeframe to water transfer</w:t>
      </w:r>
    </w:p>
    <w:p w14:paraId="1B60595E" w14:textId="77777777" w:rsidR="00D8670B" w:rsidRDefault="009B37A9">
      <w:pPr>
        <w:spacing w:before="245" w:line="298" w:lineRule="exact"/>
        <w:textAlignment w:val="baseline"/>
        <w:rPr>
          <w:rFonts w:ascii="Arial" w:eastAsia="Arial" w:hAnsi="Arial"/>
          <w:b/>
          <w:color w:val="55532D"/>
          <w:sz w:val="26"/>
        </w:rPr>
      </w:pPr>
      <w:r>
        <w:rPr>
          <w:rFonts w:ascii="Arial" w:eastAsia="Arial" w:hAnsi="Arial"/>
          <w:b/>
          <w:color w:val="55532D"/>
          <w:sz w:val="26"/>
        </w:rPr>
        <w:t>2.1.4.1 Preparing entitlements for transfer</w:t>
      </w:r>
    </w:p>
    <w:p w14:paraId="5A51272A" w14:textId="77777777" w:rsidR="00D8670B" w:rsidRDefault="009B37A9">
      <w:pPr>
        <w:spacing w:before="120" w:after="2793" w:line="230" w:lineRule="exact"/>
        <w:ind w:right="288"/>
        <w:textAlignment w:val="baseline"/>
        <w:rPr>
          <w:rFonts w:ascii="Arial" w:eastAsia="Arial" w:hAnsi="Arial"/>
          <w:color w:val="000000"/>
          <w:sz w:val="20"/>
        </w:rPr>
      </w:pPr>
      <w:r>
        <w:rPr>
          <w:rFonts w:ascii="Arial" w:eastAsia="Arial" w:hAnsi="Arial"/>
          <w:color w:val="000000"/>
          <w:sz w:val="20"/>
        </w:rPr>
        <w:t>The water entitlements transferred under the HHWUE program had to be free from any encumbrances and transferred permanently. Because preparing an entitlement for transfer could be costly and time consuming, the Queensland Government did not require entitle</w:t>
      </w:r>
      <w:r>
        <w:rPr>
          <w:rFonts w:ascii="Arial" w:eastAsia="Arial" w:hAnsi="Arial"/>
          <w:color w:val="000000"/>
          <w:sz w:val="20"/>
        </w:rPr>
        <w:t>ments to be ready to transfer at the time of application. If the application was approved however, the water owner was required to prepare the entitlement. Typically, the steps involved removing encumbrances and subdividing an entitlement into two portions</w:t>
      </w:r>
      <w:r>
        <w:rPr>
          <w:rFonts w:ascii="Arial" w:eastAsia="Arial" w:hAnsi="Arial"/>
          <w:color w:val="000000"/>
          <w:sz w:val="20"/>
        </w:rPr>
        <w:t xml:space="preserve"> (the volume of water to be transferred to the Australian Government, and the volume retained by the water owner).</w:t>
      </w:r>
    </w:p>
    <w:p w14:paraId="7658630D" w14:textId="77777777" w:rsidR="00D8670B" w:rsidRDefault="009B37A9">
      <w:pPr>
        <w:spacing w:before="163" w:line="229" w:lineRule="exact"/>
        <w:jc w:val="center"/>
        <w:textAlignment w:val="baseline"/>
        <w:rPr>
          <w:rFonts w:ascii="Arial" w:eastAsia="Arial" w:hAnsi="Arial"/>
          <w:color w:val="000000"/>
          <w:spacing w:val="35"/>
          <w:sz w:val="20"/>
        </w:rPr>
      </w:pPr>
      <w:r>
        <w:pict w14:anchorId="5DC8B1C9">
          <v:line id="_x0000_s1136" style="position:absolute;left:0;text-align:left;z-index:251689984;mso-position-horizontal-relative:page;mso-position-vertical-relative:page" from="40.75pt,789.1pt" to="554.8pt,789.1pt" strokeweight="1.7pt">
            <w10:wrap anchorx="page" anchory="page"/>
          </v:line>
        </w:pict>
      </w:r>
      <w:r>
        <w:rPr>
          <w:rFonts w:ascii="Arial" w:eastAsia="Arial" w:hAnsi="Arial"/>
          <w:color w:val="000000"/>
          <w:spacing w:val="35"/>
          <w:sz w:val="20"/>
        </w:rPr>
        <w:t>16</w:t>
      </w:r>
    </w:p>
    <w:p w14:paraId="37DCE009" w14:textId="77777777" w:rsidR="00D8670B" w:rsidRDefault="00D8670B">
      <w:pPr>
        <w:sectPr w:rsidR="00D8670B">
          <w:pgSz w:w="11909" w:h="16838"/>
          <w:pgMar w:top="1120" w:right="814" w:bottom="282" w:left="815" w:header="720" w:footer="720" w:gutter="0"/>
          <w:cols w:space="720"/>
        </w:sectPr>
      </w:pPr>
    </w:p>
    <w:p w14:paraId="2F8B8BEB" w14:textId="77777777" w:rsidR="00D8670B" w:rsidRDefault="009B37A9">
      <w:pPr>
        <w:spacing w:before="125" w:line="206" w:lineRule="exact"/>
        <w:ind w:left="144"/>
        <w:textAlignment w:val="baseline"/>
        <w:rPr>
          <w:rFonts w:ascii="Arial" w:eastAsia="Arial" w:hAnsi="Arial"/>
          <w:b/>
          <w:color w:val="15568B"/>
          <w:sz w:val="18"/>
        </w:rPr>
      </w:pPr>
      <w:r>
        <w:lastRenderedPageBreak/>
        <w:pict w14:anchorId="77596720">
          <v:shape id="_x0000_s1135" type="#_x0000_t202" style="position:absolute;left:0;text-align:left;margin-left:40.75pt;margin-top:74pt;width:514pt;height:176.8pt;z-index:-251715584;mso-wrap-distance-left:0;mso-wrap-distance-right:0;mso-wrap-distance-bottom:23.6pt;mso-position-horizontal-relative:page;mso-position-vertical-relative:page" fillcolor="#eaf4fb" stroked="f">
            <v:textbox inset="0,0,0,0">
              <w:txbxContent>
                <w:p w14:paraId="0066ED49" w14:textId="77777777" w:rsidR="00000000" w:rsidRDefault="009B37A9"/>
              </w:txbxContent>
            </v:textbox>
            <w10:wrap anchorx="page" anchory="page"/>
          </v:shape>
        </w:pict>
      </w:r>
      <w:r>
        <w:rPr>
          <w:rFonts w:ascii="Arial" w:eastAsia="Arial" w:hAnsi="Arial"/>
          <w:b/>
          <w:color w:val="15568B"/>
          <w:sz w:val="18"/>
        </w:rPr>
        <w:t>Owning water in Queensland</w:t>
      </w:r>
    </w:p>
    <w:p w14:paraId="17837743" w14:textId="77777777" w:rsidR="00D8670B" w:rsidRDefault="009B37A9">
      <w:pPr>
        <w:spacing w:before="247" w:line="207" w:lineRule="exact"/>
        <w:ind w:left="144" w:right="216"/>
        <w:textAlignment w:val="baseline"/>
        <w:rPr>
          <w:rFonts w:ascii="Arial" w:eastAsia="Arial" w:hAnsi="Arial"/>
          <w:color w:val="000000"/>
          <w:sz w:val="18"/>
        </w:rPr>
      </w:pPr>
      <w:r>
        <w:rPr>
          <w:rFonts w:ascii="Arial" w:eastAsia="Arial" w:hAnsi="Arial"/>
          <w:color w:val="000000"/>
          <w:sz w:val="18"/>
        </w:rPr>
        <w:t>In Queensland, water entitlements can be owned, subdivided, leased and traded. Entitlements m</w:t>
      </w:r>
      <w:r>
        <w:rPr>
          <w:rFonts w:ascii="Arial" w:eastAsia="Arial" w:hAnsi="Arial"/>
          <w:color w:val="000000"/>
          <w:sz w:val="18"/>
        </w:rPr>
        <w:t>ay also have encumbrances such as mortgages, ties to parcels of land, or particular interactions with the holder’s other entitlements.</w:t>
      </w:r>
    </w:p>
    <w:p w14:paraId="2983045B" w14:textId="77777777" w:rsidR="00D8670B" w:rsidRDefault="009B37A9">
      <w:pPr>
        <w:spacing w:before="121" w:line="206" w:lineRule="exact"/>
        <w:ind w:left="144" w:right="288"/>
        <w:textAlignment w:val="baseline"/>
        <w:rPr>
          <w:rFonts w:ascii="Arial" w:eastAsia="Arial" w:hAnsi="Arial"/>
          <w:color w:val="000000"/>
          <w:spacing w:val="-1"/>
          <w:sz w:val="18"/>
        </w:rPr>
      </w:pPr>
      <w:r>
        <w:rPr>
          <w:rFonts w:ascii="Arial" w:eastAsia="Arial" w:hAnsi="Arial"/>
          <w:color w:val="000000"/>
          <w:spacing w:val="-1"/>
          <w:sz w:val="18"/>
        </w:rPr>
        <w:t xml:space="preserve">A common encumbrance is an </w:t>
      </w:r>
      <w:r>
        <w:rPr>
          <w:rFonts w:ascii="Arial" w:eastAsia="Arial" w:hAnsi="Arial"/>
          <w:color w:val="000000"/>
          <w:spacing w:val="-1"/>
          <w:sz w:val="18"/>
        </w:rPr>
        <w:t>“overland flow hook”. This hook occurs where both surface and overland flow water are captured, stored and managed under the same entitlement. In order to transfer the surface water component, the water owner must “unhook” the entitlement, creating separat</w:t>
      </w:r>
      <w:r>
        <w:rPr>
          <w:rFonts w:ascii="Arial" w:eastAsia="Arial" w:hAnsi="Arial"/>
          <w:color w:val="000000"/>
          <w:spacing w:val="-1"/>
          <w:sz w:val="18"/>
        </w:rPr>
        <w:t>e surface and overland flow entitlements with independent conditions.</w:t>
      </w:r>
    </w:p>
    <w:p w14:paraId="224AE7AF" w14:textId="77777777" w:rsidR="00D8670B" w:rsidRDefault="009B37A9">
      <w:pPr>
        <w:spacing w:before="122" w:line="204" w:lineRule="exact"/>
        <w:ind w:left="144"/>
        <w:textAlignment w:val="baseline"/>
        <w:rPr>
          <w:rFonts w:ascii="Arial" w:eastAsia="Arial" w:hAnsi="Arial"/>
          <w:color w:val="000000"/>
          <w:sz w:val="18"/>
        </w:rPr>
      </w:pPr>
      <w:r>
        <w:rPr>
          <w:rFonts w:ascii="Arial" w:eastAsia="Arial" w:hAnsi="Arial"/>
          <w:color w:val="000000"/>
          <w:sz w:val="18"/>
        </w:rPr>
        <w:t>The water owner applies to the Queensland Government to unhook the entitlement. This application is accompanied by an</w:t>
      </w:r>
    </w:p>
    <w:p w14:paraId="2EA6E923" w14:textId="77777777" w:rsidR="00D8670B" w:rsidRDefault="009B37A9">
      <w:pPr>
        <w:spacing w:before="3" w:line="204" w:lineRule="exact"/>
        <w:ind w:left="144"/>
        <w:textAlignment w:val="baseline"/>
        <w:rPr>
          <w:rFonts w:ascii="Arial" w:eastAsia="Arial" w:hAnsi="Arial"/>
          <w:color w:val="000000"/>
          <w:sz w:val="18"/>
        </w:rPr>
      </w:pPr>
      <w:r>
        <w:rPr>
          <w:rFonts w:ascii="Arial" w:eastAsia="Arial" w:hAnsi="Arial"/>
          <w:color w:val="000000"/>
          <w:sz w:val="18"/>
        </w:rPr>
        <w:t>overland flow certification from a Registered Professional Engineer of Queensland. The certification provides details</w:t>
      </w:r>
    </w:p>
    <w:p w14:paraId="544A9EE8" w14:textId="77777777" w:rsidR="00D8670B" w:rsidRDefault="009B37A9">
      <w:pPr>
        <w:spacing w:before="2" w:line="204" w:lineRule="exact"/>
        <w:ind w:left="144"/>
        <w:textAlignment w:val="baseline"/>
        <w:rPr>
          <w:rFonts w:ascii="Arial" w:eastAsia="Arial" w:hAnsi="Arial"/>
          <w:color w:val="000000"/>
          <w:sz w:val="18"/>
        </w:rPr>
      </w:pPr>
      <w:r>
        <w:pict w14:anchorId="3BD6212C">
          <v:shape id="_x0000_s1134" type="#_x0000_t202" style="position:absolute;left:0;text-align:left;margin-left:461.5pt;margin-top:183.6pt;width:87.6pt;height:61.45pt;z-index:-251714560;mso-wrap-distance-left:0;mso-wrap-distance-right:0;mso-position-horizontal-relative:page;mso-position-vertical-relative:page" stroked="f">
            <v:textbox inset="0,0,0,0">
              <w:txbxContent>
                <w:p w14:paraId="1357703F" w14:textId="77777777" w:rsidR="00D8670B" w:rsidRDefault="009B37A9">
                  <w:pPr>
                    <w:textAlignment w:val="baseline"/>
                  </w:pPr>
                  <w:r>
                    <w:rPr>
                      <w:noProof/>
                    </w:rPr>
                    <w:drawing>
                      <wp:inline distT="0" distB="0" distL="0" distR="0" wp14:anchorId="04F63B9F" wp14:editId="7559FC87">
                        <wp:extent cx="1112520" cy="78041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21"/>
                                <a:stretch>
                                  <a:fillRect/>
                                </a:stretch>
                              </pic:blipFill>
                              <pic:spPr>
                                <a:xfrm>
                                  <a:off x="0" y="0"/>
                                  <a:ext cx="1112520" cy="780415"/>
                                </a:xfrm>
                                <a:prstGeom prst="rect">
                                  <a:avLst/>
                                </a:prstGeom>
                              </pic:spPr>
                            </pic:pic>
                          </a:graphicData>
                        </a:graphic>
                      </wp:inline>
                    </w:drawing>
                  </w:r>
                </w:p>
              </w:txbxContent>
            </v:textbox>
            <w10:wrap anchorx="page" anchory="page"/>
          </v:shape>
        </w:pict>
      </w:r>
      <w:r>
        <w:rPr>
          <w:rFonts w:ascii="Arial" w:eastAsia="Arial" w:hAnsi="Arial"/>
          <w:color w:val="000000"/>
          <w:sz w:val="18"/>
        </w:rPr>
        <w:t>of storage capa</w:t>
      </w:r>
      <w:r>
        <w:rPr>
          <w:rFonts w:ascii="Arial" w:eastAsia="Arial" w:hAnsi="Arial"/>
          <w:color w:val="000000"/>
          <w:sz w:val="18"/>
        </w:rPr>
        <w:t>city, rate of take and other information which helps determine the new entitlement conditions.</w:t>
      </w:r>
    </w:p>
    <w:p w14:paraId="4DBF1727" w14:textId="77777777" w:rsidR="00D8670B" w:rsidRDefault="009B37A9">
      <w:pPr>
        <w:spacing w:before="7" w:line="204" w:lineRule="exact"/>
        <w:ind w:left="144"/>
        <w:textAlignment w:val="baseline"/>
        <w:rPr>
          <w:rFonts w:ascii="Arial" w:eastAsia="Arial" w:hAnsi="Arial"/>
          <w:color w:val="000000"/>
          <w:sz w:val="18"/>
        </w:rPr>
      </w:pPr>
      <w:r>
        <w:rPr>
          <w:rFonts w:ascii="Arial" w:eastAsia="Arial" w:hAnsi="Arial"/>
          <w:color w:val="000000"/>
          <w:sz w:val="18"/>
        </w:rPr>
        <w:t>Where these details differ from the Queensland Government’s modelling of the entitlement, significant</w:t>
      </w:r>
    </w:p>
    <w:p w14:paraId="36E80A16" w14:textId="77777777" w:rsidR="00D8670B" w:rsidRDefault="009B37A9">
      <w:pPr>
        <w:spacing w:before="3" w:line="204" w:lineRule="exact"/>
        <w:ind w:left="144"/>
        <w:textAlignment w:val="baseline"/>
        <w:rPr>
          <w:rFonts w:ascii="Arial" w:eastAsia="Arial" w:hAnsi="Arial"/>
          <w:color w:val="000000"/>
          <w:sz w:val="18"/>
        </w:rPr>
      </w:pPr>
      <w:r>
        <w:rPr>
          <w:rFonts w:ascii="Arial" w:eastAsia="Arial" w:hAnsi="Arial"/>
          <w:color w:val="000000"/>
          <w:sz w:val="18"/>
        </w:rPr>
        <w:t>negotiation may be required to agree on the final condition</w:t>
      </w:r>
      <w:r>
        <w:rPr>
          <w:rFonts w:ascii="Arial" w:eastAsia="Arial" w:hAnsi="Arial"/>
          <w:color w:val="000000"/>
          <w:sz w:val="18"/>
        </w:rPr>
        <w:t>s.</w:t>
      </w:r>
    </w:p>
    <w:p w14:paraId="7ED7BC70" w14:textId="77777777" w:rsidR="00D8670B" w:rsidRDefault="009B37A9">
      <w:pPr>
        <w:spacing w:before="119" w:after="110" w:line="207" w:lineRule="exact"/>
        <w:ind w:left="144" w:right="2160"/>
        <w:textAlignment w:val="baseline"/>
        <w:rPr>
          <w:rFonts w:ascii="Arial" w:eastAsia="Arial" w:hAnsi="Arial"/>
          <w:color w:val="000000"/>
          <w:sz w:val="18"/>
        </w:rPr>
      </w:pPr>
      <w:r>
        <w:rPr>
          <w:rFonts w:ascii="Arial" w:eastAsia="Arial" w:hAnsi="Arial"/>
          <w:color w:val="000000"/>
          <w:sz w:val="18"/>
        </w:rPr>
        <w:t>Due to this complexity, the Queensland Government often advised HHWUE water owners to expect unhooking would incur a considerable time and cost commitment.</w:t>
      </w:r>
    </w:p>
    <w:p w14:paraId="35651BB6" w14:textId="77777777" w:rsidR="00D8670B" w:rsidRDefault="00D8670B">
      <w:pPr>
        <w:spacing w:before="202" w:line="288" w:lineRule="exact"/>
        <w:textAlignment w:val="baseline"/>
        <w:rPr>
          <w:rFonts w:eastAsia="Times New Roman"/>
          <w:color w:val="000000"/>
          <w:sz w:val="24"/>
        </w:rPr>
      </w:pPr>
    </w:p>
    <w:p w14:paraId="02E4D4E3" w14:textId="77777777" w:rsidR="00D8670B" w:rsidRDefault="009B37A9">
      <w:pPr>
        <w:spacing w:before="3" w:line="230" w:lineRule="exact"/>
        <w:ind w:right="144"/>
        <w:textAlignment w:val="baseline"/>
        <w:rPr>
          <w:rFonts w:ascii="Arial" w:eastAsia="Arial" w:hAnsi="Arial"/>
          <w:color w:val="000000"/>
          <w:spacing w:val="-1"/>
          <w:sz w:val="20"/>
        </w:rPr>
      </w:pPr>
      <w:r>
        <w:rPr>
          <w:rFonts w:ascii="Arial" w:eastAsia="Arial" w:hAnsi="Arial"/>
          <w:color w:val="000000"/>
          <w:spacing w:val="-1"/>
          <w:sz w:val="20"/>
        </w:rPr>
        <w:t>The Queensland Government’s water licencing and titles business units processed unencumbering an</w:t>
      </w:r>
      <w:r>
        <w:rPr>
          <w:rFonts w:ascii="Arial" w:eastAsia="Arial" w:hAnsi="Arial"/>
          <w:color w:val="000000"/>
          <w:spacing w:val="-1"/>
          <w:sz w:val="20"/>
        </w:rPr>
        <w:t xml:space="preserve">d subdivisions upon application by the water owner. These units were separate to the HHWUE program team, however frequently worked together throughout the program. From 2016 onwards, the HHWUE program team had a dedicated officer coordinating the workflow </w:t>
      </w:r>
      <w:r>
        <w:rPr>
          <w:rFonts w:ascii="Arial" w:eastAsia="Arial" w:hAnsi="Arial"/>
          <w:color w:val="000000"/>
          <w:spacing w:val="-1"/>
          <w:sz w:val="20"/>
        </w:rPr>
        <w:t>between the water owner, Australian Government, licencing and titles units. This role was developed in response to the sometimes lengthy unencumbering process and the approaching end of the HHWUE program. This officer established and managed expectations a</w:t>
      </w:r>
      <w:r>
        <w:rPr>
          <w:rFonts w:ascii="Arial" w:eastAsia="Arial" w:hAnsi="Arial"/>
          <w:color w:val="000000"/>
          <w:spacing w:val="-1"/>
          <w:sz w:val="20"/>
        </w:rPr>
        <w:t>nd championed processes. The officer attended pre-contractual meetings to explain the steps and timeframe for each entitlement. The officer then monitored progress of the transfer and contacted each party to ensure critical timeframes were met.</w:t>
      </w:r>
    </w:p>
    <w:p w14:paraId="1FC7ABAF" w14:textId="77777777" w:rsidR="00D8670B" w:rsidRDefault="009B37A9">
      <w:pPr>
        <w:spacing w:before="246" w:line="297" w:lineRule="exact"/>
        <w:textAlignment w:val="baseline"/>
        <w:rPr>
          <w:rFonts w:ascii="Arial" w:eastAsia="Arial" w:hAnsi="Arial"/>
          <w:b/>
          <w:color w:val="55532D"/>
          <w:sz w:val="26"/>
        </w:rPr>
      </w:pPr>
      <w:r>
        <w:rPr>
          <w:rFonts w:ascii="Arial" w:eastAsia="Arial" w:hAnsi="Arial"/>
          <w:b/>
          <w:color w:val="55532D"/>
          <w:sz w:val="26"/>
        </w:rPr>
        <w:t>2.1.4.2 Wat</w:t>
      </w:r>
      <w:r>
        <w:rPr>
          <w:rFonts w:ascii="Arial" w:eastAsia="Arial" w:hAnsi="Arial"/>
          <w:b/>
          <w:color w:val="55532D"/>
          <w:sz w:val="26"/>
        </w:rPr>
        <w:t>er entitlement transfer deed</w:t>
      </w:r>
    </w:p>
    <w:p w14:paraId="4A121A4A" w14:textId="77777777" w:rsidR="00D8670B" w:rsidRDefault="009B37A9">
      <w:pPr>
        <w:spacing w:before="116" w:line="230" w:lineRule="exact"/>
        <w:ind w:right="72"/>
        <w:textAlignment w:val="baseline"/>
        <w:rPr>
          <w:rFonts w:ascii="Arial" w:eastAsia="Arial" w:hAnsi="Arial"/>
          <w:color w:val="000000"/>
          <w:sz w:val="20"/>
        </w:rPr>
      </w:pPr>
      <w:r>
        <w:rPr>
          <w:rFonts w:ascii="Arial" w:eastAsia="Arial" w:hAnsi="Arial"/>
          <w:color w:val="000000"/>
          <w:sz w:val="20"/>
        </w:rPr>
        <w:t>The Australian Government entered into a deed with the owner of the water entitlement to be transferred. The irrigator was not a party to this “water entitlement transfer deed” unless they were a water owner also. Similarly, the Queensland Government was n</w:t>
      </w:r>
      <w:r>
        <w:rPr>
          <w:rFonts w:ascii="Arial" w:eastAsia="Arial" w:hAnsi="Arial"/>
          <w:color w:val="000000"/>
          <w:sz w:val="20"/>
        </w:rPr>
        <w:t>ot a party to the deed, however monitored progress for information. The Australian Government notified Queensland when “due diligence” commenced, the deed was issued, the deed was executed and transfer had occurred.</w:t>
      </w:r>
    </w:p>
    <w:p w14:paraId="33875ED4" w14:textId="77777777" w:rsidR="00D8670B" w:rsidRDefault="009B37A9">
      <w:pPr>
        <w:spacing w:before="122" w:line="230" w:lineRule="exact"/>
        <w:ind w:right="216"/>
        <w:textAlignment w:val="baseline"/>
        <w:rPr>
          <w:rFonts w:ascii="Arial" w:eastAsia="Arial" w:hAnsi="Arial"/>
          <w:color w:val="000000"/>
          <w:sz w:val="20"/>
        </w:rPr>
      </w:pPr>
      <w:r>
        <w:rPr>
          <w:rFonts w:ascii="Arial" w:eastAsia="Arial" w:hAnsi="Arial"/>
          <w:color w:val="000000"/>
          <w:sz w:val="20"/>
        </w:rPr>
        <w:t xml:space="preserve">Before issuing the deed, the Australian </w:t>
      </w:r>
      <w:r>
        <w:rPr>
          <w:rFonts w:ascii="Arial" w:eastAsia="Arial" w:hAnsi="Arial"/>
          <w:color w:val="000000"/>
          <w:sz w:val="20"/>
        </w:rPr>
        <w:t>Government undertook a “due diligence” process, performing final checks that the offered entitlement met the requirements for water recovery. The transfer was not considered fully approved until the entitlement passed due diligence, however the program had</w:t>
      </w:r>
      <w:r>
        <w:rPr>
          <w:rFonts w:ascii="Arial" w:eastAsia="Arial" w:hAnsi="Arial"/>
          <w:color w:val="000000"/>
          <w:sz w:val="20"/>
        </w:rPr>
        <w:t xml:space="preserve"> no instances where an approved entitlement subsequently did not pass this check.</w:t>
      </w:r>
    </w:p>
    <w:p w14:paraId="6B4DAB9A" w14:textId="77777777" w:rsidR="00D8670B" w:rsidRDefault="009B37A9">
      <w:pPr>
        <w:spacing w:before="117" w:line="230" w:lineRule="exact"/>
        <w:ind w:right="144"/>
        <w:textAlignment w:val="baseline"/>
        <w:rPr>
          <w:rFonts w:ascii="Arial" w:eastAsia="Arial" w:hAnsi="Arial"/>
          <w:color w:val="000000"/>
          <w:sz w:val="20"/>
        </w:rPr>
      </w:pPr>
      <w:r>
        <w:rPr>
          <w:rFonts w:ascii="Arial" w:eastAsia="Arial" w:hAnsi="Arial"/>
          <w:color w:val="000000"/>
          <w:sz w:val="20"/>
        </w:rPr>
        <w:t>Usually, the Australian Government started due diligence once the Queensland Government advised the contract was executed and the water entitlement was ready for transfer. During round 10, the Queensland and Australian governments trialled an early due dil</w:t>
      </w:r>
      <w:r>
        <w:rPr>
          <w:rFonts w:ascii="Arial" w:eastAsia="Arial" w:hAnsi="Arial"/>
          <w:color w:val="000000"/>
          <w:sz w:val="20"/>
        </w:rPr>
        <w:t xml:space="preserve">igence process. Under this process the Australian Government commenced due diligence upon application approval, however waited until the contract was signed and water entitlement ready before issuing the deed. Early due diligence intended to help expedite </w:t>
      </w:r>
      <w:r>
        <w:rPr>
          <w:rFonts w:ascii="Arial" w:eastAsia="Arial" w:hAnsi="Arial"/>
          <w:color w:val="000000"/>
          <w:sz w:val="20"/>
        </w:rPr>
        <w:t>water transfer, however results showed only a minimal benefit and the Australian Government reverted to the previous process.</w:t>
      </w:r>
    </w:p>
    <w:p w14:paraId="1DBD22D1" w14:textId="77777777" w:rsidR="00D8670B" w:rsidRDefault="009B37A9">
      <w:pPr>
        <w:spacing w:before="121" w:line="230" w:lineRule="exact"/>
        <w:ind w:right="504"/>
        <w:textAlignment w:val="baseline"/>
        <w:rPr>
          <w:rFonts w:ascii="Arial" w:eastAsia="Arial" w:hAnsi="Arial"/>
          <w:color w:val="000000"/>
          <w:sz w:val="20"/>
        </w:rPr>
      </w:pPr>
      <w:r>
        <w:rPr>
          <w:rFonts w:ascii="Arial" w:eastAsia="Arial" w:hAnsi="Arial"/>
          <w:color w:val="000000"/>
          <w:sz w:val="20"/>
        </w:rPr>
        <w:t>The Australian Government issued the deed to the water owner to sign first. Once both parties had signed the deed, settlement of t</w:t>
      </w:r>
      <w:r>
        <w:rPr>
          <w:rFonts w:ascii="Arial" w:eastAsia="Arial" w:hAnsi="Arial"/>
          <w:color w:val="000000"/>
          <w:sz w:val="20"/>
        </w:rPr>
        <w:t>he water transfer could occur.</w:t>
      </w:r>
    </w:p>
    <w:p w14:paraId="7BED66BE" w14:textId="77777777" w:rsidR="00D8670B" w:rsidRDefault="009B37A9">
      <w:pPr>
        <w:spacing w:before="243" w:line="322" w:lineRule="exact"/>
        <w:textAlignment w:val="baseline"/>
        <w:rPr>
          <w:rFonts w:ascii="Arial" w:eastAsia="Arial" w:hAnsi="Arial"/>
          <w:b/>
          <w:color w:val="346C36"/>
          <w:sz w:val="28"/>
        </w:rPr>
      </w:pPr>
      <w:r>
        <w:rPr>
          <w:rFonts w:ascii="Arial" w:eastAsia="Arial" w:hAnsi="Arial"/>
          <w:b/>
          <w:color w:val="346C36"/>
          <w:sz w:val="28"/>
        </w:rPr>
        <w:t>2.1.5 Payments</w:t>
      </w:r>
    </w:p>
    <w:p w14:paraId="5D8B776A" w14:textId="77777777" w:rsidR="00D8670B" w:rsidRDefault="009B37A9">
      <w:pPr>
        <w:spacing w:before="118" w:line="230" w:lineRule="exact"/>
        <w:ind w:right="144"/>
        <w:textAlignment w:val="baseline"/>
        <w:rPr>
          <w:rFonts w:ascii="Arial" w:eastAsia="Arial" w:hAnsi="Arial"/>
          <w:color w:val="000000"/>
          <w:sz w:val="20"/>
        </w:rPr>
      </w:pPr>
      <w:r>
        <w:rPr>
          <w:rFonts w:ascii="Arial" w:eastAsia="Arial" w:hAnsi="Arial"/>
          <w:color w:val="000000"/>
          <w:sz w:val="20"/>
        </w:rPr>
        <w:t>The Queensland Government made three types of milestone payments for each project: first, intermediate and final. The payments were set out in a milestone table that formed part of the contract. The first and f</w:t>
      </w:r>
      <w:r>
        <w:rPr>
          <w:rFonts w:ascii="Arial" w:eastAsia="Arial" w:hAnsi="Arial"/>
          <w:color w:val="000000"/>
          <w:sz w:val="20"/>
        </w:rPr>
        <w:t>inal milestones were for fixed activity and amounts of funding. The number and amount of intermediate milestones could be negotiated with each irrigator to best suit their project and financial situation.</w:t>
      </w:r>
    </w:p>
    <w:p w14:paraId="4A710908" w14:textId="77777777" w:rsidR="00D8670B" w:rsidRDefault="009B37A9">
      <w:pPr>
        <w:spacing w:before="118" w:after="392" w:line="230" w:lineRule="exact"/>
        <w:ind w:right="72"/>
        <w:textAlignment w:val="baseline"/>
        <w:rPr>
          <w:rFonts w:ascii="Arial" w:eastAsia="Arial" w:hAnsi="Arial"/>
          <w:color w:val="000000"/>
          <w:spacing w:val="1"/>
          <w:sz w:val="20"/>
        </w:rPr>
      </w:pPr>
      <w:r>
        <w:rPr>
          <w:rFonts w:ascii="Arial" w:eastAsia="Arial" w:hAnsi="Arial"/>
          <w:color w:val="000000"/>
          <w:spacing w:val="1"/>
          <w:sz w:val="20"/>
        </w:rPr>
        <w:t>Early versions of the milestone table listed the ac</w:t>
      </w:r>
      <w:r>
        <w:rPr>
          <w:rFonts w:ascii="Arial" w:eastAsia="Arial" w:hAnsi="Arial"/>
          <w:color w:val="000000"/>
          <w:spacing w:val="1"/>
          <w:sz w:val="20"/>
        </w:rPr>
        <w:t>tivities required to be demonstrated for intermediate and final milestones (e.g. pipes purchased, storage 50 per cent constructed).This process became cumbersome however as, in practice, not all activities were undertaken in the anticipated order. From rou</w:t>
      </w:r>
      <w:r>
        <w:rPr>
          <w:rFonts w:ascii="Arial" w:eastAsia="Arial" w:hAnsi="Arial"/>
          <w:color w:val="000000"/>
          <w:spacing w:val="1"/>
          <w:sz w:val="20"/>
        </w:rPr>
        <w:t>nd six, the Queensland Government changed the format of the milestone table to require simply a percentage of project completion. During 2016, the completion percentage was further revised to correspond to the cumulative amount of funding (see Figure 7).</w:t>
      </w:r>
    </w:p>
    <w:p w14:paraId="6D74447B" w14:textId="77777777" w:rsidR="00D8670B" w:rsidRDefault="009B37A9">
      <w:pPr>
        <w:spacing w:before="164" w:line="228" w:lineRule="exact"/>
        <w:jc w:val="center"/>
        <w:textAlignment w:val="baseline"/>
        <w:rPr>
          <w:rFonts w:ascii="Arial" w:eastAsia="Arial" w:hAnsi="Arial"/>
          <w:color w:val="000000"/>
          <w:spacing w:val="35"/>
          <w:sz w:val="20"/>
        </w:rPr>
      </w:pPr>
      <w:r>
        <w:pict w14:anchorId="20C37A37">
          <v:line id="_x0000_s1133" style="position:absolute;left:0;text-align:left;z-index:251691008;mso-position-horizontal-relative:page;mso-position-vertical-relative:page" from="40.75pt,789.1pt" to="554.8pt,789.1pt" strokeweight="1.7pt">
            <w10:wrap anchorx="page" anchory="page"/>
          </v:line>
        </w:pict>
      </w:r>
      <w:r>
        <w:rPr>
          <w:rFonts w:ascii="Arial" w:eastAsia="Arial" w:hAnsi="Arial"/>
          <w:color w:val="000000"/>
          <w:spacing w:val="35"/>
          <w:sz w:val="20"/>
        </w:rPr>
        <w:t>17</w:t>
      </w:r>
    </w:p>
    <w:p w14:paraId="207414F4" w14:textId="77777777" w:rsidR="00D8670B" w:rsidRDefault="00D8670B">
      <w:pPr>
        <w:sectPr w:rsidR="00D8670B">
          <w:pgSz w:w="11909" w:h="16838"/>
          <w:pgMar w:top="1480" w:right="814" w:bottom="282" w:left="815" w:header="720" w:footer="720" w:gutter="0"/>
          <w:cols w:space="720"/>
        </w:sectPr>
      </w:pPr>
    </w:p>
    <w:p w14:paraId="20548845" w14:textId="77777777" w:rsidR="00D8670B" w:rsidRDefault="009B37A9">
      <w:pPr>
        <w:spacing w:before="14" w:after="126"/>
        <w:ind w:left="1287" w:right="1289"/>
        <w:textAlignment w:val="baseline"/>
      </w:pPr>
      <w:r>
        <w:rPr>
          <w:noProof/>
        </w:rPr>
        <w:lastRenderedPageBreak/>
        <w:drawing>
          <wp:inline distT="0" distB="0" distL="0" distR="0" wp14:anchorId="063452AC" wp14:editId="5F6F902E">
            <wp:extent cx="4892040" cy="462661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22"/>
                    <a:stretch>
                      <a:fillRect/>
                    </a:stretch>
                  </pic:blipFill>
                  <pic:spPr>
                    <a:xfrm>
                      <a:off x="0" y="0"/>
                      <a:ext cx="4892040" cy="4626610"/>
                    </a:xfrm>
                    <a:prstGeom prst="rect">
                      <a:avLst/>
                    </a:prstGeom>
                  </pic:spPr>
                </pic:pic>
              </a:graphicData>
            </a:graphic>
          </wp:inline>
        </w:drawing>
      </w:r>
    </w:p>
    <w:p w14:paraId="65FC784F"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7: Typical milestone format under the final version of the milestone table</w:t>
      </w:r>
    </w:p>
    <w:p w14:paraId="21A06636" w14:textId="77777777" w:rsidR="00D8670B" w:rsidRDefault="009B37A9">
      <w:pPr>
        <w:spacing w:before="596" w:line="296" w:lineRule="exact"/>
        <w:textAlignment w:val="baseline"/>
        <w:rPr>
          <w:rFonts w:ascii="Arial" w:eastAsia="Arial" w:hAnsi="Arial"/>
          <w:b/>
          <w:color w:val="55532D"/>
          <w:sz w:val="26"/>
        </w:rPr>
      </w:pPr>
      <w:r>
        <w:rPr>
          <w:rFonts w:ascii="Arial" w:eastAsia="Arial" w:hAnsi="Arial"/>
          <w:b/>
          <w:color w:val="55532D"/>
          <w:sz w:val="26"/>
        </w:rPr>
        <w:t>2.1.5.1 First payment</w:t>
      </w:r>
    </w:p>
    <w:p w14:paraId="217DF498" w14:textId="77777777" w:rsidR="00D8670B" w:rsidRDefault="009B37A9">
      <w:pPr>
        <w:spacing w:before="116" w:line="230" w:lineRule="exact"/>
        <w:ind w:right="504"/>
        <w:textAlignment w:val="baseline"/>
        <w:rPr>
          <w:rFonts w:ascii="Arial" w:eastAsia="Arial" w:hAnsi="Arial"/>
          <w:color w:val="000000"/>
          <w:sz w:val="20"/>
        </w:rPr>
      </w:pPr>
      <w:r>
        <w:rPr>
          <w:rFonts w:ascii="Arial" w:eastAsia="Arial" w:hAnsi="Arial"/>
          <w:color w:val="000000"/>
          <w:sz w:val="20"/>
        </w:rPr>
        <w:t>The first milestone was paid upon transfer of the water entitlement and usually prior to works starting. The first milestone was contingent upon:</w:t>
      </w:r>
    </w:p>
    <w:p w14:paraId="781D2FED" w14:textId="77777777" w:rsidR="00D8670B" w:rsidRDefault="009B37A9">
      <w:pPr>
        <w:numPr>
          <w:ilvl w:val="0"/>
          <w:numId w:val="1"/>
        </w:numPr>
        <w:tabs>
          <w:tab w:val="clear" w:pos="360"/>
          <w:tab w:val="left" w:pos="792"/>
        </w:tabs>
        <w:spacing w:before="116" w:line="249" w:lineRule="exact"/>
        <w:ind w:firstLine="432"/>
        <w:textAlignment w:val="baseline"/>
        <w:rPr>
          <w:rFonts w:ascii="Arial" w:eastAsia="Arial" w:hAnsi="Arial"/>
          <w:color w:val="000000"/>
          <w:sz w:val="20"/>
        </w:rPr>
      </w:pPr>
      <w:r>
        <w:rPr>
          <w:rFonts w:ascii="Arial" w:eastAsia="Arial" w:hAnsi="Arial"/>
          <w:color w:val="000000"/>
          <w:sz w:val="20"/>
        </w:rPr>
        <w:t>signing of the contract by all parties</w:t>
      </w:r>
    </w:p>
    <w:p w14:paraId="12C48698" w14:textId="77777777" w:rsidR="00D8670B" w:rsidRDefault="009B37A9">
      <w:pPr>
        <w:numPr>
          <w:ilvl w:val="0"/>
          <w:numId w:val="1"/>
        </w:numPr>
        <w:tabs>
          <w:tab w:val="clear" w:pos="360"/>
          <w:tab w:val="left" w:pos="792"/>
        </w:tabs>
        <w:spacing w:before="116" w:line="249" w:lineRule="exact"/>
        <w:ind w:firstLine="432"/>
        <w:textAlignment w:val="baseline"/>
        <w:rPr>
          <w:rFonts w:ascii="Arial" w:eastAsia="Arial" w:hAnsi="Arial"/>
          <w:color w:val="000000"/>
          <w:spacing w:val="-1"/>
          <w:sz w:val="20"/>
        </w:rPr>
      </w:pPr>
      <w:r>
        <w:rPr>
          <w:rFonts w:ascii="Arial" w:eastAsia="Arial" w:hAnsi="Arial"/>
          <w:color w:val="000000"/>
          <w:spacing w:val="-1"/>
          <w:sz w:val="20"/>
        </w:rPr>
        <w:t>completion of the water transfer.</w:t>
      </w:r>
    </w:p>
    <w:p w14:paraId="186C337D" w14:textId="77777777" w:rsidR="00D8670B" w:rsidRDefault="009B37A9">
      <w:pPr>
        <w:spacing w:before="121" w:line="230" w:lineRule="exact"/>
        <w:ind w:right="144"/>
        <w:textAlignment w:val="baseline"/>
        <w:rPr>
          <w:rFonts w:ascii="Arial" w:eastAsia="Arial" w:hAnsi="Arial"/>
          <w:color w:val="000000"/>
          <w:spacing w:val="-1"/>
          <w:sz w:val="20"/>
        </w:rPr>
      </w:pPr>
      <w:r>
        <w:rPr>
          <w:rFonts w:ascii="Arial" w:eastAsia="Arial" w:hAnsi="Arial"/>
          <w:color w:val="000000"/>
          <w:spacing w:val="-1"/>
          <w:sz w:val="20"/>
        </w:rPr>
        <w:t>Where irrigators intended to start works before receiving the first payment, the first milestone could include other conditions such as a pre-works site inspection by the Queensland Government or provision of information. If not in the first milestone, the</w:t>
      </w:r>
      <w:r>
        <w:rPr>
          <w:rFonts w:ascii="Arial" w:eastAsia="Arial" w:hAnsi="Arial"/>
          <w:color w:val="000000"/>
          <w:spacing w:val="-1"/>
          <w:sz w:val="20"/>
        </w:rPr>
        <w:t>se conditions were usually part of the second milestone and prerequisites to work starting.</w:t>
      </w:r>
    </w:p>
    <w:p w14:paraId="09FFF3B7" w14:textId="77777777" w:rsidR="00D8670B" w:rsidRDefault="009B37A9">
      <w:pPr>
        <w:spacing w:before="116" w:line="230" w:lineRule="exact"/>
        <w:ind w:right="72"/>
        <w:textAlignment w:val="baseline"/>
        <w:rPr>
          <w:rFonts w:ascii="Arial" w:eastAsia="Arial" w:hAnsi="Arial"/>
          <w:color w:val="000000"/>
          <w:sz w:val="20"/>
        </w:rPr>
      </w:pPr>
      <w:r>
        <w:rPr>
          <w:rFonts w:ascii="Arial" w:eastAsia="Arial" w:hAnsi="Arial"/>
          <w:color w:val="000000"/>
          <w:sz w:val="20"/>
        </w:rPr>
        <w:t xml:space="preserve">The amount of the first payment equalled the volume of water (ML) transferred to the Australian Government multiplied by the Australian Government’s “agreed market </w:t>
      </w:r>
      <w:r>
        <w:rPr>
          <w:rFonts w:ascii="Arial" w:eastAsia="Arial" w:hAnsi="Arial"/>
          <w:color w:val="000000"/>
          <w:sz w:val="20"/>
        </w:rPr>
        <w:t>price” ($/ML) of the water entitlement. This payment was considered an advance payment, whereas all other payments were in arrears.</w:t>
      </w:r>
    </w:p>
    <w:p w14:paraId="3B357AE3" w14:textId="77777777" w:rsidR="00D8670B" w:rsidRDefault="009B37A9">
      <w:pPr>
        <w:spacing w:before="121" w:line="230" w:lineRule="exact"/>
        <w:ind w:right="72"/>
        <w:textAlignment w:val="baseline"/>
        <w:rPr>
          <w:rFonts w:ascii="Arial" w:eastAsia="Arial" w:hAnsi="Arial"/>
          <w:color w:val="000000"/>
          <w:sz w:val="20"/>
        </w:rPr>
      </w:pPr>
      <w:r>
        <w:rPr>
          <w:rFonts w:ascii="Arial" w:eastAsia="Arial" w:hAnsi="Arial"/>
          <w:color w:val="000000"/>
          <w:sz w:val="20"/>
        </w:rPr>
        <w:t>Once the Australian Government advised the water entitlement transfer deed was signed, the Queensland Government requested t</w:t>
      </w:r>
      <w:r>
        <w:rPr>
          <w:rFonts w:ascii="Arial" w:eastAsia="Arial" w:hAnsi="Arial"/>
          <w:color w:val="000000"/>
          <w:sz w:val="20"/>
        </w:rPr>
        <w:t>he irrigator provide a tax invoice for the amount of the first milestone. Payment occurred by cheque or electronic transfer immediately after the Australian Government advised settlement had occurred.</w:t>
      </w:r>
    </w:p>
    <w:p w14:paraId="0DB83447" w14:textId="77777777" w:rsidR="00D8670B" w:rsidRDefault="009B37A9">
      <w:pPr>
        <w:spacing w:before="246" w:line="296" w:lineRule="exact"/>
        <w:textAlignment w:val="baseline"/>
        <w:rPr>
          <w:rFonts w:ascii="Arial" w:eastAsia="Arial" w:hAnsi="Arial"/>
          <w:b/>
          <w:color w:val="55532D"/>
          <w:sz w:val="26"/>
        </w:rPr>
      </w:pPr>
      <w:r>
        <w:rPr>
          <w:rFonts w:ascii="Arial" w:eastAsia="Arial" w:hAnsi="Arial"/>
          <w:b/>
          <w:color w:val="55532D"/>
          <w:sz w:val="26"/>
        </w:rPr>
        <w:t>2.1.5.2 Intermediate milestones</w:t>
      </w:r>
    </w:p>
    <w:p w14:paraId="6EBA4B27" w14:textId="77777777" w:rsidR="00D8670B" w:rsidRDefault="009B37A9">
      <w:pPr>
        <w:spacing w:before="115" w:line="231" w:lineRule="exact"/>
        <w:ind w:right="360"/>
        <w:textAlignment w:val="baseline"/>
        <w:rPr>
          <w:rFonts w:ascii="Arial" w:eastAsia="Arial" w:hAnsi="Arial"/>
          <w:color w:val="000000"/>
          <w:sz w:val="20"/>
        </w:rPr>
      </w:pPr>
      <w:r>
        <w:rPr>
          <w:rFonts w:ascii="Arial" w:eastAsia="Arial" w:hAnsi="Arial"/>
          <w:color w:val="000000"/>
          <w:sz w:val="20"/>
        </w:rPr>
        <w:t>Intermediate payments w</w:t>
      </w:r>
      <w:r>
        <w:rPr>
          <w:rFonts w:ascii="Arial" w:eastAsia="Arial" w:hAnsi="Arial"/>
          <w:color w:val="000000"/>
          <w:sz w:val="20"/>
        </w:rPr>
        <w:t>ere made in accordance with individual milestone tables. Intermediate payment claims were contingent upon the irrigators demonstrating:</w:t>
      </w:r>
    </w:p>
    <w:p w14:paraId="7BE1FC51" w14:textId="77777777" w:rsidR="00D8670B" w:rsidRDefault="009B37A9">
      <w:pPr>
        <w:numPr>
          <w:ilvl w:val="0"/>
          <w:numId w:val="1"/>
        </w:numPr>
        <w:tabs>
          <w:tab w:val="clear" w:pos="360"/>
          <w:tab w:val="left" w:pos="792"/>
        </w:tabs>
        <w:spacing w:before="116" w:line="249" w:lineRule="exact"/>
        <w:ind w:firstLine="432"/>
        <w:textAlignment w:val="baseline"/>
        <w:rPr>
          <w:rFonts w:ascii="Arial" w:eastAsia="Arial" w:hAnsi="Arial"/>
          <w:color w:val="000000"/>
          <w:sz w:val="20"/>
        </w:rPr>
      </w:pPr>
      <w:r>
        <w:rPr>
          <w:rFonts w:ascii="Arial" w:eastAsia="Arial" w:hAnsi="Arial"/>
          <w:color w:val="000000"/>
          <w:sz w:val="20"/>
        </w:rPr>
        <w:t>the specified level of project progress</w:t>
      </w:r>
    </w:p>
    <w:p w14:paraId="2799B806" w14:textId="77777777" w:rsidR="00D8670B" w:rsidRDefault="009B37A9">
      <w:pPr>
        <w:numPr>
          <w:ilvl w:val="0"/>
          <w:numId w:val="1"/>
        </w:numPr>
        <w:tabs>
          <w:tab w:val="clear" w:pos="360"/>
          <w:tab w:val="left" w:pos="792"/>
        </w:tabs>
        <w:spacing w:before="5" w:after="171" w:line="355" w:lineRule="exact"/>
        <w:ind w:right="144" w:firstLine="432"/>
        <w:textAlignment w:val="baseline"/>
        <w:rPr>
          <w:rFonts w:ascii="Arial" w:eastAsia="Arial" w:hAnsi="Arial"/>
          <w:color w:val="000000"/>
          <w:sz w:val="20"/>
        </w:rPr>
      </w:pPr>
      <w:r>
        <w:rPr>
          <w:rFonts w:ascii="Arial" w:eastAsia="Arial" w:hAnsi="Arial"/>
          <w:color w:val="000000"/>
          <w:sz w:val="20"/>
        </w:rPr>
        <w:t>cumulative actual expenditure equal to the previous milestones plus the mileston</w:t>
      </w:r>
      <w:r>
        <w:rPr>
          <w:rFonts w:ascii="Arial" w:eastAsia="Arial" w:hAnsi="Arial"/>
          <w:color w:val="000000"/>
          <w:sz w:val="20"/>
        </w:rPr>
        <w:t>e claimed. Irrigators could claim more than one milestone payment at a time if they could demonstrate sufficient progress and</w:t>
      </w:r>
    </w:p>
    <w:p w14:paraId="4F3576C0" w14:textId="77777777" w:rsidR="00D8670B" w:rsidRDefault="009B37A9">
      <w:pPr>
        <w:spacing w:before="165" w:line="227" w:lineRule="exact"/>
        <w:jc w:val="center"/>
        <w:textAlignment w:val="baseline"/>
        <w:rPr>
          <w:rFonts w:ascii="Arial" w:eastAsia="Arial" w:hAnsi="Arial"/>
          <w:color w:val="000000"/>
          <w:spacing w:val="35"/>
          <w:sz w:val="20"/>
        </w:rPr>
      </w:pPr>
      <w:r>
        <w:pict w14:anchorId="59CBDC8A">
          <v:line id="_x0000_s1132" style="position:absolute;left:0;text-align:left;z-index:251692032;mso-position-horizontal-relative:page;mso-position-vertical-relative:page" from="40.75pt,789.1pt" to="554.8pt,789.1pt" strokeweight="1.7pt">
            <w10:wrap anchorx="page" anchory="page"/>
          </v:line>
        </w:pict>
      </w:r>
      <w:r>
        <w:rPr>
          <w:rFonts w:ascii="Arial" w:eastAsia="Arial" w:hAnsi="Arial"/>
          <w:color w:val="000000"/>
          <w:spacing w:val="35"/>
          <w:sz w:val="20"/>
        </w:rPr>
        <w:t>18</w:t>
      </w:r>
    </w:p>
    <w:p w14:paraId="511982E9" w14:textId="77777777" w:rsidR="00D8670B" w:rsidRDefault="00D8670B">
      <w:pPr>
        <w:sectPr w:rsidR="00D8670B">
          <w:pgSz w:w="11909" w:h="16838"/>
          <w:pgMar w:top="1100" w:right="814" w:bottom="282" w:left="815" w:header="720" w:footer="720" w:gutter="0"/>
          <w:cols w:space="720"/>
        </w:sectPr>
      </w:pPr>
    </w:p>
    <w:p w14:paraId="5ABFF258" w14:textId="77777777" w:rsidR="00D8670B" w:rsidRDefault="009B37A9">
      <w:pPr>
        <w:spacing w:before="19" w:line="230" w:lineRule="exact"/>
        <w:ind w:right="144"/>
        <w:textAlignment w:val="baseline"/>
        <w:rPr>
          <w:rFonts w:ascii="Arial" w:eastAsia="Arial" w:hAnsi="Arial"/>
          <w:color w:val="000000"/>
          <w:sz w:val="20"/>
        </w:rPr>
      </w:pPr>
      <w:r>
        <w:rPr>
          <w:rFonts w:ascii="Arial" w:eastAsia="Arial" w:hAnsi="Arial"/>
          <w:color w:val="000000"/>
          <w:sz w:val="20"/>
        </w:rPr>
        <w:lastRenderedPageBreak/>
        <w:t>expenditure. Many irrigators chose to claim all intermediate milestones and the final together as one bulk payment at the end of their projects.</w:t>
      </w:r>
    </w:p>
    <w:p w14:paraId="10C101AC" w14:textId="77777777" w:rsidR="00D8670B" w:rsidRDefault="009B37A9">
      <w:pPr>
        <w:spacing w:before="122" w:line="229" w:lineRule="exact"/>
        <w:textAlignment w:val="baseline"/>
        <w:rPr>
          <w:rFonts w:ascii="Arial" w:eastAsia="Arial" w:hAnsi="Arial"/>
          <w:color w:val="000000"/>
          <w:sz w:val="20"/>
        </w:rPr>
      </w:pPr>
      <w:r>
        <w:rPr>
          <w:rFonts w:ascii="Arial" w:eastAsia="Arial" w:hAnsi="Arial"/>
          <w:color w:val="000000"/>
          <w:sz w:val="20"/>
        </w:rPr>
        <w:t>To claim an intermediate payment, irrigators provided to the Queensland Government:</w:t>
      </w:r>
    </w:p>
    <w:p w14:paraId="5769E5F2" w14:textId="77777777" w:rsidR="00D8670B" w:rsidRDefault="009B37A9">
      <w:pPr>
        <w:numPr>
          <w:ilvl w:val="0"/>
          <w:numId w:val="1"/>
        </w:numPr>
        <w:tabs>
          <w:tab w:val="clear" w:pos="360"/>
          <w:tab w:val="left" w:pos="792"/>
        </w:tabs>
        <w:spacing w:before="116" w:line="249" w:lineRule="exact"/>
        <w:ind w:left="792" w:hanging="360"/>
        <w:textAlignment w:val="baseline"/>
        <w:rPr>
          <w:rFonts w:ascii="Arial" w:eastAsia="Arial" w:hAnsi="Arial"/>
          <w:color w:val="000000"/>
          <w:sz w:val="20"/>
        </w:rPr>
      </w:pPr>
      <w:r>
        <w:rPr>
          <w:rFonts w:ascii="Arial" w:eastAsia="Arial" w:hAnsi="Arial"/>
          <w:color w:val="000000"/>
          <w:sz w:val="20"/>
        </w:rPr>
        <w:t>a tax invoice for the amount of the milestone claimed</w:t>
      </w:r>
    </w:p>
    <w:p w14:paraId="14A7532D" w14:textId="77777777" w:rsidR="00D8670B" w:rsidRDefault="009B37A9">
      <w:pPr>
        <w:numPr>
          <w:ilvl w:val="0"/>
          <w:numId w:val="1"/>
        </w:numPr>
        <w:tabs>
          <w:tab w:val="clear" w:pos="360"/>
          <w:tab w:val="left" w:pos="792"/>
        </w:tabs>
        <w:spacing w:before="111" w:line="249" w:lineRule="exact"/>
        <w:ind w:left="792" w:hanging="360"/>
        <w:textAlignment w:val="baseline"/>
        <w:rPr>
          <w:rFonts w:ascii="Arial" w:eastAsia="Arial" w:hAnsi="Arial"/>
          <w:color w:val="000000"/>
          <w:sz w:val="20"/>
        </w:rPr>
      </w:pPr>
      <w:r>
        <w:rPr>
          <w:rFonts w:ascii="Arial" w:eastAsia="Arial" w:hAnsi="Arial"/>
          <w:color w:val="000000"/>
          <w:sz w:val="20"/>
        </w:rPr>
        <w:t>invoices and proof of payment for contracted work</w:t>
      </w:r>
    </w:p>
    <w:p w14:paraId="722EAC27" w14:textId="77777777" w:rsidR="00D8670B" w:rsidRDefault="009B37A9">
      <w:pPr>
        <w:numPr>
          <w:ilvl w:val="0"/>
          <w:numId w:val="1"/>
        </w:numPr>
        <w:tabs>
          <w:tab w:val="clear" w:pos="360"/>
          <w:tab w:val="left" w:pos="792"/>
        </w:tabs>
        <w:spacing w:before="115" w:line="249" w:lineRule="exact"/>
        <w:ind w:left="792" w:hanging="360"/>
        <w:textAlignment w:val="baseline"/>
        <w:rPr>
          <w:rFonts w:ascii="Arial" w:eastAsia="Arial" w:hAnsi="Arial"/>
          <w:color w:val="000000"/>
          <w:sz w:val="20"/>
        </w:rPr>
      </w:pPr>
      <w:r>
        <w:rPr>
          <w:rFonts w:ascii="Arial" w:eastAsia="Arial" w:hAnsi="Arial"/>
          <w:color w:val="000000"/>
          <w:sz w:val="20"/>
        </w:rPr>
        <w:t>indirect evidence for in-kind work and fuel use (e.g. logbooks, bowser records).</w:t>
      </w:r>
    </w:p>
    <w:p w14:paraId="038F46F6" w14:textId="77777777" w:rsidR="00D8670B" w:rsidRDefault="009B37A9">
      <w:pPr>
        <w:spacing w:before="122" w:line="230" w:lineRule="exact"/>
        <w:ind w:right="72"/>
        <w:textAlignment w:val="baseline"/>
        <w:rPr>
          <w:rFonts w:ascii="Arial" w:eastAsia="Arial" w:hAnsi="Arial"/>
          <w:color w:val="000000"/>
          <w:spacing w:val="-1"/>
          <w:sz w:val="20"/>
        </w:rPr>
      </w:pPr>
      <w:r>
        <w:rPr>
          <w:rFonts w:ascii="Arial" w:eastAsia="Arial" w:hAnsi="Arial"/>
          <w:color w:val="000000"/>
          <w:spacing w:val="-1"/>
          <w:sz w:val="20"/>
        </w:rPr>
        <w:t>The Queensland Government undertook a site inspection to verify the cla</w:t>
      </w:r>
      <w:r>
        <w:rPr>
          <w:rFonts w:ascii="Arial" w:eastAsia="Arial" w:hAnsi="Arial"/>
          <w:color w:val="000000"/>
          <w:spacing w:val="-1"/>
          <w:sz w:val="20"/>
        </w:rPr>
        <w:t>imed level of completion. For some simple projects, the HHWUE program team or a Queensland Government engineer performed this check. For most projects however, the Queensland Government engaged an independent qualified professional to verify progress.</w:t>
      </w:r>
    </w:p>
    <w:p w14:paraId="2AA20956" w14:textId="77777777" w:rsidR="00D8670B" w:rsidRDefault="009B37A9">
      <w:pPr>
        <w:spacing w:before="122" w:line="230" w:lineRule="exact"/>
        <w:ind w:right="216"/>
        <w:textAlignment w:val="baseline"/>
        <w:rPr>
          <w:rFonts w:ascii="Arial" w:eastAsia="Arial" w:hAnsi="Arial"/>
          <w:color w:val="000000"/>
          <w:sz w:val="20"/>
        </w:rPr>
      </w:pPr>
      <w:r>
        <w:rPr>
          <w:rFonts w:ascii="Arial" w:eastAsia="Arial" w:hAnsi="Arial"/>
          <w:color w:val="000000"/>
          <w:sz w:val="20"/>
        </w:rPr>
        <w:t>Irri</w:t>
      </w:r>
      <w:r>
        <w:rPr>
          <w:rFonts w:ascii="Arial" w:eastAsia="Arial" w:hAnsi="Arial"/>
          <w:color w:val="000000"/>
          <w:sz w:val="20"/>
        </w:rPr>
        <w:t>gators evidenced contracted work by presenting invoices and proof of payment, which could be receipts, bank statements or supplier statements. Irrigators could also claim a dollar value for logged in-kind work. Irrigators presented a summary of logbooks an</w:t>
      </w:r>
      <w:r>
        <w:rPr>
          <w:rFonts w:ascii="Arial" w:eastAsia="Arial" w:hAnsi="Arial"/>
          <w:color w:val="000000"/>
          <w:sz w:val="20"/>
        </w:rPr>
        <w:t xml:space="preserve">d rates applied for in-kind. From 2016 onwards, irrigators were required also to present copies of logbooks to support the summary of hours claimed. Similarly, irrigators initially demonstrated fuel through invoices for bulk supply and a summary of litres </w:t>
      </w:r>
      <w:r>
        <w:rPr>
          <w:rFonts w:ascii="Arial" w:eastAsia="Arial" w:hAnsi="Arial"/>
          <w:color w:val="000000"/>
          <w:sz w:val="20"/>
        </w:rPr>
        <w:t>claimed towards the HHWUE program. From 2016 onwards, irrigators were required to provide bowser records or fuel consumption calculations in addition to this evidence.</w:t>
      </w:r>
    </w:p>
    <w:p w14:paraId="254CE409" w14:textId="77777777" w:rsidR="00D8670B" w:rsidRDefault="009B37A9">
      <w:pPr>
        <w:spacing w:before="117" w:after="450" w:line="230" w:lineRule="exact"/>
        <w:ind w:right="360"/>
        <w:textAlignment w:val="baseline"/>
        <w:rPr>
          <w:rFonts w:ascii="Arial" w:eastAsia="Arial" w:hAnsi="Arial"/>
          <w:color w:val="000000"/>
          <w:spacing w:val="-1"/>
          <w:sz w:val="20"/>
        </w:rPr>
      </w:pPr>
      <w:r>
        <w:rPr>
          <w:rFonts w:ascii="Arial" w:eastAsia="Arial" w:hAnsi="Arial"/>
          <w:color w:val="000000"/>
          <w:spacing w:val="-1"/>
          <w:sz w:val="20"/>
        </w:rPr>
        <w:t>With the exception of application preparation, work claimed could not be retrospective (</w:t>
      </w:r>
      <w:r>
        <w:rPr>
          <w:rFonts w:ascii="Arial" w:eastAsia="Arial" w:hAnsi="Arial"/>
          <w:color w:val="000000"/>
          <w:spacing w:val="-1"/>
          <w:sz w:val="20"/>
        </w:rPr>
        <w:t>i.e. before the date of application approval). Irrigators could however claim stock-on-hand if they could demonstrate the cost. Irrigators were responsible for ensuring stock-on-hand was of a suitable quality and specification for the project.</w:t>
      </w:r>
    </w:p>
    <w:p w14:paraId="11D5052A" w14:textId="77777777" w:rsidR="00D8670B" w:rsidRDefault="009B37A9">
      <w:pPr>
        <w:spacing w:before="2" w:line="296" w:lineRule="exact"/>
        <w:textAlignment w:val="baseline"/>
        <w:rPr>
          <w:rFonts w:ascii="Arial" w:eastAsia="Arial" w:hAnsi="Arial"/>
          <w:b/>
          <w:color w:val="55532D"/>
          <w:sz w:val="26"/>
        </w:rPr>
      </w:pPr>
      <w:r>
        <w:pict w14:anchorId="7CD88E0B">
          <v:shape id="_x0000_s1131" type="#_x0000_t202" style="position:absolute;margin-left:40.75pt;margin-top:342.7pt;width:514pt;height:136.3pt;z-index:-251713536;mso-wrap-distance-left:0;mso-wrap-distance-right:0;mso-wrap-distance-bottom:12.25pt;mso-position-horizontal-relative:page;mso-position-vertical-relative:page" fillcolor="#eaf4fb" stroked="f">
            <v:textbox inset="0,0,0,0">
              <w:txbxContent>
                <w:p w14:paraId="0C1603FB" w14:textId="77777777" w:rsidR="00000000" w:rsidRDefault="009B37A9"/>
              </w:txbxContent>
            </v:textbox>
            <w10:wrap type="square" anchorx="page" anchory="page"/>
          </v:shape>
        </w:pict>
      </w:r>
      <w:r>
        <w:pict w14:anchorId="1ACE3C20">
          <v:shape id="_x0000_s1130" type="#_x0000_t202" style="position:absolute;margin-left:40.75pt;margin-top:342.7pt;width:514pt;height:65.55pt;z-index:-251712512;mso-wrap-distance-left:0;mso-wrap-distance-right:0;mso-position-horizontal-relative:page;mso-position-vertical-relative:page" filled="f" stroked="f">
            <v:textbox inset="0,0,0,0">
              <w:txbxContent>
                <w:p w14:paraId="70F0276D" w14:textId="77777777" w:rsidR="00D8670B" w:rsidRDefault="009B37A9">
                  <w:pPr>
                    <w:spacing w:before="123" w:line="206" w:lineRule="exact"/>
                    <w:ind w:left="144"/>
                    <w:textAlignment w:val="baseline"/>
                    <w:rPr>
                      <w:rFonts w:ascii="Arial" w:eastAsia="Arial" w:hAnsi="Arial"/>
                      <w:b/>
                      <w:color w:val="15568B"/>
                      <w:sz w:val="18"/>
                    </w:rPr>
                  </w:pPr>
                  <w:r>
                    <w:rPr>
                      <w:rFonts w:ascii="Arial" w:eastAsia="Arial" w:hAnsi="Arial"/>
                      <w:b/>
                      <w:color w:val="15568B"/>
                      <w:sz w:val="18"/>
                    </w:rPr>
                    <w:t>Definitions</w:t>
                  </w:r>
                </w:p>
                <w:p w14:paraId="482581C6" w14:textId="77777777" w:rsidR="00D8670B" w:rsidRDefault="009B37A9">
                  <w:pPr>
                    <w:spacing w:before="234" w:line="211" w:lineRule="exact"/>
                    <w:ind w:left="144" w:right="360"/>
                    <w:textAlignment w:val="baseline"/>
                    <w:rPr>
                      <w:rFonts w:ascii="Arial" w:eastAsia="Arial" w:hAnsi="Arial"/>
                      <w:b/>
                      <w:color w:val="000000"/>
                      <w:sz w:val="18"/>
                    </w:rPr>
                  </w:pPr>
                  <w:r>
                    <w:rPr>
                      <w:rFonts w:ascii="Arial" w:eastAsia="Arial" w:hAnsi="Arial"/>
                      <w:b/>
                      <w:color w:val="000000"/>
                      <w:sz w:val="18"/>
                    </w:rPr>
                    <w:t xml:space="preserve">Contracted work: </w:t>
                  </w:r>
                  <w:r>
                    <w:rPr>
                      <w:rFonts w:ascii="Arial" w:eastAsia="Arial" w:hAnsi="Arial"/>
                      <w:color w:val="000000"/>
                      <w:sz w:val="18"/>
                    </w:rPr>
                    <w:t>goods or services supplied by or undertaken by another party, such as irrigation supplies, earthworks or professional consulting</w:t>
                  </w:r>
                </w:p>
                <w:p w14:paraId="61F06876" w14:textId="77777777" w:rsidR="00D8670B" w:rsidRDefault="009B37A9">
                  <w:pPr>
                    <w:spacing w:before="116" w:line="211" w:lineRule="exact"/>
                    <w:ind w:left="144" w:right="864"/>
                    <w:textAlignment w:val="baseline"/>
                    <w:rPr>
                      <w:rFonts w:ascii="Arial" w:eastAsia="Arial" w:hAnsi="Arial"/>
                      <w:b/>
                      <w:color w:val="000000"/>
                      <w:sz w:val="18"/>
                    </w:rPr>
                  </w:pPr>
                  <w:r>
                    <w:rPr>
                      <w:rFonts w:ascii="Arial" w:eastAsia="Arial" w:hAnsi="Arial"/>
                      <w:b/>
                      <w:color w:val="000000"/>
                      <w:sz w:val="18"/>
                    </w:rPr>
                    <w:t xml:space="preserve">In-kind: </w:t>
                  </w:r>
                  <w:r>
                    <w:rPr>
                      <w:rFonts w:ascii="Arial" w:eastAsia="Arial" w:hAnsi="Arial"/>
                      <w:color w:val="000000"/>
                      <w:sz w:val="18"/>
                    </w:rPr>
                    <w:t xml:space="preserve">goods and or services provided by the proponent, such as the use of own earthmoving equipment or project </w:t>
                  </w:r>
                </w:p>
              </w:txbxContent>
            </v:textbox>
            <w10:wrap type="square" anchorx="page" anchory="page"/>
          </v:shape>
        </w:pict>
      </w:r>
      <w:r>
        <w:pict w14:anchorId="74E5627A">
          <v:shape id="_x0000_s1129" type="#_x0000_t202" style="position:absolute;margin-left:40.75pt;margin-top:408.25pt;width:393.4pt;height:69.85pt;z-index:-251711488;mso-wrap-distance-left:0;mso-wrap-distance-right:0;mso-position-horizontal-relative:page;mso-position-vertical-relative:page" filled="f" stroked="f">
            <v:textbox inset="0,0,0,0">
              <w:txbxContent>
                <w:p w14:paraId="7B5FFA3D" w14:textId="77777777" w:rsidR="00D8670B" w:rsidRDefault="009B37A9">
                  <w:pPr>
                    <w:spacing w:line="211" w:lineRule="exact"/>
                    <w:ind w:left="144" w:right="864"/>
                    <w:textAlignment w:val="baseline"/>
                    <w:rPr>
                      <w:rFonts w:ascii="Arial" w:eastAsia="Arial" w:hAnsi="Arial"/>
                      <w:color w:val="000000"/>
                      <w:sz w:val="18"/>
                    </w:rPr>
                  </w:pPr>
                  <w:r>
                    <w:rPr>
                      <w:rFonts w:ascii="Arial" w:eastAsia="Arial" w:hAnsi="Arial"/>
                      <w:color w:val="000000"/>
                      <w:sz w:val="18"/>
                    </w:rPr>
                    <w:t>management time</w:t>
                  </w:r>
                </w:p>
                <w:p w14:paraId="2C0FE0DC" w14:textId="77777777" w:rsidR="00D8670B" w:rsidRDefault="009B37A9">
                  <w:pPr>
                    <w:spacing w:before="111" w:line="211" w:lineRule="exact"/>
                    <w:ind w:left="144"/>
                    <w:jc w:val="both"/>
                    <w:textAlignment w:val="baseline"/>
                    <w:rPr>
                      <w:rFonts w:ascii="Arial" w:eastAsia="Arial" w:hAnsi="Arial"/>
                      <w:b/>
                      <w:color w:val="000000"/>
                      <w:sz w:val="18"/>
                    </w:rPr>
                  </w:pPr>
                  <w:r>
                    <w:rPr>
                      <w:rFonts w:ascii="Arial" w:eastAsia="Arial" w:hAnsi="Arial"/>
                      <w:b/>
                      <w:color w:val="000000"/>
                      <w:sz w:val="18"/>
                    </w:rPr>
                    <w:t xml:space="preserve">Irrigator contribution: </w:t>
                  </w:r>
                  <w:r>
                    <w:rPr>
                      <w:rFonts w:ascii="Arial" w:eastAsia="Arial" w:hAnsi="Arial"/>
                      <w:color w:val="000000"/>
                      <w:sz w:val="18"/>
                    </w:rPr>
                    <w:t>the irrigator’s required minimum 10 per cent contribution towards the total project cost</w:t>
                  </w:r>
                </w:p>
                <w:p w14:paraId="78322492" w14:textId="77777777" w:rsidR="00D8670B" w:rsidRDefault="009B37A9">
                  <w:pPr>
                    <w:spacing w:before="110" w:after="119" w:line="211" w:lineRule="exact"/>
                    <w:ind w:left="144"/>
                    <w:jc w:val="both"/>
                    <w:textAlignment w:val="baseline"/>
                    <w:rPr>
                      <w:rFonts w:ascii="Arial" w:eastAsia="Arial" w:hAnsi="Arial"/>
                      <w:b/>
                      <w:color w:val="000000"/>
                      <w:sz w:val="18"/>
                    </w:rPr>
                  </w:pPr>
                  <w:r>
                    <w:rPr>
                      <w:rFonts w:ascii="Arial" w:eastAsia="Arial" w:hAnsi="Arial"/>
                      <w:b/>
                      <w:color w:val="000000"/>
                      <w:sz w:val="18"/>
                    </w:rPr>
                    <w:t xml:space="preserve">Stock-on-hand: </w:t>
                  </w:r>
                  <w:r>
                    <w:rPr>
                      <w:rFonts w:ascii="Arial" w:eastAsia="Arial" w:hAnsi="Arial"/>
                      <w:color w:val="000000"/>
                      <w:sz w:val="18"/>
                    </w:rPr>
                    <w:t>sec</w:t>
                  </w:r>
                  <w:r>
                    <w:rPr>
                      <w:rFonts w:ascii="Arial" w:eastAsia="Arial" w:hAnsi="Arial"/>
                      <w:color w:val="000000"/>
                      <w:sz w:val="18"/>
                    </w:rPr>
                    <w:t>ond-hand or new capital items purchased by the irrigator prior to application approval</w:t>
                  </w:r>
                </w:p>
              </w:txbxContent>
            </v:textbox>
            <w10:wrap type="square" anchorx="page" anchory="page"/>
          </v:shape>
        </w:pict>
      </w:r>
      <w:r>
        <w:pict w14:anchorId="1EFFCDC5">
          <v:shape id="_x0000_s1128" type="#_x0000_t202" style="position:absolute;margin-left:456.95pt;margin-top:408.25pt;width:87.6pt;height:62.65pt;z-index:-251710464;mso-wrap-distance-left:22.8pt;mso-wrap-distance-right:10.2pt;mso-wrap-distance-bottom:7.2pt;mso-position-horizontal-relative:page;mso-position-vertical-relative:page" stroked="f">
            <v:textbox inset="0,0,0,0">
              <w:txbxContent>
                <w:p w14:paraId="630EC95F" w14:textId="77777777" w:rsidR="00D8670B" w:rsidRDefault="009B37A9">
                  <w:pPr>
                    <w:spacing w:before="19"/>
                    <w:textAlignment w:val="baseline"/>
                  </w:pPr>
                  <w:r>
                    <w:rPr>
                      <w:noProof/>
                    </w:rPr>
                    <w:drawing>
                      <wp:inline distT="0" distB="0" distL="0" distR="0" wp14:anchorId="1839C8F9" wp14:editId="7BDFAABB">
                        <wp:extent cx="1112520" cy="78359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23"/>
                                <a:stretch>
                                  <a:fillRect/>
                                </a:stretch>
                              </pic:blipFill>
                              <pic:spPr>
                                <a:xfrm>
                                  <a:off x="0" y="0"/>
                                  <a:ext cx="1112520" cy="783590"/>
                                </a:xfrm>
                                <a:prstGeom prst="rect">
                                  <a:avLst/>
                                </a:prstGeom>
                              </pic:spPr>
                            </pic:pic>
                          </a:graphicData>
                        </a:graphic>
                      </wp:inline>
                    </w:drawing>
                  </w:r>
                </w:p>
              </w:txbxContent>
            </v:textbox>
            <w10:wrap type="square" anchorx="page" anchory="page"/>
          </v:shape>
        </w:pict>
      </w:r>
      <w:r>
        <w:rPr>
          <w:rFonts w:ascii="Arial" w:eastAsia="Arial" w:hAnsi="Arial"/>
          <w:b/>
          <w:color w:val="55532D"/>
          <w:sz w:val="26"/>
        </w:rPr>
        <w:t>2.1.5.3 Final payment</w:t>
      </w:r>
    </w:p>
    <w:p w14:paraId="3433D235" w14:textId="77777777" w:rsidR="00D8670B" w:rsidRDefault="009B37A9">
      <w:pPr>
        <w:spacing w:before="116" w:line="230" w:lineRule="exact"/>
        <w:ind w:right="72"/>
        <w:jc w:val="both"/>
        <w:textAlignment w:val="baseline"/>
        <w:rPr>
          <w:rFonts w:ascii="Arial" w:eastAsia="Arial" w:hAnsi="Arial"/>
          <w:color w:val="000000"/>
          <w:sz w:val="20"/>
        </w:rPr>
      </w:pPr>
      <w:r>
        <w:rPr>
          <w:rFonts w:ascii="Arial" w:eastAsia="Arial" w:hAnsi="Arial"/>
          <w:color w:val="000000"/>
          <w:sz w:val="20"/>
        </w:rPr>
        <w:t>The final milestone was equivalent to 20 per cent of the total funding and made upon commissioning of works. This payment was contingent upon the irrigator demonstrating:</w:t>
      </w:r>
    </w:p>
    <w:p w14:paraId="43140CB3" w14:textId="77777777" w:rsidR="00D8670B" w:rsidRDefault="009B37A9">
      <w:pPr>
        <w:numPr>
          <w:ilvl w:val="0"/>
          <w:numId w:val="1"/>
        </w:numPr>
        <w:tabs>
          <w:tab w:val="clear" w:pos="360"/>
          <w:tab w:val="left" w:pos="792"/>
        </w:tabs>
        <w:spacing w:before="116" w:line="249" w:lineRule="exact"/>
        <w:ind w:left="792" w:hanging="360"/>
        <w:textAlignment w:val="baseline"/>
        <w:rPr>
          <w:rFonts w:ascii="Arial" w:eastAsia="Arial" w:hAnsi="Arial"/>
          <w:color w:val="000000"/>
          <w:spacing w:val="-1"/>
          <w:sz w:val="20"/>
        </w:rPr>
      </w:pPr>
      <w:r>
        <w:rPr>
          <w:rFonts w:ascii="Arial" w:eastAsia="Arial" w:hAnsi="Arial"/>
          <w:color w:val="000000"/>
          <w:spacing w:val="-1"/>
          <w:sz w:val="20"/>
        </w:rPr>
        <w:t>the project was commissioned</w:t>
      </w:r>
    </w:p>
    <w:p w14:paraId="733819DF" w14:textId="77777777" w:rsidR="00D8670B" w:rsidRDefault="009B37A9">
      <w:pPr>
        <w:numPr>
          <w:ilvl w:val="0"/>
          <w:numId w:val="1"/>
        </w:numPr>
        <w:tabs>
          <w:tab w:val="clear" w:pos="360"/>
          <w:tab w:val="left" w:pos="792"/>
        </w:tabs>
        <w:spacing w:before="116" w:line="249" w:lineRule="exact"/>
        <w:ind w:left="792" w:hanging="360"/>
        <w:textAlignment w:val="baseline"/>
        <w:rPr>
          <w:rFonts w:ascii="Arial" w:eastAsia="Arial" w:hAnsi="Arial"/>
          <w:color w:val="000000"/>
          <w:spacing w:val="-1"/>
          <w:sz w:val="20"/>
        </w:rPr>
      </w:pPr>
      <w:r>
        <w:rPr>
          <w:rFonts w:ascii="Arial" w:eastAsia="Arial" w:hAnsi="Arial"/>
          <w:color w:val="000000"/>
          <w:spacing w:val="-1"/>
          <w:sz w:val="20"/>
        </w:rPr>
        <w:t>the total project cost had been spent.</w:t>
      </w:r>
    </w:p>
    <w:p w14:paraId="4A4580F7" w14:textId="77777777" w:rsidR="00D8670B" w:rsidRDefault="009B37A9">
      <w:pPr>
        <w:spacing w:before="121" w:line="229" w:lineRule="exact"/>
        <w:textAlignment w:val="baseline"/>
        <w:rPr>
          <w:rFonts w:ascii="Arial" w:eastAsia="Arial" w:hAnsi="Arial"/>
          <w:color w:val="000000"/>
          <w:sz w:val="20"/>
        </w:rPr>
      </w:pPr>
      <w:r>
        <w:rPr>
          <w:rFonts w:ascii="Arial" w:eastAsia="Arial" w:hAnsi="Arial"/>
          <w:color w:val="000000"/>
          <w:sz w:val="20"/>
        </w:rPr>
        <w:t>To claim a final payment, irrigators provided to the Queensland Government:</w:t>
      </w:r>
    </w:p>
    <w:p w14:paraId="67714E6F" w14:textId="77777777" w:rsidR="00D8670B" w:rsidRDefault="009B37A9">
      <w:pPr>
        <w:numPr>
          <w:ilvl w:val="0"/>
          <w:numId w:val="1"/>
        </w:numPr>
        <w:tabs>
          <w:tab w:val="clear" w:pos="360"/>
          <w:tab w:val="left" w:pos="792"/>
        </w:tabs>
        <w:spacing w:before="111" w:line="249" w:lineRule="exact"/>
        <w:ind w:left="792" w:hanging="360"/>
        <w:textAlignment w:val="baseline"/>
        <w:rPr>
          <w:rFonts w:ascii="Arial" w:eastAsia="Arial" w:hAnsi="Arial"/>
          <w:color w:val="000000"/>
          <w:sz w:val="20"/>
        </w:rPr>
      </w:pPr>
      <w:r>
        <w:rPr>
          <w:rFonts w:ascii="Arial" w:eastAsia="Arial" w:hAnsi="Arial"/>
          <w:color w:val="000000"/>
          <w:sz w:val="20"/>
        </w:rPr>
        <w:t>the same evidence as required for an intermediate milestone</w:t>
      </w:r>
    </w:p>
    <w:p w14:paraId="00DAD5D7" w14:textId="77777777" w:rsidR="00D8670B" w:rsidRDefault="009B37A9">
      <w:pPr>
        <w:numPr>
          <w:ilvl w:val="0"/>
          <w:numId w:val="1"/>
        </w:numPr>
        <w:tabs>
          <w:tab w:val="clear" w:pos="360"/>
          <w:tab w:val="left" w:pos="792"/>
        </w:tabs>
        <w:spacing w:before="116" w:line="250" w:lineRule="exact"/>
        <w:ind w:left="792" w:hanging="360"/>
        <w:textAlignment w:val="baseline"/>
        <w:rPr>
          <w:rFonts w:ascii="Arial" w:eastAsia="Arial" w:hAnsi="Arial"/>
          <w:color w:val="000000"/>
          <w:sz w:val="20"/>
        </w:rPr>
      </w:pPr>
      <w:r>
        <w:rPr>
          <w:rFonts w:ascii="Arial" w:eastAsia="Arial" w:hAnsi="Arial"/>
          <w:color w:val="000000"/>
          <w:sz w:val="20"/>
        </w:rPr>
        <w:t>a commissioning report from the irrigator’s qualified professional demonstrating project completion</w:t>
      </w:r>
    </w:p>
    <w:p w14:paraId="664A4097" w14:textId="77777777" w:rsidR="00D8670B" w:rsidRDefault="009B37A9">
      <w:pPr>
        <w:numPr>
          <w:ilvl w:val="0"/>
          <w:numId w:val="1"/>
        </w:numPr>
        <w:tabs>
          <w:tab w:val="clear" w:pos="360"/>
          <w:tab w:val="left" w:pos="792"/>
        </w:tabs>
        <w:spacing w:before="134" w:line="230" w:lineRule="exact"/>
        <w:ind w:left="792" w:right="864" w:hanging="360"/>
        <w:textAlignment w:val="baseline"/>
        <w:rPr>
          <w:rFonts w:ascii="Arial" w:eastAsia="Arial" w:hAnsi="Arial"/>
          <w:color w:val="000000"/>
          <w:sz w:val="20"/>
        </w:rPr>
      </w:pPr>
      <w:r>
        <w:rPr>
          <w:rFonts w:ascii="Arial" w:eastAsia="Arial" w:hAnsi="Arial"/>
          <w:color w:val="000000"/>
          <w:sz w:val="20"/>
        </w:rPr>
        <w:t>a statutory declarat</w:t>
      </w:r>
      <w:r>
        <w:rPr>
          <w:rFonts w:ascii="Arial" w:eastAsia="Arial" w:hAnsi="Arial"/>
          <w:color w:val="000000"/>
          <w:sz w:val="20"/>
        </w:rPr>
        <w:t>ion confirming the project and funds had been managed in accordance with the contract.</w:t>
      </w:r>
    </w:p>
    <w:p w14:paraId="499CD67E" w14:textId="77777777" w:rsidR="00D8670B" w:rsidRDefault="009B37A9">
      <w:pPr>
        <w:spacing w:before="122" w:line="230" w:lineRule="exact"/>
        <w:ind w:right="144"/>
        <w:jc w:val="both"/>
        <w:textAlignment w:val="baseline"/>
        <w:rPr>
          <w:rFonts w:ascii="Arial" w:eastAsia="Arial" w:hAnsi="Arial"/>
          <w:color w:val="000000"/>
          <w:sz w:val="20"/>
        </w:rPr>
      </w:pPr>
      <w:r>
        <w:rPr>
          <w:rFonts w:ascii="Arial" w:eastAsia="Arial" w:hAnsi="Arial"/>
          <w:color w:val="000000"/>
          <w:sz w:val="20"/>
        </w:rPr>
        <w:t>The commissioning report was provided by a Registered Professional Engineer of Queensland, Irrigation Australia Certified Irrigation Designer or Irrigation Australia Cer</w:t>
      </w:r>
      <w:r>
        <w:rPr>
          <w:rFonts w:ascii="Arial" w:eastAsia="Arial" w:hAnsi="Arial"/>
          <w:color w:val="000000"/>
          <w:sz w:val="20"/>
        </w:rPr>
        <w:t>tified Irrigation Agronomist. In exceptional circumstances, the commissioning report could also be from another person, for instance an experienced supplier, if first approved by the Queensland Government.</w:t>
      </w:r>
    </w:p>
    <w:p w14:paraId="20DD8BD2" w14:textId="77777777" w:rsidR="00D8670B" w:rsidRDefault="009B37A9">
      <w:pPr>
        <w:spacing w:before="117" w:after="133" w:line="230" w:lineRule="exact"/>
        <w:ind w:right="360"/>
        <w:textAlignment w:val="baseline"/>
        <w:rPr>
          <w:rFonts w:ascii="Arial" w:eastAsia="Arial" w:hAnsi="Arial"/>
          <w:color w:val="000000"/>
          <w:sz w:val="20"/>
        </w:rPr>
      </w:pPr>
      <w:r>
        <w:rPr>
          <w:rFonts w:ascii="Arial" w:eastAsia="Arial" w:hAnsi="Arial"/>
          <w:color w:val="000000"/>
          <w:sz w:val="20"/>
        </w:rPr>
        <w:t>Where projects achieved cost savings, these saving</w:t>
      </w:r>
      <w:r>
        <w:rPr>
          <w:rFonts w:ascii="Arial" w:eastAsia="Arial" w:hAnsi="Arial"/>
          <w:color w:val="000000"/>
          <w:sz w:val="20"/>
        </w:rPr>
        <w:t>s were shared between the Queensland Government and irrigators in proportion to the funding/irrigator contribution ratio. In practice, this adjustment meant the proponent and Queensland Government still provided their agreed percentages of the actual proje</w:t>
      </w:r>
      <w:r>
        <w:rPr>
          <w:rFonts w:ascii="Arial" w:eastAsia="Arial" w:hAnsi="Arial"/>
          <w:color w:val="000000"/>
          <w:sz w:val="20"/>
        </w:rPr>
        <w:t>ct costs. Most projects expended more than originally budgeted due to unexpected project costs or inflation in the time between application preparation and project delivery. Only 10 completed projects received an adjustment to the funding payment.</w:t>
      </w:r>
    </w:p>
    <w:p w14:paraId="6E49CE47" w14:textId="77777777" w:rsidR="00D8670B" w:rsidRDefault="009B37A9">
      <w:pPr>
        <w:spacing w:before="165" w:line="227" w:lineRule="exact"/>
        <w:jc w:val="center"/>
        <w:textAlignment w:val="baseline"/>
        <w:rPr>
          <w:rFonts w:ascii="Arial" w:eastAsia="Arial" w:hAnsi="Arial"/>
          <w:color w:val="000000"/>
          <w:spacing w:val="35"/>
          <w:sz w:val="20"/>
        </w:rPr>
      </w:pPr>
      <w:r>
        <w:pict w14:anchorId="5685C453">
          <v:line id="_x0000_s1127" style="position:absolute;left:0;text-align:left;z-index:251693056;mso-position-horizontal-relative:page;mso-position-vertical-relative:page" from="40.75pt,789.1pt" to="554.8pt,789.1pt" strokeweight="1.7pt">
            <w10:wrap anchorx="page" anchory="page"/>
          </v:line>
        </w:pict>
      </w:r>
      <w:r>
        <w:rPr>
          <w:rFonts w:ascii="Arial" w:eastAsia="Arial" w:hAnsi="Arial"/>
          <w:color w:val="000000"/>
          <w:spacing w:val="35"/>
          <w:sz w:val="20"/>
        </w:rPr>
        <w:t>19</w:t>
      </w:r>
    </w:p>
    <w:p w14:paraId="207B7594" w14:textId="77777777" w:rsidR="00D8670B" w:rsidRDefault="00D8670B">
      <w:pPr>
        <w:sectPr w:rsidR="00D8670B">
          <w:pgSz w:w="11909" w:h="16838"/>
          <w:pgMar w:top="1120" w:right="814" w:bottom="282" w:left="815" w:header="720" w:footer="720" w:gutter="0"/>
          <w:cols w:space="720"/>
        </w:sectPr>
      </w:pPr>
    </w:p>
    <w:p w14:paraId="3B5A64F0" w14:textId="77777777" w:rsidR="00D8670B" w:rsidRDefault="009B37A9">
      <w:pPr>
        <w:spacing w:before="21" w:line="319" w:lineRule="exact"/>
        <w:textAlignment w:val="baseline"/>
        <w:rPr>
          <w:rFonts w:ascii="Arial" w:eastAsia="Arial" w:hAnsi="Arial"/>
          <w:b/>
          <w:color w:val="346C36"/>
          <w:sz w:val="28"/>
        </w:rPr>
      </w:pPr>
      <w:r>
        <w:rPr>
          <w:rFonts w:ascii="Arial" w:eastAsia="Arial" w:hAnsi="Arial"/>
          <w:b/>
          <w:color w:val="346C36"/>
          <w:sz w:val="28"/>
        </w:rPr>
        <w:lastRenderedPageBreak/>
        <w:t>2.1.6 Contract administration</w:t>
      </w:r>
    </w:p>
    <w:p w14:paraId="15DF318B" w14:textId="77777777" w:rsidR="00D8670B" w:rsidRDefault="009B37A9">
      <w:pPr>
        <w:spacing w:before="123" w:line="230" w:lineRule="exact"/>
        <w:ind w:right="72"/>
        <w:textAlignment w:val="baseline"/>
        <w:rPr>
          <w:rFonts w:ascii="Arial" w:eastAsia="Arial" w:hAnsi="Arial"/>
          <w:color w:val="000000"/>
          <w:sz w:val="20"/>
        </w:rPr>
      </w:pPr>
      <w:r>
        <w:rPr>
          <w:rFonts w:ascii="Arial" w:eastAsia="Arial" w:hAnsi="Arial"/>
          <w:color w:val="000000"/>
          <w:sz w:val="20"/>
        </w:rPr>
        <w:t>The Queensland Government introduced a “case management” approach to contract administration during Phase 2 of the HHWUE program. Each project was assigned a case manager within the HHWUE program team. The case m</w:t>
      </w:r>
      <w:r>
        <w:rPr>
          <w:rFonts w:ascii="Arial" w:eastAsia="Arial" w:hAnsi="Arial"/>
          <w:color w:val="000000"/>
          <w:sz w:val="20"/>
        </w:rPr>
        <w:t xml:space="preserve">anager provided a single contact point between the irrigator and the team for their HHWUE project. The case manager conducted the pre-contractual meeting, received confirmation of the contract, attended and conducted site inspections as required, obtained </w:t>
      </w:r>
      <w:r>
        <w:rPr>
          <w:rFonts w:ascii="Arial" w:eastAsia="Arial" w:hAnsi="Arial"/>
          <w:color w:val="000000"/>
          <w:sz w:val="20"/>
        </w:rPr>
        <w:t>reports from the irrigator, assessed payment claims and maintained correspondence. A second HHWUE program team member accompanied the case manager and cross checked payment claims, contracts and correspondence.</w:t>
      </w:r>
    </w:p>
    <w:p w14:paraId="2E7C599E" w14:textId="77777777" w:rsidR="00D8670B" w:rsidRDefault="009B37A9">
      <w:pPr>
        <w:spacing w:before="241" w:line="296" w:lineRule="exact"/>
        <w:textAlignment w:val="baseline"/>
        <w:rPr>
          <w:rFonts w:ascii="Arial" w:eastAsia="Arial" w:hAnsi="Arial"/>
          <w:b/>
          <w:color w:val="55532D"/>
          <w:spacing w:val="-1"/>
          <w:sz w:val="26"/>
        </w:rPr>
      </w:pPr>
      <w:r>
        <w:rPr>
          <w:rFonts w:ascii="Arial" w:eastAsia="Arial" w:hAnsi="Arial"/>
          <w:b/>
          <w:color w:val="55532D"/>
          <w:spacing w:val="-1"/>
          <w:sz w:val="26"/>
        </w:rPr>
        <w:t>2.1.6.1 Reporting</w:t>
      </w:r>
    </w:p>
    <w:p w14:paraId="7386DE1C" w14:textId="77777777" w:rsidR="00D8670B" w:rsidRDefault="009B37A9">
      <w:pPr>
        <w:spacing w:before="122" w:line="230" w:lineRule="exact"/>
        <w:ind w:right="504"/>
        <w:textAlignment w:val="baseline"/>
        <w:rPr>
          <w:rFonts w:ascii="Arial" w:eastAsia="Arial" w:hAnsi="Arial"/>
          <w:color w:val="000000"/>
          <w:sz w:val="20"/>
        </w:rPr>
      </w:pPr>
      <w:r>
        <w:rPr>
          <w:rFonts w:ascii="Arial" w:eastAsia="Arial" w:hAnsi="Arial"/>
          <w:color w:val="000000"/>
          <w:sz w:val="20"/>
        </w:rPr>
        <w:t>Under the contract, irrigators provided quarterly reports to the HHWUE program team. The reports included an estimate of expenditure against the approved budget and commentary on progress, emerging issues and promotional activities. These reports in turn i</w:t>
      </w:r>
      <w:r>
        <w:rPr>
          <w:rFonts w:ascii="Arial" w:eastAsia="Arial" w:hAnsi="Arial"/>
          <w:color w:val="000000"/>
          <w:sz w:val="20"/>
        </w:rPr>
        <w:t>nformed the Queensland Government’s reporting to the Australian Government.</w:t>
      </w:r>
    </w:p>
    <w:p w14:paraId="1803BE9A" w14:textId="77777777" w:rsidR="00D8670B" w:rsidRDefault="009B37A9">
      <w:pPr>
        <w:spacing w:before="118" w:line="230" w:lineRule="exact"/>
        <w:ind w:right="72"/>
        <w:textAlignment w:val="baseline"/>
        <w:rPr>
          <w:rFonts w:ascii="Arial" w:eastAsia="Arial" w:hAnsi="Arial"/>
          <w:color w:val="000000"/>
          <w:sz w:val="20"/>
        </w:rPr>
      </w:pPr>
      <w:r>
        <w:rPr>
          <w:rFonts w:ascii="Arial" w:eastAsia="Arial" w:hAnsi="Arial"/>
          <w:color w:val="000000"/>
          <w:sz w:val="20"/>
        </w:rPr>
        <w:t>The case manager provided the irrigator a reporting template to be completed in the first two weeks immediately following the quarter. The Queensland Government did not usually see</w:t>
      </w:r>
      <w:r>
        <w:rPr>
          <w:rFonts w:ascii="Arial" w:eastAsia="Arial" w:hAnsi="Arial"/>
          <w:color w:val="000000"/>
          <w:sz w:val="20"/>
        </w:rPr>
        <w:t>k quarterly reports where the project was on hold as there was no expenditure or progress to report. The case manager however monitored the project to ensure critical dates could still be met. Similarly, the Queensland Government did not seek a report if a</w:t>
      </w:r>
      <w:r>
        <w:rPr>
          <w:rFonts w:ascii="Arial" w:eastAsia="Arial" w:hAnsi="Arial"/>
          <w:color w:val="000000"/>
          <w:sz w:val="20"/>
        </w:rPr>
        <w:t xml:space="preserve"> payment had recently been made as the information required for the payment claim was sufficient to determine expenditure and progress.</w:t>
      </w:r>
    </w:p>
    <w:p w14:paraId="62B3D91C" w14:textId="77777777" w:rsidR="00D8670B" w:rsidRDefault="009B37A9">
      <w:pPr>
        <w:spacing w:before="246" w:line="296" w:lineRule="exact"/>
        <w:textAlignment w:val="baseline"/>
        <w:rPr>
          <w:rFonts w:ascii="Arial" w:eastAsia="Arial" w:hAnsi="Arial"/>
          <w:b/>
          <w:color w:val="55532D"/>
          <w:sz w:val="26"/>
        </w:rPr>
      </w:pPr>
      <w:r>
        <w:rPr>
          <w:rFonts w:ascii="Arial" w:eastAsia="Arial" w:hAnsi="Arial"/>
          <w:b/>
          <w:color w:val="55532D"/>
          <w:sz w:val="26"/>
        </w:rPr>
        <w:t>2.1.6.2 Site inspections</w:t>
      </w:r>
    </w:p>
    <w:p w14:paraId="289CE5BC" w14:textId="77777777" w:rsidR="00D8670B" w:rsidRDefault="009B37A9">
      <w:pPr>
        <w:spacing w:before="118" w:after="100" w:line="230" w:lineRule="exact"/>
        <w:ind w:right="144"/>
        <w:textAlignment w:val="baseline"/>
        <w:rPr>
          <w:rFonts w:ascii="Arial" w:eastAsia="Arial" w:hAnsi="Arial"/>
          <w:color w:val="000000"/>
          <w:sz w:val="20"/>
        </w:rPr>
      </w:pPr>
      <w:r>
        <w:rPr>
          <w:rFonts w:ascii="Arial" w:eastAsia="Arial" w:hAnsi="Arial"/>
          <w:color w:val="000000"/>
          <w:sz w:val="20"/>
        </w:rPr>
        <w:t>In addition to pre-works and milestone payment site inspections, the Queensland Government unde</w:t>
      </w:r>
      <w:r>
        <w:rPr>
          <w:rFonts w:ascii="Arial" w:eastAsia="Arial" w:hAnsi="Arial"/>
          <w:color w:val="000000"/>
          <w:sz w:val="20"/>
        </w:rPr>
        <w:t>rtook selected inspections to check progress during project delivery. These inspections occurred where some time had elapsed between milestone payments or inspections. Additionally, some projects received a pre-works inspection and progressed directly to a</w:t>
      </w:r>
      <w:r>
        <w:rPr>
          <w:rFonts w:ascii="Arial" w:eastAsia="Arial" w:hAnsi="Arial"/>
          <w:color w:val="000000"/>
          <w:sz w:val="20"/>
        </w:rPr>
        <w:t xml:space="preserve"> final payment claim. In these instances, the Queensland Government may not have had the opportunity to conduct an intermediate or second independent inspection of the works. During 2018, the Queensland Government conducted further independent inspections </w:t>
      </w:r>
      <w:r>
        <w:rPr>
          <w:rFonts w:ascii="Arial" w:eastAsia="Arial" w:hAnsi="Arial"/>
          <w:color w:val="000000"/>
          <w:sz w:val="20"/>
        </w:rPr>
        <w:t>for these projects before making the final milestone payments.</w:t>
      </w:r>
    </w:p>
    <w:p w14:paraId="2626199E" w14:textId="77777777" w:rsidR="00D8670B" w:rsidRDefault="009B37A9">
      <w:pPr>
        <w:spacing w:before="2" w:line="296" w:lineRule="exact"/>
        <w:textAlignment w:val="baseline"/>
        <w:rPr>
          <w:rFonts w:ascii="Arial" w:eastAsia="Arial" w:hAnsi="Arial"/>
          <w:b/>
          <w:color w:val="55532D"/>
          <w:sz w:val="26"/>
        </w:rPr>
      </w:pPr>
      <w:r>
        <w:pict w14:anchorId="64C9821C">
          <v:shape id="_x0000_s1126" type="#_x0000_t202" style="position:absolute;margin-left:40.75pt;margin-top:432.7pt;width:514pt;height:178.35pt;z-index:-251709440;mso-wrap-distance-left:0;mso-wrap-distance-right:0;mso-wrap-distance-bottom:29.75pt;mso-position-horizontal-relative:page;mso-position-vertical-relative:page" fillcolor="#eaf4fb" stroked="f">
            <v:textbox inset="0,0,0,0">
              <w:txbxContent>
                <w:p w14:paraId="232D26BD" w14:textId="77777777" w:rsidR="00000000" w:rsidRDefault="009B37A9"/>
              </w:txbxContent>
            </v:textbox>
            <w10:wrap type="square" anchorx="page" anchory="page"/>
          </v:shape>
        </w:pict>
      </w:r>
      <w:r>
        <w:pict w14:anchorId="219163D6">
          <v:shape id="_x0000_s1125" type="#_x0000_t202" style="position:absolute;margin-left:40.75pt;margin-top:432.7pt;width:514pt;height:178.35pt;z-index:-251708416;mso-wrap-distance-left:0;mso-wrap-distance-right:0;mso-position-horizontal-relative:page;mso-position-vertical-relative:page" filled="f" stroked="f">
            <v:textbox inset="0,0,0,0">
              <w:txbxContent>
                <w:p w14:paraId="5E74E7D7" w14:textId="77777777" w:rsidR="00D8670B" w:rsidRDefault="009B37A9">
                  <w:pPr>
                    <w:spacing w:before="123" w:line="205" w:lineRule="exact"/>
                    <w:ind w:left="144"/>
                    <w:textAlignment w:val="baseline"/>
                    <w:rPr>
                      <w:rFonts w:ascii="Arial" w:eastAsia="Arial" w:hAnsi="Arial"/>
                      <w:b/>
                      <w:color w:val="15568B"/>
                      <w:sz w:val="18"/>
                    </w:rPr>
                  </w:pPr>
                  <w:r>
                    <w:rPr>
                      <w:rFonts w:ascii="Arial" w:eastAsia="Arial" w:hAnsi="Arial"/>
                      <w:b/>
                      <w:color w:val="15568B"/>
                      <w:sz w:val="18"/>
                    </w:rPr>
                    <w:t>Quality assurance checks</w:t>
                  </w:r>
                </w:p>
                <w:p w14:paraId="45EF12C0" w14:textId="77777777" w:rsidR="00D8670B" w:rsidRDefault="009B37A9">
                  <w:pPr>
                    <w:spacing w:before="238" w:line="211" w:lineRule="exact"/>
                    <w:ind w:left="144"/>
                    <w:textAlignment w:val="baseline"/>
                    <w:rPr>
                      <w:rFonts w:ascii="Arial" w:eastAsia="Arial" w:hAnsi="Arial"/>
                      <w:color w:val="000000"/>
                      <w:sz w:val="18"/>
                    </w:rPr>
                  </w:pPr>
                  <w:r>
                    <w:rPr>
                      <w:rFonts w:ascii="Arial" w:eastAsia="Arial" w:hAnsi="Arial"/>
                      <w:color w:val="000000"/>
                      <w:sz w:val="18"/>
                    </w:rPr>
                    <w:t>The Queensland Government required checks throughout application assessment and project delivery:</w:t>
                  </w:r>
                </w:p>
                <w:p w14:paraId="7FAF1BF3" w14:textId="77777777" w:rsidR="00D8670B" w:rsidRDefault="009B37A9">
                  <w:pPr>
                    <w:spacing w:before="111" w:line="211" w:lineRule="exact"/>
                    <w:ind w:left="144" w:right="432"/>
                    <w:textAlignment w:val="baseline"/>
                    <w:rPr>
                      <w:rFonts w:ascii="Arial" w:eastAsia="Arial" w:hAnsi="Arial"/>
                      <w:b/>
                      <w:color w:val="000000"/>
                      <w:sz w:val="18"/>
                    </w:rPr>
                  </w:pPr>
                  <w:r>
                    <w:rPr>
                      <w:rFonts w:ascii="Arial" w:eastAsia="Arial" w:hAnsi="Arial"/>
                      <w:b/>
                      <w:color w:val="000000"/>
                      <w:sz w:val="18"/>
                    </w:rPr>
                    <w:t xml:space="preserve">Application certification: </w:t>
                  </w:r>
                  <w:r>
                    <w:rPr>
                      <w:rFonts w:ascii="Arial" w:eastAsia="Arial" w:hAnsi="Arial"/>
                      <w:color w:val="000000"/>
                      <w:sz w:val="18"/>
                    </w:rPr>
                    <w:t>undertaken by a qualified irrigation professional; obtained by the irrigator; confirmed the project and water savings were feasible and based on sound methodology</w:t>
                  </w:r>
                </w:p>
                <w:p w14:paraId="7BD02F10" w14:textId="77777777" w:rsidR="00D8670B" w:rsidRDefault="009B37A9">
                  <w:pPr>
                    <w:spacing w:before="115" w:line="211" w:lineRule="exact"/>
                    <w:ind w:left="144" w:right="720"/>
                    <w:textAlignment w:val="baseline"/>
                    <w:rPr>
                      <w:rFonts w:ascii="Arial" w:eastAsia="Arial" w:hAnsi="Arial"/>
                      <w:b/>
                      <w:color w:val="000000"/>
                      <w:sz w:val="18"/>
                    </w:rPr>
                  </w:pPr>
                  <w:r>
                    <w:rPr>
                      <w:rFonts w:ascii="Arial" w:eastAsia="Arial" w:hAnsi="Arial"/>
                      <w:b/>
                      <w:color w:val="000000"/>
                      <w:sz w:val="18"/>
                    </w:rPr>
                    <w:t xml:space="preserve">Application assessment: </w:t>
                  </w:r>
                  <w:r>
                    <w:rPr>
                      <w:rFonts w:ascii="Arial" w:eastAsia="Arial" w:hAnsi="Arial"/>
                      <w:color w:val="000000"/>
                      <w:sz w:val="18"/>
                    </w:rPr>
                    <w:t>undertaken by a qualified irrigation professional; obtained by the Qu</w:t>
                  </w:r>
                  <w:r>
                    <w:rPr>
                      <w:rFonts w:ascii="Arial" w:eastAsia="Arial" w:hAnsi="Arial"/>
                      <w:color w:val="000000"/>
                      <w:sz w:val="18"/>
                    </w:rPr>
                    <w:t>eensland Government; confirmed whether the methodology, pre-works losses and proposed water savings were reasonable</w:t>
                  </w:r>
                </w:p>
                <w:p w14:paraId="7CAA6754" w14:textId="77777777" w:rsidR="00D8670B" w:rsidRDefault="009B37A9">
                  <w:pPr>
                    <w:spacing w:before="111" w:line="211" w:lineRule="exact"/>
                    <w:ind w:left="144" w:right="216"/>
                    <w:textAlignment w:val="baseline"/>
                    <w:rPr>
                      <w:rFonts w:ascii="Arial" w:eastAsia="Arial" w:hAnsi="Arial"/>
                      <w:b/>
                      <w:color w:val="000000"/>
                      <w:sz w:val="18"/>
                    </w:rPr>
                  </w:pPr>
                  <w:r>
                    <w:rPr>
                      <w:rFonts w:ascii="Arial" w:eastAsia="Arial" w:hAnsi="Arial"/>
                      <w:b/>
                      <w:color w:val="000000"/>
                      <w:sz w:val="18"/>
                    </w:rPr>
                    <w:t xml:space="preserve">Pre-works: </w:t>
                  </w:r>
                  <w:r>
                    <w:rPr>
                      <w:rFonts w:ascii="Arial" w:eastAsia="Arial" w:hAnsi="Arial"/>
                      <w:color w:val="000000"/>
                      <w:sz w:val="18"/>
                    </w:rPr>
                    <w:t>undertaken by a qualified irrigation professional or HHWUE project team (depending on complexity); obtained by the Queensland Government; confirmed pre-works condition of the project site</w:t>
                  </w:r>
                </w:p>
                <w:p w14:paraId="304AFEB9" w14:textId="77777777" w:rsidR="00D8670B" w:rsidRDefault="009B37A9">
                  <w:pPr>
                    <w:spacing w:before="111" w:line="211" w:lineRule="exact"/>
                    <w:ind w:left="144" w:right="1368"/>
                    <w:textAlignment w:val="baseline"/>
                    <w:rPr>
                      <w:rFonts w:ascii="Arial" w:eastAsia="Arial" w:hAnsi="Arial"/>
                      <w:b/>
                      <w:color w:val="000000"/>
                      <w:sz w:val="18"/>
                    </w:rPr>
                  </w:pPr>
                  <w:r>
                    <w:rPr>
                      <w:rFonts w:ascii="Arial" w:eastAsia="Arial" w:hAnsi="Arial"/>
                      <w:b/>
                      <w:color w:val="000000"/>
                      <w:sz w:val="18"/>
                    </w:rPr>
                    <w:t xml:space="preserve">Milestone payments: </w:t>
                  </w:r>
                  <w:r>
                    <w:rPr>
                      <w:rFonts w:ascii="Arial" w:eastAsia="Arial" w:hAnsi="Arial"/>
                      <w:color w:val="000000"/>
                      <w:sz w:val="18"/>
                    </w:rPr>
                    <w:t>undertaken by a qualified irrigation professiona</w:t>
                  </w:r>
                  <w:r>
                    <w:rPr>
                      <w:rFonts w:ascii="Arial" w:eastAsia="Arial" w:hAnsi="Arial"/>
                      <w:color w:val="000000"/>
                      <w:sz w:val="18"/>
                    </w:rPr>
                    <w:t>l or HHWUE project team (depending on complexity); obtained by the Queensland Government; verified the claimed level of completion</w:t>
                  </w:r>
                </w:p>
                <w:p w14:paraId="481AC6C3" w14:textId="77777777" w:rsidR="00D8670B" w:rsidRDefault="009B37A9">
                  <w:pPr>
                    <w:spacing w:before="111" w:after="111" w:line="211" w:lineRule="exact"/>
                    <w:ind w:left="144" w:right="2232"/>
                    <w:textAlignment w:val="baseline"/>
                    <w:rPr>
                      <w:rFonts w:ascii="Arial" w:eastAsia="Arial" w:hAnsi="Arial"/>
                      <w:b/>
                      <w:color w:val="000000"/>
                      <w:sz w:val="18"/>
                    </w:rPr>
                  </w:pPr>
                  <w:r>
                    <w:rPr>
                      <w:rFonts w:ascii="Arial" w:eastAsia="Arial" w:hAnsi="Arial"/>
                      <w:b/>
                      <w:color w:val="000000"/>
                      <w:sz w:val="18"/>
                    </w:rPr>
                    <w:t xml:space="preserve">Commissioning: </w:t>
                  </w:r>
                  <w:r>
                    <w:rPr>
                      <w:rFonts w:ascii="Arial" w:eastAsia="Arial" w:hAnsi="Arial"/>
                      <w:color w:val="000000"/>
                      <w:sz w:val="18"/>
                    </w:rPr>
                    <w:t>undertaken by a qualified irrigation professional or (in exceptional circumstances) experienced supplier; obta</w:t>
                  </w:r>
                  <w:r>
                    <w:rPr>
                      <w:rFonts w:ascii="Arial" w:eastAsia="Arial" w:hAnsi="Arial"/>
                      <w:color w:val="000000"/>
                      <w:sz w:val="18"/>
                    </w:rPr>
                    <w:t>ined by the irrigator; demonstrated project completion.</w:t>
                  </w:r>
                </w:p>
              </w:txbxContent>
            </v:textbox>
            <w10:wrap type="square" anchorx="page" anchory="page"/>
          </v:shape>
        </w:pict>
      </w:r>
      <w:r>
        <w:pict w14:anchorId="61AFBF4A">
          <v:shape id="_x0000_s1124" type="#_x0000_t202" style="position:absolute;margin-left:456.95pt;margin-top:545.75pt;width:87.6pt;height:61.45pt;z-index:-251707392;mso-wrap-distance-left:0;mso-wrap-distance-right:0;mso-position-horizontal-relative:page;mso-position-vertical-relative:page" stroked="f">
            <v:textbox inset="0,0,0,0">
              <w:txbxContent>
                <w:p w14:paraId="55FDE5F9" w14:textId="77777777" w:rsidR="00D8670B" w:rsidRDefault="009B37A9">
                  <w:pPr>
                    <w:textAlignment w:val="baseline"/>
                  </w:pPr>
                  <w:r>
                    <w:rPr>
                      <w:noProof/>
                    </w:rPr>
                    <w:drawing>
                      <wp:inline distT="0" distB="0" distL="0" distR="0" wp14:anchorId="4EA5C391" wp14:editId="484C606D">
                        <wp:extent cx="1112520" cy="780415"/>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24"/>
                                <a:stretch>
                                  <a:fillRect/>
                                </a:stretch>
                              </pic:blipFill>
                              <pic:spPr>
                                <a:xfrm>
                                  <a:off x="0" y="0"/>
                                  <a:ext cx="1112520" cy="780415"/>
                                </a:xfrm>
                                <a:prstGeom prst="rect">
                                  <a:avLst/>
                                </a:prstGeom>
                              </pic:spPr>
                            </pic:pic>
                          </a:graphicData>
                        </a:graphic>
                      </wp:inline>
                    </w:drawing>
                  </w:r>
                </w:p>
              </w:txbxContent>
            </v:textbox>
            <w10:wrap anchorx="page" anchory="page"/>
          </v:shape>
        </w:pict>
      </w:r>
      <w:r>
        <w:rPr>
          <w:rFonts w:ascii="Arial" w:eastAsia="Arial" w:hAnsi="Arial"/>
          <w:b/>
          <w:color w:val="55532D"/>
          <w:sz w:val="26"/>
        </w:rPr>
        <w:t>2.1.6.3 Contract variations</w:t>
      </w:r>
    </w:p>
    <w:p w14:paraId="1EB17E58" w14:textId="77777777" w:rsidR="00D8670B" w:rsidRDefault="009B37A9">
      <w:pPr>
        <w:spacing w:before="118" w:line="230" w:lineRule="exact"/>
        <w:ind w:right="216"/>
        <w:textAlignment w:val="baseline"/>
        <w:rPr>
          <w:rFonts w:ascii="Arial" w:eastAsia="Arial" w:hAnsi="Arial"/>
          <w:color w:val="000000"/>
          <w:spacing w:val="-1"/>
          <w:sz w:val="20"/>
        </w:rPr>
      </w:pPr>
      <w:r>
        <w:rPr>
          <w:rFonts w:ascii="Arial" w:eastAsia="Arial" w:hAnsi="Arial"/>
          <w:color w:val="000000"/>
          <w:spacing w:val="-1"/>
          <w:sz w:val="20"/>
        </w:rPr>
        <w:t>Irrigators were required to seek approval for changes to the project specification and timeframe. The Queensland Government assessed these changes against the original</w:t>
      </w:r>
      <w:r>
        <w:rPr>
          <w:rFonts w:ascii="Arial" w:eastAsia="Arial" w:hAnsi="Arial"/>
          <w:color w:val="000000"/>
          <w:spacing w:val="-1"/>
          <w:sz w:val="20"/>
        </w:rPr>
        <w:t xml:space="preserve"> project eligibility, intent and outcomes. The Queensland Government was able to approve simple changes such as the relocation of a capital item or a minor extension to the project timeframe. More complex changes such as exchanging the proposed works or mo</w:t>
      </w:r>
      <w:r>
        <w:rPr>
          <w:rFonts w:ascii="Arial" w:eastAsia="Arial" w:hAnsi="Arial"/>
          <w:color w:val="000000"/>
          <w:spacing w:val="-1"/>
          <w:sz w:val="20"/>
        </w:rPr>
        <w:t>ving milestone payments between financial years required consultation with the Australian Government prior to approval.</w:t>
      </w:r>
    </w:p>
    <w:p w14:paraId="1A48B570" w14:textId="77777777" w:rsidR="00D8670B" w:rsidRDefault="009B37A9">
      <w:pPr>
        <w:spacing w:before="121" w:after="560" w:line="230" w:lineRule="exact"/>
        <w:ind w:right="72"/>
        <w:textAlignment w:val="baseline"/>
        <w:rPr>
          <w:rFonts w:ascii="Arial" w:eastAsia="Arial" w:hAnsi="Arial"/>
          <w:color w:val="000000"/>
          <w:sz w:val="20"/>
        </w:rPr>
      </w:pPr>
      <w:r>
        <w:rPr>
          <w:rFonts w:ascii="Arial" w:eastAsia="Arial" w:hAnsi="Arial"/>
          <w:color w:val="000000"/>
          <w:sz w:val="20"/>
        </w:rPr>
        <w:t>Approved changes, if significant, were formalised through a deed of variation to the contract. If declined, irrigators could submit a re</w:t>
      </w:r>
      <w:r>
        <w:rPr>
          <w:rFonts w:ascii="Arial" w:eastAsia="Arial" w:hAnsi="Arial"/>
          <w:color w:val="000000"/>
          <w:sz w:val="20"/>
        </w:rPr>
        <w:t>vised variation request based on feedback from the Queensland Government. Often, the changes were identified in collaboration with irrigators so non-approval was unlikely.</w:t>
      </w:r>
    </w:p>
    <w:p w14:paraId="72653764" w14:textId="77777777" w:rsidR="00D8670B" w:rsidRDefault="009B37A9">
      <w:pPr>
        <w:spacing w:before="164" w:line="228" w:lineRule="exact"/>
        <w:jc w:val="center"/>
        <w:textAlignment w:val="baseline"/>
        <w:rPr>
          <w:rFonts w:ascii="Arial" w:eastAsia="Arial" w:hAnsi="Arial"/>
          <w:color w:val="000000"/>
          <w:spacing w:val="40"/>
          <w:sz w:val="20"/>
        </w:rPr>
      </w:pPr>
      <w:r>
        <w:pict w14:anchorId="2E4A5CB7">
          <v:line id="_x0000_s1123" style="position:absolute;left:0;text-align:left;z-index:251694080;mso-position-horizontal-relative:page;mso-position-vertical-relative:page" from="40.75pt,789.1pt" to="554.8pt,789.1pt" strokeweight="1.7pt">
            <w10:wrap anchorx="page" anchory="page"/>
          </v:line>
        </w:pict>
      </w:r>
      <w:r>
        <w:rPr>
          <w:rFonts w:ascii="Arial" w:eastAsia="Arial" w:hAnsi="Arial"/>
          <w:color w:val="000000"/>
          <w:spacing w:val="40"/>
          <w:sz w:val="20"/>
        </w:rPr>
        <w:t>20</w:t>
      </w:r>
    </w:p>
    <w:p w14:paraId="300AEFE4" w14:textId="77777777" w:rsidR="00D8670B" w:rsidRDefault="00D8670B">
      <w:pPr>
        <w:sectPr w:rsidR="00D8670B">
          <w:pgSz w:w="11909" w:h="16838"/>
          <w:pgMar w:top="1120" w:right="814" w:bottom="282" w:left="815" w:header="720" w:footer="720" w:gutter="0"/>
          <w:cols w:space="720"/>
        </w:sectPr>
      </w:pPr>
    </w:p>
    <w:p w14:paraId="2EA1BB58" w14:textId="77777777" w:rsidR="00D8670B" w:rsidRDefault="009B37A9">
      <w:pPr>
        <w:spacing w:before="5" w:line="296" w:lineRule="exact"/>
        <w:textAlignment w:val="baseline"/>
        <w:rPr>
          <w:rFonts w:ascii="Arial" w:eastAsia="Arial" w:hAnsi="Arial"/>
          <w:b/>
          <w:color w:val="55532D"/>
          <w:sz w:val="26"/>
        </w:rPr>
      </w:pPr>
      <w:r>
        <w:rPr>
          <w:rFonts w:ascii="Arial" w:eastAsia="Arial" w:hAnsi="Arial"/>
          <w:b/>
          <w:color w:val="55532D"/>
          <w:sz w:val="26"/>
        </w:rPr>
        <w:lastRenderedPageBreak/>
        <w:t>2.1.6.4 Withdrawn projects</w:t>
      </w:r>
    </w:p>
    <w:p w14:paraId="0D9CFDAE" w14:textId="77777777" w:rsidR="00D8670B" w:rsidRDefault="009B37A9">
      <w:pPr>
        <w:spacing w:before="118" w:line="231" w:lineRule="exact"/>
        <w:ind w:right="144"/>
        <w:textAlignment w:val="baseline"/>
        <w:rPr>
          <w:rFonts w:ascii="Arial" w:eastAsia="Arial" w:hAnsi="Arial"/>
          <w:color w:val="000000"/>
          <w:sz w:val="20"/>
        </w:rPr>
      </w:pPr>
      <w:r>
        <w:rPr>
          <w:rFonts w:ascii="Arial" w:eastAsia="Arial" w:hAnsi="Arial"/>
          <w:color w:val="000000"/>
          <w:sz w:val="20"/>
        </w:rPr>
        <w:t>In some cases, irrigators chose not to proceed with approved projects for business reasons. Twenty-one approved projects identified in Phase 2 did not proceed.</w:t>
      </w:r>
    </w:p>
    <w:p w14:paraId="5ABCC677" w14:textId="77777777" w:rsidR="00D8670B" w:rsidRDefault="009B37A9">
      <w:pPr>
        <w:spacing w:before="112" w:line="231" w:lineRule="exact"/>
        <w:ind w:right="360"/>
        <w:textAlignment w:val="baseline"/>
        <w:rPr>
          <w:rFonts w:ascii="Arial" w:eastAsia="Arial" w:hAnsi="Arial"/>
          <w:color w:val="000000"/>
          <w:sz w:val="20"/>
        </w:rPr>
      </w:pPr>
      <w:r>
        <w:rPr>
          <w:rFonts w:ascii="Arial" w:eastAsia="Arial" w:hAnsi="Arial"/>
          <w:color w:val="000000"/>
          <w:sz w:val="20"/>
        </w:rPr>
        <w:t>Irrigators advised the Queensland Government in writing if they did not wish to proceed with the</w:t>
      </w:r>
      <w:r>
        <w:rPr>
          <w:rFonts w:ascii="Arial" w:eastAsia="Arial" w:hAnsi="Arial"/>
          <w:color w:val="000000"/>
          <w:sz w:val="20"/>
        </w:rPr>
        <w:t xml:space="preserve"> project. If a contract had not yet been executed, the Queensland Government withdrew the offer of funding. If a contract had been executed, the contract was finalised either through an exchange of letters or execution of a deed of termination. If a water </w:t>
      </w:r>
      <w:r>
        <w:rPr>
          <w:rFonts w:ascii="Arial" w:eastAsia="Arial" w:hAnsi="Arial"/>
          <w:color w:val="000000"/>
          <w:sz w:val="20"/>
        </w:rPr>
        <w:t>transfer had occurred, the water remained the property of the Australian Government and the irrigator retained the first payment.</w:t>
      </w:r>
    </w:p>
    <w:p w14:paraId="17169D4C" w14:textId="77777777" w:rsidR="00D8670B" w:rsidRDefault="009B37A9">
      <w:pPr>
        <w:spacing w:before="119" w:line="231" w:lineRule="exact"/>
        <w:textAlignment w:val="baseline"/>
        <w:rPr>
          <w:rFonts w:ascii="Arial" w:eastAsia="Arial" w:hAnsi="Arial"/>
          <w:color w:val="000000"/>
          <w:sz w:val="20"/>
        </w:rPr>
      </w:pPr>
      <w:r>
        <w:rPr>
          <w:rFonts w:ascii="Arial" w:eastAsia="Arial" w:hAnsi="Arial"/>
          <w:color w:val="000000"/>
          <w:sz w:val="20"/>
        </w:rPr>
        <w:t>Withdrawal did not preclude the irrigator from applying again for funding.</w:t>
      </w:r>
    </w:p>
    <w:p w14:paraId="599D2CD2" w14:textId="77777777" w:rsidR="00D8670B" w:rsidRDefault="009B37A9">
      <w:pPr>
        <w:spacing w:before="244" w:line="321" w:lineRule="exact"/>
        <w:textAlignment w:val="baseline"/>
        <w:rPr>
          <w:rFonts w:ascii="Arial" w:eastAsia="Arial" w:hAnsi="Arial"/>
          <w:b/>
          <w:color w:val="297277"/>
          <w:spacing w:val="3"/>
          <w:sz w:val="28"/>
        </w:rPr>
      </w:pPr>
      <w:r>
        <w:rPr>
          <w:rFonts w:ascii="Arial" w:eastAsia="Arial" w:hAnsi="Arial"/>
          <w:b/>
          <w:color w:val="297277"/>
          <w:spacing w:val="3"/>
          <w:sz w:val="28"/>
        </w:rPr>
        <w:t>2.2 Complementary measures</w:t>
      </w:r>
    </w:p>
    <w:p w14:paraId="7DCD67AD" w14:textId="77777777" w:rsidR="00D8670B" w:rsidRDefault="009B37A9">
      <w:pPr>
        <w:spacing w:before="112" w:after="89" w:line="231" w:lineRule="exact"/>
        <w:ind w:right="648"/>
        <w:textAlignment w:val="baseline"/>
        <w:rPr>
          <w:rFonts w:ascii="Arial" w:eastAsia="Arial" w:hAnsi="Arial"/>
          <w:color w:val="000000"/>
          <w:sz w:val="20"/>
        </w:rPr>
      </w:pPr>
      <w:r>
        <w:rPr>
          <w:rFonts w:ascii="Arial" w:eastAsia="Arial" w:hAnsi="Arial"/>
          <w:color w:val="000000"/>
          <w:sz w:val="20"/>
        </w:rPr>
        <w:t>The Queensland Government also delivered complementary measures projects under the HHWUE program. These projects, which were funded under the complementar</w:t>
      </w:r>
      <w:r>
        <w:rPr>
          <w:rFonts w:ascii="Arial" w:eastAsia="Arial" w:hAnsi="Arial"/>
          <w:color w:val="000000"/>
          <w:sz w:val="20"/>
        </w:rPr>
        <w:t>y measures component of the HHWUE program, achieved the following outcomes</w:t>
      </w:r>
      <w:r>
        <w:rPr>
          <w:rFonts w:ascii="Arial" w:eastAsia="Arial" w:hAnsi="Arial"/>
          <w:color w:val="000000"/>
          <w:sz w:val="20"/>
          <w:vertAlign w:val="superscript"/>
        </w:rPr>
        <w:t>4</w:t>
      </w:r>
      <w:r>
        <w:rPr>
          <w:rFonts w:ascii="Arial" w:eastAsia="Arial" w:hAnsi="Arial"/>
          <w:color w:val="000000"/>
          <w:sz w:val="20"/>
        </w:rPr>
        <w:t>.</w:t>
      </w:r>
    </w:p>
    <w:p w14:paraId="4C0F4D8F" w14:textId="77777777" w:rsidR="00D8670B" w:rsidRDefault="009B37A9">
      <w:pPr>
        <w:spacing w:after="121"/>
        <w:ind w:left="30" w:right="41"/>
        <w:textAlignment w:val="baseline"/>
      </w:pPr>
      <w:r>
        <w:rPr>
          <w:noProof/>
        </w:rPr>
        <w:drawing>
          <wp:inline distT="0" distB="0" distL="0" distR="0" wp14:anchorId="75D3A25B" wp14:editId="55FB21E1">
            <wp:extent cx="6482715" cy="204851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25"/>
                    <a:stretch>
                      <a:fillRect/>
                    </a:stretch>
                  </pic:blipFill>
                  <pic:spPr>
                    <a:xfrm>
                      <a:off x="0" y="0"/>
                      <a:ext cx="6482715" cy="2048510"/>
                    </a:xfrm>
                    <a:prstGeom prst="rect">
                      <a:avLst/>
                    </a:prstGeom>
                  </pic:spPr>
                </pic:pic>
              </a:graphicData>
            </a:graphic>
          </wp:inline>
        </w:drawing>
      </w:r>
    </w:p>
    <w:p w14:paraId="021F4E94" w14:textId="77777777" w:rsidR="00D8670B" w:rsidRDefault="009B37A9">
      <w:pPr>
        <w:spacing w:before="2" w:line="231" w:lineRule="exact"/>
        <w:ind w:right="576"/>
        <w:textAlignment w:val="baseline"/>
        <w:rPr>
          <w:rFonts w:ascii="Arial" w:eastAsia="Arial" w:hAnsi="Arial"/>
          <w:color w:val="000000"/>
          <w:sz w:val="20"/>
        </w:rPr>
      </w:pPr>
      <w:r>
        <w:rPr>
          <w:rFonts w:ascii="Arial" w:eastAsia="Arial" w:hAnsi="Arial"/>
          <w:color w:val="000000"/>
          <w:sz w:val="20"/>
        </w:rPr>
        <w:t xml:space="preserve">Complementary measures funding also included the Queensland Government’s </w:t>
      </w:r>
      <w:r>
        <w:rPr>
          <w:rFonts w:ascii="Arial" w:eastAsia="Arial" w:hAnsi="Arial"/>
          <w:color w:val="000000"/>
          <w:sz w:val="20"/>
        </w:rPr>
        <w:t>program management costs. These costs were to promote the infrastructure funding program, run rounds, assess applications, undertake contractual processes, oversee funded projects and engage contractors.</w:t>
      </w:r>
    </w:p>
    <w:p w14:paraId="06163F43" w14:textId="77777777" w:rsidR="00D8670B" w:rsidRDefault="009B37A9">
      <w:pPr>
        <w:spacing w:before="243" w:after="40" w:line="321" w:lineRule="exact"/>
        <w:textAlignment w:val="baseline"/>
        <w:rPr>
          <w:rFonts w:ascii="Arial" w:eastAsia="Arial" w:hAnsi="Arial"/>
          <w:b/>
          <w:color w:val="346C36"/>
          <w:sz w:val="28"/>
        </w:rPr>
      </w:pPr>
      <w:r>
        <w:rPr>
          <w:rFonts w:ascii="Arial" w:eastAsia="Arial" w:hAnsi="Arial"/>
          <w:b/>
          <w:color w:val="346C36"/>
          <w:sz w:val="28"/>
        </w:rPr>
        <w:t>2.2.1 Technical advice grants</w:t>
      </w:r>
    </w:p>
    <w:tbl>
      <w:tblPr>
        <w:tblW w:w="0" w:type="auto"/>
        <w:tblLayout w:type="fixed"/>
        <w:tblCellMar>
          <w:left w:w="0" w:type="dxa"/>
          <w:right w:w="0" w:type="dxa"/>
        </w:tblCellMar>
        <w:tblLook w:val="0000" w:firstRow="0" w:lastRow="0" w:firstColumn="0" w:lastColumn="0" w:noHBand="0" w:noVBand="0"/>
      </w:tblPr>
      <w:tblGrid>
        <w:gridCol w:w="946"/>
        <w:gridCol w:w="77"/>
        <w:gridCol w:w="9257"/>
      </w:tblGrid>
      <w:tr w:rsidR="00D8670B" w14:paraId="5553E9FA" w14:textId="77777777">
        <w:tblPrEx>
          <w:tblCellMar>
            <w:top w:w="0" w:type="dxa"/>
            <w:bottom w:w="0" w:type="dxa"/>
          </w:tblCellMar>
        </w:tblPrEx>
        <w:trPr>
          <w:trHeight w:hRule="exact" w:val="550"/>
        </w:trPr>
        <w:tc>
          <w:tcPr>
            <w:tcW w:w="946" w:type="dxa"/>
            <w:tcBorders>
              <w:top w:val="none" w:sz="0" w:space="0" w:color="000000"/>
              <w:left w:val="none" w:sz="0" w:space="0" w:color="000000"/>
              <w:bottom w:val="none" w:sz="0" w:space="0" w:color="000000"/>
              <w:right w:val="none" w:sz="0" w:space="0" w:color="000000"/>
            </w:tcBorders>
            <w:shd w:val="clear" w:color="CAE2F7" w:fill="CAE2F7"/>
          </w:tcPr>
          <w:p w14:paraId="1E85A95D" w14:textId="77777777" w:rsidR="00D8670B" w:rsidRDefault="009B37A9">
            <w:pPr>
              <w:spacing w:before="123" w:after="209" w:line="206" w:lineRule="exact"/>
              <w:ind w:left="72"/>
              <w:textAlignment w:val="baseline"/>
              <w:rPr>
                <w:rFonts w:ascii="Arial" w:eastAsia="Arial" w:hAnsi="Arial"/>
                <w:b/>
                <w:color w:val="15568B"/>
                <w:sz w:val="18"/>
              </w:rPr>
            </w:pPr>
            <w:r>
              <w:rPr>
                <w:rFonts w:ascii="Arial" w:eastAsia="Arial" w:hAnsi="Arial"/>
                <w:b/>
                <w:color w:val="15568B"/>
                <w:sz w:val="18"/>
              </w:rPr>
              <w:t>Aim</w:t>
            </w:r>
          </w:p>
        </w:tc>
        <w:tc>
          <w:tcPr>
            <w:tcW w:w="77" w:type="dxa"/>
            <w:tcBorders>
              <w:top w:val="none" w:sz="0" w:space="0" w:color="000000"/>
              <w:left w:val="none" w:sz="0" w:space="0" w:color="000000"/>
              <w:bottom w:val="none" w:sz="0" w:space="0" w:color="000000"/>
              <w:right w:val="none" w:sz="0" w:space="0" w:color="000000"/>
            </w:tcBorders>
          </w:tcPr>
          <w:p w14:paraId="08BF0BDA" w14:textId="77777777" w:rsidR="00D8670B" w:rsidRDefault="00D8670B"/>
        </w:tc>
        <w:tc>
          <w:tcPr>
            <w:tcW w:w="9257" w:type="dxa"/>
            <w:tcBorders>
              <w:top w:val="none" w:sz="0" w:space="0" w:color="000000"/>
              <w:left w:val="none" w:sz="0" w:space="0" w:color="000000"/>
              <w:bottom w:val="none" w:sz="0" w:space="0" w:color="000000"/>
              <w:right w:val="none" w:sz="0" w:space="0" w:color="000000"/>
            </w:tcBorders>
            <w:shd w:val="clear" w:color="EAF4FB" w:fill="EAF4FB"/>
          </w:tcPr>
          <w:p w14:paraId="243661D5" w14:textId="77777777" w:rsidR="00D8670B" w:rsidRDefault="009B37A9">
            <w:pPr>
              <w:spacing w:before="120" w:line="209" w:lineRule="exact"/>
              <w:ind w:left="144" w:right="324"/>
              <w:textAlignment w:val="baseline"/>
              <w:rPr>
                <w:rFonts w:ascii="Arial" w:eastAsia="Arial" w:hAnsi="Arial"/>
                <w:color w:val="000000"/>
                <w:sz w:val="18"/>
              </w:rPr>
            </w:pPr>
            <w:r>
              <w:rPr>
                <w:rFonts w:ascii="Arial" w:eastAsia="Arial" w:hAnsi="Arial"/>
                <w:color w:val="000000"/>
                <w:sz w:val="18"/>
              </w:rPr>
              <w:t>To help irrigator</w:t>
            </w:r>
            <w:r>
              <w:rPr>
                <w:rFonts w:ascii="Arial" w:eastAsia="Arial" w:hAnsi="Arial"/>
                <w:color w:val="000000"/>
                <w:sz w:val="18"/>
              </w:rPr>
              <w:t>s obtain advice on on-farm water use efficiency options and consider the viability of an HHWUE infrastructure project without extensive early expenditure</w:t>
            </w:r>
          </w:p>
        </w:tc>
      </w:tr>
      <w:tr w:rsidR="00D8670B" w14:paraId="2AD0E153" w14:textId="77777777">
        <w:tblPrEx>
          <w:tblCellMar>
            <w:top w:w="0" w:type="dxa"/>
            <w:bottom w:w="0" w:type="dxa"/>
          </w:tblCellMar>
        </w:tblPrEx>
        <w:trPr>
          <w:trHeight w:hRule="exact" w:val="4367"/>
        </w:trPr>
        <w:tc>
          <w:tcPr>
            <w:tcW w:w="946" w:type="dxa"/>
            <w:tcBorders>
              <w:top w:val="none" w:sz="0" w:space="0" w:color="000000"/>
              <w:left w:val="none" w:sz="0" w:space="0" w:color="000000"/>
              <w:bottom w:val="none" w:sz="0" w:space="0" w:color="000000"/>
              <w:right w:val="none" w:sz="0" w:space="0" w:color="000000"/>
            </w:tcBorders>
            <w:shd w:val="clear" w:color="CAE2F7" w:fill="CAE2F7"/>
          </w:tcPr>
          <w:p w14:paraId="0F4409DB" w14:textId="77777777" w:rsidR="00D8670B" w:rsidRDefault="009B37A9">
            <w:pPr>
              <w:spacing w:before="230" w:after="3929" w:line="206" w:lineRule="exact"/>
              <w:ind w:left="72"/>
              <w:textAlignment w:val="baseline"/>
              <w:rPr>
                <w:rFonts w:ascii="Arial" w:eastAsia="Arial" w:hAnsi="Arial"/>
                <w:b/>
                <w:color w:val="15568B"/>
                <w:sz w:val="18"/>
              </w:rPr>
            </w:pPr>
            <w:r>
              <w:rPr>
                <w:rFonts w:ascii="Arial" w:eastAsia="Arial" w:hAnsi="Arial"/>
                <w:b/>
                <w:color w:val="15568B"/>
                <w:sz w:val="18"/>
              </w:rPr>
              <w:t>Project</w:t>
            </w:r>
          </w:p>
        </w:tc>
        <w:tc>
          <w:tcPr>
            <w:tcW w:w="77" w:type="dxa"/>
            <w:tcBorders>
              <w:top w:val="none" w:sz="0" w:space="0" w:color="000000"/>
              <w:left w:val="none" w:sz="0" w:space="0" w:color="000000"/>
              <w:bottom w:val="none" w:sz="0" w:space="0" w:color="000000"/>
              <w:right w:val="none" w:sz="0" w:space="0" w:color="000000"/>
            </w:tcBorders>
          </w:tcPr>
          <w:p w14:paraId="403AD340" w14:textId="77777777" w:rsidR="00D8670B" w:rsidRDefault="00D8670B"/>
        </w:tc>
        <w:tc>
          <w:tcPr>
            <w:tcW w:w="9257" w:type="dxa"/>
            <w:tcBorders>
              <w:top w:val="none" w:sz="0" w:space="0" w:color="000000"/>
              <w:left w:val="none" w:sz="0" w:space="0" w:color="000000"/>
              <w:bottom w:val="none" w:sz="0" w:space="0" w:color="000000"/>
              <w:right w:val="none" w:sz="0" w:space="0" w:color="000000"/>
            </w:tcBorders>
            <w:shd w:val="clear" w:color="EAF4FB" w:fill="EAF4FB"/>
            <w:vAlign w:val="bottom"/>
          </w:tcPr>
          <w:p w14:paraId="2BC71D09" w14:textId="77777777" w:rsidR="00D8670B" w:rsidRDefault="009B37A9">
            <w:pPr>
              <w:spacing w:before="235" w:line="206" w:lineRule="exact"/>
              <w:ind w:left="144" w:right="288"/>
              <w:textAlignment w:val="baseline"/>
              <w:rPr>
                <w:rFonts w:ascii="Arial" w:eastAsia="Arial" w:hAnsi="Arial"/>
                <w:color w:val="000000"/>
                <w:sz w:val="18"/>
              </w:rPr>
            </w:pPr>
            <w:r>
              <w:rPr>
                <w:rFonts w:ascii="Arial" w:eastAsia="Arial" w:hAnsi="Arial"/>
                <w:color w:val="000000"/>
                <w:sz w:val="18"/>
              </w:rPr>
              <w:t>This project provided small grants for irrigators to consider suitable water use efficiency options with the assistance of a qualified irrigation professional. Irrigator eligibility criteria were the same as for the infrastructure funding program.</w:t>
            </w:r>
          </w:p>
          <w:p w14:paraId="10B1B37F" w14:textId="77777777" w:rsidR="00D8670B" w:rsidRDefault="009B37A9">
            <w:pPr>
              <w:spacing w:before="121" w:line="205" w:lineRule="exact"/>
              <w:ind w:left="144"/>
              <w:textAlignment w:val="baseline"/>
              <w:rPr>
                <w:rFonts w:ascii="Arial" w:eastAsia="Arial" w:hAnsi="Arial"/>
                <w:color w:val="000000"/>
                <w:sz w:val="18"/>
              </w:rPr>
            </w:pPr>
            <w:r>
              <w:rPr>
                <w:rFonts w:ascii="Arial" w:eastAsia="Arial" w:hAnsi="Arial"/>
                <w:color w:val="000000"/>
                <w:sz w:val="18"/>
              </w:rPr>
              <w:t>Irrigato</w:t>
            </w:r>
            <w:r>
              <w:rPr>
                <w:rFonts w:ascii="Arial" w:eastAsia="Arial" w:hAnsi="Arial"/>
                <w:color w:val="000000"/>
                <w:sz w:val="18"/>
              </w:rPr>
              <w:t>rs could engage a qualified professional for services including:</w:t>
            </w:r>
          </w:p>
          <w:p w14:paraId="0C3FBEB8" w14:textId="77777777" w:rsidR="00D8670B" w:rsidRDefault="009B37A9">
            <w:pPr>
              <w:numPr>
                <w:ilvl w:val="0"/>
                <w:numId w:val="2"/>
              </w:numPr>
              <w:tabs>
                <w:tab w:val="clear" w:pos="360"/>
                <w:tab w:val="left" w:pos="864"/>
              </w:tabs>
              <w:spacing w:before="118" w:line="223" w:lineRule="exact"/>
              <w:ind w:left="504"/>
              <w:textAlignment w:val="baseline"/>
              <w:rPr>
                <w:rFonts w:ascii="Arial" w:eastAsia="Arial" w:hAnsi="Arial"/>
                <w:color w:val="000000"/>
                <w:sz w:val="18"/>
              </w:rPr>
            </w:pPr>
            <w:r>
              <w:rPr>
                <w:rFonts w:ascii="Arial" w:eastAsia="Arial" w:hAnsi="Arial"/>
                <w:color w:val="000000"/>
                <w:sz w:val="18"/>
              </w:rPr>
              <w:t>on-farm water accounting and removing overland flow hooks</w:t>
            </w:r>
          </w:p>
          <w:p w14:paraId="04845970" w14:textId="77777777" w:rsidR="00D8670B" w:rsidRDefault="009B37A9">
            <w:pPr>
              <w:numPr>
                <w:ilvl w:val="0"/>
                <w:numId w:val="2"/>
              </w:numPr>
              <w:tabs>
                <w:tab w:val="clear" w:pos="360"/>
                <w:tab w:val="left" w:pos="864"/>
              </w:tabs>
              <w:spacing w:before="113" w:line="223" w:lineRule="exact"/>
              <w:ind w:left="504"/>
              <w:textAlignment w:val="baseline"/>
              <w:rPr>
                <w:rFonts w:ascii="Arial" w:eastAsia="Arial" w:hAnsi="Arial"/>
                <w:color w:val="000000"/>
                <w:sz w:val="18"/>
              </w:rPr>
            </w:pPr>
            <w:r>
              <w:rPr>
                <w:rFonts w:ascii="Arial" w:eastAsia="Arial" w:hAnsi="Arial"/>
                <w:color w:val="000000"/>
                <w:sz w:val="18"/>
              </w:rPr>
              <w:t>measurement of on-farm storages</w:t>
            </w:r>
          </w:p>
          <w:p w14:paraId="6467C0D4" w14:textId="77777777" w:rsidR="00D8670B" w:rsidRDefault="009B37A9">
            <w:pPr>
              <w:numPr>
                <w:ilvl w:val="0"/>
                <w:numId w:val="2"/>
              </w:numPr>
              <w:tabs>
                <w:tab w:val="clear" w:pos="360"/>
                <w:tab w:val="left" w:pos="864"/>
              </w:tabs>
              <w:spacing w:before="118" w:line="223" w:lineRule="exact"/>
              <w:ind w:left="504"/>
              <w:textAlignment w:val="baseline"/>
              <w:rPr>
                <w:rFonts w:ascii="Arial" w:eastAsia="Arial" w:hAnsi="Arial"/>
                <w:color w:val="000000"/>
                <w:sz w:val="18"/>
              </w:rPr>
            </w:pPr>
            <w:r>
              <w:rPr>
                <w:rFonts w:ascii="Arial" w:eastAsia="Arial" w:hAnsi="Arial"/>
                <w:color w:val="000000"/>
                <w:sz w:val="18"/>
              </w:rPr>
              <w:t>measurement of evaporation and seepage losses from on-farm storages</w:t>
            </w:r>
          </w:p>
          <w:p w14:paraId="7B5D661F" w14:textId="77777777" w:rsidR="00D8670B" w:rsidRDefault="009B37A9">
            <w:pPr>
              <w:numPr>
                <w:ilvl w:val="0"/>
                <w:numId w:val="2"/>
              </w:numPr>
              <w:tabs>
                <w:tab w:val="clear" w:pos="360"/>
                <w:tab w:val="left" w:pos="864"/>
              </w:tabs>
              <w:spacing w:before="118" w:line="223" w:lineRule="exact"/>
              <w:ind w:left="504"/>
              <w:textAlignment w:val="baseline"/>
              <w:rPr>
                <w:rFonts w:ascii="Arial" w:eastAsia="Arial" w:hAnsi="Arial"/>
                <w:color w:val="000000"/>
                <w:sz w:val="18"/>
              </w:rPr>
            </w:pPr>
            <w:r>
              <w:rPr>
                <w:rFonts w:ascii="Arial" w:eastAsia="Arial" w:hAnsi="Arial"/>
                <w:color w:val="000000"/>
                <w:sz w:val="18"/>
              </w:rPr>
              <w:t>farm level irrigation design</w:t>
            </w:r>
          </w:p>
          <w:p w14:paraId="49239CB0" w14:textId="77777777" w:rsidR="00D8670B" w:rsidRDefault="009B37A9">
            <w:pPr>
              <w:numPr>
                <w:ilvl w:val="0"/>
                <w:numId w:val="2"/>
              </w:numPr>
              <w:tabs>
                <w:tab w:val="clear" w:pos="360"/>
                <w:tab w:val="left" w:pos="864"/>
              </w:tabs>
              <w:spacing w:before="113" w:line="223" w:lineRule="exact"/>
              <w:ind w:left="504"/>
              <w:textAlignment w:val="baseline"/>
              <w:rPr>
                <w:rFonts w:ascii="Arial" w:eastAsia="Arial" w:hAnsi="Arial"/>
                <w:color w:val="000000"/>
                <w:sz w:val="18"/>
              </w:rPr>
            </w:pPr>
            <w:r>
              <w:rPr>
                <w:rFonts w:ascii="Arial" w:eastAsia="Arial" w:hAnsi="Arial"/>
                <w:color w:val="000000"/>
                <w:sz w:val="18"/>
              </w:rPr>
              <w:t>water auditing (including system performance evaluation and whole farm water balances).</w:t>
            </w:r>
          </w:p>
          <w:p w14:paraId="763ED54A" w14:textId="77777777" w:rsidR="00D8670B" w:rsidRDefault="009B37A9">
            <w:pPr>
              <w:spacing w:before="121" w:line="207" w:lineRule="exact"/>
              <w:ind w:left="144" w:right="180"/>
              <w:textAlignment w:val="baseline"/>
              <w:rPr>
                <w:rFonts w:ascii="Arial" w:eastAsia="Arial" w:hAnsi="Arial"/>
                <w:color w:val="000000"/>
                <w:spacing w:val="-1"/>
                <w:sz w:val="18"/>
              </w:rPr>
            </w:pPr>
            <w:r>
              <w:rPr>
                <w:rFonts w:ascii="Arial" w:eastAsia="Arial" w:hAnsi="Arial"/>
                <w:color w:val="000000"/>
                <w:spacing w:val="-1"/>
                <w:sz w:val="18"/>
              </w:rPr>
              <w:t xml:space="preserve">The HHWUE program paid irrigators up to 80 per cent of the cost (to a maximum of $4000) of services. Irrigators applied for the grant before obtaining professional advice. Approved irrigators received advice, then claimed reimbursement from the Queensland </w:t>
            </w:r>
            <w:r>
              <w:rPr>
                <w:rFonts w:ascii="Arial" w:eastAsia="Arial" w:hAnsi="Arial"/>
                <w:color w:val="000000"/>
                <w:spacing w:val="-1"/>
                <w:sz w:val="18"/>
              </w:rPr>
              <w:t>Government. Irrigators had a fixed period after approval, usually until the end of the financial year, in which to claim the reimbursement. Irrigators shared some of the information generated which helped the Queensland Government identify potential projec</w:t>
            </w:r>
            <w:r>
              <w:rPr>
                <w:rFonts w:ascii="Arial" w:eastAsia="Arial" w:hAnsi="Arial"/>
                <w:color w:val="000000"/>
                <w:spacing w:val="-1"/>
                <w:sz w:val="18"/>
              </w:rPr>
              <w:t>ts and areas of interest.</w:t>
            </w:r>
          </w:p>
          <w:p w14:paraId="6389716A" w14:textId="77777777" w:rsidR="00D8670B" w:rsidRDefault="009B37A9">
            <w:pPr>
              <w:spacing w:before="122" w:after="8" w:line="205" w:lineRule="exact"/>
              <w:ind w:left="144"/>
              <w:textAlignment w:val="baseline"/>
              <w:rPr>
                <w:rFonts w:ascii="Arial" w:eastAsia="Arial" w:hAnsi="Arial"/>
                <w:color w:val="000000"/>
                <w:sz w:val="18"/>
              </w:rPr>
            </w:pPr>
            <w:r>
              <w:rPr>
                <w:rFonts w:ascii="Arial" w:eastAsia="Arial" w:hAnsi="Arial"/>
                <w:color w:val="000000"/>
                <w:sz w:val="18"/>
              </w:rPr>
              <w:t>If irrigators proceeded to apply and be approved for HHWUE infrastructure funding, part of the remaining</w:t>
            </w:r>
          </w:p>
        </w:tc>
      </w:tr>
    </w:tbl>
    <w:p w14:paraId="2A61039F" w14:textId="77777777" w:rsidR="00D8670B" w:rsidRDefault="00D8670B">
      <w:pPr>
        <w:spacing w:after="412" w:line="20" w:lineRule="exact"/>
      </w:pPr>
    </w:p>
    <w:p w14:paraId="66D4B5C3" w14:textId="77777777" w:rsidR="00D8670B" w:rsidRDefault="009B37A9">
      <w:pPr>
        <w:spacing w:before="224" w:after="217" w:line="205" w:lineRule="exact"/>
        <w:textAlignment w:val="baseline"/>
        <w:rPr>
          <w:rFonts w:ascii="Arial" w:eastAsia="Arial" w:hAnsi="Arial"/>
          <w:color w:val="000000"/>
          <w:sz w:val="12"/>
        </w:rPr>
      </w:pPr>
      <w:r>
        <w:pict w14:anchorId="0849FEA0">
          <v:line id="_x0000_s1122" style="position:absolute;z-index:251695104;mso-position-horizontal-relative:page;mso-position-vertical-relative:page" from="40.75pt,755.75pt" to="186.75pt,755.75pt" strokeweight=".7pt">
            <w10:wrap anchorx="page" anchory="page"/>
          </v:line>
        </w:pict>
      </w:r>
      <w:r>
        <w:rPr>
          <w:rFonts w:ascii="Arial" w:eastAsia="Arial" w:hAnsi="Arial"/>
          <w:color w:val="000000"/>
          <w:sz w:val="12"/>
        </w:rPr>
        <w:t xml:space="preserve">4 </w:t>
      </w:r>
      <w:r>
        <w:rPr>
          <w:rFonts w:ascii="Arial" w:eastAsia="Arial" w:hAnsi="Arial"/>
          <w:color w:val="000000"/>
          <w:sz w:val="18"/>
        </w:rPr>
        <w:t>Water Management Partnership Agreement, Schedule 2, C.2.2</w:t>
      </w:r>
    </w:p>
    <w:p w14:paraId="094DF33A" w14:textId="77777777" w:rsidR="00D8670B" w:rsidRDefault="009B37A9">
      <w:pPr>
        <w:spacing w:before="162" w:line="230" w:lineRule="exact"/>
        <w:jc w:val="center"/>
        <w:textAlignment w:val="baseline"/>
        <w:rPr>
          <w:rFonts w:ascii="Arial" w:eastAsia="Arial" w:hAnsi="Arial"/>
          <w:color w:val="000000"/>
          <w:spacing w:val="30"/>
          <w:sz w:val="20"/>
        </w:rPr>
      </w:pPr>
      <w:r>
        <w:pict w14:anchorId="19B9EBE3">
          <v:line id="_x0000_s1121" style="position:absolute;left:0;text-align:left;z-index:251696128;mso-position-horizontal-relative:page;mso-position-vertical-relative:page" from="40.75pt,789.1pt" to="554.8pt,789.1pt" strokeweight="1.7pt">
            <w10:wrap anchorx="page" anchory="page"/>
          </v:line>
        </w:pict>
      </w:r>
      <w:r>
        <w:rPr>
          <w:rFonts w:ascii="Arial" w:eastAsia="Arial" w:hAnsi="Arial"/>
          <w:color w:val="000000"/>
          <w:spacing w:val="30"/>
          <w:sz w:val="20"/>
        </w:rPr>
        <w:t>21</w:t>
      </w:r>
    </w:p>
    <w:p w14:paraId="0E78B571" w14:textId="77777777" w:rsidR="00D8670B" w:rsidRDefault="00D8670B">
      <w:pPr>
        <w:sectPr w:rsidR="00D8670B">
          <w:pgSz w:w="11909" w:h="16838"/>
          <w:pgMar w:top="1140" w:right="814" w:bottom="282" w:left="815" w:header="720" w:footer="720" w:gutter="0"/>
          <w:cols w:space="720"/>
        </w:sectPr>
      </w:pPr>
    </w:p>
    <w:p w14:paraId="47D55A76" w14:textId="77777777" w:rsidR="00D8670B" w:rsidRDefault="009B37A9">
      <w:pPr>
        <w:spacing w:before="2" w:line="308" w:lineRule="exact"/>
        <w:textAlignment w:val="baseline"/>
        <w:rPr>
          <w:rFonts w:ascii="Arial" w:eastAsia="Arial" w:hAnsi="Arial"/>
          <w:b/>
          <w:color w:val="346C36"/>
          <w:sz w:val="28"/>
        </w:rPr>
      </w:pPr>
      <w:r>
        <w:lastRenderedPageBreak/>
        <w:pict w14:anchorId="0C9B19F1">
          <v:shape id="_x0000_s1120" type="#_x0000_t202" style="position:absolute;margin-left:40.75pt;margin-top:291.55pt;width:51.15pt;height:387.1pt;z-index:-251706368;mso-wrap-distance-left:0;mso-wrap-distance-right:0;mso-wrap-distance-bottom:12.1pt;mso-position-horizontal-relative:page;mso-position-vertical-relative:page" fillcolor="#cceaeb" stroked="f">
            <v:textbox inset="0,0,0,0">
              <w:txbxContent>
                <w:p w14:paraId="41C60F76" w14:textId="77777777" w:rsidR="00D8670B" w:rsidRDefault="009B37A9">
                  <w:pPr>
                    <w:spacing w:before="176" w:line="205" w:lineRule="exact"/>
                    <w:ind w:left="72"/>
                    <w:textAlignment w:val="baseline"/>
                    <w:rPr>
                      <w:rFonts w:ascii="Arial" w:eastAsia="Arial" w:hAnsi="Arial"/>
                      <w:b/>
                      <w:color w:val="205457"/>
                      <w:spacing w:val="29"/>
                      <w:sz w:val="18"/>
                    </w:rPr>
                  </w:pPr>
                  <w:r>
                    <w:rPr>
                      <w:rFonts w:ascii="Arial" w:eastAsia="Arial" w:hAnsi="Arial"/>
                      <w:b/>
                      <w:color w:val="205457"/>
                      <w:spacing w:val="29"/>
                      <w:sz w:val="18"/>
                    </w:rPr>
                    <w:t>Aim</w:t>
                  </w:r>
                </w:p>
                <w:p w14:paraId="664BEFF1" w14:textId="77777777" w:rsidR="00D8670B" w:rsidRDefault="009B37A9">
                  <w:pPr>
                    <w:spacing w:before="448" w:line="205" w:lineRule="exact"/>
                    <w:ind w:left="72"/>
                    <w:textAlignment w:val="baseline"/>
                    <w:rPr>
                      <w:rFonts w:ascii="Arial" w:eastAsia="Arial" w:hAnsi="Arial"/>
                      <w:b/>
                      <w:color w:val="205457"/>
                      <w:spacing w:val="15"/>
                      <w:sz w:val="18"/>
                    </w:rPr>
                  </w:pPr>
                  <w:r>
                    <w:rPr>
                      <w:rFonts w:ascii="Arial" w:eastAsia="Arial" w:hAnsi="Arial"/>
                      <w:b/>
                      <w:color w:val="205457"/>
                      <w:spacing w:val="15"/>
                      <w:sz w:val="18"/>
                    </w:rPr>
                    <w:t>Project</w:t>
                  </w:r>
                </w:p>
                <w:p w14:paraId="0A40D4BC" w14:textId="77777777" w:rsidR="00D8670B" w:rsidRDefault="009B37A9">
                  <w:pPr>
                    <w:spacing w:before="3533" w:line="446" w:lineRule="exact"/>
                    <w:ind w:left="72"/>
                    <w:textAlignment w:val="baseline"/>
                    <w:rPr>
                      <w:rFonts w:ascii="Arial" w:eastAsia="Arial" w:hAnsi="Arial"/>
                      <w:b/>
                      <w:color w:val="205457"/>
                      <w:sz w:val="18"/>
                    </w:rPr>
                  </w:pPr>
                  <w:r>
                    <w:rPr>
                      <w:rFonts w:ascii="Arial" w:eastAsia="Arial" w:hAnsi="Arial"/>
                      <w:b/>
                      <w:color w:val="205457"/>
                      <w:sz w:val="18"/>
                    </w:rPr>
                    <w:t>Timing Outputs</w:t>
                  </w:r>
                </w:p>
              </w:txbxContent>
            </v:textbox>
            <w10:wrap type="square" anchorx="page" anchory="page"/>
          </v:shape>
        </w:pict>
      </w:r>
      <w:r>
        <w:pict w14:anchorId="353EE80D">
          <v:shape id="_x0000_s1119" type="#_x0000_t202" style="position:absolute;margin-left:40.75pt;margin-top:56.65pt;width:511.75pt;height:206.65pt;z-index:-251705344;mso-wrap-distance-left:0;mso-wrap-distance-right:0;mso-position-horizontal-relative:page;mso-position-vertical-relative:page" filled="f" stroked="f">
            <v:textbox inset="0,0,0,0">
              <w:txbxContent>
                <w:p w14:paraId="1EB05E4E" w14:textId="77777777" w:rsidR="00D8670B" w:rsidRDefault="009B37A9">
                  <w:pPr>
                    <w:ind w:left="35"/>
                    <w:textAlignment w:val="baseline"/>
                  </w:pPr>
                  <w:r>
                    <w:rPr>
                      <w:noProof/>
                    </w:rPr>
                    <w:drawing>
                      <wp:inline distT="0" distB="0" distL="0" distR="0" wp14:anchorId="351C0BC4" wp14:editId="0FFC33B3">
                        <wp:extent cx="6477000" cy="262445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26"/>
                                <a:stretch>
                                  <a:fillRect/>
                                </a:stretch>
                              </pic:blipFill>
                              <pic:spPr>
                                <a:xfrm>
                                  <a:off x="0" y="0"/>
                                  <a:ext cx="6477000" cy="2624455"/>
                                </a:xfrm>
                                <a:prstGeom prst="rect">
                                  <a:avLst/>
                                </a:prstGeom>
                              </pic:spPr>
                            </pic:pic>
                          </a:graphicData>
                        </a:graphic>
                      </wp:inline>
                    </w:drawing>
                  </w:r>
                </w:p>
              </w:txbxContent>
            </v:textbox>
            <w10:wrap type="square" anchorx="page" anchory="page"/>
          </v:shape>
        </w:pict>
      </w:r>
      <w:r>
        <w:pict w14:anchorId="495908B9">
          <v:shape id="_x0000_s1118" type="#_x0000_t202" style="position:absolute;margin-left:43.05pt;margin-top:79.2pt;width:38.95pt;height:10.4pt;z-index:-251704320;mso-wrap-distance-left:0;mso-wrap-distance-right:0;mso-position-horizontal-relative:page;mso-position-vertical-relative:page" filled="f" stroked="f">
            <v:textbox inset="0,0,0,0">
              <w:txbxContent>
                <w:p w14:paraId="01DEBF22" w14:textId="77777777" w:rsidR="00D8670B" w:rsidRDefault="009B37A9">
                  <w:pPr>
                    <w:spacing w:before="2" w:line="199" w:lineRule="exact"/>
                    <w:textAlignment w:val="baseline"/>
                    <w:rPr>
                      <w:rFonts w:ascii="Arial" w:eastAsia="Arial" w:hAnsi="Arial"/>
                      <w:b/>
                      <w:color w:val="15568B"/>
                      <w:spacing w:val="11"/>
                      <w:sz w:val="18"/>
                    </w:rPr>
                  </w:pPr>
                  <w:r>
                    <w:rPr>
                      <w:rFonts w:ascii="Arial" w:eastAsia="Arial" w:hAnsi="Arial"/>
                      <w:b/>
                      <w:color w:val="15568B"/>
                      <w:spacing w:val="11"/>
                      <w:sz w:val="18"/>
                    </w:rPr>
                    <w:t>Timing</w:t>
                  </w:r>
                </w:p>
              </w:txbxContent>
            </v:textbox>
            <w10:wrap type="square" anchorx="page" anchory="page"/>
          </v:shape>
        </w:pict>
      </w:r>
      <w:r>
        <w:pict w14:anchorId="77B07E6A">
          <v:shape id="_x0000_s1117" type="#_x0000_t202" style="position:absolute;margin-left:48.25pt;margin-top:101.55pt;width:34.3pt;height:10.35pt;z-index:-251703296;mso-wrap-distance-left:0;mso-wrap-distance-right:0;mso-position-horizontal-relative:page;mso-position-vertical-relative:page" filled="f" stroked="f">
            <v:textbox inset="0,0,0,0">
              <w:txbxContent>
                <w:p w14:paraId="030DB147" w14:textId="77777777" w:rsidR="00D8670B" w:rsidRDefault="009B37A9">
                  <w:pPr>
                    <w:spacing w:before="2" w:line="199" w:lineRule="exact"/>
                    <w:textAlignment w:val="baseline"/>
                    <w:rPr>
                      <w:rFonts w:ascii="Arial" w:eastAsia="Arial" w:hAnsi="Arial"/>
                      <w:b/>
                      <w:color w:val="15568B"/>
                      <w:spacing w:val="-14"/>
                      <w:sz w:val="18"/>
                    </w:rPr>
                  </w:pPr>
                  <w:r>
                    <w:rPr>
                      <w:rFonts w:ascii="Arial" w:eastAsia="Arial" w:hAnsi="Arial"/>
                      <w:b/>
                      <w:color w:val="15568B"/>
                      <w:spacing w:val="-14"/>
                      <w:sz w:val="18"/>
                    </w:rPr>
                    <w:t>Outputs</w:t>
                  </w:r>
                </w:p>
              </w:txbxContent>
            </v:textbox>
            <w10:wrap type="square" anchorx="page" anchory="page"/>
          </v:shape>
        </w:pict>
      </w:r>
      <w:r>
        <w:pict w14:anchorId="48EEA736">
          <v:shape id="_x0000_s1116" type="#_x0000_t202" style="position:absolute;margin-left:97.2pt;margin-top:101.75pt;width:434.9pt;height:20.65pt;z-index:-251702272;mso-wrap-distance-left:0;mso-wrap-distance-right:0;mso-position-horizontal-relative:page;mso-position-vertical-relative:page" filled="f" stroked="f">
            <v:textbox inset="0,0,0,0">
              <w:txbxContent>
                <w:p w14:paraId="78D7A906" w14:textId="77777777" w:rsidR="00D8670B" w:rsidRDefault="009B37A9">
                  <w:pPr>
                    <w:spacing w:line="206" w:lineRule="exact"/>
                    <w:jc w:val="both"/>
                    <w:textAlignment w:val="baseline"/>
                    <w:rPr>
                      <w:rFonts w:ascii="Arial" w:eastAsia="Arial" w:hAnsi="Arial"/>
                      <w:color w:val="000000"/>
                      <w:sz w:val="18"/>
                    </w:rPr>
                  </w:pPr>
                  <w:r>
                    <w:rPr>
                      <w:rFonts w:ascii="Arial" w:eastAsia="Arial" w:hAnsi="Arial"/>
                      <w:color w:val="000000"/>
                      <w:sz w:val="18"/>
                    </w:rPr>
                    <w:t>Approved applications were spread across irrigation design, storage measurement, water auditing and losses measurement.</w:t>
                  </w:r>
                </w:p>
              </w:txbxContent>
            </v:textbox>
            <w10:wrap type="square" anchorx="page" anchory="page"/>
          </v:shape>
        </w:pict>
      </w:r>
      <w:r>
        <w:pict w14:anchorId="0691A274">
          <v:shape id="_x0000_s1115" type="#_x0000_t202" style="position:absolute;margin-left:97.7pt;margin-top:79.45pt;width:52.3pt;height:10.3pt;z-index:-251701248;mso-wrap-distance-left:0;mso-wrap-distance-right:0;mso-position-horizontal-relative:page;mso-position-vertical-relative:page" filled="f" stroked="f">
            <v:textbox inset="0,0,0,0">
              <w:txbxContent>
                <w:p w14:paraId="2E340E0F" w14:textId="77777777" w:rsidR="00D8670B" w:rsidRDefault="009B37A9">
                  <w:pPr>
                    <w:spacing w:before="2" w:line="194" w:lineRule="exact"/>
                    <w:textAlignment w:val="baseline"/>
                    <w:rPr>
                      <w:rFonts w:ascii="Arial" w:eastAsia="Arial" w:hAnsi="Arial"/>
                      <w:color w:val="000000"/>
                      <w:spacing w:val="-9"/>
                      <w:sz w:val="18"/>
                    </w:rPr>
                  </w:pPr>
                  <w:r>
                    <w:rPr>
                      <w:rFonts w:ascii="Arial" w:eastAsia="Arial" w:hAnsi="Arial"/>
                      <w:color w:val="000000"/>
                      <w:spacing w:val="-9"/>
                      <w:sz w:val="18"/>
                    </w:rPr>
                    <w:t>2012 to 2017</w:t>
                  </w:r>
                </w:p>
              </w:txbxContent>
            </v:textbox>
            <w10:wrap type="square" anchorx="page" anchory="page"/>
          </v:shape>
        </w:pict>
      </w:r>
      <w:r>
        <w:pict w14:anchorId="1C11FBD5">
          <v:shape id="_x0000_s1114" type="#_x0000_t202" style="position:absolute;margin-left:97.9pt;margin-top:56.9pt;width:298.6pt;height:10.35pt;z-index:-251700224;mso-wrap-distance-left:0;mso-wrap-distance-right:0;mso-position-horizontal-relative:page;mso-position-vertical-relative:page" filled="f" stroked="f">
            <v:textbox inset="0,0,0,0">
              <w:txbxContent>
                <w:p w14:paraId="51F278E9" w14:textId="77777777" w:rsidR="00D8670B" w:rsidRDefault="009B37A9">
                  <w:pPr>
                    <w:spacing w:before="2" w:line="199" w:lineRule="exact"/>
                    <w:textAlignment w:val="baseline"/>
                    <w:rPr>
                      <w:rFonts w:ascii="Arial" w:eastAsia="Arial" w:hAnsi="Arial"/>
                      <w:color w:val="000000"/>
                      <w:spacing w:val="-2"/>
                      <w:sz w:val="18"/>
                    </w:rPr>
                  </w:pPr>
                  <w:r>
                    <w:rPr>
                      <w:rFonts w:ascii="Arial" w:eastAsia="Arial" w:hAnsi="Arial"/>
                      <w:color w:val="000000"/>
                      <w:spacing w:val="-2"/>
                      <w:sz w:val="18"/>
                    </w:rPr>
                    <w:t>professional costs could be claimed under the infrastructure project budget.</w:t>
                  </w:r>
                </w:p>
              </w:txbxContent>
            </v:textbox>
            <w10:wrap type="square" anchorx="page" anchory="page"/>
          </v:shape>
        </w:pict>
      </w:r>
      <w:r>
        <w:rPr>
          <w:rFonts w:ascii="Arial" w:eastAsia="Arial" w:hAnsi="Arial"/>
          <w:b/>
          <w:color w:val="346C36"/>
          <w:sz w:val="28"/>
        </w:rPr>
        <w:t>2.2.2 Eligibility check and pre-lodgemen</w:t>
      </w:r>
      <w:r>
        <w:rPr>
          <w:rFonts w:ascii="Arial" w:eastAsia="Arial" w:hAnsi="Arial"/>
          <w:b/>
          <w:color w:val="346C36"/>
          <w:sz w:val="28"/>
        </w:rPr>
        <w:t>t information</w:t>
      </w:r>
    </w:p>
    <w:p w14:paraId="5EFC335D" w14:textId="77777777" w:rsidR="00D8670B" w:rsidRDefault="009B37A9">
      <w:pPr>
        <w:spacing w:before="2" w:after="49" w:line="321" w:lineRule="exact"/>
        <w:textAlignment w:val="baseline"/>
        <w:rPr>
          <w:rFonts w:ascii="Arial" w:eastAsia="Arial" w:hAnsi="Arial"/>
          <w:b/>
          <w:color w:val="346C36"/>
          <w:sz w:val="28"/>
        </w:rPr>
      </w:pPr>
      <w:r>
        <w:pict w14:anchorId="78F6DCFD">
          <v:shape id="_x0000_s1113" type="#_x0000_t202" style="position:absolute;margin-left:91.9pt;margin-top:291.55pt;width:462.85pt;height:386.2pt;z-index:-251699200;mso-wrap-distance-left:0;mso-wrap-distance-right:0;mso-wrap-distance-bottom:12.1pt;mso-position-horizontal-relative:page;mso-position-vertical-relative:page" fillcolor="#e9f4f6" stroked="f">
            <v:textbox inset="0,0,0,0">
              <w:txbxContent>
                <w:p w14:paraId="76AEDA04" w14:textId="77777777" w:rsidR="00000000" w:rsidRDefault="009B37A9"/>
              </w:txbxContent>
            </v:textbox>
            <w10:wrap type="square" anchorx="page" anchory="page"/>
          </v:shape>
        </w:pict>
      </w:r>
      <w:r>
        <w:pict w14:anchorId="3188C21C">
          <v:shape id="_x0000_s1112" type="#_x0000_t202" style="position:absolute;margin-left:91.9pt;margin-top:291.55pt;width:462.85pt;height:260.7pt;z-index:-251698176;mso-wrap-distance-left:0;mso-wrap-distance-right:0;mso-position-horizontal-relative:page;mso-position-vertical-relative:page" filled="f" stroked="f">
            <v:textbox inset="0,0,0,0">
              <w:txbxContent>
                <w:p w14:paraId="5CFCC0C0" w14:textId="77777777" w:rsidR="00D8670B" w:rsidRDefault="009B37A9">
                  <w:pPr>
                    <w:spacing w:before="179" w:line="206" w:lineRule="exact"/>
                    <w:ind w:left="72" w:right="504"/>
                    <w:textAlignment w:val="baseline"/>
                    <w:rPr>
                      <w:rFonts w:ascii="Arial" w:eastAsia="Arial" w:hAnsi="Arial"/>
                      <w:color w:val="000000"/>
                      <w:sz w:val="18"/>
                    </w:rPr>
                  </w:pPr>
                  <w:r>
                    <w:rPr>
                      <w:rFonts w:ascii="Arial" w:eastAsia="Arial" w:hAnsi="Arial"/>
                      <w:color w:val="000000"/>
                      <w:sz w:val="18"/>
                    </w:rPr>
                    <w:t>To inform irrigators considering infrastructure funding applications whether their proposed projects and water entitlements were eligible and the steps required for transfers</w:t>
                  </w:r>
                </w:p>
                <w:p w14:paraId="677B6369" w14:textId="77777777" w:rsidR="00D8670B" w:rsidRDefault="009B37A9">
                  <w:pPr>
                    <w:spacing w:before="242" w:line="206" w:lineRule="exact"/>
                    <w:ind w:left="72" w:right="288"/>
                    <w:textAlignment w:val="baseline"/>
                    <w:rPr>
                      <w:rFonts w:ascii="Arial" w:eastAsia="Arial" w:hAnsi="Arial"/>
                      <w:color w:val="000000"/>
                      <w:sz w:val="18"/>
                    </w:rPr>
                  </w:pPr>
                  <w:r>
                    <w:rPr>
                      <w:rFonts w:ascii="Arial" w:eastAsia="Arial" w:hAnsi="Arial"/>
                      <w:color w:val="000000"/>
                      <w:sz w:val="18"/>
                    </w:rPr>
                    <w:t xml:space="preserve">This project also intended to reduce initial outlay for potential applicants and </w:t>
                  </w:r>
                  <w:r>
                    <w:rPr>
                      <w:rFonts w:ascii="Arial" w:eastAsia="Arial" w:hAnsi="Arial"/>
                      <w:color w:val="000000"/>
                      <w:sz w:val="18"/>
                    </w:rPr>
                    <w:t>to ensure they were fully informed before committing to an application. In round three, the HHWUE program ran an eligibility request process. Potential applicants completed a short form identifying their water entitlements, property lots and proposed works</w:t>
                  </w:r>
                  <w:r>
                    <w:rPr>
                      <w:rFonts w:ascii="Arial" w:eastAsia="Arial" w:hAnsi="Arial"/>
                      <w:color w:val="000000"/>
                      <w:sz w:val="18"/>
                    </w:rPr>
                    <w:t>. The Queensland Government provided initial feedback on eligibility and considerations, and a free copy of the water entitlement titles (if eligible).</w:t>
                  </w:r>
                </w:p>
                <w:p w14:paraId="03A18EF0" w14:textId="77777777" w:rsidR="00D8670B" w:rsidRDefault="009B37A9">
                  <w:pPr>
                    <w:spacing w:before="120" w:line="208" w:lineRule="exact"/>
                    <w:ind w:left="72" w:right="216"/>
                    <w:textAlignment w:val="baseline"/>
                    <w:rPr>
                      <w:rFonts w:ascii="Arial" w:eastAsia="Arial" w:hAnsi="Arial"/>
                      <w:color w:val="000000"/>
                      <w:sz w:val="18"/>
                    </w:rPr>
                  </w:pPr>
                  <w:r>
                    <w:rPr>
                      <w:rFonts w:ascii="Arial" w:eastAsia="Arial" w:hAnsi="Arial"/>
                      <w:color w:val="000000"/>
                      <w:sz w:val="18"/>
                    </w:rPr>
                    <w:t>In rounds four to 12, the Queensland Government expanded the information available and replaced the elig</w:t>
                  </w:r>
                  <w:r>
                    <w:rPr>
                      <w:rFonts w:ascii="Arial" w:eastAsia="Arial" w:hAnsi="Arial"/>
                      <w:color w:val="000000"/>
                      <w:sz w:val="18"/>
                    </w:rPr>
                    <w:t>ibility check with a pre-lodgement information request process. In addition to eligibility and titles, potential applicants could receive:</w:t>
                  </w:r>
                </w:p>
                <w:p w14:paraId="67F52DDB" w14:textId="77777777" w:rsidR="00D8670B" w:rsidRDefault="009B37A9">
                  <w:pPr>
                    <w:numPr>
                      <w:ilvl w:val="0"/>
                      <w:numId w:val="2"/>
                    </w:numPr>
                    <w:tabs>
                      <w:tab w:val="clear" w:pos="360"/>
                      <w:tab w:val="left" w:pos="864"/>
                    </w:tabs>
                    <w:spacing w:before="114" w:line="222" w:lineRule="exact"/>
                    <w:ind w:left="504"/>
                    <w:textAlignment w:val="baseline"/>
                    <w:rPr>
                      <w:rFonts w:ascii="Arial" w:eastAsia="Arial" w:hAnsi="Arial"/>
                      <w:color w:val="000000"/>
                      <w:sz w:val="18"/>
                    </w:rPr>
                  </w:pPr>
                  <w:r>
                    <w:rPr>
                      <w:rFonts w:ascii="Arial" w:eastAsia="Arial" w:hAnsi="Arial"/>
                      <w:color w:val="000000"/>
                      <w:sz w:val="18"/>
                    </w:rPr>
                    <w:t>free hydrological modelling data (Condamine and Balonne entitlements)</w:t>
                  </w:r>
                </w:p>
                <w:p w14:paraId="43ED0BE4" w14:textId="77777777" w:rsidR="00D8670B" w:rsidRDefault="009B37A9">
                  <w:pPr>
                    <w:numPr>
                      <w:ilvl w:val="0"/>
                      <w:numId w:val="2"/>
                    </w:numPr>
                    <w:tabs>
                      <w:tab w:val="clear" w:pos="360"/>
                      <w:tab w:val="left" w:pos="864"/>
                    </w:tabs>
                    <w:spacing w:before="119" w:line="222" w:lineRule="exact"/>
                    <w:ind w:left="504"/>
                    <w:textAlignment w:val="baseline"/>
                    <w:rPr>
                      <w:rFonts w:ascii="Arial" w:eastAsia="Arial" w:hAnsi="Arial"/>
                      <w:color w:val="000000"/>
                      <w:spacing w:val="-1"/>
                      <w:sz w:val="18"/>
                    </w:rPr>
                  </w:pPr>
                  <w:r>
                    <w:rPr>
                      <w:rFonts w:ascii="Arial" w:eastAsia="Arial" w:hAnsi="Arial"/>
                      <w:color w:val="000000"/>
                      <w:spacing w:val="-1"/>
                      <w:sz w:val="18"/>
                    </w:rPr>
                    <w:t>water management and trading advice</w:t>
                  </w:r>
                </w:p>
                <w:p w14:paraId="77EE01CA" w14:textId="77777777" w:rsidR="00D8670B" w:rsidRDefault="009B37A9">
                  <w:pPr>
                    <w:numPr>
                      <w:ilvl w:val="0"/>
                      <w:numId w:val="2"/>
                    </w:numPr>
                    <w:tabs>
                      <w:tab w:val="clear" w:pos="360"/>
                      <w:tab w:val="left" w:pos="864"/>
                    </w:tabs>
                    <w:spacing w:before="119" w:line="222" w:lineRule="exact"/>
                    <w:ind w:left="504"/>
                    <w:textAlignment w:val="baseline"/>
                    <w:rPr>
                      <w:rFonts w:ascii="Arial" w:eastAsia="Arial" w:hAnsi="Arial"/>
                      <w:color w:val="000000"/>
                      <w:spacing w:val="-1"/>
                      <w:sz w:val="18"/>
                    </w:rPr>
                  </w:pPr>
                  <w:r>
                    <w:rPr>
                      <w:rFonts w:ascii="Arial" w:eastAsia="Arial" w:hAnsi="Arial"/>
                      <w:color w:val="000000"/>
                      <w:spacing w:val="-1"/>
                      <w:sz w:val="18"/>
                    </w:rPr>
                    <w:t>project plan and development assistance.</w:t>
                  </w:r>
                </w:p>
                <w:p w14:paraId="00C7AC08" w14:textId="77777777" w:rsidR="00D8670B" w:rsidRDefault="009B37A9">
                  <w:pPr>
                    <w:spacing w:before="121" w:line="206" w:lineRule="exact"/>
                    <w:ind w:left="72" w:right="288"/>
                    <w:textAlignment w:val="baseline"/>
                    <w:rPr>
                      <w:rFonts w:ascii="Arial" w:eastAsia="Arial" w:hAnsi="Arial"/>
                      <w:color w:val="000000"/>
                      <w:sz w:val="18"/>
                    </w:rPr>
                  </w:pPr>
                  <w:r>
                    <w:rPr>
                      <w:rFonts w:ascii="Arial" w:eastAsia="Arial" w:hAnsi="Arial"/>
                      <w:color w:val="000000"/>
                      <w:sz w:val="18"/>
                    </w:rPr>
                    <w:t>Condamine and Balonne water owners had reported difficulty obtaining modelling which often delayed the unencu</w:t>
                  </w:r>
                  <w:r>
                    <w:rPr>
                      <w:rFonts w:ascii="Arial" w:eastAsia="Arial" w:hAnsi="Arial"/>
                      <w:color w:val="000000"/>
                      <w:sz w:val="18"/>
                    </w:rPr>
                    <w:t>mbering process. Starting this process prior to the application intended to reduce the time to transfer the entitlement after approval. It also allowed irrigators to consider whether the post-transfer conditions of their remaining entitlement were suitable</w:t>
                  </w:r>
                  <w:r>
                    <w:rPr>
                      <w:rFonts w:ascii="Arial" w:eastAsia="Arial" w:hAnsi="Arial"/>
                      <w:color w:val="000000"/>
                      <w:sz w:val="18"/>
                    </w:rPr>
                    <w:t>, a deciding factor in whether to progress with an application.</w:t>
                  </w:r>
                </w:p>
                <w:p w14:paraId="071F55F3" w14:textId="77777777" w:rsidR="00D8670B" w:rsidRDefault="009B37A9">
                  <w:pPr>
                    <w:spacing w:before="243" w:after="196" w:line="204" w:lineRule="exact"/>
                    <w:ind w:left="72"/>
                    <w:textAlignment w:val="baseline"/>
                    <w:rPr>
                      <w:rFonts w:ascii="Arial" w:eastAsia="Arial" w:hAnsi="Arial"/>
                      <w:color w:val="000000"/>
                      <w:spacing w:val="-1"/>
                      <w:sz w:val="18"/>
                    </w:rPr>
                  </w:pPr>
                  <w:r>
                    <w:rPr>
                      <w:rFonts w:ascii="Arial" w:eastAsia="Arial" w:hAnsi="Arial"/>
                      <w:color w:val="000000"/>
                      <w:spacing w:val="-1"/>
                      <w:sz w:val="18"/>
                    </w:rPr>
                    <w:t>2012 to 2017</w:t>
                  </w:r>
                </w:p>
              </w:txbxContent>
            </v:textbox>
            <w10:wrap type="square" anchorx="page" anchory="page"/>
          </v:shape>
        </w:pict>
      </w:r>
      <w:r>
        <w:pict w14:anchorId="668B6ABC">
          <v:shape id="_x0000_s1111" type="#_x0000_t202" style="position:absolute;margin-left:99.6pt;margin-top:552.25pt;width:441.1pt;height:119.05pt;z-index:-251697152;mso-wrap-distance-left:7.7pt;mso-wrap-distance-right:14.05pt;mso-position-horizontal-relative:page;mso-position-vertical-relative:page" stroked="f">
            <v:textbox inset="0,0,0,0">
              <w:txbxContent>
                <w:p w14:paraId="68908778" w14:textId="77777777" w:rsidR="00D8670B" w:rsidRDefault="009B37A9">
                  <w:pPr>
                    <w:textAlignment w:val="baseline"/>
                  </w:pPr>
                  <w:r>
                    <w:rPr>
                      <w:noProof/>
                    </w:rPr>
                    <w:drawing>
                      <wp:inline distT="0" distB="0" distL="0" distR="0" wp14:anchorId="5958172B" wp14:editId="237DAEDB">
                        <wp:extent cx="5601970" cy="151193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27"/>
                                <a:stretch>
                                  <a:fillRect/>
                                </a:stretch>
                              </pic:blipFill>
                              <pic:spPr>
                                <a:xfrm>
                                  <a:off x="0" y="0"/>
                                  <a:ext cx="5601970" cy="1511935"/>
                                </a:xfrm>
                                <a:prstGeom prst="rect">
                                  <a:avLst/>
                                </a:prstGeom>
                              </pic:spPr>
                            </pic:pic>
                          </a:graphicData>
                        </a:graphic>
                      </wp:inline>
                    </w:drawing>
                  </w:r>
                </w:p>
              </w:txbxContent>
            </v:textbox>
            <w10:wrap type="square" anchorx="page" anchory="page"/>
          </v:shape>
        </w:pict>
      </w:r>
      <w:r>
        <w:rPr>
          <w:rFonts w:ascii="Arial" w:eastAsia="Arial" w:hAnsi="Arial"/>
          <w:b/>
          <w:color w:val="346C36"/>
          <w:sz w:val="28"/>
        </w:rPr>
        <w:t>2.2.3 Engagement</w:t>
      </w:r>
    </w:p>
    <w:tbl>
      <w:tblPr>
        <w:tblW w:w="0" w:type="auto"/>
        <w:tblLayout w:type="fixed"/>
        <w:tblCellMar>
          <w:left w:w="0" w:type="dxa"/>
          <w:right w:w="0" w:type="dxa"/>
        </w:tblCellMar>
        <w:tblLook w:val="0000" w:firstRow="0" w:lastRow="0" w:firstColumn="0" w:lastColumn="0" w:noHBand="0" w:noVBand="0"/>
      </w:tblPr>
      <w:tblGrid>
        <w:gridCol w:w="946"/>
        <w:gridCol w:w="77"/>
        <w:gridCol w:w="9257"/>
      </w:tblGrid>
      <w:tr w:rsidR="00D8670B" w14:paraId="476C9D4E" w14:textId="77777777">
        <w:tblPrEx>
          <w:tblCellMar>
            <w:top w:w="0" w:type="dxa"/>
            <w:bottom w:w="0" w:type="dxa"/>
          </w:tblCellMar>
        </w:tblPrEx>
        <w:trPr>
          <w:trHeight w:hRule="exact" w:val="551"/>
        </w:trPr>
        <w:tc>
          <w:tcPr>
            <w:tcW w:w="946" w:type="dxa"/>
            <w:tcBorders>
              <w:top w:val="none" w:sz="0" w:space="0" w:color="000000"/>
              <w:left w:val="none" w:sz="0" w:space="0" w:color="000000"/>
              <w:bottom w:val="none" w:sz="0" w:space="0" w:color="000000"/>
              <w:right w:val="none" w:sz="0" w:space="0" w:color="000000"/>
            </w:tcBorders>
            <w:shd w:val="clear" w:color="CFE8D0" w:fill="CFE8D0"/>
          </w:tcPr>
          <w:p w14:paraId="0C4B501A" w14:textId="77777777" w:rsidR="00D8670B" w:rsidRDefault="009B37A9">
            <w:pPr>
              <w:spacing w:before="127" w:after="214" w:line="205" w:lineRule="exact"/>
              <w:ind w:left="72"/>
              <w:textAlignment w:val="baseline"/>
              <w:rPr>
                <w:rFonts w:ascii="Arial" w:eastAsia="Arial" w:hAnsi="Arial"/>
                <w:b/>
                <w:color w:val="1A351B"/>
                <w:sz w:val="18"/>
              </w:rPr>
            </w:pPr>
            <w:r>
              <w:rPr>
                <w:rFonts w:ascii="Arial" w:eastAsia="Arial" w:hAnsi="Arial"/>
                <w:b/>
                <w:color w:val="1A351B"/>
                <w:sz w:val="18"/>
              </w:rPr>
              <w:t>Aim</w:t>
            </w:r>
          </w:p>
        </w:tc>
        <w:tc>
          <w:tcPr>
            <w:tcW w:w="77" w:type="dxa"/>
            <w:tcBorders>
              <w:top w:val="none" w:sz="0" w:space="0" w:color="000000"/>
              <w:left w:val="none" w:sz="0" w:space="0" w:color="000000"/>
              <w:bottom w:val="none" w:sz="0" w:space="0" w:color="000000"/>
              <w:right w:val="none" w:sz="0" w:space="0" w:color="000000"/>
            </w:tcBorders>
          </w:tcPr>
          <w:p w14:paraId="404CBCB4" w14:textId="77777777" w:rsidR="00D8670B" w:rsidRDefault="00D8670B"/>
        </w:tc>
        <w:tc>
          <w:tcPr>
            <w:tcW w:w="9257" w:type="dxa"/>
            <w:tcBorders>
              <w:top w:val="none" w:sz="0" w:space="0" w:color="000000"/>
              <w:left w:val="none" w:sz="0" w:space="0" w:color="000000"/>
              <w:bottom w:val="none" w:sz="0" w:space="0" w:color="000000"/>
              <w:right w:val="none" w:sz="0" w:space="0" w:color="000000"/>
            </w:tcBorders>
            <w:shd w:val="clear" w:color="E9F4F6" w:fill="E9F4F6"/>
          </w:tcPr>
          <w:p w14:paraId="5AF01543" w14:textId="77777777" w:rsidR="00D8670B" w:rsidRDefault="009B37A9">
            <w:pPr>
              <w:spacing w:before="128" w:after="4" w:line="207" w:lineRule="exact"/>
              <w:ind w:left="144" w:right="684"/>
              <w:textAlignment w:val="baseline"/>
              <w:rPr>
                <w:rFonts w:ascii="Arial" w:eastAsia="Arial" w:hAnsi="Arial"/>
                <w:color w:val="000000"/>
                <w:sz w:val="18"/>
              </w:rPr>
            </w:pPr>
            <w:r>
              <w:rPr>
                <w:rFonts w:ascii="Arial" w:eastAsia="Arial" w:hAnsi="Arial"/>
                <w:color w:val="000000"/>
                <w:sz w:val="18"/>
              </w:rPr>
              <w:t>To encourage participation in the HHWUE infrastructure funding program, gather industry feedback to help improve the program and raise awareness of water use efficiency practices</w:t>
            </w:r>
          </w:p>
        </w:tc>
      </w:tr>
      <w:tr w:rsidR="00D8670B" w14:paraId="7C917011" w14:textId="77777777">
        <w:tblPrEx>
          <w:tblCellMar>
            <w:top w:w="0" w:type="dxa"/>
            <w:bottom w:w="0" w:type="dxa"/>
          </w:tblCellMar>
        </w:tblPrEx>
        <w:trPr>
          <w:trHeight w:hRule="exact" w:val="863"/>
        </w:trPr>
        <w:tc>
          <w:tcPr>
            <w:tcW w:w="946" w:type="dxa"/>
            <w:tcBorders>
              <w:top w:val="none" w:sz="0" w:space="0" w:color="000000"/>
              <w:left w:val="none" w:sz="0" w:space="0" w:color="000000"/>
              <w:bottom w:val="none" w:sz="0" w:space="0" w:color="000000"/>
              <w:right w:val="none" w:sz="0" w:space="0" w:color="000000"/>
            </w:tcBorders>
            <w:shd w:val="clear" w:color="CFE8D0" w:fill="CFE8D0"/>
          </w:tcPr>
          <w:p w14:paraId="2CDB9DBE" w14:textId="77777777" w:rsidR="00D8670B" w:rsidRDefault="009B37A9">
            <w:pPr>
              <w:spacing w:before="228" w:after="426" w:line="205" w:lineRule="exact"/>
              <w:ind w:left="72"/>
              <w:textAlignment w:val="baseline"/>
              <w:rPr>
                <w:rFonts w:ascii="Arial" w:eastAsia="Arial" w:hAnsi="Arial"/>
                <w:b/>
                <w:color w:val="1A351B"/>
                <w:sz w:val="18"/>
              </w:rPr>
            </w:pPr>
            <w:r>
              <w:rPr>
                <w:rFonts w:ascii="Arial" w:eastAsia="Arial" w:hAnsi="Arial"/>
                <w:b/>
                <w:color w:val="1A351B"/>
                <w:sz w:val="18"/>
              </w:rPr>
              <w:t>Project</w:t>
            </w:r>
          </w:p>
        </w:tc>
        <w:tc>
          <w:tcPr>
            <w:tcW w:w="77" w:type="dxa"/>
            <w:tcBorders>
              <w:top w:val="none" w:sz="0" w:space="0" w:color="000000"/>
              <w:left w:val="none" w:sz="0" w:space="0" w:color="000000"/>
              <w:bottom w:val="none" w:sz="0" w:space="0" w:color="000000"/>
              <w:right w:val="none" w:sz="0" w:space="0" w:color="000000"/>
            </w:tcBorders>
          </w:tcPr>
          <w:p w14:paraId="003F44CA" w14:textId="77777777" w:rsidR="00D8670B" w:rsidRDefault="00D8670B"/>
        </w:tc>
        <w:tc>
          <w:tcPr>
            <w:tcW w:w="9257" w:type="dxa"/>
            <w:tcBorders>
              <w:top w:val="none" w:sz="0" w:space="0" w:color="000000"/>
              <w:left w:val="none" w:sz="0" w:space="0" w:color="000000"/>
              <w:bottom w:val="none" w:sz="0" w:space="0" w:color="000000"/>
              <w:right w:val="none" w:sz="0" w:space="0" w:color="000000"/>
            </w:tcBorders>
            <w:shd w:val="clear" w:color="E9F4F6" w:fill="E9F4F6"/>
            <w:vAlign w:val="bottom"/>
          </w:tcPr>
          <w:p w14:paraId="163EA6CB" w14:textId="77777777" w:rsidR="00D8670B" w:rsidRDefault="009B37A9">
            <w:pPr>
              <w:spacing w:before="232" w:after="9" w:line="206" w:lineRule="exact"/>
              <w:ind w:left="144" w:right="252"/>
              <w:textAlignment w:val="baseline"/>
              <w:rPr>
                <w:rFonts w:ascii="Arial" w:eastAsia="Arial" w:hAnsi="Arial"/>
                <w:color w:val="000000"/>
                <w:spacing w:val="-2"/>
                <w:sz w:val="18"/>
              </w:rPr>
            </w:pPr>
            <w:r>
              <w:rPr>
                <w:rFonts w:ascii="Arial" w:eastAsia="Arial" w:hAnsi="Arial"/>
                <w:color w:val="000000"/>
                <w:spacing w:val="-2"/>
                <w:sz w:val="18"/>
              </w:rPr>
              <w:t>The HHWUE program team employed an engagement officer to develop and maintain connections between industry and the program. The engagement officer was based at St George within the Lower Balonne region. The role included running HHWUE-led events to showcas</w:t>
            </w:r>
            <w:r>
              <w:rPr>
                <w:rFonts w:ascii="Arial" w:eastAsia="Arial" w:hAnsi="Arial"/>
                <w:color w:val="000000"/>
                <w:spacing w:val="-2"/>
                <w:sz w:val="18"/>
              </w:rPr>
              <w:t>e water use efficiency options, completed projects and</w:t>
            </w:r>
          </w:p>
        </w:tc>
      </w:tr>
    </w:tbl>
    <w:p w14:paraId="72853ED4" w14:textId="77777777" w:rsidR="00D8670B" w:rsidRDefault="00D8670B">
      <w:pPr>
        <w:spacing w:after="160" w:line="20" w:lineRule="exact"/>
      </w:pPr>
    </w:p>
    <w:p w14:paraId="7CC84AC4" w14:textId="77777777" w:rsidR="00D8670B" w:rsidRDefault="009B37A9">
      <w:pPr>
        <w:spacing w:before="165" w:line="227" w:lineRule="exact"/>
        <w:jc w:val="center"/>
        <w:textAlignment w:val="baseline"/>
        <w:rPr>
          <w:rFonts w:ascii="Arial" w:eastAsia="Arial" w:hAnsi="Arial"/>
          <w:color w:val="000000"/>
          <w:spacing w:val="38"/>
          <w:sz w:val="20"/>
        </w:rPr>
      </w:pPr>
      <w:r>
        <w:pict w14:anchorId="0D8AA1D7">
          <v:line id="_x0000_s1110" style="position:absolute;left:0;text-align:left;z-index:251697152;mso-position-horizontal-relative:page;mso-position-vertical-relative:page" from="40.75pt,789.1pt" to="554.8pt,789.1pt" strokeweight="1.7pt">
            <w10:wrap anchorx="page" anchory="page"/>
          </v:line>
        </w:pict>
      </w:r>
      <w:r>
        <w:rPr>
          <w:rFonts w:ascii="Arial" w:eastAsia="Arial" w:hAnsi="Arial"/>
          <w:color w:val="000000"/>
          <w:spacing w:val="38"/>
          <w:sz w:val="20"/>
        </w:rPr>
        <w:t>22</w:t>
      </w:r>
    </w:p>
    <w:p w14:paraId="2AE935DE" w14:textId="77777777" w:rsidR="00D8670B" w:rsidRDefault="00D8670B">
      <w:pPr>
        <w:sectPr w:rsidR="00D8670B">
          <w:pgSz w:w="11909" w:h="16838"/>
          <w:pgMar w:top="5507" w:right="814" w:bottom="282" w:left="815" w:header="720" w:footer="720" w:gutter="0"/>
          <w:cols w:space="720"/>
        </w:sectPr>
      </w:pPr>
    </w:p>
    <w:p w14:paraId="4FC45872" w14:textId="77777777" w:rsidR="00D8670B" w:rsidRDefault="009B37A9">
      <w:pPr>
        <w:textAlignment w:val="baseline"/>
        <w:rPr>
          <w:rFonts w:eastAsia="Times New Roman"/>
          <w:color w:val="000000"/>
          <w:sz w:val="24"/>
        </w:rPr>
      </w:pPr>
      <w:r>
        <w:lastRenderedPageBreak/>
        <w:pict w14:anchorId="1A6F6C08">
          <v:shape id="_x0000_s1109" type="#_x0000_t202" style="position:absolute;margin-left:41.05pt;margin-top:56.65pt;width:513.35pt;height:749.25pt;z-index:-251696128;mso-wrap-distance-left:0;mso-wrap-distance-right:0;mso-position-horizontal-relative:page;mso-position-vertical-relative:page" filled="f" stroked="f">
            <v:textbox inset="0,0,0,0">
              <w:txbxContent>
                <w:p w14:paraId="11B7559C" w14:textId="77777777" w:rsidR="00D8670B" w:rsidRDefault="009B37A9">
                  <w:pPr>
                    <w:textAlignment w:val="baseline"/>
                  </w:pPr>
                  <w:r>
                    <w:rPr>
                      <w:noProof/>
                    </w:rPr>
                    <w:drawing>
                      <wp:inline distT="0" distB="0" distL="0" distR="0" wp14:anchorId="27A9C00E" wp14:editId="3639B147">
                        <wp:extent cx="6519545" cy="951547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28"/>
                                <a:stretch>
                                  <a:fillRect/>
                                </a:stretch>
                              </pic:blipFill>
                              <pic:spPr>
                                <a:xfrm>
                                  <a:off x="0" y="0"/>
                                  <a:ext cx="6519545" cy="9515475"/>
                                </a:xfrm>
                                <a:prstGeom prst="rect">
                                  <a:avLst/>
                                </a:prstGeom>
                              </pic:spPr>
                            </pic:pic>
                          </a:graphicData>
                        </a:graphic>
                      </wp:inline>
                    </w:drawing>
                  </w:r>
                </w:p>
              </w:txbxContent>
            </v:textbox>
            <w10:wrap type="square" anchorx="page" anchory="page"/>
          </v:shape>
        </w:pict>
      </w:r>
      <w:r>
        <w:pict w14:anchorId="3F9027DA">
          <v:shape id="_x0000_s1108" type="#_x0000_t202" style="position:absolute;margin-left:97.45pt;margin-top:58.3pt;width:445.65pt;height:46.1pt;z-index:-251695104;mso-wrap-distance-left:0;mso-wrap-distance-right:0;mso-position-horizontal-relative:page;mso-position-vertical-relative:page" filled="f" stroked="f">
            <v:textbox inset="0,0,0,0">
              <w:txbxContent>
                <w:p w14:paraId="7E5FF56A" w14:textId="77777777" w:rsidR="00D8670B" w:rsidRDefault="009B37A9">
                  <w:pPr>
                    <w:spacing w:line="179" w:lineRule="exact"/>
                    <w:textAlignment w:val="baseline"/>
                    <w:rPr>
                      <w:rFonts w:ascii="Arial" w:eastAsia="Arial" w:hAnsi="Arial"/>
                      <w:color w:val="000000"/>
                      <w:sz w:val="18"/>
                    </w:rPr>
                  </w:pPr>
                  <w:r>
                    <w:rPr>
                      <w:rFonts w:ascii="Arial" w:eastAsia="Arial" w:hAnsi="Arial"/>
                      <w:color w:val="000000"/>
                      <w:sz w:val="18"/>
                    </w:rPr>
                    <w:t>other topics as requested by industry, while participating in industry meetings and events.</w:t>
                  </w:r>
                </w:p>
                <w:p w14:paraId="4256E608" w14:textId="77777777" w:rsidR="00D8670B" w:rsidRDefault="009B37A9">
                  <w:pPr>
                    <w:spacing w:before="125" w:line="206" w:lineRule="exact"/>
                    <w:jc w:val="both"/>
                    <w:textAlignment w:val="baseline"/>
                    <w:rPr>
                      <w:rFonts w:ascii="Arial" w:eastAsia="Arial" w:hAnsi="Arial"/>
                      <w:color w:val="000000"/>
                      <w:sz w:val="18"/>
                    </w:rPr>
                  </w:pPr>
                  <w:r>
                    <w:rPr>
                      <w:rFonts w:ascii="Arial" w:eastAsia="Arial" w:hAnsi="Arial"/>
                      <w:color w:val="000000"/>
                      <w:sz w:val="18"/>
                    </w:rPr>
                    <w:t>The role also involved one-on-one meetings with irrigators to discuss potential applications and the format of the funding program. This extensive collaboration pro</w:t>
                  </w:r>
                  <w:r>
                    <w:rPr>
                      <w:rFonts w:ascii="Arial" w:eastAsia="Arial" w:hAnsi="Arial"/>
                      <w:color w:val="000000"/>
                      <w:sz w:val="18"/>
                    </w:rPr>
                    <w:t>vided the irrigation community a mechanism to shape program improvements such as the shorter application assessment periods and eligible areas.</w:t>
                  </w:r>
                </w:p>
              </w:txbxContent>
            </v:textbox>
            <w10:wrap type="square" anchorx="page" anchory="page"/>
          </v:shape>
        </w:pict>
      </w:r>
      <w:r>
        <w:pict w14:anchorId="1855B1D6">
          <v:shape id="_x0000_s1107" type="#_x0000_t202" style="position:absolute;margin-left:43.05pt;margin-top:117.85pt;width:38.95pt;height:8.65pt;z-index:-251694080;mso-wrap-distance-left:0;mso-wrap-distance-right:0;mso-position-horizontal-relative:page;mso-position-vertical-relative:page" filled="f" stroked="f">
            <v:textbox inset="0,0,0,0">
              <w:txbxContent>
                <w:p w14:paraId="5F81471F" w14:textId="77777777" w:rsidR="00D8670B" w:rsidRDefault="009B37A9">
                  <w:pPr>
                    <w:spacing w:line="163" w:lineRule="exact"/>
                    <w:textAlignment w:val="baseline"/>
                    <w:rPr>
                      <w:rFonts w:ascii="Arial" w:eastAsia="Arial" w:hAnsi="Arial"/>
                      <w:b/>
                      <w:color w:val="1A351B"/>
                      <w:spacing w:val="11"/>
                      <w:sz w:val="18"/>
                    </w:rPr>
                  </w:pPr>
                  <w:r>
                    <w:rPr>
                      <w:rFonts w:ascii="Arial" w:eastAsia="Arial" w:hAnsi="Arial"/>
                      <w:b/>
                      <w:color w:val="1A351B"/>
                      <w:spacing w:val="11"/>
                      <w:sz w:val="18"/>
                    </w:rPr>
                    <w:t>Timing</w:t>
                  </w:r>
                </w:p>
              </w:txbxContent>
            </v:textbox>
            <w10:wrap type="square" anchorx="page" anchory="page"/>
          </v:shape>
        </w:pict>
      </w:r>
      <w:r>
        <w:pict w14:anchorId="2A9417D7">
          <v:shape id="_x0000_s1106" type="#_x0000_t202" style="position:absolute;margin-left:97.7pt;margin-top:118.1pt;width:52.3pt;height:6.95pt;z-index:-251693056;mso-wrap-distance-left:0;mso-wrap-distance-right:0;mso-position-horizontal-relative:page;mso-position-vertical-relative:page" filled="f" stroked="f">
            <v:textbox inset="0,0,0,0">
              <w:txbxContent>
                <w:p w14:paraId="74B52520" w14:textId="77777777" w:rsidR="00D8670B" w:rsidRDefault="009B37A9">
                  <w:pPr>
                    <w:spacing w:line="129" w:lineRule="exact"/>
                    <w:textAlignment w:val="baseline"/>
                    <w:rPr>
                      <w:rFonts w:ascii="Arial" w:eastAsia="Arial" w:hAnsi="Arial"/>
                      <w:color w:val="000000"/>
                      <w:spacing w:val="-9"/>
                      <w:sz w:val="18"/>
                    </w:rPr>
                  </w:pPr>
                  <w:r>
                    <w:rPr>
                      <w:rFonts w:ascii="Arial" w:eastAsia="Arial" w:hAnsi="Arial"/>
                      <w:color w:val="000000"/>
                      <w:spacing w:val="-9"/>
                      <w:sz w:val="18"/>
                    </w:rPr>
                    <w:t>2013 to 2017</w:t>
                  </w:r>
                </w:p>
              </w:txbxContent>
            </v:textbox>
            <w10:wrap type="square" anchorx="page" anchory="page"/>
          </v:shape>
        </w:pict>
      </w:r>
      <w:r>
        <w:pict w14:anchorId="0E635652">
          <v:shape id="_x0000_s1105" type="#_x0000_t202" style="position:absolute;margin-left:48.25pt;margin-top:139.9pt;width:34.3pt;height:8.9pt;z-index:-251692032;mso-wrap-distance-left:0;mso-wrap-distance-right:0;mso-position-horizontal-relative:page;mso-position-vertical-relative:page" filled="f" stroked="f">
            <v:textbox inset="0,0,0,0">
              <w:txbxContent>
                <w:p w14:paraId="0D30EFB3" w14:textId="77777777" w:rsidR="00D8670B" w:rsidRDefault="009B37A9">
                  <w:pPr>
                    <w:spacing w:line="168" w:lineRule="exact"/>
                    <w:textAlignment w:val="baseline"/>
                    <w:rPr>
                      <w:rFonts w:ascii="Arial" w:eastAsia="Arial" w:hAnsi="Arial"/>
                      <w:b/>
                      <w:color w:val="1A351B"/>
                      <w:spacing w:val="-14"/>
                      <w:sz w:val="18"/>
                    </w:rPr>
                  </w:pPr>
                  <w:r>
                    <w:rPr>
                      <w:rFonts w:ascii="Arial" w:eastAsia="Arial" w:hAnsi="Arial"/>
                      <w:b/>
                      <w:color w:val="1A351B"/>
                      <w:spacing w:val="-14"/>
                      <w:sz w:val="18"/>
                    </w:rPr>
                    <w:t>Outputs</w:t>
                  </w:r>
                </w:p>
              </w:txbxContent>
            </v:textbox>
            <w10:wrap type="square" anchorx="page" anchory="page"/>
          </v:shape>
        </w:pict>
      </w:r>
      <w:r>
        <w:pict w14:anchorId="13F338A5">
          <v:shape id="_x0000_s1104" type="#_x0000_t202" style="position:absolute;margin-left:115.45pt;margin-top:140.9pt;width:428.4pt;height:171.6pt;z-index:-251691008;mso-wrap-distance-left:0;mso-wrap-distance-right:0;mso-position-horizontal-relative:page;mso-position-vertical-relative:page" filled="f" stroked="f">
            <v:textbox inset="0,0,0,0">
              <w:txbxContent>
                <w:p w14:paraId="22BD215B" w14:textId="77777777" w:rsidR="00D8670B" w:rsidRDefault="009B37A9">
                  <w:pPr>
                    <w:numPr>
                      <w:ilvl w:val="0"/>
                      <w:numId w:val="2"/>
                    </w:numPr>
                    <w:spacing w:line="199" w:lineRule="exact"/>
                    <w:ind w:left="360" w:hanging="360"/>
                    <w:textAlignment w:val="baseline"/>
                    <w:rPr>
                      <w:rFonts w:ascii="Arial" w:eastAsia="Arial" w:hAnsi="Arial"/>
                      <w:color w:val="000000"/>
                      <w:sz w:val="18"/>
                    </w:rPr>
                  </w:pPr>
                  <w:r>
                    <w:rPr>
                      <w:rFonts w:ascii="Arial" w:eastAsia="Arial" w:hAnsi="Arial"/>
                      <w:color w:val="000000"/>
                      <w:sz w:val="18"/>
                    </w:rPr>
                    <w:t>The HHWUE program was represented at 79 meetings during Phase 2. Of these meetings, 62 were industry meetings and events attended by HHWUE engagement representatives. A further 17 meetings and events were delivered by the HHWUE program (sometimes in conjun</w:t>
                  </w:r>
                  <w:r>
                    <w:rPr>
                      <w:rFonts w:ascii="Arial" w:eastAsia="Arial" w:hAnsi="Arial"/>
                      <w:color w:val="000000"/>
                      <w:sz w:val="18"/>
                    </w:rPr>
                    <w:t>ction with other departments or industry bodies). Highlights included:</w:t>
                  </w:r>
                </w:p>
                <w:p w14:paraId="4CB57314" w14:textId="77777777" w:rsidR="00D8670B" w:rsidRDefault="009B37A9">
                  <w:pPr>
                    <w:numPr>
                      <w:ilvl w:val="0"/>
                      <w:numId w:val="3"/>
                    </w:numPr>
                    <w:tabs>
                      <w:tab w:val="clear" w:pos="360"/>
                      <w:tab w:val="left" w:pos="1080"/>
                    </w:tabs>
                    <w:spacing w:before="122" w:line="206" w:lineRule="exact"/>
                    <w:ind w:left="1080" w:right="360" w:hanging="360"/>
                    <w:textAlignment w:val="baseline"/>
                    <w:rPr>
                      <w:rFonts w:ascii="Arial" w:eastAsia="Arial" w:hAnsi="Arial"/>
                      <w:color w:val="000000"/>
                      <w:spacing w:val="-1"/>
                      <w:sz w:val="18"/>
                    </w:rPr>
                  </w:pPr>
                  <w:r>
                    <w:rPr>
                      <w:rFonts w:ascii="Arial" w:eastAsia="Arial" w:hAnsi="Arial"/>
                      <w:color w:val="000000"/>
                      <w:spacing w:val="-1"/>
                      <w:sz w:val="18"/>
                    </w:rPr>
                    <w:t>Financial institutions field days in St George and Goondiwindi in March 2013 and February 2014. These field days gave agribusiness and local banking representatives an opportunity to see completed projects and help develop mutual understanding of HHWUE pro</w:t>
                  </w:r>
                  <w:r>
                    <w:rPr>
                      <w:rFonts w:ascii="Arial" w:eastAsia="Arial" w:hAnsi="Arial"/>
                      <w:color w:val="000000"/>
                      <w:spacing w:val="-1"/>
                      <w:sz w:val="18"/>
                    </w:rPr>
                    <w:t>cesses, particularly regarding transfer of water entitlements and funding payments</w:t>
                  </w:r>
                </w:p>
                <w:p w14:paraId="680CA9FE" w14:textId="77777777" w:rsidR="00D8670B" w:rsidRDefault="009B37A9">
                  <w:pPr>
                    <w:numPr>
                      <w:ilvl w:val="0"/>
                      <w:numId w:val="3"/>
                    </w:numPr>
                    <w:tabs>
                      <w:tab w:val="clear" w:pos="360"/>
                      <w:tab w:val="left" w:pos="1080"/>
                    </w:tabs>
                    <w:spacing w:before="126" w:line="206" w:lineRule="exact"/>
                    <w:ind w:left="1080" w:right="216" w:hanging="360"/>
                    <w:textAlignment w:val="baseline"/>
                    <w:rPr>
                      <w:rFonts w:ascii="Arial" w:eastAsia="Arial" w:hAnsi="Arial"/>
                      <w:color w:val="000000"/>
                      <w:sz w:val="18"/>
                    </w:rPr>
                  </w:pPr>
                  <w:r>
                    <w:rPr>
                      <w:rFonts w:ascii="Arial" w:eastAsia="Arial" w:hAnsi="Arial"/>
                      <w:color w:val="000000"/>
                      <w:sz w:val="18"/>
                    </w:rPr>
                    <w:t>Water use efficiency options field days in St George and Goondiwindi in August and September 2014. Two field days showcased completed HHWUE projects and promoted the funding</w:t>
                  </w:r>
                  <w:r>
                    <w:rPr>
                      <w:rFonts w:ascii="Arial" w:eastAsia="Arial" w:hAnsi="Arial"/>
                      <w:color w:val="000000"/>
                      <w:sz w:val="18"/>
                    </w:rPr>
                    <w:t xml:space="preserve"> program</w:t>
                  </w:r>
                </w:p>
                <w:p w14:paraId="48E26C69" w14:textId="77777777" w:rsidR="00D8670B" w:rsidRDefault="009B37A9">
                  <w:pPr>
                    <w:numPr>
                      <w:ilvl w:val="0"/>
                      <w:numId w:val="3"/>
                    </w:numPr>
                    <w:tabs>
                      <w:tab w:val="clear" w:pos="360"/>
                      <w:tab w:val="left" w:pos="1080"/>
                    </w:tabs>
                    <w:spacing w:before="121" w:line="205" w:lineRule="exact"/>
                    <w:ind w:left="1080" w:right="288" w:hanging="360"/>
                    <w:textAlignment w:val="baseline"/>
                    <w:rPr>
                      <w:rFonts w:ascii="Arial" w:eastAsia="Arial" w:hAnsi="Arial"/>
                      <w:color w:val="000000"/>
                      <w:sz w:val="18"/>
                    </w:rPr>
                  </w:pPr>
                  <w:r>
                    <w:rPr>
                      <w:rFonts w:ascii="Arial" w:eastAsia="Arial" w:hAnsi="Arial"/>
                      <w:color w:val="000000"/>
                      <w:sz w:val="18"/>
                    </w:rPr>
                    <w:t>Storage options field day in St George in March 2015. This field day toured six completed storage projects in the St George region. Irrigation specialists and funded irrigators shared their experiences with completed projects, outcomes and effecti</w:t>
                  </w:r>
                  <w:r>
                    <w:rPr>
                      <w:rFonts w:ascii="Arial" w:eastAsia="Arial" w:hAnsi="Arial"/>
                      <w:color w:val="000000"/>
                      <w:sz w:val="18"/>
                    </w:rPr>
                    <w:t>veness, with a focus on storage benchmarking and pump efficiency.</w:t>
                  </w:r>
                </w:p>
              </w:txbxContent>
            </v:textbox>
            <w10:wrap type="square" anchorx="page" anchory="page"/>
          </v:shape>
        </w:pict>
      </w:r>
      <w:r>
        <w:pict w14:anchorId="74D0D5E6">
          <v:shape id="_x0000_s1103" type="#_x0000_t202" style="position:absolute;margin-left:115.45pt;margin-top:320.65pt;width:424.05pt;height:8.85pt;z-index:-251689984;mso-wrap-distance-left:0;mso-wrap-distance-right:0;mso-position-horizontal-relative:page;mso-position-vertical-relative:page" filled="f" stroked="f">
            <v:textbox inset="0,0,0,0">
              <w:txbxContent>
                <w:p w14:paraId="291BCEE5" w14:textId="77777777" w:rsidR="00D8670B" w:rsidRDefault="009B37A9">
                  <w:pPr>
                    <w:numPr>
                      <w:ilvl w:val="0"/>
                      <w:numId w:val="2"/>
                    </w:numPr>
                    <w:spacing w:line="167" w:lineRule="exact"/>
                    <w:textAlignment w:val="baseline"/>
                    <w:rPr>
                      <w:rFonts w:ascii="Arial" w:eastAsia="Arial" w:hAnsi="Arial"/>
                      <w:color w:val="000000"/>
                      <w:spacing w:val="-2"/>
                      <w:sz w:val="18"/>
                    </w:rPr>
                  </w:pPr>
                  <w:r>
                    <w:rPr>
                      <w:rFonts w:ascii="Arial" w:eastAsia="Arial" w:hAnsi="Arial"/>
                      <w:color w:val="000000"/>
                      <w:spacing w:val="-2"/>
                      <w:sz w:val="18"/>
                    </w:rPr>
                    <w:t>The HHWUE program was also represented at two industry-led training events and three trade shows.</w:t>
                  </w:r>
                </w:p>
              </w:txbxContent>
            </v:textbox>
            <w10:wrap type="square" anchorx="page" anchory="page"/>
          </v:shape>
        </w:pict>
      </w:r>
      <w:r>
        <w:pict w14:anchorId="0AAACF18">
          <v:shape id="_x0000_s1102" type="#_x0000_t202" style="position:absolute;margin-left:97.9pt;margin-top:742.3pt;width:171.15pt;height:9.4pt;z-index:-251688960;mso-wrap-distance-left:0;mso-wrap-distance-right:0;mso-position-horizontal-relative:page;mso-position-vertical-relative:page" filled="f" stroked="f">
            <v:textbox inset="0,0,0,0">
              <w:txbxContent>
                <w:p w14:paraId="78B481A6" w14:textId="77777777" w:rsidR="00D8670B" w:rsidRDefault="009B37A9">
                  <w:pPr>
                    <w:spacing w:line="187" w:lineRule="exact"/>
                    <w:textAlignment w:val="baseline"/>
                    <w:rPr>
                      <w:rFonts w:ascii="Arial" w:eastAsia="Arial" w:hAnsi="Arial"/>
                      <w:b/>
                      <w:color w:val="000000"/>
                      <w:spacing w:val="-3"/>
                      <w:sz w:val="18"/>
                    </w:rPr>
                  </w:pPr>
                  <w:r>
                    <w:rPr>
                      <w:rFonts w:ascii="Arial" w:eastAsia="Arial" w:hAnsi="Arial"/>
                      <w:b/>
                      <w:color w:val="000000"/>
                      <w:spacing w:val="-3"/>
                      <w:sz w:val="18"/>
                    </w:rPr>
                    <w:t xml:space="preserve">Figure </w:t>
                  </w:r>
                  <w:r>
                    <w:rPr>
                      <w:rFonts w:ascii="Arial" w:eastAsia="Arial" w:hAnsi="Arial"/>
                      <w:b/>
                      <w:color w:val="000000"/>
                      <w:spacing w:val="-3"/>
                      <w:sz w:val="20"/>
                    </w:rPr>
                    <w:t>8</w:t>
                  </w:r>
                  <w:r>
                    <w:rPr>
                      <w:rFonts w:ascii="Arial" w:eastAsia="Arial" w:hAnsi="Arial"/>
                      <w:b/>
                      <w:color w:val="000000"/>
                      <w:spacing w:val="-3"/>
                      <w:sz w:val="18"/>
                    </w:rPr>
                    <w:t>: Phase 2 engagement activities</w:t>
                  </w:r>
                </w:p>
              </w:txbxContent>
            </v:textbox>
            <w10:wrap type="square" anchorx="page" anchory="page"/>
          </v:shape>
        </w:pict>
      </w:r>
      <w:r>
        <w:pict w14:anchorId="55D78CFB">
          <v:shape id="_x0000_s1101" type="#_x0000_t202" style="position:absolute;margin-left:287.35pt;margin-top:798.25pt;width:20.5pt;height:7.65pt;z-index:-251687936;mso-wrap-distance-left:0;mso-wrap-distance-right:0;mso-position-horizontal-relative:page;mso-position-vertical-relative:page" filled="f" stroked="f">
            <v:textbox inset="0,0,0,0">
              <w:txbxContent>
                <w:p w14:paraId="5CF6CE8B" w14:textId="77777777" w:rsidR="00D8670B" w:rsidRDefault="009B37A9">
                  <w:pPr>
                    <w:spacing w:line="148" w:lineRule="exact"/>
                    <w:jc w:val="center"/>
                    <w:textAlignment w:val="baseline"/>
                    <w:rPr>
                      <w:rFonts w:ascii="Arial" w:eastAsia="Arial" w:hAnsi="Arial"/>
                      <w:color w:val="000000"/>
                      <w:spacing w:val="26"/>
                      <w:sz w:val="20"/>
                    </w:rPr>
                  </w:pPr>
                  <w:r>
                    <w:rPr>
                      <w:rFonts w:ascii="Arial" w:eastAsia="Arial" w:hAnsi="Arial"/>
                      <w:color w:val="000000"/>
                      <w:spacing w:val="26"/>
                      <w:sz w:val="20"/>
                    </w:rPr>
                    <w:t>23</w:t>
                  </w:r>
                </w:p>
              </w:txbxContent>
            </v:textbox>
            <w10:wrap type="square" anchorx="page" anchory="page"/>
          </v:shape>
        </w:pict>
      </w:r>
    </w:p>
    <w:p w14:paraId="3A81DC3D" w14:textId="77777777" w:rsidR="00D8670B" w:rsidRDefault="00D8670B">
      <w:pPr>
        <w:sectPr w:rsidR="00D8670B">
          <w:pgSz w:w="11909" w:h="16838"/>
          <w:pgMar w:top="0" w:right="1440" w:bottom="185" w:left="1440" w:header="720" w:footer="720" w:gutter="0"/>
          <w:cols w:space="720"/>
        </w:sectPr>
      </w:pPr>
    </w:p>
    <w:p w14:paraId="22EAED4C" w14:textId="77777777" w:rsidR="00D8670B" w:rsidRDefault="009B37A9">
      <w:pPr>
        <w:spacing w:before="21" w:after="49" w:line="322" w:lineRule="exact"/>
        <w:textAlignment w:val="baseline"/>
        <w:rPr>
          <w:rFonts w:ascii="Arial" w:eastAsia="Arial" w:hAnsi="Arial"/>
          <w:b/>
          <w:color w:val="346C36"/>
          <w:sz w:val="28"/>
        </w:rPr>
      </w:pPr>
      <w:r>
        <w:rPr>
          <w:rFonts w:ascii="Arial" w:eastAsia="Arial" w:hAnsi="Arial"/>
          <w:b/>
          <w:color w:val="346C36"/>
          <w:sz w:val="28"/>
        </w:rPr>
        <w:lastRenderedPageBreak/>
        <w:t>2.2.4 Benchmarking</w:t>
      </w:r>
    </w:p>
    <w:tbl>
      <w:tblPr>
        <w:tblW w:w="0" w:type="auto"/>
        <w:tblLayout w:type="fixed"/>
        <w:tblCellMar>
          <w:left w:w="0" w:type="dxa"/>
          <w:right w:w="0" w:type="dxa"/>
        </w:tblCellMar>
        <w:tblLook w:val="0000" w:firstRow="0" w:lastRow="0" w:firstColumn="0" w:lastColumn="0" w:noHBand="0" w:noVBand="0"/>
      </w:tblPr>
      <w:tblGrid>
        <w:gridCol w:w="1023"/>
        <w:gridCol w:w="111"/>
        <w:gridCol w:w="9146"/>
      </w:tblGrid>
      <w:tr w:rsidR="00D8670B" w14:paraId="09E85CF0" w14:textId="77777777">
        <w:tblPrEx>
          <w:tblCellMar>
            <w:top w:w="0" w:type="dxa"/>
            <w:bottom w:w="0" w:type="dxa"/>
          </w:tblCellMar>
        </w:tblPrEx>
        <w:trPr>
          <w:trHeight w:hRule="exact" w:val="547"/>
        </w:trPr>
        <w:tc>
          <w:tcPr>
            <w:tcW w:w="1023" w:type="dxa"/>
            <w:tcBorders>
              <w:top w:val="none" w:sz="0" w:space="0" w:color="000000"/>
              <w:left w:val="none" w:sz="0" w:space="0" w:color="000000"/>
              <w:bottom w:val="none" w:sz="0" w:space="0" w:color="000000"/>
              <w:right w:val="none" w:sz="0" w:space="0" w:color="000000"/>
            </w:tcBorders>
            <w:shd w:val="clear" w:color="E3E2CD" w:fill="E3E2CD"/>
          </w:tcPr>
          <w:p w14:paraId="299E4DFC" w14:textId="77777777" w:rsidR="00D8670B" w:rsidRDefault="009B37A9">
            <w:pPr>
              <w:spacing w:before="122" w:after="215" w:line="205" w:lineRule="exact"/>
              <w:ind w:right="435"/>
              <w:jc w:val="right"/>
              <w:textAlignment w:val="baseline"/>
              <w:rPr>
                <w:rFonts w:ascii="Arial" w:eastAsia="Arial" w:hAnsi="Arial"/>
                <w:b/>
                <w:color w:val="403D21"/>
                <w:sz w:val="18"/>
              </w:rPr>
            </w:pPr>
            <w:r>
              <w:rPr>
                <w:rFonts w:ascii="Arial" w:eastAsia="Arial" w:hAnsi="Arial"/>
                <w:b/>
                <w:color w:val="403D21"/>
                <w:sz w:val="18"/>
              </w:rPr>
              <w:t>Aim</w:t>
            </w:r>
          </w:p>
        </w:tc>
        <w:tc>
          <w:tcPr>
            <w:tcW w:w="111" w:type="dxa"/>
            <w:tcBorders>
              <w:top w:val="none" w:sz="0" w:space="0" w:color="000000"/>
              <w:left w:val="none" w:sz="0" w:space="0" w:color="000000"/>
              <w:bottom w:val="none" w:sz="0" w:space="0" w:color="000000"/>
              <w:right w:val="none" w:sz="0" w:space="0" w:color="000000"/>
            </w:tcBorders>
            <w:shd w:val="clear" w:color="F1F0E6" w:fill="F1F0E6"/>
          </w:tcPr>
          <w:p w14:paraId="39227A10"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9146" w:type="dxa"/>
            <w:tcBorders>
              <w:top w:val="none" w:sz="0" w:space="0" w:color="000000"/>
              <w:left w:val="none" w:sz="0" w:space="0" w:color="000000"/>
              <w:bottom w:val="none" w:sz="0" w:space="0" w:color="000000"/>
              <w:right w:val="none" w:sz="0" w:space="0" w:color="000000"/>
            </w:tcBorders>
            <w:shd w:val="clear" w:color="F1F0E6" w:fill="F1F0E6"/>
          </w:tcPr>
          <w:p w14:paraId="7AB19685" w14:textId="77777777" w:rsidR="00D8670B" w:rsidRDefault="009B37A9">
            <w:pPr>
              <w:spacing w:before="125" w:after="5" w:line="206" w:lineRule="exact"/>
              <w:ind w:right="396"/>
              <w:textAlignment w:val="baseline"/>
              <w:rPr>
                <w:rFonts w:ascii="Arial" w:eastAsia="Arial" w:hAnsi="Arial"/>
                <w:color w:val="000000"/>
                <w:sz w:val="18"/>
              </w:rPr>
            </w:pPr>
            <w:r>
              <w:rPr>
                <w:rFonts w:ascii="Arial" w:eastAsia="Arial" w:hAnsi="Arial"/>
                <w:color w:val="000000"/>
                <w:sz w:val="18"/>
              </w:rPr>
              <w:t>To provide irrigators metrics against which to measure existing centre pivot and lateral move efficiency, and to decide whether new machines would be beneficial for their businesses</w:t>
            </w:r>
          </w:p>
        </w:tc>
      </w:tr>
      <w:tr w:rsidR="00D8670B" w14:paraId="71565F9D" w14:textId="77777777">
        <w:tblPrEx>
          <w:tblCellMar>
            <w:top w:w="0" w:type="dxa"/>
            <w:bottom w:w="0" w:type="dxa"/>
          </w:tblCellMar>
        </w:tblPrEx>
        <w:trPr>
          <w:trHeight w:hRule="exact" w:val="2885"/>
        </w:trPr>
        <w:tc>
          <w:tcPr>
            <w:tcW w:w="1023" w:type="dxa"/>
            <w:tcBorders>
              <w:top w:val="none" w:sz="0" w:space="0" w:color="000000"/>
              <w:left w:val="none" w:sz="0" w:space="0" w:color="000000"/>
              <w:bottom w:val="none" w:sz="0" w:space="0" w:color="000000"/>
              <w:right w:val="none" w:sz="0" w:space="0" w:color="000000"/>
            </w:tcBorders>
            <w:shd w:val="clear" w:color="E3E2CD" w:fill="E3E2CD"/>
            <w:vAlign w:val="center"/>
          </w:tcPr>
          <w:p w14:paraId="324216F7" w14:textId="77777777" w:rsidR="00D8670B" w:rsidRDefault="009B37A9">
            <w:pPr>
              <w:spacing w:before="228" w:line="205" w:lineRule="exact"/>
              <w:ind w:right="144"/>
              <w:jc w:val="right"/>
              <w:textAlignment w:val="baseline"/>
              <w:rPr>
                <w:rFonts w:ascii="Arial" w:eastAsia="Arial" w:hAnsi="Arial"/>
                <w:b/>
                <w:color w:val="403D21"/>
                <w:sz w:val="18"/>
              </w:rPr>
            </w:pPr>
            <w:r>
              <w:rPr>
                <w:rFonts w:ascii="Arial" w:eastAsia="Arial" w:hAnsi="Arial"/>
                <w:b/>
                <w:color w:val="403D21"/>
                <w:sz w:val="18"/>
              </w:rPr>
              <w:t>Project</w:t>
            </w:r>
          </w:p>
          <w:p w14:paraId="2C77C8EA" w14:textId="77777777" w:rsidR="00D8670B" w:rsidRDefault="009B37A9">
            <w:pPr>
              <w:spacing w:before="2017" w:after="220" w:line="205" w:lineRule="exact"/>
              <w:ind w:right="144"/>
              <w:jc w:val="right"/>
              <w:textAlignment w:val="baseline"/>
              <w:rPr>
                <w:rFonts w:ascii="Arial" w:eastAsia="Arial" w:hAnsi="Arial"/>
                <w:b/>
                <w:color w:val="403D21"/>
                <w:sz w:val="18"/>
              </w:rPr>
            </w:pPr>
            <w:r>
              <w:rPr>
                <w:rFonts w:ascii="Arial" w:eastAsia="Arial" w:hAnsi="Arial"/>
                <w:b/>
                <w:color w:val="403D21"/>
                <w:sz w:val="18"/>
              </w:rPr>
              <w:t>Timing</w:t>
            </w:r>
          </w:p>
        </w:tc>
        <w:tc>
          <w:tcPr>
            <w:tcW w:w="111" w:type="dxa"/>
            <w:tcBorders>
              <w:top w:val="none" w:sz="0" w:space="0" w:color="000000"/>
              <w:left w:val="none" w:sz="0" w:space="0" w:color="000000"/>
              <w:bottom w:val="none" w:sz="0" w:space="0" w:color="000000"/>
              <w:right w:val="none" w:sz="0" w:space="0" w:color="000000"/>
            </w:tcBorders>
          </w:tcPr>
          <w:p w14:paraId="0A6381EB" w14:textId="77777777" w:rsidR="00D8670B" w:rsidRDefault="00D8670B"/>
        </w:tc>
        <w:tc>
          <w:tcPr>
            <w:tcW w:w="9146" w:type="dxa"/>
            <w:tcBorders>
              <w:top w:val="none" w:sz="0" w:space="0" w:color="000000"/>
              <w:left w:val="none" w:sz="0" w:space="0" w:color="000000"/>
              <w:bottom w:val="none" w:sz="0" w:space="0" w:color="000000"/>
              <w:right w:val="none" w:sz="0" w:space="0" w:color="000000"/>
            </w:tcBorders>
            <w:shd w:val="clear" w:color="F1F0E6" w:fill="F1F0E6"/>
            <w:vAlign w:val="center"/>
          </w:tcPr>
          <w:p w14:paraId="267BBDBC" w14:textId="77777777" w:rsidR="00D8670B" w:rsidRDefault="009B37A9">
            <w:pPr>
              <w:spacing w:before="229" w:line="208" w:lineRule="exact"/>
              <w:ind w:right="216"/>
              <w:textAlignment w:val="baseline"/>
              <w:rPr>
                <w:rFonts w:ascii="Arial" w:eastAsia="Arial" w:hAnsi="Arial"/>
                <w:color w:val="000000"/>
                <w:sz w:val="18"/>
              </w:rPr>
            </w:pPr>
            <w:r>
              <w:rPr>
                <w:rFonts w:ascii="Arial" w:eastAsia="Arial" w:hAnsi="Arial"/>
                <w:color w:val="000000"/>
                <w:sz w:val="18"/>
              </w:rPr>
              <w:t>This project commenced in Phase 1 with measurement of centre pivot and lateral move machines during the 2010</w:t>
            </w:r>
            <w:r>
              <w:rPr>
                <w:rFonts w:ascii="Arial" w:eastAsia="Arial" w:hAnsi="Arial"/>
                <w:color w:val="000000"/>
                <w:sz w:val="21"/>
              </w:rPr>
              <w:t>–</w:t>
            </w:r>
            <w:r>
              <w:rPr>
                <w:rFonts w:ascii="Arial" w:eastAsia="Arial" w:hAnsi="Arial"/>
                <w:color w:val="000000"/>
                <w:sz w:val="18"/>
              </w:rPr>
              <w:t>11 and 2011</w:t>
            </w:r>
            <w:r>
              <w:rPr>
                <w:rFonts w:ascii="Arial" w:eastAsia="Arial" w:hAnsi="Arial"/>
                <w:color w:val="000000"/>
                <w:sz w:val="21"/>
              </w:rPr>
              <w:t>–</w:t>
            </w:r>
            <w:r>
              <w:rPr>
                <w:rFonts w:ascii="Arial" w:eastAsia="Arial" w:hAnsi="Arial"/>
                <w:color w:val="000000"/>
                <w:sz w:val="18"/>
              </w:rPr>
              <w:t>12 seasons. The Queensland Government engaged irrigation consultant WaterBiz Pty Ltd to conduct the research. The findings helped build</w:t>
            </w:r>
            <w:r>
              <w:rPr>
                <w:rFonts w:ascii="Arial" w:eastAsia="Arial" w:hAnsi="Arial"/>
                <w:color w:val="000000"/>
                <w:sz w:val="18"/>
              </w:rPr>
              <w:t xml:space="preserve"> industry knowledge of these systems. The Queensland Government identified continued research would help improve the accuracy and scope of the study.</w:t>
            </w:r>
          </w:p>
          <w:p w14:paraId="742A92F6" w14:textId="77777777" w:rsidR="00D8670B" w:rsidRDefault="009B37A9">
            <w:pPr>
              <w:spacing w:before="122" w:line="206" w:lineRule="exact"/>
              <w:ind w:right="216"/>
              <w:textAlignment w:val="baseline"/>
              <w:rPr>
                <w:rFonts w:ascii="Arial" w:eastAsia="Arial" w:hAnsi="Arial"/>
                <w:color w:val="000000"/>
                <w:sz w:val="18"/>
              </w:rPr>
            </w:pPr>
            <w:r>
              <w:rPr>
                <w:rFonts w:ascii="Arial" w:eastAsia="Arial" w:hAnsi="Arial"/>
                <w:color w:val="000000"/>
                <w:sz w:val="18"/>
              </w:rPr>
              <w:t>WaterBiz continued to deliver the benchmarking project in Phase 2 for three summer irrigation seasons. The</w:t>
            </w:r>
            <w:r>
              <w:rPr>
                <w:rFonts w:ascii="Arial" w:eastAsia="Arial" w:hAnsi="Arial"/>
                <w:color w:val="000000"/>
                <w:sz w:val="18"/>
              </w:rPr>
              <w:t xml:space="preserve"> scope of the study was broadened to include additional machines, benchmark energy consumption and consider various crops including cotton, mung beans, corn, sorghum, soy beans, lucerne, sunflowers, cowpeas and fodder. From interviews and logging, the stud</w:t>
            </w:r>
            <w:r>
              <w:rPr>
                <w:rFonts w:ascii="Arial" w:eastAsia="Arial" w:hAnsi="Arial"/>
                <w:color w:val="000000"/>
                <w:sz w:val="18"/>
              </w:rPr>
              <w:t>ies collected data regarding crops, seasonal water use, rainfall, crop yield, soil moisture, flow rates, irrigations and energy activities.</w:t>
            </w:r>
          </w:p>
          <w:p w14:paraId="2054D404" w14:textId="77777777" w:rsidR="00D8670B" w:rsidRDefault="009B37A9">
            <w:pPr>
              <w:spacing w:before="242" w:after="216" w:line="204" w:lineRule="exact"/>
              <w:textAlignment w:val="baseline"/>
              <w:rPr>
                <w:rFonts w:ascii="Arial" w:eastAsia="Arial" w:hAnsi="Arial"/>
                <w:color w:val="000000"/>
                <w:sz w:val="18"/>
              </w:rPr>
            </w:pPr>
            <w:r>
              <w:rPr>
                <w:rFonts w:ascii="Arial" w:eastAsia="Arial" w:hAnsi="Arial"/>
                <w:color w:val="000000"/>
                <w:sz w:val="18"/>
              </w:rPr>
              <w:t>2012 to 2015</w:t>
            </w:r>
          </w:p>
        </w:tc>
      </w:tr>
      <w:tr w:rsidR="00D8670B" w14:paraId="36CDDB1C" w14:textId="77777777">
        <w:tblPrEx>
          <w:tblCellMar>
            <w:top w:w="0" w:type="dxa"/>
            <w:bottom w:w="0" w:type="dxa"/>
          </w:tblCellMar>
        </w:tblPrEx>
        <w:trPr>
          <w:trHeight w:hRule="exact" w:val="921"/>
        </w:trPr>
        <w:tc>
          <w:tcPr>
            <w:tcW w:w="1023" w:type="dxa"/>
            <w:tcBorders>
              <w:top w:val="none" w:sz="0" w:space="0" w:color="000000"/>
              <w:left w:val="none" w:sz="0" w:space="0" w:color="000000"/>
              <w:bottom w:val="none" w:sz="0" w:space="0" w:color="000000"/>
              <w:right w:val="none" w:sz="0" w:space="0" w:color="000000"/>
            </w:tcBorders>
            <w:shd w:val="clear" w:color="E3E2CD" w:fill="E3E2CD"/>
          </w:tcPr>
          <w:p w14:paraId="199EF2CA" w14:textId="77777777" w:rsidR="00D8670B" w:rsidRDefault="009B37A9">
            <w:pPr>
              <w:spacing w:after="690" w:line="205" w:lineRule="exact"/>
              <w:ind w:right="144"/>
              <w:jc w:val="right"/>
              <w:textAlignment w:val="baseline"/>
              <w:rPr>
                <w:rFonts w:ascii="Arial" w:eastAsia="Arial" w:hAnsi="Arial"/>
                <w:b/>
                <w:color w:val="403D21"/>
                <w:sz w:val="18"/>
              </w:rPr>
            </w:pPr>
            <w:r>
              <w:rPr>
                <w:rFonts w:ascii="Arial" w:eastAsia="Arial" w:hAnsi="Arial"/>
                <w:b/>
                <w:color w:val="403D21"/>
                <w:sz w:val="18"/>
              </w:rPr>
              <w:t>Outputs</w:t>
            </w:r>
          </w:p>
        </w:tc>
        <w:tc>
          <w:tcPr>
            <w:tcW w:w="111" w:type="dxa"/>
            <w:tcBorders>
              <w:top w:val="none" w:sz="0" w:space="0" w:color="000000"/>
              <w:left w:val="none" w:sz="0" w:space="0" w:color="000000"/>
              <w:bottom w:val="none" w:sz="0" w:space="0" w:color="000000"/>
              <w:right w:val="none" w:sz="0" w:space="0" w:color="000000"/>
            </w:tcBorders>
          </w:tcPr>
          <w:p w14:paraId="01D4E077" w14:textId="77777777" w:rsidR="00D8670B" w:rsidRDefault="00D8670B"/>
        </w:tc>
        <w:tc>
          <w:tcPr>
            <w:tcW w:w="9146" w:type="dxa"/>
            <w:tcBorders>
              <w:top w:val="none" w:sz="0" w:space="0" w:color="000000"/>
              <w:left w:val="none" w:sz="0" w:space="0" w:color="000000"/>
              <w:bottom w:val="none" w:sz="0" w:space="0" w:color="000000"/>
              <w:right w:val="none" w:sz="0" w:space="0" w:color="000000"/>
            </w:tcBorders>
            <w:shd w:val="clear" w:color="F1F0E6" w:fill="F1F0E6"/>
          </w:tcPr>
          <w:p w14:paraId="5EB3E7BB" w14:textId="77777777" w:rsidR="00D8670B" w:rsidRDefault="009B37A9">
            <w:pPr>
              <w:ind w:right="45"/>
              <w:textAlignment w:val="baseline"/>
            </w:pPr>
            <w:r>
              <w:rPr>
                <w:noProof/>
              </w:rPr>
              <w:drawing>
                <wp:inline distT="0" distB="0" distL="0" distR="0" wp14:anchorId="49485B0A" wp14:editId="1E4FA788">
                  <wp:extent cx="5659755" cy="58483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9"/>
                          <a:stretch>
                            <a:fillRect/>
                          </a:stretch>
                        </pic:blipFill>
                        <pic:spPr>
                          <a:xfrm>
                            <a:off x="0" y="0"/>
                            <a:ext cx="5659755" cy="584835"/>
                          </a:xfrm>
                          <a:prstGeom prst="rect">
                            <a:avLst/>
                          </a:prstGeom>
                        </pic:spPr>
                      </pic:pic>
                    </a:graphicData>
                  </a:graphic>
                </wp:inline>
              </w:drawing>
            </w:r>
          </w:p>
        </w:tc>
      </w:tr>
      <w:tr w:rsidR="00D8670B" w14:paraId="7DD89387" w14:textId="77777777">
        <w:tblPrEx>
          <w:tblCellMar>
            <w:top w:w="0" w:type="dxa"/>
            <w:bottom w:w="0" w:type="dxa"/>
          </w:tblCellMar>
        </w:tblPrEx>
        <w:trPr>
          <w:trHeight w:hRule="exact" w:val="1557"/>
        </w:trPr>
        <w:tc>
          <w:tcPr>
            <w:tcW w:w="1023" w:type="dxa"/>
            <w:tcBorders>
              <w:top w:val="none" w:sz="0" w:space="0" w:color="000000"/>
              <w:left w:val="none" w:sz="0" w:space="0" w:color="000000"/>
              <w:bottom w:val="none" w:sz="0" w:space="0" w:color="000000"/>
              <w:right w:val="none" w:sz="0" w:space="0" w:color="000000"/>
            </w:tcBorders>
          </w:tcPr>
          <w:p w14:paraId="125B9A6A" w14:textId="77777777" w:rsidR="00D8670B" w:rsidRDefault="00D8670B"/>
        </w:tc>
        <w:tc>
          <w:tcPr>
            <w:tcW w:w="111" w:type="dxa"/>
            <w:tcBorders>
              <w:top w:val="none" w:sz="0" w:space="0" w:color="000000"/>
              <w:left w:val="none" w:sz="0" w:space="0" w:color="000000"/>
              <w:bottom w:val="none" w:sz="0" w:space="0" w:color="000000"/>
              <w:right w:val="none" w:sz="0" w:space="0" w:color="000000"/>
            </w:tcBorders>
          </w:tcPr>
          <w:p w14:paraId="5F3F94CB" w14:textId="77777777" w:rsidR="00D8670B" w:rsidRDefault="00D8670B"/>
        </w:tc>
        <w:tc>
          <w:tcPr>
            <w:tcW w:w="9146" w:type="dxa"/>
            <w:tcBorders>
              <w:top w:val="none" w:sz="0" w:space="0" w:color="000000"/>
              <w:left w:val="none" w:sz="0" w:space="0" w:color="000000"/>
              <w:bottom w:val="none" w:sz="0" w:space="0" w:color="000000"/>
              <w:right w:val="none" w:sz="0" w:space="0" w:color="000000"/>
            </w:tcBorders>
            <w:shd w:val="clear" w:color="F1F0E6" w:fill="F1F0E6"/>
          </w:tcPr>
          <w:p w14:paraId="253C2A1B" w14:textId="77777777" w:rsidR="00D8670B" w:rsidRDefault="009B37A9">
            <w:pPr>
              <w:numPr>
                <w:ilvl w:val="0"/>
                <w:numId w:val="2"/>
              </w:numPr>
              <w:tabs>
                <w:tab w:val="clear" w:pos="360"/>
                <w:tab w:val="left" w:pos="720"/>
              </w:tabs>
              <w:spacing w:before="116" w:line="206" w:lineRule="exact"/>
              <w:ind w:left="720" w:right="216" w:hanging="360"/>
              <w:textAlignment w:val="baseline"/>
              <w:rPr>
                <w:rFonts w:ascii="Arial" w:eastAsia="Arial" w:hAnsi="Arial"/>
                <w:color w:val="000000"/>
                <w:sz w:val="18"/>
              </w:rPr>
            </w:pPr>
            <w:r>
              <w:rPr>
                <w:rFonts w:ascii="Arial" w:eastAsia="Arial" w:hAnsi="Arial"/>
                <w:color w:val="000000"/>
                <w:sz w:val="18"/>
              </w:rPr>
              <w:t>Three seasonal benchmarking reports demonstrate the water efficiencies gained using centre pivot and lateral move systems, and the range of energy use possible</w:t>
            </w:r>
            <w:r>
              <w:rPr>
                <w:rFonts w:ascii="Arial" w:eastAsia="Arial" w:hAnsi="Arial"/>
                <w:color w:val="0000FF"/>
                <w:sz w:val="18"/>
              </w:rPr>
              <w:t xml:space="preserve"> </w:t>
            </w:r>
            <w:hyperlink r:id="rId30">
              <w:r>
                <w:rPr>
                  <w:rFonts w:ascii="Arial" w:eastAsia="Arial" w:hAnsi="Arial"/>
                  <w:color w:val="0000FF"/>
                  <w:sz w:val="18"/>
                  <w:u w:val="single"/>
                </w:rPr>
                <w:t>(</w:t>
              </w:r>
            </w:hyperlink>
            <w:r>
              <w:rPr>
                <w:rFonts w:ascii="Arial" w:eastAsia="Arial" w:hAnsi="Arial"/>
                <w:color w:val="0000FF"/>
                <w:sz w:val="18"/>
                <w:u w:val="single"/>
              </w:rPr>
              <w:t>http://tinyurl.com/yxbllb5k)</w:t>
            </w:r>
            <w:r>
              <w:rPr>
                <w:rFonts w:ascii="Arial" w:eastAsia="Arial" w:hAnsi="Arial"/>
                <w:color w:val="0000FF"/>
                <w:sz w:val="18"/>
              </w:rPr>
              <w:t xml:space="preserve"> </w:t>
            </w:r>
          </w:p>
          <w:p w14:paraId="1028190A" w14:textId="77777777" w:rsidR="00D8670B" w:rsidRDefault="009B37A9">
            <w:pPr>
              <w:numPr>
                <w:ilvl w:val="0"/>
                <w:numId w:val="2"/>
              </w:numPr>
              <w:tabs>
                <w:tab w:val="clear" w:pos="360"/>
                <w:tab w:val="left" w:pos="720"/>
              </w:tabs>
              <w:spacing w:before="125" w:line="211" w:lineRule="exact"/>
              <w:ind w:left="720" w:right="684" w:hanging="360"/>
              <w:textAlignment w:val="baseline"/>
              <w:rPr>
                <w:rFonts w:ascii="Arial" w:eastAsia="Arial" w:hAnsi="Arial"/>
                <w:color w:val="000000"/>
                <w:sz w:val="18"/>
              </w:rPr>
            </w:pPr>
            <w:r>
              <w:rPr>
                <w:rFonts w:ascii="Arial" w:eastAsia="Arial" w:hAnsi="Arial"/>
                <w:color w:val="000000"/>
                <w:sz w:val="18"/>
              </w:rPr>
              <w:t>End-of-season work</w:t>
            </w:r>
            <w:r>
              <w:rPr>
                <w:rFonts w:ascii="Arial" w:eastAsia="Arial" w:hAnsi="Arial"/>
                <w:color w:val="000000"/>
                <w:sz w:val="18"/>
              </w:rPr>
              <w:t>shops provided feedback to irrigators on the challenges and successes of the season and compared trends in water and energy consumption.</w:t>
            </w:r>
          </w:p>
          <w:p w14:paraId="6D555631" w14:textId="77777777" w:rsidR="00D8670B" w:rsidRDefault="009B37A9">
            <w:pPr>
              <w:numPr>
                <w:ilvl w:val="0"/>
                <w:numId w:val="2"/>
              </w:numPr>
              <w:tabs>
                <w:tab w:val="clear" w:pos="360"/>
                <w:tab w:val="left" w:pos="720"/>
              </w:tabs>
              <w:spacing w:before="105" w:after="126" w:line="240" w:lineRule="exact"/>
              <w:ind w:left="720" w:hanging="360"/>
              <w:textAlignment w:val="baseline"/>
              <w:rPr>
                <w:rFonts w:ascii="Arial" w:eastAsia="Arial" w:hAnsi="Arial"/>
                <w:color w:val="000000"/>
                <w:sz w:val="18"/>
              </w:rPr>
            </w:pPr>
            <w:r>
              <w:rPr>
                <w:rFonts w:ascii="Arial" w:eastAsia="Arial" w:hAnsi="Arial"/>
                <w:color w:val="000000"/>
                <w:sz w:val="18"/>
              </w:rPr>
              <w:t>WaterBiz</w:t>
            </w:r>
            <w:r>
              <w:rPr>
                <w:rFonts w:ascii="Arial" w:eastAsia="Arial" w:hAnsi="Arial"/>
                <w:color w:val="000000"/>
                <w:sz w:val="21"/>
              </w:rPr>
              <w:t xml:space="preserve">’s </w:t>
            </w:r>
            <w:r>
              <w:rPr>
                <w:rFonts w:ascii="Arial" w:eastAsia="Arial" w:hAnsi="Arial"/>
                <w:color w:val="000000"/>
                <w:sz w:val="18"/>
              </w:rPr>
              <w:t>YouTube video can be viewed at</w:t>
            </w:r>
            <w:hyperlink r:id="rId31">
              <w:r>
                <w:rPr>
                  <w:rFonts w:ascii="Arial" w:eastAsia="Arial" w:hAnsi="Arial"/>
                  <w:color w:val="0000FF"/>
                  <w:sz w:val="18"/>
                  <w:u w:val="single"/>
                </w:rPr>
                <w:t xml:space="preserve"> www.youtube.com</w:t>
              </w:r>
              <w:r>
                <w:rPr>
                  <w:rFonts w:ascii="Arial" w:eastAsia="Arial" w:hAnsi="Arial"/>
                  <w:color w:val="0000FF"/>
                  <w:sz w:val="18"/>
                  <w:u w:val="single"/>
                </w:rPr>
                <w:t>/watch?v=nn-uFmaQKNM</w:t>
              </w:r>
            </w:hyperlink>
            <w:r>
              <w:rPr>
                <w:rFonts w:ascii="Arial" w:eastAsia="Arial" w:hAnsi="Arial"/>
                <w:color w:val="0000FF"/>
                <w:sz w:val="18"/>
                <w:u w:val="single"/>
              </w:rPr>
              <w:t>.</w:t>
            </w:r>
            <w:r>
              <w:rPr>
                <w:rFonts w:ascii="Arial" w:eastAsia="Arial" w:hAnsi="Arial"/>
                <w:color w:val="0000FF"/>
                <w:sz w:val="18"/>
              </w:rPr>
              <w:t xml:space="preserve"> </w:t>
            </w:r>
          </w:p>
        </w:tc>
      </w:tr>
    </w:tbl>
    <w:p w14:paraId="78A09A73" w14:textId="77777777" w:rsidR="00D8670B" w:rsidRDefault="00D8670B">
      <w:pPr>
        <w:spacing w:after="196" w:line="20" w:lineRule="exact"/>
      </w:pPr>
    </w:p>
    <w:p w14:paraId="44522A15" w14:textId="77777777" w:rsidR="00D8670B" w:rsidRDefault="009B37A9">
      <w:pPr>
        <w:spacing w:before="2" w:after="39" w:line="322" w:lineRule="exact"/>
        <w:textAlignment w:val="baseline"/>
        <w:rPr>
          <w:rFonts w:ascii="Arial" w:eastAsia="Arial" w:hAnsi="Arial"/>
          <w:b/>
          <w:color w:val="346C36"/>
          <w:sz w:val="28"/>
        </w:rPr>
      </w:pPr>
      <w:r>
        <w:rPr>
          <w:rFonts w:ascii="Arial" w:eastAsia="Arial" w:hAnsi="Arial"/>
          <w:b/>
          <w:color w:val="346C36"/>
          <w:sz w:val="28"/>
        </w:rPr>
        <w:t>2.2.5 Industry Advisory Committee</w:t>
      </w:r>
    </w:p>
    <w:p w14:paraId="1F254EA8" w14:textId="77777777" w:rsidR="00D8670B" w:rsidRDefault="009B37A9">
      <w:pPr>
        <w:spacing w:before="7478" w:line="288" w:lineRule="exact"/>
        <w:textAlignment w:val="baseline"/>
        <w:rPr>
          <w:rFonts w:eastAsia="Times New Roman"/>
          <w:color w:val="000000"/>
          <w:sz w:val="24"/>
        </w:rPr>
      </w:pPr>
      <w:r>
        <w:pict w14:anchorId="6BD16CE2">
          <v:shape id="_x0000_s1100" type="#_x0000_t202" style="position:absolute;margin-left:1.75pt;margin-top:0;width:510pt;height:345.85pt;z-index:-251686912;mso-wrap-distance-left:0;mso-wrap-distance-right:0" filled="f" stroked="f">
            <v:textbox inset="0,0,0,0">
              <w:txbxContent>
                <w:p w14:paraId="5F5D6281" w14:textId="77777777" w:rsidR="00D8670B" w:rsidRDefault="009B37A9">
                  <w:pPr>
                    <w:textAlignment w:val="baseline"/>
                  </w:pPr>
                  <w:r>
                    <w:rPr>
                      <w:noProof/>
                    </w:rPr>
                    <w:drawing>
                      <wp:inline distT="0" distB="0" distL="0" distR="0" wp14:anchorId="5E52C29D" wp14:editId="2800E85D">
                        <wp:extent cx="6477000" cy="439229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32"/>
                                <a:stretch>
                                  <a:fillRect/>
                                </a:stretch>
                              </pic:blipFill>
                              <pic:spPr>
                                <a:xfrm>
                                  <a:off x="0" y="0"/>
                                  <a:ext cx="6477000" cy="4392295"/>
                                </a:xfrm>
                                <a:prstGeom prst="rect">
                                  <a:avLst/>
                                </a:prstGeom>
                              </pic:spPr>
                            </pic:pic>
                          </a:graphicData>
                        </a:graphic>
                      </wp:inline>
                    </w:drawing>
                  </w:r>
                </w:p>
              </w:txbxContent>
            </v:textbox>
          </v:shape>
        </w:pict>
      </w:r>
      <w:r>
        <w:pict w14:anchorId="5C4B1069">
          <v:shape id="_x0000_s1099" type="#_x0000_t202" style="position:absolute;margin-left:2.3pt;margin-top:6.25pt;width:26.2pt;height:10.35pt;z-index:-251685888;mso-wrap-distance-left:0;mso-wrap-distance-right:0" filled="f" stroked="f">
            <v:textbox inset="0,0,0,0">
              <w:txbxContent>
                <w:p w14:paraId="2CD40D81" w14:textId="77777777" w:rsidR="00D8670B" w:rsidRDefault="009B37A9">
                  <w:pPr>
                    <w:spacing w:before="2" w:line="194" w:lineRule="exact"/>
                    <w:textAlignment w:val="baseline"/>
                    <w:rPr>
                      <w:rFonts w:ascii="Arial" w:eastAsia="Arial" w:hAnsi="Arial"/>
                      <w:b/>
                      <w:color w:val="50351F"/>
                      <w:spacing w:val="20"/>
                      <w:sz w:val="18"/>
                    </w:rPr>
                  </w:pPr>
                  <w:r>
                    <w:rPr>
                      <w:rFonts w:ascii="Arial" w:eastAsia="Arial" w:hAnsi="Arial"/>
                      <w:b/>
                      <w:color w:val="50351F"/>
                      <w:spacing w:val="20"/>
                      <w:sz w:val="18"/>
                    </w:rPr>
                    <w:t>Aim</w:t>
                  </w:r>
                </w:p>
              </w:txbxContent>
            </v:textbox>
          </v:shape>
        </w:pict>
      </w:r>
      <w:r>
        <w:pict w14:anchorId="46C18527">
          <v:shape id="_x0000_s1098" type="#_x0000_t202" style="position:absolute;margin-left:2.3pt;margin-top:160.35pt;width:38.95pt;height:10.35pt;z-index:-251684864;mso-wrap-distance-left:0;mso-wrap-distance-right:0" filled="f" stroked="f">
            <v:textbox inset="0,0,0,0">
              <w:txbxContent>
                <w:p w14:paraId="2C233FD6" w14:textId="77777777" w:rsidR="00D8670B" w:rsidRDefault="009B37A9">
                  <w:pPr>
                    <w:spacing w:before="2" w:line="194" w:lineRule="exact"/>
                    <w:textAlignment w:val="baseline"/>
                    <w:rPr>
                      <w:rFonts w:ascii="Arial" w:eastAsia="Arial" w:hAnsi="Arial"/>
                      <w:b/>
                      <w:color w:val="50351F"/>
                      <w:spacing w:val="11"/>
                      <w:sz w:val="18"/>
                    </w:rPr>
                  </w:pPr>
                  <w:r>
                    <w:rPr>
                      <w:rFonts w:ascii="Arial" w:eastAsia="Arial" w:hAnsi="Arial"/>
                      <w:b/>
                      <w:color w:val="50351F"/>
                      <w:spacing w:val="11"/>
                      <w:sz w:val="18"/>
                    </w:rPr>
                    <w:t>Timing</w:t>
                  </w:r>
                </w:p>
              </w:txbxContent>
            </v:textbox>
          </v:shape>
        </w:pict>
      </w:r>
      <w:r>
        <w:pict w14:anchorId="091E106C">
          <v:shape id="_x0000_s1097" type="#_x0000_t202" style="position:absolute;margin-left:7.5pt;margin-top:182.9pt;width:34.3pt;height:10.35pt;z-index:-251683840;mso-wrap-distance-left:0;mso-wrap-distance-right:0" filled="f" stroked="f">
            <v:textbox inset="0,0,0,0">
              <w:txbxContent>
                <w:p w14:paraId="51B7309F" w14:textId="77777777" w:rsidR="00D8670B" w:rsidRDefault="009B37A9">
                  <w:pPr>
                    <w:spacing w:before="2" w:line="204" w:lineRule="exact"/>
                    <w:textAlignment w:val="baseline"/>
                    <w:rPr>
                      <w:rFonts w:ascii="Arial" w:eastAsia="Arial" w:hAnsi="Arial"/>
                      <w:b/>
                      <w:color w:val="50351F"/>
                      <w:spacing w:val="-14"/>
                      <w:sz w:val="18"/>
                    </w:rPr>
                  </w:pPr>
                  <w:r>
                    <w:rPr>
                      <w:rFonts w:ascii="Arial" w:eastAsia="Arial" w:hAnsi="Arial"/>
                      <w:b/>
                      <w:color w:val="50351F"/>
                      <w:spacing w:val="-14"/>
                      <w:sz w:val="18"/>
                    </w:rPr>
                    <w:t>Outputs</w:t>
                  </w:r>
                </w:p>
              </w:txbxContent>
            </v:textbox>
          </v:shape>
        </w:pict>
      </w:r>
      <w:r>
        <w:pict w14:anchorId="6168BE3F">
          <v:shape id="_x0000_s1096" type="#_x0000_t202" style="position:absolute;margin-left:2.8pt;margin-top:38.9pt;width:40.1pt;height:10.35pt;z-index:-251682816;mso-wrap-distance-left:0;mso-wrap-distance-right:0" filled="f" stroked="f">
            <v:textbox inset="0,0,0,0">
              <w:txbxContent>
                <w:p w14:paraId="220A3BDE" w14:textId="77777777" w:rsidR="00D8670B" w:rsidRDefault="009B37A9">
                  <w:pPr>
                    <w:spacing w:before="2" w:line="204" w:lineRule="exact"/>
                    <w:textAlignment w:val="baseline"/>
                    <w:rPr>
                      <w:rFonts w:ascii="Arial" w:eastAsia="Arial" w:hAnsi="Arial"/>
                      <w:b/>
                      <w:color w:val="50351F"/>
                      <w:spacing w:val="9"/>
                      <w:sz w:val="18"/>
                    </w:rPr>
                  </w:pPr>
                  <w:r>
                    <w:rPr>
                      <w:rFonts w:ascii="Arial" w:eastAsia="Arial" w:hAnsi="Arial"/>
                      <w:b/>
                      <w:color w:val="50351F"/>
                      <w:spacing w:val="9"/>
                      <w:sz w:val="18"/>
                    </w:rPr>
                    <w:t>Project</w:t>
                  </w:r>
                </w:p>
              </w:txbxContent>
            </v:textbox>
          </v:shape>
        </w:pict>
      </w:r>
      <w:r>
        <w:pict w14:anchorId="0A576DE0">
          <v:shape id="_x0000_s1095" type="#_x0000_t202" style="position:absolute;margin-left:56.7pt;margin-top:6.5pt;width:442.3pt;height:20.7pt;z-index:-251681792;mso-wrap-distance-left:0;mso-wrap-distance-right:0" filled="f" stroked="f">
            <v:textbox inset="0,0,0,0">
              <w:txbxContent>
                <w:p w14:paraId="1C8D6CE2" w14:textId="77777777" w:rsidR="00D8670B" w:rsidRDefault="009B37A9">
                  <w:pPr>
                    <w:spacing w:line="203" w:lineRule="exact"/>
                    <w:jc w:val="both"/>
                    <w:textAlignment w:val="baseline"/>
                    <w:rPr>
                      <w:rFonts w:ascii="Arial" w:eastAsia="Arial" w:hAnsi="Arial"/>
                      <w:color w:val="000000"/>
                      <w:sz w:val="18"/>
                    </w:rPr>
                  </w:pPr>
                  <w:r>
                    <w:rPr>
                      <w:rFonts w:ascii="Arial" w:eastAsia="Arial" w:hAnsi="Arial"/>
                      <w:color w:val="000000"/>
                      <w:sz w:val="18"/>
                    </w:rPr>
                    <w:t>To provide connection between the HHWUE program and irrigation community, and to ensure the program was responsive to community needs when delivering outcomes</w:t>
                  </w:r>
                </w:p>
              </w:txbxContent>
            </v:textbox>
          </v:shape>
        </w:pict>
      </w:r>
      <w:r>
        <w:pict w14:anchorId="571EEEEF">
          <v:shape id="_x0000_s1094" type="#_x0000_t202" style="position:absolute;margin-left:56.7pt;margin-top:39.15pt;width:443.25pt;height:109.45pt;z-index:-251680768;mso-wrap-distance-left:0;mso-wrap-distance-right:0" filled="f" stroked="f">
            <v:textbox inset="0,0,0,0">
              <w:txbxContent>
                <w:p w14:paraId="4D9B69F4" w14:textId="77777777" w:rsidR="00D8670B" w:rsidRDefault="009B37A9">
                  <w:pPr>
                    <w:spacing w:before="1" w:line="207" w:lineRule="exact"/>
                    <w:textAlignment w:val="baseline"/>
                    <w:rPr>
                      <w:rFonts w:ascii="Arial" w:eastAsia="Arial" w:hAnsi="Arial"/>
                      <w:color w:val="000000"/>
                      <w:sz w:val="18"/>
                    </w:rPr>
                  </w:pPr>
                  <w:r>
                    <w:rPr>
                      <w:rFonts w:ascii="Arial" w:eastAsia="Arial" w:hAnsi="Arial"/>
                      <w:color w:val="000000"/>
                      <w:sz w:val="18"/>
                    </w:rPr>
                    <w:t xml:space="preserve">The Queensland Government chaired the committee which included a maximum 19 members and three </w:t>
                  </w:r>
                  <w:r>
                    <w:rPr>
                      <w:rFonts w:ascii="Arial" w:eastAsia="Arial" w:hAnsi="Arial"/>
                      <w:color w:val="000000"/>
                      <w:sz w:val="18"/>
                    </w:rPr>
                    <w:t>representatives from the HHWUE program team. Members were irrigation consultants, technical specialists and agronomists drawn from across the QMDB. The industry advisory committee met at least twice each year, helping develop an annual project plan for the</w:t>
                  </w:r>
                  <w:r>
                    <w:rPr>
                      <w:rFonts w:ascii="Arial" w:eastAsia="Arial" w:hAnsi="Arial"/>
                      <w:color w:val="000000"/>
                      <w:sz w:val="18"/>
                    </w:rPr>
                    <w:t xml:space="preserve"> HHWUE program, monitor progress and identify opportunities for complementary measures projects and program changes.</w:t>
                  </w:r>
                </w:p>
                <w:p w14:paraId="5E3C8DFB" w14:textId="77777777" w:rsidR="00D8670B" w:rsidRDefault="009B37A9">
                  <w:pPr>
                    <w:spacing w:before="122" w:line="206" w:lineRule="exact"/>
                    <w:textAlignment w:val="baseline"/>
                    <w:rPr>
                      <w:rFonts w:ascii="Arial" w:eastAsia="Arial" w:hAnsi="Arial"/>
                      <w:color w:val="000000"/>
                      <w:sz w:val="18"/>
                    </w:rPr>
                  </w:pPr>
                  <w:r>
                    <w:rPr>
                      <w:rFonts w:ascii="Arial" w:eastAsia="Arial" w:hAnsi="Arial"/>
                      <w:color w:val="000000"/>
                      <w:sz w:val="18"/>
                    </w:rPr>
                    <w:t>Coordinating meetings with members spread across the QMDB however was often difficult, and some meetings were held progressively across loc</w:t>
                  </w:r>
                  <w:r>
                    <w:rPr>
                      <w:rFonts w:ascii="Arial" w:eastAsia="Arial" w:hAnsi="Arial"/>
                      <w:color w:val="000000"/>
                      <w:sz w:val="18"/>
                    </w:rPr>
                    <w:t>al centres such as St George, Goondiwindi and Toowoomba. Members attended when available and were not paid sitting fees. The committee was disbanded in 2014, however the Queensland Government continued to implement projects recommended by the committee and</w:t>
                  </w:r>
                  <w:r>
                    <w:rPr>
                      <w:rFonts w:ascii="Arial" w:eastAsia="Arial" w:hAnsi="Arial"/>
                      <w:color w:val="000000"/>
                      <w:sz w:val="18"/>
                    </w:rPr>
                    <w:t xml:space="preserve"> liaise with irrigation community members about program direction.</w:t>
                  </w:r>
                </w:p>
              </w:txbxContent>
            </v:textbox>
          </v:shape>
        </w:pict>
      </w:r>
      <w:r>
        <w:pict w14:anchorId="58C12861">
          <v:shape id="_x0000_s1093" type="#_x0000_t202" style="position:absolute;margin-left:56.95pt;margin-top:160.55pt;width:52.3pt;height:10.3pt;z-index:-251679744;mso-wrap-distance-left:0;mso-wrap-distance-right:0" filled="f" stroked="f">
            <v:textbox inset="0,0,0,0">
              <w:txbxContent>
                <w:p w14:paraId="5F93BDA2" w14:textId="77777777" w:rsidR="00D8670B" w:rsidRDefault="009B37A9">
                  <w:pPr>
                    <w:spacing w:before="2" w:line="190" w:lineRule="exact"/>
                    <w:textAlignment w:val="baseline"/>
                    <w:rPr>
                      <w:rFonts w:ascii="Arial" w:eastAsia="Arial" w:hAnsi="Arial"/>
                      <w:color w:val="000000"/>
                      <w:spacing w:val="-9"/>
                      <w:sz w:val="18"/>
                    </w:rPr>
                  </w:pPr>
                  <w:r>
                    <w:rPr>
                      <w:rFonts w:ascii="Arial" w:eastAsia="Arial" w:hAnsi="Arial"/>
                      <w:color w:val="000000"/>
                      <w:spacing w:val="-9"/>
                      <w:sz w:val="18"/>
                    </w:rPr>
                    <w:t>2012 to 2014</w:t>
                  </w:r>
                </w:p>
              </w:txbxContent>
            </v:textbox>
          </v:shape>
        </w:pict>
      </w:r>
      <w:r>
        <w:pict w14:anchorId="0536FE1D">
          <v:shape id="_x0000_s1092" type="#_x0000_t202" style="position:absolute;margin-left:56.95pt;margin-top:183.15pt;width:423.8pt;height:20.65pt;z-index:-251678720;mso-wrap-distance-left:0;mso-wrap-distance-right:0" filled="f" stroked="f">
            <v:textbox inset="0,0,0,0">
              <w:txbxContent>
                <w:p w14:paraId="1DCF1BBD" w14:textId="77777777" w:rsidR="00D8670B" w:rsidRDefault="009B37A9">
                  <w:pPr>
                    <w:spacing w:line="201" w:lineRule="exact"/>
                    <w:jc w:val="both"/>
                    <w:textAlignment w:val="baseline"/>
                    <w:rPr>
                      <w:rFonts w:ascii="Arial" w:eastAsia="Arial" w:hAnsi="Arial"/>
                      <w:color w:val="000000"/>
                      <w:sz w:val="18"/>
                    </w:rPr>
                  </w:pPr>
                  <w:r>
                    <w:rPr>
                      <w:rFonts w:ascii="Arial" w:eastAsia="Arial" w:hAnsi="Arial"/>
                      <w:color w:val="000000"/>
                      <w:sz w:val="18"/>
                    </w:rPr>
                    <w:t>On recommendations from the committee, the Queensland Government delivered the following events and industry development projects.</w:t>
                  </w:r>
                </w:p>
              </w:txbxContent>
            </v:textbox>
          </v:shape>
        </w:pict>
      </w:r>
      <w:r>
        <w:pict w14:anchorId="29BF4F17">
          <v:line id="_x0000_s1091" style="position:absolute;z-index:251698176;mso-position-horizontal-relative:text;mso-position-vertical-relative:text" from=".3pt,388.3pt" to="513.7pt,388.3pt" strokeweight="1.7pt"/>
        </w:pict>
      </w:r>
    </w:p>
    <w:p w14:paraId="75475380" w14:textId="77777777" w:rsidR="00D8670B" w:rsidRDefault="00D8670B">
      <w:pPr>
        <w:sectPr w:rsidR="00D8670B">
          <w:pgSz w:w="11909" w:h="16838"/>
          <w:pgMar w:top="1120" w:right="814" w:bottom="284" w:left="815" w:header="720" w:footer="720" w:gutter="0"/>
          <w:cols w:space="720"/>
        </w:sectPr>
      </w:pPr>
    </w:p>
    <w:p w14:paraId="4C5B58D9" w14:textId="77777777" w:rsidR="00D8670B" w:rsidRDefault="009B37A9">
      <w:pPr>
        <w:spacing w:before="1" w:line="227" w:lineRule="exact"/>
        <w:jc w:val="center"/>
        <w:textAlignment w:val="baseline"/>
        <w:rPr>
          <w:rFonts w:ascii="Arial" w:eastAsia="Arial" w:hAnsi="Arial"/>
          <w:color w:val="000000"/>
          <w:spacing w:val="26"/>
          <w:sz w:val="20"/>
        </w:rPr>
      </w:pPr>
      <w:r>
        <w:rPr>
          <w:rFonts w:ascii="Arial" w:eastAsia="Arial" w:hAnsi="Arial"/>
          <w:color w:val="000000"/>
          <w:spacing w:val="26"/>
          <w:sz w:val="20"/>
        </w:rPr>
        <w:t>24</w:t>
      </w:r>
    </w:p>
    <w:p w14:paraId="676C66B4" w14:textId="77777777" w:rsidR="00D8670B" w:rsidRDefault="00D8670B">
      <w:pPr>
        <w:sectPr w:rsidR="00D8670B">
          <w:type w:val="continuous"/>
          <w:pgSz w:w="11909" w:h="16838"/>
          <w:pgMar w:top="1120" w:right="821" w:bottom="284" w:left="821" w:header="720" w:footer="720" w:gutter="0"/>
          <w:cols w:space="720"/>
        </w:sectPr>
      </w:pPr>
    </w:p>
    <w:p w14:paraId="44ACFA7B" w14:textId="77777777" w:rsidR="00D8670B" w:rsidRDefault="009B37A9">
      <w:pPr>
        <w:spacing w:before="21" w:line="313" w:lineRule="exact"/>
        <w:textAlignment w:val="baseline"/>
        <w:rPr>
          <w:rFonts w:ascii="Arial" w:eastAsia="Arial" w:hAnsi="Arial"/>
          <w:b/>
          <w:color w:val="346C36"/>
          <w:sz w:val="28"/>
        </w:rPr>
      </w:pPr>
      <w:r>
        <w:lastRenderedPageBreak/>
        <w:pict w14:anchorId="2B49F3CF">
          <v:shape id="_x0000_s1090" type="#_x0000_t202" style="position:absolute;margin-left:41.05pt;margin-top:73.15pt;width:46.8pt;height:443.25pt;z-index:-251677696;mso-wrap-distance-left:0;mso-wrap-distance-right:0;mso-wrap-distance-bottom:12.35pt;mso-position-horizontal-relative:page;mso-position-vertical-relative:page" fillcolor="#dddde0" stroked="f">
            <v:textbox inset="0,0,0,0">
              <w:txbxContent>
                <w:p w14:paraId="0598F82C" w14:textId="77777777" w:rsidR="00D8670B" w:rsidRDefault="009B37A9">
                  <w:pPr>
                    <w:spacing w:before="176" w:line="205" w:lineRule="exact"/>
                    <w:ind w:left="72"/>
                    <w:textAlignment w:val="baseline"/>
                    <w:rPr>
                      <w:rFonts w:ascii="Arial" w:eastAsia="Arial" w:hAnsi="Arial"/>
                      <w:b/>
                      <w:color w:val="45444B"/>
                      <w:spacing w:val="29"/>
                      <w:sz w:val="18"/>
                    </w:rPr>
                  </w:pPr>
                  <w:r>
                    <w:rPr>
                      <w:rFonts w:ascii="Arial" w:eastAsia="Arial" w:hAnsi="Arial"/>
                      <w:b/>
                      <w:color w:val="45444B"/>
                      <w:spacing w:val="29"/>
                      <w:sz w:val="18"/>
                    </w:rPr>
                    <w:t>Aim</w:t>
                  </w:r>
                </w:p>
                <w:p w14:paraId="58756508" w14:textId="77777777" w:rsidR="00D8670B" w:rsidRDefault="009B37A9">
                  <w:pPr>
                    <w:spacing w:before="448" w:line="205" w:lineRule="exact"/>
                    <w:ind w:left="72"/>
                    <w:textAlignment w:val="baseline"/>
                    <w:rPr>
                      <w:rFonts w:ascii="Arial" w:eastAsia="Arial" w:hAnsi="Arial"/>
                      <w:b/>
                      <w:color w:val="45444B"/>
                      <w:spacing w:val="15"/>
                      <w:sz w:val="18"/>
                    </w:rPr>
                  </w:pPr>
                  <w:r>
                    <w:rPr>
                      <w:rFonts w:ascii="Arial" w:eastAsia="Arial" w:hAnsi="Arial"/>
                      <w:b/>
                      <w:color w:val="45444B"/>
                      <w:spacing w:val="15"/>
                      <w:sz w:val="18"/>
                    </w:rPr>
                    <w:t>Project</w:t>
                  </w:r>
                </w:p>
                <w:p w14:paraId="2AB1D4D3" w14:textId="77777777" w:rsidR="00D8670B" w:rsidRDefault="009B37A9">
                  <w:pPr>
                    <w:spacing w:before="6119" w:after="786" w:line="447" w:lineRule="exact"/>
                    <w:ind w:left="72"/>
                    <w:textAlignment w:val="baseline"/>
                    <w:rPr>
                      <w:rFonts w:ascii="Arial" w:eastAsia="Arial" w:hAnsi="Arial"/>
                      <w:b/>
                      <w:color w:val="45444B"/>
                      <w:sz w:val="18"/>
                    </w:rPr>
                  </w:pPr>
                  <w:r>
                    <w:rPr>
                      <w:rFonts w:ascii="Arial" w:eastAsia="Arial" w:hAnsi="Arial"/>
                      <w:b/>
                      <w:color w:val="45444B"/>
                      <w:sz w:val="18"/>
                    </w:rPr>
                    <w:t>Timing Outputs</w:t>
                  </w:r>
                </w:p>
              </w:txbxContent>
            </v:textbox>
            <w10:wrap type="square" anchorx="page" anchory="page"/>
          </v:shape>
        </w:pict>
      </w:r>
      <w:r>
        <w:rPr>
          <w:rFonts w:ascii="Arial" w:eastAsia="Arial" w:hAnsi="Arial"/>
          <w:b/>
          <w:color w:val="346C36"/>
          <w:sz w:val="28"/>
        </w:rPr>
        <w:t>2.2.6 Industry development</w:t>
      </w:r>
    </w:p>
    <w:p w14:paraId="3B121A86" w14:textId="77777777" w:rsidR="00D8670B" w:rsidRDefault="009B37A9">
      <w:pPr>
        <w:spacing w:before="2" w:line="320" w:lineRule="exact"/>
        <w:textAlignment w:val="baseline"/>
        <w:rPr>
          <w:rFonts w:ascii="Arial" w:eastAsia="Arial" w:hAnsi="Arial"/>
          <w:b/>
          <w:color w:val="2C7176"/>
          <w:spacing w:val="3"/>
          <w:sz w:val="28"/>
        </w:rPr>
      </w:pPr>
      <w:r>
        <w:pict w14:anchorId="4F1B067E">
          <v:shape id="_x0000_s1089" type="#_x0000_t202" style="position:absolute;margin-left:87.85pt;margin-top:73.15pt;width:466.55pt;height:442.35pt;z-index:-251676672;mso-wrap-distance-left:0;mso-wrap-distance-right:0;mso-wrap-distance-bottom:12.35pt;mso-position-horizontal-relative:page;mso-position-vertical-relative:page" fillcolor="#eeeef0" stroked="f">
            <v:textbox inset="0,0,0,0">
              <w:txbxContent>
                <w:p w14:paraId="0DB0F12B" w14:textId="77777777" w:rsidR="00000000" w:rsidRDefault="009B37A9"/>
              </w:txbxContent>
            </v:textbox>
            <w10:wrap type="square" anchorx="page" anchory="page"/>
          </v:shape>
        </w:pict>
      </w:r>
      <w:r>
        <w:pict w14:anchorId="5AD4F5C0">
          <v:shape id="_x0000_s1088" type="#_x0000_t202" style="position:absolute;margin-left:87.85pt;margin-top:73.15pt;width:466.55pt;height:391pt;z-index:-251675648;mso-wrap-distance-left:0;mso-wrap-distance-right:0;mso-position-horizontal-relative:page;mso-position-vertical-relative:page" filled="f" stroked="f">
            <v:textbox inset="0,0,0,0">
              <w:txbxContent>
                <w:p w14:paraId="77AB4548" w14:textId="77777777" w:rsidR="00D8670B" w:rsidRDefault="009B37A9">
                  <w:pPr>
                    <w:spacing w:before="179" w:line="206" w:lineRule="exact"/>
                    <w:ind w:left="72" w:right="360"/>
                    <w:jc w:val="both"/>
                    <w:textAlignment w:val="baseline"/>
                    <w:rPr>
                      <w:rFonts w:ascii="Arial" w:eastAsia="Arial" w:hAnsi="Arial"/>
                      <w:color w:val="000000"/>
                      <w:sz w:val="18"/>
                    </w:rPr>
                  </w:pPr>
                  <w:r>
                    <w:rPr>
                      <w:rFonts w:ascii="Arial" w:eastAsia="Arial" w:hAnsi="Arial"/>
                      <w:color w:val="000000"/>
                      <w:sz w:val="18"/>
                    </w:rPr>
                    <w:t>To increase industry knowledge of water use efficiency technologies and develop decision making tools to help irrigators upgrade to efficient systems</w:t>
                  </w:r>
                </w:p>
                <w:p w14:paraId="008DDA50" w14:textId="77777777" w:rsidR="00D8670B" w:rsidRDefault="009B37A9">
                  <w:pPr>
                    <w:spacing w:before="241" w:line="206" w:lineRule="exact"/>
                    <w:ind w:left="72" w:right="648"/>
                    <w:textAlignment w:val="baseline"/>
                    <w:rPr>
                      <w:rFonts w:ascii="Arial" w:eastAsia="Arial" w:hAnsi="Arial"/>
                      <w:color w:val="000000"/>
                      <w:sz w:val="18"/>
                    </w:rPr>
                  </w:pPr>
                  <w:r>
                    <w:rPr>
                      <w:rFonts w:ascii="Arial" w:eastAsia="Arial" w:hAnsi="Arial"/>
                      <w:color w:val="000000"/>
                      <w:sz w:val="18"/>
                    </w:rPr>
                    <w:t>In response to recommendations from the industry advisory committee and other research, the Queensland Gov</w:t>
                  </w:r>
                  <w:r>
                    <w:rPr>
                      <w:rFonts w:ascii="Arial" w:eastAsia="Arial" w:hAnsi="Arial"/>
                      <w:color w:val="000000"/>
                      <w:sz w:val="18"/>
                    </w:rPr>
                    <w:t>ernment engaged contractors to deliver the following industry development projects:</w:t>
                  </w:r>
                </w:p>
                <w:p w14:paraId="5CFCEBFA" w14:textId="77777777" w:rsidR="00D8670B" w:rsidRDefault="009B37A9">
                  <w:pPr>
                    <w:numPr>
                      <w:ilvl w:val="0"/>
                      <w:numId w:val="4"/>
                    </w:numPr>
                    <w:tabs>
                      <w:tab w:val="clear" w:pos="288"/>
                      <w:tab w:val="left" w:pos="792"/>
                    </w:tabs>
                    <w:spacing w:before="142" w:line="206" w:lineRule="exact"/>
                    <w:ind w:left="792" w:right="216" w:hanging="288"/>
                    <w:textAlignment w:val="baseline"/>
                    <w:rPr>
                      <w:rFonts w:ascii="Arial" w:eastAsia="Arial" w:hAnsi="Arial"/>
                      <w:color w:val="000000"/>
                      <w:sz w:val="18"/>
                    </w:rPr>
                  </w:pPr>
                  <w:r>
                    <w:rPr>
                      <w:rFonts w:ascii="Arial" w:eastAsia="Arial" w:hAnsi="Arial"/>
                      <w:color w:val="000000"/>
                      <w:sz w:val="18"/>
                    </w:rPr>
                    <w:t>System capacity tool: This web-based interactive calculator helps irrigators and consultants estimate the system capacity required for their centre pivot and lateral move m</w:t>
                  </w:r>
                  <w:r>
                    <w:rPr>
                      <w:rFonts w:ascii="Arial" w:eastAsia="Arial" w:hAnsi="Arial"/>
                      <w:color w:val="000000"/>
                      <w:sz w:val="18"/>
                    </w:rPr>
                    <w:t>achines based on operating hours, efficiency, hectares and geographic location. Capacity was identified as a key deciding factor in system choice and design. The HHWUE program provided some of the funding for the National Centre for Engineering in Agricult</w:t>
                  </w:r>
                  <w:r>
                    <w:rPr>
                      <w:rFonts w:ascii="Arial" w:eastAsia="Arial" w:hAnsi="Arial"/>
                      <w:color w:val="000000"/>
                      <w:sz w:val="18"/>
                    </w:rPr>
                    <w:t>ure (NCEA) to develop the tool and make it publicly available on the Knowledge Management System for Irrigation (KMSI) website</w:t>
                  </w:r>
                </w:p>
                <w:p w14:paraId="6DF5C982" w14:textId="77777777" w:rsidR="00D8670B" w:rsidRDefault="009B37A9">
                  <w:pPr>
                    <w:numPr>
                      <w:ilvl w:val="0"/>
                      <w:numId w:val="4"/>
                    </w:numPr>
                    <w:tabs>
                      <w:tab w:val="clear" w:pos="288"/>
                      <w:tab w:val="left" w:pos="792"/>
                    </w:tabs>
                    <w:spacing w:before="136" w:line="206" w:lineRule="exact"/>
                    <w:ind w:left="792" w:right="216" w:hanging="288"/>
                    <w:textAlignment w:val="baseline"/>
                    <w:rPr>
                      <w:rFonts w:ascii="Arial" w:eastAsia="Arial" w:hAnsi="Arial"/>
                      <w:color w:val="000000"/>
                      <w:sz w:val="18"/>
                    </w:rPr>
                  </w:pPr>
                  <w:r>
                    <w:rPr>
                      <w:rFonts w:ascii="Arial" w:eastAsia="Arial" w:hAnsi="Arial"/>
                      <w:color w:val="000000"/>
                      <w:sz w:val="18"/>
                    </w:rPr>
                    <w:t>Access to KMSI tools: The National Centre for Engineering in Agriculture (NCEA) had previously developed 13 online tools to help irrigators measure irrigation efficiency, model scenarios and make informed decisions. Some of these tools were free to the pub</w:t>
                  </w:r>
                  <w:r>
                    <w:rPr>
                      <w:rFonts w:ascii="Arial" w:eastAsia="Arial" w:hAnsi="Arial"/>
                      <w:color w:val="000000"/>
                      <w:sz w:val="18"/>
                    </w:rPr>
                    <w:t>lic while others, typically those that stored the data, required paid access. The HHWUE program funded up to eight users to access the paid tools, including training and ongoing support from NCEA from 2013 to 2014</w:t>
                  </w:r>
                </w:p>
                <w:p w14:paraId="094076EB" w14:textId="77777777" w:rsidR="00D8670B" w:rsidRDefault="009B37A9">
                  <w:pPr>
                    <w:numPr>
                      <w:ilvl w:val="0"/>
                      <w:numId w:val="4"/>
                    </w:numPr>
                    <w:tabs>
                      <w:tab w:val="clear" w:pos="288"/>
                      <w:tab w:val="left" w:pos="792"/>
                    </w:tabs>
                    <w:spacing w:before="137" w:line="206" w:lineRule="exact"/>
                    <w:ind w:left="792" w:right="216" w:hanging="288"/>
                    <w:textAlignment w:val="baseline"/>
                    <w:rPr>
                      <w:rFonts w:ascii="Arial" w:eastAsia="Arial" w:hAnsi="Arial"/>
                      <w:color w:val="000000"/>
                      <w:sz w:val="18"/>
                    </w:rPr>
                  </w:pPr>
                  <w:r>
                    <w:rPr>
                      <w:rFonts w:ascii="Arial" w:eastAsia="Arial" w:hAnsi="Arial"/>
                      <w:color w:val="000000"/>
                      <w:sz w:val="18"/>
                    </w:rPr>
                    <w:t>Irrigation monitoring network project: Thi</w:t>
                  </w:r>
                  <w:r>
                    <w:rPr>
                      <w:rFonts w:ascii="Arial" w:eastAsia="Arial" w:hAnsi="Arial"/>
                      <w:color w:val="000000"/>
                      <w:sz w:val="18"/>
                    </w:rPr>
                    <w:t>s project tested and demonstrated automatic sensors as a monitoring technology for head ditches. The Queensland Government engaged WaterBiz to install eight water level sensors on two Lower Balonne properties which had completed HHWUE projects. WaterBiz ca</w:t>
                  </w:r>
                  <w:r>
                    <w:rPr>
                      <w:rFonts w:ascii="Arial" w:eastAsia="Arial" w:hAnsi="Arial"/>
                      <w:color w:val="000000"/>
                      <w:sz w:val="18"/>
                    </w:rPr>
                    <w:t>librated the sensors and provided irrigators access to the supplier website to view monitoring information online. Irrigators used the sensors over the 2013</w:t>
                  </w:r>
                  <w:r>
                    <w:rPr>
                      <w:rFonts w:ascii="Arial" w:eastAsia="Arial" w:hAnsi="Arial"/>
                      <w:b/>
                      <w:color w:val="000000"/>
                      <w:sz w:val="18"/>
                    </w:rPr>
                    <w:t>–</w:t>
                  </w:r>
                  <w:r>
                    <w:rPr>
                      <w:rFonts w:ascii="Arial" w:eastAsia="Arial" w:hAnsi="Arial"/>
                      <w:color w:val="000000"/>
                      <w:sz w:val="18"/>
                    </w:rPr>
                    <w:t xml:space="preserve">14 season and experiences were captured in a case study. Irrigators reported the sensors gave them </w:t>
                  </w:r>
                  <w:r>
                    <w:rPr>
                      <w:rFonts w:ascii="Arial" w:eastAsia="Arial" w:hAnsi="Arial"/>
                      <w:color w:val="000000"/>
                      <w:sz w:val="18"/>
                    </w:rPr>
                    <w:t>greater water delivery precision, avoided issues such as breached banks and reduced time required to monitor flow</w:t>
                  </w:r>
                </w:p>
                <w:p w14:paraId="091EBE10" w14:textId="77777777" w:rsidR="00D8670B" w:rsidRDefault="009B37A9">
                  <w:pPr>
                    <w:numPr>
                      <w:ilvl w:val="0"/>
                      <w:numId w:val="4"/>
                    </w:numPr>
                    <w:tabs>
                      <w:tab w:val="clear" w:pos="288"/>
                      <w:tab w:val="left" w:pos="792"/>
                    </w:tabs>
                    <w:spacing w:before="143" w:line="206" w:lineRule="exact"/>
                    <w:ind w:left="792" w:right="216" w:hanging="288"/>
                    <w:textAlignment w:val="baseline"/>
                    <w:rPr>
                      <w:rFonts w:ascii="Arial" w:eastAsia="Arial" w:hAnsi="Arial"/>
                      <w:color w:val="000000"/>
                      <w:sz w:val="18"/>
                    </w:rPr>
                  </w:pPr>
                  <w:r>
                    <w:rPr>
                      <w:rFonts w:ascii="Arial" w:eastAsia="Arial" w:hAnsi="Arial"/>
                      <w:color w:val="000000"/>
                      <w:sz w:val="18"/>
                    </w:rPr>
                    <w:t>Greenacre case study: Until round five, projects which developed unirrigated area were not eligible for HHWUE program funding. As irrigator de</w:t>
                  </w:r>
                  <w:r>
                    <w:rPr>
                      <w:rFonts w:ascii="Arial" w:eastAsia="Arial" w:hAnsi="Arial"/>
                      <w:color w:val="000000"/>
                      <w:sz w:val="18"/>
                    </w:rPr>
                    <w:t>mand for these types of projects increased, the Queensland Government commissioned a study into the impact of developments to determine the benefits of funding such projects. In 2013, the Queensland Government engaged WaterBiz to model three development sc</w:t>
                  </w:r>
                  <w:r>
                    <w:rPr>
                      <w:rFonts w:ascii="Arial" w:eastAsia="Arial" w:hAnsi="Arial"/>
                      <w:color w:val="000000"/>
                      <w:sz w:val="18"/>
                    </w:rPr>
                    <w:t>enarios, analyse the results and report on the likely impacts. The report concluded development could be beneficial for the enterprise while maintaining a similar water consumption particularly if used for reconfiguration or rotational cropping. This study</w:t>
                  </w:r>
                  <w:r>
                    <w:rPr>
                      <w:rFonts w:ascii="Arial" w:eastAsia="Arial" w:hAnsi="Arial"/>
                      <w:color w:val="000000"/>
                      <w:sz w:val="18"/>
                    </w:rPr>
                    <w:t xml:space="preserve"> influenced the change in HHWUE eligibility to allow certain types of unirrigated area development.</w:t>
                  </w:r>
                </w:p>
                <w:p w14:paraId="7B6E1120" w14:textId="77777777" w:rsidR="00D8670B" w:rsidRDefault="009B37A9">
                  <w:pPr>
                    <w:spacing w:before="240" w:after="206" w:line="206" w:lineRule="exact"/>
                    <w:ind w:left="72"/>
                    <w:textAlignment w:val="baseline"/>
                    <w:rPr>
                      <w:rFonts w:ascii="Arial" w:eastAsia="Arial" w:hAnsi="Arial"/>
                      <w:color w:val="000000"/>
                      <w:sz w:val="18"/>
                    </w:rPr>
                  </w:pPr>
                  <w:r>
                    <w:rPr>
                      <w:rFonts w:ascii="Arial" w:eastAsia="Arial" w:hAnsi="Arial"/>
                      <w:color w:val="000000"/>
                      <w:sz w:val="18"/>
                    </w:rPr>
                    <w:t>2013 to 2014</w:t>
                  </w:r>
                </w:p>
              </w:txbxContent>
            </v:textbox>
            <w10:wrap type="square" anchorx="page" anchory="page"/>
          </v:shape>
        </w:pict>
      </w:r>
      <w:r>
        <w:pict w14:anchorId="36E4A8C2">
          <v:shape id="_x0000_s1087" type="#_x0000_t202" style="position:absolute;margin-left:95.75pt;margin-top:464.15pt;width:449.3pt;height:46.1pt;z-index:-251674624;mso-wrap-distance-left:7.9pt;mso-wrap-distance-right:9.35pt;mso-position-horizontal-relative:page;mso-position-vertical-relative:page" stroked="f">
            <v:textbox inset="0,0,0,0">
              <w:txbxContent>
                <w:p w14:paraId="6C9E92B6" w14:textId="77777777" w:rsidR="00D8670B" w:rsidRDefault="009B37A9">
                  <w:pPr>
                    <w:textAlignment w:val="baseline"/>
                  </w:pPr>
                  <w:r>
                    <w:rPr>
                      <w:noProof/>
                    </w:rPr>
                    <w:drawing>
                      <wp:inline distT="0" distB="0" distL="0" distR="0" wp14:anchorId="45DEFDC5" wp14:editId="16BA3B12">
                        <wp:extent cx="5706110" cy="58547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33"/>
                                <a:stretch>
                                  <a:fillRect/>
                                </a:stretch>
                              </pic:blipFill>
                              <pic:spPr>
                                <a:xfrm>
                                  <a:off x="0" y="0"/>
                                  <a:ext cx="5706110" cy="585470"/>
                                </a:xfrm>
                                <a:prstGeom prst="rect">
                                  <a:avLst/>
                                </a:prstGeom>
                              </pic:spPr>
                            </pic:pic>
                          </a:graphicData>
                        </a:graphic>
                      </wp:inline>
                    </w:drawing>
                  </w:r>
                </w:p>
              </w:txbxContent>
            </v:textbox>
            <w10:wrap type="square" anchorx="page" anchory="page"/>
          </v:shape>
        </w:pict>
      </w:r>
      <w:r>
        <w:rPr>
          <w:rFonts w:ascii="Arial" w:eastAsia="Arial" w:hAnsi="Arial"/>
          <w:b/>
          <w:color w:val="2C7176"/>
          <w:spacing w:val="3"/>
          <w:sz w:val="28"/>
        </w:rPr>
        <w:t>2.3 Promotional activities</w:t>
      </w:r>
    </w:p>
    <w:p w14:paraId="4090585A" w14:textId="77777777" w:rsidR="00D8670B" w:rsidRDefault="009B37A9">
      <w:pPr>
        <w:spacing w:before="120" w:line="229" w:lineRule="exact"/>
        <w:ind w:right="72"/>
        <w:textAlignment w:val="baseline"/>
        <w:rPr>
          <w:rFonts w:ascii="Arial" w:eastAsia="Arial" w:hAnsi="Arial"/>
          <w:color w:val="000000"/>
          <w:sz w:val="20"/>
        </w:rPr>
      </w:pPr>
      <w:r>
        <w:rPr>
          <w:rFonts w:ascii="Arial" w:eastAsia="Arial" w:hAnsi="Arial"/>
          <w:color w:val="000000"/>
          <w:sz w:val="20"/>
        </w:rPr>
        <w:t>Phase 2 included a tiered communication strategy to maximise participation from eligible irrigators. The strate</w:t>
      </w:r>
      <w:r>
        <w:rPr>
          <w:rFonts w:ascii="Arial" w:eastAsia="Arial" w:hAnsi="Arial"/>
          <w:color w:val="000000"/>
          <w:sz w:val="20"/>
        </w:rPr>
        <w:t>gy emphasised promoting the program to key irrigator groups through local activities such as small field days, one-on-one contact, direct mail and email. Wider groups were captured through a few general activities such as advertising, online content and at</w:t>
      </w:r>
      <w:r>
        <w:rPr>
          <w:rFonts w:ascii="Arial" w:eastAsia="Arial" w:hAnsi="Arial"/>
          <w:color w:val="000000"/>
          <w:sz w:val="20"/>
        </w:rPr>
        <w:t>tendance at conferences or trade shows.</w:t>
      </w:r>
    </w:p>
    <w:p w14:paraId="7C9A4E15" w14:textId="77777777" w:rsidR="00D8670B" w:rsidRDefault="009B37A9">
      <w:pPr>
        <w:spacing w:before="121" w:line="230" w:lineRule="exact"/>
        <w:ind w:right="72"/>
        <w:textAlignment w:val="baseline"/>
        <w:rPr>
          <w:rFonts w:ascii="Arial" w:eastAsia="Arial" w:hAnsi="Arial"/>
          <w:color w:val="000000"/>
          <w:sz w:val="20"/>
        </w:rPr>
      </w:pPr>
      <w:r>
        <w:rPr>
          <w:rFonts w:ascii="Arial" w:eastAsia="Arial" w:hAnsi="Arial"/>
          <w:color w:val="000000"/>
          <w:sz w:val="20"/>
        </w:rPr>
        <w:t>The strategy was regularly updated to reflect the stages of the program life. Early promotional activities focused on raising awareness of the project. As irrigators became more familiar with the program, activities focussed on encouraging participation, s</w:t>
      </w:r>
      <w:r>
        <w:rPr>
          <w:rFonts w:ascii="Arial" w:eastAsia="Arial" w:hAnsi="Arial"/>
          <w:color w:val="000000"/>
          <w:sz w:val="20"/>
        </w:rPr>
        <w:t>howcasing successful projects and announcing format changes.</w:t>
      </w:r>
    </w:p>
    <w:p w14:paraId="46B27038" w14:textId="77777777" w:rsidR="00D8670B" w:rsidRDefault="009B37A9">
      <w:pPr>
        <w:spacing w:before="119" w:line="231" w:lineRule="exact"/>
        <w:ind w:right="576"/>
        <w:textAlignment w:val="baseline"/>
        <w:rPr>
          <w:rFonts w:ascii="Arial" w:eastAsia="Arial" w:hAnsi="Arial"/>
          <w:color w:val="000000"/>
          <w:sz w:val="20"/>
        </w:rPr>
      </w:pPr>
      <w:r>
        <w:rPr>
          <w:rFonts w:ascii="Arial" w:eastAsia="Arial" w:hAnsi="Arial"/>
          <w:color w:val="000000"/>
          <w:sz w:val="20"/>
        </w:rPr>
        <w:t>In addition to engagement events, the HHWUE program was promoted through 153 activities during Phase 2, including:</w:t>
      </w:r>
    </w:p>
    <w:p w14:paraId="4687E019" w14:textId="77777777" w:rsidR="00D8670B" w:rsidRDefault="009B37A9">
      <w:pPr>
        <w:numPr>
          <w:ilvl w:val="0"/>
          <w:numId w:val="5"/>
        </w:numPr>
        <w:tabs>
          <w:tab w:val="clear" w:pos="432"/>
          <w:tab w:val="left" w:pos="792"/>
        </w:tabs>
        <w:spacing w:before="111" w:line="250" w:lineRule="exact"/>
        <w:ind w:left="792" w:hanging="432"/>
        <w:textAlignment w:val="baseline"/>
        <w:rPr>
          <w:rFonts w:ascii="Arial" w:eastAsia="Arial" w:hAnsi="Arial"/>
          <w:color w:val="000000"/>
          <w:spacing w:val="-1"/>
          <w:sz w:val="20"/>
        </w:rPr>
      </w:pPr>
      <w:r>
        <w:rPr>
          <w:rFonts w:ascii="Arial" w:eastAsia="Arial" w:hAnsi="Arial"/>
          <w:color w:val="000000"/>
          <w:spacing w:val="-1"/>
          <w:sz w:val="20"/>
        </w:rPr>
        <w:t xml:space="preserve">38 updates to a mailing list </w:t>
      </w:r>
      <w:r>
        <w:rPr>
          <w:rFonts w:ascii="Arial" w:eastAsia="Arial" w:hAnsi="Arial"/>
          <w:b/>
          <w:color w:val="000000"/>
          <w:spacing w:val="-1"/>
          <w:sz w:val="19"/>
        </w:rPr>
        <w:t xml:space="preserve">of approximately 200 stakeholders through the program’s </w:t>
      </w:r>
      <w:r>
        <w:rPr>
          <w:rFonts w:ascii="Arial" w:eastAsia="Arial" w:hAnsi="Arial"/>
          <w:i/>
          <w:color w:val="000000"/>
          <w:spacing w:val="-1"/>
          <w:sz w:val="20"/>
        </w:rPr>
        <w:t xml:space="preserve">Hughie </w:t>
      </w:r>
      <w:r>
        <w:rPr>
          <w:rFonts w:ascii="Arial" w:eastAsia="Arial" w:hAnsi="Arial"/>
          <w:color w:val="000000"/>
          <w:spacing w:val="-1"/>
          <w:sz w:val="20"/>
        </w:rPr>
        <w:t>update</w:t>
      </w:r>
    </w:p>
    <w:p w14:paraId="65ACEB0F" w14:textId="77777777" w:rsidR="00D8670B" w:rsidRDefault="009B37A9">
      <w:pPr>
        <w:numPr>
          <w:ilvl w:val="0"/>
          <w:numId w:val="5"/>
        </w:numPr>
        <w:tabs>
          <w:tab w:val="clear" w:pos="432"/>
          <w:tab w:val="left" w:pos="792"/>
        </w:tabs>
        <w:spacing w:before="132" w:line="231" w:lineRule="exact"/>
        <w:ind w:left="792" w:right="432" w:hanging="432"/>
        <w:textAlignment w:val="baseline"/>
        <w:rPr>
          <w:rFonts w:ascii="Arial" w:eastAsia="Arial" w:hAnsi="Arial"/>
          <w:color w:val="000000"/>
          <w:sz w:val="20"/>
        </w:rPr>
      </w:pPr>
      <w:r>
        <w:rPr>
          <w:rFonts w:ascii="Arial" w:eastAsia="Arial" w:hAnsi="Arial"/>
          <w:color w:val="000000"/>
          <w:sz w:val="20"/>
        </w:rPr>
        <w:t xml:space="preserve">42 articles in industry newsletters, magazines and journals resulting from direct submissions or </w:t>
      </w:r>
      <w:r>
        <w:rPr>
          <w:rFonts w:ascii="Arial" w:eastAsia="Arial" w:hAnsi="Arial"/>
          <w:i/>
          <w:color w:val="000000"/>
          <w:sz w:val="20"/>
        </w:rPr>
        <w:t xml:space="preserve">Hughie </w:t>
      </w:r>
      <w:r>
        <w:rPr>
          <w:rFonts w:ascii="Arial" w:eastAsia="Arial" w:hAnsi="Arial"/>
          <w:color w:val="000000"/>
          <w:sz w:val="20"/>
        </w:rPr>
        <w:t>updates</w:t>
      </w:r>
    </w:p>
    <w:p w14:paraId="35C27F55" w14:textId="77777777" w:rsidR="00D8670B" w:rsidRDefault="009B37A9">
      <w:pPr>
        <w:numPr>
          <w:ilvl w:val="0"/>
          <w:numId w:val="5"/>
        </w:numPr>
        <w:tabs>
          <w:tab w:val="clear" w:pos="432"/>
          <w:tab w:val="left" w:pos="792"/>
        </w:tabs>
        <w:spacing w:before="111" w:line="250" w:lineRule="exact"/>
        <w:ind w:left="792" w:hanging="432"/>
        <w:textAlignment w:val="baseline"/>
        <w:rPr>
          <w:rFonts w:ascii="Arial" w:eastAsia="Arial" w:hAnsi="Arial"/>
          <w:color w:val="000000"/>
          <w:sz w:val="20"/>
        </w:rPr>
      </w:pPr>
      <w:r>
        <w:rPr>
          <w:rFonts w:ascii="Arial" w:eastAsia="Arial" w:hAnsi="Arial"/>
          <w:color w:val="000000"/>
          <w:sz w:val="20"/>
        </w:rPr>
        <w:t xml:space="preserve">33 newspaper articles resulting from media releases, </w:t>
      </w:r>
      <w:r>
        <w:rPr>
          <w:rFonts w:ascii="Arial" w:eastAsia="Arial" w:hAnsi="Arial"/>
          <w:i/>
          <w:color w:val="000000"/>
          <w:sz w:val="20"/>
        </w:rPr>
        <w:t xml:space="preserve">Hughie </w:t>
      </w:r>
      <w:r>
        <w:rPr>
          <w:rFonts w:ascii="Arial" w:eastAsia="Arial" w:hAnsi="Arial"/>
          <w:color w:val="000000"/>
          <w:sz w:val="20"/>
        </w:rPr>
        <w:t>updates or irr</w:t>
      </w:r>
      <w:r>
        <w:rPr>
          <w:rFonts w:ascii="Arial" w:eastAsia="Arial" w:hAnsi="Arial"/>
          <w:color w:val="000000"/>
          <w:sz w:val="20"/>
        </w:rPr>
        <w:t>igator promotion</w:t>
      </w:r>
    </w:p>
    <w:p w14:paraId="019BB467" w14:textId="77777777" w:rsidR="00D8670B" w:rsidRDefault="009B37A9">
      <w:pPr>
        <w:numPr>
          <w:ilvl w:val="0"/>
          <w:numId w:val="5"/>
        </w:numPr>
        <w:tabs>
          <w:tab w:val="clear" w:pos="432"/>
          <w:tab w:val="left" w:pos="792"/>
        </w:tabs>
        <w:spacing w:before="115" w:line="249" w:lineRule="exact"/>
        <w:ind w:left="792" w:hanging="432"/>
        <w:textAlignment w:val="baseline"/>
        <w:rPr>
          <w:rFonts w:ascii="Arial" w:eastAsia="Arial" w:hAnsi="Arial"/>
          <w:color w:val="000000"/>
          <w:spacing w:val="-1"/>
          <w:sz w:val="20"/>
        </w:rPr>
      </w:pPr>
      <w:r>
        <w:rPr>
          <w:rFonts w:ascii="Arial" w:eastAsia="Arial" w:hAnsi="Arial"/>
          <w:color w:val="000000"/>
          <w:spacing w:val="-1"/>
          <w:sz w:val="20"/>
        </w:rPr>
        <w:t>15 public notices in local newspapers</w:t>
      </w:r>
    </w:p>
    <w:p w14:paraId="4D6482B2" w14:textId="77777777" w:rsidR="00D8670B" w:rsidRDefault="009B37A9">
      <w:pPr>
        <w:numPr>
          <w:ilvl w:val="0"/>
          <w:numId w:val="5"/>
        </w:numPr>
        <w:tabs>
          <w:tab w:val="clear" w:pos="432"/>
          <w:tab w:val="left" w:pos="792"/>
        </w:tabs>
        <w:spacing w:before="115" w:after="402" w:line="249" w:lineRule="exact"/>
        <w:ind w:left="792" w:hanging="432"/>
        <w:textAlignment w:val="baseline"/>
        <w:rPr>
          <w:rFonts w:ascii="Arial" w:eastAsia="Arial" w:hAnsi="Arial"/>
          <w:color w:val="000000"/>
          <w:spacing w:val="-2"/>
          <w:sz w:val="20"/>
        </w:rPr>
      </w:pPr>
      <w:r>
        <w:rPr>
          <w:rFonts w:ascii="Arial" w:eastAsia="Arial" w:hAnsi="Arial"/>
          <w:color w:val="000000"/>
          <w:spacing w:val="-2"/>
          <w:sz w:val="20"/>
        </w:rPr>
        <w:t>7 media releases</w:t>
      </w:r>
    </w:p>
    <w:p w14:paraId="23F6D81C" w14:textId="77777777" w:rsidR="00D8670B" w:rsidRDefault="009B37A9">
      <w:pPr>
        <w:spacing w:before="165" w:line="227" w:lineRule="exact"/>
        <w:jc w:val="center"/>
        <w:textAlignment w:val="baseline"/>
        <w:rPr>
          <w:rFonts w:ascii="Arial" w:eastAsia="Arial" w:hAnsi="Arial"/>
          <w:color w:val="000000"/>
          <w:spacing w:val="40"/>
          <w:sz w:val="20"/>
        </w:rPr>
      </w:pPr>
      <w:r>
        <w:pict w14:anchorId="7D2AE46D">
          <v:line id="_x0000_s1086" style="position:absolute;left:0;text-align:left;z-index:251699200;mso-position-horizontal-relative:page;mso-position-vertical-relative:page" from="41.05pt,789.1pt" to="554.45pt,789.1pt" strokeweight="1.7pt">
            <w10:wrap anchorx="page" anchory="page"/>
          </v:line>
        </w:pict>
      </w:r>
      <w:r>
        <w:rPr>
          <w:rFonts w:ascii="Arial" w:eastAsia="Arial" w:hAnsi="Arial"/>
          <w:color w:val="000000"/>
          <w:spacing w:val="40"/>
          <w:sz w:val="20"/>
        </w:rPr>
        <w:t>25</w:t>
      </w:r>
    </w:p>
    <w:p w14:paraId="4FCD6943" w14:textId="77777777" w:rsidR="00D8670B" w:rsidRDefault="00D8670B">
      <w:pPr>
        <w:sectPr w:rsidR="00D8670B">
          <w:pgSz w:w="11909" w:h="16838"/>
          <w:pgMar w:top="1120" w:right="821" w:bottom="282" w:left="821" w:header="720" w:footer="720" w:gutter="0"/>
          <w:cols w:space="720"/>
        </w:sectPr>
      </w:pPr>
    </w:p>
    <w:p w14:paraId="164C06EF" w14:textId="77777777" w:rsidR="00D8670B" w:rsidRDefault="009B37A9">
      <w:pPr>
        <w:numPr>
          <w:ilvl w:val="0"/>
          <w:numId w:val="5"/>
        </w:numPr>
        <w:tabs>
          <w:tab w:val="clear" w:pos="432"/>
          <w:tab w:val="left" w:pos="792"/>
        </w:tabs>
        <w:spacing w:before="27" w:line="231" w:lineRule="exact"/>
        <w:ind w:left="792" w:hanging="432"/>
        <w:textAlignment w:val="baseline"/>
        <w:rPr>
          <w:rFonts w:ascii="Arial" w:eastAsia="Arial" w:hAnsi="Arial"/>
          <w:color w:val="000000"/>
          <w:sz w:val="20"/>
        </w:rPr>
      </w:pPr>
      <w:r>
        <w:rPr>
          <w:rFonts w:ascii="Arial" w:eastAsia="Arial" w:hAnsi="Arial"/>
          <w:color w:val="000000"/>
          <w:sz w:val="20"/>
        </w:rPr>
        <w:lastRenderedPageBreak/>
        <w:t>3 mail outs totalling 682 letters to water entitlement holders to promote rounds three, four and 10</w:t>
      </w:r>
    </w:p>
    <w:p w14:paraId="7DB2BF42" w14:textId="77777777" w:rsidR="00D8670B" w:rsidRDefault="009B37A9">
      <w:pPr>
        <w:numPr>
          <w:ilvl w:val="0"/>
          <w:numId w:val="5"/>
        </w:numPr>
        <w:tabs>
          <w:tab w:val="clear" w:pos="432"/>
          <w:tab w:val="left" w:pos="792"/>
        </w:tabs>
        <w:spacing w:before="140" w:after="252" w:line="231" w:lineRule="exact"/>
        <w:ind w:left="792" w:right="2016" w:hanging="432"/>
        <w:textAlignment w:val="baseline"/>
        <w:rPr>
          <w:rFonts w:ascii="Arial" w:eastAsia="Arial" w:hAnsi="Arial"/>
          <w:color w:val="000000"/>
          <w:sz w:val="20"/>
        </w:rPr>
      </w:pPr>
      <w:r>
        <w:rPr>
          <w:rFonts w:ascii="Arial" w:eastAsia="Arial" w:hAnsi="Arial"/>
          <w:color w:val="000000"/>
          <w:sz w:val="20"/>
        </w:rPr>
        <w:t xml:space="preserve">a Queensland Government produced video showcasing completed HHWUE projects </w:t>
      </w:r>
      <w:hyperlink r:id="rId34">
        <w:r>
          <w:rPr>
            <w:rFonts w:ascii="Arial" w:eastAsia="Arial" w:hAnsi="Arial"/>
            <w:color w:val="0000FF"/>
            <w:sz w:val="20"/>
            <w:u w:val="single"/>
          </w:rPr>
          <w:t>(</w:t>
        </w:r>
      </w:hyperlink>
      <w:r>
        <w:rPr>
          <w:rFonts w:ascii="Arial" w:eastAsia="Arial" w:hAnsi="Arial"/>
          <w:color w:val="0000FF"/>
          <w:sz w:val="20"/>
          <w:u w:val="single"/>
        </w:rPr>
        <w:t>w</w:t>
      </w:r>
      <w:r>
        <w:rPr>
          <w:rFonts w:ascii="Arial" w:eastAsia="Arial" w:hAnsi="Arial"/>
          <w:color w:val="0000FF"/>
          <w:sz w:val="20"/>
          <w:u w:val="single"/>
        </w:rPr>
        <w:t>ww.youtube.com/watch?v=wW2dkeeJFEY&amp;feature=youtu.be)</w:t>
      </w:r>
      <w:r>
        <w:rPr>
          <w:rFonts w:ascii="Arial" w:eastAsia="Arial" w:hAnsi="Arial"/>
          <w:color w:val="0000FF"/>
          <w:sz w:val="20"/>
        </w:rPr>
        <w:t>.</w:t>
      </w:r>
    </w:p>
    <w:p w14:paraId="4D604F45" w14:textId="77777777" w:rsidR="00D8670B" w:rsidRDefault="009B37A9">
      <w:pPr>
        <w:spacing w:after="395"/>
        <w:ind w:left="168" w:right="168"/>
        <w:textAlignment w:val="baseline"/>
      </w:pPr>
      <w:r>
        <w:rPr>
          <w:noProof/>
        </w:rPr>
        <w:drawing>
          <wp:inline distT="0" distB="0" distL="0" distR="0" wp14:anchorId="718A3483" wp14:editId="70DACA5F">
            <wp:extent cx="6306185" cy="516636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35"/>
                    <a:stretch>
                      <a:fillRect/>
                    </a:stretch>
                  </pic:blipFill>
                  <pic:spPr>
                    <a:xfrm>
                      <a:off x="0" y="0"/>
                      <a:ext cx="6306185" cy="5166360"/>
                    </a:xfrm>
                    <a:prstGeom prst="rect">
                      <a:avLst/>
                    </a:prstGeom>
                  </pic:spPr>
                </pic:pic>
              </a:graphicData>
            </a:graphic>
          </wp:inline>
        </w:drawing>
      </w:r>
    </w:p>
    <w:p w14:paraId="02CDF37F"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9: Sample of promotional materials</w:t>
      </w:r>
    </w:p>
    <w:p w14:paraId="3202F20E" w14:textId="77777777" w:rsidR="00D8670B" w:rsidRDefault="009B37A9">
      <w:pPr>
        <w:spacing w:before="116" w:after="76" w:line="231" w:lineRule="exact"/>
        <w:ind w:right="288"/>
        <w:textAlignment w:val="baseline"/>
        <w:rPr>
          <w:rFonts w:ascii="Arial" w:eastAsia="Arial" w:hAnsi="Arial"/>
          <w:color w:val="000000"/>
          <w:sz w:val="20"/>
        </w:rPr>
      </w:pPr>
      <w:r>
        <w:rPr>
          <w:rFonts w:ascii="Arial" w:eastAsia="Arial" w:hAnsi="Arial"/>
          <w:color w:val="000000"/>
          <w:sz w:val="20"/>
        </w:rPr>
        <w:t xml:space="preserve">During Phase 2, the Queensland Government had 740 direct formal contacts with 374 irrigators, consultants and other industry representatives. More than 80 per cent of these contacts related to eligibility for the current round and the application process. </w:t>
      </w:r>
      <w:r>
        <w:rPr>
          <w:rFonts w:ascii="Arial" w:eastAsia="Arial" w:hAnsi="Arial"/>
          <w:color w:val="000000"/>
          <w:sz w:val="20"/>
        </w:rPr>
        <w:t>Other enquiries related to the technical advice project, events and other complementary measures projects.</w:t>
      </w:r>
    </w:p>
    <w:p w14:paraId="360CCF4B" w14:textId="77777777" w:rsidR="00D8670B" w:rsidRDefault="009B37A9">
      <w:pPr>
        <w:spacing w:after="922"/>
        <w:ind w:left="24" w:right="43"/>
        <w:textAlignment w:val="baseline"/>
      </w:pPr>
      <w:r>
        <w:rPr>
          <w:noProof/>
        </w:rPr>
        <w:drawing>
          <wp:inline distT="0" distB="0" distL="0" distR="0" wp14:anchorId="46799E03" wp14:editId="149280AC">
            <wp:extent cx="6477000" cy="172847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36"/>
                    <a:stretch>
                      <a:fillRect/>
                    </a:stretch>
                  </pic:blipFill>
                  <pic:spPr>
                    <a:xfrm>
                      <a:off x="0" y="0"/>
                      <a:ext cx="6477000" cy="1728470"/>
                    </a:xfrm>
                    <a:prstGeom prst="rect">
                      <a:avLst/>
                    </a:prstGeom>
                  </pic:spPr>
                </pic:pic>
              </a:graphicData>
            </a:graphic>
          </wp:inline>
        </w:drawing>
      </w:r>
    </w:p>
    <w:p w14:paraId="24793050" w14:textId="77777777" w:rsidR="00D8670B" w:rsidRDefault="009B37A9">
      <w:pPr>
        <w:spacing w:before="162" w:line="230" w:lineRule="exact"/>
        <w:jc w:val="center"/>
        <w:textAlignment w:val="baseline"/>
        <w:rPr>
          <w:rFonts w:ascii="Arial" w:eastAsia="Arial" w:hAnsi="Arial"/>
          <w:color w:val="000000"/>
          <w:spacing w:val="40"/>
          <w:sz w:val="20"/>
        </w:rPr>
      </w:pPr>
      <w:r>
        <w:pict w14:anchorId="69C9421F">
          <v:line id="_x0000_s1085" style="position:absolute;left:0;text-align:left;z-index:251700224;mso-position-horizontal-relative:page;mso-position-vertical-relative:page" from="41.05pt,789.1pt" to="554.45pt,789.1pt" strokecolor="#020202" strokeweight="1.7pt">
            <w10:wrap anchorx="page" anchory="page"/>
          </v:line>
        </w:pict>
      </w:r>
      <w:r>
        <w:rPr>
          <w:rFonts w:ascii="Arial" w:eastAsia="Arial" w:hAnsi="Arial"/>
          <w:color w:val="000000"/>
          <w:spacing w:val="40"/>
          <w:sz w:val="20"/>
        </w:rPr>
        <w:t>26</w:t>
      </w:r>
    </w:p>
    <w:p w14:paraId="583F2C27" w14:textId="77777777" w:rsidR="00D8670B" w:rsidRDefault="00D8670B">
      <w:pPr>
        <w:sectPr w:rsidR="00D8670B">
          <w:pgSz w:w="11909" w:h="16838"/>
          <w:pgMar w:top="1120" w:right="821" w:bottom="282" w:left="821" w:header="720" w:footer="720" w:gutter="0"/>
          <w:cols w:space="720"/>
        </w:sectPr>
      </w:pPr>
    </w:p>
    <w:p w14:paraId="0A8DABC3" w14:textId="77777777" w:rsidR="00D8670B" w:rsidRDefault="009B37A9">
      <w:pPr>
        <w:spacing w:before="21" w:line="320" w:lineRule="exact"/>
        <w:textAlignment w:val="baseline"/>
        <w:rPr>
          <w:rFonts w:ascii="Arial" w:eastAsia="Arial" w:hAnsi="Arial"/>
          <w:b/>
          <w:color w:val="2C7176"/>
          <w:spacing w:val="4"/>
          <w:sz w:val="28"/>
        </w:rPr>
      </w:pPr>
      <w:r>
        <w:rPr>
          <w:rFonts w:ascii="Arial" w:eastAsia="Arial" w:hAnsi="Arial"/>
          <w:b/>
          <w:color w:val="2C7176"/>
          <w:spacing w:val="4"/>
          <w:sz w:val="28"/>
        </w:rPr>
        <w:lastRenderedPageBreak/>
        <w:t>2.4 Program governance</w:t>
      </w:r>
    </w:p>
    <w:p w14:paraId="78031846" w14:textId="77777777" w:rsidR="00D8670B" w:rsidRDefault="009B37A9">
      <w:pPr>
        <w:spacing w:before="119" w:after="92" w:line="230" w:lineRule="exact"/>
        <w:ind w:right="72"/>
        <w:textAlignment w:val="baseline"/>
        <w:rPr>
          <w:rFonts w:ascii="Arial" w:eastAsia="Arial" w:hAnsi="Arial"/>
          <w:color w:val="000000"/>
          <w:sz w:val="20"/>
        </w:rPr>
      </w:pPr>
      <w:r>
        <w:rPr>
          <w:rFonts w:ascii="Arial" w:eastAsia="Arial" w:hAnsi="Arial"/>
          <w:color w:val="000000"/>
          <w:sz w:val="20"/>
        </w:rPr>
        <w:t>The Queensland and Australian governments employed a number of measures to ensure sound governance of the HHWUE program in accordance with the Water Management Partnership Agreement, internal procedures and best practice. The Queensland Government establis</w:t>
      </w:r>
      <w:r>
        <w:rPr>
          <w:rFonts w:ascii="Arial" w:eastAsia="Arial" w:hAnsi="Arial"/>
          <w:color w:val="000000"/>
          <w:sz w:val="20"/>
        </w:rPr>
        <w:t>hed and evolved internal procedures and practices by drawing on knowledge from the project management discipline</w:t>
      </w:r>
      <w:r>
        <w:rPr>
          <w:rFonts w:ascii="Arial" w:eastAsia="Arial" w:hAnsi="Arial"/>
          <w:color w:val="000000"/>
          <w:sz w:val="20"/>
          <w:vertAlign w:val="superscript"/>
        </w:rPr>
        <w:t>5</w:t>
      </w:r>
      <w:r>
        <w:rPr>
          <w:rFonts w:ascii="Arial" w:eastAsia="Arial" w:hAnsi="Arial"/>
          <w:color w:val="000000"/>
          <w:sz w:val="20"/>
        </w:rPr>
        <w:t>.</w:t>
      </w:r>
    </w:p>
    <w:p w14:paraId="29C73DBA" w14:textId="77777777" w:rsidR="00D8670B" w:rsidRDefault="009B37A9">
      <w:pPr>
        <w:spacing w:after="227"/>
        <w:ind w:left="24" w:right="667"/>
        <w:textAlignment w:val="baseline"/>
      </w:pPr>
      <w:r>
        <w:rPr>
          <w:noProof/>
        </w:rPr>
        <w:drawing>
          <wp:inline distT="0" distB="0" distL="0" distR="0" wp14:anchorId="68FA9259" wp14:editId="535EF829">
            <wp:extent cx="6080760" cy="267970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37"/>
                    <a:stretch>
                      <a:fillRect/>
                    </a:stretch>
                  </pic:blipFill>
                  <pic:spPr>
                    <a:xfrm>
                      <a:off x="0" y="0"/>
                      <a:ext cx="6080760" cy="2679700"/>
                    </a:xfrm>
                    <a:prstGeom prst="rect">
                      <a:avLst/>
                    </a:prstGeom>
                  </pic:spPr>
                </pic:pic>
              </a:graphicData>
            </a:graphic>
          </wp:inline>
        </w:drawing>
      </w:r>
    </w:p>
    <w:p w14:paraId="5B97CBA1" w14:textId="77777777" w:rsidR="00D8670B" w:rsidRDefault="009B37A9">
      <w:pPr>
        <w:spacing w:before="2" w:line="320" w:lineRule="exact"/>
        <w:textAlignment w:val="baseline"/>
        <w:rPr>
          <w:rFonts w:ascii="Arial" w:eastAsia="Arial" w:hAnsi="Arial"/>
          <w:b/>
          <w:color w:val="346C36"/>
          <w:sz w:val="28"/>
        </w:rPr>
      </w:pPr>
      <w:r>
        <w:rPr>
          <w:rFonts w:ascii="Arial" w:eastAsia="Arial" w:hAnsi="Arial"/>
          <w:b/>
          <w:color w:val="346C36"/>
          <w:sz w:val="28"/>
        </w:rPr>
        <w:t>2.4.1 Integration</w:t>
      </w:r>
    </w:p>
    <w:p w14:paraId="696BCF21" w14:textId="77777777" w:rsidR="00D8670B" w:rsidRDefault="009B37A9">
      <w:pPr>
        <w:spacing w:before="123" w:line="230" w:lineRule="exact"/>
        <w:ind w:right="360"/>
        <w:textAlignment w:val="baseline"/>
        <w:rPr>
          <w:rFonts w:ascii="Arial" w:eastAsia="Arial" w:hAnsi="Arial"/>
          <w:color w:val="000000"/>
          <w:sz w:val="20"/>
        </w:rPr>
      </w:pPr>
      <w:r>
        <w:rPr>
          <w:rFonts w:ascii="Arial" w:eastAsia="Arial" w:hAnsi="Arial"/>
          <w:color w:val="000000"/>
          <w:sz w:val="20"/>
        </w:rPr>
        <w:t xml:space="preserve">The HHWUE program </w:t>
      </w:r>
      <w:r>
        <w:rPr>
          <w:rFonts w:ascii="Arial" w:eastAsia="Arial" w:hAnsi="Arial"/>
          <w:color w:val="000000"/>
          <w:sz w:val="20"/>
        </w:rPr>
        <w:t xml:space="preserve">was part of the Queensland Government’s approach to implementing the Basin Plan. The program came under the </w:t>
      </w:r>
      <w:r>
        <w:rPr>
          <w:rFonts w:ascii="Arial" w:eastAsia="Arial" w:hAnsi="Arial"/>
          <w:i/>
          <w:color w:val="000000"/>
          <w:sz w:val="20"/>
        </w:rPr>
        <w:t>Intergovernmental Agreement on Implementing Water Reform in the Murray</w:t>
      </w:r>
      <w:r>
        <w:rPr>
          <w:rFonts w:ascii="Arial" w:eastAsia="Arial" w:hAnsi="Arial"/>
          <w:i/>
          <w:color w:val="000000"/>
          <w:sz w:val="23"/>
        </w:rPr>
        <w:t>–</w:t>
      </w:r>
      <w:r>
        <w:rPr>
          <w:rFonts w:ascii="Arial" w:eastAsia="Arial" w:hAnsi="Arial"/>
          <w:i/>
          <w:color w:val="000000"/>
          <w:sz w:val="20"/>
        </w:rPr>
        <w:t xml:space="preserve">Darling Basin </w:t>
      </w:r>
      <w:r>
        <w:rPr>
          <w:rFonts w:ascii="Arial" w:eastAsia="Arial" w:hAnsi="Arial"/>
          <w:color w:val="000000"/>
          <w:sz w:val="20"/>
        </w:rPr>
        <w:t>and Water Management Partnership Agreement, documents agreed an</w:t>
      </w:r>
      <w:r>
        <w:rPr>
          <w:rFonts w:ascii="Arial" w:eastAsia="Arial" w:hAnsi="Arial"/>
          <w:color w:val="000000"/>
          <w:sz w:val="20"/>
        </w:rPr>
        <w:t xml:space="preserve">d signed between the relevant Queensland and Australian Government Ministers. At a Basin-scale, the program was part of water recovery measures including other States’ priority programs (e.g. New South Wales Irrigated Farm Modernisation project, Victorian </w:t>
      </w:r>
      <w:r>
        <w:rPr>
          <w:rFonts w:ascii="Arial" w:eastAsia="Arial" w:hAnsi="Arial"/>
          <w:color w:val="000000"/>
          <w:sz w:val="20"/>
        </w:rPr>
        <w:t>Farm Modernisation project) and the Australian Restoring the Balance in the Murray–Darling Basin Program (sometimes referred to as the ‘buyback program’).</w:t>
      </w:r>
    </w:p>
    <w:p w14:paraId="67F6178D" w14:textId="77777777" w:rsidR="00D8670B" w:rsidRDefault="009B37A9">
      <w:pPr>
        <w:spacing w:before="116" w:line="230" w:lineRule="exact"/>
        <w:ind w:right="432"/>
        <w:textAlignment w:val="baseline"/>
        <w:rPr>
          <w:rFonts w:ascii="Arial" w:eastAsia="Arial" w:hAnsi="Arial"/>
          <w:color w:val="000000"/>
          <w:sz w:val="20"/>
        </w:rPr>
      </w:pPr>
      <w:r>
        <w:rPr>
          <w:rFonts w:ascii="Arial" w:eastAsia="Arial" w:hAnsi="Arial"/>
          <w:color w:val="000000"/>
          <w:sz w:val="20"/>
        </w:rPr>
        <w:t>Internally, the Queensland Government managed the program in accordance with project plans for each c</w:t>
      </w:r>
      <w:r>
        <w:rPr>
          <w:rFonts w:ascii="Arial" w:eastAsia="Arial" w:hAnsi="Arial"/>
          <w:color w:val="000000"/>
          <w:sz w:val="20"/>
        </w:rPr>
        <w:t>omponent (funding program, complementary measures projects), program procedures (e.g. application assessment, contract management) and departmental policies and procedures. Early project planning and monitoring was based on PRINCE2 methodology, while later</w:t>
      </w:r>
      <w:r>
        <w:rPr>
          <w:rFonts w:ascii="Arial" w:eastAsia="Arial" w:hAnsi="Arial"/>
          <w:color w:val="000000"/>
          <w:sz w:val="20"/>
        </w:rPr>
        <w:t xml:space="preserve"> contract management adopted Agile and PMBOK concepts.</w:t>
      </w:r>
    </w:p>
    <w:p w14:paraId="66F27202" w14:textId="77777777" w:rsidR="00D8670B" w:rsidRDefault="009B37A9">
      <w:pPr>
        <w:spacing w:before="242" w:line="320" w:lineRule="exact"/>
        <w:textAlignment w:val="baseline"/>
        <w:rPr>
          <w:rFonts w:ascii="Arial" w:eastAsia="Arial" w:hAnsi="Arial"/>
          <w:b/>
          <w:color w:val="346C36"/>
          <w:sz w:val="28"/>
        </w:rPr>
      </w:pPr>
      <w:r>
        <w:rPr>
          <w:rFonts w:ascii="Arial" w:eastAsia="Arial" w:hAnsi="Arial"/>
          <w:b/>
          <w:color w:val="346C36"/>
          <w:sz w:val="28"/>
        </w:rPr>
        <w:t>2.4.2 Scope</w:t>
      </w:r>
    </w:p>
    <w:p w14:paraId="7E0CA53E" w14:textId="77777777" w:rsidR="00D8670B" w:rsidRDefault="009B37A9">
      <w:pPr>
        <w:spacing w:before="121" w:line="230" w:lineRule="exact"/>
        <w:ind w:right="360"/>
        <w:textAlignment w:val="baseline"/>
        <w:rPr>
          <w:rFonts w:ascii="Arial" w:eastAsia="Arial" w:hAnsi="Arial"/>
          <w:color w:val="000000"/>
          <w:sz w:val="20"/>
        </w:rPr>
      </w:pPr>
      <w:r>
        <w:rPr>
          <w:rFonts w:ascii="Arial" w:eastAsia="Arial" w:hAnsi="Arial"/>
          <w:color w:val="000000"/>
          <w:sz w:val="20"/>
        </w:rPr>
        <w:t xml:space="preserve">The Queensland Government’s 2011 business case for the HHWUE </w:t>
      </w:r>
      <w:r>
        <w:rPr>
          <w:rFonts w:ascii="Arial" w:eastAsia="Arial" w:hAnsi="Arial"/>
          <w:color w:val="000000"/>
          <w:sz w:val="20"/>
        </w:rPr>
        <w:t>program outlined the scope, including the funding program, complementary measures and promotional activities. This scope was formalised in the agreed Water Management Partnership Agreement Schedule 2 Item B.</w:t>
      </w:r>
    </w:p>
    <w:p w14:paraId="462C38A7" w14:textId="77777777" w:rsidR="00D8670B" w:rsidRDefault="009B37A9">
      <w:pPr>
        <w:spacing w:before="121" w:line="230" w:lineRule="exact"/>
        <w:ind w:right="72"/>
        <w:textAlignment w:val="baseline"/>
        <w:rPr>
          <w:rFonts w:ascii="Arial" w:eastAsia="Arial" w:hAnsi="Arial"/>
          <w:color w:val="000000"/>
          <w:sz w:val="20"/>
        </w:rPr>
      </w:pPr>
      <w:r>
        <w:rPr>
          <w:rFonts w:ascii="Arial" w:eastAsia="Arial" w:hAnsi="Arial"/>
          <w:color w:val="000000"/>
          <w:sz w:val="20"/>
        </w:rPr>
        <w:t>The Schedule 2 outlined the program, recorded th</w:t>
      </w:r>
      <w:r>
        <w:rPr>
          <w:rFonts w:ascii="Arial" w:eastAsia="Arial" w:hAnsi="Arial"/>
          <w:color w:val="000000"/>
          <w:sz w:val="20"/>
        </w:rPr>
        <w:t>e approved projects and effected any changes to individual projects or program conduct. After each funding round, the Queensland and Australian governments usually varied the Schedule 2 identifying the newly approved projects in the scope. The Schedule 2 a</w:t>
      </w:r>
      <w:r>
        <w:rPr>
          <w:rFonts w:ascii="Arial" w:eastAsia="Arial" w:hAnsi="Arial"/>
          <w:color w:val="000000"/>
          <w:sz w:val="20"/>
        </w:rPr>
        <w:t>nd any variations were signed by the Australian Government and relevant Queensland Government financial delegate.</w:t>
      </w:r>
    </w:p>
    <w:p w14:paraId="298645B2" w14:textId="77777777" w:rsidR="00D8670B" w:rsidRDefault="009B37A9">
      <w:pPr>
        <w:spacing w:before="243" w:line="320" w:lineRule="exact"/>
        <w:textAlignment w:val="baseline"/>
        <w:rPr>
          <w:rFonts w:ascii="Arial" w:eastAsia="Arial" w:hAnsi="Arial"/>
          <w:b/>
          <w:color w:val="346C36"/>
          <w:spacing w:val="1"/>
          <w:sz w:val="28"/>
        </w:rPr>
      </w:pPr>
      <w:r>
        <w:rPr>
          <w:rFonts w:ascii="Arial" w:eastAsia="Arial" w:hAnsi="Arial"/>
          <w:b/>
          <w:color w:val="346C36"/>
          <w:spacing w:val="1"/>
          <w:sz w:val="28"/>
        </w:rPr>
        <w:t>2.4.3 Time</w:t>
      </w:r>
    </w:p>
    <w:p w14:paraId="1F2C8E24" w14:textId="77777777" w:rsidR="00D8670B" w:rsidRDefault="009B37A9">
      <w:pPr>
        <w:spacing w:before="240" w:line="300" w:lineRule="exact"/>
        <w:textAlignment w:val="baseline"/>
        <w:rPr>
          <w:rFonts w:ascii="Arial" w:eastAsia="Arial" w:hAnsi="Arial"/>
          <w:b/>
          <w:color w:val="55532D"/>
          <w:sz w:val="26"/>
        </w:rPr>
      </w:pPr>
      <w:r>
        <w:rPr>
          <w:rFonts w:ascii="Arial" w:eastAsia="Arial" w:hAnsi="Arial"/>
          <w:b/>
          <w:color w:val="55532D"/>
          <w:sz w:val="26"/>
        </w:rPr>
        <w:t>2.4.3.1 Project duration</w:t>
      </w:r>
    </w:p>
    <w:p w14:paraId="0B55B1B4" w14:textId="77777777" w:rsidR="00D8670B" w:rsidRDefault="009B37A9">
      <w:pPr>
        <w:spacing w:before="117" w:after="421" w:line="230" w:lineRule="exact"/>
        <w:ind w:right="288"/>
        <w:textAlignment w:val="baseline"/>
        <w:rPr>
          <w:rFonts w:ascii="Arial" w:eastAsia="Arial" w:hAnsi="Arial"/>
          <w:color w:val="000000"/>
          <w:spacing w:val="-1"/>
          <w:sz w:val="20"/>
        </w:rPr>
      </w:pPr>
      <w:r>
        <w:rPr>
          <w:rFonts w:ascii="Arial" w:eastAsia="Arial" w:hAnsi="Arial"/>
          <w:color w:val="000000"/>
          <w:spacing w:val="-1"/>
          <w:sz w:val="20"/>
        </w:rPr>
        <w:t>The Schedule 2 Items B and C.2.4 identified the key dates and broad quarterly milestones. The Queensland and Australian governments reviewed this timeframe when negotiating variations. For instance, as program uptake</w:t>
      </w:r>
    </w:p>
    <w:p w14:paraId="718F09D3" w14:textId="77777777" w:rsidR="00D8670B" w:rsidRDefault="009B37A9">
      <w:pPr>
        <w:spacing w:before="210" w:after="218" w:line="212" w:lineRule="exact"/>
        <w:jc w:val="both"/>
        <w:textAlignment w:val="baseline"/>
        <w:rPr>
          <w:rFonts w:ascii="Arial" w:eastAsia="Arial" w:hAnsi="Arial"/>
          <w:color w:val="000000"/>
          <w:sz w:val="12"/>
        </w:rPr>
      </w:pPr>
      <w:r>
        <w:pict w14:anchorId="34FD3971">
          <v:line id="_x0000_s1084" style="position:absolute;left:0;text-align:left;z-index:251701248;mso-position-horizontal-relative:page;mso-position-vertical-relative:page" from="41.05pt,745.45pt" to="186.75pt,745.45pt" strokeweight=".7pt">
            <w10:wrap anchorx="page" anchory="page"/>
          </v:line>
        </w:pict>
      </w:r>
      <w:r>
        <w:rPr>
          <w:rFonts w:ascii="Arial" w:eastAsia="Arial" w:hAnsi="Arial"/>
          <w:color w:val="000000"/>
          <w:sz w:val="12"/>
        </w:rPr>
        <w:t xml:space="preserve">5 </w:t>
      </w:r>
      <w:r>
        <w:rPr>
          <w:rFonts w:ascii="Arial" w:eastAsia="Arial" w:hAnsi="Arial"/>
          <w:color w:val="000000"/>
          <w:sz w:val="18"/>
        </w:rPr>
        <w:t xml:space="preserve">Project Management Institute 2004, </w:t>
      </w:r>
      <w:r>
        <w:rPr>
          <w:rFonts w:ascii="Arial" w:eastAsia="Arial" w:hAnsi="Arial"/>
          <w:i/>
          <w:color w:val="000000"/>
          <w:sz w:val="18"/>
        </w:rPr>
        <w:t>A</w:t>
      </w:r>
      <w:r>
        <w:rPr>
          <w:rFonts w:ascii="Arial" w:eastAsia="Arial" w:hAnsi="Arial"/>
          <w:i/>
          <w:color w:val="000000"/>
          <w:sz w:val="18"/>
        </w:rPr>
        <w:t xml:space="preserve"> guide to the project management body of knowledge (PMBOK guide)</w:t>
      </w:r>
      <w:r>
        <w:rPr>
          <w:rFonts w:ascii="Arial" w:eastAsia="Arial" w:hAnsi="Arial"/>
          <w:color w:val="000000"/>
          <w:sz w:val="18"/>
        </w:rPr>
        <w:t>, Newtown Square, Pa: Project Management Institute</w:t>
      </w:r>
    </w:p>
    <w:p w14:paraId="1778CFC7" w14:textId="77777777" w:rsidR="00D8670B" w:rsidRDefault="009B37A9">
      <w:pPr>
        <w:spacing w:before="164" w:line="228" w:lineRule="exact"/>
        <w:jc w:val="center"/>
        <w:textAlignment w:val="baseline"/>
        <w:rPr>
          <w:rFonts w:ascii="Arial" w:eastAsia="Arial" w:hAnsi="Arial"/>
          <w:color w:val="000000"/>
          <w:spacing w:val="40"/>
          <w:sz w:val="20"/>
        </w:rPr>
      </w:pPr>
      <w:r>
        <w:pict w14:anchorId="71917D96">
          <v:line id="_x0000_s1083" style="position:absolute;left:0;text-align:left;z-index:251702272;mso-position-horizontal-relative:page;mso-position-vertical-relative:page" from="41.05pt,789.1pt" to="554.45pt,789.1pt" strokeweight="1.7pt">
            <w10:wrap anchorx="page" anchory="page"/>
          </v:line>
        </w:pict>
      </w:r>
      <w:r>
        <w:rPr>
          <w:rFonts w:ascii="Arial" w:eastAsia="Arial" w:hAnsi="Arial"/>
          <w:color w:val="000000"/>
          <w:spacing w:val="40"/>
          <w:sz w:val="20"/>
        </w:rPr>
        <w:t>27</w:t>
      </w:r>
    </w:p>
    <w:p w14:paraId="10C7BCF8" w14:textId="77777777" w:rsidR="00D8670B" w:rsidRDefault="00D8670B">
      <w:pPr>
        <w:sectPr w:rsidR="00D8670B">
          <w:pgSz w:w="11909" w:h="16838"/>
          <w:pgMar w:top="1120" w:right="821" w:bottom="282" w:left="821" w:header="720" w:footer="720" w:gutter="0"/>
          <w:cols w:space="720"/>
        </w:sectPr>
      </w:pPr>
    </w:p>
    <w:p w14:paraId="59A927FF" w14:textId="77777777" w:rsidR="00D8670B" w:rsidRDefault="009B37A9">
      <w:pPr>
        <w:spacing w:before="20" w:line="230" w:lineRule="exact"/>
        <w:textAlignment w:val="baseline"/>
        <w:rPr>
          <w:rFonts w:ascii="Arial" w:eastAsia="Arial" w:hAnsi="Arial"/>
          <w:color w:val="000000"/>
          <w:sz w:val="20"/>
        </w:rPr>
      </w:pPr>
      <w:r>
        <w:rPr>
          <w:rFonts w:ascii="Arial" w:eastAsia="Arial" w:hAnsi="Arial"/>
          <w:color w:val="000000"/>
          <w:sz w:val="20"/>
        </w:rPr>
        <w:lastRenderedPageBreak/>
        <w:t>increased, the Queensland and Australian governments extended the original program end date of November 2017 up to June 2020. As projects reached completion however, the final milestone date was brought back to September 2019.</w:t>
      </w:r>
    </w:p>
    <w:p w14:paraId="49703A6D" w14:textId="77777777" w:rsidR="00D8670B" w:rsidRDefault="009B37A9">
      <w:pPr>
        <w:spacing w:before="246" w:line="297" w:lineRule="exact"/>
        <w:textAlignment w:val="baseline"/>
        <w:rPr>
          <w:rFonts w:ascii="Arial" w:eastAsia="Arial" w:hAnsi="Arial"/>
          <w:b/>
          <w:color w:val="55532D"/>
          <w:spacing w:val="2"/>
          <w:sz w:val="26"/>
        </w:rPr>
      </w:pPr>
      <w:r>
        <w:rPr>
          <w:rFonts w:ascii="Arial" w:eastAsia="Arial" w:hAnsi="Arial"/>
          <w:b/>
          <w:color w:val="55532D"/>
          <w:spacing w:val="2"/>
          <w:sz w:val="26"/>
        </w:rPr>
        <w:t>2.4.3.2 Annual project plan</w:t>
      </w:r>
    </w:p>
    <w:p w14:paraId="717E4ACD" w14:textId="77777777" w:rsidR="00D8670B" w:rsidRDefault="009B37A9">
      <w:pPr>
        <w:spacing w:before="116" w:line="230" w:lineRule="exact"/>
        <w:ind w:right="72"/>
        <w:textAlignment w:val="baseline"/>
        <w:rPr>
          <w:rFonts w:ascii="Arial" w:eastAsia="Arial" w:hAnsi="Arial"/>
          <w:color w:val="000000"/>
          <w:sz w:val="20"/>
        </w:rPr>
      </w:pPr>
      <w:r>
        <w:rPr>
          <w:rFonts w:ascii="Arial" w:eastAsia="Arial" w:hAnsi="Arial"/>
          <w:color w:val="000000"/>
          <w:sz w:val="20"/>
        </w:rPr>
        <w:t>I</w:t>
      </w:r>
      <w:r>
        <w:rPr>
          <w:rFonts w:ascii="Arial" w:eastAsia="Arial" w:hAnsi="Arial"/>
          <w:color w:val="000000"/>
          <w:sz w:val="20"/>
        </w:rPr>
        <w:t>n addition to the broad Schedule 2 milestones, the Queensland Government delivered the HHWUE program according to an annual project plan. The Queensland and Australian governments agreed to an annual project plan for each financial year. The plan identifie</w:t>
      </w:r>
      <w:r>
        <w:rPr>
          <w:rFonts w:ascii="Arial" w:eastAsia="Arial" w:hAnsi="Arial"/>
          <w:color w:val="000000"/>
          <w:sz w:val="20"/>
        </w:rPr>
        <w:t>d when the Queensland Government would run funding rounds, how contracts would be managed, and what outcomes were expected from complementary measures. The agreed plan was usually incorporated as an attachment to the Schedule 2 at the next variation.</w:t>
      </w:r>
    </w:p>
    <w:p w14:paraId="15088732" w14:textId="77777777" w:rsidR="00D8670B" w:rsidRDefault="009B37A9">
      <w:pPr>
        <w:spacing w:before="246" w:line="297" w:lineRule="exact"/>
        <w:textAlignment w:val="baseline"/>
        <w:rPr>
          <w:rFonts w:ascii="Arial" w:eastAsia="Arial" w:hAnsi="Arial"/>
          <w:b/>
          <w:color w:val="55532D"/>
          <w:sz w:val="26"/>
        </w:rPr>
      </w:pPr>
      <w:r>
        <w:rPr>
          <w:rFonts w:ascii="Arial" w:eastAsia="Arial" w:hAnsi="Arial"/>
          <w:b/>
          <w:color w:val="55532D"/>
          <w:sz w:val="26"/>
        </w:rPr>
        <w:t>2.4.3</w:t>
      </w:r>
      <w:r>
        <w:rPr>
          <w:rFonts w:ascii="Arial" w:eastAsia="Arial" w:hAnsi="Arial"/>
          <w:b/>
          <w:color w:val="55532D"/>
          <w:sz w:val="26"/>
        </w:rPr>
        <w:t>.3 Internal tracking</w:t>
      </w:r>
    </w:p>
    <w:p w14:paraId="03375239" w14:textId="77777777" w:rsidR="00D8670B" w:rsidRDefault="009B37A9">
      <w:pPr>
        <w:spacing w:before="116" w:line="230" w:lineRule="exact"/>
        <w:ind w:right="504"/>
        <w:textAlignment w:val="baseline"/>
        <w:rPr>
          <w:rFonts w:ascii="Arial" w:eastAsia="Arial" w:hAnsi="Arial"/>
          <w:color w:val="000000"/>
          <w:sz w:val="20"/>
        </w:rPr>
      </w:pPr>
      <w:r>
        <w:rPr>
          <w:rFonts w:ascii="Arial" w:eastAsia="Arial" w:hAnsi="Arial"/>
          <w:color w:val="000000"/>
          <w:sz w:val="20"/>
        </w:rPr>
        <w:t>The Queensland Government established internal milestones and timelines to break down tasks and measure progress. The program team reported progress against milestones in the departmental annual report, water projects monthly status report and National Par</w:t>
      </w:r>
      <w:r>
        <w:rPr>
          <w:rFonts w:ascii="Arial" w:eastAsia="Arial" w:hAnsi="Arial"/>
          <w:color w:val="000000"/>
          <w:sz w:val="20"/>
        </w:rPr>
        <w:t>tnership Agreements six-monthly report.</w:t>
      </w:r>
    </w:p>
    <w:p w14:paraId="7C5A0C00" w14:textId="77777777" w:rsidR="00D8670B" w:rsidRDefault="009B37A9">
      <w:pPr>
        <w:spacing w:before="121" w:line="230" w:lineRule="exact"/>
        <w:ind w:right="72"/>
        <w:textAlignment w:val="baseline"/>
        <w:rPr>
          <w:rFonts w:ascii="Arial" w:eastAsia="Arial" w:hAnsi="Arial"/>
          <w:color w:val="000000"/>
          <w:sz w:val="20"/>
        </w:rPr>
      </w:pPr>
      <w:r>
        <w:rPr>
          <w:rFonts w:ascii="Arial" w:eastAsia="Arial" w:hAnsi="Arial"/>
          <w:color w:val="000000"/>
          <w:sz w:val="20"/>
        </w:rPr>
        <w:t>Within these broader milestones, the program team also used detailed work breakdown structures to track discrete activities such as opening funding rounds, assessing applications and managing each contract.</w:t>
      </w:r>
    </w:p>
    <w:p w14:paraId="258B5E28" w14:textId="77777777" w:rsidR="00D8670B" w:rsidRDefault="009B37A9">
      <w:pPr>
        <w:spacing w:before="242" w:line="322" w:lineRule="exact"/>
        <w:textAlignment w:val="baseline"/>
        <w:rPr>
          <w:rFonts w:ascii="Arial" w:eastAsia="Arial" w:hAnsi="Arial"/>
          <w:b/>
          <w:color w:val="346C36"/>
          <w:spacing w:val="1"/>
          <w:sz w:val="28"/>
        </w:rPr>
      </w:pPr>
      <w:r>
        <w:rPr>
          <w:rFonts w:ascii="Arial" w:eastAsia="Arial" w:hAnsi="Arial"/>
          <w:b/>
          <w:color w:val="346C36"/>
          <w:spacing w:val="1"/>
          <w:sz w:val="28"/>
        </w:rPr>
        <w:t>2.4.4 Cos</w:t>
      </w:r>
      <w:r>
        <w:rPr>
          <w:rFonts w:ascii="Arial" w:eastAsia="Arial" w:hAnsi="Arial"/>
          <w:b/>
          <w:color w:val="346C36"/>
          <w:spacing w:val="1"/>
          <w:sz w:val="28"/>
        </w:rPr>
        <w:t>t</w:t>
      </w:r>
    </w:p>
    <w:p w14:paraId="6EA7DC33" w14:textId="77777777" w:rsidR="00D8670B" w:rsidRDefault="009B37A9">
      <w:pPr>
        <w:spacing w:before="244" w:line="297" w:lineRule="exact"/>
        <w:textAlignment w:val="baseline"/>
        <w:rPr>
          <w:rFonts w:ascii="Arial" w:eastAsia="Arial" w:hAnsi="Arial"/>
          <w:b/>
          <w:color w:val="55532D"/>
          <w:sz w:val="26"/>
        </w:rPr>
      </w:pPr>
      <w:r>
        <w:rPr>
          <w:rFonts w:ascii="Arial" w:eastAsia="Arial" w:hAnsi="Arial"/>
          <w:b/>
          <w:color w:val="55532D"/>
          <w:sz w:val="26"/>
        </w:rPr>
        <w:t>2.4.4.1 Program budget</w:t>
      </w:r>
    </w:p>
    <w:p w14:paraId="38B78F28" w14:textId="77777777" w:rsidR="00D8670B" w:rsidRDefault="009B37A9">
      <w:pPr>
        <w:spacing w:before="116" w:line="230" w:lineRule="exact"/>
        <w:ind w:right="72"/>
        <w:textAlignment w:val="baseline"/>
        <w:rPr>
          <w:rFonts w:ascii="Arial" w:eastAsia="Arial" w:hAnsi="Arial"/>
          <w:color w:val="000000"/>
          <w:sz w:val="20"/>
        </w:rPr>
      </w:pPr>
      <w:r>
        <w:rPr>
          <w:rFonts w:ascii="Arial" w:eastAsia="Arial" w:hAnsi="Arial"/>
          <w:color w:val="000000"/>
          <w:sz w:val="20"/>
        </w:rPr>
        <w:t>The Schedule 2 Items B.1.8 and D identified the Phase 2 budget including infrastructure funding, complementary measures and program management costs. The Queensland and Australian governments reviewed costs regularly and renegotiat</w:t>
      </w:r>
      <w:r>
        <w:rPr>
          <w:rFonts w:ascii="Arial" w:eastAsia="Arial" w:hAnsi="Arial"/>
          <w:color w:val="000000"/>
          <w:sz w:val="20"/>
        </w:rPr>
        <w:t>ed amounts within the maximum possible funding as needed. While the maximum was approximately $130 million, both parties understood the total actual costs would be determined progressively as projects were approved for funding.</w:t>
      </w:r>
    </w:p>
    <w:p w14:paraId="74FBCA78" w14:textId="77777777" w:rsidR="00D8670B" w:rsidRDefault="009B37A9">
      <w:pPr>
        <w:spacing w:before="241" w:line="297" w:lineRule="exact"/>
        <w:textAlignment w:val="baseline"/>
        <w:rPr>
          <w:rFonts w:ascii="Arial" w:eastAsia="Arial" w:hAnsi="Arial"/>
          <w:b/>
          <w:color w:val="55532D"/>
          <w:sz w:val="26"/>
        </w:rPr>
      </w:pPr>
      <w:r>
        <w:rPr>
          <w:rFonts w:ascii="Arial" w:eastAsia="Arial" w:hAnsi="Arial"/>
          <w:b/>
          <w:color w:val="55532D"/>
          <w:sz w:val="26"/>
        </w:rPr>
        <w:t>2.4.4.2 Australian Governmen</w:t>
      </w:r>
      <w:r>
        <w:rPr>
          <w:rFonts w:ascii="Arial" w:eastAsia="Arial" w:hAnsi="Arial"/>
          <w:b/>
          <w:color w:val="55532D"/>
          <w:sz w:val="26"/>
        </w:rPr>
        <w:t>t reimbursement</w:t>
      </w:r>
    </w:p>
    <w:p w14:paraId="7A934EBB" w14:textId="77777777" w:rsidR="00D8670B" w:rsidRDefault="009B37A9">
      <w:pPr>
        <w:spacing w:before="121" w:line="230" w:lineRule="exact"/>
        <w:ind w:right="216"/>
        <w:textAlignment w:val="baseline"/>
        <w:rPr>
          <w:rFonts w:ascii="Arial" w:eastAsia="Arial" w:hAnsi="Arial"/>
          <w:color w:val="000000"/>
          <w:sz w:val="20"/>
        </w:rPr>
      </w:pPr>
      <w:r>
        <w:rPr>
          <w:rFonts w:ascii="Arial" w:eastAsia="Arial" w:hAnsi="Arial"/>
          <w:color w:val="000000"/>
          <w:sz w:val="20"/>
        </w:rPr>
        <w:t>The program was funded by the Australian Government, and the Queensland Government was generally paid in arrears for expenditure. The Queensland Government claimed reimbursement for infrastructure funding payments as these were made to irri</w:t>
      </w:r>
      <w:r>
        <w:rPr>
          <w:rFonts w:ascii="Arial" w:eastAsia="Arial" w:hAnsi="Arial"/>
          <w:color w:val="000000"/>
          <w:sz w:val="20"/>
        </w:rPr>
        <w:t>gators. All other costs were claimed quarterly and were contingent on the Queensland Government satisfactorily demonstrating progress against milestones.</w:t>
      </w:r>
    </w:p>
    <w:p w14:paraId="004066EE" w14:textId="77777777" w:rsidR="00D8670B" w:rsidRDefault="009B37A9">
      <w:pPr>
        <w:spacing w:before="242" w:line="297" w:lineRule="exact"/>
        <w:textAlignment w:val="baseline"/>
        <w:rPr>
          <w:rFonts w:ascii="Arial" w:eastAsia="Arial" w:hAnsi="Arial"/>
          <w:b/>
          <w:color w:val="55532D"/>
          <w:sz w:val="26"/>
        </w:rPr>
      </w:pPr>
      <w:r>
        <w:rPr>
          <w:rFonts w:ascii="Arial" w:eastAsia="Arial" w:hAnsi="Arial"/>
          <w:b/>
          <w:color w:val="55532D"/>
          <w:sz w:val="26"/>
        </w:rPr>
        <w:t>2.4.4.3 Income and expenditure monitoring</w:t>
      </w:r>
    </w:p>
    <w:p w14:paraId="41B969D7" w14:textId="77777777" w:rsidR="00D8670B" w:rsidRDefault="009B37A9">
      <w:pPr>
        <w:spacing w:before="121" w:line="230" w:lineRule="exact"/>
        <w:ind w:right="216"/>
        <w:textAlignment w:val="baseline"/>
        <w:rPr>
          <w:rFonts w:ascii="Arial" w:eastAsia="Arial" w:hAnsi="Arial"/>
          <w:color w:val="000000"/>
          <w:sz w:val="20"/>
        </w:rPr>
      </w:pPr>
      <w:r>
        <w:rPr>
          <w:rFonts w:ascii="Arial" w:eastAsia="Arial" w:hAnsi="Arial"/>
          <w:color w:val="000000"/>
          <w:sz w:val="20"/>
        </w:rPr>
        <w:t>The Queensland Government tracked income and expenditure thr</w:t>
      </w:r>
      <w:r>
        <w:rPr>
          <w:rFonts w:ascii="Arial" w:eastAsia="Arial" w:hAnsi="Arial"/>
          <w:color w:val="000000"/>
          <w:sz w:val="20"/>
        </w:rPr>
        <w:t>ough its existing SAP system. The Queensland Government provided an audited financial statement to the Australian Government following the end of each financial year. The statement was audited by an independent Certified Practising Accountant for confirmat</w:t>
      </w:r>
      <w:r>
        <w:rPr>
          <w:rFonts w:ascii="Arial" w:eastAsia="Arial" w:hAnsi="Arial"/>
          <w:color w:val="000000"/>
          <w:sz w:val="20"/>
        </w:rPr>
        <w:t>ion of funds received, paid and any interest accrued.</w:t>
      </w:r>
    </w:p>
    <w:p w14:paraId="011E2B7C" w14:textId="77777777" w:rsidR="00D8670B" w:rsidRDefault="009B37A9">
      <w:pPr>
        <w:spacing w:before="242" w:line="322" w:lineRule="exact"/>
        <w:textAlignment w:val="baseline"/>
        <w:rPr>
          <w:rFonts w:ascii="Arial" w:eastAsia="Arial" w:hAnsi="Arial"/>
          <w:b/>
          <w:color w:val="346C36"/>
          <w:spacing w:val="1"/>
          <w:sz w:val="28"/>
        </w:rPr>
      </w:pPr>
      <w:r>
        <w:rPr>
          <w:rFonts w:ascii="Arial" w:eastAsia="Arial" w:hAnsi="Arial"/>
          <w:b/>
          <w:color w:val="346C36"/>
          <w:spacing w:val="1"/>
          <w:sz w:val="28"/>
        </w:rPr>
        <w:t>2.4.5 Quality</w:t>
      </w:r>
    </w:p>
    <w:p w14:paraId="7D76F5C1" w14:textId="77777777" w:rsidR="00D8670B" w:rsidRDefault="009B37A9">
      <w:pPr>
        <w:spacing w:before="118" w:line="230" w:lineRule="exact"/>
        <w:ind w:right="72"/>
        <w:textAlignment w:val="baseline"/>
        <w:rPr>
          <w:rFonts w:ascii="Arial" w:eastAsia="Arial" w:hAnsi="Arial"/>
          <w:color w:val="000000"/>
          <w:sz w:val="20"/>
        </w:rPr>
      </w:pPr>
      <w:r>
        <w:rPr>
          <w:rFonts w:ascii="Arial" w:eastAsia="Arial" w:hAnsi="Arial"/>
          <w:color w:val="000000"/>
          <w:sz w:val="20"/>
        </w:rPr>
        <w:t>The Schedule 2 Item C outlined the requirements of the HHWUE program including the desired outputs of complementary measures, the conduct of contract management and the approved project de</w:t>
      </w:r>
      <w:r>
        <w:rPr>
          <w:rFonts w:ascii="Arial" w:eastAsia="Arial" w:hAnsi="Arial"/>
          <w:color w:val="000000"/>
          <w:sz w:val="20"/>
        </w:rPr>
        <w:t>tails. The Queensland and Australian governments oversaw the program using the following mechanisms:</w:t>
      </w:r>
    </w:p>
    <w:p w14:paraId="57BEF8C8" w14:textId="77777777" w:rsidR="00D8670B" w:rsidRDefault="009B37A9">
      <w:pPr>
        <w:numPr>
          <w:ilvl w:val="0"/>
          <w:numId w:val="5"/>
        </w:numPr>
        <w:tabs>
          <w:tab w:val="clear" w:pos="432"/>
          <w:tab w:val="left" w:pos="792"/>
        </w:tabs>
        <w:spacing w:before="132" w:line="230" w:lineRule="exact"/>
        <w:ind w:left="792" w:right="144" w:hanging="432"/>
        <w:textAlignment w:val="baseline"/>
        <w:rPr>
          <w:rFonts w:ascii="Arial" w:eastAsia="Arial" w:hAnsi="Arial"/>
          <w:color w:val="000000"/>
          <w:spacing w:val="-2"/>
          <w:sz w:val="20"/>
        </w:rPr>
      </w:pPr>
      <w:r>
        <w:rPr>
          <w:rFonts w:ascii="Arial" w:eastAsia="Arial" w:hAnsi="Arial"/>
          <w:color w:val="000000"/>
          <w:spacing w:val="-2"/>
          <w:sz w:val="20"/>
        </w:rPr>
        <w:t>program overview group – this group consisted of the Queensland Government’s HHWUE progr</w:t>
      </w:r>
      <w:r>
        <w:rPr>
          <w:rFonts w:ascii="Arial" w:eastAsia="Arial" w:hAnsi="Arial"/>
          <w:color w:val="000000"/>
          <w:spacing w:val="-2"/>
          <w:sz w:val="20"/>
        </w:rPr>
        <w:t xml:space="preserve">am Director and team, and the Australian Government Department of Agriculture’s Purchase and Northern Infrastructure Director and relevant team members. The group met quarterly to discuss program progress, issues and opportunities. This meeting provided a </w:t>
      </w:r>
      <w:r>
        <w:rPr>
          <w:rFonts w:ascii="Arial" w:eastAsia="Arial" w:hAnsi="Arial"/>
          <w:color w:val="000000"/>
          <w:spacing w:val="-2"/>
          <w:sz w:val="20"/>
        </w:rPr>
        <w:t>forum for joint decision making and information sharing between levels of government. Members of the group also maintained regular contact out of session</w:t>
      </w:r>
    </w:p>
    <w:p w14:paraId="545AE5D9" w14:textId="77777777" w:rsidR="00D8670B" w:rsidRDefault="009B37A9">
      <w:pPr>
        <w:numPr>
          <w:ilvl w:val="0"/>
          <w:numId w:val="5"/>
        </w:numPr>
        <w:tabs>
          <w:tab w:val="clear" w:pos="432"/>
          <w:tab w:val="left" w:pos="792"/>
        </w:tabs>
        <w:spacing w:before="136" w:line="230" w:lineRule="exact"/>
        <w:ind w:left="792" w:right="216" w:hanging="432"/>
        <w:textAlignment w:val="baseline"/>
        <w:rPr>
          <w:rFonts w:ascii="Arial" w:eastAsia="Arial" w:hAnsi="Arial"/>
          <w:color w:val="000000"/>
          <w:spacing w:val="-2"/>
          <w:sz w:val="20"/>
        </w:rPr>
      </w:pPr>
      <w:r>
        <w:rPr>
          <w:rFonts w:ascii="Arial" w:eastAsia="Arial" w:hAnsi="Arial"/>
          <w:color w:val="000000"/>
          <w:spacing w:val="-2"/>
          <w:sz w:val="20"/>
        </w:rPr>
        <w:t xml:space="preserve">quarterly reporting – </w:t>
      </w:r>
      <w:r>
        <w:rPr>
          <w:rFonts w:ascii="Arial" w:eastAsia="Arial" w:hAnsi="Arial"/>
          <w:color w:val="000000"/>
          <w:spacing w:val="-2"/>
          <w:sz w:val="20"/>
        </w:rPr>
        <w:t>the Queensland Government provided the Australian Government a written quarterly report on progress against the annual project plan and Schedule 2 milestones. Quarterly reports provided by irrigators to the Queensland Government and regular monitoring acti</w:t>
      </w:r>
      <w:r>
        <w:rPr>
          <w:rFonts w:ascii="Arial" w:eastAsia="Arial" w:hAnsi="Arial"/>
          <w:color w:val="000000"/>
          <w:spacing w:val="-2"/>
          <w:sz w:val="20"/>
        </w:rPr>
        <w:t>vities informed the report.</w:t>
      </w:r>
    </w:p>
    <w:p w14:paraId="3E30A3D4" w14:textId="77777777" w:rsidR="00D8670B" w:rsidRDefault="009B37A9">
      <w:pPr>
        <w:spacing w:before="116" w:after="598" w:line="230" w:lineRule="exact"/>
        <w:ind w:right="504"/>
        <w:textAlignment w:val="baseline"/>
        <w:rPr>
          <w:rFonts w:ascii="Arial" w:eastAsia="Arial" w:hAnsi="Arial"/>
          <w:color w:val="000000"/>
          <w:sz w:val="20"/>
        </w:rPr>
      </w:pPr>
      <w:r>
        <w:rPr>
          <w:rFonts w:ascii="Arial" w:eastAsia="Arial" w:hAnsi="Arial"/>
          <w:color w:val="000000"/>
          <w:sz w:val="20"/>
        </w:rPr>
        <w:t>The Queensland and Australian governments also undertook the following reviews to ensure the program met these agreed quality standards and was delivered in line with continuous business improvement.</w:t>
      </w:r>
    </w:p>
    <w:p w14:paraId="6B09C85E" w14:textId="77777777" w:rsidR="00D8670B" w:rsidRDefault="009B37A9">
      <w:pPr>
        <w:spacing w:before="164" w:line="228" w:lineRule="exact"/>
        <w:jc w:val="center"/>
        <w:textAlignment w:val="baseline"/>
        <w:rPr>
          <w:rFonts w:ascii="Arial" w:eastAsia="Arial" w:hAnsi="Arial"/>
          <w:color w:val="000000"/>
          <w:spacing w:val="40"/>
          <w:sz w:val="20"/>
        </w:rPr>
      </w:pPr>
      <w:r>
        <w:pict w14:anchorId="758BE604">
          <v:line id="_x0000_s1082" style="position:absolute;left:0;text-align:left;z-index:251703296;mso-position-horizontal-relative:page;mso-position-vertical-relative:page" from="41.05pt,789.1pt" to="554.45pt,789.1pt" strokeweight="1.7pt">
            <w10:wrap anchorx="page" anchory="page"/>
          </v:line>
        </w:pict>
      </w:r>
      <w:r>
        <w:rPr>
          <w:rFonts w:ascii="Arial" w:eastAsia="Arial" w:hAnsi="Arial"/>
          <w:color w:val="000000"/>
          <w:spacing w:val="40"/>
          <w:sz w:val="20"/>
        </w:rPr>
        <w:t>28</w:t>
      </w:r>
    </w:p>
    <w:p w14:paraId="71589B82" w14:textId="77777777" w:rsidR="00D8670B" w:rsidRDefault="00D8670B">
      <w:pPr>
        <w:sectPr w:rsidR="00D8670B">
          <w:pgSz w:w="11909" w:h="16838"/>
          <w:pgMar w:top="1120" w:right="821" w:bottom="282" w:left="821" w:header="720" w:footer="720" w:gutter="0"/>
          <w:cols w:space="720"/>
        </w:sectPr>
      </w:pPr>
    </w:p>
    <w:p w14:paraId="6F52B0A7" w14:textId="77777777" w:rsidR="00D8670B" w:rsidRDefault="009B37A9">
      <w:pPr>
        <w:spacing w:before="5" w:line="297" w:lineRule="exact"/>
        <w:textAlignment w:val="baseline"/>
        <w:rPr>
          <w:rFonts w:ascii="Arial" w:eastAsia="Arial" w:hAnsi="Arial"/>
          <w:b/>
          <w:color w:val="55532D"/>
          <w:sz w:val="26"/>
        </w:rPr>
      </w:pPr>
      <w:r>
        <w:rPr>
          <w:rFonts w:ascii="Arial" w:eastAsia="Arial" w:hAnsi="Arial"/>
          <w:b/>
          <w:color w:val="55532D"/>
          <w:sz w:val="26"/>
        </w:rPr>
        <w:lastRenderedPageBreak/>
        <w:t>2.4.5.1 St</w:t>
      </w:r>
      <w:r>
        <w:rPr>
          <w:rFonts w:ascii="Arial" w:eastAsia="Arial" w:hAnsi="Arial"/>
          <w:b/>
          <w:color w:val="55532D"/>
          <w:sz w:val="26"/>
        </w:rPr>
        <w:t>rategic review</w:t>
      </w:r>
    </w:p>
    <w:p w14:paraId="524FDC32" w14:textId="77777777" w:rsidR="00D8670B" w:rsidRDefault="009B37A9">
      <w:pPr>
        <w:spacing w:before="121" w:line="230" w:lineRule="exact"/>
        <w:ind w:right="72"/>
        <w:textAlignment w:val="baseline"/>
        <w:rPr>
          <w:rFonts w:ascii="Arial" w:eastAsia="Arial" w:hAnsi="Arial"/>
          <w:color w:val="000000"/>
          <w:sz w:val="20"/>
        </w:rPr>
      </w:pPr>
      <w:r>
        <w:rPr>
          <w:rFonts w:ascii="Arial" w:eastAsia="Arial" w:hAnsi="Arial"/>
          <w:color w:val="000000"/>
          <w:sz w:val="20"/>
        </w:rPr>
        <w:t>Under the Schedule 2 Item 1.5, the Queensland Government was required to review HHWUE Phase 2 progress in 2014 and report on options to improve the program. The Queensland Government conducted an assessment of the program which identified ma</w:t>
      </w:r>
      <w:r>
        <w:rPr>
          <w:rFonts w:ascii="Arial" w:eastAsia="Arial" w:hAnsi="Arial"/>
          <w:color w:val="000000"/>
          <w:sz w:val="20"/>
        </w:rPr>
        <w:t>intaining irrigator participation as a key focus for the program. The report recommended improvements to the program, of which the following were adopted in subsequent rounds:</w:t>
      </w:r>
    </w:p>
    <w:p w14:paraId="5CBF48CC" w14:textId="77777777" w:rsidR="00D8670B" w:rsidRDefault="009B37A9">
      <w:pPr>
        <w:numPr>
          <w:ilvl w:val="0"/>
          <w:numId w:val="5"/>
        </w:numPr>
        <w:tabs>
          <w:tab w:val="clear" w:pos="432"/>
          <w:tab w:val="left" w:pos="792"/>
        </w:tabs>
        <w:spacing w:before="130" w:line="230" w:lineRule="exact"/>
        <w:ind w:left="792" w:right="720" w:hanging="432"/>
        <w:jc w:val="both"/>
        <w:textAlignment w:val="baseline"/>
        <w:rPr>
          <w:rFonts w:ascii="Arial" w:eastAsia="Arial" w:hAnsi="Arial"/>
          <w:color w:val="000000"/>
          <w:sz w:val="20"/>
        </w:rPr>
      </w:pPr>
      <w:r>
        <w:rPr>
          <w:rFonts w:ascii="Arial" w:eastAsia="Arial" w:hAnsi="Arial"/>
          <w:color w:val="000000"/>
          <w:sz w:val="20"/>
        </w:rPr>
        <w:t>providing irrigators more information regarding the regional benchmark and marke</w:t>
      </w:r>
      <w:r>
        <w:rPr>
          <w:rFonts w:ascii="Arial" w:eastAsia="Arial" w:hAnsi="Arial"/>
          <w:color w:val="000000"/>
          <w:sz w:val="20"/>
        </w:rPr>
        <w:t>t multiple used to calculate value for money</w:t>
      </w:r>
    </w:p>
    <w:p w14:paraId="3158A3C2" w14:textId="77777777" w:rsidR="00D8670B" w:rsidRDefault="009B37A9">
      <w:pPr>
        <w:numPr>
          <w:ilvl w:val="0"/>
          <w:numId w:val="5"/>
        </w:numPr>
        <w:tabs>
          <w:tab w:val="clear" w:pos="432"/>
          <w:tab w:val="left" w:pos="792"/>
        </w:tabs>
        <w:spacing w:before="135" w:line="230" w:lineRule="exact"/>
        <w:ind w:left="792" w:hanging="432"/>
        <w:jc w:val="both"/>
        <w:textAlignment w:val="baseline"/>
        <w:rPr>
          <w:rFonts w:ascii="Arial" w:eastAsia="Arial" w:hAnsi="Arial"/>
          <w:color w:val="000000"/>
          <w:spacing w:val="-1"/>
          <w:sz w:val="20"/>
        </w:rPr>
      </w:pPr>
      <w:r>
        <w:rPr>
          <w:rFonts w:ascii="Arial" w:eastAsia="Arial" w:hAnsi="Arial"/>
          <w:color w:val="000000"/>
          <w:spacing w:val="-1"/>
          <w:sz w:val="20"/>
        </w:rPr>
        <w:t>expanding eligible areas to include the mid and upper Condamine, and Lower Balonne overland flow water</w:t>
      </w:r>
    </w:p>
    <w:p w14:paraId="308F27AA" w14:textId="77777777" w:rsidR="00D8670B" w:rsidRDefault="009B37A9">
      <w:pPr>
        <w:numPr>
          <w:ilvl w:val="0"/>
          <w:numId w:val="5"/>
        </w:numPr>
        <w:tabs>
          <w:tab w:val="clear" w:pos="432"/>
          <w:tab w:val="left" w:pos="792"/>
        </w:tabs>
        <w:spacing w:before="130" w:line="230" w:lineRule="exact"/>
        <w:ind w:left="792" w:hanging="432"/>
        <w:jc w:val="both"/>
        <w:textAlignment w:val="baseline"/>
        <w:rPr>
          <w:rFonts w:ascii="Arial" w:eastAsia="Arial" w:hAnsi="Arial"/>
          <w:color w:val="000000"/>
          <w:sz w:val="20"/>
        </w:rPr>
      </w:pPr>
      <w:r>
        <w:rPr>
          <w:rFonts w:ascii="Arial" w:eastAsia="Arial" w:hAnsi="Arial"/>
          <w:color w:val="000000"/>
          <w:sz w:val="20"/>
        </w:rPr>
        <w:t>expanding eligible projects to include dislocated water.</w:t>
      </w:r>
    </w:p>
    <w:p w14:paraId="7EF16498" w14:textId="77777777" w:rsidR="00D8670B" w:rsidRDefault="009B37A9">
      <w:pPr>
        <w:spacing w:before="246" w:line="297" w:lineRule="exact"/>
        <w:textAlignment w:val="baseline"/>
        <w:rPr>
          <w:rFonts w:ascii="Arial" w:eastAsia="Arial" w:hAnsi="Arial"/>
          <w:b/>
          <w:color w:val="55532D"/>
          <w:sz w:val="26"/>
        </w:rPr>
      </w:pPr>
      <w:r>
        <w:rPr>
          <w:rFonts w:ascii="Arial" w:eastAsia="Arial" w:hAnsi="Arial"/>
          <w:b/>
          <w:color w:val="55532D"/>
          <w:sz w:val="26"/>
        </w:rPr>
        <w:t>2.4.5.2 Social sciences survey</w:t>
      </w:r>
    </w:p>
    <w:p w14:paraId="0DAD1222" w14:textId="77777777" w:rsidR="00D8670B" w:rsidRDefault="009B37A9">
      <w:pPr>
        <w:spacing w:before="117" w:line="230" w:lineRule="exact"/>
        <w:ind w:right="216"/>
        <w:textAlignment w:val="baseline"/>
        <w:rPr>
          <w:rFonts w:ascii="Arial" w:eastAsia="Arial" w:hAnsi="Arial"/>
          <w:color w:val="000000"/>
          <w:sz w:val="20"/>
        </w:rPr>
      </w:pPr>
      <w:r>
        <w:rPr>
          <w:rFonts w:ascii="Arial" w:eastAsia="Arial" w:hAnsi="Arial"/>
          <w:color w:val="000000"/>
          <w:sz w:val="20"/>
        </w:rPr>
        <w:t xml:space="preserve">As part of the program’s </w:t>
      </w:r>
      <w:r>
        <w:rPr>
          <w:rFonts w:ascii="Arial" w:eastAsia="Arial" w:hAnsi="Arial"/>
          <w:color w:val="000000"/>
          <w:sz w:val="20"/>
        </w:rPr>
        <w:t xml:space="preserve">strategic review, the Queensland Government engaged its Department of Science, Information Technology and Innovation’s Social Sciences unit to gauge irrigator interest and attitudes towards the HHWUE program. The review, which was concluded in April 2015, </w:t>
      </w:r>
      <w:r>
        <w:rPr>
          <w:rFonts w:ascii="Arial" w:eastAsia="Arial" w:hAnsi="Arial"/>
          <w:color w:val="000000"/>
          <w:sz w:val="20"/>
        </w:rPr>
        <w:t>gathered information on the biophysical, financial, philosophical, technical and personal factors which influenced irrigator’s participation in HHWUE and other water recovery measures. Researchers conducted 41 interviews with Border Rivers and Lower Balonn</w:t>
      </w:r>
      <w:r>
        <w:rPr>
          <w:rFonts w:ascii="Arial" w:eastAsia="Arial" w:hAnsi="Arial"/>
          <w:color w:val="000000"/>
          <w:sz w:val="20"/>
        </w:rPr>
        <w:t>e irrigators, including some HHWUE and buyback participants. The findings informed subsequent changes to promotional and engagement activities.</w:t>
      </w:r>
    </w:p>
    <w:p w14:paraId="439D6005" w14:textId="77777777" w:rsidR="00D8670B" w:rsidRDefault="009B37A9">
      <w:pPr>
        <w:spacing w:before="246" w:line="297" w:lineRule="exact"/>
        <w:textAlignment w:val="baseline"/>
        <w:rPr>
          <w:rFonts w:ascii="Arial" w:eastAsia="Arial" w:hAnsi="Arial"/>
          <w:b/>
          <w:color w:val="55532D"/>
          <w:sz w:val="26"/>
        </w:rPr>
      </w:pPr>
      <w:r>
        <w:rPr>
          <w:rFonts w:ascii="Arial" w:eastAsia="Arial" w:hAnsi="Arial"/>
          <w:b/>
          <w:color w:val="55532D"/>
          <w:sz w:val="26"/>
        </w:rPr>
        <w:t>2.4.5.3 Procedural reviews</w:t>
      </w:r>
    </w:p>
    <w:p w14:paraId="0779661A" w14:textId="77777777" w:rsidR="00D8670B" w:rsidRDefault="009B37A9">
      <w:pPr>
        <w:spacing w:before="118" w:line="230" w:lineRule="exact"/>
        <w:ind w:right="72"/>
        <w:textAlignment w:val="baseline"/>
        <w:rPr>
          <w:rFonts w:ascii="Arial" w:eastAsia="Arial" w:hAnsi="Arial"/>
          <w:color w:val="000000"/>
          <w:spacing w:val="1"/>
          <w:sz w:val="20"/>
        </w:rPr>
      </w:pPr>
      <w:r>
        <w:rPr>
          <w:rFonts w:ascii="Arial" w:eastAsia="Arial" w:hAnsi="Arial"/>
          <w:color w:val="000000"/>
          <w:spacing w:val="1"/>
          <w:sz w:val="20"/>
        </w:rPr>
        <w:t>The Queensland Government engaged accountants from Barr Group BCM to provide issues-b</w:t>
      </w:r>
      <w:r>
        <w:rPr>
          <w:rFonts w:ascii="Arial" w:eastAsia="Arial" w:hAnsi="Arial"/>
          <w:color w:val="000000"/>
          <w:spacing w:val="1"/>
          <w:sz w:val="20"/>
        </w:rPr>
        <w:t>ased advice on matters of financial accountability. Barr Group BCM also conducted two procedural reviews on the HHWUE program in 2017 with a focus on the appropriateness and rigor of payment claim assessment procedures. The reviews concluded the Queensland</w:t>
      </w:r>
      <w:r>
        <w:rPr>
          <w:rFonts w:ascii="Arial" w:eastAsia="Arial" w:hAnsi="Arial"/>
          <w:color w:val="000000"/>
          <w:spacing w:val="1"/>
          <w:sz w:val="20"/>
        </w:rPr>
        <w:t xml:space="preserve"> Government had implemented and continuously improved a series of processes for robust assessment of payment claims. The review recommended some additional measures in relation to in-kind expenditure and verification of goods which were adopted into the HH</w:t>
      </w:r>
      <w:r>
        <w:rPr>
          <w:rFonts w:ascii="Arial" w:eastAsia="Arial" w:hAnsi="Arial"/>
          <w:color w:val="000000"/>
          <w:spacing w:val="1"/>
          <w:sz w:val="20"/>
        </w:rPr>
        <w:t>WUE program’s continuous improvement.</w:t>
      </w:r>
    </w:p>
    <w:p w14:paraId="574EB575" w14:textId="77777777" w:rsidR="00D8670B" w:rsidRDefault="009B37A9">
      <w:pPr>
        <w:spacing w:before="241" w:line="297" w:lineRule="exact"/>
        <w:textAlignment w:val="baseline"/>
        <w:rPr>
          <w:rFonts w:ascii="Arial" w:eastAsia="Arial" w:hAnsi="Arial"/>
          <w:b/>
          <w:color w:val="55532D"/>
          <w:sz w:val="26"/>
        </w:rPr>
      </w:pPr>
      <w:r>
        <w:rPr>
          <w:rFonts w:ascii="Arial" w:eastAsia="Arial" w:hAnsi="Arial"/>
          <w:b/>
          <w:color w:val="55532D"/>
          <w:sz w:val="26"/>
        </w:rPr>
        <w:t>2.4.5.4 Internal expenditure review</w:t>
      </w:r>
    </w:p>
    <w:p w14:paraId="01942452" w14:textId="77777777" w:rsidR="00D8670B" w:rsidRDefault="009B37A9">
      <w:pPr>
        <w:spacing w:before="121" w:line="230" w:lineRule="exact"/>
        <w:ind w:right="144"/>
        <w:textAlignment w:val="baseline"/>
        <w:rPr>
          <w:rFonts w:ascii="Arial" w:eastAsia="Arial" w:hAnsi="Arial"/>
          <w:color w:val="000000"/>
          <w:sz w:val="20"/>
        </w:rPr>
      </w:pPr>
      <w:r>
        <w:rPr>
          <w:rFonts w:ascii="Arial" w:eastAsia="Arial" w:hAnsi="Arial"/>
          <w:color w:val="000000"/>
          <w:sz w:val="20"/>
        </w:rPr>
        <w:t>The Queensland Government undertook an internal expenditure review for the HHWUE program in 2018. This review aimed to determine whether the use of funds by irrigators under the HHWU</w:t>
      </w:r>
      <w:r>
        <w:rPr>
          <w:rFonts w:ascii="Arial" w:eastAsia="Arial" w:hAnsi="Arial"/>
          <w:color w:val="000000"/>
          <w:sz w:val="20"/>
        </w:rPr>
        <w:t>E program had been appropriate. The Department of Natural Resources, Mines and Energy’s Regional Investigation Unit reviewed a sample of 15 HHWUE projects and their expenditure. The unit undertook a desktop assessment of project records and satellite image</w:t>
      </w:r>
      <w:r>
        <w:rPr>
          <w:rFonts w:ascii="Arial" w:eastAsia="Arial" w:hAnsi="Arial"/>
          <w:color w:val="000000"/>
          <w:sz w:val="20"/>
        </w:rPr>
        <w:t>ry, and sought additional evidence from irrigators and third parties.</w:t>
      </w:r>
    </w:p>
    <w:p w14:paraId="2B4216F6" w14:textId="77777777" w:rsidR="00D8670B" w:rsidRDefault="009B37A9">
      <w:pPr>
        <w:spacing w:before="118" w:line="230" w:lineRule="exact"/>
        <w:ind w:right="144"/>
        <w:textAlignment w:val="baseline"/>
        <w:rPr>
          <w:rFonts w:ascii="Arial" w:eastAsia="Arial" w:hAnsi="Arial"/>
          <w:color w:val="000000"/>
          <w:sz w:val="20"/>
        </w:rPr>
      </w:pPr>
      <w:r>
        <w:rPr>
          <w:rFonts w:ascii="Arial" w:eastAsia="Arial" w:hAnsi="Arial"/>
          <w:color w:val="000000"/>
          <w:sz w:val="20"/>
        </w:rPr>
        <w:t>The review identified procedural improvements for the HHWUE program many of which were incorporated into contract management processes if not already included. For instance, the review r</w:t>
      </w:r>
      <w:r>
        <w:rPr>
          <w:rFonts w:ascii="Arial" w:eastAsia="Arial" w:hAnsi="Arial"/>
          <w:color w:val="000000"/>
          <w:sz w:val="20"/>
        </w:rPr>
        <w:t>ecommended additional site inspections to check projects before making final payments. The Queensland Government undertook a number of these inspections in 2018. Other recommendations were considered suitable for future similar programs and are captured in</w:t>
      </w:r>
      <w:r>
        <w:rPr>
          <w:rFonts w:ascii="Arial" w:eastAsia="Arial" w:hAnsi="Arial"/>
          <w:color w:val="000000"/>
          <w:sz w:val="20"/>
        </w:rPr>
        <w:t xml:space="preserve"> the learnings in this report. Overall however, the review found no direct evidence to indicate inappropriate use of HHWUE funding and concluded the program had been delivered with sound levels of rigor, knowledge and accountability.</w:t>
      </w:r>
    </w:p>
    <w:p w14:paraId="2177A58D" w14:textId="77777777" w:rsidR="00D8670B" w:rsidRDefault="009B37A9">
      <w:pPr>
        <w:spacing w:before="246" w:line="297" w:lineRule="exact"/>
        <w:textAlignment w:val="baseline"/>
        <w:rPr>
          <w:rFonts w:ascii="Arial" w:eastAsia="Arial" w:hAnsi="Arial"/>
          <w:b/>
          <w:color w:val="55532D"/>
          <w:sz w:val="26"/>
        </w:rPr>
      </w:pPr>
      <w:r>
        <w:rPr>
          <w:rFonts w:ascii="Arial" w:eastAsia="Arial" w:hAnsi="Arial"/>
          <w:b/>
          <w:color w:val="55532D"/>
          <w:sz w:val="26"/>
        </w:rPr>
        <w:t>2.4.5.5 Assurance revi</w:t>
      </w:r>
      <w:r>
        <w:rPr>
          <w:rFonts w:ascii="Arial" w:eastAsia="Arial" w:hAnsi="Arial"/>
          <w:b/>
          <w:color w:val="55532D"/>
          <w:sz w:val="26"/>
        </w:rPr>
        <w:t>ew</w:t>
      </w:r>
    </w:p>
    <w:p w14:paraId="0616CA76" w14:textId="77777777" w:rsidR="00D8670B" w:rsidRDefault="009B37A9">
      <w:pPr>
        <w:spacing w:before="116" w:line="230" w:lineRule="exact"/>
        <w:ind w:right="720"/>
        <w:textAlignment w:val="baseline"/>
        <w:rPr>
          <w:rFonts w:ascii="Arial" w:eastAsia="Arial" w:hAnsi="Arial"/>
          <w:color w:val="000000"/>
          <w:sz w:val="20"/>
        </w:rPr>
      </w:pPr>
      <w:r>
        <w:rPr>
          <w:rFonts w:ascii="Arial" w:eastAsia="Arial" w:hAnsi="Arial"/>
          <w:color w:val="000000"/>
          <w:sz w:val="20"/>
        </w:rPr>
        <w:t>The Australian Government conducted reviews of HHWUE processes to ensure compliance with the Water Management Partnership Agreement and Schedule 2.</w:t>
      </w:r>
    </w:p>
    <w:p w14:paraId="3361BD7D" w14:textId="77777777" w:rsidR="00D8670B" w:rsidRDefault="009B37A9">
      <w:pPr>
        <w:spacing w:before="122" w:line="230" w:lineRule="exact"/>
        <w:ind w:right="144"/>
        <w:textAlignment w:val="baseline"/>
        <w:rPr>
          <w:rFonts w:ascii="Arial" w:eastAsia="Arial" w:hAnsi="Arial"/>
          <w:color w:val="000000"/>
          <w:sz w:val="20"/>
        </w:rPr>
      </w:pPr>
      <w:r>
        <w:rPr>
          <w:rFonts w:ascii="Arial" w:eastAsia="Arial" w:hAnsi="Arial"/>
          <w:color w:val="000000"/>
          <w:sz w:val="20"/>
        </w:rPr>
        <w:t xml:space="preserve">The Australian Government also commissioned an independent assurance review by KPMG of the HHWUE program </w:t>
      </w:r>
      <w:r>
        <w:rPr>
          <w:rFonts w:ascii="Arial" w:eastAsia="Arial" w:hAnsi="Arial"/>
          <w:color w:val="000000"/>
          <w:sz w:val="20"/>
        </w:rPr>
        <w:t>in 2018. The review aimed to examine the governance, risk and control processes of the program to ensure the effective use of Australian Government funds. KPMG selected a sample of 20 HHWUE projects for a desktop review, and within this sample selected nin</w:t>
      </w:r>
      <w:r>
        <w:rPr>
          <w:rFonts w:ascii="Arial" w:eastAsia="Arial" w:hAnsi="Arial"/>
          <w:color w:val="000000"/>
          <w:sz w:val="20"/>
        </w:rPr>
        <w:t>e projects for on-farm verification. The sample covered a range of total project costs, funding rounds, project types and catchments.</w:t>
      </w:r>
    </w:p>
    <w:p w14:paraId="47AF3179" w14:textId="77777777" w:rsidR="00D8670B" w:rsidRDefault="009B37A9">
      <w:pPr>
        <w:spacing w:before="120" w:line="230" w:lineRule="exact"/>
        <w:ind w:right="72"/>
        <w:textAlignment w:val="baseline"/>
        <w:rPr>
          <w:rFonts w:ascii="Arial" w:eastAsia="Arial" w:hAnsi="Arial"/>
          <w:color w:val="000000"/>
          <w:sz w:val="20"/>
        </w:rPr>
      </w:pPr>
      <w:r>
        <w:rPr>
          <w:rFonts w:ascii="Arial" w:eastAsia="Arial" w:hAnsi="Arial"/>
          <w:color w:val="000000"/>
          <w:sz w:val="20"/>
        </w:rPr>
        <w:t>Similar to the internal expenditure review, some recommendations had already been incorporated into the HHWUE program whil</w:t>
      </w:r>
      <w:r>
        <w:rPr>
          <w:rFonts w:ascii="Arial" w:eastAsia="Arial" w:hAnsi="Arial"/>
          <w:color w:val="000000"/>
          <w:sz w:val="20"/>
        </w:rPr>
        <w:t>e others are captured as learnings for future programs. Overall, KPMG’s assessment found:</w:t>
      </w:r>
    </w:p>
    <w:p w14:paraId="2709D4F9" w14:textId="77777777" w:rsidR="00D8670B" w:rsidRDefault="009B37A9">
      <w:pPr>
        <w:numPr>
          <w:ilvl w:val="0"/>
          <w:numId w:val="5"/>
        </w:numPr>
        <w:tabs>
          <w:tab w:val="clear" w:pos="432"/>
          <w:tab w:val="left" w:pos="792"/>
        </w:tabs>
        <w:spacing w:before="131" w:after="315" w:line="230" w:lineRule="exact"/>
        <w:ind w:left="792" w:right="720" w:hanging="432"/>
        <w:textAlignment w:val="baseline"/>
        <w:rPr>
          <w:rFonts w:ascii="Arial" w:eastAsia="Arial" w:hAnsi="Arial"/>
          <w:color w:val="000000"/>
          <w:sz w:val="20"/>
        </w:rPr>
      </w:pPr>
      <w:r>
        <w:rPr>
          <w:rFonts w:ascii="Arial" w:eastAsia="Arial" w:hAnsi="Arial"/>
          <w:color w:val="000000"/>
          <w:sz w:val="20"/>
        </w:rPr>
        <w:t>the Queensland Government had developed and implemented a number of controls, processes and structures to assist in the effective administration of the HHWUE program</w:t>
      </w:r>
    </w:p>
    <w:p w14:paraId="3F3C26BB" w14:textId="77777777" w:rsidR="00D8670B" w:rsidRDefault="009B37A9">
      <w:pPr>
        <w:spacing w:before="164" w:line="228" w:lineRule="exact"/>
        <w:jc w:val="center"/>
        <w:textAlignment w:val="baseline"/>
        <w:rPr>
          <w:rFonts w:ascii="Arial" w:eastAsia="Arial" w:hAnsi="Arial"/>
          <w:color w:val="000000"/>
          <w:spacing w:val="40"/>
          <w:sz w:val="20"/>
        </w:rPr>
      </w:pPr>
      <w:r>
        <w:pict w14:anchorId="1304117B">
          <v:line id="_x0000_s1081" style="position:absolute;left:0;text-align:left;z-index:251704320;mso-position-horizontal-relative:page;mso-position-vertical-relative:page" from="41.05pt,789.1pt" to="554.45pt,789.1pt" strokeweight="1.7pt">
            <w10:wrap anchorx="page" anchory="page"/>
          </v:line>
        </w:pict>
      </w:r>
      <w:r>
        <w:rPr>
          <w:rFonts w:ascii="Arial" w:eastAsia="Arial" w:hAnsi="Arial"/>
          <w:color w:val="000000"/>
          <w:spacing w:val="40"/>
          <w:sz w:val="20"/>
        </w:rPr>
        <w:t>29</w:t>
      </w:r>
    </w:p>
    <w:p w14:paraId="01A69859" w14:textId="77777777" w:rsidR="00D8670B" w:rsidRDefault="00D8670B">
      <w:pPr>
        <w:sectPr w:rsidR="00D8670B">
          <w:pgSz w:w="11909" w:h="16838"/>
          <w:pgMar w:top="1140" w:right="821" w:bottom="282" w:left="821" w:header="720" w:footer="720" w:gutter="0"/>
          <w:cols w:space="720"/>
        </w:sectPr>
      </w:pPr>
    </w:p>
    <w:p w14:paraId="6F2F3B96" w14:textId="77777777" w:rsidR="00D8670B" w:rsidRDefault="009B37A9">
      <w:pPr>
        <w:numPr>
          <w:ilvl w:val="0"/>
          <w:numId w:val="1"/>
        </w:numPr>
        <w:tabs>
          <w:tab w:val="clear" w:pos="360"/>
          <w:tab w:val="left" w:pos="720"/>
        </w:tabs>
        <w:spacing w:before="24" w:line="235" w:lineRule="exact"/>
        <w:ind w:left="720" w:right="216" w:hanging="360"/>
        <w:textAlignment w:val="baseline"/>
        <w:rPr>
          <w:rFonts w:ascii="Arial" w:eastAsia="Arial" w:hAnsi="Arial"/>
          <w:color w:val="000000"/>
          <w:sz w:val="20"/>
        </w:rPr>
      </w:pPr>
      <w:r>
        <w:rPr>
          <w:rFonts w:ascii="Arial" w:eastAsia="Arial" w:hAnsi="Arial"/>
          <w:color w:val="000000"/>
          <w:sz w:val="20"/>
        </w:rPr>
        <w:lastRenderedPageBreak/>
        <w:t>the projects reviewed through desktop and site visits corresponded with scope and progress reported and maintained by the Queensland Government</w:t>
      </w:r>
    </w:p>
    <w:p w14:paraId="020DDE9C" w14:textId="77777777" w:rsidR="00D8670B" w:rsidRDefault="009B37A9">
      <w:pPr>
        <w:numPr>
          <w:ilvl w:val="0"/>
          <w:numId w:val="1"/>
        </w:numPr>
        <w:tabs>
          <w:tab w:val="clear" w:pos="360"/>
          <w:tab w:val="left" w:pos="720"/>
        </w:tabs>
        <w:spacing w:before="135" w:line="230" w:lineRule="exact"/>
        <w:ind w:left="720" w:hanging="360"/>
        <w:textAlignment w:val="baseline"/>
        <w:rPr>
          <w:rFonts w:ascii="Arial" w:eastAsia="Arial" w:hAnsi="Arial"/>
          <w:color w:val="000000"/>
          <w:sz w:val="20"/>
        </w:rPr>
      </w:pPr>
      <w:r>
        <w:rPr>
          <w:rFonts w:ascii="Arial" w:eastAsia="Arial" w:hAnsi="Arial"/>
          <w:color w:val="000000"/>
          <w:sz w:val="20"/>
        </w:rPr>
        <w:t>no instances of non-compliance with key provisions of the Water Management Partnership Agreement.</w:t>
      </w:r>
    </w:p>
    <w:p w14:paraId="6921C216" w14:textId="77777777" w:rsidR="00D8670B" w:rsidRDefault="009B37A9">
      <w:pPr>
        <w:spacing w:before="242" w:line="319" w:lineRule="exact"/>
        <w:textAlignment w:val="baseline"/>
        <w:rPr>
          <w:rFonts w:ascii="Arial" w:eastAsia="Arial" w:hAnsi="Arial"/>
          <w:b/>
          <w:color w:val="346C36"/>
          <w:sz w:val="28"/>
        </w:rPr>
      </w:pPr>
      <w:r>
        <w:rPr>
          <w:rFonts w:ascii="Arial" w:eastAsia="Arial" w:hAnsi="Arial"/>
          <w:b/>
          <w:color w:val="346C36"/>
          <w:sz w:val="28"/>
        </w:rPr>
        <w:t>2.4.6 Human re</w:t>
      </w:r>
      <w:r>
        <w:rPr>
          <w:rFonts w:ascii="Arial" w:eastAsia="Arial" w:hAnsi="Arial"/>
          <w:b/>
          <w:color w:val="346C36"/>
          <w:sz w:val="28"/>
        </w:rPr>
        <w:t>source</w:t>
      </w:r>
    </w:p>
    <w:p w14:paraId="4F1FC7C5" w14:textId="77777777" w:rsidR="00D8670B" w:rsidRDefault="009B37A9">
      <w:pPr>
        <w:spacing w:before="118" w:line="230" w:lineRule="exact"/>
        <w:ind w:right="144"/>
        <w:textAlignment w:val="baseline"/>
        <w:rPr>
          <w:rFonts w:ascii="Arial" w:eastAsia="Arial" w:hAnsi="Arial"/>
          <w:color w:val="000000"/>
          <w:sz w:val="20"/>
        </w:rPr>
      </w:pPr>
      <w:r>
        <w:rPr>
          <w:rFonts w:ascii="Arial" w:eastAsia="Arial" w:hAnsi="Arial"/>
          <w:color w:val="000000"/>
          <w:sz w:val="20"/>
        </w:rPr>
        <w:t>The HHWUE program was delivered by a team employed by the Department of Natural Resources, Mines and Energy and based in the department’s Toowoomba office. The team operated under the Queensland Government and department’s human resources policies a</w:t>
      </w:r>
      <w:r>
        <w:rPr>
          <w:rFonts w:ascii="Arial" w:eastAsia="Arial" w:hAnsi="Arial"/>
          <w:color w:val="000000"/>
          <w:sz w:val="20"/>
        </w:rPr>
        <w:t xml:space="preserve">nd procedures. The team functioned within the Basin Implementation business unit and consisted of a Director, Program Manager and up to six Project Officers with collective skills in contract management, engagement, agriculture, finance and communication. </w:t>
      </w:r>
      <w:r>
        <w:rPr>
          <w:rFonts w:ascii="Arial" w:eastAsia="Arial" w:hAnsi="Arial"/>
          <w:color w:val="000000"/>
          <w:sz w:val="20"/>
        </w:rPr>
        <w:t>Early in the program, the team also included a part time Legal Officer who handled contract and Schedule 2 matters, and a GIS Officer who provided data and mapping services.</w:t>
      </w:r>
    </w:p>
    <w:p w14:paraId="113FB220" w14:textId="77777777" w:rsidR="00D8670B" w:rsidRDefault="009B37A9">
      <w:pPr>
        <w:spacing w:before="122" w:after="90" w:line="230" w:lineRule="exact"/>
        <w:ind w:right="360"/>
        <w:textAlignment w:val="baseline"/>
        <w:rPr>
          <w:rFonts w:ascii="Arial" w:eastAsia="Arial" w:hAnsi="Arial"/>
          <w:color w:val="000000"/>
          <w:sz w:val="20"/>
        </w:rPr>
      </w:pPr>
      <w:r>
        <w:rPr>
          <w:rFonts w:ascii="Arial" w:eastAsia="Arial" w:hAnsi="Arial"/>
          <w:color w:val="000000"/>
          <w:sz w:val="20"/>
        </w:rPr>
        <w:t>The program team was responsible for receiving and assessing applications, facilit</w:t>
      </w:r>
      <w:r>
        <w:rPr>
          <w:rFonts w:ascii="Arial" w:eastAsia="Arial" w:hAnsi="Arial"/>
          <w:color w:val="000000"/>
          <w:sz w:val="20"/>
        </w:rPr>
        <w:t>ating contract execution, monitoring project progress, assessing payment claims, delivering engagement and promotional activities and overseeing contracts for complementary measures projects. Decisions such as recommendations for funding or approval of pay</w:t>
      </w:r>
      <w:r>
        <w:rPr>
          <w:rFonts w:ascii="Arial" w:eastAsia="Arial" w:hAnsi="Arial"/>
          <w:color w:val="000000"/>
          <w:sz w:val="20"/>
        </w:rPr>
        <w:t>ments were referred to the relevant departmental financial delegate.</w:t>
      </w:r>
    </w:p>
    <w:p w14:paraId="53A13C22" w14:textId="77777777" w:rsidR="00D8670B" w:rsidRDefault="009B37A9">
      <w:pPr>
        <w:spacing w:after="107"/>
        <w:ind w:left="33" w:right="77"/>
        <w:textAlignment w:val="baseline"/>
      </w:pPr>
      <w:r>
        <w:rPr>
          <w:noProof/>
        </w:rPr>
        <w:drawing>
          <wp:inline distT="0" distB="0" distL="0" distR="0" wp14:anchorId="1E1F5010" wp14:editId="7D632724">
            <wp:extent cx="6449695" cy="467550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38"/>
                    <a:stretch>
                      <a:fillRect/>
                    </a:stretch>
                  </pic:blipFill>
                  <pic:spPr>
                    <a:xfrm>
                      <a:off x="0" y="0"/>
                      <a:ext cx="6449695" cy="4675505"/>
                    </a:xfrm>
                    <a:prstGeom prst="rect">
                      <a:avLst/>
                    </a:prstGeom>
                  </pic:spPr>
                </pic:pic>
              </a:graphicData>
            </a:graphic>
          </wp:inline>
        </w:drawing>
      </w:r>
    </w:p>
    <w:p w14:paraId="6B8CBB44"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10: Indicative decision making structure at the time of writing</w:t>
      </w:r>
    </w:p>
    <w:p w14:paraId="10F91485" w14:textId="77777777" w:rsidR="00D8670B" w:rsidRDefault="009B37A9">
      <w:pPr>
        <w:spacing w:before="596" w:line="319" w:lineRule="exact"/>
        <w:textAlignment w:val="baseline"/>
        <w:rPr>
          <w:rFonts w:ascii="Arial" w:eastAsia="Arial" w:hAnsi="Arial"/>
          <w:b/>
          <w:color w:val="346C36"/>
          <w:sz w:val="28"/>
        </w:rPr>
      </w:pPr>
      <w:r>
        <w:rPr>
          <w:rFonts w:ascii="Arial" w:eastAsia="Arial" w:hAnsi="Arial"/>
          <w:b/>
          <w:color w:val="346C36"/>
          <w:sz w:val="28"/>
        </w:rPr>
        <w:t>2.4.7 Communications and stakeholders</w:t>
      </w:r>
    </w:p>
    <w:p w14:paraId="3E94ECB0" w14:textId="77777777" w:rsidR="00D8670B" w:rsidRDefault="009B37A9">
      <w:pPr>
        <w:spacing w:before="117" w:after="690" w:line="230" w:lineRule="exact"/>
        <w:ind w:right="216"/>
        <w:textAlignment w:val="baseline"/>
        <w:rPr>
          <w:rFonts w:ascii="Arial" w:eastAsia="Arial" w:hAnsi="Arial"/>
          <w:color w:val="000000"/>
          <w:sz w:val="20"/>
        </w:rPr>
      </w:pPr>
      <w:r>
        <w:rPr>
          <w:rFonts w:ascii="Arial" w:eastAsia="Arial" w:hAnsi="Arial"/>
          <w:color w:val="000000"/>
          <w:sz w:val="20"/>
        </w:rPr>
        <w:t>The Queensland Government developed a communication strategy for the HHWUE p</w:t>
      </w:r>
      <w:r>
        <w:rPr>
          <w:rFonts w:ascii="Arial" w:eastAsia="Arial" w:hAnsi="Arial"/>
          <w:color w:val="000000"/>
          <w:sz w:val="20"/>
        </w:rPr>
        <w:t>rogram. This strategy covered both the promotional activities discussed above and broader stakeholder management. The Queensland Government identified key stakeholder groups and their needs, interest and influence in relation to the program. The strategy w</w:t>
      </w:r>
      <w:r>
        <w:rPr>
          <w:rFonts w:ascii="Arial" w:eastAsia="Arial" w:hAnsi="Arial"/>
          <w:color w:val="000000"/>
          <w:sz w:val="20"/>
        </w:rPr>
        <w:t>as updated regularly to reflect changes in the program targeting.</w:t>
      </w:r>
    </w:p>
    <w:p w14:paraId="7248E284" w14:textId="77777777" w:rsidR="00D8670B" w:rsidRDefault="009B37A9">
      <w:pPr>
        <w:spacing w:before="164" w:line="228" w:lineRule="exact"/>
        <w:jc w:val="center"/>
        <w:textAlignment w:val="baseline"/>
        <w:rPr>
          <w:rFonts w:ascii="Arial" w:eastAsia="Arial" w:hAnsi="Arial"/>
          <w:color w:val="000000"/>
          <w:spacing w:val="40"/>
          <w:sz w:val="20"/>
        </w:rPr>
      </w:pPr>
      <w:r>
        <w:pict w14:anchorId="21BEEFC1">
          <v:line id="_x0000_s1080" style="position:absolute;left:0;text-align:left;z-index:251705344;mso-position-horizontal-relative:page;mso-position-vertical-relative:page" from="41.05pt,789.1pt" to="554.45pt,789.1pt" strokeweight="1.7pt">
            <w10:wrap anchorx="page" anchory="page"/>
          </v:line>
        </w:pict>
      </w:r>
      <w:r>
        <w:rPr>
          <w:rFonts w:ascii="Arial" w:eastAsia="Arial" w:hAnsi="Arial"/>
          <w:color w:val="000000"/>
          <w:spacing w:val="40"/>
          <w:sz w:val="20"/>
        </w:rPr>
        <w:t>30</w:t>
      </w:r>
    </w:p>
    <w:p w14:paraId="7126E633" w14:textId="77777777" w:rsidR="00D8670B" w:rsidRDefault="00D8670B">
      <w:pPr>
        <w:sectPr w:rsidR="00D8670B">
          <w:pgSz w:w="11909" w:h="16838"/>
          <w:pgMar w:top="1120" w:right="821" w:bottom="282" w:left="821" w:header="720" w:footer="720" w:gutter="0"/>
          <w:cols w:space="720"/>
        </w:sectPr>
      </w:pPr>
    </w:p>
    <w:p w14:paraId="7C5A234B" w14:textId="77777777" w:rsidR="00D8670B" w:rsidRDefault="009B37A9">
      <w:pPr>
        <w:spacing w:before="14" w:after="107"/>
        <w:ind w:left="2357" w:right="2366"/>
        <w:textAlignment w:val="baseline"/>
      </w:pPr>
      <w:r>
        <w:rPr>
          <w:noProof/>
        </w:rPr>
        <w:lastRenderedPageBreak/>
        <w:drawing>
          <wp:inline distT="0" distB="0" distL="0" distR="0" wp14:anchorId="350091D6" wp14:editId="5FE17FA5">
            <wp:extent cx="3520440" cy="231330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39"/>
                    <a:stretch>
                      <a:fillRect/>
                    </a:stretch>
                  </pic:blipFill>
                  <pic:spPr>
                    <a:xfrm>
                      <a:off x="0" y="0"/>
                      <a:ext cx="3520440" cy="2313305"/>
                    </a:xfrm>
                    <a:prstGeom prst="rect">
                      <a:avLst/>
                    </a:prstGeom>
                  </pic:spPr>
                </pic:pic>
              </a:graphicData>
            </a:graphic>
          </wp:inline>
        </w:drawing>
      </w:r>
    </w:p>
    <w:p w14:paraId="2908DC53"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11: Key stakeholders who shaped Phase 2</w:t>
      </w:r>
    </w:p>
    <w:p w14:paraId="53F91B2B" w14:textId="77777777" w:rsidR="00D8670B" w:rsidRDefault="009B37A9">
      <w:pPr>
        <w:spacing w:before="121" w:line="230" w:lineRule="exact"/>
        <w:ind w:right="72"/>
        <w:textAlignment w:val="baseline"/>
        <w:rPr>
          <w:rFonts w:ascii="Arial" w:eastAsia="Arial" w:hAnsi="Arial"/>
          <w:color w:val="000000"/>
          <w:sz w:val="20"/>
        </w:rPr>
      </w:pPr>
      <w:r>
        <w:rPr>
          <w:rFonts w:ascii="Arial" w:eastAsia="Arial" w:hAnsi="Arial"/>
          <w:color w:val="000000"/>
          <w:sz w:val="20"/>
        </w:rPr>
        <w:t>Core stakeholders such as eligible irrigators, consultants and the Australian Government participated in developing and delivering the program since Phase 1, and have been the focus of consistent communication over the program life. During the program life</w:t>
      </w:r>
      <w:r>
        <w:rPr>
          <w:rFonts w:ascii="Arial" w:eastAsia="Arial" w:hAnsi="Arial"/>
          <w:color w:val="000000"/>
          <w:sz w:val="20"/>
        </w:rPr>
        <w:t>, the Queensland Government also consulted a wide group of industry representatives and related bodies who influenced program changes. The Queensland Government kept these stakeholders informed of program progress and changes. Many communications activitie</w:t>
      </w:r>
      <w:r>
        <w:rPr>
          <w:rFonts w:ascii="Arial" w:eastAsia="Arial" w:hAnsi="Arial"/>
          <w:color w:val="000000"/>
          <w:sz w:val="20"/>
        </w:rPr>
        <w:t>s are discussed in the promotional and engagement sections above.</w:t>
      </w:r>
    </w:p>
    <w:p w14:paraId="1694113F" w14:textId="77777777" w:rsidR="00D8670B" w:rsidRDefault="009B37A9">
      <w:pPr>
        <w:spacing w:before="243" w:line="319" w:lineRule="exact"/>
        <w:textAlignment w:val="baseline"/>
        <w:rPr>
          <w:rFonts w:ascii="Arial" w:eastAsia="Arial" w:hAnsi="Arial"/>
          <w:b/>
          <w:color w:val="346C36"/>
          <w:spacing w:val="1"/>
          <w:sz w:val="28"/>
        </w:rPr>
      </w:pPr>
      <w:r>
        <w:rPr>
          <w:rFonts w:ascii="Arial" w:eastAsia="Arial" w:hAnsi="Arial"/>
          <w:b/>
          <w:color w:val="346C36"/>
          <w:spacing w:val="1"/>
          <w:sz w:val="28"/>
        </w:rPr>
        <w:t>2.4.8 Risk</w:t>
      </w:r>
    </w:p>
    <w:p w14:paraId="49666272" w14:textId="77777777" w:rsidR="00D8670B" w:rsidRDefault="009B37A9">
      <w:pPr>
        <w:spacing w:before="122" w:line="230" w:lineRule="exact"/>
        <w:ind w:right="216"/>
        <w:textAlignment w:val="baseline"/>
        <w:rPr>
          <w:rFonts w:ascii="Arial" w:eastAsia="Arial" w:hAnsi="Arial"/>
          <w:color w:val="000000"/>
          <w:sz w:val="20"/>
        </w:rPr>
      </w:pPr>
      <w:r>
        <w:rPr>
          <w:rFonts w:ascii="Arial" w:eastAsia="Arial" w:hAnsi="Arial"/>
          <w:color w:val="000000"/>
          <w:sz w:val="20"/>
        </w:rPr>
        <w:t xml:space="preserve">The Queensland Government managed the program in accordance with its Enterprise Risk Management Framework and standard </w:t>
      </w:r>
      <w:r>
        <w:rPr>
          <w:rFonts w:ascii="Arial" w:eastAsia="Arial" w:hAnsi="Arial"/>
          <w:i/>
          <w:color w:val="000000"/>
          <w:sz w:val="20"/>
        </w:rPr>
        <w:t>AS/NZS ISO 30111:2009</w:t>
      </w:r>
      <w:r>
        <w:rPr>
          <w:rFonts w:ascii="Arial" w:eastAsia="Arial" w:hAnsi="Arial"/>
          <w:color w:val="000000"/>
          <w:sz w:val="20"/>
        </w:rPr>
        <w:t>. The HHWUE program also developed a su</w:t>
      </w:r>
      <w:r>
        <w:rPr>
          <w:rFonts w:ascii="Arial" w:eastAsia="Arial" w:hAnsi="Arial"/>
          <w:color w:val="000000"/>
          <w:sz w:val="20"/>
        </w:rPr>
        <w:t>bsidiary risk management plan which outlined how program and project risks were identified, assessed, mitigated and monitored. This plan aimed to ensure program objectives were met through maximising participation opportunities while ensuring a robust cont</w:t>
      </w:r>
      <w:r>
        <w:rPr>
          <w:rFonts w:ascii="Arial" w:eastAsia="Arial" w:hAnsi="Arial"/>
          <w:color w:val="000000"/>
          <w:sz w:val="20"/>
        </w:rPr>
        <w:t>rol environment.</w:t>
      </w:r>
    </w:p>
    <w:p w14:paraId="77DB90F8" w14:textId="77777777" w:rsidR="00D8670B" w:rsidRDefault="009B37A9">
      <w:pPr>
        <w:spacing w:before="121" w:line="230" w:lineRule="exact"/>
        <w:ind w:right="648"/>
        <w:textAlignment w:val="baseline"/>
        <w:rPr>
          <w:rFonts w:ascii="Arial" w:eastAsia="Arial" w:hAnsi="Arial"/>
          <w:color w:val="000000"/>
          <w:spacing w:val="-1"/>
          <w:sz w:val="20"/>
        </w:rPr>
      </w:pPr>
      <w:r>
        <w:rPr>
          <w:rFonts w:ascii="Arial" w:eastAsia="Arial" w:hAnsi="Arial"/>
          <w:color w:val="000000"/>
          <w:spacing w:val="-1"/>
          <w:sz w:val="20"/>
        </w:rPr>
        <w:t>The Queensland Government maintained a risk register for the HHWUE program which recorded continuous improvements in response to risks, emerging issues or recommendations from reviews. Most risks related to:</w:t>
      </w:r>
    </w:p>
    <w:p w14:paraId="3D5566F7" w14:textId="77777777" w:rsidR="00D8670B" w:rsidRDefault="009B37A9">
      <w:pPr>
        <w:numPr>
          <w:ilvl w:val="0"/>
          <w:numId w:val="5"/>
        </w:numPr>
        <w:tabs>
          <w:tab w:val="clear" w:pos="432"/>
          <w:tab w:val="left" w:pos="792"/>
        </w:tabs>
        <w:spacing w:before="131" w:line="230" w:lineRule="exact"/>
        <w:ind w:left="792" w:right="216" w:hanging="432"/>
        <w:textAlignment w:val="baseline"/>
        <w:rPr>
          <w:rFonts w:ascii="Arial" w:eastAsia="Arial" w:hAnsi="Arial"/>
          <w:color w:val="000000"/>
          <w:sz w:val="20"/>
        </w:rPr>
      </w:pPr>
      <w:r>
        <w:rPr>
          <w:rFonts w:ascii="Arial" w:eastAsia="Arial" w:hAnsi="Arial"/>
          <w:color w:val="000000"/>
          <w:sz w:val="20"/>
        </w:rPr>
        <w:t>stakeholders – irrigators havin</w:t>
      </w:r>
      <w:r>
        <w:rPr>
          <w:rFonts w:ascii="Arial" w:eastAsia="Arial" w:hAnsi="Arial"/>
          <w:color w:val="000000"/>
          <w:sz w:val="20"/>
        </w:rPr>
        <w:t xml:space="preserve">g the knowledge, support and time required to submit quality applications and administer approved projects. The Queensland Government worked extensively with irrigators and consultants to clarify program requirements and timeframes. Complementary measures </w:t>
      </w:r>
      <w:r>
        <w:rPr>
          <w:rFonts w:ascii="Arial" w:eastAsia="Arial" w:hAnsi="Arial"/>
          <w:color w:val="000000"/>
          <w:sz w:val="20"/>
        </w:rPr>
        <w:t>projects helped build industry knowledge, while direct contact with irrigators ensured the Queensland Government clearly communicated obligations and expectations</w:t>
      </w:r>
    </w:p>
    <w:p w14:paraId="105BE8BA" w14:textId="77777777" w:rsidR="00D8670B" w:rsidRDefault="009B37A9">
      <w:pPr>
        <w:numPr>
          <w:ilvl w:val="0"/>
          <w:numId w:val="5"/>
        </w:numPr>
        <w:tabs>
          <w:tab w:val="clear" w:pos="432"/>
          <w:tab w:val="left" w:pos="792"/>
        </w:tabs>
        <w:spacing w:before="130" w:line="230" w:lineRule="exact"/>
        <w:ind w:left="792" w:hanging="432"/>
        <w:textAlignment w:val="baseline"/>
        <w:rPr>
          <w:rFonts w:ascii="Arial" w:eastAsia="Arial" w:hAnsi="Arial"/>
          <w:color w:val="000000"/>
          <w:sz w:val="20"/>
        </w:rPr>
      </w:pPr>
      <w:r>
        <w:rPr>
          <w:rFonts w:ascii="Arial" w:eastAsia="Arial" w:hAnsi="Arial"/>
          <w:color w:val="000000"/>
          <w:sz w:val="20"/>
        </w:rPr>
        <w:t>allowed case managers to gauge the level of support each irrigator required</w:t>
      </w:r>
    </w:p>
    <w:p w14:paraId="30FBD6A0" w14:textId="77777777" w:rsidR="00D8670B" w:rsidRDefault="009B37A9">
      <w:pPr>
        <w:numPr>
          <w:ilvl w:val="0"/>
          <w:numId w:val="5"/>
        </w:numPr>
        <w:tabs>
          <w:tab w:val="clear" w:pos="432"/>
          <w:tab w:val="left" w:pos="792"/>
        </w:tabs>
        <w:spacing w:before="137" w:line="230" w:lineRule="exact"/>
        <w:ind w:left="792" w:right="72" w:hanging="432"/>
        <w:textAlignment w:val="baseline"/>
        <w:rPr>
          <w:rFonts w:ascii="Arial" w:eastAsia="Arial" w:hAnsi="Arial"/>
          <w:color w:val="000000"/>
          <w:sz w:val="20"/>
        </w:rPr>
      </w:pPr>
      <w:r>
        <w:rPr>
          <w:rFonts w:ascii="Arial" w:eastAsia="Arial" w:hAnsi="Arial"/>
          <w:color w:val="000000"/>
          <w:sz w:val="20"/>
        </w:rPr>
        <w:t>business delivery – the program meeting irrigator’s needs regarding timeliness, eligibility and flexibility. The suitability and responsiveness of the program was important to maintaining irrigator participation. This issue was managed through program chan</w:t>
      </w:r>
      <w:r>
        <w:rPr>
          <w:rFonts w:ascii="Arial" w:eastAsia="Arial" w:hAnsi="Arial"/>
          <w:color w:val="000000"/>
          <w:sz w:val="20"/>
        </w:rPr>
        <w:t>ges to improve the turnaround time on application assessment, increase the flexibility of project types and funding options, and broaden the eligible areas in response to industry feedback</w:t>
      </w:r>
    </w:p>
    <w:p w14:paraId="486594A9" w14:textId="77777777" w:rsidR="00D8670B" w:rsidRDefault="009B37A9">
      <w:pPr>
        <w:numPr>
          <w:ilvl w:val="0"/>
          <w:numId w:val="5"/>
        </w:numPr>
        <w:tabs>
          <w:tab w:val="clear" w:pos="432"/>
          <w:tab w:val="left" w:pos="792"/>
        </w:tabs>
        <w:spacing w:before="132" w:line="230" w:lineRule="exact"/>
        <w:ind w:left="792" w:right="72" w:hanging="432"/>
        <w:textAlignment w:val="baseline"/>
        <w:rPr>
          <w:rFonts w:ascii="Arial" w:eastAsia="Arial" w:hAnsi="Arial"/>
          <w:color w:val="000000"/>
          <w:spacing w:val="-1"/>
          <w:sz w:val="20"/>
        </w:rPr>
      </w:pPr>
      <w:r>
        <w:rPr>
          <w:rFonts w:ascii="Arial" w:eastAsia="Arial" w:hAnsi="Arial"/>
          <w:color w:val="000000"/>
          <w:spacing w:val="-1"/>
          <w:sz w:val="20"/>
        </w:rPr>
        <w:t>compliance – funded projects meeting the program guidelines, contra</w:t>
      </w:r>
      <w:r>
        <w:rPr>
          <w:rFonts w:ascii="Arial" w:eastAsia="Arial" w:hAnsi="Arial"/>
          <w:color w:val="000000"/>
          <w:spacing w:val="-1"/>
          <w:sz w:val="20"/>
        </w:rPr>
        <w:t>ctual obligations and legal requirements. The Queensland Government worked closely with irrigators and approving bodies to identify compliance responsibilities and ensure projects met these requirements. Pre-contractual meetings and compliance tracking mec</w:t>
      </w:r>
      <w:r>
        <w:rPr>
          <w:rFonts w:ascii="Arial" w:eastAsia="Arial" w:hAnsi="Arial"/>
          <w:color w:val="000000"/>
          <w:spacing w:val="-1"/>
          <w:sz w:val="20"/>
        </w:rPr>
        <w:t>hanisms helped clarify the Queensland Government’s expectations and monitor progress. In 2016, the Queensland Government received an allegation of fraudulent activity regarding an irrigator funded under the HHWUE program. The Queensland Government referred</w:t>
      </w:r>
      <w:r>
        <w:rPr>
          <w:rFonts w:ascii="Arial" w:eastAsia="Arial" w:hAnsi="Arial"/>
          <w:color w:val="000000"/>
          <w:spacing w:val="-1"/>
          <w:sz w:val="20"/>
        </w:rPr>
        <w:t xml:space="preserve"> the allegation to the Queensland Police Service for investigation and the matter is before the courts at the time of this report.</w:t>
      </w:r>
    </w:p>
    <w:p w14:paraId="7C04FDBE" w14:textId="77777777" w:rsidR="00D8670B" w:rsidRDefault="009B37A9">
      <w:pPr>
        <w:spacing w:before="242" w:line="319" w:lineRule="exact"/>
        <w:textAlignment w:val="baseline"/>
        <w:rPr>
          <w:rFonts w:ascii="Arial" w:eastAsia="Arial" w:hAnsi="Arial"/>
          <w:b/>
          <w:color w:val="346C36"/>
          <w:spacing w:val="1"/>
          <w:sz w:val="28"/>
        </w:rPr>
      </w:pPr>
      <w:r>
        <w:rPr>
          <w:rFonts w:ascii="Arial" w:eastAsia="Arial" w:hAnsi="Arial"/>
          <w:b/>
          <w:color w:val="346C36"/>
          <w:spacing w:val="1"/>
          <w:sz w:val="28"/>
        </w:rPr>
        <w:t>2.4.9 Procurement</w:t>
      </w:r>
    </w:p>
    <w:p w14:paraId="668766DF" w14:textId="77777777" w:rsidR="00D8670B" w:rsidRDefault="009B37A9">
      <w:pPr>
        <w:spacing w:before="122" w:line="230" w:lineRule="exact"/>
        <w:textAlignment w:val="baseline"/>
        <w:rPr>
          <w:rFonts w:ascii="Arial" w:eastAsia="Arial" w:hAnsi="Arial"/>
          <w:color w:val="000000"/>
          <w:sz w:val="20"/>
        </w:rPr>
      </w:pPr>
      <w:r>
        <w:rPr>
          <w:rFonts w:ascii="Arial" w:eastAsia="Arial" w:hAnsi="Arial"/>
          <w:color w:val="000000"/>
          <w:sz w:val="20"/>
        </w:rPr>
        <w:t xml:space="preserve">The Queensland Government engaged contractors in accordance with its procurement and finance policies and procedures including the department’s </w:t>
      </w:r>
      <w:r>
        <w:rPr>
          <w:rFonts w:ascii="Arial" w:eastAsia="Arial" w:hAnsi="Arial"/>
          <w:i/>
          <w:color w:val="000000"/>
          <w:sz w:val="20"/>
        </w:rPr>
        <w:t>Financial management practice manual</w:t>
      </w:r>
      <w:r>
        <w:rPr>
          <w:rFonts w:ascii="Arial" w:eastAsia="Arial" w:hAnsi="Arial"/>
          <w:color w:val="000000"/>
          <w:sz w:val="20"/>
        </w:rPr>
        <w:t>. Contractors provided external expertise to support some key aspects of pro</w:t>
      </w:r>
      <w:r>
        <w:rPr>
          <w:rFonts w:ascii="Arial" w:eastAsia="Arial" w:hAnsi="Arial"/>
          <w:color w:val="000000"/>
          <w:sz w:val="20"/>
        </w:rPr>
        <w:t>gram delivery. Most suppliers were engaged to deliver complementary measures activities. The following procurements supported the funding program delivery:</w:t>
      </w:r>
    </w:p>
    <w:p w14:paraId="738254CC" w14:textId="77777777" w:rsidR="00D8670B" w:rsidRDefault="009B37A9">
      <w:pPr>
        <w:numPr>
          <w:ilvl w:val="0"/>
          <w:numId w:val="5"/>
        </w:numPr>
        <w:tabs>
          <w:tab w:val="clear" w:pos="432"/>
          <w:tab w:val="left" w:pos="792"/>
        </w:tabs>
        <w:spacing w:before="130" w:after="109" w:line="230" w:lineRule="exact"/>
        <w:ind w:left="792" w:hanging="432"/>
        <w:textAlignment w:val="baseline"/>
        <w:rPr>
          <w:rFonts w:ascii="Arial" w:eastAsia="Arial" w:hAnsi="Arial"/>
          <w:color w:val="000000"/>
          <w:spacing w:val="-1"/>
          <w:sz w:val="20"/>
        </w:rPr>
      </w:pPr>
      <w:r>
        <w:rPr>
          <w:rFonts w:ascii="Arial" w:eastAsia="Arial" w:hAnsi="Arial"/>
          <w:color w:val="000000"/>
          <w:spacing w:val="-1"/>
          <w:sz w:val="20"/>
        </w:rPr>
        <w:t>probity advice – an external probity advisor reviewed the application process during round three. Ba</w:t>
      </w:r>
      <w:r>
        <w:rPr>
          <w:rFonts w:ascii="Arial" w:eastAsia="Arial" w:hAnsi="Arial"/>
          <w:color w:val="000000"/>
          <w:spacing w:val="-1"/>
          <w:sz w:val="20"/>
        </w:rPr>
        <w:t>sed on</w:t>
      </w:r>
    </w:p>
    <w:p w14:paraId="69FC0381" w14:textId="77777777" w:rsidR="00D8670B" w:rsidRDefault="009B37A9">
      <w:pPr>
        <w:spacing w:before="164" w:line="228" w:lineRule="exact"/>
        <w:jc w:val="center"/>
        <w:textAlignment w:val="baseline"/>
        <w:rPr>
          <w:rFonts w:ascii="Arial" w:eastAsia="Arial" w:hAnsi="Arial"/>
          <w:color w:val="000000"/>
          <w:spacing w:val="30"/>
          <w:sz w:val="20"/>
        </w:rPr>
      </w:pPr>
      <w:r>
        <w:pict w14:anchorId="5A237CD6">
          <v:line id="_x0000_s1079" style="position:absolute;left:0;text-align:left;z-index:251706368;mso-position-horizontal-relative:page;mso-position-vertical-relative:page" from="41.05pt,789.1pt" to="554.45pt,789.1pt" strokeweight="1.7pt">
            <w10:wrap anchorx="page" anchory="page"/>
          </v:line>
        </w:pict>
      </w:r>
      <w:r>
        <w:rPr>
          <w:rFonts w:ascii="Arial" w:eastAsia="Arial" w:hAnsi="Arial"/>
          <w:color w:val="000000"/>
          <w:spacing w:val="30"/>
          <w:sz w:val="20"/>
        </w:rPr>
        <w:t>31</w:t>
      </w:r>
    </w:p>
    <w:p w14:paraId="041F4D33" w14:textId="77777777" w:rsidR="00D8670B" w:rsidRDefault="00D8670B">
      <w:pPr>
        <w:sectPr w:rsidR="00D8670B">
          <w:pgSz w:w="11909" w:h="16838"/>
          <w:pgMar w:top="1100" w:right="821" w:bottom="282" w:left="821" w:header="720" w:footer="720" w:gutter="0"/>
          <w:cols w:space="720"/>
        </w:sectPr>
      </w:pPr>
    </w:p>
    <w:p w14:paraId="3FE14F21" w14:textId="77777777" w:rsidR="00D8670B" w:rsidRDefault="009B37A9">
      <w:pPr>
        <w:spacing w:before="21" w:line="230" w:lineRule="exact"/>
        <w:ind w:left="576" w:right="288"/>
        <w:textAlignment w:val="baseline"/>
        <w:rPr>
          <w:rFonts w:ascii="Arial" w:eastAsia="Arial" w:hAnsi="Arial"/>
          <w:color w:val="000000"/>
          <w:sz w:val="20"/>
        </w:rPr>
      </w:pPr>
      <w:r>
        <w:rPr>
          <w:rFonts w:ascii="Arial" w:eastAsia="Arial" w:hAnsi="Arial"/>
          <w:color w:val="000000"/>
          <w:sz w:val="20"/>
        </w:rPr>
        <w:lastRenderedPageBreak/>
        <w:t xml:space="preserve">advice, the Queensland Government revised application guidelines and assessment procedures to ensure better record keeping regarding the transparency and fairness of the assessment process. The advisor oversaw the remaining rounds </w:t>
      </w:r>
      <w:r>
        <w:rPr>
          <w:rFonts w:ascii="Arial" w:eastAsia="Arial" w:hAnsi="Arial"/>
          <w:color w:val="000000"/>
          <w:sz w:val="20"/>
        </w:rPr>
        <w:t>and provided ad hoc advice on issues such as changes to the guidelines or assessment of contract variations</w:t>
      </w:r>
    </w:p>
    <w:p w14:paraId="41A58845" w14:textId="77777777" w:rsidR="00D8670B" w:rsidRDefault="009B37A9">
      <w:pPr>
        <w:numPr>
          <w:ilvl w:val="0"/>
          <w:numId w:val="1"/>
        </w:numPr>
        <w:tabs>
          <w:tab w:val="clear" w:pos="360"/>
          <w:tab w:val="left" w:pos="576"/>
        </w:tabs>
        <w:spacing w:before="136" w:line="230" w:lineRule="exact"/>
        <w:ind w:left="576" w:right="216" w:hanging="360"/>
        <w:textAlignment w:val="baseline"/>
        <w:rPr>
          <w:rFonts w:ascii="Arial" w:eastAsia="Arial" w:hAnsi="Arial"/>
          <w:color w:val="000000"/>
          <w:spacing w:val="-1"/>
          <w:sz w:val="20"/>
        </w:rPr>
      </w:pPr>
      <w:r>
        <w:rPr>
          <w:rFonts w:ascii="Arial" w:eastAsia="Arial" w:hAnsi="Arial"/>
          <w:color w:val="000000"/>
          <w:spacing w:val="-1"/>
          <w:sz w:val="20"/>
        </w:rPr>
        <w:t xml:space="preserve">technical expertise </w:t>
      </w:r>
      <w:r>
        <w:rPr>
          <w:rFonts w:ascii="Arial" w:eastAsia="Arial" w:hAnsi="Arial"/>
          <w:b/>
          <w:color w:val="000000"/>
          <w:spacing w:val="-1"/>
          <w:sz w:val="19"/>
        </w:rPr>
        <w:t xml:space="preserve">– </w:t>
      </w:r>
      <w:r>
        <w:rPr>
          <w:rFonts w:ascii="Arial" w:eastAsia="Arial" w:hAnsi="Arial"/>
          <w:color w:val="000000"/>
          <w:spacing w:val="-1"/>
          <w:sz w:val="20"/>
        </w:rPr>
        <w:t>the Queensland Government engaged independent Registered Professional Engineers of Queensland to provide technical assessments</w:t>
      </w:r>
      <w:r>
        <w:rPr>
          <w:rFonts w:ascii="Arial" w:eastAsia="Arial" w:hAnsi="Arial"/>
          <w:color w:val="000000"/>
          <w:spacing w:val="-1"/>
          <w:sz w:val="20"/>
        </w:rPr>
        <w:t>. Engineers assessed applications and relevant variations against the technical feasibility criterion and conducted site inspections for approved projects</w:t>
      </w:r>
    </w:p>
    <w:p w14:paraId="06698C65" w14:textId="77777777" w:rsidR="00D8670B" w:rsidRDefault="009B37A9">
      <w:pPr>
        <w:numPr>
          <w:ilvl w:val="0"/>
          <w:numId w:val="1"/>
        </w:numPr>
        <w:tabs>
          <w:tab w:val="clear" w:pos="360"/>
          <w:tab w:val="left" w:pos="576"/>
        </w:tabs>
        <w:spacing w:before="131" w:after="11815" w:line="230" w:lineRule="exact"/>
        <w:ind w:left="576" w:right="360" w:hanging="360"/>
        <w:textAlignment w:val="baseline"/>
        <w:rPr>
          <w:rFonts w:ascii="Arial" w:eastAsia="Arial" w:hAnsi="Arial"/>
          <w:color w:val="000000"/>
          <w:sz w:val="20"/>
        </w:rPr>
      </w:pPr>
      <w:r>
        <w:rPr>
          <w:rFonts w:ascii="Arial" w:eastAsia="Arial" w:hAnsi="Arial"/>
          <w:color w:val="000000"/>
          <w:sz w:val="20"/>
        </w:rPr>
        <w:t xml:space="preserve">socioeconomic assessment </w:t>
      </w:r>
      <w:r>
        <w:rPr>
          <w:rFonts w:ascii="Arial" w:eastAsia="Arial" w:hAnsi="Arial"/>
          <w:b/>
          <w:color w:val="000000"/>
          <w:sz w:val="19"/>
        </w:rPr>
        <w:t xml:space="preserve">– </w:t>
      </w:r>
      <w:r>
        <w:rPr>
          <w:rFonts w:ascii="Arial" w:eastAsia="Arial" w:hAnsi="Arial"/>
          <w:color w:val="000000"/>
          <w:sz w:val="20"/>
        </w:rPr>
        <w:t>as part of the Phase 2 business case, the Queensland Government commissioned a socioeconomic assessment of the HHWUE program based on the outcomes of Phase 1. The Queensland Government also obtained an assessment of round three applications. This assessmen</w:t>
      </w:r>
      <w:r>
        <w:rPr>
          <w:rFonts w:ascii="Arial" w:eastAsia="Arial" w:hAnsi="Arial"/>
          <w:color w:val="000000"/>
          <w:sz w:val="20"/>
        </w:rPr>
        <w:t>t supported the findings of the Phase 2 business case.</w:t>
      </w:r>
    </w:p>
    <w:p w14:paraId="1A3BC38E" w14:textId="77777777" w:rsidR="00D8670B" w:rsidRDefault="00D8670B">
      <w:pPr>
        <w:spacing w:before="131" w:after="11815" w:line="230" w:lineRule="exact"/>
        <w:sectPr w:rsidR="00D8670B">
          <w:pgSz w:w="11909" w:h="16838"/>
          <w:pgMar w:top="1120" w:right="663" w:bottom="282" w:left="979" w:header="720" w:footer="720" w:gutter="0"/>
          <w:cols w:space="720"/>
        </w:sectPr>
      </w:pPr>
    </w:p>
    <w:p w14:paraId="01C9CF4B" w14:textId="77777777" w:rsidR="00D8670B" w:rsidRDefault="009B37A9">
      <w:pPr>
        <w:spacing w:before="165" w:line="227" w:lineRule="exact"/>
        <w:jc w:val="center"/>
        <w:textAlignment w:val="baseline"/>
        <w:rPr>
          <w:rFonts w:ascii="Arial" w:eastAsia="Arial" w:hAnsi="Arial"/>
          <w:color w:val="000000"/>
          <w:spacing w:val="38"/>
          <w:sz w:val="20"/>
        </w:rPr>
      </w:pPr>
      <w:r>
        <w:pict w14:anchorId="1E791541">
          <v:line id="_x0000_s1078" style="position:absolute;left:0;text-align:left;z-index:251707392;mso-position-horizontal-relative:page;mso-position-vertical-relative:page" from="41.05pt,789.1pt" to="554.45pt,789.1pt" strokeweight="1.7pt">
            <w10:wrap anchorx="page" anchory="page"/>
          </v:line>
        </w:pict>
      </w:r>
      <w:r>
        <w:rPr>
          <w:rFonts w:ascii="Arial" w:eastAsia="Arial" w:hAnsi="Arial"/>
          <w:color w:val="000000"/>
          <w:spacing w:val="38"/>
          <w:sz w:val="20"/>
        </w:rPr>
        <w:t>32</w:t>
      </w:r>
    </w:p>
    <w:p w14:paraId="36222645" w14:textId="77777777" w:rsidR="00D8670B" w:rsidRDefault="00D8670B">
      <w:pPr>
        <w:sectPr w:rsidR="00D8670B">
          <w:type w:val="continuous"/>
          <w:pgSz w:w="11909" w:h="16838"/>
          <w:pgMar w:top="1120" w:right="821" w:bottom="282" w:left="821" w:header="720" w:footer="720" w:gutter="0"/>
          <w:cols w:space="720"/>
        </w:sectPr>
      </w:pPr>
    </w:p>
    <w:p w14:paraId="5722FD7C" w14:textId="77777777" w:rsidR="00D8670B" w:rsidRDefault="009B37A9">
      <w:pPr>
        <w:spacing w:line="386" w:lineRule="exact"/>
        <w:textAlignment w:val="baseline"/>
        <w:rPr>
          <w:rFonts w:ascii="Arial" w:eastAsia="Arial" w:hAnsi="Arial"/>
          <w:b/>
          <w:color w:val="1C75BB"/>
          <w:spacing w:val="4"/>
          <w:sz w:val="34"/>
        </w:rPr>
      </w:pPr>
      <w:r>
        <w:rPr>
          <w:rFonts w:ascii="Arial" w:eastAsia="Arial" w:hAnsi="Arial"/>
          <w:b/>
          <w:color w:val="1C75BB"/>
          <w:spacing w:val="4"/>
          <w:sz w:val="34"/>
        </w:rPr>
        <w:lastRenderedPageBreak/>
        <w:t>3 Outcomes and evaluation</w:t>
      </w:r>
    </w:p>
    <w:p w14:paraId="74635569" w14:textId="77777777" w:rsidR="00D8670B" w:rsidRDefault="009B37A9">
      <w:pPr>
        <w:spacing w:before="128" w:line="230" w:lineRule="exact"/>
        <w:textAlignment w:val="baseline"/>
        <w:rPr>
          <w:rFonts w:ascii="Arial" w:eastAsia="Arial" w:hAnsi="Arial"/>
          <w:color w:val="000000"/>
          <w:sz w:val="20"/>
        </w:rPr>
      </w:pPr>
      <w:r>
        <w:rPr>
          <w:rFonts w:ascii="Arial" w:eastAsia="Arial" w:hAnsi="Arial"/>
          <w:color w:val="000000"/>
          <w:sz w:val="20"/>
        </w:rPr>
        <w:t>The Queensland Government used a number of sources to monitor and evaluate the HHWUE program:</w:t>
      </w:r>
    </w:p>
    <w:p w14:paraId="21D09568" w14:textId="77777777" w:rsidR="00D8670B" w:rsidRDefault="009B37A9">
      <w:pPr>
        <w:numPr>
          <w:ilvl w:val="0"/>
          <w:numId w:val="5"/>
        </w:numPr>
        <w:tabs>
          <w:tab w:val="clear" w:pos="432"/>
          <w:tab w:val="left" w:pos="792"/>
        </w:tabs>
        <w:spacing w:before="125" w:line="235" w:lineRule="exact"/>
        <w:ind w:left="792" w:right="1368" w:hanging="432"/>
        <w:textAlignment w:val="baseline"/>
        <w:rPr>
          <w:rFonts w:ascii="Arial" w:eastAsia="Arial" w:hAnsi="Arial"/>
          <w:color w:val="000000"/>
          <w:sz w:val="20"/>
        </w:rPr>
      </w:pPr>
      <w:r>
        <w:rPr>
          <w:rFonts w:ascii="Arial" w:eastAsia="Arial" w:hAnsi="Arial"/>
          <w:color w:val="000000"/>
          <w:sz w:val="20"/>
        </w:rPr>
        <w:t>aggregated project data collected during applic</w:t>
      </w:r>
      <w:r>
        <w:rPr>
          <w:rFonts w:ascii="Arial" w:eastAsia="Arial" w:hAnsi="Arial"/>
          <w:color w:val="000000"/>
          <w:sz w:val="20"/>
        </w:rPr>
        <w:t>ation assessment, contract management and commissioning</w:t>
      </w:r>
    </w:p>
    <w:p w14:paraId="5A007EC9" w14:textId="77777777" w:rsidR="00D8670B" w:rsidRDefault="009B37A9">
      <w:pPr>
        <w:numPr>
          <w:ilvl w:val="0"/>
          <w:numId w:val="5"/>
        </w:numPr>
        <w:tabs>
          <w:tab w:val="clear" w:pos="432"/>
          <w:tab w:val="left" w:pos="792"/>
        </w:tabs>
        <w:spacing w:before="130" w:line="230" w:lineRule="exact"/>
        <w:ind w:left="792" w:hanging="432"/>
        <w:textAlignment w:val="baseline"/>
        <w:rPr>
          <w:rFonts w:ascii="Arial" w:eastAsia="Arial" w:hAnsi="Arial"/>
          <w:color w:val="000000"/>
          <w:sz w:val="20"/>
        </w:rPr>
      </w:pPr>
      <w:r>
        <w:rPr>
          <w:rFonts w:ascii="Arial" w:eastAsia="Arial" w:hAnsi="Arial"/>
          <w:color w:val="000000"/>
          <w:sz w:val="20"/>
        </w:rPr>
        <w:t>feedback from 23 voluntary irrigator post-completion surveys</w:t>
      </w:r>
    </w:p>
    <w:p w14:paraId="600CD436" w14:textId="77777777" w:rsidR="00D8670B" w:rsidRDefault="009B37A9">
      <w:pPr>
        <w:numPr>
          <w:ilvl w:val="0"/>
          <w:numId w:val="5"/>
        </w:numPr>
        <w:tabs>
          <w:tab w:val="clear" w:pos="432"/>
          <w:tab w:val="left" w:pos="792"/>
        </w:tabs>
        <w:spacing w:before="135" w:line="230" w:lineRule="exact"/>
        <w:ind w:left="792" w:hanging="432"/>
        <w:textAlignment w:val="baseline"/>
        <w:rPr>
          <w:rFonts w:ascii="Arial" w:eastAsia="Arial" w:hAnsi="Arial"/>
          <w:color w:val="000000"/>
          <w:sz w:val="20"/>
        </w:rPr>
      </w:pPr>
      <w:r>
        <w:rPr>
          <w:rFonts w:ascii="Arial" w:eastAsia="Arial" w:hAnsi="Arial"/>
          <w:color w:val="000000"/>
          <w:sz w:val="20"/>
        </w:rPr>
        <w:t>information from third-party industry studies</w:t>
      </w:r>
    </w:p>
    <w:p w14:paraId="67360ABC" w14:textId="77777777" w:rsidR="00D8670B" w:rsidRDefault="009B37A9">
      <w:pPr>
        <w:numPr>
          <w:ilvl w:val="0"/>
          <w:numId w:val="5"/>
        </w:numPr>
        <w:tabs>
          <w:tab w:val="clear" w:pos="432"/>
          <w:tab w:val="left" w:pos="792"/>
        </w:tabs>
        <w:spacing w:before="130" w:line="230" w:lineRule="exact"/>
        <w:ind w:left="792" w:hanging="432"/>
        <w:textAlignment w:val="baseline"/>
        <w:rPr>
          <w:rFonts w:ascii="Arial" w:eastAsia="Arial" w:hAnsi="Arial"/>
          <w:color w:val="000000"/>
          <w:sz w:val="20"/>
        </w:rPr>
      </w:pPr>
      <w:r>
        <w:rPr>
          <w:rFonts w:ascii="Arial" w:eastAsia="Arial" w:hAnsi="Arial"/>
          <w:color w:val="000000"/>
          <w:sz w:val="20"/>
        </w:rPr>
        <w:t>observations and recommendations from third-party program reviews</w:t>
      </w:r>
    </w:p>
    <w:p w14:paraId="1F46B673" w14:textId="77777777" w:rsidR="00D8670B" w:rsidRDefault="009B37A9">
      <w:pPr>
        <w:numPr>
          <w:ilvl w:val="0"/>
          <w:numId w:val="5"/>
        </w:numPr>
        <w:tabs>
          <w:tab w:val="clear" w:pos="432"/>
          <w:tab w:val="left" w:pos="792"/>
        </w:tabs>
        <w:spacing w:before="134" w:line="230" w:lineRule="exact"/>
        <w:ind w:left="792" w:hanging="432"/>
        <w:textAlignment w:val="baseline"/>
        <w:rPr>
          <w:rFonts w:ascii="Arial" w:eastAsia="Arial" w:hAnsi="Arial"/>
          <w:color w:val="000000"/>
          <w:spacing w:val="-1"/>
          <w:sz w:val="20"/>
        </w:rPr>
      </w:pPr>
      <w:r>
        <w:rPr>
          <w:rFonts w:ascii="Arial" w:eastAsia="Arial" w:hAnsi="Arial"/>
          <w:color w:val="000000"/>
          <w:spacing w:val="-1"/>
          <w:sz w:val="20"/>
        </w:rPr>
        <w:t>program running logs and records.</w:t>
      </w:r>
    </w:p>
    <w:p w14:paraId="76D21FAF" w14:textId="77777777" w:rsidR="00D8670B" w:rsidRDefault="009B37A9">
      <w:pPr>
        <w:spacing w:before="121" w:line="230" w:lineRule="exact"/>
        <w:textAlignment w:val="baseline"/>
        <w:rPr>
          <w:rFonts w:ascii="Arial" w:eastAsia="Arial" w:hAnsi="Arial"/>
          <w:color w:val="000000"/>
          <w:sz w:val="20"/>
        </w:rPr>
      </w:pPr>
      <w:r>
        <w:rPr>
          <w:rFonts w:ascii="Arial" w:eastAsia="Arial" w:hAnsi="Arial"/>
          <w:color w:val="000000"/>
          <w:sz w:val="20"/>
        </w:rPr>
        <w:t>The Queensland Government has evaluated the Phase 2 program against its three overarching aims.</w:t>
      </w:r>
    </w:p>
    <w:p w14:paraId="76166878" w14:textId="77777777" w:rsidR="00D8670B" w:rsidRDefault="009B37A9">
      <w:pPr>
        <w:spacing w:before="241" w:after="54" w:line="322" w:lineRule="exact"/>
        <w:textAlignment w:val="baseline"/>
        <w:rPr>
          <w:rFonts w:ascii="Arial" w:eastAsia="Arial" w:hAnsi="Arial"/>
          <w:b/>
          <w:color w:val="2C7176"/>
          <w:spacing w:val="3"/>
          <w:sz w:val="28"/>
        </w:rPr>
      </w:pPr>
      <w:r>
        <w:rPr>
          <w:rFonts w:ascii="Arial" w:eastAsia="Arial" w:hAnsi="Arial"/>
          <w:b/>
          <w:color w:val="2C7176"/>
          <w:spacing w:val="3"/>
          <w:sz w:val="28"/>
        </w:rPr>
        <w:t>3.1 Long-term sustainable future</w:t>
      </w:r>
    </w:p>
    <w:p w14:paraId="54B2B303" w14:textId="77777777" w:rsidR="00D8670B" w:rsidRDefault="009B37A9">
      <w:pPr>
        <w:spacing w:after="102"/>
        <w:ind w:left="24" w:right="34"/>
        <w:textAlignment w:val="baseline"/>
      </w:pPr>
      <w:r>
        <w:rPr>
          <w:noProof/>
        </w:rPr>
        <w:drawing>
          <wp:inline distT="0" distB="0" distL="0" distR="0" wp14:anchorId="26312D97" wp14:editId="68EAC89C">
            <wp:extent cx="6482715" cy="65849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40"/>
                    <a:stretch>
                      <a:fillRect/>
                    </a:stretch>
                  </pic:blipFill>
                  <pic:spPr>
                    <a:xfrm>
                      <a:off x="0" y="0"/>
                      <a:ext cx="6482715" cy="658495"/>
                    </a:xfrm>
                    <a:prstGeom prst="rect">
                      <a:avLst/>
                    </a:prstGeom>
                  </pic:spPr>
                </pic:pic>
              </a:graphicData>
            </a:graphic>
          </wp:inline>
        </w:drawing>
      </w:r>
    </w:p>
    <w:p w14:paraId="668A57D3" w14:textId="77777777" w:rsidR="00D8670B" w:rsidRDefault="009B37A9">
      <w:pPr>
        <w:spacing w:before="2" w:line="230" w:lineRule="exact"/>
        <w:ind w:right="288"/>
        <w:textAlignment w:val="baseline"/>
        <w:rPr>
          <w:rFonts w:ascii="Arial" w:eastAsia="Arial" w:hAnsi="Arial"/>
          <w:color w:val="000000"/>
          <w:spacing w:val="-1"/>
          <w:sz w:val="20"/>
        </w:rPr>
      </w:pPr>
      <w:r>
        <w:rPr>
          <w:rFonts w:ascii="Arial" w:eastAsia="Arial" w:hAnsi="Arial"/>
          <w:color w:val="000000"/>
          <w:spacing w:val="-1"/>
          <w:sz w:val="20"/>
        </w:rPr>
        <w:t>The HHWUE program helped irrigation communities become more sustainable at an industry, priority catchment and project scale by establishing efficient infrastructure and building knowledge of water use efficiency practices.</w:t>
      </w:r>
    </w:p>
    <w:p w14:paraId="64581C68" w14:textId="77777777" w:rsidR="00D8670B" w:rsidRDefault="009B37A9">
      <w:pPr>
        <w:spacing w:before="241" w:line="322" w:lineRule="exact"/>
        <w:textAlignment w:val="baseline"/>
        <w:rPr>
          <w:rFonts w:ascii="Arial" w:eastAsia="Arial" w:hAnsi="Arial"/>
          <w:b/>
          <w:color w:val="346C36"/>
          <w:sz w:val="28"/>
        </w:rPr>
      </w:pPr>
      <w:r>
        <w:rPr>
          <w:rFonts w:ascii="Arial" w:eastAsia="Arial" w:hAnsi="Arial"/>
          <w:b/>
          <w:color w:val="346C36"/>
          <w:sz w:val="28"/>
        </w:rPr>
        <w:t>3.1.1 Irrigation industry</w:t>
      </w:r>
    </w:p>
    <w:p w14:paraId="2346AB0F" w14:textId="77777777" w:rsidR="00D8670B" w:rsidRDefault="009B37A9">
      <w:pPr>
        <w:spacing w:before="239" w:line="298" w:lineRule="exact"/>
        <w:textAlignment w:val="baseline"/>
        <w:rPr>
          <w:rFonts w:ascii="Arial" w:eastAsia="Arial" w:hAnsi="Arial"/>
          <w:b/>
          <w:color w:val="55532D"/>
          <w:sz w:val="26"/>
        </w:rPr>
      </w:pPr>
      <w:r>
        <w:rPr>
          <w:rFonts w:ascii="Arial" w:eastAsia="Arial" w:hAnsi="Arial"/>
          <w:b/>
          <w:color w:val="55532D"/>
          <w:sz w:val="26"/>
        </w:rPr>
        <w:t>3.1.1.</w:t>
      </w:r>
      <w:r>
        <w:rPr>
          <w:rFonts w:ascii="Arial" w:eastAsia="Arial" w:hAnsi="Arial"/>
          <w:b/>
          <w:color w:val="55532D"/>
          <w:sz w:val="26"/>
        </w:rPr>
        <w:t>1 Investing in efficient and productive infrastructure</w:t>
      </w:r>
    </w:p>
    <w:p w14:paraId="691D19CA" w14:textId="77777777" w:rsidR="00D8670B" w:rsidRDefault="009B37A9">
      <w:pPr>
        <w:spacing w:before="120" w:line="230" w:lineRule="exact"/>
        <w:ind w:right="576"/>
        <w:textAlignment w:val="baseline"/>
        <w:rPr>
          <w:rFonts w:ascii="Arial" w:eastAsia="Arial" w:hAnsi="Arial"/>
          <w:color w:val="000000"/>
          <w:sz w:val="20"/>
        </w:rPr>
      </w:pPr>
      <w:r>
        <w:rPr>
          <w:rFonts w:ascii="Arial" w:eastAsia="Arial" w:hAnsi="Arial"/>
          <w:color w:val="000000"/>
          <w:sz w:val="20"/>
        </w:rPr>
        <w:t>A broad benefit of the HHWUE funding program was investment in infrastructure which required less water to operate, in turn increasing industry efficiency and productivity.</w:t>
      </w:r>
    </w:p>
    <w:p w14:paraId="1C735531" w14:textId="77777777" w:rsidR="00D8670B" w:rsidRDefault="009B37A9">
      <w:pPr>
        <w:spacing w:before="121" w:line="230" w:lineRule="exact"/>
        <w:ind w:right="288"/>
        <w:textAlignment w:val="baseline"/>
        <w:rPr>
          <w:rFonts w:ascii="Arial" w:eastAsia="Arial" w:hAnsi="Arial"/>
          <w:color w:val="000000"/>
          <w:sz w:val="20"/>
        </w:rPr>
      </w:pPr>
      <w:r>
        <w:rPr>
          <w:rFonts w:ascii="Arial" w:eastAsia="Arial" w:hAnsi="Arial"/>
          <w:color w:val="000000"/>
          <w:sz w:val="20"/>
        </w:rPr>
        <w:t>The Queensland Government co</w:t>
      </w:r>
      <w:r>
        <w:rPr>
          <w:rFonts w:ascii="Arial" w:eastAsia="Arial" w:hAnsi="Arial"/>
          <w:color w:val="000000"/>
          <w:sz w:val="20"/>
        </w:rPr>
        <w:t>mmissioned a socioeconomic analysis of the HHWUE program as part of the Phase 2 business case</w:t>
      </w:r>
      <w:r>
        <w:rPr>
          <w:rFonts w:ascii="Arial" w:eastAsia="Arial" w:hAnsi="Arial"/>
          <w:color w:val="000000"/>
          <w:sz w:val="20"/>
          <w:vertAlign w:val="superscript"/>
        </w:rPr>
        <w:t>6</w:t>
      </w:r>
      <w:r>
        <w:rPr>
          <w:rFonts w:ascii="Arial" w:eastAsia="Arial" w:hAnsi="Arial"/>
          <w:color w:val="000000"/>
          <w:sz w:val="20"/>
        </w:rPr>
        <w:t xml:space="preserve">. The </w:t>
      </w:r>
      <w:r>
        <w:rPr>
          <w:rFonts w:ascii="Arial" w:eastAsia="Arial" w:hAnsi="Arial"/>
          <w:color w:val="000000"/>
          <w:sz w:val="21"/>
        </w:rPr>
        <w:t xml:space="preserve">analysis concluded the program’s </w:t>
      </w:r>
      <w:r>
        <w:rPr>
          <w:rFonts w:ascii="Arial" w:eastAsia="Arial" w:hAnsi="Arial"/>
          <w:color w:val="000000"/>
          <w:sz w:val="20"/>
        </w:rPr>
        <w:t>impact on an industry scale while not large, was positive. Ongoing production gains from improved infrastructure were anticipated to be between 1</w:t>
      </w:r>
      <w:r>
        <w:rPr>
          <w:rFonts w:ascii="Arial" w:eastAsia="Arial" w:hAnsi="Arial"/>
          <w:color w:val="000000"/>
          <w:sz w:val="21"/>
        </w:rPr>
        <w:t>–</w:t>
      </w:r>
      <w:r>
        <w:rPr>
          <w:rFonts w:ascii="Arial" w:eastAsia="Arial" w:hAnsi="Arial"/>
          <w:color w:val="000000"/>
          <w:sz w:val="20"/>
        </w:rPr>
        <w:t>2 per cent of gross regional product.</w:t>
      </w:r>
    </w:p>
    <w:p w14:paraId="0F98077B" w14:textId="77777777" w:rsidR="00D8670B" w:rsidRDefault="009B37A9">
      <w:pPr>
        <w:spacing w:before="241" w:line="298" w:lineRule="exact"/>
        <w:textAlignment w:val="baseline"/>
        <w:rPr>
          <w:rFonts w:ascii="Arial" w:eastAsia="Arial" w:hAnsi="Arial"/>
          <w:b/>
          <w:color w:val="55532D"/>
          <w:sz w:val="26"/>
        </w:rPr>
      </w:pPr>
      <w:r>
        <w:rPr>
          <w:rFonts w:ascii="Arial" w:eastAsia="Arial" w:hAnsi="Arial"/>
          <w:b/>
          <w:color w:val="55532D"/>
          <w:sz w:val="26"/>
        </w:rPr>
        <w:t>3.1.1.2 Growing knowledge of sustainable practices</w:t>
      </w:r>
    </w:p>
    <w:p w14:paraId="5663A285" w14:textId="77777777" w:rsidR="00D8670B" w:rsidRDefault="009B37A9">
      <w:pPr>
        <w:spacing w:before="117" w:line="230" w:lineRule="exact"/>
        <w:ind w:right="144"/>
        <w:textAlignment w:val="baseline"/>
        <w:rPr>
          <w:rFonts w:ascii="Arial" w:eastAsia="Arial" w:hAnsi="Arial"/>
          <w:color w:val="000000"/>
          <w:sz w:val="20"/>
        </w:rPr>
      </w:pPr>
      <w:r>
        <w:rPr>
          <w:rFonts w:ascii="Arial" w:eastAsia="Arial" w:hAnsi="Arial"/>
          <w:color w:val="000000"/>
          <w:sz w:val="20"/>
        </w:rPr>
        <w:t>The complementary mea</w:t>
      </w:r>
      <w:r>
        <w:rPr>
          <w:rFonts w:ascii="Arial" w:eastAsia="Arial" w:hAnsi="Arial"/>
          <w:color w:val="000000"/>
          <w:sz w:val="20"/>
        </w:rPr>
        <w:t>sures projects developed industry knowledge of sustainable practices. For instance, the benchmarking and industry development projects developed decision making tools and information resources which were made available to the irrigation industry both withi</w:t>
      </w:r>
      <w:r>
        <w:rPr>
          <w:rFonts w:ascii="Arial" w:eastAsia="Arial" w:hAnsi="Arial"/>
          <w:color w:val="000000"/>
          <w:sz w:val="20"/>
        </w:rPr>
        <w:t>n and outside the QMDB. Technical advice grants were provided to eligible irrigators to help improve decision making processes and raise awareness of different water use efficiency options on farm. These grants were provided with no obligation on the irrig</w:t>
      </w:r>
      <w:r>
        <w:rPr>
          <w:rFonts w:ascii="Arial" w:eastAsia="Arial" w:hAnsi="Arial"/>
          <w:color w:val="000000"/>
          <w:sz w:val="20"/>
        </w:rPr>
        <w:t>ator to apply for infrastructure funding. Therefore irrigators who did not apply could still have access to the technical resources to make water use efficiency decisions and could implement projects later on their own. This outcome supports long</w:t>
      </w:r>
      <w:r>
        <w:rPr>
          <w:rFonts w:ascii="Arial" w:eastAsia="Arial" w:hAnsi="Arial"/>
          <w:color w:val="000000"/>
          <w:sz w:val="20"/>
        </w:rPr>
        <w:softHyphen/>
        <w:t>term sust</w:t>
      </w:r>
      <w:r>
        <w:rPr>
          <w:rFonts w:ascii="Arial" w:eastAsia="Arial" w:hAnsi="Arial"/>
          <w:color w:val="000000"/>
          <w:sz w:val="20"/>
        </w:rPr>
        <w:t>ainability for irrigation communities beyond the HHWUE program life.</w:t>
      </w:r>
    </w:p>
    <w:p w14:paraId="475EA1EE" w14:textId="77777777" w:rsidR="00D8670B" w:rsidRDefault="009B37A9">
      <w:pPr>
        <w:spacing w:before="242" w:line="322" w:lineRule="exact"/>
        <w:textAlignment w:val="baseline"/>
        <w:rPr>
          <w:rFonts w:ascii="Arial" w:eastAsia="Arial" w:hAnsi="Arial"/>
          <w:b/>
          <w:color w:val="346C36"/>
          <w:sz w:val="28"/>
        </w:rPr>
      </w:pPr>
      <w:r>
        <w:rPr>
          <w:rFonts w:ascii="Arial" w:eastAsia="Arial" w:hAnsi="Arial"/>
          <w:b/>
          <w:color w:val="346C36"/>
          <w:sz w:val="28"/>
        </w:rPr>
        <w:t>3.1.2 Priority catchments</w:t>
      </w:r>
    </w:p>
    <w:p w14:paraId="14770A98" w14:textId="77777777" w:rsidR="00D8670B" w:rsidRDefault="009B37A9">
      <w:pPr>
        <w:spacing w:before="243" w:line="298" w:lineRule="exact"/>
        <w:textAlignment w:val="baseline"/>
        <w:rPr>
          <w:rFonts w:ascii="Arial" w:eastAsia="Arial" w:hAnsi="Arial"/>
          <w:b/>
          <w:color w:val="55532D"/>
          <w:sz w:val="26"/>
        </w:rPr>
      </w:pPr>
      <w:r>
        <w:rPr>
          <w:rFonts w:ascii="Arial" w:eastAsia="Arial" w:hAnsi="Arial"/>
          <w:b/>
          <w:color w:val="55532D"/>
          <w:sz w:val="26"/>
        </w:rPr>
        <w:t>3.1.2.1 Prioritising irrigation communities</w:t>
      </w:r>
    </w:p>
    <w:p w14:paraId="35DE289C" w14:textId="77777777" w:rsidR="00D8670B" w:rsidRDefault="009B37A9">
      <w:pPr>
        <w:spacing w:before="116" w:after="487" w:line="230" w:lineRule="exact"/>
        <w:ind w:right="144"/>
        <w:textAlignment w:val="baseline"/>
        <w:rPr>
          <w:rFonts w:ascii="Arial" w:eastAsia="Arial" w:hAnsi="Arial"/>
          <w:color w:val="000000"/>
          <w:spacing w:val="-1"/>
          <w:sz w:val="20"/>
        </w:rPr>
      </w:pPr>
      <w:r>
        <w:rPr>
          <w:rFonts w:ascii="Arial" w:eastAsia="Arial" w:hAnsi="Arial"/>
          <w:color w:val="000000"/>
          <w:spacing w:val="-1"/>
          <w:sz w:val="20"/>
        </w:rPr>
        <w:t>The Queensland Government regularly consulted with the Australian Government to ensure the program</w:t>
      </w:r>
      <w:r>
        <w:rPr>
          <w:rFonts w:ascii="Arial" w:eastAsia="Arial" w:hAnsi="Arial"/>
          <w:color w:val="000000"/>
          <w:spacing w:val="-1"/>
          <w:sz w:val="21"/>
        </w:rPr>
        <w:t xml:space="preserve">’s </w:t>
      </w:r>
      <w:r>
        <w:rPr>
          <w:rFonts w:ascii="Arial" w:eastAsia="Arial" w:hAnsi="Arial"/>
          <w:color w:val="000000"/>
          <w:spacing w:val="-1"/>
          <w:sz w:val="20"/>
        </w:rPr>
        <w:t xml:space="preserve">target areas aligned with their current priorities such as water recovery areas and vulnerable communities </w:t>
      </w:r>
      <w:r>
        <w:rPr>
          <w:rFonts w:ascii="Arial" w:eastAsia="Arial" w:hAnsi="Arial"/>
          <w:color w:val="000000"/>
          <w:spacing w:val="-1"/>
          <w:sz w:val="21"/>
        </w:rPr>
        <w:t xml:space="preserve">— </w:t>
      </w:r>
      <w:r>
        <w:rPr>
          <w:rFonts w:ascii="Arial" w:eastAsia="Arial" w:hAnsi="Arial"/>
          <w:color w:val="000000"/>
          <w:spacing w:val="-1"/>
          <w:sz w:val="20"/>
        </w:rPr>
        <w:t>those most likely to be negatively impacted by water reductions</w:t>
      </w:r>
      <w:r>
        <w:rPr>
          <w:rFonts w:ascii="Arial" w:eastAsia="Arial" w:hAnsi="Arial"/>
          <w:color w:val="000000"/>
          <w:spacing w:val="-1"/>
          <w:sz w:val="20"/>
          <w:vertAlign w:val="superscript"/>
        </w:rPr>
        <w:t>7</w:t>
      </w:r>
      <w:r>
        <w:rPr>
          <w:rFonts w:ascii="Arial" w:eastAsia="Arial" w:hAnsi="Arial"/>
          <w:color w:val="000000"/>
          <w:spacing w:val="-1"/>
          <w:sz w:val="20"/>
        </w:rPr>
        <w:t>. Murray</w:t>
      </w:r>
      <w:r>
        <w:rPr>
          <w:rFonts w:ascii="Arial" w:eastAsia="Arial" w:hAnsi="Arial"/>
          <w:color w:val="000000"/>
          <w:spacing w:val="-1"/>
          <w:sz w:val="21"/>
        </w:rPr>
        <w:t>–</w:t>
      </w:r>
      <w:r>
        <w:rPr>
          <w:rFonts w:ascii="Arial" w:eastAsia="Arial" w:hAnsi="Arial"/>
          <w:color w:val="000000"/>
          <w:spacing w:val="-1"/>
          <w:sz w:val="20"/>
        </w:rPr>
        <w:t>Darling Basin communities were assessed on a combination of factors such as water and agricultural dependence, economic diversity, adaptive capacity and</w:t>
      </w:r>
    </w:p>
    <w:p w14:paraId="26C8B5C6" w14:textId="77777777" w:rsidR="00D8670B" w:rsidRDefault="009B37A9">
      <w:pPr>
        <w:spacing w:before="225" w:line="205" w:lineRule="exact"/>
        <w:textAlignment w:val="baseline"/>
        <w:rPr>
          <w:rFonts w:ascii="Arial" w:eastAsia="Arial" w:hAnsi="Arial"/>
          <w:color w:val="000000"/>
          <w:sz w:val="12"/>
        </w:rPr>
      </w:pPr>
      <w:r>
        <w:pict w14:anchorId="15D189CF">
          <v:line id="_x0000_s1077" style="position:absolute;z-index:251708416;mso-position-horizontal-relative:page;mso-position-vertical-relative:page" from="41.05pt,718.55pt" to="186.75pt,718.55pt" strokeweight=".7pt">
            <w10:wrap anchorx="page" anchory="page"/>
          </v:line>
        </w:pict>
      </w:r>
      <w:r>
        <w:rPr>
          <w:rFonts w:ascii="Arial" w:eastAsia="Arial" w:hAnsi="Arial"/>
          <w:color w:val="000000"/>
          <w:sz w:val="12"/>
        </w:rPr>
        <w:t xml:space="preserve">6 </w:t>
      </w:r>
      <w:r>
        <w:rPr>
          <w:rFonts w:ascii="Arial" w:eastAsia="Arial" w:hAnsi="Arial"/>
          <w:color w:val="000000"/>
          <w:sz w:val="18"/>
        </w:rPr>
        <w:t xml:space="preserve">Binney, J &amp; Tunny, G 2012, </w:t>
      </w:r>
      <w:r>
        <w:rPr>
          <w:rFonts w:ascii="Arial" w:eastAsia="Arial" w:hAnsi="Arial"/>
          <w:i/>
          <w:color w:val="000000"/>
          <w:sz w:val="18"/>
        </w:rPr>
        <w:t>Healthy HeadWaters: Phase 2 issues and analysis</w:t>
      </w:r>
      <w:r>
        <w:rPr>
          <w:rFonts w:ascii="Arial" w:eastAsia="Arial" w:hAnsi="Arial"/>
          <w:color w:val="000000"/>
          <w:sz w:val="18"/>
        </w:rPr>
        <w:t>, Marsden Jacob Associates, Brisbane</w:t>
      </w:r>
    </w:p>
    <w:p w14:paraId="7CF2433E" w14:textId="77777777" w:rsidR="00D8670B" w:rsidRDefault="009B37A9">
      <w:pPr>
        <w:spacing w:before="112" w:after="221" w:line="209" w:lineRule="exact"/>
        <w:ind w:right="360"/>
        <w:textAlignment w:val="baseline"/>
        <w:rPr>
          <w:rFonts w:ascii="Arial" w:eastAsia="Arial" w:hAnsi="Arial"/>
          <w:color w:val="000000"/>
          <w:sz w:val="12"/>
        </w:rPr>
      </w:pPr>
      <w:r>
        <w:rPr>
          <w:rFonts w:ascii="Arial" w:eastAsia="Arial" w:hAnsi="Arial"/>
          <w:color w:val="000000"/>
          <w:sz w:val="12"/>
        </w:rPr>
        <w:t xml:space="preserve">7 </w:t>
      </w:r>
      <w:r>
        <w:rPr>
          <w:rFonts w:ascii="Arial" w:eastAsia="Arial" w:hAnsi="Arial"/>
          <w:color w:val="000000"/>
          <w:sz w:val="18"/>
        </w:rPr>
        <w:t xml:space="preserve">Stenekes, N, Kancans, R, Randall, L, Lawson K, Reeve, I &amp; Stayner R 2012, </w:t>
      </w:r>
      <w:r>
        <w:rPr>
          <w:rFonts w:ascii="Arial" w:eastAsia="Arial" w:hAnsi="Arial"/>
          <w:i/>
          <w:color w:val="000000"/>
          <w:sz w:val="18"/>
        </w:rPr>
        <w:t>Revised indicators of community vulnerability and adaptive capacity across the Murray</w:t>
      </w:r>
      <w:r>
        <w:rPr>
          <w:rFonts w:ascii="Arial" w:eastAsia="Arial" w:hAnsi="Arial"/>
          <w:i/>
          <w:color w:val="000000"/>
        </w:rPr>
        <w:t>–</w:t>
      </w:r>
      <w:r>
        <w:rPr>
          <w:rFonts w:ascii="Arial" w:eastAsia="Arial" w:hAnsi="Arial"/>
          <w:i/>
          <w:color w:val="000000"/>
          <w:sz w:val="18"/>
        </w:rPr>
        <w:t>Darling Ba</w:t>
      </w:r>
      <w:r>
        <w:rPr>
          <w:rFonts w:ascii="Arial" w:eastAsia="Arial" w:hAnsi="Arial"/>
          <w:i/>
          <w:color w:val="000000"/>
          <w:sz w:val="18"/>
        </w:rPr>
        <w:t>sin: A focus on irrigation in agriculture</w:t>
      </w:r>
      <w:r>
        <w:rPr>
          <w:rFonts w:ascii="Arial" w:eastAsia="Arial" w:hAnsi="Arial"/>
          <w:color w:val="000000"/>
          <w:sz w:val="18"/>
        </w:rPr>
        <w:t>, Murray</w:t>
      </w:r>
      <w:r>
        <w:rPr>
          <w:rFonts w:ascii="Arial" w:eastAsia="Arial" w:hAnsi="Arial"/>
          <w:color w:val="000000"/>
        </w:rPr>
        <w:t>–</w:t>
      </w:r>
      <w:r>
        <w:rPr>
          <w:rFonts w:ascii="Arial" w:eastAsia="Arial" w:hAnsi="Arial"/>
          <w:color w:val="000000"/>
          <w:sz w:val="18"/>
        </w:rPr>
        <w:t>Darling Basin Authority, Canberra</w:t>
      </w:r>
    </w:p>
    <w:p w14:paraId="750AAB50" w14:textId="77777777" w:rsidR="00D8670B" w:rsidRDefault="009B37A9">
      <w:pPr>
        <w:spacing w:before="165" w:line="227" w:lineRule="exact"/>
        <w:jc w:val="center"/>
        <w:textAlignment w:val="baseline"/>
        <w:rPr>
          <w:rFonts w:ascii="Arial" w:eastAsia="Arial" w:hAnsi="Arial"/>
          <w:color w:val="000000"/>
          <w:spacing w:val="40"/>
          <w:sz w:val="20"/>
        </w:rPr>
      </w:pPr>
      <w:r>
        <w:pict w14:anchorId="22A08877">
          <v:line id="_x0000_s1076" style="position:absolute;left:0;text-align:left;z-index:251709440;mso-position-horizontal-relative:page;mso-position-vertical-relative:page" from="41.05pt,789.1pt" to="554.45pt,789.1pt" strokeweight="1.7pt">
            <w10:wrap anchorx="page" anchory="page"/>
          </v:line>
        </w:pict>
      </w:r>
      <w:r>
        <w:rPr>
          <w:rFonts w:ascii="Arial" w:eastAsia="Arial" w:hAnsi="Arial"/>
          <w:color w:val="000000"/>
          <w:spacing w:val="40"/>
          <w:sz w:val="20"/>
        </w:rPr>
        <w:t>33</w:t>
      </w:r>
    </w:p>
    <w:p w14:paraId="355B1DC4" w14:textId="77777777" w:rsidR="00D8670B" w:rsidRDefault="00D8670B">
      <w:pPr>
        <w:sectPr w:rsidR="00D8670B">
          <w:pgSz w:w="11909" w:h="16838"/>
          <w:pgMar w:top="1140" w:right="821" w:bottom="282" w:left="821" w:header="720" w:footer="720" w:gutter="0"/>
          <w:cols w:space="720"/>
        </w:sectPr>
      </w:pPr>
    </w:p>
    <w:p w14:paraId="0391ABDE" w14:textId="77777777" w:rsidR="00D8670B" w:rsidRDefault="009B37A9">
      <w:pPr>
        <w:spacing w:before="18" w:line="230" w:lineRule="exact"/>
        <w:ind w:right="288"/>
        <w:jc w:val="both"/>
        <w:textAlignment w:val="baseline"/>
        <w:rPr>
          <w:rFonts w:ascii="Arial" w:eastAsia="Arial" w:hAnsi="Arial"/>
          <w:color w:val="000000"/>
          <w:sz w:val="20"/>
        </w:rPr>
      </w:pPr>
      <w:r>
        <w:rPr>
          <w:rFonts w:ascii="Arial" w:eastAsia="Arial" w:hAnsi="Arial"/>
          <w:color w:val="000000"/>
          <w:sz w:val="20"/>
        </w:rPr>
        <w:lastRenderedPageBreak/>
        <w:t>sensitivity. Typically, the more vulnerable communities in the QMDB were the Lower Balonne and Border Rivers regions.</w:t>
      </w:r>
    </w:p>
    <w:p w14:paraId="067B17F4" w14:textId="77777777" w:rsidR="00D8670B" w:rsidRDefault="009B37A9">
      <w:pPr>
        <w:spacing w:before="122" w:after="470" w:line="230" w:lineRule="exact"/>
        <w:ind w:right="288"/>
        <w:textAlignment w:val="baseline"/>
        <w:rPr>
          <w:rFonts w:ascii="Arial" w:eastAsia="Arial" w:hAnsi="Arial"/>
          <w:color w:val="000000"/>
          <w:sz w:val="20"/>
        </w:rPr>
      </w:pPr>
      <w:r>
        <w:rPr>
          <w:rFonts w:ascii="Arial" w:eastAsia="Arial" w:hAnsi="Arial"/>
          <w:color w:val="000000"/>
          <w:sz w:val="20"/>
        </w:rPr>
        <w:t>Accordingly, HHWUE eligibility, program promotion and engagement focussed on the communities of St George, Dirranbandi and Goondiwindi. Th</w:t>
      </w:r>
      <w:r>
        <w:rPr>
          <w:rFonts w:ascii="Arial" w:eastAsia="Arial" w:hAnsi="Arial"/>
          <w:color w:val="000000"/>
          <w:sz w:val="20"/>
        </w:rPr>
        <w:t>e following map demonstrates the concentration of Phase 2 projects in these centres as a result of this prioritisation.</w:t>
      </w:r>
    </w:p>
    <w:p w14:paraId="3B5296E0" w14:textId="77777777" w:rsidR="00D8670B" w:rsidRDefault="009B37A9">
      <w:pPr>
        <w:spacing w:after="141"/>
        <w:ind w:left="48" w:right="38"/>
        <w:textAlignment w:val="baseline"/>
      </w:pPr>
      <w:r>
        <w:rPr>
          <w:noProof/>
        </w:rPr>
        <w:drawing>
          <wp:inline distT="0" distB="0" distL="0" distR="0" wp14:anchorId="03A014E7" wp14:editId="121F098D">
            <wp:extent cx="6464935" cy="405384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41"/>
                    <a:stretch>
                      <a:fillRect/>
                    </a:stretch>
                  </pic:blipFill>
                  <pic:spPr>
                    <a:xfrm>
                      <a:off x="0" y="0"/>
                      <a:ext cx="6464935" cy="4053840"/>
                    </a:xfrm>
                    <a:prstGeom prst="rect">
                      <a:avLst/>
                    </a:prstGeom>
                  </pic:spPr>
                </pic:pic>
              </a:graphicData>
            </a:graphic>
          </wp:inline>
        </w:drawing>
      </w:r>
    </w:p>
    <w:p w14:paraId="6A72E1CB"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12: Phase 2 project localities</w:t>
      </w:r>
    </w:p>
    <w:p w14:paraId="544D2174" w14:textId="77777777" w:rsidR="00D8670B" w:rsidRDefault="009B37A9">
      <w:pPr>
        <w:spacing w:before="245" w:line="300" w:lineRule="exact"/>
        <w:textAlignment w:val="baseline"/>
        <w:rPr>
          <w:rFonts w:ascii="Arial" w:eastAsia="Arial" w:hAnsi="Arial"/>
          <w:b/>
          <w:color w:val="55532D"/>
          <w:sz w:val="26"/>
        </w:rPr>
      </w:pPr>
      <w:r>
        <w:rPr>
          <w:rFonts w:ascii="Arial" w:eastAsia="Arial" w:hAnsi="Arial"/>
          <w:b/>
          <w:color w:val="55532D"/>
          <w:sz w:val="26"/>
        </w:rPr>
        <w:t>3.1.2.2 Targeting water recovery areas</w:t>
      </w:r>
    </w:p>
    <w:p w14:paraId="2E0950E2" w14:textId="77777777" w:rsidR="00D8670B" w:rsidRDefault="009B37A9">
      <w:pPr>
        <w:spacing w:before="116" w:line="230" w:lineRule="exact"/>
        <w:ind w:right="504"/>
        <w:textAlignment w:val="baseline"/>
        <w:rPr>
          <w:rFonts w:ascii="Arial" w:eastAsia="Arial" w:hAnsi="Arial"/>
          <w:color w:val="000000"/>
          <w:sz w:val="20"/>
        </w:rPr>
      </w:pPr>
      <w:r>
        <w:rPr>
          <w:rFonts w:ascii="Arial" w:eastAsia="Arial" w:hAnsi="Arial"/>
          <w:color w:val="000000"/>
          <w:sz w:val="20"/>
        </w:rPr>
        <w:t>Eligibility aligned with priority catchments for water recovery, particularly the Lower Balonne and Border Rivers regions, and irrigator demand.</w:t>
      </w:r>
    </w:p>
    <w:p w14:paraId="3670BD9A" w14:textId="77777777" w:rsidR="00D8670B" w:rsidRDefault="009B37A9">
      <w:pPr>
        <w:spacing w:before="117" w:line="230" w:lineRule="exact"/>
        <w:ind w:right="216"/>
        <w:textAlignment w:val="baseline"/>
        <w:rPr>
          <w:rFonts w:ascii="Arial" w:eastAsia="Arial" w:hAnsi="Arial"/>
          <w:color w:val="000000"/>
          <w:sz w:val="20"/>
        </w:rPr>
      </w:pPr>
      <w:r>
        <w:rPr>
          <w:rFonts w:ascii="Arial" w:eastAsia="Arial" w:hAnsi="Arial"/>
          <w:color w:val="000000"/>
          <w:sz w:val="20"/>
        </w:rPr>
        <w:t>Unsupplemented water was generally considered a higher priority than supplemented. This focus was reflected in eligible areas. Towards the end of the program, the only eligible supplemented entitlements were in the Lower Balonne. In the final rounds, the Q</w:t>
      </w:r>
      <w:r>
        <w:rPr>
          <w:rFonts w:ascii="Arial" w:eastAsia="Arial" w:hAnsi="Arial"/>
          <w:color w:val="000000"/>
          <w:sz w:val="20"/>
        </w:rPr>
        <w:t>ueensland and Australian governments opened eligibility to remaining water recovery areas and products, including Lower Balonne overland flow and mid to upper Condamine unsupplemented entitlements.</w:t>
      </w:r>
    </w:p>
    <w:p w14:paraId="1E268C12" w14:textId="77777777" w:rsidR="00D8670B" w:rsidRDefault="009B37A9">
      <w:pPr>
        <w:spacing w:before="123" w:after="95" w:line="228" w:lineRule="exact"/>
        <w:textAlignment w:val="baseline"/>
        <w:rPr>
          <w:rFonts w:ascii="Arial" w:eastAsia="Arial" w:hAnsi="Arial"/>
          <w:color w:val="000000"/>
          <w:sz w:val="20"/>
        </w:rPr>
      </w:pPr>
      <w:r>
        <w:rPr>
          <w:rFonts w:ascii="Arial" w:eastAsia="Arial" w:hAnsi="Arial"/>
          <w:color w:val="000000"/>
          <w:sz w:val="20"/>
        </w:rPr>
        <w:t>The following table shows the number of Phase 2 funded pro</w:t>
      </w:r>
      <w:r>
        <w:rPr>
          <w:rFonts w:ascii="Arial" w:eastAsia="Arial" w:hAnsi="Arial"/>
          <w:color w:val="000000"/>
          <w:sz w:val="20"/>
        </w:rPr>
        <w:t>jects by priority catchment and type.</w:t>
      </w:r>
    </w:p>
    <w:p w14:paraId="47D8612F" w14:textId="77777777" w:rsidR="00D8670B" w:rsidRDefault="009B37A9">
      <w:pPr>
        <w:shd w:val="solid" w:color="EBD9CA" w:fill="EBD9CA"/>
        <w:tabs>
          <w:tab w:val="right" w:pos="5760"/>
        </w:tabs>
        <w:spacing w:after="113" w:line="206" w:lineRule="exact"/>
        <w:ind w:left="2299" w:right="2227"/>
        <w:textAlignment w:val="baseline"/>
        <w:rPr>
          <w:rFonts w:ascii="Arial" w:eastAsia="Arial" w:hAnsi="Arial"/>
          <w:b/>
          <w:color w:val="6C472A"/>
          <w:sz w:val="18"/>
        </w:rPr>
      </w:pPr>
      <w:r>
        <w:rPr>
          <w:rFonts w:ascii="Arial" w:eastAsia="Arial" w:hAnsi="Arial"/>
          <w:b/>
          <w:color w:val="6C472A"/>
          <w:sz w:val="18"/>
        </w:rPr>
        <w:t>Catchment and type</w:t>
      </w:r>
      <w:r>
        <w:rPr>
          <w:rFonts w:ascii="Arial" w:eastAsia="Arial" w:hAnsi="Arial"/>
          <w:b/>
          <w:color w:val="6C472A"/>
          <w:sz w:val="18"/>
        </w:rPr>
        <w:tab/>
        <w:t>Projects</w:t>
      </w:r>
    </w:p>
    <w:p w14:paraId="53152F53" w14:textId="77777777" w:rsidR="00D8670B" w:rsidRDefault="009B37A9">
      <w:pPr>
        <w:shd w:val="solid" w:color="F3E9E0" w:fill="F3E9E0"/>
        <w:tabs>
          <w:tab w:val="right" w:pos="5760"/>
        </w:tabs>
        <w:spacing w:after="233" w:line="206" w:lineRule="exact"/>
        <w:ind w:left="2299" w:right="2227"/>
        <w:textAlignment w:val="baseline"/>
        <w:rPr>
          <w:rFonts w:ascii="Arial" w:eastAsia="Arial" w:hAnsi="Arial"/>
          <w:b/>
          <w:color w:val="000000"/>
          <w:sz w:val="18"/>
        </w:rPr>
      </w:pPr>
      <w:r>
        <w:rPr>
          <w:rFonts w:ascii="Arial" w:eastAsia="Arial" w:hAnsi="Arial"/>
          <w:b/>
          <w:color w:val="000000"/>
          <w:sz w:val="18"/>
        </w:rPr>
        <w:t>Border Rivers</w:t>
      </w:r>
      <w:r>
        <w:rPr>
          <w:rFonts w:ascii="Arial" w:eastAsia="Arial" w:hAnsi="Arial"/>
          <w:b/>
          <w:color w:val="000000"/>
          <w:sz w:val="18"/>
        </w:rPr>
        <w:tab/>
        <w:t>20</w:t>
      </w:r>
    </w:p>
    <w:p w14:paraId="6EC56887" w14:textId="77777777" w:rsidR="00D8670B" w:rsidRDefault="009B37A9">
      <w:pPr>
        <w:tabs>
          <w:tab w:val="left" w:pos="7776"/>
        </w:tabs>
        <w:spacing w:before="2" w:line="205" w:lineRule="exact"/>
        <w:ind w:left="2664"/>
        <w:textAlignment w:val="baseline"/>
        <w:rPr>
          <w:rFonts w:ascii="Arial" w:eastAsia="Arial" w:hAnsi="Arial"/>
          <w:color w:val="000000"/>
          <w:sz w:val="18"/>
        </w:rPr>
      </w:pPr>
      <w:r>
        <w:rPr>
          <w:rFonts w:ascii="Arial" w:eastAsia="Arial" w:hAnsi="Arial"/>
          <w:color w:val="000000"/>
          <w:sz w:val="18"/>
        </w:rPr>
        <w:t>Supplemented</w:t>
      </w:r>
      <w:r>
        <w:rPr>
          <w:rFonts w:ascii="Arial" w:eastAsia="Arial" w:hAnsi="Arial"/>
          <w:color w:val="000000"/>
          <w:sz w:val="18"/>
        </w:rPr>
        <w:tab/>
        <w:t>10</w:t>
      </w:r>
    </w:p>
    <w:p w14:paraId="2647FA08" w14:textId="77777777" w:rsidR="00D8670B" w:rsidRDefault="009B37A9">
      <w:pPr>
        <w:tabs>
          <w:tab w:val="left" w:pos="7776"/>
        </w:tabs>
        <w:spacing w:before="241" w:after="109" w:line="205" w:lineRule="exact"/>
        <w:ind w:left="2664"/>
        <w:textAlignment w:val="baseline"/>
        <w:rPr>
          <w:rFonts w:ascii="Arial" w:eastAsia="Arial" w:hAnsi="Arial"/>
          <w:color w:val="000000"/>
          <w:sz w:val="18"/>
        </w:rPr>
      </w:pPr>
      <w:r>
        <w:rPr>
          <w:rFonts w:ascii="Arial" w:eastAsia="Arial" w:hAnsi="Arial"/>
          <w:color w:val="000000"/>
          <w:sz w:val="18"/>
        </w:rPr>
        <w:t>Unsupplemented</w:t>
      </w:r>
      <w:r>
        <w:rPr>
          <w:rFonts w:ascii="Arial" w:eastAsia="Arial" w:hAnsi="Arial"/>
          <w:color w:val="000000"/>
          <w:sz w:val="18"/>
        </w:rPr>
        <w:tab/>
        <w:t>10</w:t>
      </w:r>
    </w:p>
    <w:p w14:paraId="324FC978" w14:textId="77777777" w:rsidR="00D8670B" w:rsidRDefault="009B37A9">
      <w:pPr>
        <w:shd w:val="solid" w:color="F3E9E0" w:fill="F3E9E0"/>
        <w:tabs>
          <w:tab w:val="right" w:pos="5760"/>
        </w:tabs>
        <w:spacing w:after="238" w:line="206" w:lineRule="exact"/>
        <w:ind w:left="2299" w:right="2227"/>
        <w:textAlignment w:val="baseline"/>
        <w:rPr>
          <w:rFonts w:ascii="Arial" w:eastAsia="Arial" w:hAnsi="Arial"/>
          <w:b/>
          <w:color w:val="000000"/>
          <w:sz w:val="18"/>
        </w:rPr>
      </w:pPr>
      <w:r>
        <w:rPr>
          <w:rFonts w:ascii="Arial" w:eastAsia="Arial" w:hAnsi="Arial"/>
          <w:b/>
          <w:color w:val="000000"/>
          <w:sz w:val="18"/>
        </w:rPr>
        <w:t>Condamine</w:t>
      </w:r>
      <w:r>
        <w:rPr>
          <w:rFonts w:ascii="Arial" w:eastAsia="Arial" w:hAnsi="Arial"/>
          <w:b/>
          <w:color w:val="000000"/>
          <w:sz w:val="18"/>
        </w:rPr>
        <w:tab/>
        <w:t>9</w:t>
      </w:r>
    </w:p>
    <w:p w14:paraId="39F0BBCA" w14:textId="77777777" w:rsidR="00D8670B" w:rsidRDefault="009B37A9">
      <w:pPr>
        <w:tabs>
          <w:tab w:val="left" w:pos="7848"/>
        </w:tabs>
        <w:spacing w:before="2" w:after="104" w:line="205" w:lineRule="exact"/>
        <w:ind w:left="2664"/>
        <w:textAlignment w:val="baseline"/>
        <w:rPr>
          <w:rFonts w:ascii="Arial" w:eastAsia="Arial" w:hAnsi="Arial"/>
          <w:color w:val="000000"/>
          <w:sz w:val="18"/>
        </w:rPr>
      </w:pPr>
      <w:r>
        <w:rPr>
          <w:rFonts w:ascii="Arial" w:eastAsia="Arial" w:hAnsi="Arial"/>
          <w:color w:val="000000"/>
          <w:sz w:val="18"/>
        </w:rPr>
        <w:t>Unsupplemented</w:t>
      </w:r>
      <w:r>
        <w:rPr>
          <w:rFonts w:ascii="Arial" w:eastAsia="Arial" w:hAnsi="Arial"/>
          <w:color w:val="000000"/>
          <w:sz w:val="18"/>
        </w:rPr>
        <w:tab/>
        <w:t>9</w:t>
      </w:r>
    </w:p>
    <w:p w14:paraId="6360FAE3" w14:textId="77777777" w:rsidR="00D8670B" w:rsidRDefault="009B37A9">
      <w:pPr>
        <w:shd w:val="solid" w:color="F3E9E0" w:fill="F3E9E0"/>
        <w:tabs>
          <w:tab w:val="right" w:pos="5760"/>
        </w:tabs>
        <w:spacing w:after="239" w:line="206" w:lineRule="exact"/>
        <w:ind w:left="2299" w:right="2227"/>
        <w:textAlignment w:val="baseline"/>
        <w:rPr>
          <w:rFonts w:ascii="Arial" w:eastAsia="Arial" w:hAnsi="Arial"/>
          <w:b/>
          <w:color w:val="000000"/>
          <w:sz w:val="18"/>
        </w:rPr>
      </w:pPr>
      <w:r>
        <w:rPr>
          <w:rFonts w:ascii="Arial" w:eastAsia="Arial" w:hAnsi="Arial"/>
          <w:b/>
          <w:color w:val="000000"/>
          <w:sz w:val="18"/>
        </w:rPr>
        <w:t>Lower Balonne</w:t>
      </w:r>
      <w:r>
        <w:rPr>
          <w:rFonts w:ascii="Arial" w:eastAsia="Arial" w:hAnsi="Arial"/>
          <w:b/>
          <w:color w:val="000000"/>
          <w:sz w:val="18"/>
        </w:rPr>
        <w:tab/>
        <w:t>32</w:t>
      </w:r>
    </w:p>
    <w:p w14:paraId="1A85D3BF" w14:textId="77777777" w:rsidR="00D8670B" w:rsidRDefault="009B37A9">
      <w:pPr>
        <w:spacing w:before="165" w:line="227" w:lineRule="exact"/>
        <w:jc w:val="center"/>
        <w:textAlignment w:val="baseline"/>
        <w:rPr>
          <w:rFonts w:ascii="Arial" w:eastAsia="Arial" w:hAnsi="Arial"/>
          <w:color w:val="000000"/>
          <w:spacing w:val="40"/>
          <w:sz w:val="20"/>
        </w:rPr>
      </w:pPr>
      <w:r>
        <w:pict w14:anchorId="7202F52D">
          <v:line id="_x0000_s1075" style="position:absolute;left:0;text-align:left;z-index:251710464;mso-position-horizontal-relative:page;mso-position-vertical-relative:page" from="41.05pt,789.1pt" to="554.45pt,789.1pt" strokeweight="1.7pt">
            <w10:wrap anchorx="page" anchory="page"/>
          </v:line>
        </w:pict>
      </w:r>
      <w:r>
        <w:rPr>
          <w:rFonts w:ascii="Arial" w:eastAsia="Arial" w:hAnsi="Arial"/>
          <w:color w:val="000000"/>
          <w:spacing w:val="40"/>
          <w:sz w:val="20"/>
        </w:rPr>
        <w:t>34</w:t>
      </w:r>
    </w:p>
    <w:p w14:paraId="1B1914D7" w14:textId="77777777" w:rsidR="00D8670B" w:rsidRDefault="00D8670B">
      <w:pPr>
        <w:sectPr w:rsidR="00D8670B">
          <w:pgSz w:w="11909" w:h="16838"/>
          <w:pgMar w:top="1120" w:right="821" w:bottom="282" w:left="821"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5870"/>
        <w:gridCol w:w="4397"/>
      </w:tblGrid>
      <w:tr w:rsidR="00D8670B" w14:paraId="51568DE9" w14:textId="77777777">
        <w:tblPrEx>
          <w:tblCellMar>
            <w:top w:w="0" w:type="dxa"/>
            <w:bottom w:w="0" w:type="dxa"/>
          </w:tblCellMar>
        </w:tblPrEx>
        <w:trPr>
          <w:trHeight w:hRule="exact" w:val="539"/>
        </w:trPr>
        <w:tc>
          <w:tcPr>
            <w:tcW w:w="5870" w:type="dxa"/>
            <w:tcBorders>
              <w:top w:val="none" w:sz="0" w:space="0" w:color="020000"/>
              <w:left w:val="none" w:sz="0" w:space="0" w:color="020000"/>
              <w:bottom w:val="none" w:sz="0" w:space="0" w:color="020000"/>
              <w:right w:val="none" w:sz="0" w:space="0" w:color="020000"/>
            </w:tcBorders>
            <w:vAlign w:val="center"/>
          </w:tcPr>
          <w:p w14:paraId="2C413667" w14:textId="77777777" w:rsidR="00D8670B" w:rsidRDefault="009B37A9">
            <w:pPr>
              <w:spacing w:before="220" w:after="108" w:line="201" w:lineRule="exact"/>
              <w:ind w:left="2607"/>
              <w:textAlignment w:val="baseline"/>
              <w:rPr>
                <w:rFonts w:ascii="Arial" w:eastAsia="Arial" w:hAnsi="Arial"/>
                <w:color w:val="000000"/>
                <w:sz w:val="18"/>
              </w:rPr>
            </w:pPr>
            <w:r>
              <w:rPr>
                <w:rFonts w:ascii="Arial" w:eastAsia="Arial" w:hAnsi="Arial"/>
                <w:color w:val="000000"/>
                <w:sz w:val="18"/>
              </w:rPr>
              <w:lastRenderedPageBreak/>
              <w:t>Supplemented</w:t>
            </w:r>
          </w:p>
        </w:tc>
        <w:tc>
          <w:tcPr>
            <w:tcW w:w="4397" w:type="dxa"/>
            <w:tcBorders>
              <w:top w:val="none" w:sz="0" w:space="0" w:color="020000"/>
              <w:left w:val="none" w:sz="0" w:space="0" w:color="020000"/>
              <w:bottom w:val="none" w:sz="0" w:space="0" w:color="020000"/>
              <w:right w:val="none" w:sz="0" w:space="0" w:color="020000"/>
            </w:tcBorders>
            <w:vAlign w:val="center"/>
          </w:tcPr>
          <w:p w14:paraId="5CD0CD08" w14:textId="77777777" w:rsidR="00D8670B" w:rsidRDefault="009B37A9">
            <w:pPr>
              <w:spacing w:before="220" w:after="108" w:line="201" w:lineRule="exact"/>
              <w:ind w:right="2338"/>
              <w:jc w:val="right"/>
              <w:textAlignment w:val="baseline"/>
              <w:rPr>
                <w:rFonts w:ascii="Arial" w:eastAsia="Arial" w:hAnsi="Arial"/>
                <w:color w:val="000000"/>
                <w:sz w:val="18"/>
              </w:rPr>
            </w:pPr>
            <w:r>
              <w:rPr>
                <w:rFonts w:ascii="Arial" w:eastAsia="Arial" w:hAnsi="Arial"/>
                <w:color w:val="000000"/>
                <w:sz w:val="18"/>
              </w:rPr>
              <w:t>1</w:t>
            </w:r>
          </w:p>
        </w:tc>
      </w:tr>
      <w:tr w:rsidR="00D8670B" w14:paraId="1D463670" w14:textId="77777777">
        <w:tblPrEx>
          <w:tblCellMar>
            <w:top w:w="0" w:type="dxa"/>
            <w:bottom w:w="0" w:type="dxa"/>
          </w:tblCellMar>
        </w:tblPrEx>
        <w:trPr>
          <w:trHeight w:hRule="exact" w:val="446"/>
        </w:trPr>
        <w:tc>
          <w:tcPr>
            <w:tcW w:w="5870" w:type="dxa"/>
            <w:tcBorders>
              <w:top w:val="none" w:sz="0" w:space="0" w:color="020000"/>
              <w:left w:val="none" w:sz="0" w:space="0" w:color="020000"/>
              <w:bottom w:val="none" w:sz="0" w:space="0" w:color="020000"/>
              <w:right w:val="none" w:sz="0" w:space="0" w:color="020000"/>
            </w:tcBorders>
            <w:vAlign w:val="center"/>
          </w:tcPr>
          <w:p w14:paraId="008F13F7" w14:textId="77777777" w:rsidR="00D8670B" w:rsidRDefault="009B37A9">
            <w:pPr>
              <w:spacing w:before="132" w:after="104" w:line="201" w:lineRule="exact"/>
              <w:ind w:left="2607"/>
              <w:textAlignment w:val="baseline"/>
              <w:rPr>
                <w:rFonts w:ascii="Arial" w:eastAsia="Arial" w:hAnsi="Arial"/>
                <w:color w:val="000000"/>
                <w:sz w:val="18"/>
              </w:rPr>
            </w:pPr>
            <w:r>
              <w:rPr>
                <w:rFonts w:ascii="Arial" w:eastAsia="Arial" w:hAnsi="Arial"/>
                <w:color w:val="000000"/>
                <w:sz w:val="18"/>
              </w:rPr>
              <w:t>Unsupplemented</w:t>
            </w:r>
          </w:p>
        </w:tc>
        <w:tc>
          <w:tcPr>
            <w:tcW w:w="4397" w:type="dxa"/>
            <w:tcBorders>
              <w:top w:val="none" w:sz="0" w:space="0" w:color="020000"/>
              <w:left w:val="none" w:sz="0" w:space="0" w:color="020000"/>
              <w:bottom w:val="none" w:sz="0" w:space="0" w:color="020000"/>
              <w:right w:val="none" w:sz="0" w:space="0" w:color="020000"/>
            </w:tcBorders>
            <w:vAlign w:val="center"/>
          </w:tcPr>
          <w:p w14:paraId="0BFDA8ED" w14:textId="77777777" w:rsidR="00D8670B" w:rsidRDefault="009B37A9">
            <w:pPr>
              <w:spacing w:before="132" w:after="104" w:line="201" w:lineRule="exact"/>
              <w:ind w:right="2338"/>
              <w:jc w:val="right"/>
              <w:textAlignment w:val="baseline"/>
              <w:rPr>
                <w:rFonts w:ascii="Arial" w:eastAsia="Arial" w:hAnsi="Arial"/>
                <w:color w:val="000000"/>
                <w:sz w:val="18"/>
              </w:rPr>
            </w:pPr>
            <w:r>
              <w:rPr>
                <w:rFonts w:ascii="Arial" w:eastAsia="Arial" w:hAnsi="Arial"/>
                <w:color w:val="000000"/>
                <w:sz w:val="18"/>
              </w:rPr>
              <w:t>26</w:t>
            </w:r>
          </w:p>
        </w:tc>
      </w:tr>
      <w:tr w:rsidR="00D8670B" w14:paraId="213A96F4" w14:textId="77777777">
        <w:tblPrEx>
          <w:tblCellMar>
            <w:top w:w="0" w:type="dxa"/>
            <w:bottom w:w="0" w:type="dxa"/>
          </w:tblCellMar>
        </w:tblPrEx>
        <w:trPr>
          <w:trHeight w:hRule="exact" w:val="447"/>
        </w:trPr>
        <w:tc>
          <w:tcPr>
            <w:tcW w:w="5870" w:type="dxa"/>
            <w:tcBorders>
              <w:top w:val="none" w:sz="0" w:space="0" w:color="020000"/>
              <w:left w:val="none" w:sz="0" w:space="0" w:color="020000"/>
              <w:bottom w:val="none" w:sz="0" w:space="0" w:color="020000"/>
              <w:right w:val="none" w:sz="0" w:space="0" w:color="020000"/>
            </w:tcBorders>
            <w:vAlign w:val="center"/>
          </w:tcPr>
          <w:p w14:paraId="29A3175B" w14:textId="77777777" w:rsidR="00D8670B" w:rsidRDefault="009B37A9">
            <w:pPr>
              <w:spacing w:before="132" w:after="104" w:line="201" w:lineRule="exact"/>
              <w:ind w:left="2607"/>
              <w:textAlignment w:val="baseline"/>
              <w:rPr>
                <w:rFonts w:ascii="Arial" w:eastAsia="Arial" w:hAnsi="Arial"/>
                <w:color w:val="000000"/>
                <w:sz w:val="18"/>
              </w:rPr>
            </w:pPr>
            <w:r>
              <w:rPr>
                <w:rFonts w:ascii="Arial" w:eastAsia="Arial" w:hAnsi="Arial"/>
                <w:color w:val="000000"/>
                <w:sz w:val="18"/>
              </w:rPr>
              <w:t>Overland flow</w:t>
            </w:r>
          </w:p>
        </w:tc>
        <w:tc>
          <w:tcPr>
            <w:tcW w:w="4397" w:type="dxa"/>
            <w:tcBorders>
              <w:top w:val="none" w:sz="0" w:space="0" w:color="020000"/>
              <w:left w:val="none" w:sz="0" w:space="0" w:color="020000"/>
              <w:bottom w:val="none" w:sz="0" w:space="0" w:color="020000"/>
              <w:right w:val="none" w:sz="0" w:space="0" w:color="020000"/>
            </w:tcBorders>
            <w:vAlign w:val="center"/>
          </w:tcPr>
          <w:p w14:paraId="70C3C3C7" w14:textId="77777777" w:rsidR="00D8670B" w:rsidRDefault="009B37A9">
            <w:pPr>
              <w:spacing w:before="132" w:after="104" w:line="201" w:lineRule="exact"/>
              <w:ind w:right="2338"/>
              <w:jc w:val="right"/>
              <w:textAlignment w:val="baseline"/>
              <w:rPr>
                <w:rFonts w:ascii="Arial" w:eastAsia="Arial" w:hAnsi="Arial"/>
                <w:color w:val="000000"/>
                <w:sz w:val="18"/>
              </w:rPr>
            </w:pPr>
            <w:r>
              <w:rPr>
                <w:rFonts w:ascii="Arial" w:eastAsia="Arial" w:hAnsi="Arial"/>
                <w:color w:val="000000"/>
                <w:sz w:val="18"/>
              </w:rPr>
              <w:t>5</w:t>
            </w:r>
          </w:p>
        </w:tc>
      </w:tr>
      <w:tr w:rsidR="00D8670B" w14:paraId="3F466DD7" w14:textId="77777777">
        <w:tblPrEx>
          <w:tblCellMar>
            <w:top w:w="0" w:type="dxa"/>
            <w:bottom w:w="0" w:type="dxa"/>
          </w:tblCellMar>
        </w:tblPrEx>
        <w:trPr>
          <w:trHeight w:hRule="exact" w:val="451"/>
        </w:trPr>
        <w:tc>
          <w:tcPr>
            <w:tcW w:w="5870" w:type="dxa"/>
            <w:tcBorders>
              <w:top w:val="none" w:sz="0" w:space="0" w:color="020000"/>
              <w:left w:val="none" w:sz="0" w:space="0" w:color="020000"/>
              <w:bottom w:val="none" w:sz="0" w:space="0" w:color="020000"/>
              <w:right w:val="none" w:sz="0" w:space="0" w:color="020000"/>
            </w:tcBorders>
            <w:shd w:val="clear" w:color="F3E9E0" w:fill="F3E9E0"/>
            <w:vAlign w:val="center"/>
          </w:tcPr>
          <w:p w14:paraId="5FBDCEDA" w14:textId="77777777" w:rsidR="00D8670B" w:rsidRDefault="009B37A9">
            <w:pPr>
              <w:spacing w:before="127" w:after="104" w:line="205" w:lineRule="exact"/>
              <w:ind w:right="3037"/>
              <w:jc w:val="right"/>
              <w:textAlignment w:val="baseline"/>
              <w:rPr>
                <w:rFonts w:ascii="Arial" w:eastAsia="Arial" w:hAnsi="Arial"/>
                <w:b/>
                <w:color w:val="000000"/>
                <w:sz w:val="18"/>
              </w:rPr>
            </w:pPr>
            <w:r>
              <w:rPr>
                <w:rFonts w:ascii="Arial" w:eastAsia="Arial" w:hAnsi="Arial"/>
                <w:b/>
                <w:color w:val="000000"/>
                <w:sz w:val="18"/>
              </w:rPr>
              <w:t>Other</w:t>
            </w:r>
          </w:p>
        </w:tc>
        <w:tc>
          <w:tcPr>
            <w:tcW w:w="4397" w:type="dxa"/>
            <w:tcBorders>
              <w:top w:val="none" w:sz="0" w:space="0" w:color="020000"/>
              <w:left w:val="none" w:sz="0" w:space="0" w:color="020000"/>
              <w:bottom w:val="none" w:sz="0" w:space="0" w:color="020000"/>
              <w:right w:val="none" w:sz="0" w:space="0" w:color="020000"/>
            </w:tcBorders>
            <w:shd w:val="clear" w:color="F3E9E0" w:fill="F3E9E0"/>
            <w:vAlign w:val="center"/>
          </w:tcPr>
          <w:p w14:paraId="0FB57497" w14:textId="77777777" w:rsidR="00D8670B" w:rsidRDefault="009B37A9">
            <w:pPr>
              <w:spacing w:before="127" w:after="104" w:line="205" w:lineRule="exact"/>
              <w:ind w:right="2338"/>
              <w:jc w:val="right"/>
              <w:textAlignment w:val="baseline"/>
              <w:rPr>
                <w:rFonts w:ascii="Arial" w:eastAsia="Arial" w:hAnsi="Arial"/>
                <w:b/>
                <w:color w:val="000000"/>
                <w:sz w:val="18"/>
              </w:rPr>
            </w:pPr>
            <w:r>
              <w:rPr>
                <w:rFonts w:ascii="Arial" w:eastAsia="Arial" w:hAnsi="Arial"/>
                <w:b/>
                <w:color w:val="000000"/>
                <w:sz w:val="18"/>
              </w:rPr>
              <w:t>3</w:t>
            </w:r>
          </w:p>
        </w:tc>
      </w:tr>
      <w:tr w:rsidR="00D8670B" w14:paraId="7CE320DF" w14:textId="77777777">
        <w:tblPrEx>
          <w:tblCellMar>
            <w:top w:w="0" w:type="dxa"/>
            <w:bottom w:w="0" w:type="dxa"/>
          </w:tblCellMar>
        </w:tblPrEx>
        <w:trPr>
          <w:trHeight w:hRule="exact" w:val="446"/>
        </w:trPr>
        <w:tc>
          <w:tcPr>
            <w:tcW w:w="5870" w:type="dxa"/>
            <w:tcBorders>
              <w:top w:val="none" w:sz="0" w:space="0" w:color="020000"/>
              <w:left w:val="none" w:sz="0" w:space="0" w:color="020000"/>
              <w:bottom w:val="none" w:sz="0" w:space="0" w:color="020000"/>
              <w:right w:val="none" w:sz="0" w:space="0" w:color="020000"/>
            </w:tcBorders>
            <w:vAlign w:val="center"/>
          </w:tcPr>
          <w:p w14:paraId="0BF0B8A9" w14:textId="77777777" w:rsidR="00D8670B" w:rsidRDefault="009B37A9">
            <w:pPr>
              <w:spacing w:before="127" w:after="104" w:line="201" w:lineRule="exact"/>
              <w:ind w:left="2607"/>
              <w:textAlignment w:val="baseline"/>
              <w:rPr>
                <w:rFonts w:ascii="Arial" w:eastAsia="Arial" w:hAnsi="Arial"/>
                <w:color w:val="000000"/>
                <w:sz w:val="18"/>
              </w:rPr>
            </w:pPr>
            <w:r>
              <w:rPr>
                <w:rFonts w:ascii="Arial" w:eastAsia="Arial" w:hAnsi="Arial"/>
                <w:color w:val="000000"/>
                <w:sz w:val="18"/>
              </w:rPr>
              <w:t>Unsupplemented</w:t>
            </w:r>
          </w:p>
        </w:tc>
        <w:tc>
          <w:tcPr>
            <w:tcW w:w="4397" w:type="dxa"/>
            <w:tcBorders>
              <w:top w:val="none" w:sz="0" w:space="0" w:color="020000"/>
              <w:left w:val="none" w:sz="0" w:space="0" w:color="020000"/>
              <w:bottom w:val="none" w:sz="0" w:space="0" w:color="020000"/>
              <w:right w:val="none" w:sz="0" w:space="0" w:color="020000"/>
            </w:tcBorders>
            <w:vAlign w:val="center"/>
          </w:tcPr>
          <w:p w14:paraId="2CE8DFEC" w14:textId="77777777" w:rsidR="00D8670B" w:rsidRDefault="009B37A9">
            <w:pPr>
              <w:spacing w:before="127" w:after="104" w:line="201" w:lineRule="exact"/>
              <w:ind w:right="2338"/>
              <w:jc w:val="right"/>
              <w:textAlignment w:val="baseline"/>
              <w:rPr>
                <w:rFonts w:ascii="Arial" w:eastAsia="Arial" w:hAnsi="Arial"/>
                <w:color w:val="000000"/>
                <w:sz w:val="18"/>
              </w:rPr>
            </w:pPr>
            <w:r>
              <w:rPr>
                <w:rFonts w:ascii="Arial" w:eastAsia="Arial" w:hAnsi="Arial"/>
                <w:color w:val="000000"/>
                <w:sz w:val="18"/>
              </w:rPr>
              <w:t>3</w:t>
            </w:r>
          </w:p>
        </w:tc>
      </w:tr>
      <w:tr w:rsidR="00D8670B" w14:paraId="0C4CA2CC" w14:textId="77777777">
        <w:tblPrEx>
          <w:tblCellMar>
            <w:top w:w="0" w:type="dxa"/>
            <w:bottom w:w="0" w:type="dxa"/>
          </w:tblCellMar>
        </w:tblPrEx>
        <w:trPr>
          <w:trHeight w:hRule="exact" w:val="337"/>
        </w:trPr>
        <w:tc>
          <w:tcPr>
            <w:tcW w:w="5870" w:type="dxa"/>
            <w:tcBorders>
              <w:top w:val="none" w:sz="0" w:space="0" w:color="020000"/>
              <w:left w:val="none" w:sz="0" w:space="0" w:color="020000"/>
              <w:bottom w:val="none" w:sz="0" w:space="0" w:color="020000"/>
              <w:right w:val="none" w:sz="0" w:space="0" w:color="020000"/>
            </w:tcBorders>
            <w:shd w:val="clear" w:color="EBD9CA" w:fill="EBD9CA"/>
            <w:vAlign w:val="center"/>
          </w:tcPr>
          <w:p w14:paraId="3070F76F" w14:textId="77777777" w:rsidR="00D8670B" w:rsidRDefault="009B37A9">
            <w:pPr>
              <w:spacing w:before="123" w:after="3" w:line="205" w:lineRule="exact"/>
              <w:ind w:right="3037"/>
              <w:jc w:val="right"/>
              <w:textAlignment w:val="baseline"/>
              <w:rPr>
                <w:rFonts w:ascii="Arial" w:eastAsia="Arial" w:hAnsi="Arial"/>
                <w:b/>
                <w:color w:val="6C472A"/>
                <w:sz w:val="18"/>
              </w:rPr>
            </w:pPr>
            <w:r>
              <w:rPr>
                <w:rFonts w:ascii="Arial" w:eastAsia="Arial" w:hAnsi="Arial"/>
                <w:b/>
                <w:color w:val="6C472A"/>
                <w:sz w:val="18"/>
              </w:rPr>
              <w:t>Total</w:t>
            </w:r>
          </w:p>
        </w:tc>
        <w:tc>
          <w:tcPr>
            <w:tcW w:w="4397" w:type="dxa"/>
            <w:tcBorders>
              <w:top w:val="none" w:sz="0" w:space="0" w:color="020000"/>
              <w:left w:val="none" w:sz="0" w:space="0" w:color="020000"/>
              <w:bottom w:val="none" w:sz="0" w:space="0" w:color="020000"/>
              <w:right w:val="none" w:sz="0" w:space="0" w:color="020000"/>
            </w:tcBorders>
            <w:shd w:val="clear" w:color="EBD9CA" w:fill="EBD9CA"/>
            <w:vAlign w:val="center"/>
          </w:tcPr>
          <w:p w14:paraId="78D130DE" w14:textId="77777777" w:rsidR="00D8670B" w:rsidRDefault="009B37A9">
            <w:pPr>
              <w:spacing w:before="123" w:after="3" w:line="205" w:lineRule="exact"/>
              <w:ind w:right="2338"/>
              <w:jc w:val="right"/>
              <w:textAlignment w:val="baseline"/>
              <w:rPr>
                <w:rFonts w:ascii="Arial" w:eastAsia="Arial" w:hAnsi="Arial"/>
                <w:b/>
                <w:color w:val="6C472A"/>
                <w:sz w:val="18"/>
              </w:rPr>
            </w:pPr>
            <w:r>
              <w:rPr>
                <w:rFonts w:ascii="Arial" w:eastAsia="Arial" w:hAnsi="Arial"/>
                <w:b/>
                <w:color w:val="6C472A"/>
                <w:sz w:val="18"/>
              </w:rPr>
              <w:t>64</w:t>
            </w:r>
          </w:p>
        </w:tc>
      </w:tr>
    </w:tbl>
    <w:p w14:paraId="730E202F" w14:textId="77777777" w:rsidR="00D8670B" w:rsidRDefault="00D8670B">
      <w:pPr>
        <w:spacing w:after="340" w:line="20" w:lineRule="exact"/>
      </w:pPr>
    </w:p>
    <w:p w14:paraId="7FF58E20" w14:textId="77777777" w:rsidR="00D8670B" w:rsidRDefault="009B37A9">
      <w:pPr>
        <w:spacing w:before="2" w:line="297" w:lineRule="exact"/>
        <w:textAlignment w:val="baseline"/>
        <w:rPr>
          <w:rFonts w:ascii="Arial" w:eastAsia="Arial" w:hAnsi="Arial"/>
          <w:b/>
          <w:color w:val="55532D"/>
          <w:sz w:val="26"/>
        </w:rPr>
      </w:pPr>
      <w:r>
        <w:rPr>
          <w:rFonts w:ascii="Arial" w:eastAsia="Arial" w:hAnsi="Arial"/>
          <w:b/>
          <w:color w:val="55532D"/>
          <w:sz w:val="26"/>
        </w:rPr>
        <w:t>3.1.2.3 Socioeconomic benefits</w:t>
      </w:r>
    </w:p>
    <w:p w14:paraId="0A5A66ED" w14:textId="77777777" w:rsidR="00D8670B" w:rsidRDefault="009B37A9">
      <w:pPr>
        <w:spacing w:before="115" w:line="230" w:lineRule="exact"/>
        <w:ind w:right="288"/>
        <w:textAlignment w:val="baseline"/>
        <w:rPr>
          <w:rFonts w:ascii="Arial" w:eastAsia="Arial" w:hAnsi="Arial"/>
          <w:color w:val="000000"/>
          <w:sz w:val="20"/>
        </w:rPr>
      </w:pPr>
      <w:r>
        <w:rPr>
          <w:rFonts w:ascii="Arial" w:eastAsia="Arial" w:hAnsi="Arial"/>
          <w:color w:val="000000"/>
          <w:sz w:val="20"/>
        </w:rPr>
        <w:t>The Queensland Government conducted assessments of the HHWUE program to determine the socioeconomic benefits to QMDB irrigation communities. The assessments projected modest impact on the whole agriculture sector, and a more significant impact on a regiona</w:t>
      </w:r>
      <w:r>
        <w:rPr>
          <w:rFonts w:ascii="Arial" w:eastAsia="Arial" w:hAnsi="Arial"/>
          <w:color w:val="000000"/>
          <w:sz w:val="20"/>
        </w:rPr>
        <w:t>l and irrigator level</w:t>
      </w:r>
      <w:r>
        <w:rPr>
          <w:rFonts w:ascii="Arial" w:eastAsia="Arial" w:hAnsi="Arial"/>
          <w:color w:val="000000"/>
          <w:sz w:val="20"/>
          <w:vertAlign w:val="superscript"/>
        </w:rPr>
        <w:t>8</w:t>
      </w:r>
      <w:r>
        <w:rPr>
          <w:rFonts w:ascii="Arial" w:eastAsia="Arial" w:hAnsi="Arial"/>
          <w:color w:val="000000"/>
          <w:sz w:val="20"/>
        </w:rPr>
        <w:t>.</w:t>
      </w:r>
    </w:p>
    <w:p w14:paraId="492B4AF8" w14:textId="77777777" w:rsidR="00D8670B" w:rsidRDefault="009B37A9">
      <w:pPr>
        <w:spacing w:before="123" w:line="230" w:lineRule="exact"/>
        <w:ind w:right="72"/>
        <w:textAlignment w:val="baseline"/>
        <w:rPr>
          <w:rFonts w:ascii="Arial" w:eastAsia="Arial" w:hAnsi="Arial"/>
          <w:color w:val="000000"/>
          <w:sz w:val="20"/>
        </w:rPr>
      </w:pPr>
      <w:r>
        <w:rPr>
          <w:rFonts w:ascii="Arial" w:eastAsia="Arial" w:hAnsi="Arial"/>
          <w:color w:val="000000"/>
          <w:sz w:val="20"/>
        </w:rPr>
        <w:t>Projects could be highly profitable for individual irrigators and would collectively make a contribution to sustaining regional irrigation communities (for instance, maintaining regional employment). A stimulus was expected during p</w:t>
      </w:r>
      <w:r>
        <w:rPr>
          <w:rFonts w:ascii="Arial" w:eastAsia="Arial" w:hAnsi="Arial"/>
          <w:color w:val="000000"/>
          <w:sz w:val="20"/>
        </w:rPr>
        <w:t>roject construction, including a modest increase in employment. Some economic benefit would spread outside the region. For example, centre pivot and lateral move machines, while purchased locally, were usually manufactured and imported from the United Stat</w:t>
      </w:r>
      <w:r>
        <w:rPr>
          <w:rFonts w:ascii="Arial" w:eastAsia="Arial" w:hAnsi="Arial"/>
          <w:color w:val="000000"/>
          <w:sz w:val="20"/>
        </w:rPr>
        <w:t>es of America.</w:t>
      </w:r>
    </w:p>
    <w:p w14:paraId="1CE7E0C4" w14:textId="77777777" w:rsidR="00D8670B" w:rsidRDefault="009B37A9">
      <w:pPr>
        <w:spacing w:before="122" w:line="229" w:lineRule="exact"/>
        <w:ind w:right="72"/>
        <w:textAlignment w:val="baseline"/>
        <w:rPr>
          <w:rFonts w:ascii="Arial" w:eastAsia="Arial" w:hAnsi="Arial"/>
          <w:color w:val="000000"/>
          <w:sz w:val="20"/>
        </w:rPr>
      </w:pPr>
      <w:r>
        <w:rPr>
          <w:rFonts w:ascii="Arial" w:eastAsia="Arial" w:hAnsi="Arial"/>
          <w:color w:val="000000"/>
          <w:sz w:val="20"/>
        </w:rPr>
        <w:t>Based on expenditure reported by irrigators, the Queensland Government estimated Phase 2 HHWUE projects directly engaged more than 260 contractors and suppliers</w:t>
      </w:r>
      <w:r>
        <w:rPr>
          <w:rFonts w:ascii="Arial" w:eastAsia="Arial" w:hAnsi="Arial"/>
          <w:b/>
          <w:color w:val="000000"/>
          <w:sz w:val="19"/>
        </w:rPr>
        <w:t xml:space="preserve">, excluding irrigators’ employees and other related but </w:t>
      </w:r>
      <w:r>
        <w:rPr>
          <w:rFonts w:ascii="Arial" w:eastAsia="Arial" w:hAnsi="Arial"/>
          <w:color w:val="000000"/>
          <w:sz w:val="20"/>
        </w:rPr>
        <w:t>unclaimed expenditure. Ap</w:t>
      </w:r>
      <w:r>
        <w:rPr>
          <w:rFonts w:ascii="Arial" w:eastAsia="Arial" w:hAnsi="Arial"/>
          <w:color w:val="000000"/>
          <w:sz w:val="20"/>
        </w:rPr>
        <w:t>proximately one third of these contractors and suppliers worked across more than one HHWUE project, on average supplying to 2.5 projects. In areas such as St George and Dirranbandi, suppliers often serviced a large number of projects due to high project co</w:t>
      </w:r>
      <w:r>
        <w:rPr>
          <w:rFonts w:ascii="Arial" w:eastAsia="Arial" w:hAnsi="Arial"/>
          <w:color w:val="000000"/>
          <w:sz w:val="20"/>
        </w:rPr>
        <w:t>ncentration and limited local market.</w:t>
      </w:r>
    </w:p>
    <w:p w14:paraId="06A67C6C" w14:textId="77777777" w:rsidR="00D8670B" w:rsidRDefault="009B37A9">
      <w:pPr>
        <w:spacing w:before="121" w:after="450" w:line="229" w:lineRule="exact"/>
        <w:textAlignment w:val="baseline"/>
        <w:rPr>
          <w:rFonts w:ascii="Arial" w:eastAsia="Arial" w:hAnsi="Arial"/>
          <w:color w:val="000000"/>
          <w:sz w:val="20"/>
        </w:rPr>
      </w:pPr>
      <w:r>
        <w:rPr>
          <w:rFonts w:ascii="Arial" w:eastAsia="Arial" w:hAnsi="Arial"/>
          <w:color w:val="000000"/>
          <w:sz w:val="20"/>
        </w:rPr>
        <w:t>The following chart shows a breakdown of reported project expenditure by ten broad categories.</w:t>
      </w:r>
    </w:p>
    <w:p w14:paraId="3BFFFE12" w14:textId="77777777" w:rsidR="00D8670B" w:rsidRDefault="009B37A9">
      <w:pPr>
        <w:spacing w:after="145"/>
        <w:ind w:left="2395" w:right="2410"/>
        <w:textAlignment w:val="baseline"/>
      </w:pPr>
      <w:r>
        <w:rPr>
          <w:noProof/>
        </w:rPr>
        <w:drawing>
          <wp:inline distT="0" distB="0" distL="0" distR="0" wp14:anchorId="7684A912" wp14:editId="4BBE29E2">
            <wp:extent cx="3468370" cy="217360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42"/>
                    <a:stretch>
                      <a:fillRect/>
                    </a:stretch>
                  </pic:blipFill>
                  <pic:spPr>
                    <a:xfrm>
                      <a:off x="0" y="0"/>
                      <a:ext cx="3468370" cy="2173605"/>
                    </a:xfrm>
                    <a:prstGeom prst="rect">
                      <a:avLst/>
                    </a:prstGeom>
                  </pic:spPr>
                </pic:pic>
              </a:graphicData>
            </a:graphic>
          </wp:inline>
        </w:drawing>
      </w:r>
    </w:p>
    <w:p w14:paraId="66C2D346"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13: Contractors and suppliers engaged on HHWUE projects</w:t>
      </w:r>
    </w:p>
    <w:p w14:paraId="5B30235B" w14:textId="77777777" w:rsidR="00D8670B" w:rsidRDefault="009B37A9">
      <w:pPr>
        <w:numPr>
          <w:ilvl w:val="0"/>
          <w:numId w:val="5"/>
        </w:numPr>
        <w:tabs>
          <w:tab w:val="clear" w:pos="432"/>
          <w:tab w:val="left" w:pos="792"/>
        </w:tabs>
        <w:spacing w:before="115" w:line="249" w:lineRule="exact"/>
        <w:ind w:left="360"/>
        <w:textAlignment w:val="baseline"/>
        <w:rPr>
          <w:rFonts w:ascii="Arial" w:eastAsia="Arial" w:hAnsi="Arial"/>
          <w:color w:val="000000"/>
          <w:sz w:val="20"/>
        </w:rPr>
      </w:pPr>
      <w:r>
        <w:rPr>
          <w:rFonts w:ascii="Arial" w:eastAsia="Arial" w:hAnsi="Arial"/>
          <w:color w:val="000000"/>
          <w:sz w:val="20"/>
        </w:rPr>
        <w:t xml:space="preserve">Capital </w:t>
      </w:r>
      <w:r>
        <w:rPr>
          <w:rFonts w:ascii="Arial" w:eastAsia="Arial" w:hAnsi="Arial"/>
          <w:b/>
          <w:color w:val="000000"/>
          <w:sz w:val="19"/>
        </w:rPr>
        <w:t xml:space="preserve">– </w:t>
      </w:r>
      <w:r>
        <w:rPr>
          <w:rFonts w:ascii="Arial" w:eastAsia="Arial" w:hAnsi="Arial"/>
          <w:color w:val="000000"/>
          <w:sz w:val="20"/>
        </w:rPr>
        <w:t>large capital, building materials, pipe, fittings, telemetry systems and other physical items</w:t>
      </w:r>
    </w:p>
    <w:p w14:paraId="60C94EB8" w14:textId="77777777" w:rsidR="00D8670B" w:rsidRDefault="009B37A9">
      <w:pPr>
        <w:numPr>
          <w:ilvl w:val="0"/>
          <w:numId w:val="5"/>
        </w:numPr>
        <w:tabs>
          <w:tab w:val="clear" w:pos="432"/>
          <w:tab w:val="left" w:pos="792"/>
        </w:tabs>
        <w:spacing w:before="116" w:line="249" w:lineRule="exact"/>
        <w:ind w:left="360"/>
        <w:textAlignment w:val="baseline"/>
        <w:rPr>
          <w:rFonts w:ascii="Arial" w:eastAsia="Arial" w:hAnsi="Arial"/>
          <w:color w:val="000000"/>
          <w:sz w:val="20"/>
        </w:rPr>
      </w:pPr>
      <w:r>
        <w:rPr>
          <w:rFonts w:ascii="Arial" w:eastAsia="Arial" w:hAnsi="Arial"/>
          <w:color w:val="000000"/>
          <w:sz w:val="20"/>
        </w:rPr>
        <w:t xml:space="preserve">Consultants </w:t>
      </w:r>
      <w:r>
        <w:rPr>
          <w:rFonts w:ascii="Arial" w:eastAsia="Arial" w:hAnsi="Arial"/>
          <w:b/>
          <w:color w:val="000000"/>
          <w:sz w:val="19"/>
        </w:rPr>
        <w:t xml:space="preserve">– </w:t>
      </w:r>
      <w:r>
        <w:rPr>
          <w:rFonts w:ascii="Arial" w:eastAsia="Arial" w:hAnsi="Arial"/>
          <w:color w:val="000000"/>
          <w:sz w:val="20"/>
        </w:rPr>
        <w:t>qualified irrigation professionals, surveying, soil sampling and other spec</w:t>
      </w:r>
      <w:r>
        <w:rPr>
          <w:rFonts w:ascii="Arial" w:eastAsia="Arial" w:hAnsi="Arial"/>
          <w:color w:val="000000"/>
          <w:sz w:val="20"/>
        </w:rPr>
        <w:t>ialist services</w:t>
      </w:r>
    </w:p>
    <w:p w14:paraId="25DDE1EE" w14:textId="77777777" w:rsidR="00D8670B" w:rsidRDefault="009B37A9">
      <w:pPr>
        <w:numPr>
          <w:ilvl w:val="0"/>
          <w:numId w:val="5"/>
        </w:numPr>
        <w:tabs>
          <w:tab w:val="clear" w:pos="432"/>
          <w:tab w:val="left" w:pos="792"/>
        </w:tabs>
        <w:spacing w:before="111" w:line="249" w:lineRule="exact"/>
        <w:ind w:left="360"/>
        <w:textAlignment w:val="baseline"/>
        <w:rPr>
          <w:rFonts w:ascii="Arial" w:eastAsia="Arial" w:hAnsi="Arial"/>
          <w:color w:val="000000"/>
          <w:sz w:val="20"/>
        </w:rPr>
      </w:pPr>
      <w:r>
        <w:rPr>
          <w:rFonts w:ascii="Arial" w:eastAsia="Arial" w:hAnsi="Arial"/>
          <w:color w:val="000000"/>
          <w:sz w:val="20"/>
        </w:rPr>
        <w:t xml:space="preserve">Earthmoving </w:t>
      </w:r>
      <w:r>
        <w:rPr>
          <w:rFonts w:ascii="Arial" w:eastAsia="Arial" w:hAnsi="Arial"/>
          <w:b/>
          <w:color w:val="000000"/>
          <w:sz w:val="19"/>
        </w:rPr>
        <w:t xml:space="preserve">– </w:t>
      </w:r>
      <w:r>
        <w:rPr>
          <w:rFonts w:ascii="Arial" w:eastAsia="Arial" w:hAnsi="Arial"/>
          <w:color w:val="000000"/>
          <w:sz w:val="20"/>
        </w:rPr>
        <w:t>equipment hire and operators</w:t>
      </w:r>
    </w:p>
    <w:p w14:paraId="4C312F51" w14:textId="77777777" w:rsidR="00D8670B" w:rsidRDefault="009B37A9">
      <w:pPr>
        <w:numPr>
          <w:ilvl w:val="0"/>
          <w:numId w:val="5"/>
        </w:numPr>
        <w:tabs>
          <w:tab w:val="clear" w:pos="432"/>
          <w:tab w:val="left" w:pos="792"/>
        </w:tabs>
        <w:spacing w:before="115" w:line="249" w:lineRule="exact"/>
        <w:ind w:left="360"/>
        <w:textAlignment w:val="baseline"/>
        <w:rPr>
          <w:rFonts w:ascii="Arial" w:eastAsia="Arial" w:hAnsi="Arial"/>
          <w:color w:val="000000"/>
          <w:sz w:val="20"/>
        </w:rPr>
      </w:pPr>
      <w:r>
        <w:rPr>
          <w:rFonts w:ascii="Arial" w:eastAsia="Arial" w:hAnsi="Arial"/>
          <w:color w:val="000000"/>
          <w:sz w:val="20"/>
        </w:rPr>
        <w:t xml:space="preserve">Electrical </w:t>
      </w:r>
      <w:r>
        <w:rPr>
          <w:rFonts w:ascii="Arial" w:eastAsia="Arial" w:hAnsi="Arial"/>
          <w:b/>
          <w:color w:val="000000"/>
          <w:sz w:val="19"/>
        </w:rPr>
        <w:t xml:space="preserve">– </w:t>
      </w:r>
      <w:r>
        <w:rPr>
          <w:rFonts w:ascii="Arial" w:eastAsia="Arial" w:hAnsi="Arial"/>
          <w:color w:val="000000"/>
          <w:sz w:val="20"/>
        </w:rPr>
        <w:t>installation for some capital items, where not included in cost</w:t>
      </w:r>
    </w:p>
    <w:p w14:paraId="15F117B0" w14:textId="77777777" w:rsidR="00D8670B" w:rsidRDefault="009B37A9">
      <w:pPr>
        <w:numPr>
          <w:ilvl w:val="0"/>
          <w:numId w:val="5"/>
        </w:numPr>
        <w:tabs>
          <w:tab w:val="clear" w:pos="432"/>
          <w:tab w:val="left" w:pos="792"/>
        </w:tabs>
        <w:spacing w:before="116" w:line="249" w:lineRule="exact"/>
        <w:ind w:left="360"/>
        <w:textAlignment w:val="baseline"/>
        <w:rPr>
          <w:rFonts w:ascii="Arial" w:eastAsia="Arial" w:hAnsi="Arial"/>
          <w:color w:val="000000"/>
          <w:sz w:val="20"/>
        </w:rPr>
      </w:pPr>
      <w:r>
        <w:rPr>
          <w:rFonts w:ascii="Arial" w:eastAsia="Arial" w:hAnsi="Arial"/>
          <w:color w:val="000000"/>
          <w:sz w:val="20"/>
        </w:rPr>
        <w:t xml:space="preserve">Freight </w:t>
      </w:r>
      <w:r>
        <w:rPr>
          <w:rFonts w:ascii="Arial" w:eastAsia="Arial" w:hAnsi="Arial"/>
          <w:b/>
          <w:color w:val="000000"/>
          <w:sz w:val="19"/>
        </w:rPr>
        <w:t xml:space="preserve">– </w:t>
      </w:r>
      <w:r>
        <w:rPr>
          <w:rFonts w:ascii="Arial" w:eastAsia="Arial" w:hAnsi="Arial"/>
          <w:color w:val="000000"/>
          <w:sz w:val="20"/>
        </w:rPr>
        <w:t>transport for capital items, where not included in cost</w:t>
      </w:r>
    </w:p>
    <w:p w14:paraId="5D266592" w14:textId="77777777" w:rsidR="00D8670B" w:rsidRDefault="009B37A9">
      <w:pPr>
        <w:numPr>
          <w:ilvl w:val="0"/>
          <w:numId w:val="5"/>
        </w:numPr>
        <w:tabs>
          <w:tab w:val="clear" w:pos="432"/>
          <w:tab w:val="left" w:pos="792"/>
        </w:tabs>
        <w:spacing w:before="116" w:after="392" w:line="249" w:lineRule="exact"/>
        <w:ind w:left="360"/>
        <w:textAlignment w:val="baseline"/>
        <w:rPr>
          <w:rFonts w:ascii="Arial" w:eastAsia="Arial" w:hAnsi="Arial"/>
          <w:color w:val="000000"/>
          <w:sz w:val="20"/>
        </w:rPr>
      </w:pPr>
      <w:r>
        <w:rPr>
          <w:rFonts w:ascii="Arial" w:eastAsia="Arial" w:hAnsi="Arial"/>
          <w:color w:val="000000"/>
          <w:sz w:val="20"/>
        </w:rPr>
        <w:t xml:space="preserve">Fuel </w:t>
      </w:r>
      <w:r>
        <w:rPr>
          <w:rFonts w:ascii="Arial" w:eastAsia="Arial" w:hAnsi="Arial"/>
          <w:b/>
          <w:color w:val="000000"/>
          <w:sz w:val="19"/>
        </w:rPr>
        <w:t xml:space="preserve">– </w:t>
      </w:r>
      <w:r>
        <w:rPr>
          <w:rFonts w:ascii="Arial" w:eastAsia="Arial" w:hAnsi="Arial"/>
          <w:color w:val="000000"/>
          <w:sz w:val="20"/>
        </w:rPr>
        <w:t>diesel for earthmoving equipment</w:t>
      </w:r>
    </w:p>
    <w:p w14:paraId="25137971" w14:textId="77777777" w:rsidR="00D8670B" w:rsidRDefault="009B37A9">
      <w:pPr>
        <w:spacing w:before="209" w:after="219" w:line="212" w:lineRule="exact"/>
        <w:ind w:right="360"/>
        <w:textAlignment w:val="baseline"/>
        <w:rPr>
          <w:rFonts w:ascii="Arial" w:eastAsia="Arial" w:hAnsi="Arial"/>
          <w:color w:val="000000"/>
          <w:sz w:val="12"/>
        </w:rPr>
      </w:pPr>
      <w:r>
        <w:pict w14:anchorId="562BD454">
          <v:line id="_x0000_s1074" style="position:absolute;z-index:251711488;mso-position-horizontal-relative:page;mso-position-vertical-relative:page" from="41.05pt,745.45pt" to="186.75pt,745.45pt" strokeweight=".7pt">
            <w10:wrap anchorx="page" anchory="page"/>
          </v:line>
        </w:pict>
      </w:r>
      <w:r>
        <w:rPr>
          <w:rFonts w:ascii="Arial" w:eastAsia="Arial" w:hAnsi="Arial"/>
          <w:color w:val="000000"/>
          <w:sz w:val="12"/>
        </w:rPr>
        <w:t xml:space="preserve">8 </w:t>
      </w:r>
      <w:r>
        <w:rPr>
          <w:rFonts w:ascii="Arial" w:eastAsia="Arial" w:hAnsi="Arial"/>
          <w:color w:val="000000"/>
          <w:sz w:val="18"/>
        </w:rPr>
        <w:t xml:space="preserve">Tunny, G &amp; Fitzgibbons A 2012, </w:t>
      </w:r>
      <w:r>
        <w:rPr>
          <w:rFonts w:ascii="Arial" w:eastAsia="Arial" w:hAnsi="Arial"/>
          <w:i/>
          <w:color w:val="000000"/>
          <w:sz w:val="18"/>
        </w:rPr>
        <w:t>Healthy HeadWaters round three: Socioeconomic assessment of tenders</w:t>
      </w:r>
      <w:r>
        <w:rPr>
          <w:rFonts w:ascii="Arial" w:eastAsia="Arial" w:hAnsi="Arial"/>
          <w:color w:val="000000"/>
          <w:sz w:val="18"/>
        </w:rPr>
        <w:t>, Marsden Jacob Associates, Brisbane</w:t>
      </w:r>
    </w:p>
    <w:p w14:paraId="7726B100" w14:textId="77777777" w:rsidR="00D8670B" w:rsidRDefault="009B37A9">
      <w:pPr>
        <w:spacing w:before="165" w:line="227" w:lineRule="exact"/>
        <w:jc w:val="center"/>
        <w:textAlignment w:val="baseline"/>
        <w:rPr>
          <w:rFonts w:ascii="Arial" w:eastAsia="Arial" w:hAnsi="Arial"/>
          <w:color w:val="000000"/>
          <w:spacing w:val="40"/>
          <w:sz w:val="20"/>
        </w:rPr>
      </w:pPr>
      <w:r>
        <w:pict w14:anchorId="6A7D6E48">
          <v:line id="_x0000_s1073" style="position:absolute;left:0;text-align:left;z-index:251712512;mso-position-horizontal-relative:page;mso-position-vertical-relative:page" from="41.05pt,789.1pt" to="554.45pt,789.1pt" strokeweight="1.7pt">
            <w10:wrap anchorx="page" anchory="page"/>
          </v:line>
        </w:pict>
      </w:r>
      <w:r>
        <w:rPr>
          <w:rFonts w:ascii="Arial" w:eastAsia="Arial" w:hAnsi="Arial"/>
          <w:color w:val="000000"/>
          <w:spacing w:val="40"/>
          <w:sz w:val="20"/>
        </w:rPr>
        <w:t>35</w:t>
      </w:r>
    </w:p>
    <w:p w14:paraId="22613BBF" w14:textId="77777777" w:rsidR="00D8670B" w:rsidRDefault="00D8670B">
      <w:pPr>
        <w:sectPr w:rsidR="00D8670B">
          <w:pgSz w:w="11909" w:h="16838"/>
          <w:pgMar w:top="1040" w:right="821" w:bottom="282" w:left="821" w:header="720" w:footer="720" w:gutter="0"/>
          <w:cols w:space="720"/>
        </w:sectPr>
      </w:pPr>
    </w:p>
    <w:p w14:paraId="073DD3D9" w14:textId="77777777" w:rsidR="00D8670B" w:rsidRDefault="009B37A9">
      <w:pPr>
        <w:numPr>
          <w:ilvl w:val="0"/>
          <w:numId w:val="5"/>
        </w:numPr>
        <w:tabs>
          <w:tab w:val="clear" w:pos="432"/>
          <w:tab w:val="left" w:pos="792"/>
        </w:tabs>
        <w:spacing w:before="37" w:line="230" w:lineRule="exact"/>
        <w:ind w:left="360"/>
        <w:textAlignment w:val="baseline"/>
        <w:rPr>
          <w:rFonts w:ascii="Arial" w:eastAsia="Arial" w:hAnsi="Arial"/>
          <w:color w:val="000000"/>
          <w:sz w:val="20"/>
        </w:rPr>
      </w:pPr>
      <w:r>
        <w:rPr>
          <w:rFonts w:ascii="Arial" w:eastAsia="Arial" w:hAnsi="Arial"/>
          <w:color w:val="000000"/>
          <w:sz w:val="20"/>
        </w:rPr>
        <w:lastRenderedPageBreak/>
        <w:t xml:space="preserve">Labour </w:t>
      </w:r>
      <w:r>
        <w:rPr>
          <w:rFonts w:ascii="Arial" w:eastAsia="Arial" w:hAnsi="Arial"/>
          <w:color w:val="000000"/>
          <w:sz w:val="23"/>
        </w:rPr>
        <w:t xml:space="preserve">– </w:t>
      </w:r>
      <w:r>
        <w:rPr>
          <w:rFonts w:ascii="Arial" w:eastAsia="Arial" w:hAnsi="Arial"/>
          <w:color w:val="000000"/>
          <w:sz w:val="20"/>
        </w:rPr>
        <w:t>general labour, site work, welding, construction and other activities</w:t>
      </w:r>
    </w:p>
    <w:p w14:paraId="69F4EDEB" w14:textId="77777777" w:rsidR="00D8670B" w:rsidRDefault="009B37A9">
      <w:pPr>
        <w:numPr>
          <w:ilvl w:val="0"/>
          <w:numId w:val="5"/>
        </w:numPr>
        <w:tabs>
          <w:tab w:val="clear" w:pos="432"/>
          <w:tab w:val="left" w:pos="792"/>
        </w:tabs>
        <w:spacing w:before="139" w:line="230" w:lineRule="exact"/>
        <w:ind w:left="360"/>
        <w:textAlignment w:val="baseline"/>
        <w:rPr>
          <w:rFonts w:ascii="Arial" w:eastAsia="Arial" w:hAnsi="Arial"/>
          <w:color w:val="000000"/>
          <w:sz w:val="20"/>
        </w:rPr>
      </w:pPr>
      <w:r>
        <w:rPr>
          <w:rFonts w:ascii="Arial" w:eastAsia="Arial" w:hAnsi="Arial"/>
          <w:color w:val="000000"/>
          <w:sz w:val="20"/>
        </w:rPr>
        <w:t xml:space="preserve">Legal </w:t>
      </w:r>
      <w:r>
        <w:rPr>
          <w:rFonts w:ascii="Arial" w:eastAsia="Arial" w:hAnsi="Arial"/>
          <w:color w:val="000000"/>
          <w:sz w:val="23"/>
        </w:rPr>
        <w:t xml:space="preserve">– </w:t>
      </w:r>
      <w:r>
        <w:rPr>
          <w:rFonts w:ascii="Arial" w:eastAsia="Arial" w:hAnsi="Arial"/>
          <w:color w:val="000000"/>
          <w:sz w:val="20"/>
        </w:rPr>
        <w:t>reviewing HHWUE contracts and conveyancing water transfers</w:t>
      </w:r>
    </w:p>
    <w:p w14:paraId="74583226" w14:textId="77777777" w:rsidR="00D8670B" w:rsidRDefault="009B37A9">
      <w:pPr>
        <w:numPr>
          <w:ilvl w:val="0"/>
          <w:numId w:val="5"/>
        </w:numPr>
        <w:tabs>
          <w:tab w:val="clear" w:pos="432"/>
          <w:tab w:val="left" w:pos="792"/>
        </w:tabs>
        <w:spacing w:before="130" w:line="230" w:lineRule="exact"/>
        <w:ind w:left="360"/>
        <w:textAlignment w:val="baseline"/>
        <w:rPr>
          <w:rFonts w:ascii="Arial" w:eastAsia="Arial" w:hAnsi="Arial"/>
          <w:color w:val="000000"/>
          <w:sz w:val="20"/>
        </w:rPr>
      </w:pPr>
      <w:r>
        <w:rPr>
          <w:rFonts w:ascii="Arial" w:eastAsia="Arial" w:hAnsi="Arial"/>
          <w:color w:val="000000"/>
          <w:sz w:val="20"/>
        </w:rPr>
        <w:t xml:space="preserve">Project management </w:t>
      </w:r>
      <w:r>
        <w:rPr>
          <w:rFonts w:ascii="Arial" w:eastAsia="Arial" w:hAnsi="Arial"/>
          <w:color w:val="000000"/>
          <w:sz w:val="23"/>
        </w:rPr>
        <w:t xml:space="preserve">– </w:t>
      </w:r>
      <w:r>
        <w:rPr>
          <w:rFonts w:ascii="Arial" w:eastAsia="Arial" w:hAnsi="Arial"/>
          <w:color w:val="000000"/>
          <w:sz w:val="20"/>
        </w:rPr>
        <w:t>site supervision and administration, where not undertaken by the irrigator</w:t>
      </w:r>
    </w:p>
    <w:p w14:paraId="7688DD94" w14:textId="77777777" w:rsidR="00D8670B" w:rsidRDefault="009B37A9">
      <w:pPr>
        <w:numPr>
          <w:ilvl w:val="0"/>
          <w:numId w:val="5"/>
        </w:numPr>
        <w:tabs>
          <w:tab w:val="clear" w:pos="432"/>
          <w:tab w:val="left" w:pos="792"/>
        </w:tabs>
        <w:spacing w:before="135" w:line="230" w:lineRule="exact"/>
        <w:ind w:left="360"/>
        <w:textAlignment w:val="baseline"/>
        <w:rPr>
          <w:rFonts w:ascii="Arial" w:eastAsia="Arial" w:hAnsi="Arial"/>
          <w:color w:val="000000"/>
          <w:spacing w:val="-1"/>
          <w:sz w:val="20"/>
        </w:rPr>
      </w:pPr>
      <w:r>
        <w:rPr>
          <w:rFonts w:ascii="Arial" w:eastAsia="Arial" w:hAnsi="Arial"/>
          <w:color w:val="000000"/>
          <w:spacing w:val="-1"/>
          <w:sz w:val="20"/>
        </w:rPr>
        <w:t xml:space="preserve">Other </w:t>
      </w:r>
      <w:r>
        <w:rPr>
          <w:rFonts w:ascii="Arial" w:eastAsia="Arial" w:hAnsi="Arial"/>
          <w:color w:val="000000"/>
          <w:spacing w:val="-1"/>
          <w:sz w:val="23"/>
        </w:rPr>
        <w:t xml:space="preserve">– </w:t>
      </w:r>
      <w:r>
        <w:rPr>
          <w:rFonts w:ascii="Arial" w:eastAsia="Arial" w:hAnsi="Arial"/>
          <w:color w:val="000000"/>
          <w:spacing w:val="-1"/>
          <w:sz w:val="20"/>
        </w:rPr>
        <w:t>financial servi</w:t>
      </w:r>
      <w:r>
        <w:rPr>
          <w:rFonts w:ascii="Arial" w:eastAsia="Arial" w:hAnsi="Arial"/>
          <w:color w:val="000000"/>
          <w:spacing w:val="-1"/>
          <w:sz w:val="20"/>
        </w:rPr>
        <w:t>ces, valuers and other related goods and services.</w:t>
      </w:r>
    </w:p>
    <w:p w14:paraId="7BA967AE" w14:textId="77777777" w:rsidR="00D8670B" w:rsidRDefault="009B37A9">
      <w:pPr>
        <w:spacing w:before="112" w:after="87" w:line="230" w:lineRule="exact"/>
        <w:ind w:right="288"/>
        <w:textAlignment w:val="baseline"/>
        <w:rPr>
          <w:rFonts w:ascii="Arial" w:eastAsia="Arial" w:hAnsi="Arial"/>
          <w:color w:val="000000"/>
          <w:sz w:val="20"/>
        </w:rPr>
      </w:pPr>
      <w:r>
        <w:rPr>
          <w:rFonts w:ascii="Arial" w:eastAsia="Arial" w:hAnsi="Arial"/>
          <w:color w:val="000000"/>
          <w:sz w:val="20"/>
        </w:rPr>
        <w:t>As anticipated, benefits of any given project extended outside the local catchment and QMDB. Some specialised goods and services such as consultants, capital items or legal services were sourced from large</w:t>
      </w:r>
      <w:r>
        <w:rPr>
          <w:rFonts w:ascii="Arial" w:eastAsia="Arial" w:hAnsi="Arial"/>
          <w:color w:val="000000"/>
          <w:sz w:val="20"/>
        </w:rPr>
        <w:t>r centres such as Toowoomba or Brisbane. In Dirranbandi and throughout the Border Rivers, goods and services were frequently obtained from close-by New South Wales centres such as Moree. However, the figure below demonstrates more than 65 per cent of the c</w:t>
      </w:r>
      <w:r>
        <w:rPr>
          <w:rFonts w:ascii="Arial" w:eastAsia="Arial" w:hAnsi="Arial"/>
          <w:color w:val="000000"/>
          <w:sz w:val="20"/>
        </w:rPr>
        <w:t>ontractors and suppliers were based in QMDB catchments with the remainder in other Queensland regions, New South Wales and Victoria.</w:t>
      </w:r>
    </w:p>
    <w:p w14:paraId="2CFB7439" w14:textId="77777777" w:rsidR="00D8670B" w:rsidRDefault="009B37A9">
      <w:pPr>
        <w:spacing w:after="127"/>
        <w:ind w:left="24" w:right="34"/>
        <w:textAlignment w:val="baseline"/>
      </w:pPr>
      <w:r>
        <w:rPr>
          <w:noProof/>
        </w:rPr>
        <w:drawing>
          <wp:inline distT="0" distB="0" distL="0" distR="0" wp14:anchorId="68FCC334" wp14:editId="59599DC3">
            <wp:extent cx="6482715" cy="471170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43"/>
                    <a:stretch>
                      <a:fillRect/>
                    </a:stretch>
                  </pic:blipFill>
                  <pic:spPr>
                    <a:xfrm>
                      <a:off x="0" y="0"/>
                      <a:ext cx="6482715" cy="4711700"/>
                    </a:xfrm>
                    <a:prstGeom prst="rect">
                      <a:avLst/>
                    </a:prstGeom>
                  </pic:spPr>
                </pic:pic>
              </a:graphicData>
            </a:graphic>
          </wp:inline>
        </w:drawing>
      </w:r>
    </w:p>
    <w:p w14:paraId="45A68BD8"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14: Contractors and suppliers by region</w:t>
      </w:r>
    </w:p>
    <w:p w14:paraId="214FAED8" w14:textId="77777777" w:rsidR="00D8670B" w:rsidRDefault="009B37A9">
      <w:pPr>
        <w:spacing w:before="241" w:line="320" w:lineRule="exact"/>
        <w:textAlignment w:val="baseline"/>
        <w:rPr>
          <w:rFonts w:ascii="Arial" w:eastAsia="Arial" w:hAnsi="Arial"/>
          <w:b/>
          <w:color w:val="346C36"/>
          <w:sz w:val="28"/>
        </w:rPr>
      </w:pPr>
      <w:r>
        <w:rPr>
          <w:rFonts w:ascii="Arial" w:eastAsia="Arial" w:hAnsi="Arial"/>
          <w:b/>
          <w:color w:val="346C36"/>
          <w:sz w:val="28"/>
        </w:rPr>
        <w:t>3.1.3 Irrigation enterprises</w:t>
      </w:r>
    </w:p>
    <w:p w14:paraId="08F351FD" w14:textId="77777777" w:rsidR="00D8670B" w:rsidRDefault="009B37A9">
      <w:pPr>
        <w:spacing w:before="118" w:line="230" w:lineRule="exact"/>
        <w:ind w:right="72"/>
        <w:textAlignment w:val="baseline"/>
        <w:rPr>
          <w:rFonts w:ascii="Arial" w:eastAsia="Arial" w:hAnsi="Arial"/>
          <w:color w:val="000000"/>
          <w:sz w:val="20"/>
        </w:rPr>
      </w:pPr>
      <w:r>
        <w:rPr>
          <w:rFonts w:ascii="Arial" w:eastAsia="Arial" w:hAnsi="Arial"/>
          <w:color w:val="000000"/>
          <w:sz w:val="20"/>
        </w:rPr>
        <w:t>Phase 2 yielded 64 funded projects representing infrastructure works of approximately $90 million, to which the Australian Government contributed $73,916,531.44. Forty-three enterprises in the QMDB participated in this phase, some with multiple projects fo</w:t>
      </w:r>
      <w:r>
        <w:rPr>
          <w:rFonts w:ascii="Arial" w:eastAsia="Arial" w:hAnsi="Arial"/>
          <w:color w:val="000000"/>
          <w:sz w:val="20"/>
        </w:rPr>
        <w:t>r a range of works.</w:t>
      </w:r>
    </w:p>
    <w:p w14:paraId="799D0F41" w14:textId="77777777" w:rsidR="00D8670B" w:rsidRDefault="009B37A9">
      <w:pPr>
        <w:spacing w:before="121" w:after="462" w:line="230" w:lineRule="exact"/>
        <w:ind w:right="576"/>
        <w:textAlignment w:val="baseline"/>
        <w:rPr>
          <w:rFonts w:ascii="Arial" w:eastAsia="Arial" w:hAnsi="Arial"/>
          <w:color w:val="000000"/>
          <w:sz w:val="20"/>
        </w:rPr>
      </w:pPr>
      <w:r>
        <w:rPr>
          <w:rFonts w:ascii="Arial" w:eastAsia="Arial" w:hAnsi="Arial"/>
          <w:color w:val="000000"/>
          <w:sz w:val="20"/>
        </w:rPr>
        <w:t>The table below shows the project expenditure and Australian Government investment in water use efficiency projects by priority catchment.</w:t>
      </w:r>
    </w:p>
    <w:p w14:paraId="195F213C" w14:textId="77777777" w:rsidR="00D8670B" w:rsidRDefault="009B37A9">
      <w:pPr>
        <w:shd w:val="solid" w:color="EBD9CA" w:fill="EBD9CA"/>
        <w:tabs>
          <w:tab w:val="left" w:pos="2304"/>
          <w:tab w:val="right" w:pos="6696"/>
        </w:tabs>
        <w:spacing w:after="224" w:line="205" w:lineRule="exact"/>
        <w:ind w:left="1800" w:right="1728"/>
        <w:textAlignment w:val="baseline"/>
        <w:rPr>
          <w:rFonts w:ascii="Arial" w:eastAsia="Arial" w:hAnsi="Arial"/>
          <w:b/>
          <w:color w:val="6C472A"/>
          <w:sz w:val="18"/>
        </w:rPr>
      </w:pPr>
      <w:r>
        <w:rPr>
          <w:rFonts w:ascii="Arial" w:eastAsia="Arial" w:hAnsi="Arial"/>
          <w:b/>
          <w:color w:val="6C472A"/>
          <w:sz w:val="18"/>
        </w:rPr>
        <w:t>Catchment</w:t>
      </w:r>
      <w:r>
        <w:rPr>
          <w:rFonts w:ascii="Arial" w:eastAsia="Arial" w:hAnsi="Arial"/>
          <w:b/>
          <w:color w:val="6C472A"/>
          <w:sz w:val="18"/>
        </w:rPr>
        <w:tab/>
        <w:t>Reported total project cost</w:t>
      </w:r>
      <w:r>
        <w:rPr>
          <w:rFonts w:ascii="Arial" w:eastAsia="Arial" w:hAnsi="Arial"/>
          <w:b/>
          <w:color w:val="6C472A"/>
          <w:sz w:val="18"/>
        </w:rPr>
        <w:tab/>
        <w:t>Funding paid</w:t>
      </w:r>
    </w:p>
    <w:p w14:paraId="718AAE92" w14:textId="77777777" w:rsidR="00D8670B" w:rsidRDefault="009B37A9">
      <w:pPr>
        <w:tabs>
          <w:tab w:val="decimal" w:pos="6048"/>
          <w:tab w:val="decimal" w:pos="8208"/>
        </w:tabs>
        <w:spacing w:before="10" w:line="205" w:lineRule="exact"/>
        <w:ind w:left="1800"/>
        <w:textAlignment w:val="baseline"/>
        <w:rPr>
          <w:rFonts w:ascii="Arial" w:eastAsia="Arial" w:hAnsi="Arial"/>
          <w:b/>
          <w:color w:val="000000"/>
          <w:sz w:val="18"/>
        </w:rPr>
      </w:pPr>
      <w:r>
        <w:rPr>
          <w:rFonts w:ascii="Arial" w:eastAsia="Arial" w:hAnsi="Arial"/>
          <w:b/>
          <w:color w:val="000000"/>
          <w:sz w:val="18"/>
        </w:rPr>
        <w:t>Border Rivers</w:t>
      </w:r>
      <w:r>
        <w:rPr>
          <w:rFonts w:ascii="Arial" w:eastAsia="Arial" w:hAnsi="Arial"/>
          <w:b/>
          <w:color w:val="000000"/>
          <w:sz w:val="18"/>
        </w:rPr>
        <w:tab/>
      </w:r>
      <w:r>
        <w:rPr>
          <w:rFonts w:ascii="Arial" w:eastAsia="Arial" w:hAnsi="Arial"/>
          <w:color w:val="000000"/>
          <w:sz w:val="18"/>
        </w:rPr>
        <w:t>$49,710,335.91</w:t>
      </w:r>
      <w:r>
        <w:rPr>
          <w:rFonts w:ascii="Arial" w:eastAsia="Arial" w:hAnsi="Arial"/>
          <w:color w:val="000000"/>
          <w:sz w:val="18"/>
        </w:rPr>
        <w:tab/>
      </w:r>
      <w:r>
        <w:rPr>
          <w:rFonts w:ascii="Arial" w:eastAsia="Arial" w:hAnsi="Arial"/>
          <w:color w:val="000000"/>
          <w:sz w:val="18"/>
        </w:rPr>
        <w:t>$40,039,388.27</w:t>
      </w:r>
    </w:p>
    <w:p w14:paraId="70580495" w14:textId="77777777" w:rsidR="00D8670B" w:rsidRDefault="009B37A9">
      <w:pPr>
        <w:tabs>
          <w:tab w:val="decimal" w:pos="6048"/>
          <w:tab w:val="decimal" w:pos="8208"/>
        </w:tabs>
        <w:spacing w:before="242" w:after="269" w:line="205" w:lineRule="exact"/>
        <w:ind w:left="1800"/>
        <w:textAlignment w:val="baseline"/>
        <w:rPr>
          <w:rFonts w:ascii="Arial" w:eastAsia="Arial" w:hAnsi="Arial"/>
          <w:b/>
          <w:color w:val="000000"/>
          <w:sz w:val="18"/>
        </w:rPr>
      </w:pPr>
      <w:r>
        <w:rPr>
          <w:rFonts w:ascii="Arial" w:eastAsia="Arial" w:hAnsi="Arial"/>
          <w:b/>
          <w:color w:val="000000"/>
          <w:sz w:val="18"/>
        </w:rPr>
        <w:t>Condamine</w:t>
      </w:r>
      <w:r>
        <w:rPr>
          <w:rFonts w:ascii="Arial" w:eastAsia="Arial" w:hAnsi="Arial"/>
          <w:b/>
          <w:color w:val="000000"/>
          <w:sz w:val="18"/>
        </w:rPr>
        <w:tab/>
      </w:r>
      <w:r>
        <w:rPr>
          <w:rFonts w:ascii="Arial" w:eastAsia="Arial" w:hAnsi="Arial"/>
          <w:color w:val="000000"/>
          <w:sz w:val="18"/>
        </w:rPr>
        <w:t>$6,530,928.42</w:t>
      </w:r>
      <w:r>
        <w:rPr>
          <w:rFonts w:ascii="Arial" w:eastAsia="Arial" w:hAnsi="Arial"/>
          <w:color w:val="000000"/>
          <w:sz w:val="18"/>
        </w:rPr>
        <w:tab/>
        <w:t>$5,200,507.86</w:t>
      </w:r>
    </w:p>
    <w:p w14:paraId="7BB4B78B" w14:textId="77777777" w:rsidR="00D8670B" w:rsidRDefault="009B37A9">
      <w:pPr>
        <w:spacing w:before="162" w:line="230" w:lineRule="exact"/>
        <w:jc w:val="center"/>
        <w:textAlignment w:val="baseline"/>
        <w:rPr>
          <w:rFonts w:ascii="Arial" w:eastAsia="Arial" w:hAnsi="Arial"/>
          <w:color w:val="000000"/>
          <w:spacing w:val="40"/>
          <w:sz w:val="20"/>
        </w:rPr>
      </w:pPr>
      <w:r>
        <w:pict w14:anchorId="0D6338F5">
          <v:line id="_x0000_s1072" style="position:absolute;left:0;text-align:left;z-index:251713536;mso-position-horizontal-relative:page;mso-position-vertical-relative:page" from="41.05pt,789.1pt" to="554.45pt,789.1pt" strokeweight="1.7pt">
            <w10:wrap anchorx="page" anchory="page"/>
          </v:line>
        </w:pict>
      </w:r>
      <w:r>
        <w:rPr>
          <w:rFonts w:ascii="Arial" w:eastAsia="Arial" w:hAnsi="Arial"/>
          <w:color w:val="000000"/>
          <w:spacing w:val="40"/>
          <w:sz w:val="20"/>
        </w:rPr>
        <w:t>36</w:t>
      </w:r>
    </w:p>
    <w:p w14:paraId="5EF25398" w14:textId="77777777" w:rsidR="00D8670B" w:rsidRDefault="00D8670B">
      <w:pPr>
        <w:sectPr w:rsidR="00D8670B">
          <w:pgSz w:w="11909" w:h="16838"/>
          <w:pgMar w:top="1120" w:right="821" w:bottom="282" w:left="821"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4090"/>
        <w:gridCol w:w="2649"/>
        <w:gridCol w:w="3528"/>
      </w:tblGrid>
      <w:tr w:rsidR="00D8670B" w14:paraId="1610743A" w14:textId="77777777">
        <w:tblPrEx>
          <w:tblCellMar>
            <w:top w:w="0" w:type="dxa"/>
            <w:bottom w:w="0" w:type="dxa"/>
          </w:tblCellMar>
        </w:tblPrEx>
        <w:trPr>
          <w:trHeight w:hRule="exact" w:val="555"/>
        </w:trPr>
        <w:tc>
          <w:tcPr>
            <w:tcW w:w="4090" w:type="dxa"/>
            <w:tcBorders>
              <w:top w:val="none" w:sz="0" w:space="0" w:color="020000"/>
              <w:left w:val="none" w:sz="0" w:space="0" w:color="020000"/>
              <w:bottom w:val="none" w:sz="0" w:space="0" w:color="020000"/>
              <w:right w:val="none" w:sz="0" w:space="0" w:color="020000"/>
            </w:tcBorders>
            <w:vAlign w:val="center"/>
          </w:tcPr>
          <w:p w14:paraId="117DD10D" w14:textId="77777777" w:rsidR="00D8670B" w:rsidRDefault="009B37A9">
            <w:pPr>
              <w:spacing w:before="235" w:after="116" w:line="198" w:lineRule="exact"/>
              <w:ind w:left="1838"/>
              <w:textAlignment w:val="baseline"/>
              <w:rPr>
                <w:rFonts w:ascii="Arial" w:eastAsia="Arial" w:hAnsi="Arial"/>
                <w:b/>
                <w:color w:val="000000"/>
                <w:sz w:val="18"/>
              </w:rPr>
            </w:pPr>
            <w:r>
              <w:rPr>
                <w:rFonts w:ascii="Arial" w:eastAsia="Arial" w:hAnsi="Arial"/>
                <w:b/>
                <w:color w:val="000000"/>
                <w:sz w:val="18"/>
              </w:rPr>
              <w:lastRenderedPageBreak/>
              <w:t>Lower Balonne</w:t>
            </w:r>
          </w:p>
        </w:tc>
        <w:tc>
          <w:tcPr>
            <w:tcW w:w="2649" w:type="dxa"/>
            <w:tcBorders>
              <w:top w:val="none" w:sz="0" w:space="0" w:color="020000"/>
              <w:left w:val="none" w:sz="0" w:space="0" w:color="020000"/>
              <w:bottom w:val="none" w:sz="0" w:space="0" w:color="020000"/>
              <w:right w:val="none" w:sz="0" w:space="0" w:color="020000"/>
            </w:tcBorders>
            <w:vAlign w:val="center"/>
          </w:tcPr>
          <w:p w14:paraId="22C9A99B" w14:textId="77777777" w:rsidR="00D8670B" w:rsidRDefault="009B37A9">
            <w:pPr>
              <w:tabs>
                <w:tab w:val="decimal" w:pos="2016"/>
              </w:tabs>
              <w:spacing w:before="240" w:after="112" w:line="197" w:lineRule="exact"/>
              <w:textAlignment w:val="baseline"/>
              <w:rPr>
                <w:rFonts w:ascii="Arial" w:eastAsia="Arial" w:hAnsi="Arial"/>
                <w:color w:val="000000"/>
                <w:sz w:val="18"/>
              </w:rPr>
            </w:pPr>
            <w:r>
              <w:rPr>
                <w:rFonts w:ascii="Arial" w:eastAsia="Arial" w:hAnsi="Arial"/>
                <w:color w:val="000000"/>
                <w:sz w:val="18"/>
              </w:rPr>
              <w:t>$27,974,550.03</w:t>
            </w:r>
          </w:p>
        </w:tc>
        <w:tc>
          <w:tcPr>
            <w:tcW w:w="3528" w:type="dxa"/>
            <w:tcBorders>
              <w:top w:val="none" w:sz="0" w:space="0" w:color="020000"/>
              <w:left w:val="none" w:sz="0" w:space="0" w:color="020000"/>
              <w:bottom w:val="none" w:sz="0" w:space="0" w:color="020000"/>
              <w:right w:val="none" w:sz="0" w:space="0" w:color="020000"/>
            </w:tcBorders>
            <w:vAlign w:val="center"/>
          </w:tcPr>
          <w:p w14:paraId="2D7C5688" w14:textId="77777777" w:rsidR="00D8670B" w:rsidRDefault="009B37A9">
            <w:pPr>
              <w:tabs>
                <w:tab w:val="decimal" w:pos="1440"/>
              </w:tabs>
              <w:spacing w:before="240" w:after="112" w:line="197" w:lineRule="exact"/>
              <w:textAlignment w:val="baseline"/>
              <w:rPr>
                <w:rFonts w:ascii="Arial" w:eastAsia="Arial" w:hAnsi="Arial"/>
                <w:color w:val="000000"/>
                <w:sz w:val="18"/>
              </w:rPr>
            </w:pPr>
            <w:r>
              <w:rPr>
                <w:rFonts w:ascii="Arial" w:eastAsia="Arial" w:hAnsi="Arial"/>
                <w:color w:val="000000"/>
                <w:sz w:val="18"/>
              </w:rPr>
              <w:t>$23,493,365.92</w:t>
            </w:r>
          </w:p>
        </w:tc>
      </w:tr>
      <w:tr w:rsidR="00D8670B" w14:paraId="37D74669" w14:textId="77777777">
        <w:tblPrEx>
          <w:tblCellMar>
            <w:top w:w="0" w:type="dxa"/>
            <w:bottom w:w="0" w:type="dxa"/>
          </w:tblCellMar>
        </w:tblPrEx>
        <w:trPr>
          <w:trHeight w:hRule="exact" w:val="451"/>
        </w:trPr>
        <w:tc>
          <w:tcPr>
            <w:tcW w:w="4090" w:type="dxa"/>
            <w:tcBorders>
              <w:top w:val="none" w:sz="0" w:space="0" w:color="020000"/>
              <w:left w:val="none" w:sz="0" w:space="0" w:color="020000"/>
              <w:bottom w:val="none" w:sz="0" w:space="0" w:color="020000"/>
              <w:right w:val="none" w:sz="0" w:space="0" w:color="020000"/>
            </w:tcBorders>
            <w:vAlign w:val="center"/>
          </w:tcPr>
          <w:p w14:paraId="1047A03A" w14:textId="77777777" w:rsidR="00D8670B" w:rsidRDefault="009B37A9">
            <w:pPr>
              <w:spacing w:before="131" w:after="112" w:line="198" w:lineRule="exact"/>
              <w:ind w:left="1838"/>
              <w:textAlignment w:val="baseline"/>
              <w:rPr>
                <w:rFonts w:ascii="Arial" w:eastAsia="Arial" w:hAnsi="Arial"/>
                <w:b/>
                <w:color w:val="000000"/>
                <w:sz w:val="18"/>
              </w:rPr>
            </w:pPr>
            <w:r>
              <w:rPr>
                <w:rFonts w:ascii="Arial" w:eastAsia="Arial" w:hAnsi="Arial"/>
                <w:b/>
                <w:color w:val="000000"/>
                <w:sz w:val="18"/>
              </w:rPr>
              <w:t>Moonie</w:t>
            </w:r>
          </w:p>
        </w:tc>
        <w:tc>
          <w:tcPr>
            <w:tcW w:w="2649" w:type="dxa"/>
            <w:tcBorders>
              <w:top w:val="none" w:sz="0" w:space="0" w:color="020000"/>
              <w:left w:val="none" w:sz="0" w:space="0" w:color="020000"/>
              <w:bottom w:val="none" w:sz="0" w:space="0" w:color="020000"/>
              <w:right w:val="none" w:sz="0" w:space="0" w:color="020000"/>
            </w:tcBorders>
            <w:vAlign w:val="center"/>
          </w:tcPr>
          <w:p w14:paraId="26DA8BAB" w14:textId="77777777" w:rsidR="00D8670B" w:rsidRDefault="009B37A9">
            <w:pPr>
              <w:tabs>
                <w:tab w:val="decimal" w:pos="2016"/>
              </w:tabs>
              <w:spacing w:before="136" w:after="108" w:line="197" w:lineRule="exact"/>
              <w:textAlignment w:val="baseline"/>
              <w:rPr>
                <w:rFonts w:ascii="Arial" w:eastAsia="Arial" w:hAnsi="Arial"/>
                <w:color w:val="000000"/>
                <w:sz w:val="18"/>
              </w:rPr>
            </w:pPr>
            <w:r>
              <w:rPr>
                <w:rFonts w:ascii="Arial" w:eastAsia="Arial" w:hAnsi="Arial"/>
                <w:color w:val="000000"/>
                <w:sz w:val="18"/>
              </w:rPr>
              <w:t>$4,454,181.69</w:t>
            </w:r>
          </w:p>
        </w:tc>
        <w:tc>
          <w:tcPr>
            <w:tcW w:w="3528" w:type="dxa"/>
            <w:tcBorders>
              <w:top w:val="none" w:sz="0" w:space="0" w:color="020000"/>
              <w:left w:val="none" w:sz="0" w:space="0" w:color="020000"/>
              <w:bottom w:val="none" w:sz="0" w:space="0" w:color="020000"/>
              <w:right w:val="none" w:sz="0" w:space="0" w:color="020000"/>
            </w:tcBorders>
            <w:vAlign w:val="center"/>
          </w:tcPr>
          <w:p w14:paraId="292CD43F" w14:textId="77777777" w:rsidR="00D8670B" w:rsidRDefault="009B37A9">
            <w:pPr>
              <w:tabs>
                <w:tab w:val="decimal" w:pos="1440"/>
              </w:tabs>
              <w:spacing w:before="136" w:after="108" w:line="197" w:lineRule="exact"/>
              <w:textAlignment w:val="baseline"/>
              <w:rPr>
                <w:rFonts w:ascii="Arial" w:eastAsia="Arial" w:hAnsi="Arial"/>
                <w:color w:val="000000"/>
                <w:sz w:val="18"/>
              </w:rPr>
            </w:pPr>
            <w:r>
              <w:rPr>
                <w:rFonts w:ascii="Arial" w:eastAsia="Arial" w:hAnsi="Arial"/>
                <w:color w:val="000000"/>
                <w:sz w:val="18"/>
              </w:rPr>
              <w:t>$4,007,269.39</w:t>
            </w:r>
          </w:p>
        </w:tc>
      </w:tr>
      <w:tr w:rsidR="00D8670B" w14:paraId="1C4B0898" w14:textId="77777777">
        <w:tblPrEx>
          <w:tblCellMar>
            <w:top w:w="0" w:type="dxa"/>
            <w:bottom w:w="0" w:type="dxa"/>
          </w:tblCellMar>
        </w:tblPrEx>
        <w:trPr>
          <w:trHeight w:hRule="exact" w:val="446"/>
        </w:trPr>
        <w:tc>
          <w:tcPr>
            <w:tcW w:w="4090" w:type="dxa"/>
            <w:tcBorders>
              <w:top w:val="none" w:sz="0" w:space="0" w:color="020000"/>
              <w:left w:val="none" w:sz="0" w:space="0" w:color="020000"/>
              <w:bottom w:val="none" w:sz="0" w:space="0" w:color="020000"/>
              <w:right w:val="none" w:sz="0" w:space="0" w:color="020000"/>
            </w:tcBorders>
            <w:vAlign w:val="center"/>
          </w:tcPr>
          <w:p w14:paraId="58B4F599" w14:textId="77777777" w:rsidR="00D8670B" w:rsidRDefault="009B37A9">
            <w:pPr>
              <w:spacing w:before="127" w:after="110" w:line="199" w:lineRule="exact"/>
              <w:ind w:left="1838"/>
              <w:textAlignment w:val="baseline"/>
              <w:rPr>
                <w:rFonts w:ascii="Arial" w:eastAsia="Arial" w:hAnsi="Arial"/>
                <w:b/>
                <w:color w:val="000000"/>
                <w:sz w:val="18"/>
              </w:rPr>
            </w:pPr>
            <w:r>
              <w:rPr>
                <w:rFonts w:ascii="Arial" w:eastAsia="Arial" w:hAnsi="Arial"/>
                <w:b/>
                <w:color w:val="000000"/>
                <w:sz w:val="18"/>
              </w:rPr>
              <w:t>Warrego</w:t>
            </w:r>
          </w:p>
        </w:tc>
        <w:tc>
          <w:tcPr>
            <w:tcW w:w="2649" w:type="dxa"/>
            <w:tcBorders>
              <w:top w:val="none" w:sz="0" w:space="0" w:color="020000"/>
              <w:left w:val="none" w:sz="0" w:space="0" w:color="020000"/>
              <w:bottom w:val="none" w:sz="0" w:space="0" w:color="020000"/>
              <w:right w:val="none" w:sz="0" w:space="0" w:color="020000"/>
            </w:tcBorders>
            <w:vAlign w:val="center"/>
          </w:tcPr>
          <w:p w14:paraId="313EC50D" w14:textId="77777777" w:rsidR="00D8670B" w:rsidRDefault="009B37A9">
            <w:pPr>
              <w:tabs>
                <w:tab w:val="decimal" w:pos="2016"/>
              </w:tabs>
              <w:spacing w:before="131" w:after="108" w:line="197" w:lineRule="exact"/>
              <w:textAlignment w:val="baseline"/>
              <w:rPr>
                <w:rFonts w:ascii="Arial" w:eastAsia="Arial" w:hAnsi="Arial"/>
                <w:color w:val="000000"/>
                <w:sz w:val="18"/>
              </w:rPr>
            </w:pPr>
            <w:r>
              <w:rPr>
                <w:rFonts w:ascii="Arial" w:eastAsia="Arial" w:hAnsi="Arial"/>
                <w:color w:val="000000"/>
                <w:sz w:val="18"/>
              </w:rPr>
              <w:t>$1,307,573.16</w:t>
            </w:r>
          </w:p>
        </w:tc>
        <w:tc>
          <w:tcPr>
            <w:tcW w:w="3528" w:type="dxa"/>
            <w:tcBorders>
              <w:top w:val="none" w:sz="0" w:space="0" w:color="020000"/>
              <w:left w:val="none" w:sz="0" w:space="0" w:color="020000"/>
              <w:bottom w:val="none" w:sz="0" w:space="0" w:color="020000"/>
              <w:right w:val="none" w:sz="0" w:space="0" w:color="020000"/>
            </w:tcBorders>
            <w:vAlign w:val="center"/>
          </w:tcPr>
          <w:p w14:paraId="501A4EBA" w14:textId="77777777" w:rsidR="00D8670B" w:rsidRDefault="009B37A9">
            <w:pPr>
              <w:tabs>
                <w:tab w:val="decimal" w:pos="1440"/>
              </w:tabs>
              <w:spacing w:before="131" w:after="108" w:line="197" w:lineRule="exact"/>
              <w:textAlignment w:val="baseline"/>
              <w:rPr>
                <w:rFonts w:ascii="Arial" w:eastAsia="Arial" w:hAnsi="Arial"/>
                <w:color w:val="000000"/>
                <w:sz w:val="18"/>
              </w:rPr>
            </w:pPr>
            <w:r>
              <w:rPr>
                <w:rFonts w:ascii="Arial" w:eastAsia="Arial" w:hAnsi="Arial"/>
                <w:color w:val="000000"/>
                <w:sz w:val="18"/>
              </w:rPr>
              <w:t>$1,176,000.00</w:t>
            </w:r>
          </w:p>
        </w:tc>
      </w:tr>
      <w:tr w:rsidR="00D8670B" w14:paraId="0B4293D8" w14:textId="77777777">
        <w:tblPrEx>
          <w:tblCellMar>
            <w:top w:w="0" w:type="dxa"/>
            <w:bottom w:w="0" w:type="dxa"/>
          </w:tblCellMar>
        </w:tblPrEx>
        <w:trPr>
          <w:trHeight w:hRule="exact" w:val="365"/>
        </w:trPr>
        <w:tc>
          <w:tcPr>
            <w:tcW w:w="4090" w:type="dxa"/>
            <w:tcBorders>
              <w:top w:val="none" w:sz="0" w:space="0" w:color="020000"/>
              <w:left w:val="none" w:sz="0" w:space="0" w:color="020000"/>
              <w:bottom w:val="none" w:sz="0" w:space="0" w:color="020000"/>
              <w:right w:val="none" w:sz="0" w:space="0" w:color="020000"/>
            </w:tcBorders>
            <w:shd w:val="clear" w:color="EBD9CA" w:fill="EBD9CA"/>
            <w:vAlign w:val="center"/>
          </w:tcPr>
          <w:p w14:paraId="05956C97" w14:textId="77777777" w:rsidR="00D8670B" w:rsidRDefault="009B37A9">
            <w:pPr>
              <w:spacing w:before="127" w:after="39" w:line="198" w:lineRule="exact"/>
              <w:ind w:left="1838"/>
              <w:textAlignment w:val="baseline"/>
              <w:rPr>
                <w:rFonts w:ascii="Arial" w:eastAsia="Arial" w:hAnsi="Arial"/>
                <w:b/>
                <w:color w:val="6C472A"/>
                <w:sz w:val="18"/>
              </w:rPr>
            </w:pPr>
            <w:r>
              <w:rPr>
                <w:rFonts w:ascii="Arial" w:eastAsia="Arial" w:hAnsi="Arial"/>
                <w:b/>
                <w:color w:val="6C472A"/>
                <w:sz w:val="18"/>
              </w:rPr>
              <w:t>Total</w:t>
            </w:r>
          </w:p>
        </w:tc>
        <w:tc>
          <w:tcPr>
            <w:tcW w:w="2649" w:type="dxa"/>
            <w:tcBorders>
              <w:top w:val="none" w:sz="0" w:space="0" w:color="020000"/>
              <w:left w:val="none" w:sz="0" w:space="0" w:color="020000"/>
              <w:bottom w:val="none" w:sz="0" w:space="0" w:color="020000"/>
              <w:right w:val="none" w:sz="0" w:space="0" w:color="020000"/>
            </w:tcBorders>
            <w:shd w:val="clear" w:color="EBD9CA" w:fill="EBD9CA"/>
            <w:vAlign w:val="center"/>
          </w:tcPr>
          <w:p w14:paraId="50738744" w14:textId="77777777" w:rsidR="00D8670B" w:rsidRDefault="009B37A9">
            <w:pPr>
              <w:tabs>
                <w:tab w:val="decimal" w:pos="2016"/>
              </w:tabs>
              <w:spacing w:before="127" w:after="39" w:line="198" w:lineRule="exact"/>
              <w:textAlignment w:val="baseline"/>
              <w:rPr>
                <w:rFonts w:ascii="Arial" w:eastAsia="Arial" w:hAnsi="Arial"/>
                <w:b/>
                <w:color w:val="6C472A"/>
                <w:sz w:val="18"/>
              </w:rPr>
            </w:pPr>
            <w:r>
              <w:rPr>
                <w:rFonts w:ascii="Arial" w:eastAsia="Arial" w:hAnsi="Arial"/>
                <w:b/>
                <w:color w:val="6C472A"/>
                <w:sz w:val="18"/>
              </w:rPr>
              <w:t>$89,977,569.21</w:t>
            </w:r>
          </w:p>
        </w:tc>
        <w:tc>
          <w:tcPr>
            <w:tcW w:w="3528" w:type="dxa"/>
            <w:tcBorders>
              <w:top w:val="none" w:sz="0" w:space="0" w:color="020000"/>
              <w:left w:val="none" w:sz="0" w:space="0" w:color="020000"/>
              <w:bottom w:val="none" w:sz="0" w:space="0" w:color="020000"/>
              <w:right w:val="none" w:sz="0" w:space="0" w:color="020000"/>
            </w:tcBorders>
            <w:shd w:val="clear" w:color="EBD9CA" w:fill="EBD9CA"/>
            <w:vAlign w:val="center"/>
          </w:tcPr>
          <w:p w14:paraId="7B190E32" w14:textId="77777777" w:rsidR="00D8670B" w:rsidRDefault="009B37A9">
            <w:pPr>
              <w:tabs>
                <w:tab w:val="decimal" w:pos="1440"/>
              </w:tabs>
              <w:spacing w:before="127" w:after="39" w:line="198" w:lineRule="exact"/>
              <w:textAlignment w:val="baseline"/>
              <w:rPr>
                <w:rFonts w:ascii="Arial" w:eastAsia="Arial" w:hAnsi="Arial"/>
                <w:b/>
                <w:color w:val="6C472A"/>
                <w:sz w:val="18"/>
              </w:rPr>
            </w:pPr>
            <w:r>
              <w:rPr>
                <w:rFonts w:ascii="Arial" w:eastAsia="Arial" w:hAnsi="Arial"/>
                <w:b/>
                <w:color w:val="6C472A"/>
                <w:sz w:val="18"/>
              </w:rPr>
              <w:t>$73,916,531.44</w:t>
            </w:r>
          </w:p>
        </w:tc>
      </w:tr>
    </w:tbl>
    <w:p w14:paraId="142E8CBB" w14:textId="77777777" w:rsidR="00D8670B" w:rsidRDefault="00D8670B">
      <w:pPr>
        <w:spacing w:after="543" w:line="20" w:lineRule="exact"/>
      </w:pPr>
    </w:p>
    <w:p w14:paraId="58D98B71" w14:textId="77777777" w:rsidR="00D8670B" w:rsidRDefault="009B37A9">
      <w:pPr>
        <w:spacing w:line="229" w:lineRule="exact"/>
        <w:ind w:right="144"/>
        <w:textAlignment w:val="baseline"/>
        <w:rPr>
          <w:rFonts w:ascii="Arial" w:eastAsia="Arial" w:hAnsi="Arial"/>
          <w:color w:val="000000"/>
          <w:spacing w:val="-1"/>
          <w:sz w:val="20"/>
        </w:rPr>
      </w:pPr>
      <w:r>
        <w:rPr>
          <w:rFonts w:ascii="Arial" w:eastAsia="Arial" w:hAnsi="Arial"/>
          <w:color w:val="000000"/>
          <w:spacing w:val="-1"/>
          <w:sz w:val="20"/>
        </w:rPr>
        <w:t>While the focus of the HHWUE program was on water savings, irrigators identified a number of other benefits, some of which were key drivers for program participation. Financial benefits, for instance, were a significant driver for participation</w:t>
      </w:r>
      <w:r>
        <w:rPr>
          <w:rFonts w:ascii="Arial" w:eastAsia="Arial" w:hAnsi="Arial"/>
          <w:color w:val="000000"/>
          <w:spacing w:val="-1"/>
          <w:sz w:val="20"/>
          <w:vertAlign w:val="superscript"/>
        </w:rPr>
        <w:t>9</w:t>
      </w:r>
      <w:r>
        <w:rPr>
          <w:rFonts w:ascii="Arial" w:eastAsia="Arial" w:hAnsi="Arial"/>
          <w:color w:val="000000"/>
          <w:spacing w:val="-1"/>
          <w:sz w:val="20"/>
        </w:rPr>
        <w:t>. The HHWUE</w:t>
      </w:r>
      <w:r>
        <w:rPr>
          <w:rFonts w:ascii="Arial" w:eastAsia="Arial" w:hAnsi="Arial"/>
          <w:color w:val="000000"/>
          <w:spacing w:val="-1"/>
          <w:sz w:val="20"/>
        </w:rPr>
        <w:t xml:space="preserve"> program offered irrigators a cost-effective opportunity to improve the productivity or profitability of existing irrigation business. Nearly all respondents to the post-completion surveys identified the funding enabled them to achieve business benefits an</w:t>
      </w:r>
      <w:r>
        <w:rPr>
          <w:rFonts w:ascii="Arial" w:eastAsia="Arial" w:hAnsi="Arial"/>
          <w:color w:val="000000"/>
          <w:spacing w:val="-1"/>
          <w:sz w:val="20"/>
        </w:rPr>
        <w:t>d complete projects quicker than they would have on their own. Additionally, some irrigators held water entitlements which were not regularly in use. The program offered them the opportunity to “exchange” these licences for a productive asset (i.e. improve</w:t>
      </w:r>
      <w:r>
        <w:rPr>
          <w:rFonts w:ascii="Arial" w:eastAsia="Arial" w:hAnsi="Arial"/>
          <w:color w:val="000000"/>
          <w:spacing w:val="-1"/>
          <w:sz w:val="20"/>
        </w:rPr>
        <w:t>d infrastructure)</w:t>
      </w:r>
      <w:r>
        <w:rPr>
          <w:rFonts w:ascii="Arial" w:eastAsia="Arial" w:hAnsi="Arial"/>
          <w:color w:val="000000"/>
          <w:spacing w:val="-1"/>
          <w:sz w:val="20"/>
          <w:vertAlign w:val="superscript"/>
        </w:rPr>
        <w:t>9</w:t>
      </w:r>
      <w:r>
        <w:rPr>
          <w:rFonts w:ascii="Arial" w:eastAsia="Arial" w:hAnsi="Arial"/>
          <w:color w:val="000000"/>
          <w:spacing w:val="-1"/>
          <w:sz w:val="20"/>
        </w:rPr>
        <w:t>.</w:t>
      </w:r>
    </w:p>
    <w:p w14:paraId="2CC76005" w14:textId="77777777" w:rsidR="00D8670B" w:rsidRDefault="009B37A9">
      <w:pPr>
        <w:spacing w:before="121" w:line="230" w:lineRule="exact"/>
        <w:textAlignment w:val="baseline"/>
        <w:rPr>
          <w:rFonts w:ascii="Arial" w:eastAsia="Arial" w:hAnsi="Arial"/>
          <w:color w:val="000000"/>
          <w:sz w:val="20"/>
        </w:rPr>
      </w:pPr>
      <w:r>
        <w:rPr>
          <w:rFonts w:ascii="Arial" w:eastAsia="Arial" w:hAnsi="Arial"/>
          <w:color w:val="000000"/>
          <w:sz w:val="20"/>
        </w:rPr>
        <w:t>Other irrigators cited ongoing productivity benefits from the upgraded infrastructure including:</w:t>
      </w:r>
    </w:p>
    <w:p w14:paraId="77BB5DDB" w14:textId="77777777" w:rsidR="00D8670B" w:rsidRDefault="009B37A9">
      <w:pPr>
        <w:numPr>
          <w:ilvl w:val="0"/>
          <w:numId w:val="5"/>
        </w:numPr>
        <w:tabs>
          <w:tab w:val="clear" w:pos="432"/>
          <w:tab w:val="left" w:pos="792"/>
        </w:tabs>
        <w:spacing w:before="135" w:line="230" w:lineRule="exact"/>
        <w:ind w:left="360"/>
        <w:textAlignment w:val="baseline"/>
        <w:rPr>
          <w:rFonts w:ascii="Arial" w:eastAsia="Arial" w:hAnsi="Arial"/>
          <w:color w:val="000000"/>
          <w:spacing w:val="-1"/>
          <w:sz w:val="20"/>
        </w:rPr>
      </w:pPr>
      <w:r>
        <w:rPr>
          <w:rFonts w:ascii="Arial" w:eastAsia="Arial" w:hAnsi="Arial"/>
          <w:color w:val="000000"/>
          <w:spacing w:val="-1"/>
          <w:sz w:val="20"/>
        </w:rPr>
        <w:t>improved productivity per hectare</w:t>
      </w:r>
    </w:p>
    <w:p w14:paraId="6A0C83AE" w14:textId="77777777" w:rsidR="00D8670B" w:rsidRDefault="009B37A9">
      <w:pPr>
        <w:numPr>
          <w:ilvl w:val="0"/>
          <w:numId w:val="5"/>
        </w:numPr>
        <w:tabs>
          <w:tab w:val="clear" w:pos="432"/>
          <w:tab w:val="left" w:pos="792"/>
        </w:tabs>
        <w:spacing w:before="130" w:line="230" w:lineRule="exact"/>
        <w:ind w:left="360"/>
        <w:textAlignment w:val="baseline"/>
        <w:rPr>
          <w:rFonts w:ascii="Arial" w:eastAsia="Arial" w:hAnsi="Arial"/>
          <w:color w:val="000000"/>
          <w:sz w:val="20"/>
        </w:rPr>
      </w:pPr>
      <w:r>
        <w:rPr>
          <w:rFonts w:ascii="Arial" w:eastAsia="Arial" w:hAnsi="Arial"/>
          <w:color w:val="000000"/>
          <w:sz w:val="20"/>
        </w:rPr>
        <w:t>increased flexibility in cropping and water management</w:t>
      </w:r>
    </w:p>
    <w:p w14:paraId="7D24A46A" w14:textId="77777777" w:rsidR="00D8670B" w:rsidRDefault="009B37A9">
      <w:pPr>
        <w:numPr>
          <w:ilvl w:val="0"/>
          <w:numId w:val="5"/>
        </w:numPr>
        <w:tabs>
          <w:tab w:val="clear" w:pos="432"/>
          <w:tab w:val="left" w:pos="792"/>
        </w:tabs>
        <w:spacing w:before="134" w:line="230" w:lineRule="exact"/>
        <w:ind w:left="360"/>
        <w:textAlignment w:val="baseline"/>
        <w:rPr>
          <w:rFonts w:ascii="Arial" w:eastAsia="Arial" w:hAnsi="Arial"/>
          <w:color w:val="000000"/>
          <w:spacing w:val="-1"/>
          <w:sz w:val="20"/>
        </w:rPr>
      </w:pPr>
      <w:r>
        <w:rPr>
          <w:rFonts w:ascii="Arial" w:eastAsia="Arial" w:hAnsi="Arial"/>
          <w:color w:val="000000"/>
          <w:spacing w:val="-1"/>
          <w:sz w:val="20"/>
        </w:rPr>
        <w:t>reduced operating costs</w:t>
      </w:r>
    </w:p>
    <w:p w14:paraId="01C48088" w14:textId="77777777" w:rsidR="00D8670B" w:rsidRDefault="009B37A9">
      <w:pPr>
        <w:numPr>
          <w:ilvl w:val="0"/>
          <w:numId w:val="5"/>
        </w:numPr>
        <w:tabs>
          <w:tab w:val="clear" w:pos="432"/>
          <w:tab w:val="left" w:pos="792"/>
        </w:tabs>
        <w:spacing w:before="135" w:line="230" w:lineRule="exact"/>
        <w:ind w:left="360"/>
        <w:textAlignment w:val="baseline"/>
        <w:rPr>
          <w:rFonts w:ascii="Arial" w:eastAsia="Arial" w:hAnsi="Arial"/>
          <w:color w:val="000000"/>
          <w:sz w:val="20"/>
        </w:rPr>
      </w:pPr>
      <w:r>
        <w:rPr>
          <w:rFonts w:ascii="Arial" w:eastAsia="Arial" w:hAnsi="Arial"/>
          <w:color w:val="000000"/>
          <w:sz w:val="20"/>
        </w:rPr>
        <w:t>ability to use less labour-intensive systems</w:t>
      </w:r>
    </w:p>
    <w:p w14:paraId="6A8384FF" w14:textId="77777777" w:rsidR="00D8670B" w:rsidRDefault="009B37A9">
      <w:pPr>
        <w:numPr>
          <w:ilvl w:val="0"/>
          <w:numId w:val="5"/>
        </w:numPr>
        <w:tabs>
          <w:tab w:val="clear" w:pos="432"/>
          <w:tab w:val="left" w:pos="792"/>
        </w:tabs>
        <w:spacing w:before="135" w:line="230" w:lineRule="exact"/>
        <w:ind w:left="360"/>
        <w:textAlignment w:val="baseline"/>
        <w:rPr>
          <w:rFonts w:ascii="Arial" w:eastAsia="Arial" w:hAnsi="Arial"/>
          <w:color w:val="000000"/>
          <w:spacing w:val="-1"/>
          <w:sz w:val="20"/>
        </w:rPr>
      </w:pPr>
      <w:r>
        <w:rPr>
          <w:rFonts w:ascii="Arial" w:eastAsia="Arial" w:hAnsi="Arial"/>
          <w:color w:val="000000"/>
          <w:spacing w:val="-1"/>
          <w:sz w:val="20"/>
        </w:rPr>
        <w:t>reduced energy requirement</w:t>
      </w:r>
    </w:p>
    <w:p w14:paraId="52920F31" w14:textId="77777777" w:rsidR="00D8670B" w:rsidRDefault="009B37A9">
      <w:pPr>
        <w:numPr>
          <w:ilvl w:val="0"/>
          <w:numId w:val="5"/>
        </w:numPr>
        <w:tabs>
          <w:tab w:val="clear" w:pos="432"/>
          <w:tab w:val="left" w:pos="792"/>
        </w:tabs>
        <w:spacing w:before="130" w:line="230" w:lineRule="exact"/>
        <w:ind w:left="360"/>
        <w:textAlignment w:val="baseline"/>
        <w:rPr>
          <w:rFonts w:ascii="Arial" w:eastAsia="Arial" w:hAnsi="Arial"/>
          <w:color w:val="000000"/>
          <w:spacing w:val="-1"/>
          <w:sz w:val="20"/>
        </w:rPr>
      </w:pPr>
      <w:r>
        <w:rPr>
          <w:rFonts w:ascii="Arial" w:eastAsia="Arial" w:hAnsi="Arial"/>
          <w:color w:val="000000"/>
          <w:spacing w:val="-1"/>
          <w:sz w:val="20"/>
        </w:rPr>
        <w:t>increased options for risk management.</w:t>
      </w:r>
    </w:p>
    <w:p w14:paraId="485DB280" w14:textId="77777777" w:rsidR="00D8670B" w:rsidRDefault="009B37A9">
      <w:pPr>
        <w:spacing w:before="122" w:line="230" w:lineRule="exact"/>
        <w:ind w:right="432"/>
        <w:textAlignment w:val="baseline"/>
        <w:rPr>
          <w:rFonts w:ascii="Arial" w:eastAsia="Arial" w:hAnsi="Arial"/>
          <w:color w:val="000000"/>
          <w:sz w:val="20"/>
        </w:rPr>
      </w:pPr>
      <w:r>
        <w:rPr>
          <w:rFonts w:ascii="Arial" w:eastAsia="Arial" w:hAnsi="Arial"/>
          <w:color w:val="000000"/>
          <w:sz w:val="20"/>
        </w:rPr>
        <w:t>These benefits, particularly the improvements in yield and productivity, are supported by the socioeconomic assessments from the program</w:t>
      </w:r>
      <w:r>
        <w:rPr>
          <w:rFonts w:ascii="Arial" w:eastAsia="Arial" w:hAnsi="Arial"/>
          <w:color w:val="000000"/>
          <w:sz w:val="20"/>
          <w:vertAlign w:val="superscript"/>
        </w:rPr>
        <w:t>10</w:t>
      </w:r>
      <w:r>
        <w:rPr>
          <w:rFonts w:ascii="Arial" w:eastAsia="Arial" w:hAnsi="Arial"/>
          <w:color w:val="000000"/>
          <w:sz w:val="20"/>
        </w:rPr>
        <w:t>. These</w:t>
      </w:r>
      <w:r>
        <w:rPr>
          <w:rFonts w:ascii="Arial" w:eastAsia="Arial" w:hAnsi="Arial"/>
          <w:color w:val="000000"/>
          <w:sz w:val="20"/>
        </w:rPr>
        <w:t xml:space="preserve"> assessments similarly concluded ongoing operating benefits would be improved profitability and resilience of participating enterprises, and greater reliability in regional production and income.</w:t>
      </w:r>
    </w:p>
    <w:p w14:paraId="4D95C153" w14:textId="77777777" w:rsidR="00D8670B" w:rsidRDefault="009B37A9">
      <w:pPr>
        <w:spacing w:before="242" w:after="61" w:line="319" w:lineRule="exact"/>
        <w:textAlignment w:val="baseline"/>
        <w:rPr>
          <w:rFonts w:ascii="Arial" w:eastAsia="Arial" w:hAnsi="Arial"/>
          <w:b/>
          <w:color w:val="2C7176"/>
          <w:spacing w:val="3"/>
          <w:sz w:val="28"/>
        </w:rPr>
      </w:pPr>
      <w:r>
        <w:rPr>
          <w:rFonts w:ascii="Arial" w:eastAsia="Arial" w:hAnsi="Arial"/>
          <w:b/>
          <w:color w:val="2C7176"/>
          <w:spacing w:val="3"/>
          <w:sz w:val="28"/>
        </w:rPr>
        <w:t>3.2 Water to the environment</w:t>
      </w:r>
    </w:p>
    <w:p w14:paraId="05266B6B" w14:textId="77777777" w:rsidR="00D8670B" w:rsidRDefault="009B37A9">
      <w:pPr>
        <w:spacing w:after="107"/>
        <w:ind w:left="33" w:right="34"/>
        <w:textAlignment w:val="baseline"/>
      </w:pPr>
      <w:r>
        <w:rPr>
          <w:noProof/>
        </w:rPr>
        <w:drawing>
          <wp:inline distT="0" distB="0" distL="0" distR="0" wp14:anchorId="328CC51A" wp14:editId="5E0639CC">
            <wp:extent cx="6477000" cy="65849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44"/>
                    <a:stretch>
                      <a:fillRect/>
                    </a:stretch>
                  </pic:blipFill>
                  <pic:spPr>
                    <a:xfrm>
                      <a:off x="0" y="0"/>
                      <a:ext cx="6477000" cy="658495"/>
                    </a:xfrm>
                    <a:prstGeom prst="rect">
                      <a:avLst/>
                    </a:prstGeom>
                  </pic:spPr>
                </pic:pic>
              </a:graphicData>
            </a:graphic>
          </wp:inline>
        </w:drawing>
      </w:r>
    </w:p>
    <w:p w14:paraId="2DF38851" w14:textId="77777777" w:rsidR="00D8670B" w:rsidRDefault="009B37A9">
      <w:pPr>
        <w:spacing w:after="109" w:line="229" w:lineRule="exact"/>
        <w:ind w:right="72"/>
        <w:textAlignment w:val="baseline"/>
        <w:rPr>
          <w:rFonts w:ascii="Arial" w:eastAsia="Arial" w:hAnsi="Arial"/>
          <w:color w:val="000000"/>
          <w:sz w:val="20"/>
        </w:rPr>
      </w:pPr>
      <w:r>
        <w:rPr>
          <w:rFonts w:ascii="Arial" w:eastAsia="Arial" w:hAnsi="Arial"/>
          <w:color w:val="000000"/>
          <w:sz w:val="20"/>
        </w:rPr>
        <w:t>Funded Phase 2 projects achie</w:t>
      </w:r>
      <w:r>
        <w:rPr>
          <w:rFonts w:ascii="Arial" w:eastAsia="Arial" w:hAnsi="Arial"/>
          <w:color w:val="000000"/>
          <w:sz w:val="20"/>
        </w:rPr>
        <w:t>ved an estimated 28.8 GL water savings across four QMDB catchments, of which 18.6 GL were permanently transferred to the Australian Government (Commonwealth Environmental Water Holder) for environmental use. This volume includes additional water offered by</w:t>
      </w:r>
      <w:r>
        <w:rPr>
          <w:rFonts w:ascii="Arial" w:eastAsia="Arial" w:hAnsi="Arial"/>
          <w:color w:val="000000"/>
          <w:sz w:val="20"/>
        </w:rPr>
        <w:t xml:space="preserve"> two projects in lieu of a “cash” irrigator contribution. The table below outlines the Phase 2 savings and transfers by catchment and water type.</w:t>
      </w:r>
    </w:p>
    <w:p w14:paraId="72C157DA" w14:textId="77777777" w:rsidR="00D8670B" w:rsidRDefault="009B37A9">
      <w:pPr>
        <w:shd w:val="solid" w:color="CAE2F7" w:fill="CAE2F7"/>
        <w:spacing w:line="165" w:lineRule="exact"/>
        <w:ind w:left="1445" w:right="1409"/>
        <w:jc w:val="right"/>
        <w:textAlignment w:val="baseline"/>
        <w:rPr>
          <w:rFonts w:ascii="Arial" w:eastAsia="Arial" w:hAnsi="Arial"/>
          <w:b/>
          <w:color w:val="1C75BB"/>
          <w:spacing w:val="6"/>
          <w:sz w:val="18"/>
        </w:rPr>
      </w:pPr>
      <w:r>
        <w:rPr>
          <w:rFonts w:ascii="Arial" w:eastAsia="Arial" w:hAnsi="Arial"/>
          <w:b/>
          <w:color w:val="1C75BB"/>
          <w:spacing w:val="6"/>
          <w:sz w:val="18"/>
        </w:rPr>
        <w:t>Total water Water transferred to Australian</w:t>
      </w:r>
    </w:p>
    <w:p w14:paraId="7E542A85" w14:textId="77777777" w:rsidR="00D8670B" w:rsidRDefault="009B37A9">
      <w:pPr>
        <w:shd w:val="solid" w:color="CAE2F7" w:fill="CAE2F7"/>
        <w:tabs>
          <w:tab w:val="left" w:pos="3312"/>
          <w:tab w:val="right" w:pos="7416"/>
        </w:tabs>
        <w:spacing w:after="115" w:line="241" w:lineRule="exact"/>
        <w:ind w:left="1445" w:right="1409"/>
        <w:textAlignment w:val="baseline"/>
        <w:rPr>
          <w:rFonts w:ascii="Arial" w:eastAsia="Arial" w:hAnsi="Arial"/>
          <w:b/>
          <w:color w:val="1C75BB"/>
          <w:sz w:val="18"/>
        </w:rPr>
      </w:pPr>
      <w:r>
        <w:rPr>
          <w:rFonts w:ascii="Arial" w:eastAsia="Arial" w:hAnsi="Arial"/>
          <w:b/>
          <w:color w:val="1C75BB"/>
          <w:sz w:val="18"/>
        </w:rPr>
        <w:t>Catchment and type</w:t>
      </w:r>
      <w:r>
        <w:rPr>
          <w:rFonts w:ascii="Arial" w:eastAsia="Arial" w:hAnsi="Arial"/>
          <w:b/>
          <w:color w:val="1C75BB"/>
          <w:sz w:val="18"/>
        </w:rPr>
        <w:tab/>
        <w:t>savings (ML)</w:t>
      </w:r>
      <w:r>
        <w:rPr>
          <w:rFonts w:ascii="Arial" w:eastAsia="Arial" w:hAnsi="Arial"/>
          <w:b/>
          <w:color w:val="1C75BB"/>
          <w:sz w:val="18"/>
        </w:rPr>
        <w:tab/>
        <w:t>Government (ML)</w:t>
      </w:r>
    </w:p>
    <w:p w14:paraId="7DF038E8" w14:textId="77777777" w:rsidR="00D8670B" w:rsidRDefault="009B37A9">
      <w:pPr>
        <w:shd w:val="solid" w:color="EAF4FB" w:fill="EAF4FB"/>
        <w:tabs>
          <w:tab w:val="left" w:pos="3672"/>
          <w:tab w:val="right" w:pos="7416"/>
        </w:tabs>
        <w:spacing w:after="250" w:line="198" w:lineRule="exact"/>
        <w:ind w:left="1445" w:right="1409"/>
        <w:textAlignment w:val="baseline"/>
        <w:rPr>
          <w:rFonts w:ascii="Arial" w:eastAsia="Arial" w:hAnsi="Arial"/>
          <w:b/>
          <w:color w:val="000000"/>
          <w:sz w:val="18"/>
        </w:rPr>
      </w:pPr>
      <w:r>
        <w:rPr>
          <w:rFonts w:ascii="Arial" w:eastAsia="Arial" w:hAnsi="Arial"/>
          <w:b/>
          <w:color w:val="000000"/>
          <w:sz w:val="18"/>
        </w:rPr>
        <w:t>Border Rivers</w:t>
      </w:r>
      <w:r>
        <w:rPr>
          <w:rFonts w:ascii="Arial" w:eastAsia="Arial" w:hAnsi="Arial"/>
          <w:b/>
          <w:color w:val="000000"/>
          <w:sz w:val="18"/>
        </w:rPr>
        <w:tab/>
        <w:t>15,199.42</w:t>
      </w:r>
      <w:r>
        <w:rPr>
          <w:rFonts w:ascii="Arial" w:eastAsia="Arial" w:hAnsi="Arial"/>
          <w:b/>
          <w:color w:val="000000"/>
          <w:sz w:val="18"/>
        </w:rPr>
        <w:tab/>
        <w:t>9880</w:t>
      </w:r>
    </w:p>
    <w:p w14:paraId="03C42195" w14:textId="77777777" w:rsidR="00D8670B" w:rsidRDefault="009B37A9">
      <w:pPr>
        <w:tabs>
          <w:tab w:val="decimal" w:pos="5616"/>
          <w:tab w:val="left" w:pos="8352"/>
        </w:tabs>
        <w:spacing w:before="2" w:line="199" w:lineRule="exact"/>
        <w:ind w:left="1800"/>
        <w:textAlignment w:val="baseline"/>
        <w:rPr>
          <w:rFonts w:ascii="Arial" w:eastAsia="Arial" w:hAnsi="Arial"/>
          <w:color w:val="000000"/>
          <w:sz w:val="18"/>
        </w:rPr>
      </w:pPr>
      <w:r>
        <w:rPr>
          <w:rFonts w:ascii="Arial" w:eastAsia="Arial" w:hAnsi="Arial"/>
          <w:color w:val="000000"/>
          <w:sz w:val="18"/>
        </w:rPr>
        <w:t>Supplemented</w:t>
      </w:r>
      <w:r>
        <w:rPr>
          <w:rFonts w:ascii="Arial" w:eastAsia="Arial" w:hAnsi="Arial"/>
          <w:color w:val="000000"/>
          <w:sz w:val="18"/>
        </w:rPr>
        <w:tab/>
        <w:t>6595.90</w:t>
      </w:r>
      <w:r>
        <w:rPr>
          <w:rFonts w:ascii="Arial" w:eastAsia="Arial" w:hAnsi="Arial"/>
          <w:color w:val="000000"/>
          <w:sz w:val="18"/>
        </w:rPr>
        <w:tab/>
        <w:t>3856</w:t>
      </w:r>
    </w:p>
    <w:p w14:paraId="16490A01" w14:textId="77777777" w:rsidR="00D8670B" w:rsidRDefault="009B37A9">
      <w:pPr>
        <w:tabs>
          <w:tab w:val="decimal" w:pos="5616"/>
          <w:tab w:val="left" w:pos="8352"/>
        </w:tabs>
        <w:spacing w:before="247" w:after="105" w:line="200" w:lineRule="exact"/>
        <w:ind w:left="1800"/>
        <w:textAlignment w:val="baseline"/>
        <w:rPr>
          <w:rFonts w:ascii="Arial" w:eastAsia="Arial" w:hAnsi="Arial"/>
          <w:color w:val="000000"/>
          <w:sz w:val="18"/>
        </w:rPr>
      </w:pPr>
      <w:r>
        <w:rPr>
          <w:rFonts w:ascii="Arial" w:eastAsia="Arial" w:hAnsi="Arial"/>
          <w:color w:val="000000"/>
          <w:sz w:val="18"/>
        </w:rPr>
        <w:t>Unsupplemented</w:t>
      </w:r>
      <w:r>
        <w:rPr>
          <w:rFonts w:ascii="Arial" w:eastAsia="Arial" w:hAnsi="Arial"/>
          <w:color w:val="000000"/>
          <w:sz w:val="18"/>
        </w:rPr>
        <w:tab/>
        <w:t>8603,52</w:t>
      </w:r>
      <w:r>
        <w:rPr>
          <w:rFonts w:ascii="Arial" w:eastAsia="Arial" w:hAnsi="Arial"/>
          <w:color w:val="000000"/>
          <w:sz w:val="18"/>
        </w:rPr>
        <w:tab/>
        <w:t>6024</w:t>
      </w:r>
    </w:p>
    <w:p w14:paraId="0B1176AC" w14:textId="77777777" w:rsidR="00D8670B" w:rsidRDefault="009B37A9">
      <w:pPr>
        <w:shd w:val="solid" w:color="EAF4FB" w:fill="EAF4FB"/>
        <w:tabs>
          <w:tab w:val="left" w:pos="3672"/>
          <w:tab w:val="right" w:pos="7416"/>
        </w:tabs>
        <w:spacing w:after="660" w:line="198" w:lineRule="exact"/>
        <w:ind w:left="1445" w:right="1373"/>
        <w:textAlignment w:val="baseline"/>
        <w:rPr>
          <w:rFonts w:ascii="Arial" w:eastAsia="Arial" w:hAnsi="Arial"/>
          <w:b/>
          <w:color w:val="000000"/>
          <w:sz w:val="18"/>
        </w:rPr>
      </w:pPr>
      <w:r>
        <w:rPr>
          <w:rFonts w:ascii="Arial" w:eastAsia="Arial" w:hAnsi="Arial"/>
          <w:b/>
          <w:color w:val="000000"/>
          <w:sz w:val="18"/>
        </w:rPr>
        <w:t>Condamine and Balonne</w:t>
      </w:r>
      <w:r>
        <w:rPr>
          <w:rFonts w:ascii="Arial" w:eastAsia="Arial" w:hAnsi="Arial"/>
          <w:b/>
          <w:color w:val="000000"/>
          <w:sz w:val="18"/>
        </w:rPr>
        <w:tab/>
        <w:t>10,964.50</w:t>
      </w:r>
      <w:r>
        <w:rPr>
          <w:rFonts w:ascii="Arial" w:eastAsia="Arial" w:hAnsi="Arial"/>
          <w:b/>
          <w:color w:val="000000"/>
          <w:sz w:val="18"/>
        </w:rPr>
        <w:tab/>
        <w:t>6946</w:t>
      </w:r>
    </w:p>
    <w:p w14:paraId="380261B4" w14:textId="77777777" w:rsidR="00D8670B" w:rsidRDefault="009B37A9">
      <w:pPr>
        <w:spacing w:before="222" w:line="208" w:lineRule="exact"/>
        <w:ind w:right="72"/>
        <w:jc w:val="both"/>
        <w:textAlignment w:val="baseline"/>
        <w:rPr>
          <w:rFonts w:ascii="Arial" w:eastAsia="Arial" w:hAnsi="Arial"/>
          <w:color w:val="000000"/>
          <w:sz w:val="12"/>
        </w:rPr>
      </w:pPr>
      <w:r>
        <w:pict w14:anchorId="065388A0">
          <v:line id="_x0000_s1071" style="position:absolute;left:0;text-align:left;z-index:251714560;mso-position-horizontal-relative:page;mso-position-vertical-relative:page" from="41.05pt,718.55pt" to="186.75pt,718.55pt" strokeweight=".7pt">
            <w10:wrap anchorx="page" anchory="page"/>
          </v:line>
        </w:pict>
      </w:r>
      <w:r>
        <w:rPr>
          <w:rFonts w:ascii="Arial" w:eastAsia="Arial" w:hAnsi="Arial"/>
          <w:color w:val="000000"/>
          <w:sz w:val="12"/>
        </w:rPr>
        <w:t xml:space="preserve">9 </w:t>
      </w:r>
      <w:r>
        <w:rPr>
          <w:rFonts w:ascii="Arial" w:eastAsia="Arial" w:hAnsi="Arial"/>
          <w:color w:val="000000"/>
          <w:sz w:val="18"/>
        </w:rPr>
        <w:t xml:space="preserve">McCartney, F &amp; Durante, J 2015, </w:t>
      </w:r>
      <w:r>
        <w:rPr>
          <w:rFonts w:ascii="Arial" w:eastAsia="Arial" w:hAnsi="Arial"/>
          <w:i/>
          <w:color w:val="000000"/>
          <w:sz w:val="18"/>
        </w:rPr>
        <w:t>Factors that influence Queensland Murray</w:t>
      </w:r>
      <w:r>
        <w:rPr>
          <w:rFonts w:ascii="Arial" w:eastAsia="Arial" w:hAnsi="Arial"/>
          <w:i/>
          <w:color w:val="000000"/>
          <w:sz w:val="18"/>
        </w:rPr>
        <w:t>–Darling Basin irrigators’ participation in water use efficiency and water recovery programs</w:t>
      </w:r>
      <w:r>
        <w:rPr>
          <w:rFonts w:ascii="Arial" w:eastAsia="Arial" w:hAnsi="Arial"/>
          <w:color w:val="000000"/>
          <w:sz w:val="18"/>
        </w:rPr>
        <w:t>, Department of Science, Information Technology and Innovation, Brisbane</w:t>
      </w:r>
    </w:p>
    <w:p w14:paraId="4E6AF93A" w14:textId="77777777" w:rsidR="00D8670B" w:rsidRDefault="009B37A9">
      <w:pPr>
        <w:spacing w:before="103" w:after="223" w:line="213" w:lineRule="exact"/>
        <w:ind w:right="288"/>
        <w:textAlignment w:val="baseline"/>
        <w:rPr>
          <w:rFonts w:ascii="Arial" w:eastAsia="Arial" w:hAnsi="Arial"/>
          <w:color w:val="000000"/>
          <w:sz w:val="12"/>
        </w:rPr>
      </w:pPr>
      <w:r>
        <w:rPr>
          <w:rFonts w:ascii="Arial" w:eastAsia="Arial" w:hAnsi="Arial"/>
          <w:color w:val="000000"/>
          <w:sz w:val="12"/>
        </w:rPr>
        <w:t xml:space="preserve">10 </w:t>
      </w:r>
      <w:r>
        <w:rPr>
          <w:rFonts w:ascii="Arial" w:eastAsia="Arial" w:hAnsi="Arial"/>
          <w:color w:val="000000"/>
          <w:sz w:val="18"/>
        </w:rPr>
        <w:t xml:space="preserve">Tunny, G &amp; Fitzgibbons A 2012, </w:t>
      </w:r>
      <w:r>
        <w:rPr>
          <w:rFonts w:ascii="Arial" w:eastAsia="Arial" w:hAnsi="Arial"/>
          <w:i/>
          <w:color w:val="000000"/>
          <w:sz w:val="18"/>
        </w:rPr>
        <w:t xml:space="preserve">Healthy HeadWaters round three: Socioeconomic assessment </w:t>
      </w:r>
      <w:r>
        <w:rPr>
          <w:rFonts w:ascii="Arial" w:eastAsia="Arial" w:hAnsi="Arial"/>
          <w:i/>
          <w:color w:val="000000"/>
          <w:sz w:val="18"/>
        </w:rPr>
        <w:t>of tenders</w:t>
      </w:r>
      <w:r>
        <w:rPr>
          <w:rFonts w:ascii="Arial" w:eastAsia="Arial" w:hAnsi="Arial"/>
          <w:color w:val="000000"/>
          <w:sz w:val="18"/>
        </w:rPr>
        <w:t>, Marsden Jacob Associates, Brisbane</w:t>
      </w:r>
    </w:p>
    <w:p w14:paraId="78E800CE" w14:textId="77777777" w:rsidR="00D8670B" w:rsidRDefault="009B37A9">
      <w:pPr>
        <w:spacing w:before="164" w:line="228" w:lineRule="exact"/>
        <w:jc w:val="center"/>
        <w:textAlignment w:val="baseline"/>
        <w:rPr>
          <w:rFonts w:ascii="Arial" w:eastAsia="Arial" w:hAnsi="Arial"/>
          <w:color w:val="000000"/>
          <w:spacing w:val="40"/>
          <w:sz w:val="20"/>
        </w:rPr>
      </w:pPr>
      <w:r>
        <w:pict w14:anchorId="4DAD1719">
          <v:line id="_x0000_s1070" style="position:absolute;left:0;text-align:left;z-index:251715584;mso-position-horizontal-relative:page;mso-position-vertical-relative:page" from="41.05pt,789.1pt" to="554.45pt,789.1pt" strokeweight="1.7pt">
            <w10:wrap anchorx="page" anchory="page"/>
          </v:line>
        </w:pict>
      </w:r>
      <w:r>
        <w:rPr>
          <w:rFonts w:ascii="Arial" w:eastAsia="Arial" w:hAnsi="Arial"/>
          <w:color w:val="000000"/>
          <w:spacing w:val="40"/>
          <w:sz w:val="20"/>
        </w:rPr>
        <w:t>37</w:t>
      </w:r>
    </w:p>
    <w:p w14:paraId="7773DDC3" w14:textId="77777777" w:rsidR="00D8670B" w:rsidRDefault="00D8670B">
      <w:pPr>
        <w:sectPr w:rsidR="00D8670B">
          <w:pgSz w:w="11909" w:h="16838"/>
          <w:pgMar w:top="1020" w:right="821" w:bottom="282" w:left="821"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4075"/>
        <w:gridCol w:w="2948"/>
        <w:gridCol w:w="3244"/>
      </w:tblGrid>
      <w:tr w:rsidR="00D8670B" w14:paraId="1F1B290A" w14:textId="77777777">
        <w:tblPrEx>
          <w:tblCellMar>
            <w:top w:w="0" w:type="dxa"/>
            <w:bottom w:w="0" w:type="dxa"/>
          </w:tblCellMar>
        </w:tblPrEx>
        <w:trPr>
          <w:trHeight w:hRule="exact" w:val="579"/>
        </w:trPr>
        <w:tc>
          <w:tcPr>
            <w:tcW w:w="4075" w:type="dxa"/>
            <w:tcBorders>
              <w:top w:val="none" w:sz="0" w:space="0" w:color="020000"/>
              <w:left w:val="none" w:sz="0" w:space="0" w:color="020000"/>
              <w:bottom w:val="none" w:sz="0" w:space="0" w:color="020000"/>
              <w:right w:val="none" w:sz="0" w:space="0" w:color="020000"/>
            </w:tcBorders>
            <w:vAlign w:val="center"/>
          </w:tcPr>
          <w:p w14:paraId="330F76A7" w14:textId="77777777" w:rsidR="00D8670B" w:rsidRDefault="009B37A9">
            <w:pPr>
              <w:spacing w:before="260" w:after="104" w:line="205" w:lineRule="exact"/>
              <w:ind w:left="1753"/>
              <w:textAlignment w:val="baseline"/>
              <w:rPr>
                <w:rFonts w:ascii="Arial" w:eastAsia="Arial" w:hAnsi="Arial"/>
                <w:color w:val="000000"/>
                <w:sz w:val="18"/>
              </w:rPr>
            </w:pPr>
            <w:r>
              <w:rPr>
                <w:rFonts w:ascii="Arial" w:eastAsia="Arial" w:hAnsi="Arial"/>
                <w:color w:val="000000"/>
                <w:sz w:val="18"/>
              </w:rPr>
              <w:lastRenderedPageBreak/>
              <w:t>Supplemented</w:t>
            </w:r>
          </w:p>
        </w:tc>
        <w:tc>
          <w:tcPr>
            <w:tcW w:w="2948" w:type="dxa"/>
            <w:tcBorders>
              <w:top w:val="none" w:sz="0" w:space="0" w:color="020000"/>
              <w:left w:val="none" w:sz="0" w:space="0" w:color="020000"/>
              <w:bottom w:val="none" w:sz="0" w:space="0" w:color="020000"/>
              <w:right w:val="none" w:sz="0" w:space="0" w:color="020000"/>
            </w:tcBorders>
            <w:vAlign w:val="center"/>
          </w:tcPr>
          <w:p w14:paraId="7347C566" w14:textId="77777777" w:rsidR="00D8670B" w:rsidRDefault="009B37A9">
            <w:pPr>
              <w:tabs>
                <w:tab w:val="decimal" w:pos="1512"/>
              </w:tabs>
              <w:spacing w:before="260" w:after="104" w:line="205" w:lineRule="exact"/>
              <w:textAlignment w:val="baseline"/>
              <w:rPr>
                <w:rFonts w:ascii="Arial" w:eastAsia="Arial" w:hAnsi="Arial"/>
                <w:color w:val="000000"/>
                <w:sz w:val="18"/>
              </w:rPr>
            </w:pPr>
            <w:r>
              <w:rPr>
                <w:rFonts w:ascii="Arial" w:eastAsia="Arial" w:hAnsi="Arial"/>
                <w:color w:val="000000"/>
                <w:sz w:val="18"/>
              </w:rPr>
              <w:t>48.00</w:t>
            </w:r>
          </w:p>
        </w:tc>
        <w:tc>
          <w:tcPr>
            <w:tcW w:w="3244" w:type="dxa"/>
            <w:tcBorders>
              <w:top w:val="none" w:sz="0" w:space="0" w:color="020000"/>
              <w:left w:val="none" w:sz="0" w:space="0" w:color="020000"/>
              <w:bottom w:val="none" w:sz="0" w:space="0" w:color="020000"/>
              <w:right w:val="none" w:sz="0" w:space="0" w:color="020000"/>
            </w:tcBorders>
            <w:vAlign w:val="center"/>
          </w:tcPr>
          <w:p w14:paraId="236CC701" w14:textId="77777777" w:rsidR="00D8670B" w:rsidRDefault="009B37A9">
            <w:pPr>
              <w:spacing w:before="260" w:after="104" w:line="205" w:lineRule="exact"/>
              <w:ind w:right="1488"/>
              <w:jc w:val="right"/>
              <w:textAlignment w:val="baseline"/>
              <w:rPr>
                <w:rFonts w:ascii="Arial" w:eastAsia="Arial" w:hAnsi="Arial"/>
                <w:color w:val="000000"/>
                <w:sz w:val="18"/>
              </w:rPr>
            </w:pPr>
            <w:r>
              <w:rPr>
                <w:rFonts w:ascii="Arial" w:eastAsia="Arial" w:hAnsi="Arial"/>
                <w:color w:val="000000"/>
                <w:sz w:val="18"/>
              </w:rPr>
              <w:t>45</w:t>
            </w:r>
          </w:p>
        </w:tc>
      </w:tr>
      <w:tr w:rsidR="00D8670B" w14:paraId="12E1DFC3" w14:textId="77777777">
        <w:tblPrEx>
          <w:tblCellMar>
            <w:top w:w="0" w:type="dxa"/>
            <w:bottom w:w="0" w:type="dxa"/>
          </w:tblCellMar>
        </w:tblPrEx>
        <w:trPr>
          <w:trHeight w:hRule="exact" w:val="446"/>
        </w:trPr>
        <w:tc>
          <w:tcPr>
            <w:tcW w:w="4075" w:type="dxa"/>
            <w:tcBorders>
              <w:top w:val="none" w:sz="0" w:space="0" w:color="020000"/>
              <w:left w:val="none" w:sz="0" w:space="0" w:color="020000"/>
              <w:bottom w:val="none" w:sz="0" w:space="0" w:color="020000"/>
              <w:right w:val="none" w:sz="0" w:space="0" w:color="020000"/>
            </w:tcBorders>
            <w:vAlign w:val="center"/>
          </w:tcPr>
          <w:p w14:paraId="70021688" w14:textId="77777777" w:rsidR="00D8670B" w:rsidRDefault="009B37A9">
            <w:pPr>
              <w:spacing w:before="132" w:after="100" w:line="205" w:lineRule="exact"/>
              <w:ind w:left="1753"/>
              <w:textAlignment w:val="baseline"/>
              <w:rPr>
                <w:rFonts w:ascii="Arial" w:eastAsia="Arial" w:hAnsi="Arial"/>
                <w:color w:val="000000"/>
                <w:sz w:val="18"/>
              </w:rPr>
            </w:pPr>
            <w:r>
              <w:rPr>
                <w:rFonts w:ascii="Arial" w:eastAsia="Arial" w:hAnsi="Arial"/>
                <w:color w:val="000000"/>
                <w:sz w:val="18"/>
              </w:rPr>
              <w:t>Unsupplemented</w:t>
            </w:r>
          </w:p>
        </w:tc>
        <w:tc>
          <w:tcPr>
            <w:tcW w:w="2948" w:type="dxa"/>
            <w:tcBorders>
              <w:top w:val="none" w:sz="0" w:space="0" w:color="020000"/>
              <w:left w:val="none" w:sz="0" w:space="0" w:color="020000"/>
              <w:bottom w:val="none" w:sz="0" w:space="0" w:color="020000"/>
              <w:right w:val="none" w:sz="0" w:space="0" w:color="020000"/>
            </w:tcBorders>
            <w:vAlign w:val="center"/>
          </w:tcPr>
          <w:p w14:paraId="1B275E90" w14:textId="77777777" w:rsidR="00D8670B" w:rsidRDefault="009B37A9">
            <w:pPr>
              <w:tabs>
                <w:tab w:val="decimal" w:pos="1512"/>
              </w:tabs>
              <w:spacing w:before="132" w:after="100" w:line="205" w:lineRule="exact"/>
              <w:textAlignment w:val="baseline"/>
              <w:rPr>
                <w:rFonts w:ascii="Arial" w:eastAsia="Arial" w:hAnsi="Arial"/>
                <w:color w:val="000000"/>
                <w:sz w:val="18"/>
              </w:rPr>
            </w:pPr>
            <w:r>
              <w:rPr>
                <w:rFonts w:ascii="Arial" w:eastAsia="Arial" w:hAnsi="Arial"/>
                <w:color w:val="000000"/>
                <w:sz w:val="18"/>
              </w:rPr>
              <w:t>9006.50</w:t>
            </w:r>
          </w:p>
        </w:tc>
        <w:tc>
          <w:tcPr>
            <w:tcW w:w="3244" w:type="dxa"/>
            <w:tcBorders>
              <w:top w:val="none" w:sz="0" w:space="0" w:color="020000"/>
              <w:left w:val="none" w:sz="0" w:space="0" w:color="020000"/>
              <w:bottom w:val="none" w:sz="0" w:space="0" w:color="020000"/>
              <w:right w:val="none" w:sz="0" w:space="0" w:color="020000"/>
            </w:tcBorders>
            <w:vAlign w:val="center"/>
          </w:tcPr>
          <w:p w14:paraId="5063773B" w14:textId="77777777" w:rsidR="00D8670B" w:rsidRDefault="009B37A9">
            <w:pPr>
              <w:spacing w:before="132" w:after="100" w:line="205" w:lineRule="exact"/>
              <w:ind w:right="1488"/>
              <w:jc w:val="right"/>
              <w:textAlignment w:val="baseline"/>
              <w:rPr>
                <w:rFonts w:ascii="Arial" w:eastAsia="Arial" w:hAnsi="Arial"/>
                <w:color w:val="000000"/>
                <w:sz w:val="18"/>
              </w:rPr>
            </w:pPr>
            <w:r>
              <w:rPr>
                <w:rFonts w:ascii="Arial" w:eastAsia="Arial" w:hAnsi="Arial"/>
                <w:color w:val="000000"/>
                <w:sz w:val="18"/>
              </w:rPr>
              <w:t>5717</w:t>
            </w:r>
          </w:p>
        </w:tc>
      </w:tr>
      <w:tr w:rsidR="00D8670B" w14:paraId="59AF9EF7" w14:textId="77777777">
        <w:tblPrEx>
          <w:tblCellMar>
            <w:top w:w="0" w:type="dxa"/>
            <w:bottom w:w="0" w:type="dxa"/>
          </w:tblCellMar>
        </w:tblPrEx>
        <w:trPr>
          <w:trHeight w:hRule="exact" w:val="447"/>
        </w:trPr>
        <w:tc>
          <w:tcPr>
            <w:tcW w:w="4075" w:type="dxa"/>
            <w:tcBorders>
              <w:top w:val="none" w:sz="0" w:space="0" w:color="020000"/>
              <w:left w:val="none" w:sz="0" w:space="0" w:color="020000"/>
              <w:bottom w:val="none" w:sz="0" w:space="0" w:color="020000"/>
              <w:right w:val="none" w:sz="0" w:space="0" w:color="020000"/>
            </w:tcBorders>
            <w:vAlign w:val="center"/>
          </w:tcPr>
          <w:p w14:paraId="7E5200B2" w14:textId="77777777" w:rsidR="00D8670B" w:rsidRDefault="009B37A9">
            <w:pPr>
              <w:spacing w:before="132" w:after="100" w:line="205" w:lineRule="exact"/>
              <w:ind w:left="1753"/>
              <w:textAlignment w:val="baseline"/>
              <w:rPr>
                <w:rFonts w:ascii="Arial" w:eastAsia="Arial" w:hAnsi="Arial"/>
                <w:color w:val="000000"/>
                <w:sz w:val="18"/>
              </w:rPr>
            </w:pPr>
            <w:r>
              <w:rPr>
                <w:rFonts w:ascii="Arial" w:eastAsia="Arial" w:hAnsi="Arial"/>
                <w:color w:val="000000"/>
                <w:sz w:val="18"/>
              </w:rPr>
              <w:t>Overland flow</w:t>
            </w:r>
          </w:p>
        </w:tc>
        <w:tc>
          <w:tcPr>
            <w:tcW w:w="2948" w:type="dxa"/>
            <w:tcBorders>
              <w:top w:val="none" w:sz="0" w:space="0" w:color="020000"/>
              <w:left w:val="none" w:sz="0" w:space="0" w:color="020000"/>
              <w:bottom w:val="none" w:sz="0" w:space="0" w:color="020000"/>
              <w:right w:val="none" w:sz="0" w:space="0" w:color="020000"/>
            </w:tcBorders>
            <w:vAlign w:val="center"/>
          </w:tcPr>
          <w:p w14:paraId="2AF1AA18" w14:textId="77777777" w:rsidR="00D8670B" w:rsidRDefault="009B37A9">
            <w:pPr>
              <w:tabs>
                <w:tab w:val="decimal" w:pos="1512"/>
              </w:tabs>
              <w:spacing w:before="132" w:after="100" w:line="205" w:lineRule="exact"/>
              <w:textAlignment w:val="baseline"/>
              <w:rPr>
                <w:rFonts w:ascii="Arial" w:eastAsia="Arial" w:hAnsi="Arial"/>
                <w:color w:val="000000"/>
                <w:sz w:val="18"/>
              </w:rPr>
            </w:pPr>
            <w:r>
              <w:rPr>
                <w:rFonts w:ascii="Arial" w:eastAsia="Arial" w:hAnsi="Arial"/>
                <w:color w:val="000000"/>
                <w:sz w:val="18"/>
              </w:rPr>
              <w:t>1910.00</w:t>
            </w:r>
          </w:p>
        </w:tc>
        <w:tc>
          <w:tcPr>
            <w:tcW w:w="3244" w:type="dxa"/>
            <w:tcBorders>
              <w:top w:val="none" w:sz="0" w:space="0" w:color="020000"/>
              <w:left w:val="none" w:sz="0" w:space="0" w:color="020000"/>
              <w:bottom w:val="none" w:sz="0" w:space="0" w:color="020000"/>
              <w:right w:val="none" w:sz="0" w:space="0" w:color="020000"/>
            </w:tcBorders>
            <w:vAlign w:val="center"/>
          </w:tcPr>
          <w:p w14:paraId="14173742" w14:textId="77777777" w:rsidR="00D8670B" w:rsidRDefault="009B37A9">
            <w:pPr>
              <w:spacing w:before="132" w:after="100" w:line="205" w:lineRule="exact"/>
              <w:ind w:right="1488"/>
              <w:jc w:val="right"/>
              <w:textAlignment w:val="baseline"/>
              <w:rPr>
                <w:rFonts w:ascii="Arial" w:eastAsia="Arial" w:hAnsi="Arial"/>
                <w:color w:val="000000"/>
                <w:sz w:val="18"/>
              </w:rPr>
            </w:pPr>
            <w:r>
              <w:rPr>
                <w:rFonts w:ascii="Arial" w:eastAsia="Arial" w:hAnsi="Arial"/>
                <w:color w:val="000000"/>
                <w:sz w:val="18"/>
              </w:rPr>
              <w:t>1184</w:t>
            </w:r>
          </w:p>
        </w:tc>
      </w:tr>
      <w:tr w:rsidR="00D8670B" w14:paraId="38040A06" w14:textId="77777777">
        <w:tblPrEx>
          <w:tblCellMar>
            <w:top w:w="0" w:type="dxa"/>
            <w:bottom w:w="0" w:type="dxa"/>
          </w:tblCellMar>
        </w:tblPrEx>
        <w:trPr>
          <w:trHeight w:hRule="exact" w:val="451"/>
        </w:trPr>
        <w:tc>
          <w:tcPr>
            <w:tcW w:w="4075" w:type="dxa"/>
            <w:tcBorders>
              <w:top w:val="none" w:sz="0" w:space="0" w:color="020000"/>
              <w:left w:val="none" w:sz="0" w:space="0" w:color="020000"/>
              <w:bottom w:val="none" w:sz="0" w:space="0" w:color="020000"/>
              <w:right w:val="none" w:sz="0" w:space="0" w:color="020000"/>
            </w:tcBorders>
            <w:shd w:val="clear" w:color="EAF4FB" w:fill="EAF4FB"/>
            <w:vAlign w:val="center"/>
          </w:tcPr>
          <w:p w14:paraId="41724837" w14:textId="77777777" w:rsidR="00D8670B" w:rsidRDefault="009B37A9">
            <w:pPr>
              <w:spacing w:before="127" w:after="104" w:line="205" w:lineRule="exact"/>
              <w:ind w:left="1483"/>
              <w:textAlignment w:val="baseline"/>
              <w:rPr>
                <w:rFonts w:ascii="Arial" w:eastAsia="Arial" w:hAnsi="Arial"/>
                <w:b/>
                <w:color w:val="000000"/>
                <w:sz w:val="18"/>
              </w:rPr>
            </w:pPr>
            <w:r>
              <w:rPr>
                <w:rFonts w:ascii="Arial" w:eastAsia="Arial" w:hAnsi="Arial"/>
                <w:b/>
                <w:color w:val="000000"/>
                <w:sz w:val="18"/>
              </w:rPr>
              <w:t>Moonie</w:t>
            </w:r>
          </w:p>
        </w:tc>
        <w:tc>
          <w:tcPr>
            <w:tcW w:w="2948" w:type="dxa"/>
            <w:tcBorders>
              <w:top w:val="none" w:sz="0" w:space="0" w:color="020000"/>
              <w:left w:val="none" w:sz="0" w:space="0" w:color="020000"/>
              <w:bottom w:val="none" w:sz="0" w:space="0" w:color="020000"/>
              <w:right w:val="none" w:sz="0" w:space="0" w:color="020000"/>
            </w:tcBorders>
            <w:shd w:val="clear" w:color="EAF4FB" w:fill="EAF4FB"/>
            <w:vAlign w:val="center"/>
          </w:tcPr>
          <w:p w14:paraId="584941B1" w14:textId="77777777" w:rsidR="00D8670B" w:rsidRDefault="009B37A9">
            <w:pPr>
              <w:tabs>
                <w:tab w:val="decimal" w:pos="1512"/>
              </w:tabs>
              <w:spacing w:before="127" w:after="104" w:line="205" w:lineRule="exact"/>
              <w:textAlignment w:val="baseline"/>
              <w:rPr>
                <w:rFonts w:ascii="Arial" w:eastAsia="Arial" w:hAnsi="Arial"/>
                <w:b/>
                <w:color w:val="000000"/>
                <w:sz w:val="18"/>
              </w:rPr>
            </w:pPr>
            <w:r>
              <w:rPr>
                <w:rFonts w:ascii="Arial" w:eastAsia="Arial" w:hAnsi="Arial"/>
                <w:b/>
                <w:color w:val="000000"/>
                <w:sz w:val="18"/>
              </w:rPr>
              <w:t>2312.00</w:t>
            </w:r>
          </w:p>
        </w:tc>
        <w:tc>
          <w:tcPr>
            <w:tcW w:w="3244" w:type="dxa"/>
            <w:tcBorders>
              <w:top w:val="none" w:sz="0" w:space="0" w:color="020000"/>
              <w:left w:val="none" w:sz="0" w:space="0" w:color="020000"/>
              <w:bottom w:val="none" w:sz="0" w:space="0" w:color="020000"/>
              <w:right w:val="none" w:sz="0" w:space="0" w:color="020000"/>
            </w:tcBorders>
            <w:shd w:val="clear" w:color="EAF4FB" w:fill="EAF4FB"/>
            <w:vAlign w:val="center"/>
          </w:tcPr>
          <w:p w14:paraId="0D6A09BB" w14:textId="77777777" w:rsidR="00D8670B" w:rsidRDefault="009B37A9">
            <w:pPr>
              <w:spacing w:before="127" w:after="104" w:line="205" w:lineRule="exact"/>
              <w:ind w:right="1488"/>
              <w:jc w:val="right"/>
              <w:textAlignment w:val="baseline"/>
              <w:rPr>
                <w:rFonts w:ascii="Arial" w:eastAsia="Arial" w:hAnsi="Arial"/>
                <w:b/>
                <w:color w:val="000000"/>
                <w:sz w:val="18"/>
              </w:rPr>
            </w:pPr>
            <w:r>
              <w:rPr>
                <w:rFonts w:ascii="Arial" w:eastAsia="Arial" w:hAnsi="Arial"/>
                <w:b/>
                <w:color w:val="000000"/>
                <w:sz w:val="18"/>
              </w:rPr>
              <w:t>1509</w:t>
            </w:r>
          </w:p>
        </w:tc>
      </w:tr>
      <w:tr w:rsidR="00D8670B" w14:paraId="53F5A79D" w14:textId="77777777">
        <w:tblPrEx>
          <w:tblCellMar>
            <w:top w:w="0" w:type="dxa"/>
            <w:bottom w:w="0" w:type="dxa"/>
          </w:tblCellMar>
        </w:tblPrEx>
        <w:trPr>
          <w:trHeight w:hRule="exact" w:val="446"/>
        </w:trPr>
        <w:tc>
          <w:tcPr>
            <w:tcW w:w="4075" w:type="dxa"/>
            <w:tcBorders>
              <w:top w:val="none" w:sz="0" w:space="0" w:color="020000"/>
              <w:left w:val="none" w:sz="0" w:space="0" w:color="020000"/>
              <w:bottom w:val="none" w:sz="0" w:space="0" w:color="020000"/>
              <w:right w:val="none" w:sz="0" w:space="0" w:color="020000"/>
            </w:tcBorders>
            <w:vAlign w:val="center"/>
          </w:tcPr>
          <w:p w14:paraId="0E015FC6" w14:textId="77777777" w:rsidR="00D8670B" w:rsidRDefault="009B37A9">
            <w:pPr>
              <w:spacing w:before="127" w:after="100" w:line="205" w:lineRule="exact"/>
              <w:ind w:left="1753"/>
              <w:textAlignment w:val="baseline"/>
              <w:rPr>
                <w:rFonts w:ascii="Arial" w:eastAsia="Arial" w:hAnsi="Arial"/>
                <w:color w:val="000000"/>
                <w:sz w:val="18"/>
              </w:rPr>
            </w:pPr>
            <w:r>
              <w:rPr>
                <w:rFonts w:ascii="Arial" w:eastAsia="Arial" w:hAnsi="Arial"/>
                <w:color w:val="000000"/>
                <w:sz w:val="18"/>
              </w:rPr>
              <w:t>Unsupplemented</w:t>
            </w:r>
          </w:p>
        </w:tc>
        <w:tc>
          <w:tcPr>
            <w:tcW w:w="2948" w:type="dxa"/>
            <w:tcBorders>
              <w:top w:val="none" w:sz="0" w:space="0" w:color="020000"/>
              <w:left w:val="none" w:sz="0" w:space="0" w:color="020000"/>
              <w:bottom w:val="none" w:sz="0" w:space="0" w:color="020000"/>
              <w:right w:val="none" w:sz="0" w:space="0" w:color="020000"/>
            </w:tcBorders>
            <w:vAlign w:val="center"/>
          </w:tcPr>
          <w:p w14:paraId="65C3EF5E" w14:textId="77777777" w:rsidR="00D8670B" w:rsidRDefault="009B37A9">
            <w:pPr>
              <w:tabs>
                <w:tab w:val="decimal" w:pos="1512"/>
              </w:tabs>
              <w:spacing w:before="127" w:after="100" w:line="205" w:lineRule="exact"/>
              <w:textAlignment w:val="baseline"/>
              <w:rPr>
                <w:rFonts w:ascii="Arial" w:eastAsia="Arial" w:hAnsi="Arial"/>
                <w:color w:val="000000"/>
                <w:sz w:val="18"/>
              </w:rPr>
            </w:pPr>
            <w:r>
              <w:rPr>
                <w:rFonts w:ascii="Arial" w:eastAsia="Arial" w:hAnsi="Arial"/>
                <w:color w:val="000000"/>
                <w:sz w:val="18"/>
              </w:rPr>
              <w:t>2312.00</w:t>
            </w:r>
          </w:p>
        </w:tc>
        <w:tc>
          <w:tcPr>
            <w:tcW w:w="3244" w:type="dxa"/>
            <w:tcBorders>
              <w:top w:val="none" w:sz="0" w:space="0" w:color="020000"/>
              <w:left w:val="none" w:sz="0" w:space="0" w:color="020000"/>
              <w:bottom w:val="none" w:sz="0" w:space="0" w:color="020000"/>
              <w:right w:val="none" w:sz="0" w:space="0" w:color="020000"/>
            </w:tcBorders>
            <w:vAlign w:val="center"/>
          </w:tcPr>
          <w:p w14:paraId="28C2CB15" w14:textId="77777777" w:rsidR="00D8670B" w:rsidRDefault="009B37A9">
            <w:pPr>
              <w:spacing w:before="127" w:after="100" w:line="205" w:lineRule="exact"/>
              <w:ind w:right="1488"/>
              <w:jc w:val="right"/>
              <w:textAlignment w:val="baseline"/>
              <w:rPr>
                <w:rFonts w:ascii="Arial" w:eastAsia="Arial" w:hAnsi="Arial"/>
                <w:color w:val="000000"/>
                <w:sz w:val="18"/>
              </w:rPr>
            </w:pPr>
            <w:r>
              <w:rPr>
                <w:rFonts w:ascii="Arial" w:eastAsia="Arial" w:hAnsi="Arial"/>
                <w:color w:val="000000"/>
                <w:sz w:val="18"/>
              </w:rPr>
              <w:t>1509</w:t>
            </w:r>
          </w:p>
        </w:tc>
      </w:tr>
      <w:tr w:rsidR="00D8670B" w14:paraId="70F67F1F" w14:textId="77777777">
        <w:tblPrEx>
          <w:tblCellMar>
            <w:top w:w="0" w:type="dxa"/>
            <w:bottom w:w="0" w:type="dxa"/>
          </w:tblCellMar>
        </w:tblPrEx>
        <w:trPr>
          <w:trHeight w:hRule="exact" w:val="451"/>
        </w:trPr>
        <w:tc>
          <w:tcPr>
            <w:tcW w:w="4075" w:type="dxa"/>
            <w:tcBorders>
              <w:top w:val="none" w:sz="0" w:space="0" w:color="020000"/>
              <w:left w:val="none" w:sz="0" w:space="0" w:color="020000"/>
              <w:bottom w:val="none" w:sz="0" w:space="0" w:color="020000"/>
              <w:right w:val="none" w:sz="0" w:space="0" w:color="020000"/>
            </w:tcBorders>
            <w:shd w:val="clear" w:color="EAF4FB" w:fill="EAF4FB"/>
            <w:vAlign w:val="center"/>
          </w:tcPr>
          <w:p w14:paraId="122C1AB7" w14:textId="77777777" w:rsidR="00D8670B" w:rsidRDefault="009B37A9">
            <w:pPr>
              <w:spacing w:before="123" w:after="119" w:line="205" w:lineRule="exact"/>
              <w:ind w:left="1483"/>
              <w:textAlignment w:val="baseline"/>
              <w:rPr>
                <w:rFonts w:ascii="Arial" w:eastAsia="Arial" w:hAnsi="Arial"/>
                <w:b/>
                <w:color w:val="000000"/>
                <w:sz w:val="18"/>
              </w:rPr>
            </w:pPr>
            <w:r>
              <w:rPr>
                <w:rFonts w:ascii="Arial" w:eastAsia="Arial" w:hAnsi="Arial"/>
                <w:b/>
                <w:color w:val="000000"/>
                <w:sz w:val="18"/>
              </w:rPr>
              <w:t>Warrego</w:t>
            </w:r>
          </w:p>
        </w:tc>
        <w:tc>
          <w:tcPr>
            <w:tcW w:w="2948" w:type="dxa"/>
            <w:tcBorders>
              <w:top w:val="none" w:sz="0" w:space="0" w:color="020000"/>
              <w:left w:val="none" w:sz="0" w:space="0" w:color="020000"/>
              <w:bottom w:val="none" w:sz="0" w:space="0" w:color="020000"/>
              <w:right w:val="none" w:sz="0" w:space="0" w:color="020000"/>
            </w:tcBorders>
            <w:shd w:val="clear" w:color="EAF4FB" w:fill="EAF4FB"/>
            <w:vAlign w:val="center"/>
          </w:tcPr>
          <w:p w14:paraId="41098871" w14:textId="77777777" w:rsidR="00D8670B" w:rsidRDefault="009B37A9">
            <w:pPr>
              <w:tabs>
                <w:tab w:val="decimal" w:pos="1512"/>
              </w:tabs>
              <w:spacing w:before="123" w:after="119" w:line="205" w:lineRule="exact"/>
              <w:textAlignment w:val="baseline"/>
              <w:rPr>
                <w:rFonts w:ascii="Arial" w:eastAsia="Arial" w:hAnsi="Arial"/>
                <w:b/>
                <w:color w:val="000000"/>
                <w:sz w:val="18"/>
              </w:rPr>
            </w:pPr>
            <w:r>
              <w:rPr>
                <w:rFonts w:ascii="Arial" w:eastAsia="Arial" w:hAnsi="Arial"/>
                <w:b/>
                <w:color w:val="000000"/>
                <w:sz w:val="18"/>
              </w:rPr>
              <w:t>350.00</w:t>
            </w:r>
          </w:p>
        </w:tc>
        <w:tc>
          <w:tcPr>
            <w:tcW w:w="3244" w:type="dxa"/>
            <w:tcBorders>
              <w:top w:val="none" w:sz="0" w:space="0" w:color="020000"/>
              <w:left w:val="none" w:sz="0" w:space="0" w:color="020000"/>
              <w:bottom w:val="none" w:sz="0" w:space="0" w:color="020000"/>
              <w:right w:val="none" w:sz="0" w:space="0" w:color="020000"/>
            </w:tcBorders>
            <w:shd w:val="clear" w:color="EAF4FB" w:fill="EAF4FB"/>
            <w:vAlign w:val="center"/>
          </w:tcPr>
          <w:p w14:paraId="25C4261A" w14:textId="77777777" w:rsidR="00D8670B" w:rsidRDefault="009B37A9">
            <w:pPr>
              <w:spacing w:before="123" w:after="119" w:line="205" w:lineRule="exact"/>
              <w:ind w:right="1488"/>
              <w:jc w:val="right"/>
              <w:textAlignment w:val="baseline"/>
              <w:rPr>
                <w:rFonts w:ascii="Arial" w:eastAsia="Arial" w:hAnsi="Arial"/>
                <w:b/>
                <w:color w:val="000000"/>
                <w:sz w:val="18"/>
              </w:rPr>
            </w:pPr>
            <w:r>
              <w:rPr>
                <w:rFonts w:ascii="Arial" w:eastAsia="Arial" w:hAnsi="Arial"/>
                <w:b/>
                <w:color w:val="000000"/>
                <w:sz w:val="18"/>
              </w:rPr>
              <w:t>350</w:t>
            </w:r>
          </w:p>
        </w:tc>
      </w:tr>
      <w:tr w:rsidR="00D8670B" w14:paraId="3B9D6F72" w14:textId="77777777">
        <w:tblPrEx>
          <w:tblCellMar>
            <w:top w:w="0" w:type="dxa"/>
            <w:bottom w:w="0" w:type="dxa"/>
          </w:tblCellMar>
        </w:tblPrEx>
        <w:trPr>
          <w:trHeight w:hRule="exact" w:val="442"/>
        </w:trPr>
        <w:tc>
          <w:tcPr>
            <w:tcW w:w="4075" w:type="dxa"/>
            <w:tcBorders>
              <w:top w:val="none" w:sz="0" w:space="0" w:color="020000"/>
              <w:left w:val="none" w:sz="0" w:space="0" w:color="020000"/>
              <w:bottom w:val="none" w:sz="0" w:space="0" w:color="020000"/>
              <w:right w:val="none" w:sz="0" w:space="0" w:color="020000"/>
            </w:tcBorders>
            <w:vAlign w:val="center"/>
          </w:tcPr>
          <w:p w14:paraId="3B77B3A2" w14:textId="77777777" w:rsidR="00D8670B" w:rsidRDefault="009B37A9">
            <w:pPr>
              <w:spacing w:before="123" w:after="100" w:line="205" w:lineRule="exact"/>
              <w:ind w:left="1753"/>
              <w:textAlignment w:val="baseline"/>
              <w:rPr>
                <w:rFonts w:ascii="Arial" w:eastAsia="Arial" w:hAnsi="Arial"/>
                <w:color w:val="000000"/>
                <w:sz w:val="18"/>
              </w:rPr>
            </w:pPr>
            <w:r>
              <w:rPr>
                <w:rFonts w:ascii="Arial" w:eastAsia="Arial" w:hAnsi="Arial"/>
                <w:color w:val="000000"/>
                <w:sz w:val="18"/>
              </w:rPr>
              <w:t>Unsupplemented</w:t>
            </w:r>
          </w:p>
        </w:tc>
        <w:tc>
          <w:tcPr>
            <w:tcW w:w="2948" w:type="dxa"/>
            <w:tcBorders>
              <w:top w:val="none" w:sz="0" w:space="0" w:color="020000"/>
              <w:left w:val="none" w:sz="0" w:space="0" w:color="020000"/>
              <w:bottom w:val="none" w:sz="0" w:space="0" w:color="020000"/>
              <w:right w:val="none" w:sz="0" w:space="0" w:color="020000"/>
            </w:tcBorders>
            <w:vAlign w:val="center"/>
          </w:tcPr>
          <w:p w14:paraId="7A3332ED" w14:textId="77777777" w:rsidR="00D8670B" w:rsidRDefault="009B37A9">
            <w:pPr>
              <w:tabs>
                <w:tab w:val="decimal" w:pos="1512"/>
              </w:tabs>
              <w:spacing w:before="123" w:after="100" w:line="205" w:lineRule="exact"/>
              <w:textAlignment w:val="baseline"/>
              <w:rPr>
                <w:rFonts w:ascii="Arial" w:eastAsia="Arial" w:hAnsi="Arial"/>
                <w:color w:val="000000"/>
                <w:sz w:val="18"/>
              </w:rPr>
            </w:pPr>
            <w:r>
              <w:rPr>
                <w:rFonts w:ascii="Arial" w:eastAsia="Arial" w:hAnsi="Arial"/>
                <w:color w:val="000000"/>
                <w:sz w:val="18"/>
              </w:rPr>
              <w:t>350.00</w:t>
            </w:r>
          </w:p>
        </w:tc>
        <w:tc>
          <w:tcPr>
            <w:tcW w:w="3244" w:type="dxa"/>
            <w:tcBorders>
              <w:top w:val="none" w:sz="0" w:space="0" w:color="020000"/>
              <w:left w:val="none" w:sz="0" w:space="0" w:color="020000"/>
              <w:bottom w:val="none" w:sz="0" w:space="0" w:color="020000"/>
              <w:right w:val="none" w:sz="0" w:space="0" w:color="020000"/>
            </w:tcBorders>
            <w:vAlign w:val="center"/>
          </w:tcPr>
          <w:p w14:paraId="1935AF94" w14:textId="77777777" w:rsidR="00D8670B" w:rsidRDefault="009B37A9">
            <w:pPr>
              <w:spacing w:before="123" w:after="100" w:line="205" w:lineRule="exact"/>
              <w:ind w:right="1488"/>
              <w:jc w:val="right"/>
              <w:textAlignment w:val="baseline"/>
              <w:rPr>
                <w:rFonts w:ascii="Arial" w:eastAsia="Arial" w:hAnsi="Arial"/>
                <w:color w:val="000000"/>
                <w:sz w:val="18"/>
              </w:rPr>
            </w:pPr>
            <w:r>
              <w:rPr>
                <w:rFonts w:ascii="Arial" w:eastAsia="Arial" w:hAnsi="Arial"/>
                <w:color w:val="000000"/>
                <w:sz w:val="18"/>
              </w:rPr>
              <w:t>350</w:t>
            </w:r>
          </w:p>
        </w:tc>
      </w:tr>
      <w:tr w:rsidR="00D8670B" w14:paraId="742F4FB2" w14:textId="77777777">
        <w:tblPrEx>
          <w:tblCellMar>
            <w:top w:w="0" w:type="dxa"/>
            <w:bottom w:w="0" w:type="dxa"/>
          </w:tblCellMar>
        </w:tblPrEx>
        <w:trPr>
          <w:trHeight w:hRule="exact" w:val="360"/>
        </w:trPr>
        <w:tc>
          <w:tcPr>
            <w:tcW w:w="4075" w:type="dxa"/>
            <w:tcBorders>
              <w:top w:val="none" w:sz="0" w:space="0" w:color="020000"/>
              <w:left w:val="none" w:sz="0" w:space="0" w:color="020000"/>
              <w:bottom w:val="none" w:sz="0" w:space="0" w:color="020000"/>
              <w:right w:val="none" w:sz="0" w:space="0" w:color="020000"/>
            </w:tcBorders>
            <w:shd w:val="clear" w:color="CAE2F7" w:fill="CAE2F7"/>
            <w:vAlign w:val="center"/>
          </w:tcPr>
          <w:p w14:paraId="21C94879" w14:textId="77777777" w:rsidR="00D8670B" w:rsidRDefault="009B37A9">
            <w:pPr>
              <w:spacing w:before="123" w:after="18" w:line="205" w:lineRule="exact"/>
              <w:ind w:left="1483"/>
              <w:textAlignment w:val="baseline"/>
              <w:rPr>
                <w:rFonts w:ascii="Arial" w:eastAsia="Arial" w:hAnsi="Arial"/>
                <w:b/>
                <w:color w:val="1C75BA"/>
                <w:sz w:val="18"/>
              </w:rPr>
            </w:pPr>
            <w:r>
              <w:rPr>
                <w:rFonts w:ascii="Arial" w:eastAsia="Arial" w:hAnsi="Arial"/>
                <w:b/>
                <w:color w:val="1C75BA"/>
                <w:sz w:val="18"/>
              </w:rPr>
              <w:t>Total</w:t>
            </w:r>
          </w:p>
        </w:tc>
        <w:tc>
          <w:tcPr>
            <w:tcW w:w="2948" w:type="dxa"/>
            <w:tcBorders>
              <w:top w:val="none" w:sz="0" w:space="0" w:color="020000"/>
              <w:left w:val="none" w:sz="0" w:space="0" w:color="020000"/>
              <w:bottom w:val="none" w:sz="0" w:space="0" w:color="020000"/>
              <w:right w:val="none" w:sz="0" w:space="0" w:color="020000"/>
            </w:tcBorders>
            <w:shd w:val="clear" w:color="CAE2F7" w:fill="CAE2F7"/>
            <w:vAlign w:val="center"/>
          </w:tcPr>
          <w:p w14:paraId="41EE1E8D" w14:textId="77777777" w:rsidR="00D8670B" w:rsidRDefault="009B37A9">
            <w:pPr>
              <w:tabs>
                <w:tab w:val="decimal" w:pos="1512"/>
              </w:tabs>
              <w:spacing w:before="123" w:after="18" w:line="205" w:lineRule="exact"/>
              <w:textAlignment w:val="baseline"/>
              <w:rPr>
                <w:rFonts w:ascii="Arial" w:eastAsia="Arial" w:hAnsi="Arial"/>
                <w:b/>
                <w:color w:val="1C75BA"/>
                <w:sz w:val="18"/>
              </w:rPr>
            </w:pPr>
            <w:r>
              <w:rPr>
                <w:rFonts w:ascii="Arial" w:eastAsia="Arial" w:hAnsi="Arial"/>
                <w:b/>
                <w:color w:val="1C75BA"/>
                <w:sz w:val="18"/>
              </w:rPr>
              <w:t>28,825.92</w:t>
            </w:r>
          </w:p>
        </w:tc>
        <w:tc>
          <w:tcPr>
            <w:tcW w:w="3244" w:type="dxa"/>
            <w:tcBorders>
              <w:top w:val="none" w:sz="0" w:space="0" w:color="020000"/>
              <w:left w:val="none" w:sz="0" w:space="0" w:color="020000"/>
              <w:bottom w:val="none" w:sz="0" w:space="0" w:color="020000"/>
              <w:right w:val="none" w:sz="0" w:space="0" w:color="020000"/>
            </w:tcBorders>
            <w:shd w:val="clear" w:color="CAE2F7" w:fill="CAE2F7"/>
            <w:vAlign w:val="center"/>
          </w:tcPr>
          <w:p w14:paraId="6716E3D5" w14:textId="77777777" w:rsidR="00D8670B" w:rsidRDefault="009B37A9">
            <w:pPr>
              <w:spacing w:before="123" w:after="18" w:line="205" w:lineRule="exact"/>
              <w:ind w:right="1488"/>
              <w:jc w:val="right"/>
              <w:textAlignment w:val="baseline"/>
              <w:rPr>
                <w:rFonts w:ascii="Arial" w:eastAsia="Arial" w:hAnsi="Arial"/>
                <w:b/>
                <w:color w:val="1C75BA"/>
                <w:sz w:val="18"/>
              </w:rPr>
            </w:pPr>
            <w:r>
              <w:rPr>
                <w:rFonts w:ascii="Arial" w:eastAsia="Arial" w:hAnsi="Arial"/>
                <w:b/>
                <w:color w:val="1C75BA"/>
                <w:sz w:val="18"/>
              </w:rPr>
              <w:t>18,685</w:t>
            </w:r>
          </w:p>
        </w:tc>
      </w:tr>
    </w:tbl>
    <w:p w14:paraId="56116064" w14:textId="77777777" w:rsidR="00D8670B" w:rsidRDefault="00D8670B">
      <w:pPr>
        <w:spacing w:after="193" w:line="20" w:lineRule="exact"/>
      </w:pPr>
    </w:p>
    <w:p w14:paraId="73ABB890" w14:textId="77777777" w:rsidR="00D8670B" w:rsidRDefault="009B37A9">
      <w:pPr>
        <w:spacing w:line="230" w:lineRule="exact"/>
        <w:ind w:right="72"/>
        <w:textAlignment w:val="baseline"/>
        <w:rPr>
          <w:rFonts w:ascii="Arial" w:eastAsia="Arial" w:hAnsi="Arial"/>
          <w:color w:val="000000"/>
          <w:sz w:val="20"/>
        </w:rPr>
      </w:pPr>
      <w:r>
        <w:rPr>
          <w:rFonts w:ascii="Arial" w:eastAsia="Arial" w:hAnsi="Arial"/>
          <w:color w:val="000000"/>
          <w:sz w:val="20"/>
        </w:rPr>
        <w:t>Projects offered a minimum 50 and maximum 100 per cent of the total water savings to the Australian Government. On average, projects transferred 69.2 per cent of the water savings to the Australian Government.</w:t>
      </w:r>
    </w:p>
    <w:p w14:paraId="1DD45D28" w14:textId="77777777" w:rsidR="00D8670B" w:rsidRDefault="009B37A9">
      <w:pPr>
        <w:spacing w:before="122" w:line="230" w:lineRule="exact"/>
        <w:ind w:right="432"/>
        <w:textAlignment w:val="baseline"/>
        <w:rPr>
          <w:rFonts w:ascii="Arial" w:eastAsia="Arial" w:hAnsi="Arial"/>
          <w:color w:val="000000"/>
          <w:sz w:val="20"/>
        </w:rPr>
      </w:pPr>
      <w:r>
        <w:rPr>
          <w:rFonts w:ascii="Arial" w:eastAsia="Arial" w:hAnsi="Arial"/>
          <w:color w:val="000000"/>
          <w:sz w:val="20"/>
        </w:rPr>
        <w:t>The average transfer size was 296 ML. The larg</w:t>
      </w:r>
      <w:r>
        <w:rPr>
          <w:rFonts w:ascii="Arial" w:eastAsia="Arial" w:hAnsi="Arial"/>
          <w:color w:val="000000"/>
          <w:sz w:val="20"/>
        </w:rPr>
        <w:t>est transfers (e.g. more than 500 ML) occurred in the Lower Balonne and Border Rivers catchments, while a number of smaller transfers (less than 200 ML) occurred in the Condamine region.</w:t>
      </w:r>
    </w:p>
    <w:p w14:paraId="77069049" w14:textId="77777777" w:rsidR="00D8670B" w:rsidRDefault="009B37A9">
      <w:pPr>
        <w:spacing w:before="121" w:after="440" w:line="229" w:lineRule="exact"/>
        <w:textAlignment w:val="baseline"/>
        <w:rPr>
          <w:rFonts w:ascii="Arial" w:eastAsia="Arial" w:hAnsi="Arial"/>
          <w:color w:val="000000"/>
          <w:sz w:val="20"/>
        </w:rPr>
      </w:pPr>
      <w:r>
        <w:rPr>
          <w:rFonts w:ascii="Arial" w:eastAsia="Arial" w:hAnsi="Arial"/>
          <w:color w:val="000000"/>
          <w:sz w:val="20"/>
        </w:rPr>
        <w:t>The charts below shows the rounded megalitres transferred by catchment and zone.</w:t>
      </w:r>
    </w:p>
    <w:p w14:paraId="51DA28AB" w14:textId="77777777" w:rsidR="00D8670B" w:rsidRDefault="009B37A9">
      <w:pPr>
        <w:spacing w:after="179"/>
        <w:ind w:left="24" w:right="34"/>
        <w:textAlignment w:val="baseline"/>
      </w:pPr>
      <w:r>
        <w:rPr>
          <w:noProof/>
        </w:rPr>
        <w:drawing>
          <wp:inline distT="0" distB="0" distL="0" distR="0" wp14:anchorId="045C0409" wp14:editId="2FE43FE5">
            <wp:extent cx="6482715" cy="446532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45"/>
                    <a:stretch>
                      <a:fillRect/>
                    </a:stretch>
                  </pic:blipFill>
                  <pic:spPr>
                    <a:xfrm>
                      <a:off x="0" y="0"/>
                      <a:ext cx="6482715" cy="4465320"/>
                    </a:xfrm>
                    <a:prstGeom prst="rect">
                      <a:avLst/>
                    </a:prstGeom>
                  </pic:spPr>
                </pic:pic>
              </a:graphicData>
            </a:graphic>
          </wp:inline>
        </w:drawing>
      </w:r>
    </w:p>
    <w:p w14:paraId="3957148B" w14:textId="77777777" w:rsidR="00D8670B" w:rsidRDefault="009B37A9">
      <w:pPr>
        <w:spacing w:before="1" w:line="231" w:lineRule="exact"/>
        <w:textAlignment w:val="baseline"/>
        <w:rPr>
          <w:rFonts w:ascii="Arial" w:eastAsia="Arial" w:hAnsi="Arial"/>
          <w:b/>
          <w:color w:val="000000"/>
          <w:sz w:val="20"/>
        </w:rPr>
      </w:pPr>
      <w:r>
        <w:rPr>
          <w:rFonts w:ascii="Arial" w:eastAsia="Arial" w:hAnsi="Arial"/>
          <w:b/>
          <w:color w:val="000000"/>
          <w:sz w:val="20"/>
        </w:rPr>
        <w:t>Figure 15: Water transferred by catchment and zone</w:t>
      </w:r>
    </w:p>
    <w:p w14:paraId="5CBBEBF7" w14:textId="77777777" w:rsidR="00D8670B" w:rsidRDefault="009B37A9">
      <w:pPr>
        <w:spacing w:before="119" w:line="230" w:lineRule="exact"/>
        <w:ind w:right="216"/>
        <w:textAlignment w:val="baseline"/>
        <w:rPr>
          <w:rFonts w:ascii="Arial" w:eastAsia="Arial" w:hAnsi="Arial"/>
          <w:color w:val="000000"/>
          <w:sz w:val="20"/>
        </w:rPr>
      </w:pPr>
      <w:r>
        <w:rPr>
          <w:rFonts w:ascii="Arial" w:eastAsia="Arial" w:hAnsi="Arial"/>
          <w:color w:val="000000"/>
          <w:sz w:val="20"/>
        </w:rPr>
        <w:t>Over Phases 1 and 2, the HHWUE program achieved an estimated 40.9 GL water savings and contributed 25 GL water to the envi</w:t>
      </w:r>
      <w:r>
        <w:rPr>
          <w:rFonts w:ascii="Arial" w:eastAsia="Arial" w:hAnsi="Arial"/>
          <w:color w:val="000000"/>
          <w:sz w:val="20"/>
        </w:rPr>
        <w:t>ronment, which is equal to 19.1 GL long term average annual yield (LTAAY).</w:t>
      </w:r>
    </w:p>
    <w:p w14:paraId="305849E8" w14:textId="77777777" w:rsidR="00D8670B" w:rsidRDefault="009B37A9">
      <w:pPr>
        <w:spacing w:before="121" w:after="248" w:line="230" w:lineRule="exact"/>
        <w:ind w:right="144"/>
        <w:textAlignment w:val="baseline"/>
        <w:rPr>
          <w:rFonts w:ascii="Arial" w:eastAsia="Arial" w:hAnsi="Arial"/>
          <w:color w:val="000000"/>
          <w:spacing w:val="-1"/>
          <w:sz w:val="20"/>
        </w:rPr>
      </w:pPr>
      <w:r>
        <w:rPr>
          <w:rFonts w:ascii="Arial" w:eastAsia="Arial" w:hAnsi="Arial"/>
          <w:color w:val="000000"/>
          <w:spacing w:val="-1"/>
          <w:sz w:val="20"/>
        </w:rPr>
        <w:t xml:space="preserve">The Australian Government reports water recovered in LTAAY rather than nominal volume to enable comparability between different catchments and water conditions. The following table </w:t>
      </w:r>
      <w:r>
        <w:rPr>
          <w:rFonts w:ascii="Arial" w:eastAsia="Arial" w:hAnsi="Arial"/>
          <w:color w:val="000000"/>
          <w:spacing w:val="-1"/>
          <w:sz w:val="20"/>
        </w:rPr>
        <w:t>shows how this contribution fits within</w:t>
      </w:r>
    </w:p>
    <w:p w14:paraId="461827B1" w14:textId="77777777" w:rsidR="00D8670B" w:rsidRDefault="009B37A9">
      <w:pPr>
        <w:spacing w:before="165" w:line="227" w:lineRule="exact"/>
        <w:jc w:val="center"/>
        <w:textAlignment w:val="baseline"/>
        <w:rPr>
          <w:rFonts w:ascii="Arial" w:eastAsia="Arial" w:hAnsi="Arial"/>
          <w:color w:val="000000"/>
          <w:spacing w:val="40"/>
          <w:sz w:val="20"/>
        </w:rPr>
      </w:pPr>
      <w:r>
        <w:pict w14:anchorId="5B533BA9">
          <v:line id="_x0000_s1069" style="position:absolute;left:0;text-align:left;z-index:251716608;mso-position-horizontal-relative:page;mso-position-vertical-relative:page" from="41.05pt,789.1pt" to="554.45pt,789.1pt" strokeweight="1.7pt">
            <w10:wrap anchorx="page" anchory="page"/>
          </v:line>
        </w:pict>
      </w:r>
      <w:r>
        <w:rPr>
          <w:rFonts w:ascii="Arial" w:eastAsia="Arial" w:hAnsi="Arial"/>
          <w:color w:val="000000"/>
          <w:spacing w:val="40"/>
          <w:sz w:val="20"/>
        </w:rPr>
        <w:t>38</w:t>
      </w:r>
    </w:p>
    <w:p w14:paraId="27B7860C" w14:textId="77777777" w:rsidR="00D8670B" w:rsidRDefault="00D8670B">
      <w:pPr>
        <w:sectPr w:rsidR="00D8670B">
          <w:pgSz w:w="11909" w:h="16838"/>
          <w:pgMar w:top="1000" w:right="821" w:bottom="282" w:left="821" w:header="720" w:footer="720" w:gutter="0"/>
          <w:cols w:space="720"/>
        </w:sectPr>
      </w:pPr>
    </w:p>
    <w:p w14:paraId="469E3E8B" w14:textId="77777777" w:rsidR="00D8670B" w:rsidRDefault="009B37A9">
      <w:pPr>
        <w:spacing w:before="15" w:after="118" w:line="230" w:lineRule="exact"/>
        <w:ind w:right="360"/>
        <w:textAlignment w:val="baseline"/>
        <w:rPr>
          <w:rFonts w:ascii="Arial" w:eastAsia="Arial" w:hAnsi="Arial"/>
          <w:color w:val="000000"/>
          <w:sz w:val="20"/>
        </w:rPr>
      </w:pPr>
      <w:r>
        <w:rPr>
          <w:rFonts w:ascii="Arial" w:eastAsia="Arial" w:hAnsi="Arial"/>
          <w:color w:val="000000"/>
          <w:sz w:val="20"/>
        </w:rPr>
        <w:lastRenderedPageBreak/>
        <w:t>overall reduction targets and surface water recovery under the Basin Plan. These figures are reported in LTAAY and were current at 31 March 2019</w:t>
      </w:r>
      <w:r>
        <w:rPr>
          <w:rFonts w:ascii="Arial" w:eastAsia="Arial" w:hAnsi="Arial"/>
          <w:color w:val="000000"/>
          <w:sz w:val="20"/>
          <w:vertAlign w:val="superscript"/>
        </w:rPr>
        <w:t>11</w:t>
      </w:r>
      <w:r>
        <w:rPr>
          <w:rFonts w:ascii="Arial" w:eastAsia="Arial" w:hAnsi="Arial"/>
          <w:color w:val="000000"/>
          <w:sz w:val="20"/>
        </w:rPr>
        <w:t>.</w:t>
      </w:r>
    </w:p>
    <w:tbl>
      <w:tblPr>
        <w:tblW w:w="0" w:type="auto"/>
        <w:tblLayout w:type="fixed"/>
        <w:tblCellMar>
          <w:left w:w="0" w:type="dxa"/>
          <w:right w:w="0" w:type="dxa"/>
        </w:tblCellMar>
        <w:tblLook w:val="0000" w:firstRow="0" w:lastRow="0" w:firstColumn="0" w:lastColumn="0" w:noHBand="0" w:noVBand="0"/>
      </w:tblPr>
      <w:tblGrid>
        <w:gridCol w:w="1488"/>
        <w:gridCol w:w="1296"/>
        <w:gridCol w:w="1095"/>
        <w:gridCol w:w="1214"/>
        <w:gridCol w:w="1349"/>
        <w:gridCol w:w="1037"/>
        <w:gridCol w:w="1483"/>
        <w:gridCol w:w="1305"/>
      </w:tblGrid>
      <w:tr w:rsidR="00D8670B" w14:paraId="3BF0040D" w14:textId="77777777">
        <w:tblPrEx>
          <w:tblCellMar>
            <w:top w:w="0" w:type="dxa"/>
            <w:bottom w:w="0" w:type="dxa"/>
          </w:tblCellMar>
        </w:tblPrEx>
        <w:trPr>
          <w:trHeight w:hRule="exact" w:val="1066"/>
        </w:trPr>
        <w:tc>
          <w:tcPr>
            <w:tcW w:w="1488" w:type="dxa"/>
            <w:tcBorders>
              <w:top w:val="none" w:sz="0" w:space="0" w:color="020000"/>
              <w:left w:val="none" w:sz="0" w:space="0" w:color="020000"/>
              <w:bottom w:val="none" w:sz="0" w:space="0" w:color="020000"/>
              <w:right w:val="none" w:sz="0" w:space="0" w:color="020000"/>
            </w:tcBorders>
            <w:shd w:val="clear" w:color="CAE2F7" w:fill="CAE2F7"/>
            <w:vAlign w:val="center"/>
          </w:tcPr>
          <w:p w14:paraId="3FD23F93" w14:textId="77777777" w:rsidR="00D8670B" w:rsidRDefault="009B37A9">
            <w:pPr>
              <w:spacing w:before="434" w:after="427" w:line="204" w:lineRule="exact"/>
              <w:ind w:left="139"/>
              <w:textAlignment w:val="baseline"/>
              <w:rPr>
                <w:rFonts w:ascii="Arial" w:eastAsia="Arial" w:hAnsi="Arial"/>
                <w:b/>
                <w:color w:val="1C75BB"/>
                <w:sz w:val="18"/>
              </w:rPr>
            </w:pPr>
            <w:r>
              <w:rPr>
                <w:rFonts w:ascii="Arial" w:eastAsia="Arial" w:hAnsi="Arial"/>
                <w:b/>
                <w:color w:val="1C75BB"/>
                <w:sz w:val="18"/>
              </w:rPr>
              <w:t>Catchment</w:t>
            </w:r>
          </w:p>
        </w:tc>
        <w:tc>
          <w:tcPr>
            <w:tcW w:w="1296" w:type="dxa"/>
            <w:tcBorders>
              <w:top w:val="none" w:sz="0" w:space="0" w:color="020000"/>
              <w:left w:val="none" w:sz="0" w:space="0" w:color="020000"/>
              <w:bottom w:val="none" w:sz="0" w:space="0" w:color="020000"/>
              <w:right w:val="none" w:sz="0" w:space="0" w:color="020000"/>
            </w:tcBorders>
            <w:shd w:val="clear" w:color="CAE2F7" w:fill="CAE2F7"/>
          </w:tcPr>
          <w:p w14:paraId="7FDDC583" w14:textId="77777777" w:rsidR="00D8670B" w:rsidRDefault="009B37A9">
            <w:pPr>
              <w:spacing w:before="118" w:after="115" w:line="208" w:lineRule="exact"/>
              <w:ind w:left="144"/>
              <w:jc w:val="right"/>
              <w:textAlignment w:val="baseline"/>
              <w:rPr>
                <w:rFonts w:ascii="Arial" w:eastAsia="Arial" w:hAnsi="Arial"/>
                <w:b/>
                <w:color w:val="1C75BB"/>
                <w:sz w:val="18"/>
              </w:rPr>
            </w:pPr>
            <w:r>
              <w:rPr>
                <w:rFonts w:ascii="Arial" w:eastAsia="Arial" w:hAnsi="Arial"/>
                <w:b/>
                <w:color w:val="1C75BB"/>
                <w:sz w:val="18"/>
              </w:rPr>
              <w:t>Total reduction target (GL, LTAAY)</w:t>
            </w:r>
          </w:p>
        </w:tc>
        <w:tc>
          <w:tcPr>
            <w:tcW w:w="3658" w:type="dxa"/>
            <w:gridSpan w:val="3"/>
            <w:tcBorders>
              <w:top w:val="none" w:sz="0" w:space="0" w:color="020000"/>
              <w:left w:val="none" w:sz="0" w:space="0" w:color="020000"/>
              <w:bottom w:val="none" w:sz="0" w:space="0" w:color="020000"/>
              <w:right w:val="none" w:sz="0" w:space="0" w:color="020000"/>
            </w:tcBorders>
            <w:shd w:val="clear" w:color="CAE2F7" w:fill="CAE2F7"/>
            <w:vAlign w:val="center"/>
          </w:tcPr>
          <w:p w14:paraId="79EF2DFE" w14:textId="77777777" w:rsidR="00D8670B" w:rsidRDefault="009B37A9">
            <w:pPr>
              <w:spacing w:before="434" w:after="427" w:line="204" w:lineRule="exact"/>
              <w:ind w:right="106"/>
              <w:jc w:val="right"/>
              <w:textAlignment w:val="baseline"/>
              <w:rPr>
                <w:rFonts w:ascii="Arial" w:eastAsia="Arial" w:hAnsi="Arial"/>
                <w:b/>
                <w:color w:val="1C75BB"/>
                <w:sz w:val="18"/>
              </w:rPr>
            </w:pPr>
            <w:r>
              <w:rPr>
                <w:rFonts w:ascii="Arial" w:eastAsia="Arial" w:hAnsi="Arial"/>
                <w:b/>
                <w:color w:val="1C75BB"/>
                <w:sz w:val="18"/>
              </w:rPr>
              <w:t>Water recovery (GL, LTAAY)</w:t>
            </w:r>
          </w:p>
        </w:tc>
        <w:tc>
          <w:tcPr>
            <w:tcW w:w="1037" w:type="dxa"/>
            <w:tcBorders>
              <w:top w:val="none" w:sz="0" w:space="0" w:color="020000"/>
              <w:left w:val="none" w:sz="0" w:space="0" w:color="020000"/>
              <w:bottom w:val="none" w:sz="0" w:space="0" w:color="020000"/>
              <w:right w:val="none" w:sz="0" w:space="0" w:color="020000"/>
            </w:tcBorders>
            <w:shd w:val="clear" w:color="CAE2F7" w:fill="CAE2F7"/>
          </w:tcPr>
          <w:p w14:paraId="67C46FC5"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2788" w:type="dxa"/>
            <w:gridSpan w:val="2"/>
            <w:tcBorders>
              <w:top w:val="none" w:sz="0" w:space="0" w:color="020000"/>
              <w:left w:val="none" w:sz="0" w:space="0" w:color="020000"/>
              <w:bottom w:val="none" w:sz="0" w:space="0" w:color="020000"/>
              <w:right w:val="none" w:sz="0" w:space="0" w:color="020000"/>
            </w:tcBorders>
            <w:shd w:val="clear" w:color="CAE2F7" w:fill="CAE2F7"/>
          </w:tcPr>
          <w:p w14:paraId="7600B433" w14:textId="77777777" w:rsidR="00D8670B" w:rsidRDefault="009B37A9">
            <w:pPr>
              <w:spacing w:before="122" w:line="154" w:lineRule="exact"/>
              <w:ind w:right="108"/>
              <w:jc w:val="right"/>
              <w:textAlignment w:val="baseline"/>
              <w:rPr>
                <w:rFonts w:ascii="Arial" w:eastAsia="Arial" w:hAnsi="Arial"/>
                <w:b/>
                <w:color w:val="1C75BB"/>
                <w:sz w:val="18"/>
              </w:rPr>
            </w:pPr>
            <w:r>
              <w:rPr>
                <w:rFonts w:ascii="Arial" w:eastAsia="Arial" w:hAnsi="Arial"/>
                <w:b/>
                <w:color w:val="1C75BB"/>
                <w:sz w:val="18"/>
              </w:rPr>
              <w:t>HHWUE</w:t>
            </w:r>
          </w:p>
          <w:p w14:paraId="140E0E5A" w14:textId="77777777" w:rsidR="00D8670B" w:rsidRDefault="009B37A9">
            <w:pPr>
              <w:spacing w:line="103" w:lineRule="exact"/>
              <w:ind w:right="1371"/>
              <w:jc w:val="right"/>
              <w:textAlignment w:val="baseline"/>
              <w:rPr>
                <w:rFonts w:ascii="Arial" w:eastAsia="Arial" w:hAnsi="Arial"/>
                <w:b/>
                <w:color w:val="1C75BB"/>
                <w:sz w:val="18"/>
              </w:rPr>
            </w:pPr>
            <w:r>
              <w:rPr>
                <w:rFonts w:ascii="Arial" w:eastAsia="Arial" w:hAnsi="Arial"/>
                <w:b/>
                <w:color w:val="1C75BB"/>
                <w:sz w:val="18"/>
              </w:rPr>
              <w:t>Percentage of</w:t>
            </w:r>
          </w:p>
          <w:p w14:paraId="7A49560D" w14:textId="77777777" w:rsidR="00D8670B" w:rsidRDefault="009B37A9">
            <w:pPr>
              <w:spacing w:line="104" w:lineRule="exact"/>
              <w:ind w:right="108"/>
              <w:jc w:val="right"/>
              <w:textAlignment w:val="baseline"/>
              <w:rPr>
                <w:rFonts w:ascii="Arial" w:eastAsia="Arial" w:hAnsi="Arial"/>
                <w:b/>
                <w:color w:val="1C75BB"/>
                <w:sz w:val="18"/>
              </w:rPr>
            </w:pPr>
            <w:r>
              <w:rPr>
                <w:rFonts w:ascii="Arial" w:eastAsia="Arial" w:hAnsi="Arial"/>
                <w:b/>
                <w:color w:val="1C75BB"/>
                <w:sz w:val="18"/>
              </w:rPr>
              <w:t>contribution</w:t>
            </w:r>
          </w:p>
          <w:p w14:paraId="6A773C3D" w14:textId="77777777" w:rsidR="00D8670B" w:rsidRDefault="009B37A9">
            <w:pPr>
              <w:spacing w:line="105" w:lineRule="exact"/>
              <w:ind w:right="1371"/>
              <w:jc w:val="right"/>
              <w:textAlignment w:val="baseline"/>
              <w:rPr>
                <w:rFonts w:ascii="Arial" w:eastAsia="Arial" w:hAnsi="Arial"/>
                <w:b/>
                <w:color w:val="1C75BB"/>
                <w:sz w:val="18"/>
              </w:rPr>
            </w:pPr>
            <w:r>
              <w:rPr>
                <w:rFonts w:ascii="Arial" w:eastAsia="Arial" w:hAnsi="Arial"/>
                <w:b/>
                <w:color w:val="1C75BB"/>
                <w:sz w:val="18"/>
              </w:rPr>
              <w:t>total reduction</w:t>
            </w:r>
          </w:p>
          <w:p w14:paraId="7B4ED263" w14:textId="77777777" w:rsidR="00D8670B" w:rsidRDefault="009B37A9">
            <w:pPr>
              <w:spacing w:line="103" w:lineRule="exact"/>
              <w:ind w:right="108"/>
              <w:jc w:val="right"/>
              <w:textAlignment w:val="baseline"/>
              <w:rPr>
                <w:rFonts w:ascii="Arial" w:eastAsia="Arial" w:hAnsi="Arial"/>
                <w:b/>
                <w:color w:val="1C75BB"/>
                <w:sz w:val="18"/>
              </w:rPr>
            </w:pPr>
            <w:r>
              <w:rPr>
                <w:rFonts w:ascii="Arial" w:eastAsia="Arial" w:hAnsi="Arial"/>
                <w:b/>
                <w:color w:val="1C75BB"/>
                <w:sz w:val="18"/>
              </w:rPr>
              <w:t>to total</w:t>
            </w:r>
          </w:p>
          <w:p w14:paraId="19EA2531" w14:textId="77777777" w:rsidR="00D8670B" w:rsidRDefault="009B37A9">
            <w:pPr>
              <w:spacing w:line="104" w:lineRule="exact"/>
              <w:ind w:right="1371"/>
              <w:jc w:val="right"/>
              <w:textAlignment w:val="baseline"/>
              <w:rPr>
                <w:rFonts w:ascii="Arial" w:eastAsia="Arial" w:hAnsi="Arial"/>
                <w:b/>
                <w:color w:val="1C75BB"/>
                <w:sz w:val="18"/>
              </w:rPr>
            </w:pPr>
            <w:r>
              <w:rPr>
                <w:rFonts w:ascii="Arial" w:eastAsia="Arial" w:hAnsi="Arial"/>
                <w:b/>
                <w:color w:val="1C75BB"/>
                <w:sz w:val="18"/>
              </w:rPr>
              <w:t>achieved</w:t>
            </w:r>
          </w:p>
          <w:p w14:paraId="46A17AC7" w14:textId="77777777" w:rsidR="00D8670B" w:rsidRDefault="009B37A9">
            <w:pPr>
              <w:spacing w:after="115" w:line="155" w:lineRule="exact"/>
              <w:ind w:right="108"/>
              <w:jc w:val="right"/>
              <w:textAlignment w:val="baseline"/>
              <w:rPr>
                <w:rFonts w:ascii="Arial" w:eastAsia="Arial" w:hAnsi="Arial"/>
                <w:b/>
                <w:color w:val="1C75BB"/>
                <w:sz w:val="18"/>
              </w:rPr>
            </w:pPr>
            <w:r>
              <w:rPr>
                <w:rFonts w:ascii="Arial" w:eastAsia="Arial" w:hAnsi="Arial"/>
                <w:b/>
                <w:color w:val="1C75BB"/>
                <w:sz w:val="18"/>
              </w:rPr>
              <w:t>reduction</w:t>
            </w:r>
          </w:p>
        </w:tc>
      </w:tr>
      <w:tr w:rsidR="00D8670B" w14:paraId="5E40C233" w14:textId="77777777">
        <w:tblPrEx>
          <w:tblCellMar>
            <w:top w:w="0" w:type="dxa"/>
            <w:bottom w:w="0" w:type="dxa"/>
          </w:tblCellMar>
        </w:tblPrEx>
        <w:trPr>
          <w:trHeight w:hRule="exact" w:val="446"/>
        </w:trPr>
        <w:tc>
          <w:tcPr>
            <w:tcW w:w="1488" w:type="dxa"/>
            <w:tcBorders>
              <w:top w:val="none" w:sz="0" w:space="0" w:color="020000"/>
              <w:left w:val="none" w:sz="0" w:space="0" w:color="020000"/>
              <w:bottom w:val="none" w:sz="0" w:space="0" w:color="020000"/>
              <w:right w:val="none" w:sz="0" w:space="0" w:color="020000"/>
            </w:tcBorders>
            <w:shd w:val="clear" w:color="EAF4FB" w:fill="EAF4FB"/>
          </w:tcPr>
          <w:p w14:paraId="01D845D0"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296" w:type="dxa"/>
            <w:tcBorders>
              <w:top w:val="none" w:sz="0" w:space="0" w:color="020000"/>
              <w:left w:val="none" w:sz="0" w:space="0" w:color="020000"/>
              <w:bottom w:val="none" w:sz="0" w:space="0" w:color="020000"/>
              <w:right w:val="none" w:sz="0" w:space="0" w:color="020000"/>
            </w:tcBorders>
            <w:shd w:val="clear" w:color="EAF4FB" w:fill="EAF4FB"/>
          </w:tcPr>
          <w:p w14:paraId="60FADCEE"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3658" w:type="dxa"/>
            <w:gridSpan w:val="3"/>
            <w:tcBorders>
              <w:top w:val="none" w:sz="0" w:space="0" w:color="020000"/>
              <w:left w:val="none" w:sz="0" w:space="0" w:color="020000"/>
              <w:bottom w:val="none" w:sz="0" w:space="0" w:color="020000"/>
              <w:right w:val="none" w:sz="0" w:space="0" w:color="020000"/>
            </w:tcBorders>
            <w:shd w:val="clear" w:color="EAF4FB" w:fill="EAF4FB"/>
            <w:vAlign w:val="center"/>
          </w:tcPr>
          <w:p w14:paraId="12FA824A" w14:textId="77777777" w:rsidR="00D8670B" w:rsidRDefault="009B37A9">
            <w:pPr>
              <w:tabs>
                <w:tab w:val="left" w:pos="1512"/>
                <w:tab w:val="left" w:pos="2664"/>
              </w:tabs>
              <w:spacing w:before="126" w:after="115" w:line="204" w:lineRule="exact"/>
              <w:ind w:right="466"/>
              <w:jc w:val="right"/>
              <w:textAlignment w:val="baseline"/>
              <w:rPr>
                <w:rFonts w:ascii="Arial" w:eastAsia="Arial" w:hAnsi="Arial"/>
                <w:b/>
                <w:color w:val="1C75BB"/>
                <w:sz w:val="18"/>
              </w:rPr>
            </w:pPr>
            <w:r>
              <w:rPr>
                <w:rFonts w:ascii="Arial" w:eastAsia="Arial" w:hAnsi="Arial"/>
                <w:b/>
                <w:color w:val="1C75BB"/>
                <w:sz w:val="18"/>
              </w:rPr>
              <w:t>BuyBack</w:t>
            </w:r>
            <w:r>
              <w:rPr>
                <w:rFonts w:ascii="Arial" w:eastAsia="Arial" w:hAnsi="Arial"/>
                <w:b/>
                <w:color w:val="1C75BB"/>
                <w:sz w:val="18"/>
              </w:rPr>
              <w:tab/>
              <w:t>HHWUE</w:t>
            </w:r>
            <w:r>
              <w:rPr>
                <w:rFonts w:ascii="Arial" w:eastAsia="Arial" w:hAnsi="Arial"/>
                <w:b/>
                <w:color w:val="1C75BB"/>
                <w:sz w:val="18"/>
              </w:rPr>
              <w:tab/>
              <w:t>Gifted</w:t>
            </w:r>
          </w:p>
        </w:tc>
        <w:tc>
          <w:tcPr>
            <w:tcW w:w="1037" w:type="dxa"/>
            <w:tcBorders>
              <w:top w:val="none" w:sz="0" w:space="0" w:color="020000"/>
              <w:left w:val="none" w:sz="0" w:space="0" w:color="020000"/>
              <w:bottom w:val="none" w:sz="0" w:space="0" w:color="020000"/>
              <w:right w:val="none" w:sz="0" w:space="0" w:color="020000"/>
            </w:tcBorders>
            <w:shd w:val="clear" w:color="EAF4FB" w:fill="EAF4FB"/>
            <w:vAlign w:val="center"/>
          </w:tcPr>
          <w:p w14:paraId="2F65039C" w14:textId="77777777" w:rsidR="00D8670B" w:rsidRDefault="009B37A9">
            <w:pPr>
              <w:spacing w:before="126" w:after="115" w:line="204" w:lineRule="exact"/>
              <w:ind w:right="126"/>
              <w:jc w:val="right"/>
              <w:textAlignment w:val="baseline"/>
              <w:rPr>
                <w:rFonts w:ascii="Arial" w:eastAsia="Arial" w:hAnsi="Arial"/>
                <w:b/>
                <w:color w:val="1C75BB"/>
                <w:sz w:val="18"/>
              </w:rPr>
            </w:pPr>
            <w:r>
              <w:rPr>
                <w:rFonts w:ascii="Arial" w:eastAsia="Arial" w:hAnsi="Arial"/>
                <w:b/>
                <w:color w:val="1C75BB"/>
                <w:sz w:val="18"/>
              </w:rPr>
              <w:t>Total</w:t>
            </w:r>
          </w:p>
        </w:tc>
        <w:tc>
          <w:tcPr>
            <w:tcW w:w="2788" w:type="dxa"/>
            <w:gridSpan w:val="2"/>
            <w:tcBorders>
              <w:top w:val="none" w:sz="0" w:space="0" w:color="020000"/>
              <w:left w:val="none" w:sz="0" w:space="0" w:color="020000"/>
              <w:bottom w:val="none" w:sz="0" w:space="0" w:color="020000"/>
              <w:right w:val="none" w:sz="0" w:space="0" w:color="020000"/>
            </w:tcBorders>
            <w:shd w:val="clear" w:color="EAF4FB" w:fill="EAF4FB"/>
          </w:tcPr>
          <w:p w14:paraId="51485063"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r>
      <w:tr w:rsidR="00D8670B" w14:paraId="12869BA2" w14:textId="77777777">
        <w:tblPrEx>
          <w:tblCellMar>
            <w:top w:w="0" w:type="dxa"/>
            <w:bottom w:w="0" w:type="dxa"/>
          </w:tblCellMar>
        </w:tblPrEx>
        <w:trPr>
          <w:trHeight w:hRule="exact" w:val="446"/>
        </w:trPr>
        <w:tc>
          <w:tcPr>
            <w:tcW w:w="1488" w:type="dxa"/>
            <w:tcBorders>
              <w:top w:val="none" w:sz="0" w:space="0" w:color="020000"/>
              <w:left w:val="none" w:sz="0" w:space="0" w:color="020000"/>
              <w:bottom w:val="none" w:sz="0" w:space="0" w:color="020000"/>
              <w:right w:val="none" w:sz="0" w:space="0" w:color="020000"/>
            </w:tcBorders>
            <w:vAlign w:val="center"/>
          </w:tcPr>
          <w:p w14:paraId="75670F5E" w14:textId="77777777" w:rsidR="00D8670B" w:rsidRDefault="009B37A9">
            <w:pPr>
              <w:spacing w:before="127" w:after="115" w:line="204" w:lineRule="exact"/>
              <w:ind w:left="139"/>
              <w:textAlignment w:val="baseline"/>
              <w:rPr>
                <w:rFonts w:ascii="Arial" w:eastAsia="Arial" w:hAnsi="Arial"/>
                <w:b/>
                <w:color w:val="000000"/>
                <w:sz w:val="18"/>
              </w:rPr>
            </w:pPr>
            <w:r>
              <w:rPr>
                <w:rFonts w:ascii="Arial" w:eastAsia="Arial" w:hAnsi="Arial"/>
                <w:b/>
                <w:color w:val="000000"/>
                <w:sz w:val="18"/>
              </w:rPr>
              <w:t>Border Rivers</w:t>
            </w:r>
          </w:p>
        </w:tc>
        <w:tc>
          <w:tcPr>
            <w:tcW w:w="1296" w:type="dxa"/>
            <w:tcBorders>
              <w:top w:val="none" w:sz="0" w:space="0" w:color="020000"/>
              <w:left w:val="none" w:sz="0" w:space="0" w:color="020000"/>
              <w:bottom w:val="none" w:sz="0" w:space="0" w:color="020000"/>
              <w:right w:val="none" w:sz="0" w:space="0" w:color="020000"/>
            </w:tcBorders>
            <w:vAlign w:val="center"/>
          </w:tcPr>
          <w:p w14:paraId="0DC5781F" w14:textId="77777777" w:rsidR="00D8670B" w:rsidRDefault="009B37A9">
            <w:pPr>
              <w:spacing w:before="131" w:after="113" w:line="202" w:lineRule="exact"/>
              <w:ind w:right="226"/>
              <w:jc w:val="right"/>
              <w:textAlignment w:val="baseline"/>
              <w:rPr>
                <w:rFonts w:ascii="Arial" w:eastAsia="Arial" w:hAnsi="Arial"/>
                <w:color w:val="000000"/>
                <w:sz w:val="18"/>
              </w:rPr>
            </w:pPr>
            <w:r>
              <w:rPr>
                <w:rFonts w:ascii="Arial" w:eastAsia="Arial" w:hAnsi="Arial"/>
                <w:color w:val="000000"/>
                <w:sz w:val="18"/>
              </w:rPr>
              <w:t>14</w:t>
            </w:r>
          </w:p>
        </w:tc>
        <w:tc>
          <w:tcPr>
            <w:tcW w:w="1095" w:type="dxa"/>
            <w:tcBorders>
              <w:top w:val="none" w:sz="0" w:space="0" w:color="020000"/>
              <w:left w:val="none" w:sz="0" w:space="0" w:color="020000"/>
              <w:bottom w:val="none" w:sz="0" w:space="0" w:color="020000"/>
              <w:right w:val="none" w:sz="0" w:space="0" w:color="020000"/>
            </w:tcBorders>
            <w:vAlign w:val="center"/>
          </w:tcPr>
          <w:p w14:paraId="6B9DF12F" w14:textId="77777777" w:rsidR="00D8670B" w:rsidRDefault="009B37A9">
            <w:pPr>
              <w:tabs>
                <w:tab w:val="decimal" w:pos="576"/>
              </w:tabs>
              <w:spacing w:before="131" w:after="113" w:line="202" w:lineRule="exact"/>
              <w:textAlignment w:val="baseline"/>
              <w:rPr>
                <w:rFonts w:ascii="Arial" w:eastAsia="Arial" w:hAnsi="Arial"/>
                <w:color w:val="000000"/>
                <w:sz w:val="18"/>
              </w:rPr>
            </w:pPr>
            <w:r>
              <w:rPr>
                <w:rFonts w:ascii="Arial" w:eastAsia="Arial" w:hAnsi="Arial"/>
                <w:color w:val="000000"/>
                <w:sz w:val="18"/>
              </w:rPr>
              <w:t>3.9378</w:t>
            </w:r>
          </w:p>
        </w:tc>
        <w:tc>
          <w:tcPr>
            <w:tcW w:w="1214" w:type="dxa"/>
            <w:tcBorders>
              <w:top w:val="none" w:sz="0" w:space="0" w:color="020000"/>
              <w:left w:val="none" w:sz="0" w:space="0" w:color="020000"/>
              <w:bottom w:val="none" w:sz="0" w:space="0" w:color="020000"/>
              <w:right w:val="none" w:sz="0" w:space="0" w:color="020000"/>
            </w:tcBorders>
            <w:shd w:val="clear" w:color="CCEAEB" w:fill="CCEAEB"/>
            <w:vAlign w:val="center"/>
          </w:tcPr>
          <w:p w14:paraId="253A938F" w14:textId="77777777" w:rsidR="00D8670B" w:rsidRDefault="009B37A9">
            <w:pPr>
              <w:spacing w:before="131" w:after="113" w:line="202" w:lineRule="exact"/>
              <w:ind w:right="111"/>
              <w:jc w:val="right"/>
              <w:textAlignment w:val="baseline"/>
              <w:rPr>
                <w:rFonts w:ascii="Arial" w:eastAsia="Arial" w:hAnsi="Arial"/>
                <w:color w:val="000000"/>
                <w:sz w:val="18"/>
              </w:rPr>
            </w:pPr>
            <w:r>
              <w:rPr>
                <w:rFonts w:ascii="Arial" w:eastAsia="Arial" w:hAnsi="Arial"/>
                <w:color w:val="000000"/>
                <w:sz w:val="18"/>
              </w:rPr>
              <w:t>8.9876</w:t>
            </w:r>
          </w:p>
        </w:tc>
        <w:tc>
          <w:tcPr>
            <w:tcW w:w="1349" w:type="dxa"/>
            <w:tcBorders>
              <w:top w:val="none" w:sz="0" w:space="0" w:color="020000"/>
              <w:left w:val="none" w:sz="0" w:space="0" w:color="020000"/>
              <w:bottom w:val="none" w:sz="0" w:space="0" w:color="020000"/>
              <w:right w:val="none" w:sz="0" w:space="0" w:color="020000"/>
            </w:tcBorders>
            <w:vAlign w:val="center"/>
          </w:tcPr>
          <w:p w14:paraId="533B959D" w14:textId="77777777" w:rsidR="00D8670B" w:rsidRDefault="009B37A9">
            <w:pPr>
              <w:spacing w:before="131" w:after="113" w:line="202" w:lineRule="exact"/>
              <w:ind w:right="500"/>
              <w:jc w:val="right"/>
              <w:textAlignment w:val="baseline"/>
              <w:rPr>
                <w:rFonts w:ascii="Arial" w:eastAsia="Arial" w:hAnsi="Arial"/>
                <w:color w:val="000000"/>
                <w:sz w:val="18"/>
              </w:rPr>
            </w:pPr>
            <w:r>
              <w:rPr>
                <w:rFonts w:ascii="Arial" w:eastAsia="Arial" w:hAnsi="Arial"/>
                <w:color w:val="000000"/>
                <w:sz w:val="18"/>
              </w:rPr>
              <w:t>0.443</w:t>
            </w:r>
          </w:p>
        </w:tc>
        <w:tc>
          <w:tcPr>
            <w:tcW w:w="1037" w:type="dxa"/>
            <w:tcBorders>
              <w:top w:val="none" w:sz="0" w:space="0" w:color="020000"/>
              <w:left w:val="none" w:sz="0" w:space="0" w:color="020000"/>
              <w:bottom w:val="none" w:sz="0" w:space="0" w:color="020000"/>
              <w:right w:val="none" w:sz="0" w:space="0" w:color="020000"/>
            </w:tcBorders>
            <w:vAlign w:val="center"/>
          </w:tcPr>
          <w:p w14:paraId="2FE77882" w14:textId="77777777" w:rsidR="00D8670B" w:rsidRDefault="009B37A9">
            <w:pPr>
              <w:spacing w:before="131" w:after="113" w:line="202" w:lineRule="exact"/>
              <w:ind w:right="126"/>
              <w:jc w:val="right"/>
              <w:textAlignment w:val="baseline"/>
              <w:rPr>
                <w:rFonts w:ascii="Arial" w:eastAsia="Arial" w:hAnsi="Arial"/>
                <w:color w:val="000000"/>
                <w:sz w:val="18"/>
              </w:rPr>
            </w:pPr>
            <w:r>
              <w:rPr>
                <w:rFonts w:ascii="Arial" w:eastAsia="Arial" w:hAnsi="Arial"/>
                <w:color w:val="000000"/>
                <w:sz w:val="18"/>
              </w:rPr>
              <w:t>13.3684</w:t>
            </w:r>
          </w:p>
        </w:tc>
        <w:tc>
          <w:tcPr>
            <w:tcW w:w="1483" w:type="dxa"/>
            <w:tcBorders>
              <w:top w:val="none" w:sz="0" w:space="0" w:color="020000"/>
              <w:left w:val="none" w:sz="0" w:space="0" w:color="020000"/>
              <w:bottom w:val="none" w:sz="0" w:space="0" w:color="020000"/>
              <w:right w:val="none" w:sz="0" w:space="0" w:color="020000"/>
            </w:tcBorders>
            <w:vAlign w:val="center"/>
          </w:tcPr>
          <w:p w14:paraId="5E06F036" w14:textId="77777777" w:rsidR="00D8670B" w:rsidRDefault="009B37A9">
            <w:pPr>
              <w:spacing w:before="131" w:after="113" w:line="202" w:lineRule="exact"/>
              <w:ind w:right="111"/>
              <w:jc w:val="right"/>
              <w:textAlignment w:val="baseline"/>
              <w:rPr>
                <w:rFonts w:ascii="Arial" w:eastAsia="Arial" w:hAnsi="Arial"/>
                <w:color w:val="000000"/>
                <w:sz w:val="18"/>
              </w:rPr>
            </w:pPr>
            <w:r>
              <w:rPr>
                <w:rFonts w:ascii="Arial" w:eastAsia="Arial" w:hAnsi="Arial"/>
                <w:color w:val="000000"/>
                <w:sz w:val="18"/>
              </w:rPr>
              <w:t>95%</w:t>
            </w:r>
          </w:p>
        </w:tc>
        <w:tc>
          <w:tcPr>
            <w:tcW w:w="1305" w:type="dxa"/>
            <w:tcBorders>
              <w:top w:val="none" w:sz="0" w:space="0" w:color="020000"/>
              <w:left w:val="none" w:sz="0" w:space="0" w:color="020000"/>
              <w:bottom w:val="none" w:sz="0" w:space="0" w:color="020000"/>
              <w:right w:val="none" w:sz="0" w:space="0" w:color="020000"/>
            </w:tcBorders>
            <w:shd w:val="clear" w:color="CCEAEB" w:fill="CCEAEB"/>
            <w:vAlign w:val="center"/>
          </w:tcPr>
          <w:p w14:paraId="4B3A316A" w14:textId="77777777" w:rsidR="00D8670B" w:rsidRDefault="009B37A9">
            <w:pPr>
              <w:spacing w:before="131" w:after="113" w:line="202" w:lineRule="exact"/>
              <w:ind w:right="144"/>
              <w:jc w:val="right"/>
              <w:textAlignment w:val="baseline"/>
              <w:rPr>
                <w:rFonts w:ascii="Arial" w:eastAsia="Arial" w:hAnsi="Arial"/>
                <w:color w:val="000000"/>
                <w:sz w:val="18"/>
              </w:rPr>
            </w:pPr>
            <w:r>
              <w:rPr>
                <w:rFonts w:ascii="Arial" w:eastAsia="Arial" w:hAnsi="Arial"/>
                <w:color w:val="000000"/>
                <w:sz w:val="18"/>
              </w:rPr>
              <w:t>64%</w:t>
            </w:r>
          </w:p>
        </w:tc>
      </w:tr>
      <w:tr w:rsidR="00D8670B" w14:paraId="036E2123" w14:textId="77777777">
        <w:tblPrEx>
          <w:tblCellMar>
            <w:top w:w="0" w:type="dxa"/>
            <w:bottom w:w="0" w:type="dxa"/>
          </w:tblCellMar>
        </w:tblPrEx>
        <w:trPr>
          <w:trHeight w:hRule="exact" w:val="653"/>
        </w:trPr>
        <w:tc>
          <w:tcPr>
            <w:tcW w:w="1488" w:type="dxa"/>
            <w:tcBorders>
              <w:top w:val="none" w:sz="0" w:space="0" w:color="020000"/>
              <w:left w:val="none" w:sz="0" w:space="0" w:color="020000"/>
              <w:bottom w:val="none" w:sz="0" w:space="0" w:color="020000"/>
              <w:right w:val="none" w:sz="0" w:space="0" w:color="020000"/>
            </w:tcBorders>
          </w:tcPr>
          <w:p w14:paraId="510D4D73" w14:textId="77777777" w:rsidR="00D8670B" w:rsidRDefault="009B37A9">
            <w:pPr>
              <w:spacing w:before="125" w:after="111" w:line="206" w:lineRule="exact"/>
              <w:jc w:val="center"/>
              <w:textAlignment w:val="baseline"/>
              <w:rPr>
                <w:rFonts w:ascii="Arial" w:eastAsia="Arial" w:hAnsi="Arial"/>
                <w:b/>
                <w:color w:val="000000"/>
                <w:sz w:val="18"/>
              </w:rPr>
            </w:pPr>
            <w:r>
              <w:rPr>
                <w:rFonts w:ascii="Arial" w:eastAsia="Arial" w:hAnsi="Arial"/>
                <w:b/>
                <w:color w:val="000000"/>
                <w:sz w:val="18"/>
              </w:rPr>
              <w:t xml:space="preserve">Condamine </w:t>
            </w:r>
            <w:r>
              <w:rPr>
                <w:rFonts w:ascii="Arial" w:eastAsia="Arial" w:hAnsi="Arial"/>
                <w:b/>
                <w:color w:val="000000"/>
                <w:sz w:val="18"/>
              </w:rPr>
              <w:br/>
              <w:t>and Balonne</w:t>
            </w:r>
          </w:p>
        </w:tc>
        <w:tc>
          <w:tcPr>
            <w:tcW w:w="1296" w:type="dxa"/>
            <w:tcBorders>
              <w:top w:val="none" w:sz="0" w:space="0" w:color="020000"/>
              <w:left w:val="none" w:sz="0" w:space="0" w:color="020000"/>
              <w:bottom w:val="none" w:sz="0" w:space="0" w:color="020000"/>
              <w:right w:val="none" w:sz="0" w:space="0" w:color="020000"/>
            </w:tcBorders>
            <w:vAlign w:val="center"/>
          </w:tcPr>
          <w:p w14:paraId="06610614" w14:textId="77777777" w:rsidR="00D8670B" w:rsidRDefault="009B37A9">
            <w:pPr>
              <w:spacing w:before="237" w:after="209" w:line="202" w:lineRule="exact"/>
              <w:ind w:right="226"/>
              <w:jc w:val="right"/>
              <w:textAlignment w:val="baseline"/>
              <w:rPr>
                <w:rFonts w:ascii="Arial" w:eastAsia="Arial" w:hAnsi="Arial"/>
                <w:color w:val="000000"/>
                <w:sz w:val="18"/>
              </w:rPr>
            </w:pPr>
            <w:r>
              <w:rPr>
                <w:rFonts w:ascii="Arial" w:eastAsia="Arial" w:hAnsi="Arial"/>
                <w:color w:val="000000"/>
                <w:sz w:val="18"/>
              </w:rPr>
              <w:t>100</w:t>
            </w:r>
          </w:p>
        </w:tc>
        <w:tc>
          <w:tcPr>
            <w:tcW w:w="1095" w:type="dxa"/>
            <w:tcBorders>
              <w:top w:val="none" w:sz="0" w:space="0" w:color="020000"/>
              <w:left w:val="none" w:sz="0" w:space="0" w:color="020000"/>
              <w:bottom w:val="none" w:sz="0" w:space="0" w:color="020000"/>
              <w:right w:val="none" w:sz="0" w:space="0" w:color="020000"/>
            </w:tcBorders>
            <w:vAlign w:val="center"/>
          </w:tcPr>
          <w:p w14:paraId="5332E3D0" w14:textId="77777777" w:rsidR="00D8670B" w:rsidRDefault="009B37A9">
            <w:pPr>
              <w:tabs>
                <w:tab w:val="decimal" w:pos="576"/>
              </w:tabs>
              <w:spacing w:before="237" w:after="209" w:line="202" w:lineRule="exact"/>
              <w:textAlignment w:val="baseline"/>
              <w:rPr>
                <w:rFonts w:ascii="Arial" w:eastAsia="Arial" w:hAnsi="Arial"/>
                <w:color w:val="000000"/>
                <w:sz w:val="18"/>
              </w:rPr>
            </w:pPr>
            <w:r>
              <w:rPr>
                <w:rFonts w:ascii="Arial" w:eastAsia="Arial" w:hAnsi="Arial"/>
                <w:color w:val="000000"/>
                <w:sz w:val="18"/>
              </w:rPr>
              <w:t>79.1061</w:t>
            </w:r>
          </w:p>
        </w:tc>
        <w:tc>
          <w:tcPr>
            <w:tcW w:w="1214" w:type="dxa"/>
            <w:tcBorders>
              <w:top w:val="none" w:sz="0" w:space="0" w:color="020000"/>
              <w:left w:val="none" w:sz="0" w:space="0" w:color="020000"/>
              <w:bottom w:val="none" w:sz="0" w:space="0" w:color="020000"/>
              <w:right w:val="none" w:sz="0" w:space="0" w:color="020000"/>
            </w:tcBorders>
            <w:shd w:val="clear" w:color="CCEAEB" w:fill="CCEAEB"/>
            <w:vAlign w:val="center"/>
          </w:tcPr>
          <w:p w14:paraId="625A8564" w14:textId="77777777" w:rsidR="00D8670B" w:rsidRDefault="009B37A9">
            <w:pPr>
              <w:spacing w:before="237" w:after="209" w:line="202" w:lineRule="exact"/>
              <w:ind w:right="111"/>
              <w:jc w:val="right"/>
              <w:textAlignment w:val="baseline"/>
              <w:rPr>
                <w:rFonts w:ascii="Arial" w:eastAsia="Arial" w:hAnsi="Arial"/>
                <w:color w:val="000000"/>
                <w:sz w:val="18"/>
              </w:rPr>
            </w:pPr>
            <w:r>
              <w:rPr>
                <w:rFonts w:ascii="Arial" w:eastAsia="Arial" w:hAnsi="Arial"/>
                <w:color w:val="000000"/>
                <w:sz w:val="18"/>
              </w:rPr>
              <w:t>8.2928</w:t>
            </w:r>
          </w:p>
        </w:tc>
        <w:tc>
          <w:tcPr>
            <w:tcW w:w="1349" w:type="dxa"/>
            <w:tcBorders>
              <w:top w:val="none" w:sz="0" w:space="0" w:color="020000"/>
              <w:left w:val="none" w:sz="0" w:space="0" w:color="020000"/>
              <w:bottom w:val="none" w:sz="0" w:space="0" w:color="020000"/>
              <w:right w:val="none" w:sz="0" w:space="0" w:color="020000"/>
            </w:tcBorders>
            <w:vAlign w:val="center"/>
          </w:tcPr>
          <w:p w14:paraId="45BC3D92" w14:textId="77777777" w:rsidR="00D8670B" w:rsidRDefault="009B37A9">
            <w:pPr>
              <w:spacing w:before="237" w:after="209" w:line="202" w:lineRule="exact"/>
              <w:ind w:right="500"/>
              <w:jc w:val="right"/>
              <w:textAlignment w:val="baseline"/>
              <w:rPr>
                <w:rFonts w:ascii="Arial" w:eastAsia="Arial" w:hAnsi="Arial"/>
                <w:color w:val="000000"/>
                <w:sz w:val="18"/>
              </w:rPr>
            </w:pPr>
            <w:r>
              <w:rPr>
                <w:rFonts w:ascii="Arial" w:eastAsia="Arial" w:hAnsi="Arial"/>
                <w:color w:val="000000"/>
                <w:sz w:val="18"/>
              </w:rPr>
              <w:t>0</w:t>
            </w:r>
          </w:p>
        </w:tc>
        <w:tc>
          <w:tcPr>
            <w:tcW w:w="1037" w:type="dxa"/>
            <w:tcBorders>
              <w:top w:val="none" w:sz="0" w:space="0" w:color="020000"/>
              <w:left w:val="none" w:sz="0" w:space="0" w:color="020000"/>
              <w:bottom w:val="none" w:sz="0" w:space="0" w:color="020000"/>
              <w:right w:val="none" w:sz="0" w:space="0" w:color="020000"/>
            </w:tcBorders>
            <w:vAlign w:val="center"/>
          </w:tcPr>
          <w:p w14:paraId="6192E79F" w14:textId="77777777" w:rsidR="00D8670B" w:rsidRDefault="009B37A9">
            <w:pPr>
              <w:spacing w:before="237" w:after="209" w:line="202" w:lineRule="exact"/>
              <w:ind w:right="126"/>
              <w:jc w:val="right"/>
              <w:textAlignment w:val="baseline"/>
              <w:rPr>
                <w:rFonts w:ascii="Arial" w:eastAsia="Arial" w:hAnsi="Arial"/>
                <w:color w:val="000000"/>
                <w:sz w:val="18"/>
              </w:rPr>
            </w:pPr>
            <w:r>
              <w:rPr>
                <w:rFonts w:ascii="Arial" w:eastAsia="Arial" w:hAnsi="Arial"/>
                <w:color w:val="000000"/>
                <w:sz w:val="18"/>
              </w:rPr>
              <w:t>87.3989</w:t>
            </w:r>
          </w:p>
        </w:tc>
        <w:tc>
          <w:tcPr>
            <w:tcW w:w="1483" w:type="dxa"/>
            <w:tcBorders>
              <w:top w:val="none" w:sz="0" w:space="0" w:color="020000"/>
              <w:left w:val="none" w:sz="0" w:space="0" w:color="020000"/>
              <w:bottom w:val="none" w:sz="0" w:space="0" w:color="020000"/>
              <w:right w:val="none" w:sz="0" w:space="0" w:color="020000"/>
            </w:tcBorders>
            <w:vAlign w:val="center"/>
          </w:tcPr>
          <w:p w14:paraId="5BCCB9F1" w14:textId="77777777" w:rsidR="00D8670B" w:rsidRDefault="009B37A9">
            <w:pPr>
              <w:spacing w:before="237" w:after="209" w:line="202" w:lineRule="exact"/>
              <w:ind w:right="111"/>
              <w:jc w:val="right"/>
              <w:textAlignment w:val="baseline"/>
              <w:rPr>
                <w:rFonts w:ascii="Arial" w:eastAsia="Arial" w:hAnsi="Arial"/>
                <w:color w:val="000000"/>
                <w:sz w:val="18"/>
              </w:rPr>
            </w:pPr>
            <w:r>
              <w:rPr>
                <w:rFonts w:ascii="Arial" w:eastAsia="Arial" w:hAnsi="Arial"/>
                <w:color w:val="000000"/>
                <w:sz w:val="18"/>
              </w:rPr>
              <w:t>87%</w:t>
            </w:r>
          </w:p>
        </w:tc>
        <w:tc>
          <w:tcPr>
            <w:tcW w:w="1305" w:type="dxa"/>
            <w:tcBorders>
              <w:top w:val="none" w:sz="0" w:space="0" w:color="020000"/>
              <w:left w:val="none" w:sz="0" w:space="0" w:color="020000"/>
              <w:bottom w:val="none" w:sz="0" w:space="0" w:color="020000"/>
              <w:right w:val="none" w:sz="0" w:space="0" w:color="020000"/>
            </w:tcBorders>
            <w:shd w:val="clear" w:color="CCEAEB" w:fill="CCEAEB"/>
            <w:vAlign w:val="center"/>
          </w:tcPr>
          <w:p w14:paraId="58064411" w14:textId="77777777" w:rsidR="00D8670B" w:rsidRDefault="009B37A9">
            <w:pPr>
              <w:spacing w:before="237" w:after="209" w:line="202" w:lineRule="exact"/>
              <w:ind w:right="144"/>
              <w:jc w:val="right"/>
              <w:textAlignment w:val="baseline"/>
              <w:rPr>
                <w:rFonts w:ascii="Arial" w:eastAsia="Arial" w:hAnsi="Arial"/>
                <w:color w:val="000000"/>
                <w:sz w:val="18"/>
              </w:rPr>
            </w:pPr>
            <w:r>
              <w:rPr>
                <w:rFonts w:ascii="Arial" w:eastAsia="Arial" w:hAnsi="Arial"/>
                <w:color w:val="000000"/>
                <w:sz w:val="18"/>
              </w:rPr>
              <w:t>8%</w:t>
            </w:r>
          </w:p>
        </w:tc>
      </w:tr>
      <w:tr w:rsidR="00D8670B" w14:paraId="0E1049CC" w14:textId="77777777">
        <w:tblPrEx>
          <w:tblCellMar>
            <w:top w:w="0" w:type="dxa"/>
            <w:bottom w:w="0" w:type="dxa"/>
          </w:tblCellMar>
        </w:tblPrEx>
        <w:trPr>
          <w:trHeight w:hRule="exact" w:val="447"/>
        </w:trPr>
        <w:tc>
          <w:tcPr>
            <w:tcW w:w="1488" w:type="dxa"/>
            <w:tcBorders>
              <w:top w:val="none" w:sz="0" w:space="0" w:color="020000"/>
              <w:left w:val="none" w:sz="0" w:space="0" w:color="020000"/>
              <w:bottom w:val="none" w:sz="0" w:space="0" w:color="020000"/>
              <w:right w:val="none" w:sz="0" w:space="0" w:color="020000"/>
            </w:tcBorders>
            <w:vAlign w:val="center"/>
          </w:tcPr>
          <w:p w14:paraId="32F9F0D7" w14:textId="77777777" w:rsidR="00D8670B" w:rsidRDefault="009B37A9">
            <w:pPr>
              <w:spacing w:before="127" w:after="110" w:line="204" w:lineRule="exact"/>
              <w:ind w:left="139"/>
              <w:textAlignment w:val="baseline"/>
              <w:rPr>
                <w:rFonts w:ascii="Arial" w:eastAsia="Arial" w:hAnsi="Arial"/>
                <w:b/>
                <w:color w:val="000000"/>
                <w:sz w:val="18"/>
              </w:rPr>
            </w:pPr>
            <w:r>
              <w:rPr>
                <w:rFonts w:ascii="Arial" w:eastAsia="Arial" w:hAnsi="Arial"/>
                <w:b/>
                <w:color w:val="000000"/>
                <w:sz w:val="18"/>
              </w:rPr>
              <w:t>Moonie</w:t>
            </w:r>
          </w:p>
        </w:tc>
        <w:tc>
          <w:tcPr>
            <w:tcW w:w="1296" w:type="dxa"/>
            <w:tcBorders>
              <w:top w:val="none" w:sz="0" w:space="0" w:color="020000"/>
              <w:left w:val="none" w:sz="0" w:space="0" w:color="020000"/>
              <w:bottom w:val="none" w:sz="0" w:space="0" w:color="020000"/>
              <w:right w:val="none" w:sz="0" w:space="0" w:color="020000"/>
            </w:tcBorders>
            <w:vAlign w:val="center"/>
          </w:tcPr>
          <w:p w14:paraId="399939A1" w14:textId="77777777" w:rsidR="00D8670B" w:rsidRDefault="009B37A9">
            <w:pPr>
              <w:tabs>
                <w:tab w:val="decimal" w:pos="936"/>
              </w:tabs>
              <w:spacing w:before="132" w:after="107" w:line="202" w:lineRule="exact"/>
              <w:textAlignment w:val="baseline"/>
              <w:rPr>
                <w:rFonts w:ascii="Arial" w:eastAsia="Arial" w:hAnsi="Arial"/>
                <w:color w:val="000000"/>
                <w:sz w:val="18"/>
              </w:rPr>
            </w:pPr>
            <w:r>
              <w:rPr>
                <w:rFonts w:ascii="Arial" w:eastAsia="Arial" w:hAnsi="Arial"/>
                <w:color w:val="000000"/>
                <w:sz w:val="18"/>
              </w:rPr>
              <w:t>2.1</w:t>
            </w:r>
          </w:p>
        </w:tc>
        <w:tc>
          <w:tcPr>
            <w:tcW w:w="1095" w:type="dxa"/>
            <w:tcBorders>
              <w:top w:val="none" w:sz="0" w:space="0" w:color="020000"/>
              <w:left w:val="none" w:sz="0" w:space="0" w:color="020000"/>
              <w:bottom w:val="none" w:sz="0" w:space="0" w:color="020000"/>
              <w:right w:val="none" w:sz="0" w:space="0" w:color="020000"/>
            </w:tcBorders>
            <w:vAlign w:val="center"/>
          </w:tcPr>
          <w:p w14:paraId="4644A0F1" w14:textId="77777777" w:rsidR="00D8670B" w:rsidRDefault="009B37A9">
            <w:pPr>
              <w:spacing w:before="132" w:after="107" w:line="202" w:lineRule="exact"/>
              <w:ind w:right="106"/>
              <w:jc w:val="right"/>
              <w:textAlignment w:val="baseline"/>
              <w:rPr>
                <w:rFonts w:ascii="Arial" w:eastAsia="Arial" w:hAnsi="Arial"/>
                <w:color w:val="000000"/>
                <w:sz w:val="18"/>
              </w:rPr>
            </w:pPr>
            <w:r>
              <w:rPr>
                <w:rFonts w:ascii="Arial" w:eastAsia="Arial" w:hAnsi="Arial"/>
                <w:color w:val="000000"/>
                <w:sz w:val="18"/>
              </w:rPr>
              <w:t>0</w:t>
            </w:r>
          </w:p>
        </w:tc>
        <w:tc>
          <w:tcPr>
            <w:tcW w:w="1214" w:type="dxa"/>
            <w:tcBorders>
              <w:top w:val="none" w:sz="0" w:space="0" w:color="020000"/>
              <w:left w:val="none" w:sz="0" w:space="0" w:color="020000"/>
              <w:bottom w:val="none" w:sz="0" w:space="0" w:color="020000"/>
              <w:right w:val="none" w:sz="0" w:space="0" w:color="020000"/>
            </w:tcBorders>
            <w:shd w:val="clear" w:color="CCEAEB" w:fill="CCEAEB"/>
            <w:vAlign w:val="center"/>
          </w:tcPr>
          <w:p w14:paraId="51DF1404" w14:textId="77777777" w:rsidR="00D8670B" w:rsidRDefault="009B37A9">
            <w:pPr>
              <w:spacing w:before="132" w:after="107" w:line="202" w:lineRule="exact"/>
              <w:ind w:right="111"/>
              <w:jc w:val="right"/>
              <w:textAlignment w:val="baseline"/>
              <w:rPr>
                <w:rFonts w:ascii="Arial" w:eastAsia="Arial" w:hAnsi="Arial"/>
                <w:color w:val="000000"/>
                <w:sz w:val="18"/>
              </w:rPr>
            </w:pPr>
            <w:r>
              <w:rPr>
                <w:rFonts w:ascii="Arial" w:eastAsia="Arial" w:hAnsi="Arial"/>
                <w:color w:val="000000"/>
                <w:sz w:val="18"/>
              </w:rPr>
              <w:t>1.423</w:t>
            </w:r>
          </w:p>
        </w:tc>
        <w:tc>
          <w:tcPr>
            <w:tcW w:w="1349" w:type="dxa"/>
            <w:tcBorders>
              <w:top w:val="none" w:sz="0" w:space="0" w:color="020000"/>
              <w:left w:val="none" w:sz="0" w:space="0" w:color="020000"/>
              <w:bottom w:val="none" w:sz="0" w:space="0" w:color="020000"/>
              <w:right w:val="none" w:sz="0" w:space="0" w:color="020000"/>
            </w:tcBorders>
            <w:vAlign w:val="center"/>
          </w:tcPr>
          <w:p w14:paraId="760FCED1" w14:textId="77777777" w:rsidR="00D8670B" w:rsidRDefault="009B37A9">
            <w:pPr>
              <w:spacing w:before="132" w:after="107" w:line="202" w:lineRule="exact"/>
              <w:ind w:right="500"/>
              <w:jc w:val="right"/>
              <w:textAlignment w:val="baseline"/>
              <w:rPr>
                <w:rFonts w:ascii="Arial" w:eastAsia="Arial" w:hAnsi="Arial"/>
                <w:color w:val="000000"/>
                <w:sz w:val="18"/>
              </w:rPr>
            </w:pPr>
            <w:r>
              <w:rPr>
                <w:rFonts w:ascii="Arial" w:eastAsia="Arial" w:hAnsi="Arial"/>
                <w:color w:val="000000"/>
                <w:sz w:val="18"/>
              </w:rPr>
              <w:t>1.1</w:t>
            </w:r>
          </w:p>
        </w:tc>
        <w:tc>
          <w:tcPr>
            <w:tcW w:w="1037" w:type="dxa"/>
            <w:tcBorders>
              <w:top w:val="none" w:sz="0" w:space="0" w:color="020000"/>
              <w:left w:val="none" w:sz="0" w:space="0" w:color="020000"/>
              <w:bottom w:val="none" w:sz="0" w:space="0" w:color="020000"/>
              <w:right w:val="none" w:sz="0" w:space="0" w:color="020000"/>
            </w:tcBorders>
            <w:vAlign w:val="center"/>
          </w:tcPr>
          <w:p w14:paraId="577E214F" w14:textId="77777777" w:rsidR="00D8670B" w:rsidRDefault="009B37A9">
            <w:pPr>
              <w:spacing w:before="132" w:after="107" w:line="202" w:lineRule="exact"/>
              <w:ind w:right="126"/>
              <w:jc w:val="right"/>
              <w:textAlignment w:val="baseline"/>
              <w:rPr>
                <w:rFonts w:ascii="Arial" w:eastAsia="Arial" w:hAnsi="Arial"/>
                <w:color w:val="000000"/>
                <w:sz w:val="18"/>
              </w:rPr>
            </w:pPr>
            <w:r>
              <w:rPr>
                <w:rFonts w:ascii="Arial" w:eastAsia="Arial" w:hAnsi="Arial"/>
                <w:color w:val="000000"/>
                <w:sz w:val="18"/>
              </w:rPr>
              <w:t>2.523</w:t>
            </w:r>
          </w:p>
        </w:tc>
        <w:tc>
          <w:tcPr>
            <w:tcW w:w="1483" w:type="dxa"/>
            <w:tcBorders>
              <w:top w:val="none" w:sz="0" w:space="0" w:color="020000"/>
              <w:left w:val="none" w:sz="0" w:space="0" w:color="020000"/>
              <w:bottom w:val="none" w:sz="0" w:space="0" w:color="020000"/>
              <w:right w:val="none" w:sz="0" w:space="0" w:color="020000"/>
            </w:tcBorders>
            <w:vAlign w:val="center"/>
          </w:tcPr>
          <w:p w14:paraId="1CD0B76E" w14:textId="77777777" w:rsidR="00D8670B" w:rsidRDefault="009B37A9">
            <w:pPr>
              <w:spacing w:before="132" w:after="107" w:line="202" w:lineRule="exact"/>
              <w:ind w:right="111"/>
              <w:jc w:val="right"/>
              <w:textAlignment w:val="baseline"/>
              <w:rPr>
                <w:rFonts w:ascii="Arial" w:eastAsia="Arial" w:hAnsi="Arial"/>
                <w:color w:val="000000"/>
                <w:sz w:val="18"/>
              </w:rPr>
            </w:pPr>
            <w:r>
              <w:rPr>
                <w:rFonts w:ascii="Arial" w:eastAsia="Arial" w:hAnsi="Arial"/>
                <w:color w:val="000000"/>
                <w:sz w:val="18"/>
              </w:rPr>
              <w:t>120%</w:t>
            </w:r>
          </w:p>
        </w:tc>
        <w:tc>
          <w:tcPr>
            <w:tcW w:w="1305" w:type="dxa"/>
            <w:tcBorders>
              <w:top w:val="none" w:sz="0" w:space="0" w:color="020000"/>
              <w:left w:val="none" w:sz="0" w:space="0" w:color="020000"/>
              <w:bottom w:val="none" w:sz="0" w:space="0" w:color="020000"/>
              <w:right w:val="none" w:sz="0" w:space="0" w:color="020000"/>
            </w:tcBorders>
            <w:shd w:val="clear" w:color="CCEAEB" w:fill="CCEAEB"/>
            <w:vAlign w:val="center"/>
          </w:tcPr>
          <w:p w14:paraId="0E19C7BD" w14:textId="77777777" w:rsidR="00D8670B" w:rsidRDefault="009B37A9">
            <w:pPr>
              <w:spacing w:before="132" w:after="107" w:line="202" w:lineRule="exact"/>
              <w:ind w:right="144"/>
              <w:jc w:val="right"/>
              <w:textAlignment w:val="baseline"/>
              <w:rPr>
                <w:rFonts w:ascii="Arial" w:eastAsia="Arial" w:hAnsi="Arial"/>
                <w:color w:val="000000"/>
                <w:sz w:val="18"/>
              </w:rPr>
            </w:pPr>
            <w:r>
              <w:rPr>
                <w:rFonts w:ascii="Arial" w:eastAsia="Arial" w:hAnsi="Arial"/>
                <w:color w:val="000000"/>
                <w:sz w:val="18"/>
              </w:rPr>
              <w:t>68%</w:t>
            </w:r>
          </w:p>
        </w:tc>
      </w:tr>
      <w:tr w:rsidR="00D8670B" w14:paraId="34ABF9FE" w14:textId="77777777">
        <w:tblPrEx>
          <w:tblCellMar>
            <w:top w:w="0" w:type="dxa"/>
            <w:bottom w:w="0" w:type="dxa"/>
          </w:tblCellMar>
        </w:tblPrEx>
        <w:trPr>
          <w:trHeight w:hRule="exact" w:val="451"/>
        </w:trPr>
        <w:tc>
          <w:tcPr>
            <w:tcW w:w="1488" w:type="dxa"/>
            <w:tcBorders>
              <w:top w:val="none" w:sz="0" w:space="0" w:color="020000"/>
              <w:left w:val="none" w:sz="0" w:space="0" w:color="020000"/>
              <w:bottom w:val="none" w:sz="0" w:space="0" w:color="020000"/>
              <w:right w:val="none" w:sz="0" w:space="0" w:color="020000"/>
            </w:tcBorders>
            <w:vAlign w:val="center"/>
          </w:tcPr>
          <w:p w14:paraId="21EBCA10" w14:textId="77777777" w:rsidR="00D8670B" w:rsidRDefault="009B37A9">
            <w:pPr>
              <w:spacing w:before="126" w:after="110" w:line="204" w:lineRule="exact"/>
              <w:ind w:left="139"/>
              <w:textAlignment w:val="baseline"/>
              <w:rPr>
                <w:rFonts w:ascii="Arial" w:eastAsia="Arial" w:hAnsi="Arial"/>
                <w:b/>
                <w:color w:val="000000"/>
                <w:sz w:val="18"/>
              </w:rPr>
            </w:pPr>
            <w:r>
              <w:rPr>
                <w:rFonts w:ascii="Arial" w:eastAsia="Arial" w:hAnsi="Arial"/>
                <w:b/>
                <w:color w:val="000000"/>
                <w:sz w:val="18"/>
              </w:rPr>
              <w:t>Nebine</w:t>
            </w:r>
          </w:p>
        </w:tc>
        <w:tc>
          <w:tcPr>
            <w:tcW w:w="1296" w:type="dxa"/>
            <w:tcBorders>
              <w:top w:val="none" w:sz="0" w:space="0" w:color="020000"/>
              <w:left w:val="none" w:sz="0" w:space="0" w:color="020000"/>
              <w:bottom w:val="none" w:sz="0" w:space="0" w:color="020000"/>
              <w:right w:val="none" w:sz="0" w:space="0" w:color="020000"/>
            </w:tcBorders>
            <w:vAlign w:val="center"/>
          </w:tcPr>
          <w:p w14:paraId="6DB38F11" w14:textId="77777777" w:rsidR="00D8670B" w:rsidRDefault="009B37A9">
            <w:pPr>
              <w:tabs>
                <w:tab w:val="decimal" w:pos="936"/>
              </w:tabs>
              <w:spacing w:before="131" w:after="107" w:line="202" w:lineRule="exact"/>
              <w:textAlignment w:val="baseline"/>
              <w:rPr>
                <w:rFonts w:ascii="Arial" w:eastAsia="Arial" w:hAnsi="Arial"/>
                <w:color w:val="000000"/>
                <w:sz w:val="18"/>
              </w:rPr>
            </w:pPr>
            <w:r>
              <w:rPr>
                <w:rFonts w:ascii="Arial" w:eastAsia="Arial" w:hAnsi="Arial"/>
                <w:color w:val="000000"/>
                <w:sz w:val="18"/>
              </w:rPr>
              <w:t>3.8</w:t>
            </w:r>
          </w:p>
        </w:tc>
        <w:tc>
          <w:tcPr>
            <w:tcW w:w="1095" w:type="dxa"/>
            <w:tcBorders>
              <w:top w:val="none" w:sz="0" w:space="0" w:color="020000"/>
              <w:left w:val="none" w:sz="0" w:space="0" w:color="020000"/>
              <w:bottom w:val="none" w:sz="0" w:space="0" w:color="020000"/>
              <w:right w:val="none" w:sz="0" w:space="0" w:color="020000"/>
            </w:tcBorders>
            <w:vAlign w:val="center"/>
          </w:tcPr>
          <w:p w14:paraId="1C84756A" w14:textId="77777777" w:rsidR="00D8670B" w:rsidRDefault="009B37A9">
            <w:pPr>
              <w:spacing w:before="131" w:after="107" w:line="202" w:lineRule="exact"/>
              <w:ind w:right="106"/>
              <w:jc w:val="right"/>
              <w:textAlignment w:val="baseline"/>
              <w:rPr>
                <w:rFonts w:ascii="Arial" w:eastAsia="Arial" w:hAnsi="Arial"/>
                <w:color w:val="000000"/>
                <w:sz w:val="18"/>
              </w:rPr>
            </w:pPr>
            <w:r>
              <w:rPr>
                <w:rFonts w:ascii="Arial" w:eastAsia="Arial" w:hAnsi="Arial"/>
                <w:color w:val="000000"/>
                <w:sz w:val="18"/>
              </w:rPr>
              <w:t>0</w:t>
            </w:r>
          </w:p>
        </w:tc>
        <w:tc>
          <w:tcPr>
            <w:tcW w:w="1214" w:type="dxa"/>
            <w:tcBorders>
              <w:top w:val="none" w:sz="0" w:space="0" w:color="020000"/>
              <w:left w:val="none" w:sz="0" w:space="0" w:color="020000"/>
              <w:bottom w:val="none" w:sz="0" w:space="0" w:color="020000"/>
              <w:right w:val="none" w:sz="0" w:space="0" w:color="020000"/>
            </w:tcBorders>
            <w:shd w:val="clear" w:color="CCEAEB" w:fill="CCEAEB"/>
            <w:vAlign w:val="center"/>
          </w:tcPr>
          <w:p w14:paraId="20992F43" w14:textId="77777777" w:rsidR="00D8670B" w:rsidRDefault="009B37A9">
            <w:pPr>
              <w:spacing w:before="131" w:after="107" w:line="202" w:lineRule="exact"/>
              <w:ind w:right="111"/>
              <w:jc w:val="right"/>
              <w:textAlignment w:val="baseline"/>
              <w:rPr>
                <w:rFonts w:ascii="Arial" w:eastAsia="Arial" w:hAnsi="Arial"/>
                <w:color w:val="000000"/>
                <w:sz w:val="18"/>
              </w:rPr>
            </w:pPr>
            <w:r>
              <w:rPr>
                <w:rFonts w:ascii="Arial" w:eastAsia="Arial" w:hAnsi="Arial"/>
                <w:color w:val="000000"/>
                <w:sz w:val="18"/>
              </w:rPr>
              <w:t>0</w:t>
            </w:r>
          </w:p>
        </w:tc>
        <w:tc>
          <w:tcPr>
            <w:tcW w:w="1349" w:type="dxa"/>
            <w:tcBorders>
              <w:top w:val="none" w:sz="0" w:space="0" w:color="020000"/>
              <w:left w:val="none" w:sz="0" w:space="0" w:color="020000"/>
              <w:bottom w:val="none" w:sz="0" w:space="0" w:color="020000"/>
              <w:right w:val="none" w:sz="0" w:space="0" w:color="020000"/>
            </w:tcBorders>
            <w:vAlign w:val="center"/>
          </w:tcPr>
          <w:p w14:paraId="2FB6E952" w14:textId="77777777" w:rsidR="00D8670B" w:rsidRDefault="009B37A9">
            <w:pPr>
              <w:spacing w:before="131" w:after="107" w:line="202" w:lineRule="exact"/>
              <w:ind w:right="500"/>
              <w:jc w:val="right"/>
              <w:textAlignment w:val="baseline"/>
              <w:rPr>
                <w:rFonts w:ascii="Arial" w:eastAsia="Arial" w:hAnsi="Arial"/>
                <w:color w:val="000000"/>
                <w:sz w:val="18"/>
              </w:rPr>
            </w:pPr>
            <w:r>
              <w:rPr>
                <w:rFonts w:ascii="Arial" w:eastAsia="Arial" w:hAnsi="Arial"/>
                <w:color w:val="000000"/>
                <w:sz w:val="18"/>
              </w:rPr>
              <w:t>3.842</w:t>
            </w:r>
          </w:p>
        </w:tc>
        <w:tc>
          <w:tcPr>
            <w:tcW w:w="1037" w:type="dxa"/>
            <w:tcBorders>
              <w:top w:val="none" w:sz="0" w:space="0" w:color="020000"/>
              <w:left w:val="none" w:sz="0" w:space="0" w:color="020000"/>
              <w:bottom w:val="none" w:sz="0" w:space="0" w:color="020000"/>
              <w:right w:val="none" w:sz="0" w:space="0" w:color="020000"/>
            </w:tcBorders>
            <w:vAlign w:val="center"/>
          </w:tcPr>
          <w:p w14:paraId="1721A950" w14:textId="77777777" w:rsidR="00D8670B" w:rsidRDefault="009B37A9">
            <w:pPr>
              <w:spacing w:before="131" w:after="107" w:line="202" w:lineRule="exact"/>
              <w:ind w:right="126"/>
              <w:jc w:val="right"/>
              <w:textAlignment w:val="baseline"/>
              <w:rPr>
                <w:rFonts w:ascii="Arial" w:eastAsia="Arial" w:hAnsi="Arial"/>
                <w:color w:val="000000"/>
                <w:sz w:val="18"/>
              </w:rPr>
            </w:pPr>
            <w:r>
              <w:rPr>
                <w:rFonts w:ascii="Arial" w:eastAsia="Arial" w:hAnsi="Arial"/>
                <w:color w:val="000000"/>
                <w:sz w:val="18"/>
              </w:rPr>
              <w:t>3.842</w:t>
            </w:r>
          </w:p>
        </w:tc>
        <w:tc>
          <w:tcPr>
            <w:tcW w:w="1483" w:type="dxa"/>
            <w:tcBorders>
              <w:top w:val="none" w:sz="0" w:space="0" w:color="020000"/>
              <w:left w:val="none" w:sz="0" w:space="0" w:color="020000"/>
              <w:bottom w:val="none" w:sz="0" w:space="0" w:color="020000"/>
              <w:right w:val="none" w:sz="0" w:space="0" w:color="020000"/>
            </w:tcBorders>
            <w:vAlign w:val="center"/>
          </w:tcPr>
          <w:p w14:paraId="01691039" w14:textId="77777777" w:rsidR="00D8670B" w:rsidRDefault="009B37A9">
            <w:pPr>
              <w:spacing w:before="131" w:after="107" w:line="202" w:lineRule="exact"/>
              <w:ind w:right="111"/>
              <w:jc w:val="right"/>
              <w:textAlignment w:val="baseline"/>
              <w:rPr>
                <w:rFonts w:ascii="Arial" w:eastAsia="Arial" w:hAnsi="Arial"/>
                <w:color w:val="000000"/>
                <w:sz w:val="18"/>
              </w:rPr>
            </w:pPr>
            <w:r>
              <w:rPr>
                <w:rFonts w:ascii="Arial" w:eastAsia="Arial" w:hAnsi="Arial"/>
                <w:color w:val="000000"/>
                <w:sz w:val="18"/>
              </w:rPr>
              <w:t>101%</w:t>
            </w:r>
          </w:p>
        </w:tc>
        <w:tc>
          <w:tcPr>
            <w:tcW w:w="1305" w:type="dxa"/>
            <w:tcBorders>
              <w:top w:val="none" w:sz="0" w:space="0" w:color="020000"/>
              <w:left w:val="none" w:sz="0" w:space="0" w:color="020000"/>
              <w:bottom w:val="none" w:sz="0" w:space="0" w:color="020000"/>
              <w:right w:val="none" w:sz="0" w:space="0" w:color="020000"/>
            </w:tcBorders>
            <w:shd w:val="clear" w:color="CCEAEB" w:fill="CCEAEB"/>
            <w:vAlign w:val="center"/>
          </w:tcPr>
          <w:p w14:paraId="36A009FD" w14:textId="77777777" w:rsidR="00D8670B" w:rsidRDefault="009B37A9">
            <w:pPr>
              <w:spacing w:before="131" w:after="107" w:line="202" w:lineRule="exact"/>
              <w:ind w:right="144"/>
              <w:jc w:val="right"/>
              <w:textAlignment w:val="baseline"/>
              <w:rPr>
                <w:rFonts w:ascii="Arial" w:eastAsia="Arial" w:hAnsi="Arial"/>
                <w:color w:val="000000"/>
                <w:sz w:val="18"/>
              </w:rPr>
            </w:pPr>
            <w:r>
              <w:rPr>
                <w:rFonts w:ascii="Arial" w:eastAsia="Arial" w:hAnsi="Arial"/>
                <w:color w:val="000000"/>
                <w:sz w:val="18"/>
              </w:rPr>
              <w:t>0%</w:t>
            </w:r>
          </w:p>
        </w:tc>
      </w:tr>
      <w:tr w:rsidR="00D8670B" w14:paraId="32F197D7" w14:textId="77777777">
        <w:tblPrEx>
          <w:tblCellMar>
            <w:top w:w="0" w:type="dxa"/>
            <w:bottom w:w="0" w:type="dxa"/>
          </w:tblCellMar>
        </w:tblPrEx>
        <w:trPr>
          <w:trHeight w:hRule="exact" w:val="446"/>
        </w:trPr>
        <w:tc>
          <w:tcPr>
            <w:tcW w:w="1488" w:type="dxa"/>
            <w:tcBorders>
              <w:top w:val="none" w:sz="0" w:space="0" w:color="020000"/>
              <w:left w:val="none" w:sz="0" w:space="0" w:color="020000"/>
              <w:bottom w:val="none" w:sz="0" w:space="0" w:color="020000"/>
              <w:right w:val="none" w:sz="0" w:space="0" w:color="020000"/>
            </w:tcBorders>
            <w:vAlign w:val="center"/>
          </w:tcPr>
          <w:p w14:paraId="44A2445D" w14:textId="77777777" w:rsidR="00D8670B" w:rsidRDefault="009B37A9">
            <w:pPr>
              <w:spacing w:before="126" w:after="106" w:line="204" w:lineRule="exact"/>
              <w:ind w:left="139"/>
              <w:textAlignment w:val="baseline"/>
              <w:rPr>
                <w:rFonts w:ascii="Arial" w:eastAsia="Arial" w:hAnsi="Arial"/>
                <w:b/>
                <w:color w:val="000000"/>
                <w:sz w:val="18"/>
              </w:rPr>
            </w:pPr>
            <w:r>
              <w:rPr>
                <w:rFonts w:ascii="Arial" w:eastAsia="Arial" w:hAnsi="Arial"/>
                <w:b/>
                <w:color w:val="000000"/>
                <w:sz w:val="18"/>
              </w:rPr>
              <w:t>Paroo</w:t>
            </w:r>
          </w:p>
        </w:tc>
        <w:tc>
          <w:tcPr>
            <w:tcW w:w="1296" w:type="dxa"/>
            <w:tcBorders>
              <w:top w:val="none" w:sz="0" w:space="0" w:color="020000"/>
              <w:left w:val="none" w:sz="0" w:space="0" w:color="020000"/>
              <w:bottom w:val="none" w:sz="0" w:space="0" w:color="020000"/>
              <w:right w:val="none" w:sz="0" w:space="0" w:color="020000"/>
            </w:tcBorders>
            <w:vAlign w:val="center"/>
          </w:tcPr>
          <w:p w14:paraId="20257B61" w14:textId="77777777" w:rsidR="00D8670B" w:rsidRDefault="009B37A9">
            <w:pPr>
              <w:spacing w:before="131" w:after="103" w:line="202" w:lineRule="exact"/>
              <w:ind w:right="226"/>
              <w:jc w:val="right"/>
              <w:textAlignment w:val="baseline"/>
              <w:rPr>
                <w:rFonts w:ascii="Arial" w:eastAsia="Arial" w:hAnsi="Arial"/>
                <w:color w:val="000000"/>
                <w:sz w:val="18"/>
              </w:rPr>
            </w:pPr>
            <w:r>
              <w:rPr>
                <w:rFonts w:ascii="Arial" w:eastAsia="Arial" w:hAnsi="Arial"/>
                <w:color w:val="000000"/>
                <w:sz w:val="18"/>
              </w:rPr>
              <w:t>0</w:t>
            </w:r>
          </w:p>
        </w:tc>
        <w:tc>
          <w:tcPr>
            <w:tcW w:w="1095" w:type="dxa"/>
            <w:tcBorders>
              <w:top w:val="none" w:sz="0" w:space="0" w:color="020000"/>
              <w:left w:val="none" w:sz="0" w:space="0" w:color="020000"/>
              <w:bottom w:val="none" w:sz="0" w:space="0" w:color="020000"/>
              <w:right w:val="none" w:sz="0" w:space="0" w:color="020000"/>
            </w:tcBorders>
            <w:vAlign w:val="center"/>
          </w:tcPr>
          <w:p w14:paraId="58FAF8AD" w14:textId="77777777" w:rsidR="00D8670B" w:rsidRDefault="009B37A9">
            <w:pPr>
              <w:spacing w:before="131" w:after="103" w:line="202" w:lineRule="exact"/>
              <w:ind w:right="106"/>
              <w:jc w:val="right"/>
              <w:textAlignment w:val="baseline"/>
              <w:rPr>
                <w:rFonts w:ascii="Arial" w:eastAsia="Arial" w:hAnsi="Arial"/>
                <w:color w:val="000000"/>
                <w:sz w:val="18"/>
              </w:rPr>
            </w:pPr>
            <w:r>
              <w:rPr>
                <w:rFonts w:ascii="Arial" w:eastAsia="Arial" w:hAnsi="Arial"/>
                <w:color w:val="000000"/>
                <w:sz w:val="18"/>
              </w:rPr>
              <w:t>0</w:t>
            </w:r>
          </w:p>
        </w:tc>
        <w:tc>
          <w:tcPr>
            <w:tcW w:w="1214" w:type="dxa"/>
            <w:tcBorders>
              <w:top w:val="none" w:sz="0" w:space="0" w:color="020000"/>
              <w:left w:val="none" w:sz="0" w:space="0" w:color="020000"/>
              <w:bottom w:val="none" w:sz="0" w:space="0" w:color="020000"/>
              <w:right w:val="none" w:sz="0" w:space="0" w:color="020000"/>
            </w:tcBorders>
            <w:shd w:val="clear" w:color="CCEAEB" w:fill="CCEAEB"/>
            <w:vAlign w:val="center"/>
          </w:tcPr>
          <w:p w14:paraId="2F22E6C8" w14:textId="77777777" w:rsidR="00D8670B" w:rsidRDefault="009B37A9">
            <w:pPr>
              <w:spacing w:before="131" w:after="103" w:line="202" w:lineRule="exact"/>
              <w:ind w:right="111"/>
              <w:jc w:val="right"/>
              <w:textAlignment w:val="baseline"/>
              <w:rPr>
                <w:rFonts w:ascii="Arial" w:eastAsia="Arial" w:hAnsi="Arial"/>
                <w:color w:val="000000"/>
                <w:sz w:val="18"/>
              </w:rPr>
            </w:pPr>
            <w:r>
              <w:rPr>
                <w:rFonts w:ascii="Arial" w:eastAsia="Arial" w:hAnsi="Arial"/>
                <w:color w:val="000000"/>
                <w:sz w:val="18"/>
              </w:rPr>
              <w:t>0</w:t>
            </w:r>
          </w:p>
        </w:tc>
        <w:tc>
          <w:tcPr>
            <w:tcW w:w="1349" w:type="dxa"/>
            <w:tcBorders>
              <w:top w:val="none" w:sz="0" w:space="0" w:color="020000"/>
              <w:left w:val="none" w:sz="0" w:space="0" w:color="020000"/>
              <w:bottom w:val="none" w:sz="0" w:space="0" w:color="020000"/>
              <w:right w:val="none" w:sz="0" w:space="0" w:color="020000"/>
            </w:tcBorders>
            <w:vAlign w:val="center"/>
          </w:tcPr>
          <w:p w14:paraId="68FC49A4" w14:textId="77777777" w:rsidR="00D8670B" w:rsidRDefault="009B37A9">
            <w:pPr>
              <w:spacing w:before="131" w:after="103" w:line="202" w:lineRule="exact"/>
              <w:ind w:right="500"/>
              <w:jc w:val="right"/>
              <w:textAlignment w:val="baseline"/>
              <w:rPr>
                <w:rFonts w:ascii="Arial" w:eastAsia="Arial" w:hAnsi="Arial"/>
                <w:color w:val="000000"/>
                <w:sz w:val="18"/>
              </w:rPr>
            </w:pPr>
            <w:r>
              <w:rPr>
                <w:rFonts w:ascii="Arial" w:eastAsia="Arial" w:hAnsi="Arial"/>
                <w:color w:val="000000"/>
                <w:sz w:val="18"/>
              </w:rPr>
              <w:t>0</w:t>
            </w:r>
          </w:p>
        </w:tc>
        <w:tc>
          <w:tcPr>
            <w:tcW w:w="1037" w:type="dxa"/>
            <w:tcBorders>
              <w:top w:val="none" w:sz="0" w:space="0" w:color="020000"/>
              <w:left w:val="none" w:sz="0" w:space="0" w:color="020000"/>
              <w:bottom w:val="none" w:sz="0" w:space="0" w:color="020000"/>
              <w:right w:val="none" w:sz="0" w:space="0" w:color="020000"/>
            </w:tcBorders>
            <w:vAlign w:val="center"/>
          </w:tcPr>
          <w:p w14:paraId="31A20141" w14:textId="77777777" w:rsidR="00D8670B" w:rsidRDefault="009B37A9">
            <w:pPr>
              <w:spacing w:before="131" w:after="103" w:line="202" w:lineRule="exact"/>
              <w:ind w:right="126"/>
              <w:jc w:val="right"/>
              <w:textAlignment w:val="baseline"/>
              <w:rPr>
                <w:rFonts w:ascii="Arial" w:eastAsia="Arial" w:hAnsi="Arial"/>
                <w:color w:val="000000"/>
                <w:sz w:val="18"/>
              </w:rPr>
            </w:pPr>
            <w:r>
              <w:rPr>
                <w:rFonts w:ascii="Arial" w:eastAsia="Arial" w:hAnsi="Arial"/>
                <w:color w:val="000000"/>
                <w:sz w:val="18"/>
              </w:rPr>
              <w:t>0</w:t>
            </w:r>
          </w:p>
        </w:tc>
        <w:tc>
          <w:tcPr>
            <w:tcW w:w="1483" w:type="dxa"/>
            <w:tcBorders>
              <w:top w:val="none" w:sz="0" w:space="0" w:color="020000"/>
              <w:left w:val="none" w:sz="0" w:space="0" w:color="020000"/>
              <w:bottom w:val="none" w:sz="0" w:space="0" w:color="020000"/>
              <w:right w:val="none" w:sz="0" w:space="0" w:color="020000"/>
            </w:tcBorders>
          </w:tcPr>
          <w:p w14:paraId="2F16EAF0"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305" w:type="dxa"/>
            <w:tcBorders>
              <w:top w:val="none" w:sz="0" w:space="0" w:color="020000"/>
              <w:left w:val="none" w:sz="0" w:space="0" w:color="020000"/>
              <w:bottom w:val="none" w:sz="0" w:space="0" w:color="020000"/>
              <w:right w:val="none" w:sz="0" w:space="0" w:color="020000"/>
            </w:tcBorders>
            <w:shd w:val="clear" w:color="CCEAEB" w:fill="CCEAEB"/>
            <w:vAlign w:val="center"/>
          </w:tcPr>
          <w:p w14:paraId="1D3FC83D" w14:textId="77777777" w:rsidR="00D8670B" w:rsidRDefault="009B37A9">
            <w:pPr>
              <w:spacing w:before="131" w:after="103" w:line="202" w:lineRule="exact"/>
              <w:ind w:right="144"/>
              <w:jc w:val="right"/>
              <w:textAlignment w:val="baseline"/>
              <w:rPr>
                <w:rFonts w:ascii="Arial" w:eastAsia="Arial" w:hAnsi="Arial"/>
                <w:color w:val="000000"/>
                <w:sz w:val="18"/>
              </w:rPr>
            </w:pPr>
            <w:r>
              <w:rPr>
                <w:rFonts w:ascii="Arial" w:eastAsia="Arial" w:hAnsi="Arial"/>
                <w:color w:val="000000"/>
                <w:sz w:val="18"/>
              </w:rPr>
              <w:t>0%</w:t>
            </w:r>
          </w:p>
        </w:tc>
      </w:tr>
      <w:tr w:rsidR="00D8670B" w14:paraId="2A025BD9" w14:textId="77777777">
        <w:tblPrEx>
          <w:tblCellMar>
            <w:top w:w="0" w:type="dxa"/>
            <w:bottom w:w="0" w:type="dxa"/>
          </w:tblCellMar>
        </w:tblPrEx>
        <w:trPr>
          <w:trHeight w:hRule="exact" w:val="447"/>
        </w:trPr>
        <w:tc>
          <w:tcPr>
            <w:tcW w:w="1488" w:type="dxa"/>
            <w:tcBorders>
              <w:top w:val="none" w:sz="0" w:space="0" w:color="020000"/>
              <w:left w:val="none" w:sz="0" w:space="0" w:color="020000"/>
              <w:bottom w:val="none" w:sz="0" w:space="0" w:color="020000"/>
              <w:right w:val="none" w:sz="0" w:space="0" w:color="020000"/>
            </w:tcBorders>
            <w:vAlign w:val="center"/>
          </w:tcPr>
          <w:p w14:paraId="795AD81C" w14:textId="77777777" w:rsidR="00D8670B" w:rsidRDefault="009B37A9">
            <w:pPr>
              <w:spacing w:before="127" w:after="105" w:line="204" w:lineRule="exact"/>
              <w:ind w:left="139"/>
              <w:textAlignment w:val="baseline"/>
              <w:rPr>
                <w:rFonts w:ascii="Arial" w:eastAsia="Arial" w:hAnsi="Arial"/>
                <w:b/>
                <w:color w:val="000000"/>
                <w:sz w:val="18"/>
              </w:rPr>
            </w:pPr>
            <w:r>
              <w:rPr>
                <w:rFonts w:ascii="Arial" w:eastAsia="Arial" w:hAnsi="Arial"/>
                <w:b/>
                <w:color w:val="000000"/>
                <w:sz w:val="18"/>
              </w:rPr>
              <w:t>Warrego</w:t>
            </w:r>
          </w:p>
        </w:tc>
        <w:tc>
          <w:tcPr>
            <w:tcW w:w="1296" w:type="dxa"/>
            <w:tcBorders>
              <w:top w:val="none" w:sz="0" w:space="0" w:color="020000"/>
              <w:left w:val="none" w:sz="0" w:space="0" w:color="020000"/>
              <w:bottom w:val="none" w:sz="0" w:space="0" w:color="020000"/>
              <w:right w:val="none" w:sz="0" w:space="0" w:color="020000"/>
            </w:tcBorders>
            <w:vAlign w:val="center"/>
          </w:tcPr>
          <w:p w14:paraId="2D21B58A" w14:textId="77777777" w:rsidR="00D8670B" w:rsidRDefault="009B37A9">
            <w:pPr>
              <w:tabs>
                <w:tab w:val="decimal" w:pos="936"/>
              </w:tabs>
              <w:spacing w:before="132" w:after="102" w:line="202" w:lineRule="exact"/>
              <w:textAlignment w:val="baseline"/>
              <w:rPr>
                <w:rFonts w:ascii="Arial" w:eastAsia="Arial" w:hAnsi="Arial"/>
                <w:color w:val="000000"/>
                <w:sz w:val="18"/>
              </w:rPr>
            </w:pPr>
            <w:r>
              <w:rPr>
                <w:rFonts w:ascii="Arial" w:eastAsia="Arial" w:hAnsi="Arial"/>
                <w:color w:val="000000"/>
                <w:sz w:val="18"/>
              </w:rPr>
              <w:t>20.1</w:t>
            </w:r>
          </w:p>
        </w:tc>
        <w:tc>
          <w:tcPr>
            <w:tcW w:w="1095" w:type="dxa"/>
            <w:tcBorders>
              <w:top w:val="none" w:sz="0" w:space="0" w:color="020000"/>
              <w:left w:val="none" w:sz="0" w:space="0" w:color="020000"/>
              <w:bottom w:val="none" w:sz="0" w:space="0" w:color="020000"/>
              <w:right w:val="none" w:sz="0" w:space="0" w:color="020000"/>
            </w:tcBorders>
            <w:vAlign w:val="center"/>
          </w:tcPr>
          <w:p w14:paraId="013E4348" w14:textId="77777777" w:rsidR="00D8670B" w:rsidRDefault="009B37A9">
            <w:pPr>
              <w:tabs>
                <w:tab w:val="decimal" w:pos="576"/>
              </w:tabs>
              <w:spacing w:before="132" w:after="102" w:line="202" w:lineRule="exact"/>
              <w:textAlignment w:val="baseline"/>
              <w:rPr>
                <w:rFonts w:ascii="Arial" w:eastAsia="Arial" w:hAnsi="Arial"/>
                <w:color w:val="000000"/>
                <w:sz w:val="18"/>
              </w:rPr>
            </w:pPr>
            <w:r>
              <w:rPr>
                <w:rFonts w:ascii="Arial" w:eastAsia="Arial" w:hAnsi="Arial"/>
                <w:color w:val="000000"/>
                <w:sz w:val="18"/>
              </w:rPr>
              <w:t>10.1291</w:t>
            </w:r>
          </w:p>
        </w:tc>
        <w:tc>
          <w:tcPr>
            <w:tcW w:w="1214" w:type="dxa"/>
            <w:tcBorders>
              <w:top w:val="none" w:sz="0" w:space="0" w:color="020000"/>
              <w:left w:val="none" w:sz="0" w:space="0" w:color="020000"/>
              <w:bottom w:val="none" w:sz="0" w:space="0" w:color="020000"/>
              <w:right w:val="none" w:sz="0" w:space="0" w:color="020000"/>
            </w:tcBorders>
            <w:shd w:val="clear" w:color="CCEAEB" w:fill="CCEAEB"/>
            <w:vAlign w:val="center"/>
          </w:tcPr>
          <w:p w14:paraId="4CA7D3F5" w14:textId="77777777" w:rsidR="00D8670B" w:rsidRDefault="009B37A9">
            <w:pPr>
              <w:spacing w:before="132" w:after="102" w:line="202" w:lineRule="exact"/>
              <w:ind w:right="111"/>
              <w:jc w:val="right"/>
              <w:textAlignment w:val="baseline"/>
              <w:rPr>
                <w:rFonts w:ascii="Arial" w:eastAsia="Arial" w:hAnsi="Arial"/>
                <w:color w:val="000000"/>
                <w:sz w:val="18"/>
              </w:rPr>
            </w:pPr>
            <w:r>
              <w:rPr>
                <w:rFonts w:ascii="Arial" w:eastAsia="Arial" w:hAnsi="Arial"/>
                <w:color w:val="000000"/>
                <w:sz w:val="18"/>
              </w:rPr>
              <w:t>0.4428</w:t>
            </w:r>
          </w:p>
        </w:tc>
        <w:tc>
          <w:tcPr>
            <w:tcW w:w="1349" w:type="dxa"/>
            <w:tcBorders>
              <w:top w:val="none" w:sz="0" w:space="0" w:color="020000"/>
              <w:left w:val="none" w:sz="0" w:space="0" w:color="020000"/>
              <w:bottom w:val="none" w:sz="0" w:space="0" w:color="020000"/>
              <w:right w:val="none" w:sz="0" w:space="0" w:color="020000"/>
            </w:tcBorders>
            <w:vAlign w:val="center"/>
          </w:tcPr>
          <w:p w14:paraId="5D7B3DB0" w14:textId="77777777" w:rsidR="00D8670B" w:rsidRDefault="009B37A9">
            <w:pPr>
              <w:spacing w:before="132" w:after="102" w:line="202" w:lineRule="exact"/>
              <w:ind w:right="500"/>
              <w:jc w:val="right"/>
              <w:textAlignment w:val="baseline"/>
              <w:rPr>
                <w:rFonts w:ascii="Arial" w:eastAsia="Arial" w:hAnsi="Arial"/>
                <w:color w:val="000000"/>
                <w:sz w:val="18"/>
              </w:rPr>
            </w:pPr>
            <w:r>
              <w:rPr>
                <w:rFonts w:ascii="Arial" w:eastAsia="Arial" w:hAnsi="Arial"/>
                <w:color w:val="000000"/>
                <w:sz w:val="18"/>
              </w:rPr>
              <w:t>9.524</w:t>
            </w:r>
          </w:p>
        </w:tc>
        <w:tc>
          <w:tcPr>
            <w:tcW w:w="1037" w:type="dxa"/>
            <w:tcBorders>
              <w:top w:val="none" w:sz="0" w:space="0" w:color="020000"/>
              <w:left w:val="none" w:sz="0" w:space="0" w:color="020000"/>
              <w:bottom w:val="none" w:sz="0" w:space="0" w:color="020000"/>
              <w:right w:val="none" w:sz="0" w:space="0" w:color="020000"/>
            </w:tcBorders>
            <w:vAlign w:val="center"/>
          </w:tcPr>
          <w:p w14:paraId="5BFA6C84" w14:textId="77777777" w:rsidR="00D8670B" w:rsidRDefault="009B37A9">
            <w:pPr>
              <w:spacing w:before="132" w:after="102" w:line="202" w:lineRule="exact"/>
              <w:ind w:right="126"/>
              <w:jc w:val="right"/>
              <w:textAlignment w:val="baseline"/>
              <w:rPr>
                <w:rFonts w:ascii="Arial" w:eastAsia="Arial" w:hAnsi="Arial"/>
                <w:color w:val="000000"/>
                <w:sz w:val="18"/>
              </w:rPr>
            </w:pPr>
            <w:r>
              <w:rPr>
                <w:rFonts w:ascii="Arial" w:eastAsia="Arial" w:hAnsi="Arial"/>
                <w:color w:val="000000"/>
                <w:sz w:val="18"/>
              </w:rPr>
              <w:t>20.0959</w:t>
            </w:r>
          </w:p>
        </w:tc>
        <w:tc>
          <w:tcPr>
            <w:tcW w:w="1483" w:type="dxa"/>
            <w:tcBorders>
              <w:top w:val="none" w:sz="0" w:space="0" w:color="020000"/>
              <w:left w:val="none" w:sz="0" w:space="0" w:color="020000"/>
              <w:bottom w:val="none" w:sz="0" w:space="0" w:color="020000"/>
              <w:right w:val="none" w:sz="0" w:space="0" w:color="020000"/>
            </w:tcBorders>
            <w:vAlign w:val="center"/>
          </w:tcPr>
          <w:p w14:paraId="3121ED27" w14:textId="77777777" w:rsidR="00D8670B" w:rsidRDefault="009B37A9">
            <w:pPr>
              <w:spacing w:before="132" w:after="102" w:line="202" w:lineRule="exact"/>
              <w:ind w:right="111"/>
              <w:jc w:val="right"/>
              <w:textAlignment w:val="baseline"/>
              <w:rPr>
                <w:rFonts w:ascii="Arial" w:eastAsia="Arial" w:hAnsi="Arial"/>
                <w:color w:val="000000"/>
                <w:sz w:val="18"/>
              </w:rPr>
            </w:pPr>
            <w:r>
              <w:rPr>
                <w:rFonts w:ascii="Arial" w:eastAsia="Arial" w:hAnsi="Arial"/>
                <w:color w:val="000000"/>
                <w:sz w:val="18"/>
              </w:rPr>
              <w:t>100%</w:t>
            </w:r>
          </w:p>
        </w:tc>
        <w:tc>
          <w:tcPr>
            <w:tcW w:w="1305" w:type="dxa"/>
            <w:tcBorders>
              <w:top w:val="none" w:sz="0" w:space="0" w:color="020000"/>
              <w:left w:val="none" w:sz="0" w:space="0" w:color="020000"/>
              <w:bottom w:val="none" w:sz="0" w:space="0" w:color="020000"/>
              <w:right w:val="none" w:sz="0" w:space="0" w:color="020000"/>
            </w:tcBorders>
            <w:shd w:val="clear" w:color="CCEAEB" w:fill="CCEAEB"/>
            <w:vAlign w:val="center"/>
          </w:tcPr>
          <w:p w14:paraId="7D93CBE7" w14:textId="77777777" w:rsidR="00D8670B" w:rsidRDefault="009B37A9">
            <w:pPr>
              <w:spacing w:before="132" w:after="102" w:line="202" w:lineRule="exact"/>
              <w:ind w:right="144"/>
              <w:jc w:val="right"/>
              <w:textAlignment w:val="baseline"/>
              <w:rPr>
                <w:rFonts w:ascii="Arial" w:eastAsia="Arial" w:hAnsi="Arial"/>
                <w:color w:val="000000"/>
                <w:sz w:val="18"/>
              </w:rPr>
            </w:pPr>
            <w:r>
              <w:rPr>
                <w:rFonts w:ascii="Arial" w:eastAsia="Arial" w:hAnsi="Arial"/>
                <w:color w:val="000000"/>
                <w:sz w:val="18"/>
              </w:rPr>
              <w:t>2%</w:t>
            </w:r>
          </w:p>
        </w:tc>
      </w:tr>
      <w:tr w:rsidR="00D8670B" w14:paraId="2B3E1376" w14:textId="77777777">
        <w:tblPrEx>
          <w:tblCellMar>
            <w:top w:w="0" w:type="dxa"/>
            <w:bottom w:w="0" w:type="dxa"/>
          </w:tblCellMar>
        </w:tblPrEx>
        <w:trPr>
          <w:trHeight w:hRule="exact" w:val="450"/>
        </w:trPr>
        <w:tc>
          <w:tcPr>
            <w:tcW w:w="1488" w:type="dxa"/>
            <w:tcBorders>
              <w:top w:val="none" w:sz="0" w:space="0" w:color="020000"/>
              <w:left w:val="none" w:sz="0" w:space="0" w:color="020000"/>
              <w:bottom w:val="none" w:sz="0" w:space="0" w:color="020000"/>
              <w:right w:val="none" w:sz="0" w:space="0" w:color="020000"/>
            </w:tcBorders>
            <w:shd w:val="clear" w:color="CAE2F7" w:fill="CAE2F7"/>
            <w:vAlign w:val="center"/>
          </w:tcPr>
          <w:p w14:paraId="378A6248" w14:textId="77777777" w:rsidR="00D8670B" w:rsidRDefault="009B37A9">
            <w:pPr>
              <w:spacing w:before="126" w:after="106" w:line="204" w:lineRule="exact"/>
              <w:ind w:left="139"/>
              <w:textAlignment w:val="baseline"/>
              <w:rPr>
                <w:rFonts w:ascii="Arial" w:eastAsia="Arial" w:hAnsi="Arial"/>
                <w:b/>
                <w:color w:val="1C75BB"/>
                <w:sz w:val="18"/>
              </w:rPr>
            </w:pPr>
            <w:r>
              <w:rPr>
                <w:rFonts w:ascii="Arial" w:eastAsia="Arial" w:hAnsi="Arial"/>
                <w:b/>
                <w:color w:val="1C75BB"/>
                <w:sz w:val="18"/>
              </w:rPr>
              <w:t>Total</w:t>
            </w:r>
          </w:p>
        </w:tc>
        <w:tc>
          <w:tcPr>
            <w:tcW w:w="1296" w:type="dxa"/>
            <w:tcBorders>
              <w:top w:val="none" w:sz="0" w:space="0" w:color="020000"/>
              <w:left w:val="none" w:sz="0" w:space="0" w:color="020000"/>
              <w:bottom w:val="none" w:sz="0" w:space="0" w:color="020000"/>
              <w:right w:val="none" w:sz="0" w:space="0" w:color="020000"/>
            </w:tcBorders>
            <w:shd w:val="clear" w:color="CAE2F7" w:fill="CAE2F7"/>
            <w:vAlign w:val="center"/>
          </w:tcPr>
          <w:p w14:paraId="52E944D0" w14:textId="77777777" w:rsidR="00D8670B" w:rsidRDefault="009B37A9">
            <w:pPr>
              <w:spacing w:before="126" w:after="106" w:line="204" w:lineRule="exact"/>
              <w:ind w:right="226"/>
              <w:jc w:val="right"/>
              <w:textAlignment w:val="baseline"/>
              <w:rPr>
                <w:rFonts w:ascii="Arial" w:eastAsia="Arial" w:hAnsi="Arial"/>
                <w:b/>
                <w:color w:val="4F81BC"/>
                <w:sz w:val="18"/>
              </w:rPr>
            </w:pPr>
            <w:r>
              <w:rPr>
                <w:rFonts w:ascii="Arial" w:eastAsia="Arial" w:hAnsi="Arial"/>
                <w:b/>
                <w:color w:val="4F81BC"/>
                <w:sz w:val="18"/>
              </w:rPr>
              <w:t>140</w:t>
            </w:r>
          </w:p>
        </w:tc>
        <w:tc>
          <w:tcPr>
            <w:tcW w:w="3658" w:type="dxa"/>
            <w:gridSpan w:val="3"/>
            <w:tcBorders>
              <w:top w:val="none" w:sz="0" w:space="0" w:color="020000"/>
              <w:left w:val="none" w:sz="0" w:space="0" w:color="020000"/>
              <w:bottom w:val="none" w:sz="0" w:space="0" w:color="020000"/>
              <w:right w:val="none" w:sz="0" w:space="0" w:color="020000"/>
            </w:tcBorders>
            <w:shd w:val="clear" w:color="CAE2F7" w:fill="CAE2F7"/>
            <w:vAlign w:val="center"/>
          </w:tcPr>
          <w:p w14:paraId="5A01C58A" w14:textId="77777777" w:rsidR="00D8670B" w:rsidRDefault="009B37A9">
            <w:pPr>
              <w:tabs>
                <w:tab w:val="left" w:pos="1584"/>
                <w:tab w:val="left" w:pos="2592"/>
              </w:tabs>
              <w:spacing w:before="126" w:after="106" w:line="204" w:lineRule="exact"/>
              <w:ind w:right="466"/>
              <w:jc w:val="right"/>
              <w:textAlignment w:val="baseline"/>
              <w:rPr>
                <w:rFonts w:ascii="Arial" w:eastAsia="Arial" w:hAnsi="Arial"/>
                <w:b/>
                <w:color w:val="4F81BC"/>
                <w:sz w:val="18"/>
              </w:rPr>
            </w:pPr>
            <w:r>
              <w:rPr>
                <w:rFonts w:ascii="Arial" w:eastAsia="Arial" w:hAnsi="Arial"/>
                <w:b/>
                <w:color w:val="4F81BC"/>
                <w:sz w:val="18"/>
              </w:rPr>
              <w:t>93.173</w:t>
            </w:r>
            <w:r>
              <w:rPr>
                <w:rFonts w:ascii="Arial" w:eastAsia="Arial" w:hAnsi="Arial"/>
                <w:b/>
                <w:color w:val="4F81BC"/>
                <w:sz w:val="18"/>
              </w:rPr>
              <w:tab/>
              <w:t>19.1462</w:t>
            </w:r>
            <w:r>
              <w:rPr>
                <w:rFonts w:ascii="Arial" w:eastAsia="Arial" w:hAnsi="Arial"/>
                <w:b/>
                <w:color w:val="4F81BC"/>
                <w:sz w:val="18"/>
              </w:rPr>
              <w:tab/>
              <w:t>14.909</w:t>
            </w:r>
          </w:p>
        </w:tc>
        <w:tc>
          <w:tcPr>
            <w:tcW w:w="1037" w:type="dxa"/>
            <w:tcBorders>
              <w:top w:val="none" w:sz="0" w:space="0" w:color="020000"/>
              <w:left w:val="none" w:sz="0" w:space="0" w:color="020000"/>
              <w:bottom w:val="none" w:sz="0" w:space="0" w:color="020000"/>
              <w:right w:val="none" w:sz="0" w:space="0" w:color="020000"/>
            </w:tcBorders>
            <w:shd w:val="clear" w:color="CAE2F7" w:fill="CAE2F7"/>
            <w:vAlign w:val="center"/>
          </w:tcPr>
          <w:p w14:paraId="11042124" w14:textId="77777777" w:rsidR="00D8670B" w:rsidRDefault="009B37A9">
            <w:pPr>
              <w:spacing w:before="126" w:after="106" w:line="204" w:lineRule="exact"/>
              <w:ind w:right="126"/>
              <w:jc w:val="right"/>
              <w:textAlignment w:val="baseline"/>
              <w:rPr>
                <w:rFonts w:ascii="Arial" w:eastAsia="Arial" w:hAnsi="Arial"/>
                <w:b/>
                <w:color w:val="4F81BC"/>
                <w:sz w:val="18"/>
              </w:rPr>
            </w:pPr>
            <w:r>
              <w:rPr>
                <w:rFonts w:ascii="Arial" w:eastAsia="Arial" w:hAnsi="Arial"/>
                <w:b/>
                <w:color w:val="4F81BC"/>
                <w:sz w:val="18"/>
              </w:rPr>
              <w:t>127.2282</w:t>
            </w:r>
          </w:p>
        </w:tc>
        <w:tc>
          <w:tcPr>
            <w:tcW w:w="2788" w:type="dxa"/>
            <w:gridSpan w:val="2"/>
            <w:tcBorders>
              <w:top w:val="none" w:sz="0" w:space="0" w:color="020000"/>
              <w:left w:val="none" w:sz="0" w:space="0" w:color="020000"/>
              <w:bottom w:val="none" w:sz="0" w:space="0" w:color="020000"/>
              <w:right w:val="none" w:sz="0" w:space="0" w:color="020000"/>
            </w:tcBorders>
            <w:shd w:val="clear" w:color="CAE2F7" w:fill="CAE2F7"/>
            <w:vAlign w:val="center"/>
          </w:tcPr>
          <w:p w14:paraId="66782C08" w14:textId="77777777" w:rsidR="00D8670B" w:rsidRDefault="009B37A9">
            <w:pPr>
              <w:tabs>
                <w:tab w:val="right" w:pos="2664"/>
              </w:tabs>
              <w:spacing w:before="126" w:after="106" w:line="204" w:lineRule="exact"/>
              <w:ind w:right="111"/>
              <w:jc w:val="right"/>
              <w:textAlignment w:val="baseline"/>
              <w:rPr>
                <w:rFonts w:ascii="Arial" w:eastAsia="Arial" w:hAnsi="Arial"/>
                <w:b/>
                <w:color w:val="4F81BC"/>
                <w:sz w:val="18"/>
              </w:rPr>
            </w:pPr>
            <w:r>
              <w:rPr>
                <w:rFonts w:ascii="Arial" w:eastAsia="Arial" w:hAnsi="Arial"/>
                <w:b/>
                <w:color w:val="4F81BC"/>
                <w:sz w:val="18"/>
              </w:rPr>
              <w:t>91%</w:t>
            </w:r>
            <w:r>
              <w:rPr>
                <w:rFonts w:ascii="Arial" w:eastAsia="Arial" w:hAnsi="Arial"/>
                <w:b/>
                <w:color w:val="4F81BC"/>
                <w:sz w:val="18"/>
              </w:rPr>
              <w:tab/>
              <w:t>14%</w:t>
            </w:r>
          </w:p>
        </w:tc>
      </w:tr>
    </w:tbl>
    <w:p w14:paraId="077D6692" w14:textId="77777777" w:rsidR="00D8670B" w:rsidRDefault="00D8670B">
      <w:pPr>
        <w:spacing w:after="577" w:line="20" w:lineRule="exact"/>
      </w:pPr>
    </w:p>
    <w:p w14:paraId="70D49433" w14:textId="77777777" w:rsidR="00D8670B" w:rsidRDefault="009B37A9">
      <w:pPr>
        <w:spacing w:before="2" w:after="59" w:line="321" w:lineRule="exact"/>
        <w:textAlignment w:val="baseline"/>
        <w:rPr>
          <w:rFonts w:ascii="Arial" w:eastAsia="Arial" w:hAnsi="Arial"/>
          <w:b/>
          <w:color w:val="2C7176"/>
          <w:spacing w:val="1"/>
          <w:sz w:val="28"/>
        </w:rPr>
      </w:pPr>
      <w:r>
        <w:rPr>
          <w:rFonts w:ascii="Arial" w:eastAsia="Arial" w:hAnsi="Arial"/>
          <w:b/>
          <w:color w:val="2C7176"/>
          <w:spacing w:val="1"/>
          <w:sz w:val="28"/>
        </w:rPr>
        <w:t>3.3 Faster adoption of efficient water use technologies</w:t>
      </w:r>
    </w:p>
    <w:p w14:paraId="26466C54" w14:textId="77777777" w:rsidR="00D8670B" w:rsidRDefault="009B37A9">
      <w:pPr>
        <w:spacing w:after="97"/>
        <w:ind w:left="24" w:right="34"/>
        <w:textAlignment w:val="baseline"/>
      </w:pPr>
      <w:r>
        <w:rPr>
          <w:noProof/>
        </w:rPr>
        <w:drawing>
          <wp:inline distT="0" distB="0" distL="0" distR="0" wp14:anchorId="2324BACE" wp14:editId="62740689">
            <wp:extent cx="6482715" cy="65849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46"/>
                    <a:stretch>
                      <a:fillRect/>
                    </a:stretch>
                  </pic:blipFill>
                  <pic:spPr>
                    <a:xfrm>
                      <a:off x="0" y="0"/>
                      <a:ext cx="6482715" cy="658495"/>
                    </a:xfrm>
                    <a:prstGeom prst="rect">
                      <a:avLst/>
                    </a:prstGeom>
                  </pic:spPr>
                </pic:pic>
              </a:graphicData>
            </a:graphic>
          </wp:inline>
        </w:drawing>
      </w:r>
    </w:p>
    <w:p w14:paraId="76B69978" w14:textId="77777777" w:rsidR="00D8670B" w:rsidRDefault="009B37A9">
      <w:pPr>
        <w:spacing w:before="1" w:line="230" w:lineRule="exact"/>
        <w:ind w:right="360"/>
        <w:textAlignment w:val="baseline"/>
        <w:rPr>
          <w:rFonts w:ascii="Arial" w:eastAsia="Arial" w:hAnsi="Arial"/>
          <w:color w:val="000000"/>
          <w:sz w:val="20"/>
        </w:rPr>
      </w:pPr>
      <w:r>
        <w:rPr>
          <w:rFonts w:ascii="Arial" w:eastAsia="Arial" w:hAnsi="Arial"/>
          <w:color w:val="000000"/>
          <w:sz w:val="20"/>
        </w:rPr>
        <w:t>The HHWUE program assisted faster adoption of more efficient water use technologies by raising awareness of efficient technologies and providing funding to assist and enable uptake.</w:t>
      </w:r>
    </w:p>
    <w:p w14:paraId="562A9152" w14:textId="77777777" w:rsidR="00D8670B" w:rsidRDefault="009B37A9">
      <w:pPr>
        <w:spacing w:before="242" w:line="321" w:lineRule="exact"/>
        <w:textAlignment w:val="baseline"/>
        <w:rPr>
          <w:rFonts w:ascii="Arial" w:eastAsia="Arial" w:hAnsi="Arial"/>
          <w:b/>
          <w:color w:val="346C36"/>
          <w:sz w:val="28"/>
        </w:rPr>
      </w:pPr>
      <w:r>
        <w:rPr>
          <w:rFonts w:ascii="Arial" w:eastAsia="Arial" w:hAnsi="Arial"/>
          <w:b/>
          <w:color w:val="346C36"/>
          <w:sz w:val="28"/>
        </w:rPr>
        <w:t>3.3.1 Awareness-</w:t>
      </w:r>
      <w:r>
        <w:rPr>
          <w:rFonts w:ascii="Arial" w:eastAsia="Arial" w:hAnsi="Arial"/>
          <w:b/>
          <w:color w:val="346C36"/>
          <w:sz w:val="28"/>
        </w:rPr>
        <w:t>raising activities</w:t>
      </w:r>
    </w:p>
    <w:p w14:paraId="3A15D307" w14:textId="77777777" w:rsidR="00D8670B" w:rsidRDefault="009B37A9">
      <w:pPr>
        <w:spacing w:before="120" w:line="230" w:lineRule="exact"/>
        <w:ind w:right="504"/>
        <w:textAlignment w:val="baseline"/>
        <w:rPr>
          <w:rFonts w:ascii="Arial" w:eastAsia="Arial" w:hAnsi="Arial"/>
          <w:color w:val="000000"/>
          <w:sz w:val="20"/>
        </w:rPr>
      </w:pPr>
      <w:r>
        <w:rPr>
          <w:rFonts w:ascii="Arial" w:eastAsia="Arial" w:hAnsi="Arial"/>
          <w:color w:val="000000"/>
          <w:sz w:val="20"/>
        </w:rPr>
        <w:t>Phase 2 complementary measures projects aimed to raise awareness of water use efficiency technologies and their benefits. The projects also developed tools and knowledge to provide irrigators greater certainty when assessing existing pra</w:t>
      </w:r>
      <w:r>
        <w:rPr>
          <w:rFonts w:ascii="Arial" w:eastAsia="Arial" w:hAnsi="Arial"/>
          <w:color w:val="000000"/>
          <w:sz w:val="20"/>
        </w:rPr>
        <w:t>ctice or choosing new technologies. The Queensland Government identified these opportunities through Phase 1 studies and ongoing engagement with the irrigation industry.</w:t>
      </w:r>
    </w:p>
    <w:p w14:paraId="724D7E05" w14:textId="77777777" w:rsidR="00D8670B" w:rsidRDefault="009B37A9">
      <w:pPr>
        <w:spacing w:before="118" w:line="230" w:lineRule="exact"/>
        <w:ind w:right="72"/>
        <w:textAlignment w:val="baseline"/>
        <w:rPr>
          <w:rFonts w:ascii="Arial" w:eastAsia="Arial" w:hAnsi="Arial"/>
          <w:color w:val="000000"/>
          <w:spacing w:val="1"/>
          <w:sz w:val="20"/>
        </w:rPr>
      </w:pPr>
      <w:r>
        <w:rPr>
          <w:rFonts w:ascii="Arial" w:eastAsia="Arial" w:hAnsi="Arial"/>
          <w:color w:val="000000"/>
          <w:spacing w:val="1"/>
          <w:sz w:val="20"/>
        </w:rPr>
        <w:t>For instance, the benchmarking project originated from a knowledge gap identified in P</w:t>
      </w:r>
      <w:r>
        <w:rPr>
          <w:rFonts w:ascii="Arial" w:eastAsia="Arial" w:hAnsi="Arial"/>
          <w:color w:val="000000"/>
          <w:spacing w:val="1"/>
          <w:sz w:val="20"/>
        </w:rPr>
        <w:t>hase 1. Studies noted these overhead irrigation machines were increasingly popular, however limited information was available on real savings and management practices to ensure optimum performance in Australia. The benchmarking project captured real data o</w:t>
      </w:r>
      <w:r>
        <w:rPr>
          <w:rFonts w:ascii="Arial" w:eastAsia="Arial" w:hAnsi="Arial"/>
          <w:color w:val="000000"/>
          <w:spacing w:val="1"/>
          <w:sz w:val="20"/>
        </w:rPr>
        <w:t>n water use, yield and irrigation activity from machines operating across a range of crops in the Condamine and Balonne and Border Rivers catchments. During the study, the Queensland Government identified energy costs as further area of uncertainty for irr</w:t>
      </w:r>
      <w:r>
        <w:rPr>
          <w:rFonts w:ascii="Arial" w:eastAsia="Arial" w:hAnsi="Arial"/>
          <w:color w:val="000000"/>
          <w:spacing w:val="1"/>
          <w:sz w:val="20"/>
        </w:rPr>
        <w:t>igators. The Phase 2 benchmarking project captured energy consumption data in addition to water use, and shared findings with irrigators through reports, workshops and a short information video.</w:t>
      </w:r>
    </w:p>
    <w:p w14:paraId="21E874CA" w14:textId="77777777" w:rsidR="00D8670B" w:rsidRDefault="009B37A9">
      <w:pPr>
        <w:spacing w:before="124" w:line="230" w:lineRule="exact"/>
        <w:ind w:right="216"/>
        <w:textAlignment w:val="baseline"/>
        <w:rPr>
          <w:rFonts w:ascii="Arial" w:eastAsia="Arial" w:hAnsi="Arial"/>
          <w:color w:val="000000"/>
          <w:sz w:val="20"/>
        </w:rPr>
      </w:pPr>
      <w:r>
        <w:rPr>
          <w:rFonts w:ascii="Arial" w:eastAsia="Arial" w:hAnsi="Arial"/>
          <w:color w:val="000000"/>
          <w:sz w:val="20"/>
        </w:rPr>
        <w:t>Similarly, the industry development project built a suite of tools and knowledge to help irrigators and consultants make informed decisions about centre pivot and lateral move machines, water requirements, automatic sensors and other key areas. Complementa</w:t>
      </w:r>
      <w:r>
        <w:rPr>
          <w:rFonts w:ascii="Arial" w:eastAsia="Arial" w:hAnsi="Arial"/>
          <w:color w:val="000000"/>
          <w:sz w:val="20"/>
        </w:rPr>
        <w:t>ry measures studies, the Industry Advisory Committee and other engagement highlighted the demand for this information, which is now available to the irrigation industry within and outside the QMDB</w:t>
      </w:r>
      <w:r>
        <w:rPr>
          <w:rFonts w:ascii="Arial" w:eastAsia="Arial" w:hAnsi="Arial"/>
          <w:color w:val="0000FF"/>
          <w:sz w:val="20"/>
        </w:rPr>
        <w:t xml:space="preserve"> </w:t>
      </w:r>
      <w:hyperlink r:id="rId47">
        <w:r>
          <w:rPr>
            <w:rFonts w:ascii="Arial" w:eastAsia="Arial" w:hAnsi="Arial"/>
            <w:color w:val="0000FF"/>
            <w:sz w:val="20"/>
            <w:u w:val="single"/>
          </w:rPr>
          <w:t>(</w:t>
        </w:r>
      </w:hyperlink>
      <w:r>
        <w:rPr>
          <w:rFonts w:ascii="Arial" w:eastAsia="Arial" w:hAnsi="Arial"/>
          <w:color w:val="0000FF"/>
          <w:sz w:val="20"/>
          <w:u w:val="single"/>
        </w:rPr>
        <w:t>https://kmsi.u</w:t>
      </w:r>
      <w:r>
        <w:rPr>
          <w:rFonts w:ascii="Arial" w:eastAsia="Arial" w:hAnsi="Arial"/>
          <w:color w:val="0000FF"/>
          <w:sz w:val="20"/>
          <w:u w:val="single"/>
        </w:rPr>
        <w:t>sq.edu.au/)</w:t>
      </w:r>
      <w:r>
        <w:rPr>
          <w:rFonts w:ascii="Arial" w:eastAsia="Arial" w:hAnsi="Arial"/>
          <w:color w:val="0000FF"/>
          <w:sz w:val="20"/>
        </w:rPr>
        <w:t>.</w:t>
      </w:r>
    </w:p>
    <w:p w14:paraId="6DD51D4E" w14:textId="77777777" w:rsidR="00D8670B" w:rsidRDefault="009B37A9">
      <w:pPr>
        <w:spacing w:before="119" w:after="354" w:line="230" w:lineRule="exact"/>
        <w:textAlignment w:val="baseline"/>
        <w:rPr>
          <w:rFonts w:ascii="Arial" w:eastAsia="Arial" w:hAnsi="Arial"/>
          <w:color w:val="000000"/>
          <w:sz w:val="20"/>
        </w:rPr>
      </w:pPr>
      <w:r>
        <w:rPr>
          <w:rFonts w:ascii="Arial" w:eastAsia="Arial" w:hAnsi="Arial"/>
          <w:color w:val="000000"/>
          <w:sz w:val="20"/>
        </w:rPr>
        <w:t>These projects were supported by targeted engagement and promotional activities. The program delivered 17</w:t>
      </w:r>
    </w:p>
    <w:p w14:paraId="23D234D2" w14:textId="77777777" w:rsidR="00D8670B" w:rsidRDefault="009B37A9">
      <w:pPr>
        <w:spacing w:before="214" w:after="218" w:line="209" w:lineRule="exact"/>
        <w:ind w:right="216"/>
        <w:jc w:val="both"/>
        <w:textAlignment w:val="baseline"/>
        <w:rPr>
          <w:rFonts w:ascii="Arial" w:eastAsia="Arial" w:hAnsi="Arial"/>
          <w:color w:val="000000"/>
          <w:sz w:val="12"/>
        </w:rPr>
      </w:pPr>
      <w:r>
        <w:pict w14:anchorId="71E8475F">
          <v:line id="_x0000_s1068" style="position:absolute;left:0;text-align:left;z-index:251717632;mso-position-horizontal-relative:page;mso-position-vertical-relative:page" from="41.05pt,735.1pt" to="186.75pt,735.1pt" strokeweight=".7pt">
            <w10:wrap anchorx="page" anchory="page"/>
          </v:line>
        </w:pict>
      </w:r>
      <w:r>
        <w:rPr>
          <w:rFonts w:ascii="Arial" w:eastAsia="Arial" w:hAnsi="Arial"/>
          <w:color w:val="000000"/>
          <w:sz w:val="12"/>
        </w:rPr>
        <w:t xml:space="preserve">11 </w:t>
      </w:r>
      <w:r>
        <w:rPr>
          <w:rFonts w:ascii="Arial" w:eastAsia="Arial" w:hAnsi="Arial"/>
          <w:color w:val="000000"/>
          <w:sz w:val="18"/>
        </w:rPr>
        <w:t xml:space="preserve">Australian Government Department of Agriculture 2019, </w:t>
      </w:r>
      <w:r>
        <w:rPr>
          <w:rFonts w:ascii="Arial" w:eastAsia="Arial" w:hAnsi="Arial"/>
          <w:i/>
          <w:color w:val="000000"/>
          <w:sz w:val="18"/>
        </w:rPr>
        <w:t xml:space="preserve">Surface water recovery required under the Basin Plan including the Sustainable </w:t>
      </w:r>
      <w:r>
        <w:rPr>
          <w:rFonts w:ascii="Arial" w:eastAsia="Arial" w:hAnsi="Arial"/>
          <w:i/>
          <w:color w:val="000000"/>
          <w:sz w:val="18"/>
        </w:rPr>
        <w:t>Diversion Limit Adjustment Mechanism</w:t>
      </w:r>
      <w:r>
        <w:rPr>
          <w:rFonts w:ascii="Arial" w:eastAsia="Arial" w:hAnsi="Arial"/>
          <w:color w:val="000000"/>
          <w:sz w:val="18"/>
        </w:rPr>
        <w:t xml:space="preserve">, </w:t>
      </w:r>
      <w:hyperlink r:id="rId48">
        <w:r>
          <w:rPr>
            <w:rFonts w:ascii="Arial" w:eastAsia="Arial" w:hAnsi="Arial"/>
            <w:color w:val="0000FF"/>
            <w:sz w:val="18"/>
            <w:u w:val="single"/>
          </w:rPr>
          <w:t>www.agriculture.gov.au/water/mdb/progress-recovery/progress-of-water-recovery,</w:t>
        </w:r>
      </w:hyperlink>
      <w:r>
        <w:rPr>
          <w:rFonts w:ascii="Arial" w:eastAsia="Arial" w:hAnsi="Arial"/>
          <w:color w:val="000000"/>
          <w:sz w:val="18"/>
        </w:rPr>
        <w:t xml:space="preserve"> accessed 26 September 2019</w:t>
      </w:r>
    </w:p>
    <w:p w14:paraId="52411CF4" w14:textId="77777777" w:rsidR="00D8670B" w:rsidRDefault="009B37A9">
      <w:pPr>
        <w:spacing w:before="164" w:line="228" w:lineRule="exact"/>
        <w:jc w:val="center"/>
        <w:textAlignment w:val="baseline"/>
        <w:rPr>
          <w:rFonts w:ascii="Arial" w:eastAsia="Arial" w:hAnsi="Arial"/>
          <w:color w:val="000000"/>
          <w:spacing w:val="40"/>
          <w:sz w:val="20"/>
        </w:rPr>
      </w:pPr>
      <w:r>
        <w:pict w14:anchorId="7706FB7F">
          <v:line id="_x0000_s1067" style="position:absolute;left:0;text-align:left;z-index:251718656;mso-position-horizontal-relative:page;mso-position-vertical-relative:page" from="41.05pt,789.1pt" to="554.45pt,789.1pt" strokeweight="1.7pt">
            <w10:wrap anchorx="page" anchory="page"/>
          </v:line>
        </w:pict>
      </w:r>
      <w:r>
        <w:rPr>
          <w:rFonts w:ascii="Arial" w:eastAsia="Arial" w:hAnsi="Arial"/>
          <w:color w:val="000000"/>
          <w:spacing w:val="40"/>
          <w:sz w:val="20"/>
        </w:rPr>
        <w:t>39</w:t>
      </w:r>
    </w:p>
    <w:p w14:paraId="27008D1E" w14:textId="77777777" w:rsidR="00D8670B" w:rsidRDefault="00D8670B">
      <w:pPr>
        <w:sectPr w:rsidR="00D8670B">
          <w:pgSz w:w="11909" w:h="16838"/>
          <w:pgMar w:top="1120" w:right="821" w:bottom="282" w:left="821" w:header="720" w:footer="720" w:gutter="0"/>
          <w:cols w:space="720"/>
        </w:sectPr>
      </w:pPr>
    </w:p>
    <w:p w14:paraId="5B326E85" w14:textId="77777777" w:rsidR="00D8670B" w:rsidRDefault="009B37A9">
      <w:pPr>
        <w:spacing w:before="22" w:line="230" w:lineRule="exact"/>
        <w:ind w:right="216"/>
        <w:textAlignment w:val="baseline"/>
        <w:rPr>
          <w:rFonts w:ascii="Arial" w:eastAsia="Arial" w:hAnsi="Arial"/>
          <w:color w:val="000000"/>
          <w:sz w:val="20"/>
        </w:rPr>
      </w:pPr>
      <w:r>
        <w:rPr>
          <w:rFonts w:ascii="Arial" w:eastAsia="Arial" w:hAnsi="Arial"/>
          <w:color w:val="000000"/>
          <w:sz w:val="20"/>
        </w:rPr>
        <w:lastRenderedPageBreak/>
        <w:t xml:space="preserve">meetings and events to highlight successful technologies, management practices and funding opportunities through the HHWUE program. </w:t>
      </w:r>
      <w:r>
        <w:rPr>
          <w:rFonts w:ascii="Arial" w:eastAsia="Arial" w:hAnsi="Arial"/>
          <w:color w:val="000000"/>
          <w:sz w:val="20"/>
        </w:rPr>
        <w:t>Presenters at these events included irrigators, researchers, irrigation professionals and other specialists who discussed findings, developing trends and outcomes of completed projects. Key outputs such as the seasonal benchmarking reports were made availa</w:t>
      </w:r>
      <w:r>
        <w:rPr>
          <w:rFonts w:ascii="Arial" w:eastAsia="Arial" w:hAnsi="Arial"/>
          <w:color w:val="000000"/>
          <w:sz w:val="20"/>
        </w:rPr>
        <w:t xml:space="preserve">ble online and in limited hard copies. The Queensland Government distributed case studies and other information at industry events and through the program’s </w:t>
      </w:r>
      <w:r>
        <w:rPr>
          <w:rFonts w:ascii="Arial" w:eastAsia="Arial" w:hAnsi="Arial"/>
          <w:i/>
          <w:color w:val="000000"/>
          <w:sz w:val="20"/>
        </w:rPr>
        <w:t xml:space="preserve">Hughie </w:t>
      </w:r>
      <w:r>
        <w:rPr>
          <w:rFonts w:ascii="Arial" w:eastAsia="Arial" w:hAnsi="Arial"/>
          <w:color w:val="000000"/>
          <w:sz w:val="20"/>
        </w:rPr>
        <w:t>update.</w:t>
      </w:r>
    </w:p>
    <w:p w14:paraId="38C6CE1E" w14:textId="77777777" w:rsidR="00D8670B" w:rsidRDefault="009B37A9">
      <w:pPr>
        <w:spacing w:before="241" w:line="323" w:lineRule="exact"/>
        <w:textAlignment w:val="baseline"/>
        <w:rPr>
          <w:rFonts w:ascii="Arial" w:eastAsia="Arial" w:hAnsi="Arial"/>
          <w:b/>
          <w:color w:val="346C36"/>
          <w:sz w:val="28"/>
        </w:rPr>
      </w:pPr>
      <w:r>
        <w:rPr>
          <w:rFonts w:ascii="Arial" w:eastAsia="Arial" w:hAnsi="Arial"/>
          <w:b/>
          <w:color w:val="346C36"/>
          <w:sz w:val="28"/>
        </w:rPr>
        <w:t>3.3.2 Funding for efficient technologies</w:t>
      </w:r>
    </w:p>
    <w:p w14:paraId="3DDE1AA8" w14:textId="77777777" w:rsidR="00D8670B" w:rsidRDefault="009B37A9">
      <w:pPr>
        <w:spacing w:before="117" w:line="230" w:lineRule="exact"/>
        <w:ind w:right="216"/>
        <w:textAlignment w:val="baseline"/>
        <w:rPr>
          <w:rFonts w:ascii="Arial" w:eastAsia="Arial" w:hAnsi="Arial"/>
          <w:color w:val="000000"/>
          <w:sz w:val="20"/>
        </w:rPr>
      </w:pPr>
      <w:r>
        <w:rPr>
          <w:rFonts w:ascii="Arial" w:eastAsia="Arial" w:hAnsi="Arial"/>
          <w:color w:val="000000"/>
          <w:sz w:val="20"/>
        </w:rPr>
        <w:t>The HHWUE program encouraged uptake of technologies by providing funding for irrigators to convert or upgrade their systems to more water use efficient infrastructure.</w:t>
      </w:r>
    </w:p>
    <w:p w14:paraId="0CB17CFF" w14:textId="77777777" w:rsidR="00D8670B" w:rsidRDefault="009B37A9">
      <w:pPr>
        <w:spacing w:before="121" w:after="76" w:line="230" w:lineRule="exact"/>
        <w:ind w:right="576"/>
        <w:textAlignment w:val="baseline"/>
        <w:rPr>
          <w:rFonts w:ascii="Arial" w:eastAsia="Arial" w:hAnsi="Arial"/>
          <w:color w:val="000000"/>
          <w:sz w:val="20"/>
        </w:rPr>
      </w:pPr>
      <w:r>
        <w:rPr>
          <w:rFonts w:ascii="Arial" w:eastAsia="Arial" w:hAnsi="Arial"/>
          <w:color w:val="000000"/>
          <w:sz w:val="20"/>
        </w:rPr>
        <w:t>Through funding of $73,916,531.44, the program contributed to in-field, storages and distribution upgrades on 43 enterprises across the QMDB.</w:t>
      </w:r>
    </w:p>
    <w:p w14:paraId="1014ED93" w14:textId="77777777" w:rsidR="00D8670B" w:rsidRDefault="009B37A9">
      <w:pPr>
        <w:spacing w:after="131"/>
        <w:ind w:left="134" w:right="581"/>
        <w:textAlignment w:val="baseline"/>
      </w:pPr>
      <w:r>
        <w:rPr>
          <w:noProof/>
        </w:rPr>
        <w:drawing>
          <wp:inline distT="0" distB="0" distL="0" distR="0" wp14:anchorId="61EB3E3B" wp14:editId="182BA783">
            <wp:extent cx="6065520" cy="829310"/>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49"/>
                    <a:stretch>
                      <a:fillRect/>
                    </a:stretch>
                  </pic:blipFill>
                  <pic:spPr>
                    <a:xfrm>
                      <a:off x="0" y="0"/>
                      <a:ext cx="6065520" cy="829310"/>
                    </a:xfrm>
                    <a:prstGeom prst="rect">
                      <a:avLst/>
                    </a:prstGeom>
                  </pic:spPr>
                </pic:pic>
              </a:graphicData>
            </a:graphic>
          </wp:inline>
        </w:drawing>
      </w:r>
    </w:p>
    <w:p w14:paraId="0DEAD6F4" w14:textId="77777777" w:rsidR="00D8670B" w:rsidRDefault="009B37A9">
      <w:pPr>
        <w:spacing w:line="230" w:lineRule="exact"/>
        <w:ind w:right="360"/>
        <w:textAlignment w:val="baseline"/>
        <w:rPr>
          <w:rFonts w:ascii="Arial" w:eastAsia="Arial" w:hAnsi="Arial"/>
          <w:color w:val="000000"/>
          <w:spacing w:val="-1"/>
          <w:sz w:val="20"/>
        </w:rPr>
      </w:pPr>
      <w:r>
        <w:rPr>
          <w:rFonts w:ascii="Arial" w:eastAsia="Arial" w:hAnsi="Arial"/>
          <w:color w:val="000000"/>
          <w:spacing w:val="-1"/>
          <w:sz w:val="20"/>
        </w:rPr>
        <w:t>Some projects included multiple technologies, such as storage modification and conversion to lateral move system</w:t>
      </w:r>
      <w:r>
        <w:rPr>
          <w:rFonts w:ascii="Arial" w:eastAsia="Arial" w:hAnsi="Arial"/>
          <w:color w:val="000000"/>
          <w:spacing w:val="-1"/>
          <w:sz w:val="20"/>
        </w:rPr>
        <w:t>s in one project. Eight in-field projects reconfigured new irrigation area for rotational or opportunity crops.</w:t>
      </w:r>
    </w:p>
    <w:p w14:paraId="05450B1D" w14:textId="77777777" w:rsidR="00D8670B" w:rsidRDefault="009B37A9">
      <w:pPr>
        <w:spacing w:before="242" w:line="297" w:lineRule="exact"/>
        <w:textAlignment w:val="baseline"/>
        <w:rPr>
          <w:rFonts w:ascii="Arial" w:eastAsia="Arial" w:hAnsi="Arial"/>
          <w:b/>
          <w:color w:val="55532D"/>
          <w:sz w:val="26"/>
        </w:rPr>
      </w:pPr>
      <w:r>
        <w:rPr>
          <w:rFonts w:ascii="Arial" w:eastAsia="Arial" w:hAnsi="Arial"/>
          <w:b/>
          <w:color w:val="55532D"/>
          <w:sz w:val="26"/>
        </w:rPr>
        <w:t>3.3.2.1 Storage modification</w:t>
      </w:r>
    </w:p>
    <w:p w14:paraId="44C7FB0D" w14:textId="77777777" w:rsidR="00D8670B" w:rsidRDefault="009B37A9">
      <w:pPr>
        <w:spacing w:before="121" w:line="230" w:lineRule="exact"/>
        <w:ind w:right="144"/>
        <w:textAlignment w:val="baseline"/>
        <w:rPr>
          <w:rFonts w:ascii="Arial" w:eastAsia="Arial" w:hAnsi="Arial"/>
          <w:color w:val="000000"/>
          <w:sz w:val="20"/>
        </w:rPr>
      </w:pPr>
      <w:r>
        <w:rPr>
          <w:rFonts w:ascii="Arial" w:eastAsia="Arial" w:hAnsi="Arial"/>
          <w:color w:val="000000"/>
          <w:sz w:val="20"/>
        </w:rPr>
        <w:t xml:space="preserve">Storage modification encompassed a broad range of methods to mitigate seepage and evaporation losses. Thirty-seven </w:t>
      </w:r>
      <w:r>
        <w:rPr>
          <w:rFonts w:ascii="Arial" w:eastAsia="Arial" w:hAnsi="Arial"/>
          <w:color w:val="000000"/>
          <w:sz w:val="20"/>
        </w:rPr>
        <w:t>projects conducted modifications on 48 storages with a combined volume of 106 GL. Geographically, storages were the widest spread project type with projects across all four catchments. Completed storages ranged in size from 200 ML to 6.8 GL. Mitigation str</w:t>
      </w:r>
      <w:r>
        <w:rPr>
          <w:rFonts w:ascii="Arial" w:eastAsia="Arial" w:hAnsi="Arial"/>
          <w:color w:val="000000"/>
          <w:sz w:val="20"/>
        </w:rPr>
        <w:t>ategies included:</w:t>
      </w:r>
    </w:p>
    <w:p w14:paraId="46F6FF4F" w14:textId="77777777" w:rsidR="00D8670B" w:rsidRDefault="009B37A9">
      <w:pPr>
        <w:numPr>
          <w:ilvl w:val="0"/>
          <w:numId w:val="5"/>
        </w:numPr>
        <w:tabs>
          <w:tab w:val="clear" w:pos="432"/>
          <w:tab w:val="left" w:pos="792"/>
        </w:tabs>
        <w:spacing w:before="130" w:line="230" w:lineRule="exact"/>
        <w:ind w:left="360"/>
        <w:textAlignment w:val="baseline"/>
        <w:rPr>
          <w:rFonts w:ascii="Arial" w:eastAsia="Arial" w:hAnsi="Arial"/>
          <w:color w:val="000000"/>
          <w:sz w:val="20"/>
        </w:rPr>
      </w:pPr>
      <w:r>
        <w:rPr>
          <w:rFonts w:ascii="Arial" w:eastAsia="Arial" w:hAnsi="Arial"/>
          <w:color w:val="000000"/>
          <w:sz w:val="20"/>
        </w:rPr>
        <w:t>clay lining seepage-prone areas on the storage floor</w:t>
      </w:r>
    </w:p>
    <w:p w14:paraId="0CAD4E86" w14:textId="77777777" w:rsidR="00D8670B" w:rsidRDefault="009B37A9">
      <w:pPr>
        <w:numPr>
          <w:ilvl w:val="0"/>
          <w:numId w:val="5"/>
        </w:numPr>
        <w:tabs>
          <w:tab w:val="clear" w:pos="432"/>
          <w:tab w:val="left" w:pos="792"/>
        </w:tabs>
        <w:spacing w:before="134" w:line="230" w:lineRule="exact"/>
        <w:ind w:left="360"/>
        <w:textAlignment w:val="baseline"/>
        <w:rPr>
          <w:rFonts w:ascii="Arial" w:eastAsia="Arial" w:hAnsi="Arial"/>
          <w:color w:val="000000"/>
          <w:sz w:val="20"/>
        </w:rPr>
      </w:pPr>
      <w:r>
        <w:rPr>
          <w:rFonts w:ascii="Arial" w:eastAsia="Arial" w:hAnsi="Arial"/>
          <w:color w:val="000000"/>
          <w:sz w:val="20"/>
        </w:rPr>
        <w:t>lining storage crests to reduce erosion and subsequent height decrease</w:t>
      </w:r>
    </w:p>
    <w:p w14:paraId="6FAA0F78" w14:textId="77777777" w:rsidR="00D8670B" w:rsidRDefault="009B37A9">
      <w:pPr>
        <w:numPr>
          <w:ilvl w:val="0"/>
          <w:numId w:val="5"/>
        </w:numPr>
        <w:tabs>
          <w:tab w:val="clear" w:pos="432"/>
          <w:tab w:val="left" w:pos="792"/>
        </w:tabs>
        <w:spacing w:before="135" w:line="230" w:lineRule="exact"/>
        <w:ind w:left="360"/>
        <w:textAlignment w:val="baseline"/>
        <w:rPr>
          <w:rFonts w:ascii="Arial" w:eastAsia="Arial" w:hAnsi="Arial"/>
          <w:color w:val="000000"/>
          <w:sz w:val="20"/>
        </w:rPr>
      </w:pPr>
      <w:r>
        <w:rPr>
          <w:rFonts w:ascii="Arial" w:eastAsia="Arial" w:hAnsi="Arial"/>
          <w:color w:val="000000"/>
          <w:sz w:val="20"/>
        </w:rPr>
        <w:t>constructing internal walls to create smaller storage cells</w:t>
      </w:r>
    </w:p>
    <w:p w14:paraId="6A204F8C" w14:textId="77777777" w:rsidR="00D8670B" w:rsidRDefault="009B37A9">
      <w:pPr>
        <w:numPr>
          <w:ilvl w:val="0"/>
          <w:numId w:val="5"/>
        </w:numPr>
        <w:tabs>
          <w:tab w:val="clear" w:pos="432"/>
          <w:tab w:val="left" w:pos="792"/>
        </w:tabs>
        <w:spacing w:before="135" w:line="230" w:lineRule="exact"/>
        <w:ind w:left="360"/>
        <w:textAlignment w:val="baseline"/>
        <w:rPr>
          <w:rFonts w:ascii="Arial" w:eastAsia="Arial" w:hAnsi="Arial"/>
          <w:color w:val="000000"/>
          <w:spacing w:val="-1"/>
          <w:sz w:val="20"/>
        </w:rPr>
      </w:pPr>
      <w:r>
        <w:rPr>
          <w:rFonts w:ascii="Arial" w:eastAsia="Arial" w:hAnsi="Arial"/>
          <w:color w:val="000000"/>
          <w:spacing w:val="-1"/>
          <w:sz w:val="20"/>
        </w:rPr>
        <w:t>replacing shallow storages with deeper storages.</w:t>
      </w:r>
    </w:p>
    <w:p w14:paraId="7498AFDB" w14:textId="77777777" w:rsidR="00D8670B" w:rsidRDefault="009B37A9">
      <w:pPr>
        <w:spacing w:before="122" w:line="230" w:lineRule="exact"/>
        <w:ind w:right="144"/>
        <w:textAlignment w:val="baseline"/>
        <w:rPr>
          <w:rFonts w:ascii="Arial" w:eastAsia="Arial" w:hAnsi="Arial"/>
          <w:color w:val="000000"/>
          <w:sz w:val="20"/>
        </w:rPr>
      </w:pPr>
      <w:r>
        <w:rPr>
          <w:rFonts w:ascii="Arial" w:eastAsia="Arial" w:hAnsi="Arial"/>
          <w:color w:val="000000"/>
          <w:sz w:val="20"/>
        </w:rPr>
        <w:t>Storage projects usually required extensive earthworks. In some projects, delivery system reconfigurations were required to allow movement of water between storages and fields. Projects such as deep cell construction for instance required efficient managem</w:t>
      </w:r>
      <w:r>
        <w:rPr>
          <w:rFonts w:ascii="Arial" w:eastAsia="Arial" w:hAnsi="Arial"/>
          <w:color w:val="000000"/>
          <w:sz w:val="20"/>
        </w:rPr>
        <w:t>ent between all on-farm storages (e.g. ensuring water was held the longest in deeper cells to reduce the overall potential for evaporation and seepage).</w:t>
      </w:r>
    </w:p>
    <w:p w14:paraId="209F6A62" w14:textId="77777777" w:rsidR="00D8670B" w:rsidRDefault="009B37A9">
      <w:pPr>
        <w:spacing w:before="117" w:line="230" w:lineRule="exact"/>
        <w:ind w:right="72"/>
        <w:textAlignment w:val="baseline"/>
        <w:rPr>
          <w:rFonts w:ascii="Arial" w:eastAsia="Arial" w:hAnsi="Arial"/>
          <w:color w:val="000000"/>
          <w:spacing w:val="1"/>
          <w:sz w:val="20"/>
        </w:rPr>
      </w:pPr>
      <w:r>
        <w:rPr>
          <w:rFonts w:ascii="Arial" w:eastAsia="Arial" w:hAnsi="Arial"/>
          <w:color w:val="000000"/>
          <w:spacing w:val="1"/>
          <w:sz w:val="20"/>
        </w:rPr>
        <w:t>Storages represented some of the more time consuming projects, often requiring a complex development ap</w:t>
      </w:r>
      <w:r>
        <w:rPr>
          <w:rFonts w:ascii="Arial" w:eastAsia="Arial" w:hAnsi="Arial"/>
          <w:color w:val="000000"/>
          <w:spacing w:val="1"/>
          <w:sz w:val="20"/>
        </w:rPr>
        <w:t>proval process and constrained by water availability. While in-field projects could occur between regular cropping seasons, storage projects could often only be undertaken when the storage was dry. If a river flow occurred for instance, it was rarely pract</w:t>
      </w:r>
      <w:r>
        <w:rPr>
          <w:rFonts w:ascii="Arial" w:eastAsia="Arial" w:hAnsi="Arial"/>
          <w:color w:val="000000"/>
          <w:spacing w:val="1"/>
          <w:sz w:val="20"/>
        </w:rPr>
        <w:t>ical for irrigators to miss this opportunity to take water in favour of undertaking the storage works.</w:t>
      </w:r>
    </w:p>
    <w:p w14:paraId="1EC0F4F7" w14:textId="77777777" w:rsidR="00D8670B" w:rsidRDefault="009B37A9">
      <w:pPr>
        <w:spacing w:before="246" w:line="297" w:lineRule="exact"/>
        <w:textAlignment w:val="baseline"/>
        <w:rPr>
          <w:rFonts w:ascii="Arial" w:eastAsia="Arial" w:hAnsi="Arial"/>
          <w:b/>
          <w:color w:val="55532D"/>
          <w:sz w:val="26"/>
        </w:rPr>
      </w:pPr>
      <w:r>
        <w:rPr>
          <w:rFonts w:ascii="Arial" w:eastAsia="Arial" w:hAnsi="Arial"/>
          <w:b/>
          <w:color w:val="55532D"/>
          <w:sz w:val="26"/>
        </w:rPr>
        <w:t>3.3.2.2 Centre pivot and lateral move</w:t>
      </w:r>
    </w:p>
    <w:p w14:paraId="6B826685" w14:textId="77777777" w:rsidR="00D8670B" w:rsidRDefault="009B37A9">
      <w:pPr>
        <w:spacing w:before="116" w:line="230" w:lineRule="exact"/>
        <w:ind w:right="288"/>
        <w:textAlignment w:val="baseline"/>
        <w:rPr>
          <w:rFonts w:ascii="Arial" w:eastAsia="Arial" w:hAnsi="Arial"/>
          <w:color w:val="000000"/>
          <w:sz w:val="20"/>
        </w:rPr>
      </w:pPr>
      <w:r>
        <w:rPr>
          <w:rFonts w:ascii="Arial" w:eastAsia="Arial" w:hAnsi="Arial"/>
          <w:color w:val="000000"/>
          <w:sz w:val="20"/>
        </w:rPr>
        <w:t>Centre pivot and lateral move projects represented 17 projects, the largest proportion of in-field works by project</w:t>
      </w:r>
      <w:r>
        <w:rPr>
          <w:rFonts w:ascii="Arial" w:eastAsia="Arial" w:hAnsi="Arial"/>
          <w:color w:val="000000"/>
          <w:sz w:val="20"/>
        </w:rPr>
        <w:t>. Most centre pivot and lateral move projects were located in the mid and upper Condamine regions with the remainder in the Border Rivers.</w:t>
      </w:r>
    </w:p>
    <w:p w14:paraId="04A3DE67" w14:textId="77777777" w:rsidR="00D8670B" w:rsidRDefault="009B37A9">
      <w:pPr>
        <w:spacing w:before="122" w:line="230" w:lineRule="exact"/>
        <w:ind w:right="72"/>
        <w:textAlignment w:val="baseline"/>
        <w:rPr>
          <w:rFonts w:ascii="Arial" w:eastAsia="Arial" w:hAnsi="Arial"/>
          <w:color w:val="000000"/>
          <w:sz w:val="20"/>
        </w:rPr>
      </w:pPr>
      <w:r>
        <w:rPr>
          <w:rFonts w:ascii="Arial" w:eastAsia="Arial" w:hAnsi="Arial"/>
          <w:color w:val="000000"/>
          <w:sz w:val="20"/>
        </w:rPr>
        <w:t>These projects generally involved converting irrigated area from siphon or other more water-intensive irrigation meth</w:t>
      </w:r>
      <w:r>
        <w:rPr>
          <w:rFonts w:ascii="Arial" w:eastAsia="Arial" w:hAnsi="Arial"/>
          <w:color w:val="000000"/>
          <w:sz w:val="20"/>
        </w:rPr>
        <w:t>ods to low pressure overhead systems. Some projects upgraded existing overhead systems to a more efficient design. Projects often included reshaping and reconfiguring fields and drains to suit the circle or linear area of the machines. Individual field siz</w:t>
      </w:r>
      <w:r>
        <w:rPr>
          <w:rFonts w:ascii="Arial" w:eastAsia="Arial" w:hAnsi="Arial"/>
          <w:color w:val="000000"/>
          <w:sz w:val="20"/>
        </w:rPr>
        <w:t>e ranged from around 20 ha to 300 ha, with lateral moves spanning most of the larger areas.</w:t>
      </w:r>
    </w:p>
    <w:p w14:paraId="1D97C00E" w14:textId="77777777" w:rsidR="00D8670B" w:rsidRDefault="009B37A9">
      <w:pPr>
        <w:spacing w:before="241" w:line="297" w:lineRule="exact"/>
        <w:textAlignment w:val="baseline"/>
        <w:rPr>
          <w:rFonts w:ascii="Arial" w:eastAsia="Arial" w:hAnsi="Arial"/>
          <w:b/>
          <w:color w:val="55532D"/>
          <w:sz w:val="26"/>
        </w:rPr>
      </w:pPr>
      <w:r>
        <w:rPr>
          <w:rFonts w:ascii="Arial" w:eastAsia="Arial" w:hAnsi="Arial"/>
          <w:b/>
          <w:color w:val="55532D"/>
          <w:sz w:val="26"/>
        </w:rPr>
        <w:t>3.3.2.3 Bankless channel</w:t>
      </w:r>
    </w:p>
    <w:p w14:paraId="61AF9A1F" w14:textId="77777777" w:rsidR="00D8670B" w:rsidRDefault="009B37A9">
      <w:pPr>
        <w:spacing w:before="120" w:after="210" w:line="230" w:lineRule="exact"/>
        <w:ind w:right="72"/>
        <w:textAlignment w:val="baseline"/>
        <w:rPr>
          <w:rFonts w:ascii="Arial" w:eastAsia="Arial" w:hAnsi="Arial"/>
          <w:color w:val="000000"/>
          <w:sz w:val="20"/>
        </w:rPr>
      </w:pPr>
      <w:r>
        <w:rPr>
          <w:rFonts w:ascii="Arial" w:eastAsia="Arial" w:hAnsi="Arial"/>
          <w:color w:val="000000"/>
          <w:sz w:val="20"/>
        </w:rPr>
        <w:t xml:space="preserve">Bankless channel represented 4275 hectares of field upgrades, the largest proportion of in-field works on a hectare scale. The 10 projects </w:t>
      </w:r>
      <w:r>
        <w:rPr>
          <w:rFonts w:ascii="Arial" w:eastAsia="Arial" w:hAnsi="Arial"/>
          <w:color w:val="000000"/>
          <w:sz w:val="20"/>
        </w:rPr>
        <w:t>were located in the Lower Balonne region and Border Rivers catchment. Typically, these projects converted siphon irrigated area to bankless channel. Fields often required significant reshaping and</w:t>
      </w:r>
    </w:p>
    <w:p w14:paraId="28B88A94" w14:textId="77777777" w:rsidR="00D8670B" w:rsidRDefault="009B37A9">
      <w:pPr>
        <w:spacing w:before="164" w:line="228" w:lineRule="exact"/>
        <w:jc w:val="center"/>
        <w:textAlignment w:val="baseline"/>
        <w:rPr>
          <w:rFonts w:ascii="Arial" w:eastAsia="Arial" w:hAnsi="Arial"/>
          <w:color w:val="000000"/>
          <w:spacing w:val="41"/>
          <w:sz w:val="20"/>
        </w:rPr>
      </w:pPr>
      <w:r>
        <w:pict w14:anchorId="7D9828FE">
          <v:line id="_x0000_s1066" style="position:absolute;left:0;text-align:left;z-index:251719680;mso-position-horizontal-relative:page;mso-position-vertical-relative:page" from="41.05pt,789.1pt" to="554.45pt,789.1pt" strokeweight="1.7pt">
            <w10:wrap anchorx="page" anchory="page"/>
          </v:line>
        </w:pict>
      </w:r>
      <w:r>
        <w:rPr>
          <w:rFonts w:ascii="Arial" w:eastAsia="Arial" w:hAnsi="Arial"/>
          <w:color w:val="000000"/>
          <w:spacing w:val="41"/>
          <w:sz w:val="20"/>
        </w:rPr>
        <w:t>40</w:t>
      </w:r>
    </w:p>
    <w:p w14:paraId="4AA91825" w14:textId="77777777" w:rsidR="00D8670B" w:rsidRDefault="00D8670B">
      <w:pPr>
        <w:sectPr w:rsidR="00D8670B">
          <w:pgSz w:w="11909" w:h="16838"/>
          <w:pgMar w:top="1120" w:right="821" w:bottom="282" w:left="821" w:header="720" w:footer="720" w:gutter="0"/>
          <w:cols w:space="720"/>
        </w:sectPr>
      </w:pPr>
    </w:p>
    <w:p w14:paraId="54102F1D" w14:textId="77777777" w:rsidR="00D8670B" w:rsidRDefault="009B37A9">
      <w:pPr>
        <w:spacing w:before="19" w:line="230" w:lineRule="exact"/>
        <w:textAlignment w:val="baseline"/>
        <w:rPr>
          <w:rFonts w:ascii="Arial" w:eastAsia="Arial" w:hAnsi="Arial"/>
          <w:color w:val="000000"/>
          <w:sz w:val="20"/>
        </w:rPr>
      </w:pPr>
      <w:r>
        <w:rPr>
          <w:rFonts w:ascii="Arial" w:eastAsia="Arial" w:hAnsi="Arial"/>
          <w:color w:val="000000"/>
          <w:sz w:val="20"/>
        </w:rPr>
        <w:lastRenderedPageBreak/>
        <w:t>grading to suit the bankless channel bays and changes to flow direction.</w:t>
      </w:r>
    </w:p>
    <w:p w14:paraId="0BEC460D" w14:textId="77777777" w:rsidR="00D8670B" w:rsidRDefault="009B37A9">
      <w:pPr>
        <w:spacing w:before="246" w:line="300" w:lineRule="exact"/>
        <w:textAlignment w:val="baseline"/>
        <w:rPr>
          <w:rFonts w:ascii="Arial" w:eastAsia="Arial" w:hAnsi="Arial"/>
          <w:b/>
          <w:color w:val="55532D"/>
          <w:sz w:val="26"/>
        </w:rPr>
      </w:pPr>
      <w:r>
        <w:rPr>
          <w:rFonts w:ascii="Arial" w:eastAsia="Arial" w:hAnsi="Arial"/>
          <w:b/>
          <w:color w:val="55532D"/>
          <w:sz w:val="26"/>
        </w:rPr>
        <w:t>3.3.2.4 Other in-field systems</w:t>
      </w:r>
    </w:p>
    <w:p w14:paraId="02482463" w14:textId="77777777" w:rsidR="00D8670B" w:rsidRDefault="009B37A9">
      <w:pPr>
        <w:spacing w:before="118" w:line="230" w:lineRule="exact"/>
        <w:ind w:right="288"/>
        <w:textAlignment w:val="baseline"/>
        <w:rPr>
          <w:rFonts w:ascii="Arial" w:eastAsia="Arial" w:hAnsi="Arial"/>
          <w:color w:val="000000"/>
          <w:spacing w:val="-1"/>
          <w:sz w:val="20"/>
        </w:rPr>
      </w:pPr>
      <w:r>
        <w:rPr>
          <w:rFonts w:ascii="Arial" w:eastAsia="Arial" w:hAnsi="Arial"/>
          <w:color w:val="000000"/>
          <w:spacing w:val="-1"/>
          <w:sz w:val="20"/>
        </w:rPr>
        <w:t>A further eight projects undertook in-field upgrades including pipe-through-the-bank, optimised siphon, drip and microjet systems. These projects repres</w:t>
      </w:r>
      <w:r>
        <w:rPr>
          <w:rFonts w:ascii="Arial" w:eastAsia="Arial" w:hAnsi="Arial"/>
          <w:color w:val="000000"/>
          <w:spacing w:val="-1"/>
          <w:sz w:val="20"/>
        </w:rPr>
        <w:t>ented 1341 ha of upgrades in the Lower Balonne region. These projects converted fields to low-pressure, precision technologies, some of which occurred in conjunction with other works.</w:t>
      </w:r>
    </w:p>
    <w:p w14:paraId="24A89E44" w14:textId="77777777" w:rsidR="00D8670B" w:rsidRDefault="009B37A9">
      <w:pPr>
        <w:spacing w:before="237" w:line="320" w:lineRule="exact"/>
        <w:textAlignment w:val="baseline"/>
        <w:rPr>
          <w:rFonts w:ascii="Arial" w:eastAsia="Arial" w:hAnsi="Arial"/>
          <w:b/>
          <w:color w:val="346C36"/>
          <w:sz w:val="28"/>
        </w:rPr>
      </w:pPr>
      <w:r>
        <w:rPr>
          <w:rFonts w:ascii="Arial" w:eastAsia="Arial" w:hAnsi="Arial"/>
          <w:b/>
          <w:color w:val="346C36"/>
          <w:sz w:val="28"/>
        </w:rPr>
        <w:t>3.3.3 Irrigator responses</w:t>
      </w:r>
    </w:p>
    <w:p w14:paraId="73CC684D" w14:textId="77777777" w:rsidR="00D8670B" w:rsidRDefault="009B37A9">
      <w:pPr>
        <w:spacing w:before="118" w:line="230" w:lineRule="exact"/>
        <w:ind w:right="144"/>
        <w:textAlignment w:val="baseline"/>
        <w:rPr>
          <w:rFonts w:ascii="Arial" w:eastAsia="Arial" w:hAnsi="Arial"/>
          <w:color w:val="000000"/>
          <w:sz w:val="20"/>
        </w:rPr>
      </w:pPr>
      <w:r>
        <w:rPr>
          <w:rFonts w:ascii="Arial" w:eastAsia="Arial" w:hAnsi="Arial"/>
          <w:color w:val="000000"/>
          <w:sz w:val="20"/>
        </w:rPr>
        <w:t>The program investment enabled irrigators to secure the benefits of new technologies faster than they would have own their own. These benefits included both water use efficiencies and other gains such as reduced operating costs, increased flexibility and i</w:t>
      </w:r>
      <w:r>
        <w:rPr>
          <w:rFonts w:ascii="Arial" w:eastAsia="Arial" w:hAnsi="Arial"/>
          <w:color w:val="000000"/>
          <w:sz w:val="20"/>
        </w:rPr>
        <w:t>mproved productivity</w:t>
      </w:r>
      <w:r>
        <w:rPr>
          <w:rFonts w:ascii="Arial" w:eastAsia="Arial" w:hAnsi="Arial"/>
          <w:color w:val="000000"/>
          <w:sz w:val="20"/>
          <w:vertAlign w:val="superscript"/>
        </w:rPr>
        <w:t>12</w:t>
      </w:r>
      <w:r>
        <w:rPr>
          <w:rFonts w:ascii="Arial" w:eastAsia="Arial" w:hAnsi="Arial"/>
          <w:color w:val="000000"/>
          <w:sz w:val="20"/>
        </w:rPr>
        <w:t>.</w:t>
      </w:r>
    </w:p>
    <w:p w14:paraId="03CA3B67" w14:textId="77777777" w:rsidR="00D8670B" w:rsidRDefault="009B37A9">
      <w:pPr>
        <w:spacing w:before="123" w:after="81" w:line="230" w:lineRule="exact"/>
        <w:ind w:right="720"/>
        <w:textAlignment w:val="baseline"/>
        <w:rPr>
          <w:rFonts w:ascii="Arial" w:eastAsia="Arial" w:hAnsi="Arial"/>
          <w:color w:val="000000"/>
          <w:sz w:val="20"/>
        </w:rPr>
      </w:pPr>
      <w:r>
        <w:rPr>
          <w:rFonts w:ascii="Arial" w:eastAsia="Arial" w:hAnsi="Arial"/>
          <w:color w:val="000000"/>
          <w:sz w:val="20"/>
        </w:rPr>
        <w:t>The 23 irrigators who returned post-completion surveys provided positive feedback on the outcomes of their projects and the impact of the funding program.</w:t>
      </w:r>
    </w:p>
    <w:p w14:paraId="0055816A" w14:textId="77777777" w:rsidR="00D8670B" w:rsidRDefault="009B37A9">
      <w:pPr>
        <w:spacing w:after="136"/>
        <w:ind w:left="24" w:right="34"/>
        <w:textAlignment w:val="baseline"/>
      </w:pPr>
      <w:r>
        <w:rPr>
          <w:noProof/>
        </w:rPr>
        <w:drawing>
          <wp:inline distT="0" distB="0" distL="0" distR="0" wp14:anchorId="516984D8" wp14:editId="5DC61C16">
            <wp:extent cx="6482715" cy="182562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50"/>
                    <a:stretch>
                      <a:fillRect/>
                    </a:stretch>
                  </pic:blipFill>
                  <pic:spPr>
                    <a:xfrm>
                      <a:off x="0" y="0"/>
                      <a:ext cx="6482715" cy="1825625"/>
                    </a:xfrm>
                    <a:prstGeom prst="rect">
                      <a:avLst/>
                    </a:prstGeom>
                  </pic:spPr>
                </pic:pic>
              </a:graphicData>
            </a:graphic>
          </wp:inline>
        </w:drawing>
      </w:r>
    </w:p>
    <w:p w14:paraId="6B526C50" w14:textId="77777777" w:rsidR="00D8670B" w:rsidRDefault="009B37A9">
      <w:pPr>
        <w:spacing w:before="1" w:line="230" w:lineRule="exact"/>
        <w:textAlignment w:val="baseline"/>
        <w:rPr>
          <w:rFonts w:ascii="Arial" w:eastAsia="Arial" w:hAnsi="Arial"/>
          <w:b/>
          <w:color w:val="000000"/>
          <w:sz w:val="20"/>
        </w:rPr>
      </w:pPr>
      <w:r>
        <w:rPr>
          <w:rFonts w:ascii="Arial" w:eastAsia="Arial" w:hAnsi="Arial"/>
          <w:b/>
          <w:color w:val="000000"/>
          <w:sz w:val="20"/>
        </w:rPr>
        <w:t>Figure 16: Irrigator feedback from post-completion surveys</w:t>
      </w:r>
    </w:p>
    <w:p w14:paraId="54122ABB" w14:textId="77777777" w:rsidR="00D8670B" w:rsidRDefault="009B37A9">
      <w:pPr>
        <w:spacing w:before="121" w:after="464" w:line="230" w:lineRule="exact"/>
        <w:ind w:right="72"/>
        <w:textAlignment w:val="baseline"/>
        <w:rPr>
          <w:rFonts w:ascii="Arial" w:eastAsia="Arial" w:hAnsi="Arial"/>
          <w:color w:val="000000"/>
          <w:spacing w:val="-1"/>
          <w:sz w:val="20"/>
        </w:rPr>
      </w:pPr>
      <w:r>
        <w:rPr>
          <w:rFonts w:ascii="Arial" w:eastAsia="Arial" w:hAnsi="Arial"/>
          <w:color w:val="000000"/>
          <w:spacing w:val="-1"/>
          <w:sz w:val="20"/>
        </w:rPr>
        <w:t>Irrigators’ comm</w:t>
      </w:r>
      <w:r>
        <w:rPr>
          <w:rFonts w:ascii="Arial" w:eastAsia="Arial" w:hAnsi="Arial"/>
          <w:color w:val="000000"/>
          <w:spacing w:val="-1"/>
          <w:sz w:val="20"/>
        </w:rPr>
        <w:t>ents were also positive regarding the level of support from the HHWUE program team, in particular the case management and localised approach to each project. Three out of the 23 irrigators noted the time and complexity of the water transfer process created</w:t>
      </w:r>
      <w:r>
        <w:rPr>
          <w:rFonts w:ascii="Arial" w:eastAsia="Arial" w:hAnsi="Arial"/>
          <w:color w:val="000000"/>
          <w:spacing w:val="-1"/>
          <w:sz w:val="20"/>
        </w:rPr>
        <w:t xml:space="preserve"> a barrier when participating in the program. Three out of 23 irrigators also expressed frustration with the record keeping requirements of the program. One irrigator suggested productivity gains and carbon emissions could be assessment criteria in future </w:t>
      </w:r>
      <w:r>
        <w:rPr>
          <w:rFonts w:ascii="Arial" w:eastAsia="Arial" w:hAnsi="Arial"/>
          <w:color w:val="000000"/>
          <w:spacing w:val="-1"/>
          <w:sz w:val="20"/>
        </w:rPr>
        <w:t>programs. Overall however, irrigators expressed satisfaction with the program and its ability to help them meet their business outcomes.</w:t>
      </w:r>
    </w:p>
    <w:p w14:paraId="57FE1EED" w14:textId="77777777" w:rsidR="00D8670B" w:rsidRDefault="009B37A9">
      <w:pPr>
        <w:spacing w:after="223" w:line="210" w:lineRule="exact"/>
        <w:ind w:right="288"/>
        <w:textAlignment w:val="baseline"/>
        <w:rPr>
          <w:rFonts w:ascii="Arial" w:eastAsia="Arial" w:hAnsi="Arial"/>
          <w:color w:val="000000"/>
          <w:sz w:val="12"/>
        </w:rPr>
      </w:pPr>
      <w:r>
        <w:pict w14:anchorId="0047D72F">
          <v:shape id="_x0000_s1065" type="#_x0000_t202" style="position:absolute;margin-left:41.05pt;margin-top:498.25pt;width:511.45pt;height:206.65pt;z-index:-251673600;mso-wrap-distance-left:0;mso-wrap-distance-right:1.9pt;mso-wrap-distance-bottom:50.6pt;mso-position-horizontal-relative:page;mso-position-vertical-relative:page" fillcolor="#eaf4fb" stroked="f">
            <v:textbox inset="0,0,0,0">
              <w:txbxContent>
                <w:p w14:paraId="3B9A0943" w14:textId="77777777" w:rsidR="00000000" w:rsidRDefault="009B37A9"/>
              </w:txbxContent>
            </v:textbox>
            <w10:wrap type="square" anchorx="page" anchory="page"/>
          </v:shape>
        </w:pict>
      </w:r>
      <w:r>
        <w:pict w14:anchorId="5F16DABF">
          <v:shape id="_x0000_s1064" type="#_x0000_t202" style="position:absolute;margin-left:41.05pt;margin-top:498.25pt;width:511.45pt;height:206.65pt;z-index:-251672576;mso-wrap-distance-left:0;mso-wrap-distance-right:0;mso-position-horizontal-relative:page;mso-position-vertical-relative:page" filled="f" stroked="f">
            <v:textbox inset="0,0,0,0">
              <w:txbxContent>
                <w:p w14:paraId="14C130A7" w14:textId="77777777" w:rsidR="00D8670B" w:rsidRDefault="009B37A9">
                  <w:pPr>
                    <w:spacing w:before="122" w:line="205" w:lineRule="exact"/>
                    <w:ind w:left="144"/>
                    <w:textAlignment w:val="baseline"/>
                    <w:rPr>
                      <w:rFonts w:ascii="Arial" w:eastAsia="Arial" w:hAnsi="Arial"/>
                      <w:b/>
                      <w:color w:val="15568B"/>
                      <w:sz w:val="18"/>
                    </w:rPr>
                  </w:pPr>
                  <w:r>
                    <w:rPr>
                      <w:rFonts w:ascii="Arial" w:eastAsia="Arial" w:hAnsi="Arial"/>
                      <w:b/>
                      <w:color w:val="15568B"/>
                      <w:sz w:val="18"/>
                    </w:rPr>
                    <w:t>Irrigator feedback from post-completion surveys</w:t>
                  </w:r>
                </w:p>
                <w:p w14:paraId="52742CEA" w14:textId="77777777" w:rsidR="00D8670B" w:rsidRDefault="009B37A9">
                  <w:pPr>
                    <w:spacing w:before="249" w:line="207" w:lineRule="exact"/>
                    <w:ind w:left="144" w:right="144"/>
                    <w:jc w:val="both"/>
                    <w:textAlignment w:val="baseline"/>
                    <w:rPr>
                      <w:rFonts w:ascii="Arial" w:eastAsia="Arial" w:hAnsi="Arial"/>
                      <w:i/>
                      <w:color w:val="000000"/>
                      <w:sz w:val="20"/>
                    </w:rPr>
                  </w:pPr>
                  <w:r>
                    <w:rPr>
                      <w:rFonts w:ascii="Arial" w:eastAsia="Arial" w:hAnsi="Arial"/>
                      <w:i/>
                      <w:color w:val="000000"/>
                      <w:sz w:val="20"/>
                    </w:rPr>
                    <w:t>“</w:t>
                  </w:r>
                  <w:r>
                    <w:rPr>
                      <w:rFonts w:ascii="Arial" w:eastAsia="Arial" w:hAnsi="Arial"/>
                      <w:i/>
                      <w:color w:val="000000"/>
                      <w:sz w:val="18"/>
                    </w:rPr>
                    <w:t>We found working with the HHWUE program to be an extremely positive process. HHWUE is a fabulous opportunity for both the government and the property owners especially during these times of negativity surrounding irrigators.</w:t>
                  </w:r>
                  <w:r>
                    <w:rPr>
                      <w:rFonts w:ascii="Arial" w:eastAsia="Arial" w:hAnsi="Arial"/>
                      <w:i/>
                      <w:color w:val="000000"/>
                      <w:sz w:val="20"/>
                    </w:rPr>
                    <w:t>”</w:t>
                  </w:r>
                </w:p>
                <w:p w14:paraId="4DEBFA54" w14:textId="77777777" w:rsidR="00D8670B" w:rsidRDefault="009B37A9">
                  <w:pPr>
                    <w:spacing w:before="112" w:line="214" w:lineRule="exact"/>
                    <w:ind w:left="144"/>
                    <w:textAlignment w:val="baseline"/>
                    <w:rPr>
                      <w:rFonts w:ascii="Arial" w:eastAsia="Arial" w:hAnsi="Arial"/>
                      <w:i/>
                      <w:color w:val="000000"/>
                      <w:sz w:val="20"/>
                    </w:rPr>
                  </w:pPr>
                  <w:r>
                    <w:rPr>
                      <w:rFonts w:ascii="Arial" w:eastAsia="Arial" w:hAnsi="Arial"/>
                      <w:i/>
                      <w:color w:val="000000"/>
                      <w:sz w:val="20"/>
                    </w:rPr>
                    <w:t>“W</w:t>
                  </w:r>
                  <w:r>
                    <w:rPr>
                      <w:rFonts w:ascii="Arial" w:eastAsia="Arial" w:hAnsi="Arial"/>
                      <w:i/>
                      <w:color w:val="000000"/>
                      <w:sz w:val="18"/>
                    </w:rPr>
                    <w:t>ell laid out program.</w:t>
                  </w:r>
                  <w:r>
                    <w:rPr>
                      <w:rFonts w:ascii="Arial" w:eastAsia="Arial" w:hAnsi="Arial"/>
                      <w:i/>
                      <w:color w:val="000000"/>
                      <w:sz w:val="20"/>
                    </w:rPr>
                    <w:t>”</w:t>
                  </w:r>
                </w:p>
                <w:p w14:paraId="70EF42E0" w14:textId="77777777" w:rsidR="00D8670B" w:rsidRDefault="009B37A9">
                  <w:pPr>
                    <w:spacing w:before="112" w:line="214" w:lineRule="exact"/>
                    <w:ind w:left="144"/>
                    <w:textAlignment w:val="baseline"/>
                    <w:rPr>
                      <w:rFonts w:ascii="Arial" w:eastAsia="Arial" w:hAnsi="Arial"/>
                      <w:i/>
                      <w:color w:val="000000"/>
                      <w:sz w:val="20"/>
                    </w:rPr>
                  </w:pPr>
                  <w:r>
                    <w:rPr>
                      <w:rFonts w:ascii="Arial" w:eastAsia="Arial" w:hAnsi="Arial"/>
                      <w:i/>
                      <w:color w:val="000000"/>
                      <w:sz w:val="20"/>
                    </w:rPr>
                    <w:t>“</w:t>
                  </w:r>
                  <w:r>
                    <w:rPr>
                      <w:rFonts w:ascii="Arial" w:eastAsia="Arial" w:hAnsi="Arial"/>
                      <w:i/>
                      <w:color w:val="000000"/>
                      <w:sz w:val="18"/>
                    </w:rPr>
                    <w:t xml:space="preserve">All </w:t>
                  </w:r>
                  <w:r>
                    <w:rPr>
                      <w:rFonts w:ascii="Arial" w:eastAsia="Arial" w:hAnsi="Arial"/>
                      <w:i/>
                      <w:color w:val="000000"/>
                      <w:sz w:val="18"/>
                    </w:rPr>
                    <w:t>staff have been good to work with. Thank you for your assistance.</w:t>
                  </w:r>
                  <w:r>
                    <w:rPr>
                      <w:rFonts w:ascii="Arial" w:eastAsia="Arial" w:hAnsi="Arial"/>
                      <w:i/>
                      <w:color w:val="000000"/>
                      <w:sz w:val="20"/>
                    </w:rPr>
                    <w:t>”</w:t>
                  </w:r>
                </w:p>
                <w:p w14:paraId="25E58DD4" w14:textId="77777777" w:rsidR="00D8670B" w:rsidRDefault="009B37A9">
                  <w:pPr>
                    <w:spacing w:before="113" w:line="214" w:lineRule="exact"/>
                    <w:ind w:left="144"/>
                    <w:textAlignment w:val="baseline"/>
                    <w:rPr>
                      <w:rFonts w:ascii="Arial" w:eastAsia="Arial" w:hAnsi="Arial"/>
                      <w:i/>
                      <w:color w:val="000000"/>
                      <w:sz w:val="20"/>
                    </w:rPr>
                  </w:pPr>
                  <w:r>
                    <w:rPr>
                      <w:rFonts w:ascii="Arial" w:eastAsia="Arial" w:hAnsi="Arial"/>
                      <w:i/>
                      <w:color w:val="000000"/>
                      <w:sz w:val="20"/>
                    </w:rPr>
                    <w:t>“</w:t>
                  </w:r>
                  <w:r>
                    <w:rPr>
                      <w:rFonts w:ascii="Arial" w:eastAsia="Arial" w:hAnsi="Arial"/>
                      <w:i/>
                      <w:color w:val="000000"/>
                      <w:sz w:val="18"/>
                    </w:rPr>
                    <w:t>Too much detail required in filling form and accountability.</w:t>
                  </w:r>
                  <w:r>
                    <w:rPr>
                      <w:rFonts w:ascii="Arial" w:eastAsia="Arial" w:hAnsi="Arial"/>
                      <w:i/>
                      <w:color w:val="000000"/>
                      <w:sz w:val="20"/>
                    </w:rPr>
                    <w:t>”</w:t>
                  </w:r>
                </w:p>
                <w:p w14:paraId="727EBAA1" w14:textId="77777777" w:rsidR="00D8670B" w:rsidRDefault="009B37A9">
                  <w:pPr>
                    <w:spacing w:before="112" w:line="214" w:lineRule="exact"/>
                    <w:ind w:left="144"/>
                    <w:textAlignment w:val="baseline"/>
                    <w:rPr>
                      <w:rFonts w:ascii="Arial" w:eastAsia="Arial" w:hAnsi="Arial"/>
                      <w:i/>
                      <w:color w:val="000000"/>
                      <w:sz w:val="18"/>
                    </w:rPr>
                  </w:pPr>
                  <w:r>
                    <w:rPr>
                      <w:rFonts w:ascii="Arial" w:eastAsia="Arial" w:hAnsi="Arial"/>
                      <w:i/>
                      <w:color w:val="000000"/>
                      <w:sz w:val="18"/>
                    </w:rPr>
                    <w:t>"I really appreciated having the continuity of having a local reliable person to work with</w:t>
                  </w:r>
                  <w:r>
                    <w:rPr>
                      <w:rFonts w:ascii="Arial" w:eastAsia="Arial" w:hAnsi="Arial"/>
                      <w:i/>
                      <w:color w:val="000000"/>
                      <w:sz w:val="20"/>
                    </w:rPr>
                    <w:t>.”</w:t>
                  </w:r>
                </w:p>
                <w:p w14:paraId="02CAB0AC" w14:textId="77777777" w:rsidR="00D8670B" w:rsidRDefault="009B37A9">
                  <w:pPr>
                    <w:spacing w:before="113" w:line="214" w:lineRule="exact"/>
                    <w:ind w:left="144"/>
                    <w:textAlignment w:val="baseline"/>
                    <w:rPr>
                      <w:rFonts w:ascii="Arial" w:eastAsia="Arial" w:hAnsi="Arial"/>
                      <w:i/>
                      <w:color w:val="000000"/>
                      <w:sz w:val="20"/>
                    </w:rPr>
                  </w:pPr>
                  <w:r>
                    <w:rPr>
                      <w:rFonts w:ascii="Arial" w:eastAsia="Arial" w:hAnsi="Arial"/>
                      <w:i/>
                      <w:color w:val="000000"/>
                      <w:sz w:val="20"/>
                    </w:rPr>
                    <w:t>“</w:t>
                  </w:r>
                  <w:r>
                    <w:rPr>
                      <w:rFonts w:ascii="Arial" w:eastAsia="Arial" w:hAnsi="Arial"/>
                      <w:i/>
                      <w:color w:val="000000"/>
                      <w:sz w:val="18"/>
                    </w:rPr>
                    <w:t>We are quite happy with the project overall and would endorse further efficiency funding</w:t>
                  </w:r>
                  <w:r>
                    <w:rPr>
                      <w:rFonts w:ascii="Arial" w:eastAsia="Arial" w:hAnsi="Arial"/>
                      <w:i/>
                      <w:color w:val="000000"/>
                      <w:sz w:val="20"/>
                    </w:rPr>
                    <w:t>.”</w:t>
                  </w:r>
                </w:p>
                <w:p w14:paraId="34E86577" w14:textId="77777777" w:rsidR="00D8670B" w:rsidRDefault="009B37A9">
                  <w:pPr>
                    <w:spacing w:before="125" w:line="206" w:lineRule="exact"/>
                    <w:ind w:left="144" w:right="1152"/>
                    <w:textAlignment w:val="baseline"/>
                    <w:rPr>
                      <w:rFonts w:ascii="Arial" w:eastAsia="Arial" w:hAnsi="Arial"/>
                      <w:i/>
                      <w:color w:val="000000"/>
                      <w:sz w:val="20"/>
                    </w:rPr>
                  </w:pPr>
                  <w:r>
                    <w:rPr>
                      <w:rFonts w:ascii="Arial" w:eastAsia="Arial" w:hAnsi="Arial"/>
                      <w:i/>
                      <w:color w:val="000000"/>
                      <w:sz w:val="20"/>
                    </w:rPr>
                    <w:t>“</w:t>
                  </w:r>
                  <w:r>
                    <w:rPr>
                      <w:rFonts w:ascii="Arial" w:eastAsia="Arial" w:hAnsi="Arial"/>
                      <w:i/>
                      <w:color w:val="000000"/>
                      <w:sz w:val="18"/>
                    </w:rPr>
                    <w:t>A clearer step by step guide to the water transfer process</w:t>
                  </w:r>
                  <w:r>
                    <w:rPr>
                      <w:rFonts w:ascii="Arial" w:eastAsia="Arial" w:hAnsi="Arial"/>
                      <w:i/>
                      <w:color w:val="000000"/>
                      <w:sz w:val="20"/>
                    </w:rPr>
                    <w:t xml:space="preserve">... </w:t>
                  </w:r>
                  <w:r>
                    <w:rPr>
                      <w:rFonts w:ascii="Arial" w:eastAsia="Arial" w:hAnsi="Arial"/>
                      <w:i/>
                      <w:color w:val="000000"/>
                      <w:sz w:val="18"/>
                    </w:rPr>
                    <w:t>would be</w:t>
                  </w:r>
                  <w:r>
                    <w:rPr>
                      <w:rFonts w:ascii="Arial" w:eastAsia="Arial" w:hAnsi="Arial"/>
                      <w:i/>
                      <w:color w:val="000000"/>
                      <w:sz w:val="18"/>
                    </w:rPr>
                    <w:t xml:space="preserve"> helpful. There were times when the steps [in] this process were unclear.</w:t>
                  </w:r>
                  <w:r>
                    <w:rPr>
                      <w:rFonts w:ascii="Arial" w:eastAsia="Arial" w:hAnsi="Arial"/>
                      <w:i/>
                      <w:color w:val="000000"/>
                      <w:sz w:val="20"/>
                    </w:rPr>
                    <w:t>”</w:t>
                  </w:r>
                </w:p>
                <w:p w14:paraId="52895BCD" w14:textId="77777777" w:rsidR="00D8670B" w:rsidRDefault="009B37A9">
                  <w:pPr>
                    <w:spacing w:before="121" w:line="206" w:lineRule="exact"/>
                    <w:ind w:left="144"/>
                    <w:textAlignment w:val="baseline"/>
                    <w:rPr>
                      <w:rFonts w:ascii="Arial" w:eastAsia="Arial" w:hAnsi="Arial"/>
                      <w:i/>
                      <w:color w:val="000000"/>
                      <w:sz w:val="20"/>
                    </w:rPr>
                  </w:pPr>
                  <w:r>
                    <w:rPr>
                      <w:rFonts w:ascii="Arial" w:eastAsia="Arial" w:hAnsi="Arial"/>
                      <w:i/>
                      <w:color w:val="000000"/>
                      <w:sz w:val="20"/>
                    </w:rPr>
                    <w:t>“</w:t>
                  </w:r>
                  <w:r>
                    <w:rPr>
                      <w:rFonts w:ascii="Arial" w:eastAsia="Arial" w:hAnsi="Arial"/>
                      <w:i/>
                      <w:color w:val="000000"/>
                      <w:sz w:val="18"/>
                    </w:rPr>
                    <w:t xml:space="preserve">Consideration of productivity gain and carbon emission reduction should be items considered </w:t>
                  </w:r>
                  <w:r>
                    <w:rPr>
                      <w:rFonts w:ascii="Arial" w:eastAsia="Arial" w:hAnsi="Arial"/>
                      <w:i/>
                      <w:color w:val="000000"/>
                      <w:sz w:val="18"/>
                    </w:rPr>
                    <w:br/>
                    <w:t>alongside or even separately to water use efficiency in these water reform programs.</w:t>
                  </w:r>
                  <w:r>
                    <w:rPr>
                      <w:rFonts w:ascii="Arial" w:eastAsia="Arial" w:hAnsi="Arial"/>
                      <w:i/>
                      <w:color w:val="000000"/>
                      <w:sz w:val="20"/>
                    </w:rPr>
                    <w:t>”</w:t>
                  </w:r>
                </w:p>
                <w:p w14:paraId="7A93A295" w14:textId="77777777" w:rsidR="00D8670B" w:rsidRDefault="009B37A9">
                  <w:pPr>
                    <w:spacing w:before="112" w:after="114" w:line="214" w:lineRule="exact"/>
                    <w:ind w:left="144"/>
                    <w:textAlignment w:val="baseline"/>
                    <w:rPr>
                      <w:rFonts w:ascii="Arial" w:eastAsia="Arial" w:hAnsi="Arial"/>
                      <w:i/>
                      <w:color w:val="000000"/>
                      <w:sz w:val="20"/>
                    </w:rPr>
                  </w:pPr>
                  <w:r>
                    <w:rPr>
                      <w:rFonts w:ascii="Arial" w:eastAsia="Arial" w:hAnsi="Arial"/>
                      <w:i/>
                      <w:color w:val="000000"/>
                      <w:sz w:val="20"/>
                    </w:rPr>
                    <w:t>“</w:t>
                  </w:r>
                  <w:r>
                    <w:rPr>
                      <w:rFonts w:ascii="Arial" w:eastAsia="Arial" w:hAnsi="Arial"/>
                      <w:i/>
                      <w:color w:val="000000"/>
                      <w:sz w:val="18"/>
                    </w:rPr>
                    <w:t>We would be very interested in completing another HHWUE project.</w:t>
                  </w:r>
                  <w:r>
                    <w:rPr>
                      <w:rFonts w:ascii="Arial" w:eastAsia="Arial" w:hAnsi="Arial"/>
                      <w:i/>
                      <w:color w:val="000000"/>
                      <w:sz w:val="20"/>
                    </w:rPr>
                    <w:t>”</w:t>
                  </w:r>
                </w:p>
              </w:txbxContent>
            </v:textbox>
            <w10:wrap type="square" anchorx="page" anchory="page"/>
          </v:shape>
        </w:pict>
      </w:r>
      <w:r>
        <w:pict w14:anchorId="0AD2C5D5">
          <v:shape id="_x0000_s1063" type="#_x0000_t202" style="position:absolute;margin-left:461.3pt;margin-top:638.65pt;width:87.8pt;height:61.45pt;z-index:-251671552;mso-wrap-distance-left:0;mso-wrap-distance-right:0;mso-position-horizontal-relative:page;mso-position-vertical-relative:page" stroked="f">
            <v:textbox inset="0,0,0,0">
              <w:txbxContent>
                <w:p w14:paraId="4F334CE7" w14:textId="77777777" w:rsidR="00D8670B" w:rsidRDefault="009B37A9">
                  <w:pPr>
                    <w:textAlignment w:val="baseline"/>
                  </w:pPr>
                  <w:r>
                    <w:rPr>
                      <w:noProof/>
                    </w:rPr>
                    <w:drawing>
                      <wp:inline distT="0" distB="0" distL="0" distR="0" wp14:anchorId="0178E67A" wp14:editId="162E8DFF">
                        <wp:extent cx="1115060" cy="780415"/>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51"/>
                                <a:stretch>
                                  <a:fillRect/>
                                </a:stretch>
                              </pic:blipFill>
                              <pic:spPr>
                                <a:xfrm>
                                  <a:off x="0" y="0"/>
                                  <a:ext cx="1115060" cy="780415"/>
                                </a:xfrm>
                                <a:prstGeom prst="rect">
                                  <a:avLst/>
                                </a:prstGeom>
                              </pic:spPr>
                            </pic:pic>
                          </a:graphicData>
                        </a:graphic>
                      </wp:inline>
                    </w:drawing>
                  </w:r>
                </w:p>
              </w:txbxContent>
            </v:textbox>
            <w10:wrap anchorx="page" anchory="page"/>
          </v:shape>
        </w:pict>
      </w:r>
      <w:r>
        <w:pict w14:anchorId="52FC2238">
          <v:line id="_x0000_s1062" style="position:absolute;z-index:251720704;mso-position-horizontal-relative:page;mso-position-vertical-relative:page" from="41.05pt,745.45pt" to="186.75pt,745.45pt" strokeweight=".7pt">
            <w10:wrap anchorx="page" anchory="page"/>
          </v:line>
        </w:pict>
      </w:r>
      <w:r>
        <w:rPr>
          <w:rFonts w:ascii="Arial" w:eastAsia="Arial" w:hAnsi="Arial"/>
          <w:color w:val="000000"/>
          <w:sz w:val="12"/>
        </w:rPr>
        <w:t xml:space="preserve">12 </w:t>
      </w:r>
      <w:r>
        <w:rPr>
          <w:rFonts w:ascii="Arial" w:eastAsia="Arial" w:hAnsi="Arial"/>
          <w:color w:val="000000"/>
          <w:sz w:val="18"/>
        </w:rPr>
        <w:t xml:space="preserve">Tunny, G &amp; Fitzgibbons A 2012, </w:t>
      </w:r>
      <w:r>
        <w:rPr>
          <w:rFonts w:ascii="Arial" w:eastAsia="Arial" w:hAnsi="Arial"/>
          <w:i/>
          <w:color w:val="000000"/>
          <w:sz w:val="18"/>
        </w:rPr>
        <w:t>Healthy HeadWaters round three: Socioeconomic assessment of tenders</w:t>
      </w:r>
      <w:r>
        <w:rPr>
          <w:rFonts w:ascii="Arial" w:eastAsia="Arial" w:hAnsi="Arial"/>
          <w:color w:val="000000"/>
          <w:sz w:val="18"/>
        </w:rPr>
        <w:t>, Marsden Jacob Associates, Brisbane</w:t>
      </w:r>
    </w:p>
    <w:p w14:paraId="4AF53F84" w14:textId="77777777" w:rsidR="00D8670B" w:rsidRDefault="009B37A9">
      <w:pPr>
        <w:spacing w:before="164" w:line="228" w:lineRule="exact"/>
        <w:jc w:val="center"/>
        <w:textAlignment w:val="baseline"/>
        <w:rPr>
          <w:rFonts w:ascii="Arial" w:eastAsia="Arial" w:hAnsi="Arial"/>
          <w:color w:val="000000"/>
          <w:spacing w:val="32"/>
          <w:sz w:val="20"/>
        </w:rPr>
      </w:pPr>
      <w:r>
        <w:pict w14:anchorId="2DB98DC5">
          <v:line id="_x0000_s1061" style="position:absolute;left:0;text-align:left;z-index:251721728;mso-position-horizontal-relative:page;mso-position-vertical-relative:page" from="41.05pt,789.1pt" to="554.45pt,789.1pt" strokeweight="1.7pt">
            <w10:wrap anchorx="page" anchory="page"/>
          </v:line>
        </w:pict>
      </w:r>
      <w:r>
        <w:rPr>
          <w:rFonts w:ascii="Arial" w:eastAsia="Arial" w:hAnsi="Arial"/>
          <w:color w:val="000000"/>
          <w:spacing w:val="32"/>
          <w:sz w:val="20"/>
        </w:rPr>
        <w:t>41</w:t>
      </w:r>
    </w:p>
    <w:p w14:paraId="3D92877D" w14:textId="77777777" w:rsidR="00D8670B" w:rsidRDefault="00D8670B">
      <w:pPr>
        <w:sectPr w:rsidR="00D8670B">
          <w:pgSz w:w="11909" w:h="16838"/>
          <w:pgMar w:top="1120" w:right="821" w:bottom="282" w:left="821" w:header="720" w:footer="720" w:gutter="0"/>
          <w:cols w:space="720"/>
        </w:sectPr>
      </w:pPr>
    </w:p>
    <w:p w14:paraId="3964ACC3" w14:textId="77777777" w:rsidR="00D8670B" w:rsidRDefault="009B37A9">
      <w:pPr>
        <w:spacing w:before="6" w:line="388" w:lineRule="exact"/>
        <w:textAlignment w:val="baseline"/>
        <w:rPr>
          <w:rFonts w:ascii="Arial" w:eastAsia="Arial" w:hAnsi="Arial"/>
          <w:b/>
          <w:color w:val="1C75BB"/>
          <w:spacing w:val="7"/>
          <w:sz w:val="34"/>
        </w:rPr>
      </w:pPr>
      <w:r>
        <w:rPr>
          <w:rFonts w:ascii="Arial" w:eastAsia="Arial" w:hAnsi="Arial"/>
          <w:b/>
          <w:color w:val="1C75BB"/>
          <w:spacing w:val="7"/>
          <w:sz w:val="34"/>
        </w:rPr>
        <w:lastRenderedPageBreak/>
        <w:t>4 Financial summary</w:t>
      </w:r>
    </w:p>
    <w:p w14:paraId="66449353" w14:textId="77777777" w:rsidR="00D8670B" w:rsidRDefault="009B37A9">
      <w:pPr>
        <w:spacing w:before="115" w:line="231" w:lineRule="exact"/>
        <w:ind w:right="432"/>
        <w:textAlignment w:val="baseline"/>
        <w:rPr>
          <w:rFonts w:ascii="Arial" w:eastAsia="Arial" w:hAnsi="Arial"/>
          <w:color w:val="000000"/>
          <w:sz w:val="20"/>
        </w:rPr>
      </w:pPr>
      <w:r>
        <w:rPr>
          <w:rFonts w:ascii="Arial" w:eastAsia="Arial" w:hAnsi="Arial"/>
          <w:color w:val="000000"/>
          <w:sz w:val="20"/>
        </w:rPr>
        <w:t>The Australian Government funded the HHWUE program under the Sustainable Rural Water Use and Infrastructure Program, as part of the implementation of the Murray–Darling Basin Plan in Queensland.</w:t>
      </w:r>
    </w:p>
    <w:p w14:paraId="6FD4B2DD" w14:textId="77777777" w:rsidR="00D8670B" w:rsidRDefault="009B37A9">
      <w:pPr>
        <w:spacing w:before="117" w:after="455" w:line="231" w:lineRule="exact"/>
        <w:ind w:right="1008"/>
        <w:textAlignment w:val="baseline"/>
        <w:rPr>
          <w:rFonts w:ascii="Arial" w:eastAsia="Arial" w:hAnsi="Arial"/>
          <w:color w:val="000000"/>
          <w:sz w:val="20"/>
        </w:rPr>
      </w:pPr>
      <w:r>
        <w:rPr>
          <w:rFonts w:ascii="Arial" w:eastAsia="Arial" w:hAnsi="Arial"/>
          <w:color w:val="000000"/>
          <w:sz w:val="20"/>
        </w:rPr>
        <w:t>The Schedule 2 identified the funding for infrastructure projects and program management for each round and financial year. The following table provides a summary of the total actual amount of funding by financial year.</w:t>
      </w:r>
    </w:p>
    <w:tbl>
      <w:tblPr>
        <w:tblW w:w="0" w:type="auto"/>
        <w:tblLayout w:type="fixed"/>
        <w:tblCellMar>
          <w:left w:w="0" w:type="dxa"/>
          <w:right w:w="0" w:type="dxa"/>
        </w:tblCellMar>
        <w:tblLook w:val="0000" w:firstRow="0" w:lastRow="0" w:firstColumn="0" w:lastColumn="0" w:noHBand="0" w:noVBand="0"/>
      </w:tblPr>
      <w:tblGrid>
        <w:gridCol w:w="1863"/>
        <w:gridCol w:w="3960"/>
        <w:gridCol w:w="1430"/>
        <w:gridCol w:w="1430"/>
        <w:gridCol w:w="1479"/>
        <w:gridCol w:w="1507"/>
        <w:gridCol w:w="1382"/>
        <w:gridCol w:w="1709"/>
      </w:tblGrid>
      <w:tr w:rsidR="00D8670B" w14:paraId="6F4DBC4D" w14:textId="77777777">
        <w:tblPrEx>
          <w:tblCellMar>
            <w:top w:w="0" w:type="dxa"/>
            <w:bottom w:w="0" w:type="dxa"/>
          </w:tblCellMar>
        </w:tblPrEx>
        <w:trPr>
          <w:trHeight w:hRule="exact" w:val="446"/>
        </w:trPr>
        <w:tc>
          <w:tcPr>
            <w:tcW w:w="5823" w:type="dxa"/>
            <w:gridSpan w:val="2"/>
            <w:tcBorders>
              <w:top w:val="none" w:sz="0" w:space="0" w:color="020000"/>
              <w:left w:val="none" w:sz="0" w:space="0" w:color="020000"/>
              <w:bottom w:val="none" w:sz="0" w:space="0" w:color="020000"/>
              <w:right w:val="none" w:sz="0" w:space="0" w:color="020000"/>
            </w:tcBorders>
            <w:shd w:val="clear" w:color="CFE8D0" w:fill="CFE8D0"/>
            <w:vAlign w:val="center"/>
          </w:tcPr>
          <w:p w14:paraId="4DDEAEB6" w14:textId="77777777" w:rsidR="00D8670B" w:rsidRDefault="009B37A9">
            <w:pPr>
              <w:tabs>
                <w:tab w:val="left" w:pos="2304"/>
                <w:tab w:val="left" w:pos="3600"/>
                <w:tab w:val="right" w:pos="5760"/>
              </w:tabs>
              <w:spacing w:before="122" w:after="115" w:line="200" w:lineRule="exact"/>
              <w:ind w:left="53"/>
              <w:textAlignment w:val="baseline"/>
              <w:rPr>
                <w:rFonts w:ascii="Arial" w:eastAsia="Arial" w:hAnsi="Arial"/>
                <w:b/>
                <w:color w:val="275028"/>
                <w:sz w:val="18"/>
              </w:rPr>
            </w:pPr>
            <w:r>
              <w:rPr>
                <w:rFonts w:ascii="Arial" w:eastAsia="Arial" w:hAnsi="Arial"/>
                <w:b/>
                <w:color w:val="275028"/>
                <w:sz w:val="18"/>
              </w:rPr>
              <w:t>Expenditure item</w:t>
            </w:r>
            <w:r>
              <w:rPr>
                <w:rFonts w:ascii="Arial" w:eastAsia="Arial" w:hAnsi="Arial"/>
                <w:b/>
                <w:color w:val="275028"/>
                <w:sz w:val="18"/>
              </w:rPr>
              <w:tab/>
              <w:t>FY12/13</w:t>
            </w:r>
            <w:r>
              <w:rPr>
                <w:rFonts w:ascii="Arial" w:eastAsia="Arial" w:hAnsi="Arial"/>
                <w:b/>
                <w:color w:val="275028"/>
                <w:sz w:val="18"/>
              </w:rPr>
              <w:tab/>
            </w:r>
            <w:r>
              <w:rPr>
                <w:rFonts w:ascii="Arial" w:eastAsia="Arial" w:hAnsi="Arial"/>
                <w:b/>
                <w:color w:val="275028"/>
                <w:sz w:val="18"/>
              </w:rPr>
              <w:t>FY13/14</w:t>
            </w:r>
            <w:r>
              <w:rPr>
                <w:rFonts w:ascii="Arial" w:eastAsia="Arial" w:hAnsi="Arial"/>
                <w:b/>
                <w:color w:val="275028"/>
                <w:sz w:val="18"/>
              </w:rPr>
              <w:tab/>
              <w:t>FY14/15</w:t>
            </w:r>
          </w:p>
        </w:tc>
        <w:tc>
          <w:tcPr>
            <w:tcW w:w="1430" w:type="dxa"/>
            <w:tcBorders>
              <w:top w:val="none" w:sz="0" w:space="0" w:color="020000"/>
              <w:left w:val="none" w:sz="0" w:space="0" w:color="020000"/>
              <w:bottom w:val="none" w:sz="0" w:space="0" w:color="020000"/>
              <w:right w:val="none" w:sz="0" w:space="0" w:color="020000"/>
            </w:tcBorders>
            <w:shd w:val="clear" w:color="CFE8D0" w:fill="CFE8D0"/>
            <w:vAlign w:val="center"/>
          </w:tcPr>
          <w:p w14:paraId="72E161A4" w14:textId="77777777" w:rsidR="00D8670B" w:rsidRDefault="009B37A9">
            <w:pPr>
              <w:spacing w:before="122" w:after="119" w:line="196" w:lineRule="exact"/>
              <w:ind w:right="91"/>
              <w:jc w:val="right"/>
              <w:textAlignment w:val="baseline"/>
              <w:rPr>
                <w:rFonts w:ascii="Arial" w:eastAsia="Arial" w:hAnsi="Arial"/>
                <w:b/>
                <w:color w:val="275028"/>
                <w:sz w:val="18"/>
              </w:rPr>
            </w:pPr>
            <w:r>
              <w:rPr>
                <w:rFonts w:ascii="Arial" w:eastAsia="Arial" w:hAnsi="Arial"/>
                <w:b/>
                <w:color w:val="275028"/>
                <w:sz w:val="18"/>
              </w:rPr>
              <w:t>FY15/16</w:t>
            </w:r>
          </w:p>
        </w:tc>
        <w:tc>
          <w:tcPr>
            <w:tcW w:w="1430" w:type="dxa"/>
            <w:tcBorders>
              <w:top w:val="none" w:sz="0" w:space="0" w:color="020000"/>
              <w:left w:val="none" w:sz="0" w:space="0" w:color="020000"/>
              <w:bottom w:val="none" w:sz="0" w:space="0" w:color="020000"/>
              <w:right w:val="none" w:sz="0" w:space="0" w:color="020000"/>
            </w:tcBorders>
            <w:shd w:val="clear" w:color="CFE8D0" w:fill="CFE8D0"/>
            <w:vAlign w:val="center"/>
          </w:tcPr>
          <w:p w14:paraId="4B6BD580" w14:textId="77777777" w:rsidR="00D8670B" w:rsidRDefault="009B37A9">
            <w:pPr>
              <w:spacing w:before="122" w:after="119" w:line="196" w:lineRule="exact"/>
              <w:ind w:right="96"/>
              <w:jc w:val="right"/>
              <w:textAlignment w:val="baseline"/>
              <w:rPr>
                <w:rFonts w:ascii="Arial" w:eastAsia="Arial" w:hAnsi="Arial"/>
                <w:b/>
                <w:color w:val="275028"/>
                <w:sz w:val="18"/>
              </w:rPr>
            </w:pPr>
            <w:r>
              <w:rPr>
                <w:rFonts w:ascii="Arial" w:eastAsia="Arial" w:hAnsi="Arial"/>
                <w:b/>
                <w:color w:val="275028"/>
                <w:sz w:val="18"/>
              </w:rPr>
              <w:t>FY16/17</w:t>
            </w:r>
          </w:p>
        </w:tc>
        <w:tc>
          <w:tcPr>
            <w:tcW w:w="1479" w:type="dxa"/>
            <w:tcBorders>
              <w:top w:val="none" w:sz="0" w:space="0" w:color="020000"/>
              <w:left w:val="none" w:sz="0" w:space="0" w:color="020000"/>
              <w:bottom w:val="none" w:sz="0" w:space="0" w:color="020000"/>
              <w:right w:val="none" w:sz="0" w:space="0" w:color="020000"/>
            </w:tcBorders>
            <w:shd w:val="clear" w:color="CFE8D0" w:fill="CFE8D0"/>
            <w:vAlign w:val="center"/>
          </w:tcPr>
          <w:p w14:paraId="02EA7256" w14:textId="77777777" w:rsidR="00D8670B" w:rsidRDefault="009B37A9">
            <w:pPr>
              <w:spacing w:before="122" w:after="119" w:line="196" w:lineRule="exact"/>
              <w:ind w:right="140"/>
              <w:jc w:val="right"/>
              <w:textAlignment w:val="baseline"/>
              <w:rPr>
                <w:rFonts w:ascii="Arial" w:eastAsia="Arial" w:hAnsi="Arial"/>
                <w:b/>
                <w:color w:val="275028"/>
                <w:sz w:val="18"/>
              </w:rPr>
            </w:pPr>
            <w:r>
              <w:rPr>
                <w:rFonts w:ascii="Arial" w:eastAsia="Arial" w:hAnsi="Arial"/>
                <w:b/>
                <w:color w:val="275028"/>
                <w:sz w:val="18"/>
              </w:rPr>
              <w:t>FY17/18</w:t>
            </w:r>
          </w:p>
        </w:tc>
        <w:tc>
          <w:tcPr>
            <w:tcW w:w="1507" w:type="dxa"/>
            <w:tcBorders>
              <w:top w:val="none" w:sz="0" w:space="0" w:color="020000"/>
              <w:left w:val="none" w:sz="0" w:space="0" w:color="020000"/>
              <w:bottom w:val="none" w:sz="0" w:space="0" w:color="020000"/>
              <w:right w:val="none" w:sz="0" w:space="0" w:color="020000"/>
            </w:tcBorders>
            <w:shd w:val="clear" w:color="CFE8D0" w:fill="CFE8D0"/>
            <w:vAlign w:val="center"/>
          </w:tcPr>
          <w:p w14:paraId="7730F0C1" w14:textId="77777777" w:rsidR="00D8670B" w:rsidRDefault="009B37A9">
            <w:pPr>
              <w:spacing w:before="122" w:after="119" w:line="196" w:lineRule="exact"/>
              <w:ind w:right="216"/>
              <w:jc w:val="right"/>
              <w:textAlignment w:val="baseline"/>
              <w:rPr>
                <w:rFonts w:ascii="Arial" w:eastAsia="Arial" w:hAnsi="Arial"/>
                <w:b/>
                <w:color w:val="275028"/>
                <w:sz w:val="18"/>
              </w:rPr>
            </w:pPr>
            <w:r>
              <w:rPr>
                <w:rFonts w:ascii="Arial" w:eastAsia="Arial" w:hAnsi="Arial"/>
                <w:b/>
                <w:color w:val="275028"/>
                <w:sz w:val="18"/>
              </w:rPr>
              <w:t>FY18/19</w:t>
            </w:r>
          </w:p>
        </w:tc>
        <w:tc>
          <w:tcPr>
            <w:tcW w:w="1382" w:type="dxa"/>
            <w:tcBorders>
              <w:top w:val="none" w:sz="0" w:space="0" w:color="020000"/>
              <w:left w:val="none" w:sz="0" w:space="0" w:color="020000"/>
              <w:bottom w:val="none" w:sz="0" w:space="0" w:color="020000"/>
              <w:right w:val="none" w:sz="0" w:space="0" w:color="020000"/>
            </w:tcBorders>
            <w:shd w:val="clear" w:color="CFE8D0" w:fill="CFE8D0"/>
            <w:vAlign w:val="center"/>
          </w:tcPr>
          <w:p w14:paraId="2B912011" w14:textId="77777777" w:rsidR="00D8670B" w:rsidRDefault="009B37A9">
            <w:pPr>
              <w:spacing w:before="122" w:after="119" w:line="196" w:lineRule="exact"/>
              <w:ind w:right="173"/>
              <w:jc w:val="right"/>
              <w:textAlignment w:val="baseline"/>
              <w:rPr>
                <w:rFonts w:ascii="Arial" w:eastAsia="Arial" w:hAnsi="Arial"/>
                <w:b/>
                <w:color w:val="275028"/>
                <w:sz w:val="18"/>
              </w:rPr>
            </w:pPr>
            <w:r>
              <w:rPr>
                <w:rFonts w:ascii="Arial" w:eastAsia="Arial" w:hAnsi="Arial"/>
                <w:b/>
                <w:color w:val="275028"/>
                <w:sz w:val="18"/>
              </w:rPr>
              <w:t>FY19/20</w:t>
            </w:r>
          </w:p>
        </w:tc>
        <w:tc>
          <w:tcPr>
            <w:tcW w:w="1709" w:type="dxa"/>
            <w:tcBorders>
              <w:top w:val="none" w:sz="0" w:space="0" w:color="020000"/>
              <w:left w:val="none" w:sz="0" w:space="0" w:color="020000"/>
              <w:bottom w:val="none" w:sz="0" w:space="0" w:color="020000"/>
              <w:right w:val="none" w:sz="0" w:space="0" w:color="020000"/>
            </w:tcBorders>
            <w:shd w:val="clear" w:color="CFE8D0" w:fill="CFE8D0"/>
            <w:vAlign w:val="center"/>
          </w:tcPr>
          <w:p w14:paraId="7987F1A2" w14:textId="77777777" w:rsidR="00D8670B" w:rsidRDefault="009B37A9">
            <w:pPr>
              <w:spacing w:before="122" w:after="119" w:line="196" w:lineRule="exact"/>
              <w:ind w:right="187"/>
              <w:jc w:val="right"/>
              <w:textAlignment w:val="baseline"/>
              <w:rPr>
                <w:rFonts w:ascii="Arial" w:eastAsia="Arial" w:hAnsi="Arial"/>
                <w:b/>
                <w:color w:val="275028"/>
                <w:sz w:val="18"/>
              </w:rPr>
            </w:pPr>
            <w:r>
              <w:rPr>
                <w:rFonts w:ascii="Arial" w:eastAsia="Arial" w:hAnsi="Arial"/>
                <w:b/>
                <w:color w:val="275028"/>
                <w:sz w:val="18"/>
              </w:rPr>
              <w:t>Total</w:t>
            </w:r>
          </w:p>
        </w:tc>
      </w:tr>
      <w:tr w:rsidR="00D8670B" w14:paraId="16BE7554" w14:textId="77777777">
        <w:tblPrEx>
          <w:tblCellMar>
            <w:top w:w="0" w:type="dxa"/>
            <w:bottom w:w="0" w:type="dxa"/>
          </w:tblCellMar>
        </w:tblPrEx>
        <w:trPr>
          <w:trHeight w:hRule="exact" w:val="322"/>
        </w:trPr>
        <w:tc>
          <w:tcPr>
            <w:tcW w:w="1863" w:type="dxa"/>
            <w:tcBorders>
              <w:top w:val="none" w:sz="0" w:space="0" w:color="020000"/>
              <w:left w:val="none" w:sz="0" w:space="0" w:color="020000"/>
              <w:bottom w:val="none" w:sz="0" w:space="0" w:color="020000"/>
              <w:right w:val="none" w:sz="0" w:space="0" w:color="020000"/>
            </w:tcBorders>
            <w:shd w:val="clear" w:color="E8F4E9" w:fill="E8F4E9"/>
            <w:vAlign w:val="center"/>
          </w:tcPr>
          <w:p w14:paraId="143DB7E8" w14:textId="77777777" w:rsidR="00D8670B" w:rsidRDefault="009B37A9">
            <w:pPr>
              <w:spacing w:before="128" w:line="179" w:lineRule="exact"/>
              <w:ind w:left="53"/>
              <w:textAlignment w:val="baseline"/>
              <w:rPr>
                <w:rFonts w:ascii="Arial" w:eastAsia="Arial" w:hAnsi="Arial"/>
                <w:color w:val="000000"/>
                <w:sz w:val="18"/>
              </w:rPr>
            </w:pPr>
            <w:r>
              <w:rPr>
                <w:rFonts w:ascii="Arial" w:eastAsia="Arial" w:hAnsi="Arial"/>
                <w:color w:val="000000"/>
                <w:sz w:val="18"/>
              </w:rPr>
              <w:t>Complementary</w:t>
            </w:r>
          </w:p>
        </w:tc>
        <w:tc>
          <w:tcPr>
            <w:tcW w:w="3960" w:type="dxa"/>
            <w:tcBorders>
              <w:top w:val="none" w:sz="0" w:space="0" w:color="020000"/>
              <w:left w:val="none" w:sz="0" w:space="0" w:color="020000"/>
              <w:bottom w:val="none" w:sz="0" w:space="0" w:color="020000"/>
              <w:right w:val="none" w:sz="0" w:space="0" w:color="020000"/>
            </w:tcBorders>
          </w:tcPr>
          <w:p w14:paraId="1EC50258"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tcPr>
          <w:p w14:paraId="06F7B341"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tcPr>
          <w:p w14:paraId="67A46A73"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79" w:type="dxa"/>
            <w:tcBorders>
              <w:top w:val="none" w:sz="0" w:space="0" w:color="020000"/>
              <w:left w:val="none" w:sz="0" w:space="0" w:color="020000"/>
              <w:bottom w:val="none" w:sz="0" w:space="0" w:color="020000"/>
              <w:right w:val="none" w:sz="0" w:space="0" w:color="020000"/>
            </w:tcBorders>
          </w:tcPr>
          <w:p w14:paraId="2994B391"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507" w:type="dxa"/>
            <w:tcBorders>
              <w:top w:val="none" w:sz="0" w:space="0" w:color="020000"/>
              <w:left w:val="none" w:sz="0" w:space="0" w:color="020000"/>
              <w:bottom w:val="none" w:sz="0" w:space="0" w:color="020000"/>
              <w:right w:val="none" w:sz="0" w:space="0" w:color="020000"/>
            </w:tcBorders>
          </w:tcPr>
          <w:p w14:paraId="48B989D5"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382" w:type="dxa"/>
            <w:tcBorders>
              <w:top w:val="none" w:sz="0" w:space="0" w:color="020000"/>
              <w:left w:val="none" w:sz="0" w:space="0" w:color="020000"/>
              <w:bottom w:val="none" w:sz="0" w:space="0" w:color="020000"/>
              <w:right w:val="none" w:sz="0" w:space="0" w:color="020000"/>
            </w:tcBorders>
          </w:tcPr>
          <w:p w14:paraId="10E98726"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709" w:type="dxa"/>
            <w:tcBorders>
              <w:top w:val="none" w:sz="0" w:space="0" w:color="020000"/>
              <w:left w:val="none" w:sz="0" w:space="0" w:color="020000"/>
              <w:bottom w:val="none" w:sz="0" w:space="0" w:color="020000"/>
              <w:right w:val="none" w:sz="0" w:space="0" w:color="020000"/>
            </w:tcBorders>
          </w:tcPr>
          <w:p w14:paraId="69F27D51"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r>
      <w:tr w:rsidR="00D8670B" w14:paraId="01BA322A" w14:textId="77777777">
        <w:tblPrEx>
          <w:tblCellMar>
            <w:top w:w="0" w:type="dxa"/>
            <w:bottom w:w="0" w:type="dxa"/>
          </w:tblCellMar>
        </w:tblPrEx>
        <w:trPr>
          <w:trHeight w:hRule="exact" w:val="206"/>
        </w:trPr>
        <w:tc>
          <w:tcPr>
            <w:tcW w:w="1863" w:type="dxa"/>
            <w:tcBorders>
              <w:top w:val="none" w:sz="0" w:space="0" w:color="020000"/>
              <w:left w:val="none" w:sz="0" w:space="0" w:color="020000"/>
              <w:bottom w:val="none" w:sz="0" w:space="0" w:color="020000"/>
              <w:right w:val="none" w:sz="0" w:space="0" w:color="020000"/>
            </w:tcBorders>
            <w:shd w:val="clear" w:color="E8F4E9" w:fill="E8F4E9"/>
            <w:vAlign w:val="center"/>
          </w:tcPr>
          <w:p w14:paraId="23A7D662" w14:textId="77777777" w:rsidR="00D8670B" w:rsidRDefault="009B37A9">
            <w:pPr>
              <w:spacing w:line="189" w:lineRule="exact"/>
              <w:ind w:left="53"/>
              <w:textAlignment w:val="baseline"/>
              <w:rPr>
                <w:rFonts w:ascii="Arial" w:eastAsia="Arial" w:hAnsi="Arial"/>
                <w:color w:val="000000"/>
                <w:sz w:val="18"/>
              </w:rPr>
            </w:pPr>
            <w:r>
              <w:rPr>
                <w:rFonts w:ascii="Arial" w:eastAsia="Arial" w:hAnsi="Arial"/>
                <w:color w:val="000000"/>
                <w:sz w:val="18"/>
              </w:rPr>
              <w:t>measures (Schedule</w:t>
            </w:r>
          </w:p>
        </w:tc>
        <w:tc>
          <w:tcPr>
            <w:tcW w:w="3960" w:type="dxa"/>
            <w:tcBorders>
              <w:top w:val="none" w:sz="0" w:space="0" w:color="020000"/>
              <w:left w:val="none" w:sz="0" w:space="0" w:color="020000"/>
              <w:bottom w:val="none" w:sz="0" w:space="0" w:color="020000"/>
              <w:right w:val="none" w:sz="0" w:space="0" w:color="020000"/>
            </w:tcBorders>
            <w:vAlign w:val="center"/>
          </w:tcPr>
          <w:p w14:paraId="78D83049" w14:textId="77777777" w:rsidR="00D8670B" w:rsidRDefault="009B37A9">
            <w:pPr>
              <w:tabs>
                <w:tab w:val="left" w:pos="1440"/>
                <w:tab w:val="right" w:pos="3888"/>
              </w:tabs>
              <w:spacing w:line="189" w:lineRule="exact"/>
              <w:ind w:right="97"/>
              <w:jc w:val="right"/>
              <w:textAlignment w:val="baseline"/>
              <w:rPr>
                <w:rFonts w:ascii="Arial" w:eastAsia="Arial" w:hAnsi="Arial"/>
                <w:color w:val="000000"/>
                <w:sz w:val="18"/>
              </w:rPr>
            </w:pPr>
            <w:r>
              <w:rPr>
                <w:rFonts w:ascii="Arial" w:eastAsia="Arial" w:hAnsi="Arial"/>
                <w:color w:val="000000"/>
                <w:sz w:val="18"/>
              </w:rPr>
              <w:t>$430,436.00</w:t>
            </w:r>
            <w:r>
              <w:rPr>
                <w:rFonts w:ascii="Arial" w:eastAsia="Arial" w:hAnsi="Arial"/>
                <w:color w:val="000000"/>
                <w:sz w:val="18"/>
              </w:rPr>
              <w:tab/>
              <w:t>$907,799.62</w:t>
            </w:r>
            <w:r>
              <w:rPr>
                <w:rFonts w:ascii="Arial" w:eastAsia="Arial" w:hAnsi="Arial"/>
                <w:color w:val="000000"/>
                <w:sz w:val="18"/>
              </w:rPr>
              <w:tab/>
              <w:t>$901,515.54</w:t>
            </w:r>
          </w:p>
        </w:tc>
        <w:tc>
          <w:tcPr>
            <w:tcW w:w="1430" w:type="dxa"/>
            <w:tcBorders>
              <w:top w:val="none" w:sz="0" w:space="0" w:color="020000"/>
              <w:left w:val="none" w:sz="0" w:space="0" w:color="020000"/>
              <w:bottom w:val="none" w:sz="0" w:space="0" w:color="020000"/>
              <w:right w:val="none" w:sz="0" w:space="0" w:color="020000"/>
            </w:tcBorders>
            <w:vAlign w:val="center"/>
          </w:tcPr>
          <w:p w14:paraId="18C153B0" w14:textId="77777777" w:rsidR="00D8670B" w:rsidRDefault="009B37A9">
            <w:pPr>
              <w:tabs>
                <w:tab w:val="decimal" w:pos="1080"/>
              </w:tabs>
              <w:spacing w:line="189" w:lineRule="exact"/>
              <w:textAlignment w:val="baseline"/>
              <w:rPr>
                <w:rFonts w:ascii="Arial" w:eastAsia="Arial" w:hAnsi="Arial"/>
                <w:color w:val="000000"/>
                <w:sz w:val="18"/>
              </w:rPr>
            </w:pPr>
            <w:r>
              <w:rPr>
                <w:rFonts w:ascii="Arial" w:eastAsia="Arial" w:hAnsi="Arial"/>
                <w:color w:val="000000"/>
                <w:sz w:val="18"/>
              </w:rPr>
              <w:t>$699,174.42</w:t>
            </w:r>
          </w:p>
        </w:tc>
        <w:tc>
          <w:tcPr>
            <w:tcW w:w="1430" w:type="dxa"/>
            <w:tcBorders>
              <w:top w:val="none" w:sz="0" w:space="0" w:color="020000"/>
              <w:left w:val="none" w:sz="0" w:space="0" w:color="020000"/>
              <w:bottom w:val="none" w:sz="0" w:space="0" w:color="020000"/>
              <w:right w:val="none" w:sz="0" w:space="0" w:color="020000"/>
            </w:tcBorders>
            <w:vAlign w:val="center"/>
          </w:tcPr>
          <w:p w14:paraId="4BB44175" w14:textId="77777777" w:rsidR="00D8670B" w:rsidRDefault="009B37A9">
            <w:pPr>
              <w:tabs>
                <w:tab w:val="decimal" w:pos="1080"/>
              </w:tabs>
              <w:spacing w:line="189" w:lineRule="exact"/>
              <w:textAlignment w:val="baseline"/>
              <w:rPr>
                <w:rFonts w:ascii="Arial" w:eastAsia="Arial" w:hAnsi="Arial"/>
                <w:color w:val="000000"/>
                <w:sz w:val="18"/>
              </w:rPr>
            </w:pPr>
            <w:r>
              <w:rPr>
                <w:rFonts w:ascii="Arial" w:eastAsia="Arial" w:hAnsi="Arial"/>
                <w:color w:val="000000"/>
                <w:sz w:val="18"/>
              </w:rPr>
              <w:t>$751,799.02</w:t>
            </w:r>
          </w:p>
        </w:tc>
        <w:tc>
          <w:tcPr>
            <w:tcW w:w="1479" w:type="dxa"/>
            <w:tcBorders>
              <w:top w:val="none" w:sz="0" w:space="0" w:color="020000"/>
              <w:left w:val="none" w:sz="0" w:space="0" w:color="020000"/>
              <w:bottom w:val="none" w:sz="0" w:space="0" w:color="020000"/>
              <w:right w:val="none" w:sz="0" w:space="0" w:color="020000"/>
            </w:tcBorders>
            <w:vAlign w:val="center"/>
          </w:tcPr>
          <w:p w14:paraId="5D3FFA06" w14:textId="77777777" w:rsidR="00D8670B" w:rsidRDefault="009B37A9">
            <w:pPr>
              <w:tabs>
                <w:tab w:val="decimal" w:pos="1152"/>
              </w:tabs>
              <w:spacing w:line="189" w:lineRule="exact"/>
              <w:textAlignment w:val="baseline"/>
              <w:rPr>
                <w:rFonts w:ascii="Arial" w:eastAsia="Arial" w:hAnsi="Arial"/>
                <w:color w:val="000000"/>
                <w:sz w:val="18"/>
              </w:rPr>
            </w:pPr>
            <w:r>
              <w:rPr>
                <w:rFonts w:ascii="Arial" w:eastAsia="Arial" w:hAnsi="Arial"/>
                <w:color w:val="000000"/>
                <w:sz w:val="18"/>
              </w:rPr>
              <w:t>$556,773.95</w:t>
            </w:r>
          </w:p>
        </w:tc>
        <w:tc>
          <w:tcPr>
            <w:tcW w:w="1507" w:type="dxa"/>
            <w:tcBorders>
              <w:top w:val="none" w:sz="0" w:space="0" w:color="020000"/>
              <w:left w:val="none" w:sz="0" w:space="0" w:color="020000"/>
              <w:bottom w:val="none" w:sz="0" w:space="0" w:color="020000"/>
              <w:right w:val="none" w:sz="0" w:space="0" w:color="020000"/>
            </w:tcBorders>
            <w:vAlign w:val="center"/>
          </w:tcPr>
          <w:p w14:paraId="7A678DD2" w14:textId="77777777" w:rsidR="00D8670B" w:rsidRDefault="009B37A9">
            <w:pPr>
              <w:tabs>
                <w:tab w:val="decimal" w:pos="1080"/>
              </w:tabs>
              <w:spacing w:line="189" w:lineRule="exact"/>
              <w:textAlignment w:val="baseline"/>
              <w:rPr>
                <w:rFonts w:ascii="Arial" w:eastAsia="Arial" w:hAnsi="Arial"/>
                <w:color w:val="000000"/>
                <w:sz w:val="18"/>
              </w:rPr>
            </w:pPr>
            <w:r>
              <w:rPr>
                <w:rFonts w:ascii="Arial" w:eastAsia="Arial" w:hAnsi="Arial"/>
                <w:color w:val="000000"/>
                <w:sz w:val="18"/>
              </w:rPr>
              <w:t>$613,109.86</w:t>
            </w:r>
          </w:p>
        </w:tc>
        <w:tc>
          <w:tcPr>
            <w:tcW w:w="1382" w:type="dxa"/>
            <w:tcBorders>
              <w:top w:val="none" w:sz="0" w:space="0" w:color="020000"/>
              <w:left w:val="none" w:sz="0" w:space="0" w:color="020000"/>
              <w:bottom w:val="none" w:sz="0" w:space="0" w:color="020000"/>
              <w:right w:val="none" w:sz="0" w:space="0" w:color="020000"/>
            </w:tcBorders>
            <w:vAlign w:val="center"/>
          </w:tcPr>
          <w:p w14:paraId="71B8A2BA" w14:textId="77777777" w:rsidR="00D8670B" w:rsidRDefault="009B37A9">
            <w:pPr>
              <w:tabs>
                <w:tab w:val="decimal" w:pos="1008"/>
              </w:tabs>
              <w:spacing w:line="189" w:lineRule="exact"/>
              <w:textAlignment w:val="baseline"/>
              <w:rPr>
                <w:rFonts w:ascii="Arial" w:eastAsia="Arial" w:hAnsi="Arial"/>
                <w:color w:val="000000"/>
                <w:sz w:val="18"/>
              </w:rPr>
            </w:pPr>
            <w:r>
              <w:rPr>
                <w:rFonts w:ascii="Arial" w:eastAsia="Arial" w:hAnsi="Arial"/>
                <w:color w:val="000000"/>
                <w:sz w:val="18"/>
              </w:rPr>
              <w:t>$217,214.91</w:t>
            </w:r>
          </w:p>
        </w:tc>
        <w:tc>
          <w:tcPr>
            <w:tcW w:w="1709" w:type="dxa"/>
            <w:tcBorders>
              <w:top w:val="none" w:sz="0" w:space="0" w:color="020000"/>
              <w:left w:val="none" w:sz="0" w:space="0" w:color="020000"/>
              <w:bottom w:val="none" w:sz="0" w:space="0" w:color="020000"/>
              <w:right w:val="none" w:sz="0" w:space="0" w:color="020000"/>
            </w:tcBorders>
            <w:vAlign w:val="center"/>
          </w:tcPr>
          <w:p w14:paraId="5347BA12" w14:textId="77777777" w:rsidR="00D8670B" w:rsidRDefault="009B37A9">
            <w:pPr>
              <w:tabs>
                <w:tab w:val="decimal" w:pos="1296"/>
              </w:tabs>
              <w:spacing w:line="194" w:lineRule="exact"/>
              <w:textAlignment w:val="baseline"/>
              <w:rPr>
                <w:rFonts w:ascii="Arial" w:eastAsia="Arial" w:hAnsi="Arial"/>
                <w:b/>
                <w:color w:val="000000"/>
                <w:sz w:val="18"/>
              </w:rPr>
            </w:pPr>
            <w:r>
              <w:rPr>
                <w:rFonts w:ascii="Arial" w:eastAsia="Arial" w:hAnsi="Arial"/>
                <w:b/>
                <w:color w:val="000000"/>
                <w:sz w:val="18"/>
              </w:rPr>
              <w:t>$5,077,823.32</w:t>
            </w:r>
          </w:p>
        </w:tc>
      </w:tr>
      <w:tr w:rsidR="00D8670B" w14:paraId="4C810EF8" w14:textId="77777777">
        <w:tblPrEx>
          <w:tblCellMar>
            <w:top w:w="0" w:type="dxa"/>
            <w:bottom w:w="0" w:type="dxa"/>
          </w:tblCellMar>
        </w:tblPrEx>
        <w:trPr>
          <w:trHeight w:hRule="exact" w:val="327"/>
        </w:trPr>
        <w:tc>
          <w:tcPr>
            <w:tcW w:w="1863" w:type="dxa"/>
            <w:tcBorders>
              <w:top w:val="none" w:sz="0" w:space="0" w:color="020000"/>
              <w:left w:val="none" w:sz="0" w:space="0" w:color="020000"/>
              <w:bottom w:val="none" w:sz="0" w:space="0" w:color="020000"/>
              <w:right w:val="none" w:sz="0" w:space="0" w:color="020000"/>
            </w:tcBorders>
            <w:shd w:val="clear" w:color="E8F4E9" w:fill="E8F4E9"/>
          </w:tcPr>
          <w:p w14:paraId="5F231EC4" w14:textId="77777777" w:rsidR="00D8670B" w:rsidRDefault="009B37A9">
            <w:pPr>
              <w:spacing w:after="115" w:line="200" w:lineRule="exact"/>
              <w:ind w:left="53"/>
              <w:textAlignment w:val="baseline"/>
              <w:rPr>
                <w:rFonts w:ascii="Arial" w:eastAsia="Arial" w:hAnsi="Arial"/>
                <w:color w:val="000000"/>
                <w:sz w:val="18"/>
              </w:rPr>
            </w:pPr>
            <w:r>
              <w:rPr>
                <w:rFonts w:ascii="Arial" w:eastAsia="Arial" w:hAnsi="Arial"/>
                <w:color w:val="000000"/>
                <w:sz w:val="18"/>
              </w:rPr>
              <w:t>2, Item C.2 )</w:t>
            </w:r>
          </w:p>
        </w:tc>
        <w:tc>
          <w:tcPr>
            <w:tcW w:w="3960" w:type="dxa"/>
            <w:tcBorders>
              <w:top w:val="none" w:sz="0" w:space="0" w:color="020000"/>
              <w:left w:val="none" w:sz="0" w:space="0" w:color="020000"/>
              <w:bottom w:val="none" w:sz="0" w:space="0" w:color="020000"/>
              <w:right w:val="none" w:sz="0" w:space="0" w:color="020000"/>
            </w:tcBorders>
          </w:tcPr>
          <w:p w14:paraId="6160372B"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tcPr>
          <w:p w14:paraId="43316807"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tcPr>
          <w:p w14:paraId="5970B49A"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79" w:type="dxa"/>
            <w:tcBorders>
              <w:top w:val="none" w:sz="0" w:space="0" w:color="020000"/>
              <w:left w:val="none" w:sz="0" w:space="0" w:color="020000"/>
              <w:bottom w:val="none" w:sz="0" w:space="0" w:color="020000"/>
              <w:right w:val="none" w:sz="0" w:space="0" w:color="020000"/>
            </w:tcBorders>
          </w:tcPr>
          <w:p w14:paraId="53CD4C8A"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507" w:type="dxa"/>
            <w:tcBorders>
              <w:top w:val="none" w:sz="0" w:space="0" w:color="020000"/>
              <w:left w:val="none" w:sz="0" w:space="0" w:color="020000"/>
              <w:bottom w:val="none" w:sz="0" w:space="0" w:color="020000"/>
              <w:right w:val="none" w:sz="0" w:space="0" w:color="020000"/>
            </w:tcBorders>
          </w:tcPr>
          <w:p w14:paraId="05FE26C0"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382" w:type="dxa"/>
            <w:tcBorders>
              <w:top w:val="none" w:sz="0" w:space="0" w:color="020000"/>
              <w:left w:val="none" w:sz="0" w:space="0" w:color="020000"/>
              <w:bottom w:val="none" w:sz="0" w:space="0" w:color="020000"/>
              <w:right w:val="none" w:sz="0" w:space="0" w:color="020000"/>
            </w:tcBorders>
          </w:tcPr>
          <w:p w14:paraId="02213459"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709" w:type="dxa"/>
            <w:tcBorders>
              <w:top w:val="none" w:sz="0" w:space="0" w:color="020000"/>
              <w:left w:val="none" w:sz="0" w:space="0" w:color="020000"/>
              <w:bottom w:val="none" w:sz="0" w:space="0" w:color="020000"/>
              <w:right w:val="none" w:sz="0" w:space="0" w:color="020000"/>
            </w:tcBorders>
          </w:tcPr>
          <w:p w14:paraId="4EE1EE55"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r>
      <w:tr w:rsidR="00D8670B" w14:paraId="251264A9" w14:textId="77777777">
        <w:tblPrEx>
          <w:tblCellMar>
            <w:top w:w="0" w:type="dxa"/>
            <w:bottom w:w="0" w:type="dxa"/>
          </w:tblCellMar>
        </w:tblPrEx>
        <w:trPr>
          <w:trHeight w:hRule="exact" w:val="331"/>
        </w:trPr>
        <w:tc>
          <w:tcPr>
            <w:tcW w:w="1863" w:type="dxa"/>
            <w:tcBorders>
              <w:top w:val="none" w:sz="0" w:space="0" w:color="020000"/>
              <w:left w:val="none" w:sz="0" w:space="0" w:color="020000"/>
              <w:bottom w:val="none" w:sz="0" w:space="0" w:color="020000"/>
              <w:right w:val="none" w:sz="0" w:space="0" w:color="020000"/>
            </w:tcBorders>
            <w:shd w:val="clear" w:color="E8F4E9" w:fill="E8F4E9"/>
            <w:vAlign w:val="center"/>
          </w:tcPr>
          <w:p w14:paraId="0E2813A4" w14:textId="77777777" w:rsidR="00D8670B" w:rsidRDefault="009B37A9">
            <w:pPr>
              <w:spacing w:before="137" w:line="179" w:lineRule="exact"/>
              <w:ind w:left="53"/>
              <w:textAlignment w:val="baseline"/>
              <w:rPr>
                <w:rFonts w:ascii="Arial" w:eastAsia="Arial" w:hAnsi="Arial"/>
                <w:color w:val="000000"/>
                <w:sz w:val="18"/>
              </w:rPr>
            </w:pPr>
            <w:r>
              <w:rPr>
                <w:rFonts w:ascii="Arial" w:eastAsia="Arial" w:hAnsi="Arial"/>
                <w:color w:val="000000"/>
                <w:sz w:val="18"/>
              </w:rPr>
              <w:t>Infrastructure funding</w:t>
            </w:r>
          </w:p>
        </w:tc>
        <w:tc>
          <w:tcPr>
            <w:tcW w:w="3960" w:type="dxa"/>
            <w:tcBorders>
              <w:top w:val="none" w:sz="0" w:space="0" w:color="020000"/>
              <w:left w:val="none" w:sz="0" w:space="0" w:color="020000"/>
              <w:bottom w:val="none" w:sz="0" w:space="0" w:color="020000"/>
              <w:right w:val="none" w:sz="0" w:space="0" w:color="020000"/>
            </w:tcBorders>
          </w:tcPr>
          <w:p w14:paraId="3286425C"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tcPr>
          <w:p w14:paraId="63AC9DB5"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tcPr>
          <w:p w14:paraId="702B243C"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79" w:type="dxa"/>
            <w:tcBorders>
              <w:top w:val="none" w:sz="0" w:space="0" w:color="020000"/>
              <w:left w:val="none" w:sz="0" w:space="0" w:color="020000"/>
              <w:bottom w:val="none" w:sz="0" w:space="0" w:color="020000"/>
              <w:right w:val="none" w:sz="0" w:space="0" w:color="020000"/>
            </w:tcBorders>
          </w:tcPr>
          <w:p w14:paraId="4219F8D3"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507" w:type="dxa"/>
            <w:tcBorders>
              <w:top w:val="none" w:sz="0" w:space="0" w:color="020000"/>
              <w:left w:val="none" w:sz="0" w:space="0" w:color="020000"/>
              <w:bottom w:val="none" w:sz="0" w:space="0" w:color="020000"/>
              <w:right w:val="none" w:sz="0" w:space="0" w:color="020000"/>
            </w:tcBorders>
          </w:tcPr>
          <w:p w14:paraId="796B8732"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382" w:type="dxa"/>
            <w:tcBorders>
              <w:top w:val="none" w:sz="0" w:space="0" w:color="020000"/>
              <w:left w:val="none" w:sz="0" w:space="0" w:color="020000"/>
              <w:bottom w:val="none" w:sz="0" w:space="0" w:color="020000"/>
              <w:right w:val="none" w:sz="0" w:space="0" w:color="020000"/>
            </w:tcBorders>
          </w:tcPr>
          <w:p w14:paraId="2D2E937C"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709" w:type="dxa"/>
            <w:tcBorders>
              <w:top w:val="none" w:sz="0" w:space="0" w:color="020000"/>
              <w:left w:val="none" w:sz="0" w:space="0" w:color="020000"/>
              <w:bottom w:val="none" w:sz="0" w:space="0" w:color="020000"/>
              <w:right w:val="none" w:sz="0" w:space="0" w:color="020000"/>
            </w:tcBorders>
          </w:tcPr>
          <w:p w14:paraId="6EDCBB82"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r>
      <w:tr w:rsidR="00D8670B" w14:paraId="4A8B2A48" w14:textId="77777777">
        <w:tblPrEx>
          <w:tblCellMar>
            <w:top w:w="0" w:type="dxa"/>
            <w:bottom w:w="0" w:type="dxa"/>
          </w:tblCellMar>
        </w:tblPrEx>
        <w:trPr>
          <w:trHeight w:hRule="exact" w:val="211"/>
        </w:trPr>
        <w:tc>
          <w:tcPr>
            <w:tcW w:w="1863" w:type="dxa"/>
            <w:tcBorders>
              <w:top w:val="none" w:sz="0" w:space="0" w:color="020000"/>
              <w:left w:val="none" w:sz="0" w:space="0" w:color="020000"/>
              <w:bottom w:val="none" w:sz="0" w:space="0" w:color="020000"/>
              <w:right w:val="none" w:sz="0" w:space="0" w:color="020000"/>
            </w:tcBorders>
            <w:shd w:val="clear" w:color="E8F4E9" w:fill="E8F4E9"/>
            <w:vAlign w:val="center"/>
          </w:tcPr>
          <w:p w14:paraId="4DAC79BD" w14:textId="77777777" w:rsidR="00D8670B" w:rsidRDefault="009B37A9">
            <w:pPr>
              <w:spacing w:line="189" w:lineRule="exact"/>
              <w:ind w:left="53"/>
              <w:textAlignment w:val="baseline"/>
              <w:rPr>
                <w:rFonts w:ascii="Arial" w:eastAsia="Arial" w:hAnsi="Arial"/>
                <w:color w:val="000000"/>
                <w:sz w:val="18"/>
              </w:rPr>
            </w:pPr>
            <w:r>
              <w:rPr>
                <w:rFonts w:ascii="Arial" w:eastAsia="Arial" w:hAnsi="Arial"/>
                <w:color w:val="000000"/>
                <w:sz w:val="18"/>
              </w:rPr>
              <w:t>(Schedule 2, Item</w:t>
            </w:r>
          </w:p>
        </w:tc>
        <w:tc>
          <w:tcPr>
            <w:tcW w:w="3960" w:type="dxa"/>
            <w:tcBorders>
              <w:top w:val="none" w:sz="0" w:space="0" w:color="020000"/>
              <w:left w:val="none" w:sz="0" w:space="0" w:color="020000"/>
              <w:bottom w:val="none" w:sz="0" w:space="0" w:color="020000"/>
              <w:right w:val="none" w:sz="0" w:space="0" w:color="020000"/>
            </w:tcBorders>
            <w:vAlign w:val="center"/>
          </w:tcPr>
          <w:p w14:paraId="6CC73966" w14:textId="77777777" w:rsidR="00D8670B" w:rsidRDefault="009B37A9">
            <w:pPr>
              <w:tabs>
                <w:tab w:val="left" w:pos="1296"/>
                <w:tab w:val="right" w:pos="3888"/>
              </w:tabs>
              <w:spacing w:line="189" w:lineRule="exact"/>
              <w:ind w:right="97"/>
              <w:jc w:val="right"/>
              <w:textAlignment w:val="baseline"/>
              <w:rPr>
                <w:rFonts w:ascii="Arial" w:eastAsia="Arial" w:hAnsi="Arial"/>
                <w:color w:val="000000"/>
                <w:sz w:val="18"/>
              </w:rPr>
            </w:pPr>
            <w:r>
              <w:rPr>
                <w:rFonts w:ascii="Arial" w:eastAsia="Arial" w:hAnsi="Arial"/>
                <w:color w:val="000000"/>
                <w:sz w:val="18"/>
              </w:rPr>
              <w:t>$0</w:t>
            </w:r>
            <w:r>
              <w:rPr>
                <w:rFonts w:ascii="Arial" w:eastAsia="Arial" w:hAnsi="Arial"/>
                <w:color w:val="000000"/>
                <w:sz w:val="18"/>
              </w:rPr>
              <w:tab/>
              <w:t>$7,444,353.40</w:t>
            </w:r>
            <w:r>
              <w:rPr>
                <w:rFonts w:ascii="Arial" w:eastAsia="Arial" w:hAnsi="Arial"/>
                <w:color w:val="000000"/>
                <w:sz w:val="18"/>
              </w:rPr>
              <w:tab/>
              <w:t>$16,055,307.80</w:t>
            </w:r>
          </w:p>
        </w:tc>
        <w:tc>
          <w:tcPr>
            <w:tcW w:w="1430" w:type="dxa"/>
            <w:tcBorders>
              <w:top w:val="none" w:sz="0" w:space="0" w:color="020000"/>
              <w:left w:val="none" w:sz="0" w:space="0" w:color="020000"/>
              <w:bottom w:val="none" w:sz="0" w:space="0" w:color="020000"/>
              <w:right w:val="none" w:sz="0" w:space="0" w:color="020000"/>
            </w:tcBorders>
            <w:vAlign w:val="center"/>
          </w:tcPr>
          <w:p w14:paraId="31F1F3EB" w14:textId="77777777" w:rsidR="00D8670B" w:rsidRDefault="009B37A9">
            <w:pPr>
              <w:tabs>
                <w:tab w:val="decimal" w:pos="1080"/>
              </w:tabs>
              <w:spacing w:line="189" w:lineRule="exact"/>
              <w:textAlignment w:val="baseline"/>
              <w:rPr>
                <w:rFonts w:ascii="Arial" w:eastAsia="Arial" w:hAnsi="Arial"/>
                <w:color w:val="000000"/>
                <w:sz w:val="18"/>
              </w:rPr>
            </w:pPr>
            <w:r>
              <w:rPr>
                <w:rFonts w:ascii="Arial" w:eastAsia="Arial" w:hAnsi="Arial"/>
                <w:color w:val="000000"/>
                <w:sz w:val="18"/>
              </w:rPr>
              <w:t>$17,376,318.79</w:t>
            </w:r>
          </w:p>
        </w:tc>
        <w:tc>
          <w:tcPr>
            <w:tcW w:w="1430" w:type="dxa"/>
            <w:tcBorders>
              <w:top w:val="none" w:sz="0" w:space="0" w:color="020000"/>
              <w:left w:val="none" w:sz="0" w:space="0" w:color="020000"/>
              <w:bottom w:val="none" w:sz="0" w:space="0" w:color="020000"/>
              <w:right w:val="none" w:sz="0" w:space="0" w:color="020000"/>
            </w:tcBorders>
            <w:vAlign w:val="center"/>
          </w:tcPr>
          <w:p w14:paraId="2A274D92" w14:textId="77777777" w:rsidR="00D8670B" w:rsidRDefault="009B37A9">
            <w:pPr>
              <w:tabs>
                <w:tab w:val="decimal" w:pos="1080"/>
              </w:tabs>
              <w:spacing w:line="189" w:lineRule="exact"/>
              <w:textAlignment w:val="baseline"/>
              <w:rPr>
                <w:rFonts w:ascii="Arial" w:eastAsia="Arial" w:hAnsi="Arial"/>
                <w:color w:val="000000"/>
                <w:sz w:val="18"/>
              </w:rPr>
            </w:pPr>
            <w:r>
              <w:rPr>
                <w:rFonts w:ascii="Arial" w:eastAsia="Arial" w:hAnsi="Arial"/>
                <w:color w:val="000000"/>
                <w:sz w:val="18"/>
              </w:rPr>
              <w:t>$15,097,267.48</w:t>
            </w:r>
          </w:p>
        </w:tc>
        <w:tc>
          <w:tcPr>
            <w:tcW w:w="1479" w:type="dxa"/>
            <w:tcBorders>
              <w:top w:val="none" w:sz="0" w:space="0" w:color="020000"/>
              <w:left w:val="none" w:sz="0" w:space="0" w:color="020000"/>
              <w:bottom w:val="none" w:sz="0" w:space="0" w:color="020000"/>
              <w:right w:val="none" w:sz="0" w:space="0" w:color="020000"/>
            </w:tcBorders>
            <w:vAlign w:val="center"/>
          </w:tcPr>
          <w:p w14:paraId="40D7B3A7" w14:textId="77777777" w:rsidR="00D8670B" w:rsidRDefault="009B37A9">
            <w:pPr>
              <w:tabs>
                <w:tab w:val="decimal" w:pos="1152"/>
              </w:tabs>
              <w:spacing w:line="189" w:lineRule="exact"/>
              <w:textAlignment w:val="baseline"/>
              <w:rPr>
                <w:rFonts w:ascii="Arial" w:eastAsia="Arial" w:hAnsi="Arial"/>
                <w:color w:val="000000"/>
                <w:sz w:val="18"/>
              </w:rPr>
            </w:pPr>
            <w:r>
              <w:rPr>
                <w:rFonts w:ascii="Arial" w:eastAsia="Arial" w:hAnsi="Arial"/>
                <w:color w:val="000000"/>
                <w:sz w:val="18"/>
              </w:rPr>
              <w:t>$10,378,447.04</w:t>
            </w:r>
          </w:p>
        </w:tc>
        <w:tc>
          <w:tcPr>
            <w:tcW w:w="1507" w:type="dxa"/>
            <w:tcBorders>
              <w:top w:val="none" w:sz="0" w:space="0" w:color="020000"/>
              <w:left w:val="none" w:sz="0" w:space="0" w:color="020000"/>
              <w:bottom w:val="none" w:sz="0" w:space="0" w:color="020000"/>
              <w:right w:val="none" w:sz="0" w:space="0" w:color="020000"/>
            </w:tcBorders>
            <w:vAlign w:val="center"/>
          </w:tcPr>
          <w:p w14:paraId="2E13F0CD" w14:textId="77777777" w:rsidR="00D8670B" w:rsidRDefault="009B37A9">
            <w:pPr>
              <w:tabs>
                <w:tab w:val="decimal" w:pos="1080"/>
              </w:tabs>
              <w:spacing w:line="189" w:lineRule="exact"/>
              <w:textAlignment w:val="baseline"/>
              <w:rPr>
                <w:rFonts w:ascii="Arial" w:eastAsia="Arial" w:hAnsi="Arial"/>
                <w:color w:val="000000"/>
                <w:sz w:val="18"/>
              </w:rPr>
            </w:pPr>
            <w:r>
              <w:rPr>
                <w:rFonts w:ascii="Arial" w:eastAsia="Arial" w:hAnsi="Arial"/>
                <w:color w:val="000000"/>
                <w:sz w:val="18"/>
              </w:rPr>
              <w:t>$7,564,836.93</w:t>
            </w:r>
          </w:p>
        </w:tc>
        <w:tc>
          <w:tcPr>
            <w:tcW w:w="1382" w:type="dxa"/>
            <w:tcBorders>
              <w:top w:val="none" w:sz="0" w:space="0" w:color="020000"/>
              <w:left w:val="none" w:sz="0" w:space="0" w:color="020000"/>
              <w:bottom w:val="none" w:sz="0" w:space="0" w:color="020000"/>
              <w:right w:val="none" w:sz="0" w:space="0" w:color="020000"/>
            </w:tcBorders>
            <w:vAlign w:val="center"/>
          </w:tcPr>
          <w:p w14:paraId="4E09A7DD" w14:textId="77777777" w:rsidR="00D8670B" w:rsidRDefault="009B37A9">
            <w:pPr>
              <w:tabs>
                <w:tab w:val="decimal" w:pos="1008"/>
              </w:tabs>
              <w:spacing w:line="189" w:lineRule="exact"/>
              <w:textAlignment w:val="baseline"/>
              <w:rPr>
                <w:rFonts w:ascii="Arial" w:eastAsia="Arial" w:hAnsi="Arial"/>
                <w:color w:val="000000"/>
                <w:sz w:val="18"/>
              </w:rPr>
            </w:pPr>
            <w:r>
              <w:rPr>
                <w:rFonts w:ascii="Arial" w:eastAsia="Arial" w:hAnsi="Arial"/>
                <w:color w:val="000000"/>
                <w:sz w:val="18"/>
              </w:rPr>
              <w:t>$0.00</w:t>
            </w:r>
          </w:p>
        </w:tc>
        <w:tc>
          <w:tcPr>
            <w:tcW w:w="1709" w:type="dxa"/>
            <w:tcBorders>
              <w:top w:val="none" w:sz="0" w:space="0" w:color="020000"/>
              <w:left w:val="none" w:sz="0" w:space="0" w:color="020000"/>
              <w:bottom w:val="none" w:sz="0" w:space="0" w:color="020000"/>
              <w:right w:val="none" w:sz="0" w:space="0" w:color="020000"/>
            </w:tcBorders>
            <w:vAlign w:val="center"/>
          </w:tcPr>
          <w:p w14:paraId="63799662" w14:textId="77777777" w:rsidR="00D8670B" w:rsidRDefault="009B37A9">
            <w:pPr>
              <w:tabs>
                <w:tab w:val="decimal" w:pos="1296"/>
              </w:tabs>
              <w:spacing w:line="194" w:lineRule="exact"/>
              <w:textAlignment w:val="baseline"/>
              <w:rPr>
                <w:rFonts w:ascii="Arial" w:eastAsia="Arial" w:hAnsi="Arial"/>
                <w:b/>
                <w:color w:val="000000"/>
                <w:sz w:val="18"/>
              </w:rPr>
            </w:pPr>
            <w:r>
              <w:rPr>
                <w:rFonts w:ascii="Arial" w:eastAsia="Arial" w:hAnsi="Arial"/>
                <w:b/>
                <w:color w:val="000000"/>
                <w:sz w:val="18"/>
              </w:rPr>
              <w:t>$73,916,531.44</w:t>
            </w:r>
          </w:p>
        </w:tc>
      </w:tr>
      <w:tr w:rsidR="00D8670B" w14:paraId="524577EB" w14:textId="77777777">
        <w:tblPrEx>
          <w:tblCellMar>
            <w:top w:w="0" w:type="dxa"/>
            <w:bottom w:w="0" w:type="dxa"/>
          </w:tblCellMar>
        </w:tblPrEx>
        <w:trPr>
          <w:trHeight w:hRule="exact" w:val="322"/>
        </w:trPr>
        <w:tc>
          <w:tcPr>
            <w:tcW w:w="1863" w:type="dxa"/>
            <w:tcBorders>
              <w:top w:val="none" w:sz="0" w:space="0" w:color="020000"/>
              <w:left w:val="none" w:sz="0" w:space="0" w:color="020000"/>
              <w:bottom w:val="none" w:sz="0" w:space="0" w:color="020000"/>
              <w:right w:val="none" w:sz="0" w:space="0" w:color="020000"/>
            </w:tcBorders>
            <w:shd w:val="clear" w:color="E8F4E9" w:fill="E8F4E9"/>
          </w:tcPr>
          <w:p w14:paraId="57E1EF96" w14:textId="77777777" w:rsidR="00D8670B" w:rsidRDefault="009B37A9">
            <w:pPr>
              <w:spacing w:after="115" w:line="200" w:lineRule="exact"/>
              <w:ind w:left="53"/>
              <w:textAlignment w:val="baseline"/>
              <w:rPr>
                <w:rFonts w:ascii="Arial" w:eastAsia="Arial" w:hAnsi="Arial"/>
                <w:color w:val="000000"/>
                <w:sz w:val="18"/>
              </w:rPr>
            </w:pPr>
            <w:r>
              <w:rPr>
                <w:rFonts w:ascii="Arial" w:eastAsia="Arial" w:hAnsi="Arial"/>
                <w:color w:val="000000"/>
                <w:sz w:val="18"/>
              </w:rPr>
              <w:t>C.3)</w:t>
            </w:r>
          </w:p>
        </w:tc>
        <w:tc>
          <w:tcPr>
            <w:tcW w:w="3960" w:type="dxa"/>
            <w:tcBorders>
              <w:top w:val="none" w:sz="0" w:space="0" w:color="020000"/>
              <w:left w:val="none" w:sz="0" w:space="0" w:color="020000"/>
              <w:bottom w:val="none" w:sz="0" w:space="0" w:color="020000"/>
              <w:right w:val="none" w:sz="0" w:space="0" w:color="020000"/>
            </w:tcBorders>
          </w:tcPr>
          <w:p w14:paraId="11B128C2"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tcPr>
          <w:p w14:paraId="54755718"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tcPr>
          <w:p w14:paraId="349B0B89"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79" w:type="dxa"/>
            <w:tcBorders>
              <w:top w:val="none" w:sz="0" w:space="0" w:color="020000"/>
              <w:left w:val="none" w:sz="0" w:space="0" w:color="020000"/>
              <w:bottom w:val="none" w:sz="0" w:space="0" w:color="020000"/>
              <w:right w:val="none" w:sz="0" w:space="0" w:color="020000"/>
            </w:tcBorders>
          </w:tcPr>
          <w:p w14:paraId="3B165C1D"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507" w:type="dxa"/>
            <w:tcBorders>
              <w:top w:val="none" w:sz="0" w:space="0" w:color="020000"/>
              <w:left w:val="none" w:sz="0" w:space="0" w:color="020000"/>
              <w:bottom w:val="none" w:sz="0" w:space="0" w:color="020000"/>
              <w:right w:val="none" w:sz="0" w:space="0" w:color="020000"/>
            </w:tcBorders>
          </w:tcPr>
          <w:p w14:paraId="63D89A1A"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382" w:type="dxa"/>
            <w:tcBorders>
              <w:top w:val="none" w:sz="0" w:space="0" w:color="020000"/>
              <w:left w:val="none" w:sz="0" w:space="0" w:color="020000"/>
              <w:bottom w:val="none" w:sz="0" w:space="0" w:color="020000"/>
              <w:right w:val="none" w:sz="0" w:space="0" w:color="020000"/>
            </w:tcBorders>
          </w:tcPr>
          <w:p w14:paraId="079CC1EC"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709" w:type="dxa"/>
            <w:tcBorders>
              <w:top w:val="none" w:sz="0" w:space="0" w:color="020000"/>
              <w:left w:val="none" w:sz="0" w:space="0" w:color="020000"/>
              <w:bottom w:val="none" w:sz="0" w:space="0" w:color="020000"/>
              <w:right w:val="none" w:sz="0" w:space="0" w:color="020000"/>
            </w:tcBorders>
          </w:tcPr>
          <w:p w14:paraId="23C8327C"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r>
      <w:tr w:rsidR="00D8670B" w14:paraId="290F7C25" w14:textId="77777777">
        <w:tblPrEx>
          <w:tblCellMar>
            <w:top w:w="0" w:type="dxa"/>
            <w:bottom w:w="0" w:type="dxa"/>
          </w:tblCellMar>
        </w:tblPrEx>
        <w:trPr>
          <w:trHeight w:hRule="exact" w:val="451"/>
        </w:trPr>
        <w:tc>
          <w:tcPr>
            <w:tcW w:w="5823" w:type="dxa"/>
            <w:gridSpan w:val="2"/>
            <w:tcBorders>
              <w:top w:val="none" w:sz="0" w:space="0" w:color="020000"/>
              <w:left w:val="none" w:sz="0" w:space="0" w:color="020000"/>
              <w:bottom w:val="none" w:sz="0" w:space="0" w:color="020000"/>
              <w:right w:val="none" w:sz="0" w:space="0" w:color="020000"/>
            </w:tcBorders>
            <w:shd w:val="clear" w:color="CFE8D0" w:fill="CFE8D0"/>
            <w:vAlign w:val="center"/>
          </w:tcPr>
          <w:p w14:paraId="4E16470A" w14:textId="77777777" w:rsidR="00D8670B" w:rsidRDefault="009B37A9">
            <w:pPr>
              <w:tabs>
                <w:tab w:val="left" w:pos="2016"/>
                <w:tab w:val="left" w:pos="3168"/>
                <w:tab w:val="right" w:pos="5760"/>
              </w:tabs>
              <w:spacing w:before="127" w:after="120" w:line="199" w:lineRule="exact"/>
              <w:ind w:left="53"/>
              <w:textAlignment w:val="baseline"/>
              <w:rPr>
                <w:rFonts w:ascii="Arial" w:eastAsia="Arial" w:hAnsi="Arial"/>
                <w:b/>
                <w:color w:val="275028"/>
                <w:sz w:val="18"/>
              </w:rPr>
            </w:pPr>
            <w:r>
              <w:rPr>
                <w:rFonts w:ascii="Arial" w:eastAsia="Arial" w:hAnsi="Arial"/>
                <w:b/>
                <w:color w:val="275028"/>
                <w:sz w:val="18"/>
              </w:rPr>
              <w:t>Financial year total</w:t>
            </w:r>
            <w:r>
              <w:rPr>
                <w:rFonts w:ascii="Arial" w:eastAsia="Arial" w:hAnsi="Arial"/>
                <w:b/>
                <w:color w:val="275028"/>
                <w:sz w:val="18"/>
              </w:rPr>
              <w:tab/>
              <w:t>$430,436.00</w:t>
            </w:r>
            <w:r>
              <w:rPr>
                <w:rFonts w:ascii="Arial" w:eastAsia="Arial" w:hAnsi="Arial"/>
                <w:b/>
                <w:color w:val="275028"/>
                <w:sz w:val="18"/>
              </w:rPr>
              <w:tab/>
              <w:t>$8,352,153.02</w:t>
            </w:r>
            <w:r>
              <w:rPr>
                <w:rFonts w:ascii="Arial" w:eastAsia="Arial" w:hAnsi="Arial"/>
                <w:b/>
                <w:color w:val="275028"/>
                <w:sz w:val="18"/>
              </w:rPr>
              <w:tab/>
            </w:r>
            <w:r>
              <w:rPr>
                <w:rFonts w:ascii="Arial" w:eastAsia="Arial" w:hAnsi="Arial"/>
                <w:b/>
                <w:color w:val="275028"/>
                <w:sz w:val="18"/>
              </w:rPr>
              <w:t>$16,956,823.34</w:t>
            </w:r>
          </w:p>
        </w:tc>
        <w:tc>
          <w:tcPr>
            <w:tcW w:w="1430" w:type="dxa"/>
            <w:tcBorders>
              <w:top w:val="none" w:sz="0" w:space="0" w:color="020000"/>
              <w:left w:val="none" w:sz="0" w:space="0" w:color="020000"/>
              <w:bottom w:val="none" w:sz="0" w:space="0" w:color="020000"/>
              <w:right w:val="none" w:sz="0" w:space="0" w:color="020000"/>
            </w:tcBorders>
            <w:shd w:val="clear" w:color="CFE8D0" w:fill="CFE8D0"/>
            <w:vAlign w:val="center"/>
          </w:tcPr>
          <w:p w14:paraId="47B02E36" w14:textId="77777777" w:rsidR="00D8670B" w:rsidRDefault="009B37A9">
            <w:pPr>
              <w:tabs>
                <w:tab w:val="decimal" w:pos="1080"/>
              </w:tabs>
              <w:spacing w:before="127" w:after="123" w:line="196" w:lineRule="exact"/>
              <w:textAlignment w:val="baseline"/>
              <w:rPr>
                <w:rFonts w:ascii="Arial" w:eastAsia="Arial" w:hAnsi="Arial"/>
                <w:b/>
                <w:color w:val="275028"/>
                <w:sz w:val="18"/>
              </w:rPr>
            </w:pPr>
            <w:r>
              <w:rPr>
                <w:rFonts w:ascii="Arial" w:eastAsia="Arial" w:hAnsi="Arial"/>
                <w:b/>
                <w:color w:val="275028"/>
                <w:sz w:val="18"/>
              </w:rPr>
              <w:t>$18,075,493.21</w:t>
            </w:r>
          </w:p>
        </w:tc>
        <w:tc>
          <w:tcPr>
            <w:tcW w:w="1430" w:type="dxa"/>
            <w:tcBorders>
              <w:top w:val="none" w:sz="0" w:space="0" w:color="020000"/>
              <w:left w:val="none" w:sz="0" w:space="0" w:color="020000"/>
              <w:bottom w:val="none" w:sz="0" w:space="0" w:color="020000"/>
              <w:right w:val="none" w:sz="0" w:space="0" w:color="020000"/>
            </w:tcBorders>
            <w:shd w:val="clear" w:color="CFE8D0" w:fill="CFE8D0"/>
            <w:vAlign w:val="center"/>
          </w:tcPr>
          <w:p w14:paraId="4CE9B6D1" w14:textId="77777777" w:rsidR="00D8670B" w:rsidRDefault="009B37A9">
            <w:pPr>
              <w:tabs>
                <w:tab w:val="decimal" w:pos="1080"/>
              </w:tabs>
              <w:spacing w:before="127" w:after="123" w:line="196" w:lineRule="exact"/>
              <w:textAlignment w:val="baseline"/>
              <w:rPr>
                <w:rFonts w:ascii="Arial" w:eastAsia="Arial" w:hAnsi="Arial"/>
                <w:b/>
                <w:color w:val="275028"/>
                <w:sz w:val="18"/>
              </w:rPr>
            </w:pPr>
            <w:r>
              <w:rPr>
                <w:rFonts w:ascii="Arial" w:eastAsia="Arial" w:hAnsi="Arial"/>
                <w:b/>
                <w:color w:val="275028"/>
                <w:sz w:val="18"/>
              </w:rPr>
              <w:t>$15,849,066.50</w:t>
            </w:r>
          </w:p>
        </w:tc>
        <w:tc>
          <w:tcPr>
            <w:tcW w:w="1479" w:type="dxa"/>
            <w:tcBorders>
              <w:top w:val="none" w:sz="0" w:space="0" w:color="020000"/>
              <w:left w:val="none" w:sz="0" w:space="0" w:color="020000"/>
              <w:bottom w:val="none" w:sz="0" w:space="0" w:color="020000"/>
              <w:right w:val="none" w:sz="0" w:space="0" w:color="020000"/>
            </w:tcBorders>
            <w:shd w:val="clear" w:color="CFE8D0" w:fill="CFE8D0"/>
            <w:vAlign w:val="center"/>
          </w:tcPr>
          <w:p w14:paraId="3D174AAA" w14:textId="77777777" w:rsidR="00D8670B" w:rsidRDefault="009B37A9">
            <w:pPr>
              <w:tabs>
                <w:tab w:val="decimal" w:pos="1152"/>
              </w:tabs>
              <w:spacing w:before="127" w:after="123" w:line="196" w:lineRule="exact"/>
              <w:textAlignment w:val="baseline"/>
              <w:rPr>
                <w:rFonts w:ascii="Arial" w:eastAsia="Arial" w:hAnsi="Arial"/>
                <w:b/>
                <w:color w:val="275028"/>
                <w:sz w:val="18"/>
              </w:rPr>
            </w:pPr>
            <w:r>
              <w:rPr>
                <w:rFonts w:ascii="Arial" w:eastAsia="Arial" w:hAnsi="Arial"/>
                <w:b/>
                <w:color w:val="275028"/>
                <w:sz w:val="18"/>
              </w:rPr>
              <w:t>$10,935,220.99</w:t>
            </w:r>
          </w:p>
        </w:tc>
        <w:tc>
          <w:tcPr>
            <w:tcW w:w="1507" w:type="dxa"/>
            <w:tcBorders>
              <w:top w:val="none" w:sz="0" w:space="0" w:color="020000"/>
              <w:left w:val="none" w:sz="0" w:space="0" w:color="020000"/>
              <w:bottom w:val="none" w:sz="0" w:space="0" w:color="020000"/>
              <w:right w:val="none" w:sz="0" w:space="0" w:color="020000"/>
            </w:tcBorders>
            <w:shd w:val="clear" w:color="CFE8D0" w:fill="CFE8D0"/>
            <w:vAlign w:val="center"/>
          </w:tcPr>
          <w:p w14:paraId="41983453" w14:textId="77777777" w:rsidR="00D8670B" w:rsidRDefault="009B37A9">
            <w:pPr>
              <w:tabs>
                <w:tab w:val="decimal" w:pos="1080"/>
              </w:tabs>
              <w:spacing w:before="127" w:after="123" w:line="196" w:lineRule="exact"/>
              <w:textAlignment w:val="baseline"/>
              <w:rPr>
                <w:rFonts w:ascii="Arial" w:eastAsia="Arial" w:hAnsi="Arial"/>
                <w:b/>
                <w:color w:val="275028"/>
                <w:sz w:val="18"/>
              </w:rPr>
            </w:pPr>
            <w:r>
              <w:rPr>
                <w:rFonts w:ascii="Arial" w:eastAsia="Arial" w:hAnsi="Arial"/>
                <w:b/>
                <w:color w:val="275028"/>
                <w:sz w:val="18"/>
              </w:rPr>
              <w:t>$8,177,946.79</w:t>
            </w:r>
          </w:p>
        </w:tc>
        <w:tc>
          <w:tcPr>
            <w:tcW w:w="1382" w:type="dxa"/>
            <w:tcBorders>
              <w:top w:val="none" w:sz="0" w:space="0" w:color="020000"/>
              <w:left w:val="none" w:sz="0" w:space="0" w:color="020000"/>
              <w:bottom w:val="none" w:sz="0" w:space="0" w:color="020000"/>
              <w:right w:val="none" w:sz="0" w:space="0" w:color="020000"/>
            </w:tcBorders>
            <w:shd w:val="clear" w:color="CFE8D0" w:fill="CFE8D0"/>
            <w:vAlign w:val="center"/>
          </w:tcPr>
          <w:p w14:paraId="071C2275" w14:textId="77777777" w:rsidR="00D8670B" w:rsidRDefault="009B37A9">
            <w:pPr>
              <w:tabs>
                <w:tab w:val="decimal" w:pos="1008"/>
              </w:tabs>
              <w:spacing w:before="127" w:after="123" w:line="196" w:lineRule="exact"/>
              <w:textAlignment w:val="baseline"/>
              <w:rPr>
                <w:rFonts w:ascii="Arial" w:eastAsia="Arial" w:hAnsi="Arial"/>
                <w:b/>
                <w:color w:val="275028"/>
                <w:sz w:val="18"/>
              </w:rPr>
            </w:pPr>
            <w:r>
              <w:rPr>
                <w:rFonts w:ascii="Arial" w:eastAsia="Arial" w:hAnsi="Arial"/>
                <w:b/>
                <w:color w:val="275028"/>
                <w:sz w:val="18"/>
              </w:rPr>
              <w:t>$217,214.91</w:t>
            </w:r>
          </w:p>
        </w:tc>
        <w:tc>
          <w:tcPr>
            <w:tcW w:w="1709" w:type="dxa"/>
            <w:tcBorders>
              <w:top w:val="none" w:sz="0" w:space="0" w:color="020000"/>
              <w:left w:val="none" w:sz="0" w:space="0" w:color="020000"/>
              <w:bottom w:val="none" w:sz="0" w:space="0" w:color="020000"/>
              <w:right w:val="none" w:sz="0" w:space="0" w:color="020000"/>
            </w:tcBorders>
            <w:shd w:val="clear" w:color="CFE8D0" w:fill="CFE8D0"/>
            <w:vAlign w:val="center"/>
          </w:tcPr>
          <w:p w14:paraId="5D628EDC" w14:textId="77777777" w:rsidR="00D8670B" w:rsidRDefault="009B37A9">
            <w:pPr>
              <w:tabs>
                <w:tab w:val="decimal" w:pos="1296"/>
              </w:tabs>
              <w:spacing w:before="127" w:after="123" w:line="196" w:lineRule="exact"/>
              <w:textAlignment w:val="baseline"/>
              <w:rPr>
                <w:rFonts w:ascii="Arial" w:eastAsia="Arial" w:hAnsi="Arial"/>
                <w:b/>
                <w:color w:val="275028"/>
                <w:sz w:val="18"/>
              </w:rPr>
            </w:pPr>
            <w:r>
              <w:rPr>
                <w:rFonts w:ascii="Arial" w:eastAsia="Arial" w:hAnsi="Arial"/>
                <w:b/>
                <w:color w:val="275028"/>
                <w:sz w:val="18"/>
              </w:rPr>
              <w:t>$78,994,354.76</w:t>
            </w:r>
          </w:p>
        </w:tc>
      </w:tr>
      <w:tr w:rsidR="00D8670B" w14:paraId="52C6B712" w14:textId="77777777">
        <w:tblPrEx>
          <w:tblCellMar>
            <w:top w:w="0" w:type="dxa"/>
            <w:bottom w:w="0" w:type="dxa"/>
          </w:tblCellMar>
        </w:tblPrEx>
        <w:trPr>
          <w:trHeight w:hRule="exact" w:val="442"/>
        </w:trPr>
        <w:tc>
          <w:tcPr>
            <w:tcW w:w="5823" w:type="dxa"/>
            <w:gridSpan w:val="2"/>
            <w:tcBorders>
              <w:top w:val="none" w:sz="0" w:space="0" w:color="020000"/>
              <w:left w:val="none" w:sz="0" w:space="0" w:color="020000"/>
              <w:bottom w:val="none" w:sz="0" w:space="0" w:color="020000"/>
              <w:right w:val="none" w:sz="0" w:space="0" w:color="020000"/>
            </w:tcBorders>
            <w:shd w:val="clear" w:color="E7F5F5" w:fill="E7F5F5"/>
            <w:vAlign w:val="center"/>
          </w:tcPr>
          <w:p w14:paraId="521A5256" w14:textId="77777777" w:rsidR="00D8670B" w:rsidRDefault="009B37A9">
            <w:pPr>
              <w:spacing w:before="127" w:after="114" w:line="200" w:lineRule="exact"/>
              <w:ind w:left="53"/>
              <w:textAlignment w:val="baseline"/>
              <w:rPr>
                <w:rFonts w:ascii="Arial" w:eastAsia="Arial" w:hAnsi="Arial"/>
                <w:color w:val="000000"/>
                <w:sz w:val="18"/>
              </w:rPr>
            </w:pPr>
            <w:r>
              <w:rPr>
                <w:rFonts w:ascii="Arial" w:eastAsia="Arial" w:hAnsi="Arial"/>
                <w:color w:val="000000"/>
                <w:sz w:val="18"/>
              </w:rPr>
              <w:t>Australian Government funding (Phase 2)</w:t>
            </w:r>
          </w:p>
        </w:tc>
        <w:tc>
          <w:tcPr>
            <w:tcW w:w="1430" w:type="dxa"/>
            <w:tcBorders>
              <w:top w:val="none" w:sz="0" w:space="0" w:color="020000"/>
              <w:left w:val="none" w:sz="0" w:space="0" w:color="020000"/>
              <w:bottom w:val="none" w:sz="0" w:space="0" w:color="020000"/>
              <w:right w:val="none" w:sz="0" w:space="0" w:color="020000"/>
            </w:tcBorders>
            <w:shd w:val="clear" w:color="E7F5F5" w:fill="E7F5F5"/>
          </w:tcPr>
          <w:p w14:paraId="56D57E3D"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shd w:val="clear" w:color="E7F5F5" w:fill="E7F5F5"/>
          </w:tcPr>
          <w:p w14:paraId="5758D18F"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79" w:type="dxa"/>
            <w:tcBorders>
              <w:top w:val="none" w:sz="0" w:space="0" w:color="020000"/>
              <w:left w:val="none" w:sz="0" w:space="0" w:color="020000"/>
              <w:bottom w:val="none" w:sz="0" w:space="0" w:color="020000"/>
              <w:right w:val="none" w:sz="0" w:space="0" w:color="020000"/>
            </w:tcBorders>
            <w:shd w:val="clear" w:color="E7F5F5" w:fill="E7F5F5"/>
          </w:tcPr>
          <w:p w14:paraId="056C4E45"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507" w:type="dxa"/>
            <w:tcBorders>
              <w:top w:val="none" w:sz="0" w:space="0" w:color="020000"/>
              <w:left w:val="none" w:sz="0" w:space="0" w:color="020000"/>
              <w:bottom w:val="none" w:sz="0" w:space="0" w:color="020000"/>
              <w:right w:val="none" w:sz="0" w:space="0" w:color="020000"/>
            </w:tcBorders>
            <w:shd w:val="clear" w:color="E7F5F5" w:fill="E7F5F5"/>
          </w:tcPr>
          <w:p w14:paraId="27034F16"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382" w:type="dxa"/>
            <w:tcBorders>
              <w:top w:val="none" w:sz="0" w:space="0" w:color="020000"/>
              <w:left w:val="none" w:sz="0" w:space="0" w:color="020000"/>
              <w:bottom w:val="none" w:sz="0" w:space="0" w:color="020000"/>
              <w:right w:val="none" w:sz="0" w:space="0" w:color="020000"/>
            </w:tcBorders>
            <w:shd w:val="clear" w:color="E7F5F5" w:fill="E7F5F5"/>
          </w:tcPr>
          <w:p w14:paraId="44FDC44D"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709" w:type="dxa"/>
            <w:tcBorders>
              <w:top w:val="none" w:sz="0" w:space="0" w:color="020000"/>
              <w:left w:val="none" w:sz="0" w:space="0" w:color="020000"/>
              <w:bottom w:val="none" w:sz="0" w:space="0" w:color="020000"/>
              <w:right w:val="none" w:sz="0" w:space="0" w:color="020000"/>
            </w:tcBorders>
            <w:shd w:val="clear" w:color="E7F5F5" w:fill="E7F5F5"/>
            <w:vAlign w:val="center"/>
          </w:tcPr>
          <w:p w14:paraId="5660987C" w14:textId="77777777" w:rsidR="00D8670B" w:rsidRDefault="009B37A9">
            <w:pPr>
              <w:tabs>
                <w:tab w:val="decimal" w:pos="1296"/>
              </w:tabs>
              <w:spacing w:before="127" w:after="116" w:line="198" w:lineRule="exact"/>
              <w:textAlignment w:val="baseline"/>
              <w:rPr>
                <w:rFonts w:ascii="Arial" w:eastAsia="Arial" w:hAnsi="Arial"/>
                <w:color w:val="000000"/>
                <w:sz w:val="18"/>
              </w:rPr>
            </w:pPr>
            <w:r>
              <w:rPr>
                <w:rFonts w:ascii="Arial" w:eastAsia="Arial" w:hAnsi="Arial"/>
                <w:color w:val="000000"/>
                <w:sz w:val="18"/>
              </w:rPr>
              <w:t>$78,994,354.76</w:t>
            </w:r>
          </w:p>
        </w:tc>
      </w:tr>
      <w:tr w:rsidR="00D8670B" w14:paraId="2A162585" w14:textId="77777777">
        <w:tblPrEx>
          <w:tblCellMar>
            <w:top w:w="0" w:type="dxa"/>
            <w:bottom w:w="0" w:type="dxa"/>
          </w:tblCellMar>
        </w:tblPrEx>
        <w:trPr>
          <w:trHeight w:hRule="exact" w:val="451"/>
        </w:trPr>
        <w:tc>
          <w:tcPr>
            <w:tcW w:w="5823" w:type="dxa"/>
            <w:gridSpan w:val="2"/>
            <w:tcBorders>
              <w:top w:val="none" w:sz="0" w:space="0" w:color="020000"/>
              <w:left w:val="none" w:sz="0" w:space="0" w:color="020000"/>
              <w:bottom w:val="none" w:sz="0" w:space="0" w:color="020000"/>
              <w:right w:val="none" w:sz="0" w:space="0" w:color="020000"/>
            </w:tcBorders>
            <w:shd w:val="clear" w:color="E7F5F5" w:fill="E7F5F5"/>
            <w:vAlign w:val="center"/>
          </w:tcPr>
          <w:p w14:paraId="2C6A0834" w14:textId="77777777" w:rsidR="00D8670B" w:rsidRDefault="009B37A9">
            <w:pPr>
              <w:spacing w:before="132" w:after="115" w:line="199" w:lineRule="exact"/>
              <w:ind w:left="53"/>
              <w:textAlignment w:val="baseline"/>
              <w:rPr>
                <w:rFonts w:ascii="Arial" w:eastAsia="Arial" w:hAnsi="Arial"/>
                <w:color w:val="000000"/>
                <w:sz w:val="18"/>
              </w:rPr>
            </w:pPr>
            <w:r>
              <w:rPr>
                <w:rFonts w:ascii="Arial" w:eastAsia="Arial" w:hAnsi="Arial"/>
                <w:color w:val="000000"/>
                <w:sz w:val="18"/>
              </w:rPr>
              <w:t>Australian Government funding (advance funding and Phase 1)</w:t>
            </w:r>
          </w:p>
        </w:tc>
        <w:tc>
          <w:tcPr>
            <w:tcW w:w="1430" w:type="dxa"/>
            <w:tcBorders>
              <w:top w:val="none" w:sz="0" w:space="0" w:color="020000"/>
              <w:left w:val="none" w:sz="0" w:space="0" w:color="020000"/>
              <w:bottom w:val="none" w:sz="0" w:space="0" w:color="020000"/>
              <w:right w:val="none" w:sz="0" w:space="0" w:color="020000"/>
            </w:tcBorders>
            <w:shd w:val="clear" w:color="E7F5F5" w:fill="E7F5F5"/>
          </w:tcPr>
          <w:p w14:paraId="7AC9847C"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shd w:val="clear" w:color="E7F5F5" w:fill="E7F5F5"/>
          </w:tcPr>
          <w:p w14:paraId="1FEC81D5"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79" w:type="dxa"/>
            <w:tcBorders>
              <w:top w:val="none" w:sz="0" w:space="0" w:color="020000"/>
              <w:left w:val="none" w:sz="0" w:space="0" w:color="020000"/>
              <w:bottom w:val="none" w:sz="0" w:space="0" w:color="020000"/>
              <w:right w:val="none" w:sz="0" w:space="0" w:color="020000"/>
            </w:tcBorders>
            <w:shd w:val="clear" w:color="E7F5F5" w:fill="E7F5F5"/>
          </w:tcPr>
          <w:p w14:paraId="4F3D9AB9"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507" w:type="dxa"/>
            <w:tcBorders>
              <w:top w:val="none" w:sz="0" w:space="0" w:color="020000"/>
              <w:left w:val="none" w:sz="0" w:space="0" w:color="020000"/>
              <w:bottom w:val="none" w:sz="0" w:space="0" w:color="020000"/>
              <w:right w:val="none" w:sz="0" w:space="0" w:color="020000"/>
            </w:tcBorders>
            <w:shd w:val="clear" w:color="E7F5F5" w:fill="E7F5F5"/>
          </w:tcPr>
          <w:p w14:paraId="09659CF4"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382" w:type="dxa"/>
            <w:tcBorders>
              <w:top w:val="none" w:sz="0" w:space="0" w:color="020000"/>
              <w:left w:val="none" w:sz="0" w:space="0" w:color="020000"/>
              <w:bottom w:val="none" w:sz="0" w:space="0" w:color="020000"/>
              <w:right w:val="none" w:sz="0" w:space="0" w:color="020000"/>
            </w:tcBorders>
            <w:shd w:val="clear" w:color="E7F5F5" w:fill="E7F5F5"/>
          </w:tcPr>
          <w:p w14:paraId="1A42E5C7"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709" w:type="dxa"/>
            <w:tcBorders>
              <w:top w:val="none" w:sz="0" w:space="0" w:color="020000"/>
              <w:left w:val="none" w:sz="0" w:space="0" w:color="020000"/>
              <w:bottom w:val="none" w:sz="0" w:space="0" w:color="020000"/>
              <w:right w:val="none" w:sz="0" w:space="0" w:color="020000"/>
            </w:tcBorders>
            <w:shd w:val="clear" w:color="E7F5F5" w:fill="E7F5F5"/>
            <w:vAlign w:val="center"/>
          </w:tcPr>
          <w:p w14:paraId="1375D26C" w14:textId="77777777" w:rsidR="00D8670B" w:rsidRDefault="009B37A9">
            <w:pPr>
              <w:tabs>
                <w:tab w:val="decimal" w:pos="1296"/>
              </w:tabs>
              <w:spacing w:before="132" w:after="116" w:line="198" w:lineRule="exact"/>
              <w:textAlignment w:val="baseline"/>
              <w:rPr>
                <w:rFonts w:ascii="Arial" w:eastAsia="Arial" w:hAnsi="Arial"/>
                <w:color w:val="000000"/>
                <w:sz w:val="18"/>
              </w:rPr>
            </w:pPr>
            <w:r>
              <w:rPr>
                <w:rFonts w:ascii="Arial" w:eastAsia="Arial" w:hAnsi="Arial"/>
                <w:color w:val="000000"/>
                <w:sz w:val="18"/>
              </w:rPr>
              <w:t>$24,884,416.19</w:t>
            </w:r>
          </w:p>
        </w:tc>
      </w:tr>
      <w:tr w:rsidR="00D8670B" w14:paraId="6AB31A13" w14:textId="77777777">
        <w:tblPrEx>
          <w:tblCellMar>
            <w:top w:w="0" w:type="dxa"/>
            <w:bottom w:w="0" w:type="dxa"/>
          </w:tblCellMar>
        </w:tblPrEx>
        <w:trPr>
          <w:trHeight w:hRule="exact" w:val="446"/>
        </w:trPr>
        <w:tc>
          <w:tcPr>
            <w:tcW w:w="5823" w:type="dxa"/>
            <w:gridSpan w:val="2"/>
            <w:tcBorders>
              <w:top w:val="none" w:sz="0" w:space="0" w:color="020000"/>
              <w:left w:val="none" w:sz="0" w:space="0" w:color="020000"/>
              <w:bottom w:val="none" w:sz="0" w:space="0" w:color="020000"/>
              <w:right w:val="none" w:sz="0" w:space="0" w:color="020000"/>
            </w:tcBorders>
            <w:shd w:val="clear" w:color="CCEAEB" w:fill="CCEAEB"/>
            <w:vAlign w:val="center"/>
          </w:tcPr>
          <w:p w14:paraId="2EAA2035" w14:textId="77777777" w:rsidR="00D8670B" w:rsidRDefault="009B37A9">
            <w:pPr>
              <w:spacing w:before="122" w:after="119" w:line="200" w:lineRule="exact"/>
              <w:ind w:left="53"/>
              <w:textAlignment w:val="baseline"/>
              <w:rPr>
                <w:rFonts w:ascii="Arial" w:eastAsia="Arial" w:hAnsi="Arial"/>
                <w:b/>
                <w:color w:val="205457"/>
                <w:sz w:val="18"/>
              </w:rPr>
            </w:pPr>
            <w:r>
              <w:rPr>
                <w:rFonts w:ascii="Arial" w:eastAsia="Arial" w:hAnsi="Arial"/>
                <w:b/>
                <w:color w:val="205457"/>
                <w:sz w:val="18"/>
              </w:rPr>
              <w:t>Total Australian Government funding</w:t>
            </w:r>
          </w:p>
        </w:tc>
        <w:tc>
          <w:tcPr>
            <w:tcW w:w="1430" w:type="dxa"/>
            <w:tcBorders>
              <w:top w:val="none" w:sz="0" w:space="0" w:color="020000"/>
              <w:left w:val="none" w:sz="0" w:space="0" w:color="020000"/>
              <w:bottom w:val="none" w:sz="0" w:space="0" w:color="020000"/>
              <w:right w:val="none" w:sz="0" w:space="0" w:color="020000"/>
            </w:tcBorders>
            <w:shd w:val="clear" w:color="CCEAEB" w:fill="CCEAEB"/>
          </w:tcPr>
          <w:p w14:paraId="4FA25045"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shd w:val="clear" w:color="CCEAEB" w:fill="CCEAEB"/>
          </w:tcPr>
          <w:p w14:paraId="20EE37B1"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79" w:type="dxa"/>
            <w:tcBorders>
              <w:top w:val="none" w:sz="0" w:space="0" w:color="020000"/>
              <w:left w:val="none" w:sz="0" w:space="0" w:color="020000"/>
              <w:bottom w:val="none" w:sz="0" w:space="0" w:color="020000"/>
              <w:right w:val="none" w:sz="0" w:space="0" w:color="020000"/>
            </w:tcBorders>
            <w:shd w:val="clear" w:color="CCEAEB" w:fill="CCEAEB"/>
          </w:tcPr>
          <w:p w14:paraId="6DDB45DC"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507" w:type="dxa"/>
            <w:tcBorders>
              <w:top w:val="none" w:sz="0" w:space="0" w:color="020000"/>
              <w:left w:val="none" w:sz="0" w:space="0" w:color="020000"/>
              <w:bottom w:val="none" w:sz="0" w:space="0" w:color="020000"/>
              <w:right w:val="none" w:sz="0" w:space="0" w:color="020000"/>
            </w:tcBorders>
            <w:shd w:val="clear" w:color="CCEAEB" w:fill="CCEAEB"/>
          </w:tcPr>
          <w:p w14:paraId="1013EA7B"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382" w:type="dxa"/>
            <w:tcBorders>
              <w:top w:val="none" w:sz="0" w:space="0" w:color="020000"/>
              <w:left w:val="none" w:sz="0" w:space="0" w:color="020000"/>
              <w:bottom w:val="none" w:sz="0" w:space="0" w:color="020000"/>
              <w:right w:val="none" w:sz="0" w:space="0" w:color="020000"/>
            </w:tcBorders>
            <w:shd w:val="clear" w:color="CCEAEB" w:fill="CCEAEB"/>
          </w:tcPr>
          <w:p w14:paraId="67173757"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709" w:type="dxa"/>
            <w:tcBorders>
              <w:top w:val="none" w:sz="0" w:space="0" w:color="020000"/>
              <w:left w:val="none" w:sz="0" w:space="0" w:color="020000"/>
              <w:bottom w:val="none" w:sz="0" w:space="0" w:color="020000"/>
              <w:right w:val="none" w:sz="0" w:space="0" w:color="020000"/>
            </w:tcBorders>
            <w:shd w:val="clear" w:color="CCEAEB" w:fill="CCEAEB"/>
            <w:vAlign w:val="center"/>
          </w:tcPr>
          <w:p w14:paraId="00B2E977" w14:textId="77777777" w:rsidR="00D8670B" w:rsidRDefault="009B37A9">
            <w:pPr>
              <w:tabs>
                <w:tab w:val="decimal" w:pos="1296"/>
              </w:tabs>
              <w:spacing w:before="122" w:after="123" w:line="196" w:lineRule="exact"/>
              <w:textAlignment w:val="baseline"/>
              <w:rPr>
                <w:rFonts w:ascii="Arial" w:eastAsia="Arial" w:hAnsi="Arial"/>
                <w:b/>
                <w:color w:val="205457"/>
                <w:sz w:val="18"/>
              </w:rPr>
            </w:pPr>
            <w:r>
              <w:rPr>
                <w:rFonts w:ascii="Arial" w:eastAsia="Arial" w:hAnsi="Arial"/>
                <w:b/>
                <w:color w:val="205457"/>
                <w:sz w:val="18"/>
              </w:rPr>
              <w:t>$103,878,770.95</w:t>
            </w:r>
          </w:p>
        </w:tc>
      </w:tr>
      <w:tr w:rsidR="00D8670B" w14:paraId="14D24DC0" w14:textId="77777777">
        <w:tblPrEx>
          <w:tblCellMar>
            <w:top w:w="0" w:type="dxa"/>
            <w:bottom w:w="0" w:type="dxa"/>
          </w:tblCellMar>
        </w:tblPrEx>
        <w:trPr>
          <w:trHeight w:hRule="exact" w:val="447"/>
        </w:trPr>
        <w:tc>
          <w:tcPr>
            <w:tcW w:w="5823" w:type="dxa"/>
            <w:gridSpan w:val="2"/>
            <w:tcBorders>
              <w:top w:val="none" w:sz="0" w:space="0" w:color="020000"/>
              <w:left w:val="none" w:sz="0" w:space="0" w:color="020000"/>
              <w:bottom w:val="none" w:sz="0" w:space="0" w:color="020000"/>
              <w:right w:val="none" w:sz="0" w:space="0" w:color="020000"/>
            </w:tcBorders>
            <w:shd w:val="clear" w:color="EAF4FB" w:fill="EAF4FB"/>
            <w:vAlign w:val="center"/>
          </w:tcPr>
          <w:p w14:paraId="73FC2C4F" w14:textId="77777777" w:rsidR="00D8670B" w:rsidRDefault="009B37A9">
            <w:pPr>
              <w:spacing w:before="127" w:after="115" w:line="200" w:lineRule="exact"/>
              <w:ind w:left="53"/>
              <w:textAlignment w:val="baseline"/>
              <w:rPr>
                <w:rFonts w:ascii="Arial" w:eastAsia="Arial" w:hAnsi="Arial"/>
                <w:color w:val="000000"/>
                <w:sz w:val="18"/>
              </w:rPr>
            </w:pPr>
            <w:r>
              <w:rPr>
                <w:rFonts w:ascii="Arial" w:eastAsia="Arial" w:hAnsi="Arial"/>
                <w:color w:val="000000"/>
                <w:sz w:val="18"/>
              </w:rPr>
              <w:t>Other contributions (Phase 2)</w:t>
            </w:r>
          </w:p>
        </w:tc>
        <w:tc>
          <w:tcPr>
            <w:tcW w:w="1430" w:type="dxa"/>
            <w:tcBorders>
              <w:top w:val="none" w:sz="0" w:space="0" w:color="020000"/>
              <w:left w:val="none" w:sz="0" w:space="0" w:color="020000"/>
              <w:bottom w:val="none" w:sz="0" w:space="0" w:color="020000"/>
              <w:right w:val="none" w:sz="0" w:space="0" w:color="020000"/>
            </w:tcBorders>
            <w:shd w:val="clear" w:color="EAF4FB" w:fill="EAF4FB"/>
          </w:tcPr>
          <w:p w14:paraId="2C3CBD19"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shd w:val="clear" w:color="EAF4FB" w:fill="EAF4FB"/>
          </w:tcPr>
          <w:p w14:paraId="312F3F3A"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79" w:type="dxa"/>
            <w:tcBorders>
              <w:top w:val="none" w:sz="0" w:space="0" w:color="020000"/>
              <w:left w:val="none" w:sz="0" w:space="0" w:color="020000"/>
              <w:bottom w:val="none" w:sz="0" w:space="0" w:color="020000"/>
              <w:right w:val="none" w:sz="0" w:space="0" w:color="020000"/>
            </w:tcBorders>
            <w:shd w:val="clear" w:color="EAF4FB" w:fill="EAF4FB"/>
          </w:tcPr>
          <w:p w14:paraId="7C99510F"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507" w:type="dxa"/>
            <w:tcBorders>
              <w:top w:val="none" w:sz="0" w:space="0" w:color="020000"/>
              <w:left w:val="none" w:sz="0" w:space="0" w:color="020000"/>
              <w:bottom w:val="none" w:sz="0" w:space="0" w:color="020000"/>
              <w:right w:val="none" w:sz="0" w:space="0" w:color="020000"/>
            </w:tcBorders>
            <w:shd w:val="clear" w:color="EAF4FB" w:fill="EAF4FB"/>
          </w:tcPr>
          <w:p w14:paraId="20C7A71C"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382" w:type="dxa"/>
            <w:tcBorders>
              <w:top w:val="none" w:sz="0" w:space="0" w:color="020000"/>
              <w:left w:val="none" w:sz="0" w:space="0" w:color="020000"/>
              <w:bottom w:val="none" w:sz="0" w:space="0" w:color="020000"/>
              <w:right w:val="none" w:sz="0" w:space="0" w:color="020000"/>
            </w:tcBorders>
            <w:shd w:val="clear" w:color="EAF4FB" w:fill="EAF4FB"/>
          </w:tcPr>
          <w:p w14:paraId="26629DFD"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709" w:type="dxa"/>
            <w:tcBorders>
              <w:top w:val="none" w:sz="0" w:space="0" w:color="020000"/>
              <w:left w:val="none" w:sz="0" w:space="0" w:color="020000"/>
              <w:bottom w:val="none" w:sz="0" w:space="0" w:color="020000"/>
              <w:right w:val="none" w:sz="0" w:space="0" w:color="020000"/>
            </w:tcBorders>
            <w:shd w:val="clear" w:color="EAF4FB" w:fill="EAF4FB"/>
            <w:vAlign w:val="center"/>
          </w:tcPr>
          <w:p w14:paraId="3053AAF5" w14:textId="77777777" w:rsidR="00D8670B" w:rsidRDefault="009B37A9">
            <w:pPr>
              <w:tabs>
                <w:tab w:val="decimal" w:pos="1296"/>
              </w:tabs>
              <w:spacing w:before="127" w:after="117" w:line="198" w:lineRule="exact"/>
              <w:textAlignment w:val="baseline"/>
              <w:rPr>
                <w:rFonts w:ascii="Arial" w:eastAsia="Arial" w:hAnsi="Arial"/>
                <w:color w:val="000000"/>
                <w:sz w:val="18"/>
              </w:rPr>
            </w:pPr>
            <w:r>
              <w:rPr>
                <w:rFonts w:ascii="Arial" w:eastAsia="Arial" w:hAnsi="Arial"/>
                <w:color w:val="000000"/>
                <w:sz w:val="18"/>
              </w:rPr>
              <w:t>$16,061,037.77</w:t>
            </w:r>
          </w:p>
        </w:tc>
      </w:tr>
      <w:tr w:rsidR="00D8670B" w14:paraId="78A21403" w14:textId="77777777">
        <w:tblPrEx>
          <w:tblCellMar>
            <w:top w:w="0" w:type="dxa"/>
            <w:bottom w:w="0" w:type="dxa"/>
          </w:tblCellMar>
        </w:tblPrEx>
        <w:trPr>
          <w:trHeight w:hRule="exact" w:val="446"/>
        </w:trPr>
        <w:tc>
          <w:tcPr>
            <w:tcW w:w="5823" w:type="dxa"/>
            <w:gridSpan w:val="2"/>
            <w:tcBorders>
              <w:top w:val="none" w:sz="0" w:space="0" w:color="020000"/>
              <w:left w:val="none" w:sz="0" w:space="0" w:color="020000"/>
              <w:bottom w:val="none" w:sz="0" w:space="0" w:color="020000"/>
              <w:right w:val="none" w:sz="0" w:space="0" w:color="020000"/>
            </w:tcBorders>
            <w:shd w:val="clear" w:color="EAF4FB" w:fill="EAF4FB"/>
            <w:vAlign w:val="center"/>
          </w:tcPr>
          <w:p w14:paraId="62FD82EF" w14:textId="77777777" w:rsidR="00D8670B" w:rsidRDefault="009B37A9">
            <w:pPr>
              <w:spacing w:before="132" w:after="110" w:line="199" w:lineRule="exact"/>
              <w:ind w:left="53"/>
              <w:textAlignment w:val="baseline"/>
              <w:rPr>
                <w:rFonts w:ascii="Arial" w:eastAsia="Arial" w:hAnsi="Arial"/>
                <w:color w:val="000000"/>
                <w:sz w:val="18"/>
              </w:rPr>
            </w:pPr>
            <w:r>
              <w:rPr>
                <w:rFonts w:ascii="Arial" w:eastAsia="Arial" w:hAnsi="Arial"/>
                <w:color w:val="000000"/>
                <w:sz w:val="18"/>
              </w:rPr>
              <w:t>Other contributions (Phase 1)</w:t>
            </w:r>
          </w:p>
        </w:tc>
        <w:tc>
          <w:tcPr>
            <w:tcW w:w="1430" w:type="dxa"/>
            <w:tcBorders>
              <w:top w:val="none" w:sz="0" w:space="0" w:color="020000"/>
              <w:left w:val="none" w:sz="0" w:space="0" w:color="020000"/>
              <w:bottom w:val="none" w:sz="0" w:space="0" w:color="020000"/>
              <w:right w:val="none" w:sz="0" w:space="0" w:color="020000"/>
            </w:tcBorders>
            <w:shd w:val="clear" w:color="EAF4FB" w:fill="EAF4FB"/>
          </w:tcPr>
          <w:p w14:paraId="3294EFE7"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shd w:val="clear" w:color="EAF4FB" w:fill="EAF4FB"/>
          </w:tcPr>
          <w:p w14:paraId="16C44C09"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79" w:type="dxa"/>
            <w:tcBorders>
              <w:top w:val="none" w:sz="0" w:space="0" w:color="020000"/>
              <w:left w:val="none" w:sz="0" w:space="0" w:color="020000"/>
              <w:bottom w:val="none" w:sz="0" w:space="0" w:color="020000"/>
              <w:right w:val="none" w:sz="0" w:space="0" w:color="020000"/>
            </w:tcBorders>
            <w:shd w:val="clear" w:color="EAF4FB" w:fill="EAF4FB"/>
          </w:tcPr>
          <w:p w14:paraId="03A5A3F4"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507" w:type="dxa"/>
            <w:tcBorders>
              <w:top w:val="none" w:sz="0" w:space="0" w:color="020000"/>
              <w:left w:val="none" w:sz="0" w:space="0" w:color="020000"/>
              <w:bottom w:val="none" w:sz="0" w:space="0" w:color="020000"/>
              <w:right w:val="none" w:sz="0" w:space="0" w:color="020000"/>
            </w:tcBorders>
            <w:shd w:val="clear" w:color="EAF4FB" w:fill="EAF4FB"/>
          </w:tcPr>
          <w:p w14:paraId="048F8157"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382" w:type="dxa"/>
            <w:tcBorders>
              <w:top w:val="none" w:sz="0" w:space="0" w:color="020000"/>
              <w:left w:val="none" w:sz="0" w:space="0" w:color="020000"/>
              <w:bottom w:val="none" w:sz="0" w:space="0" w:color="020000"/>
              <w:right w:val="none" w:sz="0" w:space="0" w:color="020000"/>
            </w:tcBorders>
            <w:shd w:val="clear" w:color="EAF4FB" w:fill="EAF4FB"/>
          </w:tcPr>
          <w:p w14:paraId="106194D7"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709" w:type="dxa"/>
            <w:tcBorders>
              <w:top w:val="none" w:sz="0" w:space="0" w:color="020000"/>
              <w:left w:val="none" w:sz="0" w:space="0" w:color="020000"/>
              <w:bottom w:val="none" w:sz="0" w:space="0" w:color="020000"/>
              <w:right w:val="none" w:sz="0" w:space="0" w:color="020000"/>
            </w:tcBorders>
            <w:shd w:val="clear" w:color="EAF4FB" w:fill="EAF4FB"/>
            <w:vAlign w:val="center"/>
          </w:tcPr>
          <w:p w14:paraId="0A97B25B" w14:textId="77777777" w:rsidR="00D8670B" w:rsidRDefault="009B37A9">
            <w:pPr>
              <w:tabs>
                <w:tab w:val="decimal" w:pos="1296"/>
              </w:tabs>
              <w:spacing w:before="132" w:after="111" w:line="198" w:lineRule="exact"/>
              <w:textAlignment w:val="baseline"/>
              <w:rPr>
                <w:rFonts w:ascii="Arial" w:eastAsia="Arial" w:hAnsi="Arial"/>
                <w:color w:val="000000"/>
                <w:sz w:val="18"/>
              </w:rPr>
            </w:pPr>
            <w:r>
              <w:rPr>
                <w:rFonts w:ascii="Arial" w:eastAsia="Arial" w:hAnsi="Arial"/>
                <w:color w:val="000000"/>
                <w:sz w:val="18"/>
              </w:rPr>
              <w:t>$5,734,061.98</w:t>
            </w:r>
          </w:p>
        </w:tc>
      </w:tr>
      <w:tr w:rsidR="00D8670B" w14:paraId="468379A4" w14:textId="77777777">
        <w:tblPrEx>
          <w:tblCellMar>
            <w:top w:w="0" w:type="dxa"/>
            <w:bottom w:w="0" w:type="dxa"/>
          </w:tblCellMar>
        </w:tblPrEx>
        <w:trPr>
          <w:trHeight w:hRule="exact" w:val="451"/>
        </w:trPr>
        <w:tc>
          <w:tcPr>
            <w:tcW w:w="5823" w:type="dxa"/>
            <w:gridSpan w:val="2"/>
            <w:tcBorders>
              <w:top w:val="none" w:sz="0" w:space="0" w:color="020000"/>
              <w:left w:val="none" w:sz="0" w:space="0" w:color="020000"/>
              <w:bottom w:val="none" w:sz="0" w:space="0" w:color="020000"/>
              <w:right w:val="none" w:sz="0" w:space="0" w:color="020000"/>
            </w:tcBorders>
            <w:shd w:val="clear" w:color="CAE2F7" w:fill="CAE2F7"/>
            <w:vAlign w:val="center"/>
          </w:tcPr>
          <w:p w14:paraId="7CE6B7D0" w14:textId="77777777" w:rsidR="00D8670B" w:rsidRDefault="009B37A9">
            <w:pPr>
              <w:spacing w:before="127" w:after="118" w:line="196" w:lineRule="exact"/>
              <w:ind w:left="53"/>
              <w:textAlignment w:val="baseline"/>
              <w:rPr>
                <w:rFonts w:ascii="Arial" w:eastAsia="Arial" w:hAnsi="Arial"/>
                <w:b/>
                <w:color w:val="15568B"/>
                <w:sz w:val="18"/>
              </w:rPr>
            </w:pPr>
            <w:r>
              <w:rPr>
                <w:rFonts w:ascii="Arial" w:eastAsia="Arial" w:hAnsi="Arial"/>
                <w:b/>
                <w:color w:val="15568B"/>
                <w:sz w:val="18"/>
              </w:rPr>
              <w:t>Total other contributions</w:t>
            </w:r>
          </w:p>
        </w:tc>
        <w:tc>
          <w:tcPr>
            <w:tcW w:w="1430" w:type="dxa"/>
            <w:tcBorders>
              <w:top w:val="none" w:sz="0" w:space="0" w:color="020000"/>
              <w:left w:val="none" w:sz="0" w:space="0" w:color="020000"/>
              <w:bottom w:val="none" w:sz="0" w:space="0" w:color="020000"/>
              <w:right w:val="none" w:sz="0" w:space="0" w:color="020000"/>
            </w:tcBorders>
            <w:shd w:val="clear" w:color="CAE2F7" w:fill="CAE2F7"/>
          </w:tcPr>
          <w:p w14:paraId="3A26A92A"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30" w:type="dxa"/>
            <w:tcBorders>
              <w:top w:val="none" w:sz="0" w:space="0" w:color="020000"/>
              <w:left w:val="none" w:sz="0" w:space="0" w:color="020000"/>
              <w:bottom w:val="none" w:sz="0" w:space="0" w:color="020000"/>
              <w:right w:val="none" w:sz="0" w:space="0" w:color="020000"/>
            </w:tcBorders>
            <w:shd w:val="clear" w:color="CAE2F7" w:fill="CAE2F7"/>
          </w:tcPr>
          <w:p w14:paraId="78347ACF"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479" w:type="dxa"/>
            <w:tcBorders>
              <w:top w:val="none" w:sz="0" w:space="0" w:color="020000"/>
              <w:left w:val="none" w:sz="0" w:space="0" w:color="020000"/>
              <w:bottom w:val="none" w:sz="0" w:space="0" w:color="020000"/>
              <w:right w:val="none" w:sz="0" w:space="0" w:color="020000"/>
            </w:tcBorders>
            <w:shd w:val="clear" w:color="CAE2F7" w:fill="CAE2F7"/>
          </w:tcPr>
          <w:p w14:paraId="10584D24"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507" w:type="dxa"/>
            <w:tcBorders>
              <w:top w:val="none" w:sz="0" w:space="0" w:color="020000"/>
              <w:left w:val="none" w:sz="0" w:space="0" w:color="020000"/>
              <w:bottom w:val="none" w:sz="0" w:space="0" w:color="020000"/>
              <w:right w:val="none" w:sz="0" w:space="0" w:color="020000"/>
            </w:tcBorders>
            <w:shd w:val="clear" w:color="CAE2F7" w:fill="CAE2F7"/>
          </w:tcPr>
          <w:p w14:paraId="26940DF6"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382" w:type="dxa"/>
            <w:tcBorders>
              <w:top w:val="none" w:sz="0" w:space="0" w:color="020000"/>
              <w:left w:val="none" w:sz="0" w:space="0" w:color="020000"/>
              <w:bottom w:val="none" w:sz="0" w:space="0" w:color="020000"/>
              <w:right w:val="none" w:sz="0" w:space="0" w:color="020000"/>
            </w:tcBorders>
            <w:shd w:val="clear" w:color="CAE2F7" w:fill="CAE2F7"/>
          </w:tcPr>
          <w:p w14:paraId="18E84C78" w14:textId="77777777" w:rsidR="00D8670B" w:rsidRDefault="009B37A9">
            <w:pPr>
              <w:textAlignment w:val="baseline"/>
              <w:rPr>
                <w:rFonts w:ascii="Arial" w:eastAsia="Arial" w:hAnsi="Arial"/>
                <w:color w:val="000000"/>
                <w:sz w:val="24"/>
              </w:rPr>
            </w:pPr>
            <w:r>
              <w:rPr>
                <w:rFonts w:ascii="Arial" w:eastAsia="Arial" w:hAnsi="Arial"/>
                <w:color w:val="000000"/>
                <w:sz w:val="24"/>
              </w:rPr>
              <w:t xml:space="preserve"> </w:t>
            </w:r>
          </w:p>
        </w:tc>
        <w:tc>
          <w:tcPr>
            <w:tcW w:w="1709" w:type="dxa"/>
            <w:tcBorders>
              <w:top w:val="none" w:sz="0" w:space="0" w:color="020000"/>
              <w:left w:val="none" w:sz="0" w:space="0" w:color="020000"/>
              <w:bottom w:val="none" w:sz="0" w:space="0" w:color="020000"/>
              <w:right w:val="none" w:sz="0" w:space="0" w:color="020000"/>
            </w:tcBorders>
            <w:shd w:val="clear" w:color="CAE2F7" w:fill="CAE2F7"/>
            <w:vAlign w:val="center"/>
          </w:tcPr>
          <w:p w14:paraId="22CA509E" w14:textId="77777777" w:rsidR="00D8670B" w:rsidRDefault="009B37A9">
            <w:pPr>
              <w:tabs>
                <w:tab w:val="decimal" w:pos="1296"/>
              </w:tabs>
              <w:spacing w:before="127" w:after="118" w:line="196" w:lineRule="exact"/>
              <w:textAlignment w:val="baseline"/>
              <w:rPr>
                <w:rFonts w:ascii="Arial" w:eastAsia="Arial" w:hAnsi="Arial"/>
                <w:b/>
                <w:color w:val="15568B"/>
                <w:sz w:val="18"/>
              </w:rPr>
            </w:pPr>
            <w:r>
              <w:rPr>
                <w:rFonts w:ascii="Arial" w:eastAsia="Arial" w:hAnsi="Arial"/>
                <w:b/>
                <w:color w:val="15568B"/>
                <w:sz w:val="18"/>
              </w:rPr>
              <w:t>$21,795,099.75</w:t>
            </w:r>
          </w:p>
        </w:tc>
      </w:tr>
    </w:tbl>
    <w:p w14:paraId="3CDE63EB" w14:textId="77777777" w:rsidR="00D8670B" w:rsidRDefault="00D8670B">
      <w:pPr>
        <w:spacing w:after="457" w:line="20" w:lineRule="exact"/>
      </w:pPr>
    </w:p>
    <w:p w14:paraId="3AABF1F5" w14:textId="77777777" w:rsidR="00D8670B" w:rsidRDefault="009B37A9">
      <w:pPr>
        <w:spacing w:before="1" w:line="228" w:lineRule="exact"/>
        <w:ind w:right="360"/>
        <w:textAlignment w:val="baseline"/>
        <w:rPr>
          <w:rFonts w:ascii="Arial" w:eastAsia="Arial" w:hAnsi="Arial"/>
          <w:color w:val="000000"/>
          <w:sz w:val="20"/>
        </w:rPr>
      </w:pPr>
      <w:r>
        <w:rPr>
          <w:rFonts w:ascii="Arial" w:eastAsia="Arial" w:hAnsi="Arial"/>
          <w:color w:val="000000"/>
          <w:sz w:val="20"/>
        </w:rPr>
        <w:t>Under Item D.4 of the Schedule 2, the Queensland Government was required to obtain other contributions to the program which, when added to the Phase 1 other contributions, totalled at least 10 per cent of the Australian Government contribution. Other contr</w:t>
      </w:r>
      <w:r>
        <w:rPr>
          <w:rFonts w:ascii="Arial" w:eastAsia="Arial" w:hAnsi="Arial"/>
          <w:color w:val="000000"/>
          <w:sz w:val="20"/>
        </w:rPr>
        <w:t>ibutions are derived from irrigators’ minimum 10 per cent contribution to project costs. These other contributions totalled $21,795,099.75, approximately 21 per cent of the Australian Government contribution.</w:t>
      </w:r>
    </w:p>
    <w:p w14:paraId="716E17B2" w14:textId="77777777" w:rsidR="00D8670B" w:rsidRDefault="009B37A9">
      <w:pPr>
        <w:spacing w:before="122" w:after="450" w:line="230" w:lineRule="exact"/>
        <w:ind w:right="360"/>
        <w:textAlignment w:val="baseline"/>
        <w:rPr>
          <w:rFonts w:ascii="Arial" w:eastAsia="Arial" w:hAnsi="Arial"/>
          <w:color w:val="000000"/>
          <w:sz w:val="20"/>
        </w:rPr>
      </w:pPr>
      <w:r>
        <w:rPr>
          <w:rFonts w:ascii="Arial" w:eastAsia="Arial" w:hAnsi="Arial"/>
          <w:color w:val="000000"/>
          <w:sz w:val="20"/>
        </w:rPr>
        <w:t>Actual expenditure differs slightly when compar</w:t>
      </w:r>
      <w:r>
        <w:rPr>
          <w:rFonts w:ascii="Arial" w:eastAsia="Arial" w:hAnsi="Arial"/>
          <w:color w:val="000000"/>
          <w:sz w:val="20"/>
        </w:rPr>
        <w:t>ed to the Schedule 2 budget. Some projects did not receive the full amount of funding budgeted, usually due to cost savings which were shared proportionally between the HHWUE program and irrigator. Ten projects received a reduction in funding, resulting in</w:t>
      </w:r>
      <w:r>
        <w:rPr>
          <w:rFonts w:ascii="Arial" w:eastAsia="Arial" w:hAnsi="Arial"/>
          <w:color w:val="000000"/>
          <w:sz w:val="20"/>
        </w:rPr>
        <w:t xml:space="preserve"> a total saving of $1,552,911.92 to the HHWUE program. Additionally, the Queensland Government achieved cost savings of $222,176.68 in the Phase 2 complementary measures expenditure when compared to the budget in the Schedule 2 (variation 10).</w:t>
      </w:r>
    </w:p>
    <w:p w14:paraId="279003BF" w14:textId="77777777" w:rsidR="00D8670B" w:rsidRDefault="009B37A9">
      <w:pPr>
        <w:spacing w:before="164" w:line="228" w:lineRule="exact"/>
        <w:jc w:val="center"/>
        <w:textAlignment w:val="baseline"/>
        <w:rPr>
          <w:rFonts w:ascii="Arial" w:eastAsia="Arial" w:hAnsi="Arial"/>
          <w:color w:val="000000"/>
          <w:spacing w:val="39"/>
          <w:sz w:val="20"/>
        </w:rPr>
      </w:pPr>
      <w:r>
        <w:pict w14:anchorId="428086B9">
          <v:line id="_x0000_s1060" style="position:absolute;left:0;text-align:left;z-index:251722752;mso-position-horizontal-relative:page;mso-position-vertical-relative:page" from="55.2pt,542.65pt" to="786.75pt,542.65pt" strokeweight="1.7pt">
            <w10:wrap anchorx="page" anchory="page"/>
          </v:line>
        </w:pict>
      </w:r>
      <w:r>
        <w:rPr>
          <w:rFonts w:ascii="Arial" w:eastAsia="Arial" w:hAnsi="Arial"/>
          <w:color w:val="000000"/>
          <w:spacing w:val="39"/>
          <w:sz w:val="20"/>
        </w:rPr>
        <w:t>42</w:t>
      </w:r>
    </w:p>
    <w:p w14:paraId="5AEC886F" w14:textId="77777777" w:rsidR="00D8670B" w:rsidRDefault="00D8670B">
      <w:pPr>
        <w:sectPr w:rsidR="00D8670B">
          <w:pgSz w:w="16838" w:h="11909" w:orient="landscape"/>
          <w:pgMar w:top="860" w:right="974" w:bottom="273" w:left="1104" w:header="720" w:footer="720" w:gutter="0"/>
          <w:cols w:space="720"/>
        </w:sectPr>
      </w:pPr>
    </w:p>
    <w:p w14:paraId="3F3AE031" w14:textId="77777777" w:rsidR="00D8670B" w:rsidRDefault="009B37A9">
      <w:pPr>
        <w:spacing w:line="386" w:lineRule="exact"/>
        <w:ind w:left="72"/>
        <w:textAlignment w:val="baseline"/>
        <w:rPr>
          <w:rFonts w:ascii="Arial" w:eastAsia="Arial" w:hAnsi="Arial"/>
          <w:b/>
          <w:color w:val="1C75BB"/>
          <w:spacing w:val="8"/>
          <w:sz w:val="34"/>
        </w:rPr>
      </w:pPr>
      <w:r>
        <w:lastRenderedPageBreak/>
        <w:pict w14:anchorId="57BD3DF9">
          <v:shape id="_x0000_s1059" type="#_x0000_t202" style="position:absolute;left:0;text-align:left;margin-left:37.45pt;margin-top:169.45pt;width:513.35pt;height:381.35pt;z-index:-251670528;mso-wrap-distance-left:0;mso-wrap-distance-right:0;mso-position-horizontal-relative:page;mso-position-vertical-relative:page" filled="f" stroked="f">
            <v:textbox inset="0,0,0,0">
              <w:txbxContent>
                <w:p w14:paraId="49B6E82C" w14:textId="77777777" w:rsidR="00000000" w:rsidRDefault="009B37A9"/>
              </w:txbxContent>
            </v:textbox>
            <w10:wrap type="square" anchorx="page" anchory="page"/>
          </v:shape>
        </w:pict>
      </w:r>
      <w:r>
        <w:pict w14:anchorId="11FF6056">
          <v:shape id="_x0000_s1058" type="#_x0000_t202" style="position:absolute;left:0;text-align:left;margin-left:37.45pt;margin-top:169.45pt;width:508.3pt;height:359.25pt;z-index:-251669504;mso-wrap-distance-left:0;mso-wrap-distance-right:0;mso-position-horizontal-relative:page;mso-position-vertical-relative:page" filled="f" stroked="f">
            <v:textbox inset="0,0,0,0">
              <w:txbxContent>
                <w:p w14:paraId="58E342EC" w14:textId="77777777" w:rsidR="00D8670B" w:rsidRDefault="009B37A9">
                  <w:pPr>
                    <w:ind w:left="101"/>
                    <w:textAlignment w:val="baseline"/>
                  </w:pPr>
                  <w:r>
                    <w:rPr>
                      <w:noProof/>
                    </w:rPr>
                    <w:drawing>
                      <wp:inline distT="0" distB="0" distL="0" distR="0" wp14:anchorId="130A218B" wp14:editId="06B58F6E">
                        <wp:extent cx="6391275" cy="456247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52"/>
                                <a:stretch>
                                  <a:fillRect/>
                                </a:stretch>
                              </pic:blipFill>
                              <pic:spPr>
                                <a:xfrm>
                                  <a:off x="0" y="0"/>
                                  <a:ext cx="6391275" cy="4562475"/>
                                </a:xfrm>
                                <a:prstGeom prst="rect">
                                  <a:avLst/>
                                </a:prstGeom>
                              </pic:spPr>
                            </pic:pic>
                          </a:graphicData>
                        </a:graphic>
                      </wp:inline>
                    </w:drawing>
                  </w:r>
                </w:p>
              </w:txbxContent>
            </v:textbox>
            <w10:wrap anchorx="page" anchory="page"/>
          </v:shape>
        </w:pict>
      </w:r>
      <w:r>
        <w:pict w14:anchorId="0D1F85C8">
          <v:shape id="_x0000_s1057" type="#_x0000_t202" style="position:absolute;left:0;text-align:left;margin-left:339.1pt;margin-top:340.35pt;width:189.85pt;height:41.3pt;z-index:-251668480;mso-wrap-distance-left:0;mso-wrap-distance-right:0;mso-position-horizontal-relative:page;mso-position-vertical-relative:page" filled="f" stroked="f">
            <v:textbox inset="0,0,0,0">
              <w:txbxContent>
                <w:p w14:paraId="765B0AA7" w14:textId="77777777" w:rsidR="00D8670B" w:rsidRDefault="009B37A9">
                  <w:pPr>
                    <w:tabs>
                      <w:tab w:val="left" w:pos="2232"/>
                    </w:tabs>
                    <w:spacing w:after="1" w:line="206" w:lineRule="exact"/>
                    <w:ind w:left="2232" w:hanging="2232"/>
                    <w:textAlignment w:val="baseline"/>
                    <w:rPr>
                      <w:rFonts w:ascii="Arial" w:eastAsia="Arial" w:hAnsi="Arial"/>
                      <w:color w:val="000000"/>
                      <w:sz w:val="18"/>
                    </w:rPr>
                  </w:pPr>
                  <w:r>
                    <w:rPr>
                      <w:rFonts w:ascii="Arial" w:eastAsia="Arial" w:hAnsi="Arial"/>
                      <w:color w:val="000000"/>
                      <w:sz w:val="18"/>
                    </w:rPr>
                    <w:t>Eligible irrigators</w:t>
                  </w:r>
                  <w:r>
                    <w:rPr>
                      <w:rFonts w:ascii="Arial" w:eastAsia="Arial" w:hAnsi="Arial"/>
                      <w:color w:val="000000"/>
                      <w:sz w:val="18"/>
                    </w:rPr>
                    <w:tab/>
                    <w:t>Application data, post-completion surveys, third-party industry studies</w:t>
                  </w:r>
                </w:p>
              </w:txbxContent>
            </v:textbox>
            <w10:wrap type="square" anchorx="page" anchory="page"/>
          </v:shape>
        </w:pict>
      </w:r>
      <w:r>
        <w:pict w14:anchorId="0D5C0886">
          <v:shape id="_x0000_s1056" type="#_x0000_t202" style="position:absolute;left:0;text-align:left;margin-left:114.7pt;margin-top:307.7pt;width:185.55pt;height:20.7pt;z-index:-251667456;mso-wrap-distance-left:0;mso-wrap-distance-right:0;mso-position-horizontal-relative:page;mso-position-vertical-relative:page" filled="f" stroked="f">
            <v:textbox inset="0,0,0,0">
              <w:txbxContent>
                <w:p w14:paraId="37FB7689" w14:textId="77777777" w:rsidR="00D8670B" w:rsidRDefault="009B37A9">
                  <w:pPr>
                    <w:spacing w:after="1" w:line="205" w:lineRule="exact"/>
                    <w:jc w:val="both"/>
                    <w:textAlignment w:val="baseline"/>
                    <w:rPr>
                      <w:rFonts w:ascii="Arial" w:eastAsia="Arial" w:hAnsi="Arial"/>
                      <w:color w:val="000000"/>
                      <w:sz w:val="18"/>
                    </w:rPr>
                  </w:pPr>
                  <w:r>
                    <w:rPr>
                      <w:rFonts w:ascii="Arial" w:eastAsia="Arial" w:hAnsi="Arial"/>
                      <w:color w:val="000000"/>
                      <w:sz w:val="18"/>
                    </w:rPr>
                    <w:t>Engagement of more than 260 contractors and suppliers in and beyond the QMDB</w:t>
                  </w:r>
                </w:p>
              </w:txbxContent>
            </v:textbox>
            <w10:wrap type="square" anchorx="page" anchory="page"/>
          </v:shape>
        </w:pict>
      </w:r>
      <w:r>
        <w:pict w14:anchorId="1EBFBF5E">
          <v:shape id="_x0000_s1055" type="#_x0000_t202" style="position:absolute;left:0;text-align:left;margin-left:114.25pt;margin-top:340.35pt;width:209.5pt;height:31pt;z-index:-251666432;mso-wrap-distance-left:0;mso-wrap-distance-right:0;mso-position-horizontal-relative:page;mso-position-vertical-relative:page" filled="f" stroked="f">
            <v:textbox inset="0,0,0,0">
              <w:txbxContent>
                <w:p w14:paraId="0B80A027" w14:textId="77777777" w:rsidR="00D8670B" w:rsidRDefault="009B37A9">
                  <w:pPr>
                    <w:spacing w:line="203" w:lineRule="exact"/>
                    <w:textAlignment w:val="baseline"/>
                    <w:rPr>
                      <w:rFonts w:ascii="Arial" w:eastAsia="Arial" w:hAnsi="Arial"/>
                      <w:color w:val="000000"/>
                      <w:sz w:val="18"/>
                    </w:rPr>
                  </w:pPr>
                  <w:r>
                    <w:rPr>
                      <w:rFonts w:ascii="Arial" w:eastAsia="Arial" w:hAnsi="Arial"/>
                      <w:color w:val="000000"/>
                      <w:sz w:val="18"/>
                    </w:rPr>
                    <w:t>Almost $74 million of Australian Government funding invested in improved profitability and resilience for 43 enterprises</w:t>
                  </w:r>
                </w:p>
              </w:txbxContent>
            </v:textbox>
            <w10:wrap type="square" anchorx="page" anchory="page"/>
          </v:shape>
        </w:pict>
      </w:r>
      <w:r>
        <w:pict w14:anchorId="3D1D45F3">
          <v:shape id="_x0000_s1054" type="#_x0000_t202" style="position:absolute;left:0;text-align:left;margin-left:451.7pt;margin-top:481.45pt;width:85.4pt;height:41.2pt;z-index:-251665408;mso-wrap-distance-left:0;mso-wrap-distance-right:0;mso-position-horizontal-relative:page;mso-position-vertical-relative:page" filled="f" stroked="f">
            <v:textbox inset="0,0,0,0">
              <w:txbxContent>
                <w:p w14:paraId="12C3A689" w14:textId="77777777" w:rsidR="00D8670B" w:rsidRDefault="009B37A9">
                  <w:pPr>
                    <w:spacing w:line="202" w:lineRule="exact"/>
                    <w:textAlignment w:val="baseline"/>
                    <w:rPr>
                      <w:rFonts w:ascii="Arial" w:eastAsia="Arial" w:hAnsi="Arial"/>
                      <w:color w:val="000000"/>
                      <w:sz w:val="18"/>
                    </w:rPr>
                  </w:pPr>
                  <w:r>
                    <w:rPr>
                      <w:rFonts w:ascii="Arial" w:eastAsia="Arial" w:hAnsi="Arial"/>
                      <w:color w:val="000000"/>
                      <w:sz w:val="18"/>
                    </w:rPr>
                    <w:t>Application and commissioning data, program running logs and records</w:t>
                  </w:r>
                </w:p>
              </w:txbxContent>
            </v:textbox>
            <w10:wrap type="square" anchorx="page" anchory="page"/>
          </v:shape>
        </w:pict>
      </w:r>
      <w:r>
        <w:pict w14:anchorId="27115C16">
          <v:shape id="_x0000_s1053" type="#_x0000_t202" style="position:absolute;left:0;text-align:left;margin-left:338.4pt;margin-top:481.35pt;width:94.3pt;height:20.8pt;z-index:-251664384;mso-wrap-distance-left:0;mso-wrap-distance-right:0;mso-position-horizontal-relative:page;mso-position-vertical-relative:page" filled="f" stroked="f">
            <v:textbox inset="0,0,0,0">
              <w:txbxContent>
                <w:p w14:paraId="6C2FE664" w14:textId="77777777" w:rsidR="00D8670B" w:rsidRDefault="009B37A9">
                  <w:pPr>
                    <w:spacing w:line="204" w:lineRule="exact"/>
                    <w:textAlignment w:val="baseline"/>
                    <w:rPr>
                      <w:rFonts w:ascii="Arial" w:eastAsia="Arial" w:hAnsi="Arial"/>
                      <w:color w:val="000000"/>
                      <w:spacing w:val="-2"/>
                      <w:sz w:val="18"/>
                    </w:rPr>
                  </w:pPr>
                  <w:r>
                    <w:rPr>
                      <w:rFonts w:ascii="Arial" w:eastAsia="Arial" w:hAnsi="Arial"/>
                      <w:color w:val="000000"/>
                      <w:spacing w:val="-2"/>
                      <w:sz w:val="18"/>
                    </w:rPr>
                    <w:t>Australian Government, eligible irrigators</w:t>
                  </w:r>
                </w:p>
              </w:txbxContent>
            </v:textbox>
            <w10:wrap type="square" anchorx="page" anchory="page"/>
          </v:shape>
        </w:pict>
      </w:r>
      <w:r>
        <w:pict w14:anchorId="6006858B">
          <v:shape id="_x0000_s1052" type="#_x0000_t202" style="position:absolute;left:0;text-align:left;margin-left:114.7pt;margin-top:481.45pt;width:197.3pt;height:20.55pt;z-index:-251663360;mso-wrap-distance-left:0;mso-wrap-distance-right:0;mso-position-horizontal-relative:page;mso-position-vertical-relative:page" filled="f" stroked="f">
            <v:textbox inset="0,0,0,0">
              <w:txbxContent>
                <w:p w14:paraId="043FD39B" w14:textId="77777777" w:rsidR="00D8670B" w:rsidRDefault="009B37A9">
                  <w:pPr>
                    <w:spacing w:line="203" w:lineRule="exact"/>
                    <w:jc w:val="both"/>
                    <w:textAlignment w:val="baseline"/>
                    <w:rPr>
                      <w:rFonts w:ascii="Arial" w:eastAsia="Arial" w:hAnsi="Arial"/>
                      <w:color w:val="000000"/>
                      <w:spacing w:val="-2"/>
                      <w:sz w:val="18"/>
                    </w:rPr>
                  </w:pPr>
                  <w:r>
                    <w:rPr>
                      <w:rFonts w:ascii="Arial" w:eastAsia="Arial" w:hAnsi="Arial"/>
                      <w:color w:val="000000"/>
                      <w:spacing w:val="-2"/>
                      <w:sz w:val="18"/>
                    </w:rPr>
                    <w:t xml:space="preserve">28.8 GL water </w:t>
                  </w:r>
                  <w:r>
                    <w:rPr>
                      <w:rFonts w:ascii="Arial" w:eastAsia="Arial" w:hAnsi="Arial"/>
                      <w:color w:val="000000"/>
                      <w:spacing w:val="-2"/>
                      <w:sz w:val="18"/>
                    </w:rPr>
                    <w:t>savings in priority catchments, with 18.6 GL delivered to the environment in Phase 2</w:t>
                  </w:r>
                </w:p>
              </w:txbxContent>
            </v:textbox>
            <w10:wrap type="square" anchorx="page" anchory="page"/>
          </v:shape>
        </w:pict>
      </w:r>
      <w:r>
        <w:pict w14:anchorId="753DFF42">
          <v:shape id="_x0000_s1051" type="#_x0000_t202" style="position:absolute;left:0;text-align:left;margin-left:114.95pt;margin-top:458.9pt;width:395.3pt;height:10.35pt;z-index:-251662336;mso-wrap-distance-left:0;mso-wrap-distance-right:0;mso-position-horizontal-relative:page;mso-position-vertical-relative:page" filled="f" stroked="f">
            <v:textbox inset="0,0,0,0">
              <w:txbxContent>
                <w:p w14:paraId="2D9A5C95" w14:textId="77777777" w:rsidR="00D8670B" w:rsidRDefault="009B37A9">
                  <w:pPr>
                    <w:tabs>
                      <w:tab w:val="left" w:pos="4464"/>
                      <w:tab w:val="right" w:pos="7920"/>
                    </w:tabs>
                    <w:spacing w:before="2" w:line="194" w:lineRule="exact"/>
                    <w:textAlignment w:val="baseline"/>
                    <w:rPr>
                      <w:rFonts w:ascii="Arial" w:eastAsia="Arial" w:hAnsi="Arial"/>
                      <w:b/>
                      <w:color w:val="15568B"/>
                      <w:sz w:val="18"/>
                    </w:rPr>
                  </w:pPr>
                  <w:r>
                    <w:rPr>
                      <w:rFonts w:ascii="Arial" w:eastAsia="Arial" w:hAnsi="Arial"/>
                      <w:b/>
                      <w:color w:val="15568B"/>
                      <w:sz w:val="18"/>
                    </w:rPr>
                    <w:t>Benefit</w:t>
                  </w:r>
                  <w:r>
                    <w:rPr>
                      <w:rFonts w:ascii="Arial" w:eastAsia="Arial" w:hAnsi="Arial"/>
                      <w:b/>
                      <w:color w:val="15568B"/>
                      <w:sz w:val="18"/>
                    </w:rPr>
                    <w:tab/>
                    <w:t>Stakeholders</w:t>
                  </w:r>
                  <w:r>
                    <w:rPr>
                      <w:rFonts w:ascii="Arial" w:eastAsia="Arial" w:hAnsi="Arial"/>
                      <w:b/>
                      <w:color w:val="15568B"/>
                      <w:sz w:val="18"/>
                    </w:rPr>
                    <w:tab/>
                    <w:t>Measurement</w:t>
                  </w:r>
                </w:p>
              </w:txbxContent>
            </v:textbox>
            <w10:wrap type="square" anchorx="page" anchory="page"/>
          </v:shape>
        </w:pict>
      </w:r>
      <w:r>
        <w:pict w14:anchorId="6676780B">
          <v:shape id="_x0000_s1050" type="#_x0000_t202" style="position:absolute;left:0;text-align:left;margin-left:48pt;margin-top:481.2pt;width:37.9pt;height:20.7pt;z-index:-251661312;mso-wrap-distance-left:0;mso-wrap-distance-right:0;mso-position-horizontal-relative:page;mso-position-vertical-relative:page" filled="f" stroked="f">
            <v:textbox inset="0,0,0,0">
              <w:txbxContent>
                <w:p w14:paraId="15220F29" w14:textId="77777777" w:rsidR="00D8670B" w:rsidRDefault="009B37A9">
                  <w:pPr>
                    <w:spacing w:line="206" w:lineRule="exact"/>
                    <w:textAlignment w:val="baseline"/>
                    <w:rPr>
                      <w:rFonts w:ascii="Arial" w:eastAsia="Arial" w:hAnsi="Arial"/>
                      <w:b/>
                      <w:color w:val="15568B"/>
                      <w:sz w:val="18"/>
                    </w:rPr>
                  </w:pPr>
                  <w:r>
                    <w:rPr>
                      <w:rFonts w:ascii="Arial" w:eastAsia="Arial" w:hAnsi="Arial"/>
                      <w:b/>
                      <w:color w:val="15568B"/>
                      <w:sz w:val="18"/>
                    </w:rPr>
                    <w:t>Water recovery</w:t>
                  </w:r>
                </w:p>
              </w:txbxContent>
            </v:textbox>
            <w10:wrap type="square" anchorx="page" anchory="page"/>
          </v:shape>
        </w:pict>
      </w:r>
      <w:r>
        <w:pict w14:anchorId="69E81B94">
          <v:shape id="_x0000_s1049" type="#_x0000_t202" style="position:absolute;left:0;text-align:left;margin-left:48.5pt;margin-top:175.45pt;width:38.4pt;height:20.7pt;z-index:-251660288;mso-wrap-distance-left:0;mso-wrap-distance-right:0;mso-position-horizontal-relative:page;mso-position-vertical-relative:page" filled="f" stroked="f">
            <v:textbox inset="0,0,0,0">
              <w:txbxContent>
                <w:p w14:paraId="2C2A5DCC" w14:textId="77777777" w:rsidR="00D8670B" w:rsidRDefault="009B37A9">
                  <w:pPr>
                    <w:spacing w:before="1" w:line="203" w:lineRule="exact"/>
                    <w:textAlignment w:val="baseline"/>
                    <w:rPr>
                      <w:rFonts w:ascii="Arial" w:eastAsia="Arial" w:hAnsi="Arial"/>
                      <w:b/>
                      <w:color w:val="50351F"/>
                      <w:spacing w:val="-2"/>
                      <w:sz w:val="18"/>
                    </w:rPr>
                  </w:pPr>
                  <w:r>
                    <w:rPr>
                      <w:rFonts w:ascii="Arial" w:eastAsia="Arial" w:hAnsi="Arial"/>
                      <w:b/>
                      <w:color w:val="50351F"/>
                      <w:spacing w:val="-2"/>
                      <w:sz w:val="18"/>
                    </w:rPr>
                    <w:t>Irrigation industry</w:t>
                  </w:r>
                </w:p>
              </w:txbxContent>
            </v:textbox>
            <w10:wrap type="square" anchorx="page" anchory="page"/>
          </v:shape>
        </w:pict>
      </w:r>
      <w:r>
        <w:pict w14:anchorId="0876F7F4">
          <v:shape id="_x0000_s1048" type="#_x0000_t202" style="position:absolute;left:0;text-align:left;margin-left:48.25pt;margin-top:259.95pt;width:49.9pt;height:20.65pt;z-index:-251659264;mso-wrap-distance-left:0;mso-wrap-distance-right:0;mso-position-horizontal-relative:page;mso-position-vertical-relative:page" filled="f" stroked="f">
            <v:textbox inset="0,0,0,0">
              <w:txbxContent>
                <w:p w14:paraId="3E333496" w14:textId="77777777" w:rsidR="00D8670B" w:rsidRDefault="009B37A9">
                  <w:pPr>
                    <w:spacing w:before="1" w:line="200" w:lineRule="exact"/>
                    <w:textAlignment w:val="baseline"/>
                    <w:rPr>
                      <w:rFonts w:ascii="Arial" w:eastAsia="Arial" w:hAnsi="Arial"/>
                      <w:b/>
                      <w:color w:val="50351F"/>
                      <w:spacing w:val="-1"/>
                      <w:sz w:val="18"/>
                    </w:rPr>
                  </w:pPr>
                  <w:r>
                    <w:rPr>
                      <w:rFonts w:ascii="Arial" w:eastAsia="Arial" w:hAnsi="Arial"/>
                      <w:b/>
                      <w:color w:val="50351F"/>
                      <w:spacing w:val="-1"/>
                      <w:sz w:val="18"/>
                    </w:rPr>
                    <w:t>Priority catchments</w:t>
                  </w:r>
                </w:p>
              </w:txbxContent>
            </v:textbox>
            <w10:wrap type="square" anchorx="page" anchory="page"/>
          </v:shape>
        </w:pict>
      </w:r>
      <w:r>
        <w:pict w14:anchorId="5712F06E">
          <v:shape id="_x0000_s1047" type="#_x0000_t202" style="position:absolute;left:0;text-align:left;margin-left:48.25pt;margin-top:340.1pt;width:48.25pt;height:20.7pt;z-index:-251658240;mso-wrap-distance-left:0;mso-wrap-distance-right:0;mso-position-horizontal-relative:page;mso-position-vertical-relative:page" filled="f" stroked="f">
            <v:textbox inset="0,0,0,0">
              <w:txbxContent>
                <w:p w14:paraId="235579B1" w14:textId="77777777" w:rsidR="00D8670B" w:rsidRDefault="009B37A9">
                  <w:pPr>
                    <w:spacing w:before="1" w:line="205" w:lineRule="exact"/>
                    <w:textAlignment w:val="baseline"/>
                    <w:rPr>
                      <w:rFonts w:ascii="Arial" w:eastAsia="Arial" w:hAnsi="Arial"/>
                      <w:b/>
                      <w:color w:val="50351F"/>
                      <w:spacing w:val="-2"/>
                      <w:sz w:val="18"/>
                    </w:rPr>
                  </w:pPr>
                  <w:r>
                    <w:rPr>
                      <w:rFonts w:ascii="Arial" w:eastAsia="Arial" w:hAnsi="Arial"/>
                      <w:b/>
                      <w:color w:val="50351F"/>
                      <w:spacing w:val="-2"/>
                      <w:sz w:val="18"/>
                    </w:rPr>
                    <w:t>Irrigation enterprises</w:t>
                  </w:r>
                </w:p>
              </w:txbxContent>
            </v:textbox>
            <w10:wrap type="square" anchorx="page" anchory="page"/>
          </v:shape>
        </w:pict>
      </w:r>
      <w:r>
        <w:pict w14:anchorId="0C9E8CEC">
          <v:shape id="_x0000_s1046" type="#_x0000_t202" style="position:absolute;left:0;text-align:left;margin-left:37.45pt;margin-top:409.7pt;width:508.3pt;height:42.95pt;z-index:-251657216;mso-wrap-distance-left:0;mso-wrap-distance-right:0;mso-position-horizontal-relative:page;mso-position-vertical-relative:page" filled="f" stroked="f">
            <v:textbox inset="0,0,0,0">
              <w:txbxContent>
                <w:p w14:paraId="6F6A5F40" w14:textId="77777777" w:rsidR="00D8670B" w:rsidRDefault="009B37A9">
                  <w:pPr>
                    <w:spacing w:before="120" w:after="105" w:line="208" w:lineRule="exact"/>
                    <w:ind w:left="216" w:right="216"/>
                    <w:textAlignment w:val="baseline"/>
                    <w:rPr>
                      <w:rFonts w:ascii="Arial" w:eastAsia="Arial" w:hAnsi="Arial"/>
                      <w:b/>
                      <w:color w:val="15568B"/>
                      <w:sz w:val="18"/>
                    </w:rPr>
                  </w:pPr>
                  <w:r>
                    <w:rPr>
                      <w:rFonts w:ascii="Arial" w:eastAsia="Arial" w:hAnsi="Arial"/>
                      <w:b/>
                      <w:color w:val="15568B"/>
                      <w:sz w:val="18"/>
                    </w:rPr>
                    <w:t>Deliver water to the environment by transferring a portion of the water savings achieved through HHWUE funding in on-farm water use efficiency to the Australian Government for management by the Commonwealth Environmental Water Office</w:t>
                  </w:r>
                </w:p>
              </w:txbxContent>
            </v:textbox>
            <w10:wrap type="square" anchorx="page" anchory="page"/>
          </v:shape>
        </w:pict>
      </w:r>
      <w:r>
        <w:pict w14:anchorId="3990EEDC">
          <v:shape id="_x0000_s1045" type="#_x0000_t202" style="position:absolute;left:0;text-align:left;margin-left:114.5pt;margin-top:175.7pt;width:195.6pt;height:31.1pt;z-index:-251656192;mso-wrap-distance-left:0;mso-wrap-distance-right:0;mso-position-horizontal-relative:page;mso-position-vertical-relative:page" filled="f" stroked="f">
            <v:textbox inset="0,0,0,0">
              <w:txbxContent>
                <w:p w14:paraId="2BE6D99F" w14:textId="77777777" w:rsidR="00D8670B" w:rsidRDefault="009B37A9">
                  <w:pPr>
                    <w:spacing w:before="1" w:line="205" w:lineRule="exact"/>
                    <w:textAlignment w:val="baseline"/>
                    <w:rPr>
                      <w:rFonts w:ascii="Arial" w:eastAsia="Arial" w:hAnsi="Arial"/>
                      <w:color w:val="000000"/>
                      <w:sz w:val="18"/>
                    </w:rPr>
                  </w:pPr>
                  <w:r>
                    <w:rPr>
                      <w:rFonts w:ascii="Arial" w:eastAsia="Arial" w:hAnsi="Arial"/>
                      <w:color w:val="000000"/>
                      <w:sz w:val="18"/>
                    </w:rPr>
                    <w:t>Contribution to Bas</w:t>
                  </w:r>
                  <w:r>
                    <w:rPr>
                      <w:rFonts w:ascii="Arial" w:eastAsia="Arial" w:hAnsi="Arial"/>
                      <w:color w:val="000000"/>
                      <w:sz w:val="18"/>
                    </w:rPr>
                    <w:t>in Plan water recovery targets while reinvesting in efficient and productive infrastructure</w:t>
                  </w:r>
                </w:p>
              </w:txbxContent>
            </v:textbox>
            <w10:wrap type="square" anchorx="page" anchory="page"/>
          </v:shape>
        </w:pict>
      </w:r>
      <w:r>
        <w:pict w14:anchorId="08283F73">
          <v:shape id="_x0000_s1044" type="#_x0000_t202" style="position:absolute;left:0;text-align:left;margin-left:114.95pt;margin-top:212.9pt;width:186.95pt;height:30.9pt;z-index:-251655168;mso-wrap-distance-left:0;mso-wrap-distance-right:0;mso-position-horizontal-relative:page;mso-position-vertical-relative:page" filled="f" stroked="f">
            <v:textbox inset="0,0,0,0">
              <w:txbxContent>
                <w:p w14:paraId="31A678A7" w14:textId="77777777" w:rsidR="00D8670B" w:rsidRDefault="009B37A9">
                  <w:pPr>
                    <w:spacing w:line="203" w:lineRule="exact"/>
                    <w:textAlignment w:val="baseline"/>
                    <w:rPr>
                      <w:rFonts w:ascii="Arial" w:eastAsia="Arial" w:hAnsi="Arial"/>
                      <w:color w:val="000000"/>
                      <w:sz w:val="18"/>
                    </w:rPr>
                  </w:pPr>
                  <w:r>
                    <w:rPr>
                      <w:rFonts w:ascii="Arial" w:eastAsia="Arial" w:hAnsi="Arial"/>
                      <w:color w:val="000000"/>
                      <w:sz w:val="18"/>
                    </w:rPr>
                    <w:t>Increased industry knowledge of sustainable practices through a range of awareness-raising measures</w:t>
                  </w:r>
                </w:p>
              </w:txbxContent>
            </v:textbox>
            <w10:wrap type="square" anchorx="page" anchory="page"/>
          </v:shape>
        </w:pict>
      </w:r>
      <w:r>
        <w:pict w14:anchorId="0B16C3DF">
          <v:shape id="_x0000_s1043" type="#_x0000_t202" style="position:absolute;left:0;text-align:left;margin-left:114.5pt;margin-top:260.15pt;width:212.4pt;height:41.25pt;z-index:-251654144;mso-wrap-distance-left:0;mso-wrap-distance-right:0;mso-position-horizontal-relative:page;mso-position-vertical-relative:page" filled="f" stroked="f">
            <v:textbox inset="0,0,0,0">
              <w:txbxContent>
                <w:p w14:paraId="7DC2EF2F" w14:textId="77777777" w:rsidR="00D8670B" w:rsidRDefault="009B37A9">
                  <w:pPr>
                    <w:spacing w:line="204" w:lineRule="exact"/>
                    <w:textAlignment w:val="baseline"/>
                    <w:rPr>
                      <w:rFonts w:ascii="Arial" w:eastAsia="Arial" w:hAnsi="Arial"/>
                      <w:color w:val="000000"/>
                      <w:spacing w:val="-1"/>
                      <w:sz w:val="18"/>
                    </w:rPr>
                  </w:pPr>
                  <w:r>
                    <w:rPr>
                      <w:rFonts w:ascii="Arial" w:eastAsia="Arial" w:hAnsi="Arial"/>
                      <w:color w:val="000000"/>
                      <w:spacing w:val="-1"/>
                      <w:sz w:val="18"/>
                    </w:rPr>
                    <w:t>Funding for 64 projects in the priority catchments of the Condamine and Balonne, Border Rivers, Moonie and Warrego, with a focus on the vulnerable commun</w:t>
                  </w:r>
                  <w:r>
                    <w:rPr>
                      <w:rFonts w:ascii="Arial" w:eastAsia="Arial" w:hAnsi="Arial"/>
                      <w:color w:val="000000"/>
                      <w:spacing w:val="-1"/>
                      <w:sz w:val="18"/>
                    </w:rPr>
                    <w:t>ities in the Lower Balonne and Border Rivers</w:t>
                  </w:r>
                </w:p>
              </w:txbxContent>
            </v:textbox>
            <w10:wrap type="square" anchorx="page" anchory="page"/>
          </v:shape>
        </w:pict>
      </w:r>
      <w:r>
        <w:pict w14:anchorId="0364F21F">
          <v:shape id="_x0000_s1042" type="#_x0000_t202" style="position:absolute;left:0;text-align:left;margin-left:338.9pt;margin-top:175.7pt;width:101pt;height:72.4pt;z-index:-251653120;mso-wrap-distance-left:0;mso-wrap-distance-right:0;mso-position-horizontal-relative:page;mso-position-vertical-relative:page" filled="f" stroked="f">
            <v:textbox inset="0,0,0,0">
              <w:txbxContent>
                <w:p w14:paraId="652BB3FC" w14:textId="77777777" w:rsidR="00D8670B" w:rsidRDefault="009B37A9">
                  <w:pPr>
                    <w:spacing w:line="205" w:lineRule="exact"/>
                    <w:textAlignment w:val="baseline"/>
                    <w:rPr>
                      <w:rFonts w:ascii="Arial" w:eastAsia="Arial" w:hAnsi="Arial"/>
                      <w:color w:val="000000"/>
                      <w:spacing w:val="-1"/>
                      <w:sz w:val="18"/>
                    </w:rPr>
                  </w:pPr>
                  <w:r>
                    <w:rPr>
                      <w:rFonts w:ascii="Arial" w:eastAsia="Arial" w:hAnsi="Arial"/>
                      <w:color w:val="000000"/>
                      <w:spacing w:val="-1"/>
                      <w:sz w:val="18"/>
                    </w:rPr>
                    <w:t>Eligible irrigators, previous applicants, consultants, ineligible irrigators, industry groups, industry research bodies, banks, suppliers, contractors</w:t>
                  </w:r>
                </w:p>
              </w:txbxContent>
            </v:textbox>
            <w10:wrap type="square" anchorx="page" anchory="page"/>
          </v:shape>
        </w:pict>
      </w:r>
      <w:r>
        <w:pict w14:anchorId="52A933E7">
          <v:shape id="_x0000_s1041" type="#_x0000_t202" style="position:absolute;left:0;text-align:left;margin-left:338.9pt;margin-top:260.15pt;width:85.2pt;height:41.35pt;z-index:-251652096;mso-wrap-distance-left:0;mso-wrap-distance-right:0;mso-position-horizontal-relative:page;mso-position-vertical-relative:page" filled="f" stroked="f">
            <v:textbox inset="0,0,0,0">
              <w:txbxContent>
                <w:p w14:paraId="3F575ABB" w14:textId="77777777" w:rsidR="00D8670B" w:rsidRDefault="009B37A9">
                  <w:pPr>
                    <w:spacing w:line="204" w:lineRule="exact"/>
                    <w:textAlignment w:val="baseline"/>
                    <w:rPr>
                      <w:rFonts w:ascii="Arial" w:eastAsia="Arial" w:hAnsi="Arial"/>
                      <w:color w:val="000000"/>
                      <w:spacing w:val="-2"/>
                      <w:sz w:val="18"/>
                    </w:rPr>
                  </w:pPr>
                  <w:r>
                    <w:rPr>
                      <w:rFonts w:ascii="Arial" w:eastAsia="Arial" w:hAnsi="Arial"/>
                      <w:color w:val="000000"/>
                      <w:spacing w:val="-2"/>
                      <w:sz w:val="18"/>
                    </w:rPr>
                    <w:t>Eligible irrigators, previous applicants, consultants, banks, suppliers, contractors</w:t>
                  </w:r>
                </w:p>
              </w:txbxContent>
            </v:textbox>
            <w10:wrap type="square" anchorx="page" anchory="page"/>
          </v:shape>
        </w:pict>
      </w:r>
      <w:r>
        <w:pict w14:anchorId="4038F7F0">
          <v:shape id="_x0000_s1040" type="#_x0000_t202" style="position:absolute;left:0;text-align:left;margin-left:452.15pt;margin-top:175.7pt;width:85.95pt;height:31.25pt;z-index:-251651072;mso-wrap-distance-left:0;mso-wrap-distance-right:0;mso-position-horizontal-relative:page;mso-position-vertical-relative:page" filled="f" stroked="f">
            <v:textbox inset="0,0,0,0">
              <w:txbxContent>
                <w:p w14:paraId="6A80FAF3" w14:textId="77777777" w:rsidR="00D8670B" w:rsidRDefault="009B37A9">
                  <w:pPr>
                    <w:spacing w:before="1" w:line="205" w:lineRule="exact"/>
                    <w:textAlignment w:val="baseline"/>
                    <w:rPr>
                      <w:rFonts w:ascii="Arial" w:eastAsia="Arial" w:hAnsi="Arial"/>
                      <w:color w:val="000000"/>
                      <w:spacing w:val="-1"/>
                      <w:sz w:val="18"/>
                    </w:rPr>
                  </w:pPr>
                  <w:r>
                    <w:rPr>
                      <w:rFonts w:ascii="Arial" w:eastAsia="Arial" w:hAnsi="Arial"/>
                      <w:color w:val="000000"/>
                      <w:spacing w:val="-1"/>
                      <w:sz w:val="18"/>
                    </w:rPr>
                    <w:t>Program running logs and records, third-party industry studies</w:t>
                  </w:r>
                </w:p>
              </w:txbxContent>
            </v:textbox>
            <w10:wrap type="square" anchorx="page" anchory="page"/>
          </v:shape>
        </w:pict>
      </w:r>
      <w:r>
        <w:pict w14:anchorId="648C95EA">
          <v:shape id="_x0000_s1039" type="#_x0000_t202" style="position:absolute;left:0;text-align:left;margin-left:451.7pt;margin-top:260.15pt;width:85.4pt;height:41.35pt;z-index:-251650048;mso-wrap-distance-left:0;mso-wrap-distance-right:0;mso-position-horizontal-relative:page;mso-position-vertical-relative:page" filled="f" stroked="f">
            <v:textbox inset="0,0,0,0">
              <w:txbxContent>
                <w:p w14:paraId="2F96AD01" w14:textId="77777777" w:rsidR="00D8670B" w:rsidRDefault="009B37A9">
                  <w:pPr>
                    <w:spacing w:line="204" w:lineRule="exact"/>
                    <w:textAlignment w:val="baseline"/>
                    <w:rPr>
                      <w:rFonts w:ascii="Arial" w:eastAsia="Arial" w:hAnsi="Arial"/>
                      <w:color w:val="000000"/>
                      <w:spacing w:val="-1"/>
                      <w:sz w:val="18"/>
                    </w:rPr>
                  </w:pPr>
                  <w:r>
                    <w:rPr>
                      <w:rFonts w:ascii="Arial" w:eastAsia="Arial" w:hAnsi="Arial"/>
                      <w:color w:val="000000"/>
                      <w:spacing w:val="-1"/>
                      <w:sz w:val="18"/>
                    </w:rPr>
                    <w:t>Application data, program running logs and records, third-party industry studies</w:t>
                  </w:r>
                </w:p>
              </w:txbxContent>
            </v:textbox>
            <w10:wrap type="square" anchorx="page" anchory="page"/>
          </v:shape>
        </w:pict>
      </w:r>
      <w:r>
        <w:pict w14:anchorId="00602926">
          <v:shape id="_x0000_s1038" type="#_x0000_t202" style="position:absolute;left:0;text-align:left;margin-left:48pt;margin-top:631.95pt;width:51.1pt;height:30.95pt;z-index:-251649024;mso-wrap-distance-left:0;mso-wrap-distance-right:0;mso-position-horizontal-relative:page;mso-position-vertical-relative:page" filled="f" stroked="f">
            <v:textbox inset="0,0,0,0">
              <w:txbxContent>
                <w:p w14:paraId="081CD0DD" w14:textId="77777777" w:rsidR="00D8670B" w:rsidRDefault="009B37A9">
                  <w:pPr>
                    <w:spacing w:before="1" w:line="202" w:lineRule="exact"/>
                    <w:textAlignment w:val="baseline"/>
                    <w:rPr>
                      <w:rFonts w:ascii="Arial" w:eastAsia="Arial" w:hAnsi="Arial"/>
                      <w:b/>
                      <w:color w:val="275028"/>
                      <w:sz w:val="18"/>
                    </w:rPr>
                  </w:pPr>
                  <w:r>
                    <w:rPr>
                      <w:rFonts w:ascii="Arial" w:eastAsia="Arial" w:hAnsi="Arial"/>
                      <w:b/>
                      <w:color w:val="275028"/>
                      <w:sz w:val="18"/>
                    </w:rPr>
                    <w:t xml:space="preserve">Awareness-raising </w:t>
                  </w:r>
                  <w:r>
                    <w:rPr>
                      <w:rFonts w:ascii="Arial" w:eastAsia="Arial" w:hAnsi="Arial"/>
                      <w:b/>
                      <w:color w:val="275028"/>
                      <w:sz w:val="18"/>
                    </w:rPr>
                    <w:t>activities</w:t>
                  </w:r>
                </w:p>
              </w:txbxContent>
            </v:textbox>
            <w10:wrap type="square" anchorx="page" anchory="page"/>
          </v:shape>
        </w:pict>
      </w:r>
      <w:r>
        <w:pict w14:anchorId="041742F1">
          <v:shape id="_x0000_s1037" type="#_x0000_t202" style="position:absolute;left:0;text-align:left;margin-left:48pt;margin-top:712.1pt;width:55.7pt;height:31pt;z-index:-251648000;mso-wrap-distance-left:0;mso-wrap-distance-right:0;mso-position-horizontal-relative:page;mso-position-vertical-relative:page" filled="f" stroked="f">
            <v:textbox inset="0,0,0,0">
              <w:txbxContent>
                <w:p w14:paraId="1BED488C" w14:textId="77777777" w:rsidR="00D8670B" w:rsidRDefault="009B37A9">
                  <w:pPr>
                    <w:spacing w:before="2" w:line="205" w:lineRule="exact"/>
                    <w:textAlignment w:val="baseline"/>
                    <w:rPr>
                      <w:rFonts w:ascii="Arial" w:eastAsia="Arial" w:hAnsi="Arial"/>
                      <w:b/>
                      <w:color w:val="275028"/>
                      <w:spacing w:val="-1"/>
                      <w:sz w:val="18"/>
                    </w:rPr>
                  </w:pPr>
                  <w:r>
                    <w:rPr>
                      <w:rFonts w:ascii="Arial" w:eastAsia="Arial" w:hAnsi="Arial"/>
                      <w:b/>
                      <w:color w:val="275028"/>
                      <w:spacing w:val="-1"/>
                      <w:sz w:val="18"/>
                    </w:rPr>
                    <w:t>Funding for efficient technologies</w:t>
                  </w:r>
                </w:p>
              </w:txbxContent>
            </v:textbox>
            <w10:wrap type="square" anchorx="page" anchory="page"/>
          </v:shape>
        </w:pict>
      </w:r>
      <w:r>
        <w:rPr>
          <w:rFonts w:ascii="Arial" w:eastAsia="Arial" w:hAnsi="Arial"/>
          <w:b/>
          <w:color w:val="1C75BB"/>
          <w:spacing w:val="8"/>
          <w:sz w:val="34"/>
        </w:rPr>
        <w:t>5 Conclusion</w:t>
      </w:r>
    </w:p>
    <w:p w14:paraId="50B797C9" w14:textId="77777777" w:rsidR="00D8670B" w:rsidRDefault="009B37A9">
      <w:pPr>
        <w:spacing w:before="128" w:after="103" w:line="230" w:lineRule="exact"/>
        <w:ind w:left="72" w:right="360"/>
        <w:textAlignment w:val="baseline"/>
        <w:rPr>
          <w:rFonts w:ascii="Arial" w:eastAsia="Arial" w:hAnsi="Arial"/>
          <w:color w:val="000000"/>
          <w:spacing w:val="-1"/>
          <w:sz w:val="20"/>
        </w:rPr>
      </w:pPr>
      <w:r>
        <w:rPr>
          <w:rFonts w:ascii="Arial" w:eastAsia="Arial" w:hAnsi="Arial"/>
          <w:color w:val="000000"/>
          <w:spacing w:val="-1"/>
          <w:sz w:val="20"/>
        </w:rPr>
        <w:t>The following tables summarise how the Queensland Government has achieved the water reform aims under Phase 2 of the HHWUE program with a range of benefits for stakeholders in irrigation-dependent communities.</w:t>
      </w:r>
    </w:p>
    <w:p w14:paraId="2E46C7A6" w14:textId="77777777" w:rsidR="00D8670B" w:rsidRDefault="009B37A9">
      <w:pPr>
        <w:shd w:val="solid" w:color="F7EEE9" w:fill="F7EEE9"/>
        <w:spacing w:after="239" w:line="207" w:lineRule="exact"/>
        <w:ind w:left="72" w:right="360"/>
        <w:textAlignment w:val="baseline"/>
        <w:rPr>
          <w:rFonts w:ascii="Arial" w:eastAsia="Arial" w:hAnsi="Arial"/>
          <w:b/>
          <w:color w:val="50351F"/>
          <w:sz w:val="18"/>
        </w:rPr>
      </w:pPr>
      <w:r>
        <w:rPr>
          <w:rFonts w:ascii="Arial" w:eastAsia="Arial" w:hAnsi="Arial"/>
          <w:b/>
          <w:color w:val="50351F"/>
          <w:sz w:val="18"/>
        </w:rPr>
        <w:t>Assist in securing a long-term sustainable fut</w:t>
      </w:r>
      <w:r>
        <w:rPr>
          <w:rFonts w:ascii="Arial" w:eastAsia="Arial" w:hAnsi="Arial"/>
          <w:b/>
          <w:color w:val="50351F"/>
          <w:sz w:val="18"/>
        </w:rPr>
        <w:t>ure for irrigation communities as a result of realising water savings through targeted investment in on-farm water use efficiency</w:t>
      </w:r>
    </w:p>
    <w:p w14:paraId="6C65E5AC" w14:textId="77777777" w:rsidR="00D8670B" w:rsidRDefault="009B37A9">
      <w:pPr>
        <w:tabs>
          <w:tab w:val="left" w:pos="6048"/>
          <w:tab w:val="left" w:pos="8280"/>
        </w:tabs>
        <w:spacing w:before="2" w:after="177" w:line="205" w:lineRule="exact"/>
        <w:ind w:left="1512"/>
        <w:textAlignment w:val="baseline"/>
        <w:rPr>
          <w:rFonts w:ascii="Arial" w:eastAsia="Arial" w:hAnsi="Arial"/>
          <w:b/>
          <w:color w:val="50351F"/>
          <w:sz w:val="18"/>
        </w:rPr>
      </w:pPr>
      <w:r>
        <w:rPr>
          <w:rFonts w:ascii="Arial" w:eastAsia="Arial" w:hAnsi="Arial"/>
          <w:b/>
          <w:color w:val="50351F"/>
          <w:sz w:val="18"/>
        </w:rPr>
        <w:t>Benefit</w:t>
      </w:r>
      <w:r>
        <w:rPr>
          <w:rFonts w:ascii="Arial" w:eastAsia="Arial" w:hAnsi="Arial"/>
          <w:b/>
          <w:color w:val="50351F"/>
          <w:sz w:val="18"/>
        </w:rPr>
        <w:tab/>
        <w:t>Stakeholders</w:t>
      </w:r>
      <w:r>
        <w:rPr>
          <w:rFonts w:ascii="Arial" w:eastAsia="Arial" w:hAnsi="Arial"/>
          <w:b/>
          <w:color w:val="50351F"/>
          <w:sz w:val="18"/>
        </w:rPr>
        <w:tab/>
        <w:t>Measurement</w:t>
      </w:r>
    </w:p>
    <w:tbl>
      <w:tblPr>
        <w:tblW w:w="0" w:type="auto"/>
        <w:tblLayout w:type="fixed"/>
        <w:tblCellMar>
          <w:left w:w="0" w:type="dxa"/>
          <w:right w:w="0" w:type="dxa"/>
        </w:tblCellMar>
        <w:tblLook w:val="0000" w:firstRow="0" w:lastRow="0" w:firstColumn="0" w:lastColumn="0" w:noHBand="0" w:noVBand="0"/>
      </w:tblPr>
      <w:tblGrid>
        <w:gridCol w:w="10267"/>
      </w:tblGrid>
      <w:tr w:rsidR="00D8670B" w14:paraId="67D02DFE" w14:textId="77777777">
        <w:tblPrEx>
          <w:tblCellMar>
            <w:top w:w="0" w:type="dxa"/>
            <w:bottom w:w="0" w:type="dxa"/>
          </w:tblCellMar>
        </w:tblPrEx>
        <w:trPr>
          <w:trHeight w:hRule="exact" w:val="749"/>
        </w:trPr>
        <w:tc>
          <w:tcPr>
            <w:tcW w:w="10267" w:type="dxa"/>
            <w:tcBorders>
              <w:top w:val="none" w:sz="0" w:space="0" w:color="000000"/>
              <w:left w:val="none" w:sz="0" w:space="0" w:color="000000"/>
              <w:bottom w:val="none" w:sz="0" w:space="0" w:color="000000"/>
              <w:right w:val="none" w:sz="0" w:space="0" w:color="000000"/>
            </w:tcBorders>
            <w:shd w:val="clear" w:color="E8F4E9" w:fill="E8F4E9"/>
          </w:tcPr>
          <w:p w14:paraId="1C28E46F" w14:textId="77777777" w:rsidR="00D8670B" w:rsidRDefault="009B37A9">
            <w:pPr>
              <w:spacing w:before="126" w:after="210" w:line="206" w:lineRule="exact"/>
              <w:ind w:left="144" w:right="648"/>
              <w:textAlignment w:val="baseline"/>
              <w:rPr>
                <w:rFonts w:ascii="Arial" w:eastAsia="Arial" w:hAnsi="Arial"/>
                <w:b/>
                <w:color w:val="275028"/>
                <w:sz w:val="18"/>
              </w:rPr>
            </w:pPr>
            <w:r>
              <w:rPr>
                <w:rFonts w:ascii="Arial" w:eastAsia="Arial" w:hAnsi="Arial"/>
                <w:b/>
                <w:color w:val="275028"/>
                <w:sz w:val="18"/>
              </w:rPr>
              <w:t>Assist faster adoption of more efficient water use technologies across the irrigation sector, leading to greater value returns per megalitre to producers</w:t>
            </w:r>
          </w:p>
        </w:tc>
      </w:tr>
    </w:tbl>
    <w:p w14:paraId="388167E7" w14:textId="77777777" w:rsidR="00D8670B" w:rsidRDefault="00D8670B">
      <w:pPr>
        <w:spacing w:after="105" w:line="20" w:lineRule="exact"/>
      </w:pPr>
    </w:p>
    <w:p w14:paraId="577BE1B5" w14:textId="77777777" w:rsidR="00D8670B" w:rsidRDefault="009B37A9">
      <w:pPr>
        <w:tabs>
          <w:tab w:val="left" w:pos="6048"/>
          <w:tab w:val="left" w:pos="8280"/>
        </w:tabs>
        <w:spacing w:before="2" w:after="416" w:line="205" w:lineRule="exact"/>
        <w:ind w:left="1512"/>
        <w:textAlignment w:val="baseline"/>
        <w:rPr>
          <w:rFonts w:ascii="Arial" w:eastAsia="Arial" w:hAnsi="Arial"/>
          <w:b/>
          <w:color w:val="275028"/>
          <w:sz w:val="18"/>
        </w:rPr>
      </w:pPr>
      <w:r>
        <w:rPr>
          <w:rFonts w:ascii="Arial" w:eastAsia="Arial" w:hAnsi="Arial"/>
          <w:b/>
          <w:color w:val="275028"/>
          <w:sz w:val="18"/>
        </w:rPr>
        <w:t>Benefit</w:t>
      </w:r>
      <w:r>
        <w:rPr>
          <w:rFonts w:ascii="Arial" w:eastAsia="Arial" w:hAnsi="Arial"/>
          <w:b/>
          <w:color w:val="275028"/>
          <w:sz w:val="18"/>
        </w:rPr>
        <w:tab/>
        <w:t>Stakeholders</w:t>
      </w:r>
      <w:r>
        <w:rPr>
          <w:rFonts w:ascii="Arial" w:eastAsia="Arial" w:hAnsi="Arial"/>
          <w:b/>
          <w:color w:val="275028"/>
          <w:sz w:val="18"/>
        </w:rPr>
        <w:tab/>
        <w:t>Measurement</w:t>
      </w:r>
    </w:p>
    <w:p w14:paraId="468EBFF5" w14:textId="77777777" w:rsidR="00D8670B" w:rsidRDefault="00D8670B">
      <w:pPr>
        <w:spacing w:before="2" w:after="416" w:line="205" w:lineRule="exact"/>
        <w:sectPr w:rsidR="00D8670B">
          <w:pgSz w:w="11909" w:h="16838"/>
          <w:pgMar w:top="1140" w:right="893" w:bottom="282" w:left="749" w:header="720" w:footer="720" w:gutter="0"/>
          <w:cols w:space="720"/>
        </w:sectPr>
      </w:pPr>
    </w:p>
    <w:p w14:paraId="6D6706B9" w14:textId="77777777" w:rsidR="00D8670B" w:rsidRDefault="009B37A9">
      <w:pPr>
        <w:spacing w:before="124" w:line="20" w:lineRule="exact"/>
      </w:pPr>
      <w:r>
        <w:pict w14:anchorId="0B6FCA82">
          <v:shape id="_x0000_s1036" type="#_x0000_t202" style="position:absolute;margin-left:108.95pt;margin-top:625.9pt;width:437pt;height:150pt;z-index:-251646976;mso-wrap-distance-left:0;mso-wrap-distance-right:0;mso-wrap-distance-bottom:12.3pt;mso-position-horizontal-relative:page;mso-position-vertical-relative:page" fillcolor="#e8f4e9" stroked="f">
            <v:textbox inset="0,0,0,0">
              <w:txbxContent>
                <w:p w14:paraId="4E7EFAC9" w14:textId="77777777" w:rsidR="00000000" w:rsidRDefault="009B37A9"/>
              </w:txbxContent>
            </v:textbox>
            <w10:wrap anchorx="page" anchory="page"/>
          </v:shape>
        </w:pict>
      </w:r>
      <w:r>
        <w:pict w14:anchorId="5AB88C7E">
          <v:shape id="_x0000_s1035" type="#_x0000_t202" style="position:absolute;margin-left:108.95pt;margin-top:625.9pt;width:437pt;height:150pt;z-index:-251645952;mso-wrap-distance-left:0;mso-wrap-distance-right:0;mso-wrap-distance-bottom:12.3pt;mso-position-horizontal-relative:page;mso-position-vertical-relative:page" fillcolor="#e8f4e9" stroked="f">
            <v:textbox inset="0,0,0,0">
              <w:txbxContent>
                <w:p w14:paraId="42FA9348" w14:textId="77777777" w:rsidR="00000000" w:rsidRDefault="009B37A9"/>
              </w:txbxContent>
            </v:textbox>
            <w10:wrap anchorx="page" anchory="page"/>
          </v:shape>
        </w:pict>
      </w:r>
    </w:p>
    <w:tbl>
      <w:tblPr>
        <w:tblW w:w="0" w:type="auto"/>
        <w:tblLayout w:type="fixed"/>
        <w:tblCellMar>
          <w:left w:w="0" w:type="dxa"/>
          <w:right w:w="0" w:type="dxa"/>
        </w:tblCellMar>
        <w:tblLook w:val="0000" w:firstRow="0" w:lastRow="0" w:firstColumn="0" w:lastColumn="0" w:noHBand="0" w:noVBand="0"/>
      </w:tblPr>
      <w:tblGrid>
        <w:gridCol w:w="4335"/>
        <w:gridCol w:w="2402"/>
        <w:gridCol w:w="2003"/>
      </w:tblGrid>
      <w:tr w:rsidR="00D8670B" w14:paraId="21BCCC9C" w14:textId="77777777">
        <w:tblPrEx>
          <w:tblCellMar>
            <w:top w:w="0" w:type="dxa"/>
            <w:bottom w:w="0" w:type="dxa"/>
          </w:tblCellMar>
        </w:tblPrEx>
        <w:trPr>
          <w:trHeight w:hRule="exact" w:val="2748"/>
        </w:trPr>
        <w:tc>
          <w:tcPr>
            <w:tcW w:w="4335" w:type="dxa"/>
            <w:tcBorders>
              <w:top w:val="none" w:sz="0" w:space="0" w:color="000000"/>
              <w:left w:val="none" w:sz="0" w:space="0" w:color="000000"/>
              <w:bottom w:val="none" w:sz="0" w:space="0" w:color="000000"/>
              <w:right w:val="none" w:sz="0" w:space="0" w:color="000000"/>
            </w:tcBorders>
          </w:tcPr>
          <w:p w14:paraId="2479D68D" w14:textId="77777777" w:rsidR="00D8670B" w:rsidRDefault="009B37A9">
            <w:pPr>
              <w:spacing w:line="199" w:lineRule="exact"/>
              <w:ind w:left="144" w:right="324"/>
              <w:jc w:val="both"/>
              <w:textAlignment w:val="baseline"/>
              <w:rPr>
                <w:rFonts w:ascii="Arial" w:eastAsia="Arial" w:hAnsi="Arial"/>
                <w:color w:val="000000"/>
                <w:spacing w:val="-3"/>
                <w:sz w:val="18"/>
              </w:rPr>
            </w:pPr>
            <w:r>
              <w:rPr>
                <w:rFonts w:ascii="Arial" w:eastAsia="Arial" w:hAnsi="Arial"/>
                <w:color w:val="000000"/>
                <w:spacing w:val="-3"/>
                <w:sz w:val="18"/>
              </w:rPr>
              <w:t>Suite of new decision-making tools and resources available to irrigators and consultants through the benchmarking and industry development projects</w:t>
            </w:r>
          </w:p>
          <w:p w14:paraId="7128B610" w14:textId="77777777" w:rsidR="00D8670B" w:rsidRDefault="009B37A9">
            <w:pPr>
              <w:spacing w:before="123" w:line="207" w:lineRule="exact"/>
              <w:ind w:left="144" w:right="324"/>
              <w:textAlignment w:val="baseline"/>
              <w:rPr>
                <w:rFonts w:ascii="Arial" w:eastAsia="Arial" w:hAnsi="Arial"/>
                <w:color w:val="000000"/>
                <w:sz w:val="18"/>
              </w:rPr>
            </w:pPr>
            <w:r>
              <w:rPr>
                <w:rFonts w:ascii="Arial" w:eastAsia="Arial" w:hAnsi="Arial"/>
                <w:color w:val="000000"/>
                <w:sz w:val="18"/>
              </w:rPr>
              <w:t>Delivery of 17 meetings and events to promote efficient technologies, management practices and funding opportunities</w:t>
            </w:r>
          </w:p>
          <w:p w14:paraId="41DD71A8" w14:textId="77777777" w:rsidR="00D8670B" w:rsidRDefault="009B37A9">
            <w:pPr>
              <w:spacing w:before="239" w:line="207" w:lineRule="exact"/>
              <w:ind w:left="144" w:right="324"/>
              <w:jc w:val="both"/>
              <w:textAlignment w:val="baseline"/>
              <w:rPr>
                <w:rFonts w:ascii="Arial" w:eastAsia="Arial" w:hAnsi="Arial"/>
                <w:color w:val="000000"/>
                <w:spacing w:val="-2"/>
                <w:sz w:val="18"/>
              </w:rPr>
            </w:pPr>
            <w:r>
              <w:rPr>
                <w:rFonts w:ascii="Arial" w:eastAsia="Arial" w:hAnsi="Arial"/>
                <w:color w:val="000000"/>
                <w:spacing w:val="-2"/>
                <w:sz w:val="18"/>
              </w:rPr>
              <w:t>Range of irrigation water use efficiency upgrades undertaken on 43 enterprises across the QMDB</w:t>
            </w:r>
          </w:p>
          <w:p w14:paraId="675E1EF5" w14:textId="77777777" w:rsidR="00D8670B" w:rsidRDefault="009B37A9">
            <w:pPr>
              <w:spacing w:before="118" w:after="11" w:line="207" w:lineRule="exact"/>
              <w:ind w:left="144" w:right="324"/>
              <w:textAlignment w:val="baseline"/>
              <w:rPr>
                <w:rFonts w:ascii="Arial" w:eastAsia="Arial" w:hAnsi="Arial"/>
                <w:color w:val="000000"/>
                <w:sz w:val="18"/>
              </w:rPr>
            </w:pPr>
            <w:r>
              <w:rPr>
                <w:rFonts w:ascii="Arial" w:eastAsia="Arial" w:hAnsi="Arial"/>
                <w:color w:val="000000"/>
                <w:sz w:val="18"/>
              </w:rPr>
              <w:t>Participating irrigators able to achieve bus</w:t>
            </w:r>
            <w:r>
              <w:rPr>
                <w:rFonts w:ascii="Arial" w:eastAsia="Arial" w:hAnsi="Arial"/>
                <w:color w:val="000000"/>
                <w:sz w:val="18"/>
              </w:rPr>
              <w:t>iness outcomes and benefits from upgrades faster with HHWUE funding than on their own</w:t>
            </w:r>
          </w:p>
        </w:tc>
        <w:tc>
          <w:tcPr>
            <w:tcW w:w="2402" w:type="dxa"/>
            <w:tcBorders>
              <w:top w:val="none" w:sz="0" w:space="0" w:color="000000"/>
              <w:left w:val="none" w:sz="0" w:space="0" w:color="000000"/>
              <w:bottom w:val="none" w:sz="0" w:space="0" w:color="000000"/>
              <w:right w:val="none" w:sz="0" w:space="0" w:color="000000"/>
            </w:tcBorders>
          </w:tcPr>
          <w:p w14:paraId="20D6908C" w14:textId="77777777" w:rsidR="00D8670B" w:rsidRDefault="009B37A9">
            <w:pPr>
              <w:spacing w:line="203" w:lineRule="exact"/>
              <w:ind w:left="288" w:right="108"/>
              <w:textAlignment w:val="baseline"/>
              <w:rPr>
                <w:rFonts w:ascii="Arial" w:eastAsia="Arial" w:hAnsi="Arial"/>
                <w:color w:val="000000"/>
                <w:spacing w:val="-1"/>
                <w:sz w:val="18"/>
              </w:rPr>
            </w:pPr>
            <w:r>
              <w:rPr>
                <w:rFonts w:ascii="Arial" w:eastAsia="Arial" w:hAnsi="Arial"/>
                <w:color w:val="000000"/>
                <w:spacing w:val="-1"/>
                <w:sz w:val="18"/>
              </w:rPr>
              <w:t>Eligible irrigators, previous applicants, consultants, ineligible irrigators, industry groups, industry research bodies</w:t>
            </w:r>
          </w:p>
          <w:p w14:paraId="627401C8" w14:textId="77777777" w:rsidR="00D8670B" w:rsidRDefault="009B37A9">
            <w:pPr>
              <w:spacing w:before="359" w:after="750" w:line="207" w:lineRule="exact"/>
              <w:jc w:val="center"/>
              <w:textAlignment w:val="baseline"/>
              <w:rPr>
                <w:rFonts w:ascii="Arial" w:eastAsia="Arial" w:hAnsi="Arial"/>
                <w:color w:val="000000"/>
                <w:sz w:val="18"/>
              </w:rPr>
            </w:pPr>
            <w:r>
              <w:rPr>
                <w:rFonts w:ascii="Arial" w:eastAsia="Arial" w:hAnsi="Arial"/>
                <w:color w:val="000000"/>
                <w:sz w:val="18"/>
              </w:rPr>
              <w:t xml:space="preserve">Eligible irrigators, </w:t>
            </w:r>
            <w:r>
              <w:rPr>
                <w:rFonts w:ascii="Arial" w:eastAsia="Arial" w:hAnsi="Arial"/>
                <w:color w:val="000000"/>
                <w:sz w:val="18"/>
              </w:rPr>
              <w:br/>
              <w:t>previous applicants</w:t>
            </w:r>
          </w:p>
        </w:tc>
        <w:tc>
          <w:tcPr>
            <w:tcW w:w="2003" w:type="dxa"/>
            <w:tcBorders>
              <w:top w:val="none" w:sz="0" w:space="0" w:color="000000"/>
              <w:left w:val="none" w:sz="0" w:space="0" w:color="000000"/>
              <w:bottom w:val="none" w:sz="0" w:space="0" w:color="000000"/>
              <w:right w:val="none" w:sz="0" w:space="0" w:color="000000"/>
            </w:tcBorders>
          </w:tcPr>
          <w:p w14:paraId="177534F8" w14:textId="77777777" w:rsidR="00D8670B" w:rsidRDefault="009B37A9">
            <w:pPr>
              <w:spacing w:line="199" w:lineRule="exact"/>
              <w:ind w:left="144" w:right="180"/>
              <w:textAlignment w:val="baseline"/>
              <w:rPr>
                <w:rFonts w:ascii="Arial" w:eastAsia="Arial" w:hAnsi="Arial"/>
                <w:color w:val="000000"/>
                <w:spacing w:val="-3"/>
                <w:sz w:val="18"/>
              </w:rPr>
            </w:pPr>
            <w:r>
              <w:rPr>
                <w:rFonts w:ascii="Arial" w:eastAsia="Arial" w:hAnsi="Arial"/>
                <w:color w:val="000000"/>
                <w:spacing w:val="-3"/>
                <w:sz w:val="18"/>
              </w:rPr>
              <w:t xml:space="preserve">Program </w:t>
            </w:r>
            <w:r>
              <w:rPr>
                <w:rFonts w:ascii="Arial" w:eastAsia="Arial" w:hAnsi="Arial"/>
                <w:color w:val="000000"/>
                <w:spacing w:val="-3"/>
                <w:sz w:val="18"/>
              </w:rPr>
              <w:t>running logs and records, third-party industry studies</w:t>
            </w:r>
          </w:p>
          <w:p w14:paraId="067DC35F" w14:textId="77777777" w:rsidR="00D8670B" w:rsidRDefault="009B37A9">
            <w:pPr>
              <w:spacing w:before="981" w:after="131" w:line="207" w:lineRule="exact"/>
              <w:ind w:left="144"/>
              <w:textAlignment w:val="baseline"/>
              <w:rPr>
                <w:rFonts w:ascii="Arial" w:eastAsia="Arial" w:hAnsi="Arial"/>
                <w:color w:val="000000"/>
                <w:sz w:val="18"/>
              </w:rPr>
            </w:pPr>
            <w:r>
              <w:rPr>
                <w:rFonts w:ascii="Arial" w:eastAsia="Arial" w:hAnsi="Arial"/>
                <w:color w:val="000000"/>
                <w:sz w:val="18"/>
              </w:rPr>
              <w:t>Application and commissioning data, program running logs and records, post-completion surveys</w:t>
            </w:r>
          </w:p>
        </w:tc>
      </w:tr>
    </w:tbl>
    <w:p w14:paraId="63023FE1" w14:textId="77777777" w:rsidR="00D8670B" w:rsidRDefault="00D8670B">
      <w:pPr>
        <w:spacing w:after="334" w:line="20" w:lineRule="exact"/>
      </w:pPr>
    </w:p>
    <w:p w14:paraId="68599851" w14:textId="77777777" w:rsidR="00D8670B" w:rsidRDefault="00D8670B">
      <w:pPr>
        <w:spacing w:after="334" w:line="20" w:lineRule="exact"/>
        <w:sectPr w:rsidR="00D8670B">
          <w:type w:val="continuous"/>
          <w:pgSz w:w="11909" w:h="16838"/>
          <w:pgMar w:top="1140" w:right="990" w:bottom="282" w:left="2179" w:header="720" w:footer="720" w:gutter="0"/>
          <w:cols w:space="720"/>
        </w:sectPr>
      </w:pPr>
    </w:p>
    <w:p w14:paraId="503545C0" w14:textId="77777777" w:rsidR="00D8670B" w:rsidRDefault="009B37A9">
      <w:pPr>
        <w:spacing w:before="165" w:line="227" w:lineRule="exact"/>
        <w:jc w:val="center"/>
        <w:textAlignment w:val="baseline"/>
        <w:rPr>
          <w:rFonts w:ascii="Arial" w:eastAsia="Arial" w:hAnsi="Arial"/>
          <w:color w:val="000000"/>
          <w:spacing w:val="41"/>
          <w:sz w:val="20"/>
        </w:rPr>
      </w:pPr>
      <w:r>
        <w:pict w14:anchorId="74F29852">
          <v:line id="_x0000_s1034" style="position:absolute;left:0;text-align:left;z-index:251723776;mso-position-horizontal-relative:page;mso-position-vertical-relative:page" from="37.45pt,789.1pt" to="554.45pt,789.1pt" strokeweight="1.7pt">
            <w10:wrap anchorx="page" anchory="page"/>
          </v:line>
        </w:pict>
      </w:r>
      <w:r>
        <w:rPr>
          <w:rFonts w:ascii="Arial" w:eastAsia="Arial" w:hAnsi="Arial"/>
          <w:color w:val="000000"/>
          <w:spacing w:val="41"/>
          <w:sz w:val="20"/>
        </w:rPr>
        <w:t>43</w:t>
      </w:r>
    </w:p>
    <w:p w14:paraId="26C1A6ED" w14:textId="77777777" w:rsidR="00D8670B" w:rsidRDefault="00D8670B">
      <w:pPr>
        <w:sectPr w:rsidR="00D8670B">
          <w:type w:val="continuous"/>
          <w:pgSz w:w="11909" w:h="16838"/>
          <w:pgMar w:top="1140" w:right="821" w:bottom="282" w:left="749" w:header="720" w:footer="720" w:gutter="0"/>
          <w:cols w:space="720"/>
        </w:sectPr>
      </w:pPr>
    </w:p>
    <w:p w14:paraId="6E2D9335" w14:textId="77777777" w:rsidR="00D8670B" w:rsidRDefault="009B37A9">
      <w:pPr>
        <w:spacing w:before="19" w:line="230" w:lineRule="exact"/>
        <w:ind w:left="72" w:right="72"/>
        <w:textAlignment w:val="baseline"/>
        <w:rPr>
          <w:rFonts w:ascii="Arial" w:eastAsia="Arial" w:hAnsi="Arial"/>
          <w:color w:val="000000"/>
          <w:sz w:val="20"/>
        </w:rPr>
      </w:pPr>
      <w:r>
        <w:rPr>
          <w:rFonts w:ascii="Arial" w:eastAsia="Arial" w:hAnsi="Arial"/>
          <w:color w:val="000000"/>
          <w:sz w:val="20"/>
        </w:rPr>
        <w:lastRenderedPageBreak/>
        <w:t>Through both phases of the HHWUE program, the Queensland Government has delivered a positive contribution to sustainability in the QMDB.</w:t>
      </w:r>
    </w:p>
    <w:p w14:paraId="65755289" w14:textId="77777777" w:rsidR="00D8670B" w:rsidRDefault="009B37A9">
      <w:pPr>
        <w:spacing w:before="123" w:line="230" w:lineRule="exact"/>
        <w:ind w:left="72" w:right="72"/>
        <w:textAlignment w:val="baseline"/>
        <w:rPr>
          <w:rFonts w:ascii="Arial" w:eastAsia="Arial" w:hAnsi="Arial"/>
          <w:color w:val="000000"/>
          <w:spacing w:val="1"/>
          <w:sz w:val="20"/>
        </w:rPr>
      </w:pPr>
      <w:r>
        <w:rPr>
          <w:rFonts w:ascii="Arial" w:eastAsia="Arial" w:hAnsi="Arial"/>
          <w:color w:val="000000"/>
          <w:spacing w:val="1"/>
          <w:sz w:val="20"/>
        </w:rPr>
        <w:t>The Queensland and Australian governments have continuously improved and adapted the program over nearly a decade. This</w:t>
      </w:r>
      <w:r>
        <w:rPr>
          <w:rFonts w:ascii="Arial" w:eastAsia="Arial" w:hAnsi="Arial"/>
          <w:color w:val="000000"/>
          <w:spacing w:val="1"/>
          <w:sz w:val="20"/>
        </w:rPr>
        <w:t xml:space="preserve"> approach developed a program which was responsive to emerging stakeholder needs while operating within the program management framework agreed between the governments. Additionally, HHWUE produced insights and learnings valuable to similar future programs</w:t>
      </w:r>
      <w:r>
        <w:rPr>
          <w:rFonts w:ascii="Arial" w:eastAsia="Arial" w:hAnsi="Arial"/>
          <w:color w:val="000000"/>
          <w:spacing w:val="1"/>
          <w:sz w:val="20"/>
        </w:rPr>
        <w:t>, particularly regarding program delivery to meet objectives while balancing participation and ensuring a control environment for appropriate use of government funding.</w:t>
      </w:r>
    </w:p>
    <w:p w14:paraId="60EC3C64" w14:textId="77777777" w:rsidR="00D8670B" w:rsidRDefault="009B37A9">
      <w:pPr>
        <w:spacing w:before="123" w:after="11154" w:line="229" w:lineRule="exact"/>
        <w:ind w:left="72" w:right="72"/>
        <w:textAlignment w:val="baseline"/>
        <w:rPr>
          <w:rFonts w:ascii="Arial" w:eastAsia="Arial" w:hAnsi="Arial"/>
          <w:color w:val="000000"/>
          <w:sz w:val="20"/>
        </w:rPr>
      </w:pPr>
      <w:r>
        <w:rPr>
          <w:rFonts w:ascii="Arial" w:eastAsia="Arial" w:hAnsi="Arial"/>
          <w:color w:val="000000"/>
          <w:sz w:val="20"/>
        </w:rPr>
        <w:t>The program has secured water savings in priority catchments. Savings have been returne</w:t>
      </w:r>
      <w:r>
        <w:rPr>
          <w:rFonts w:ascii="Arial" w:eastAsia="Arial" w:hAnsi="Arial"/>
          <w:color w:val="000000"/>
          <w:sz w:val="20"/>
        </w:rPr>
        <w:t>d to the environment by the permanent transfer of water to the Australian Government. The program has invested in projects and knowledge which help improve the water use efficiency and resilience of vulnerable communities and the irrigation industry. Funde</w:t>
      </w:r>
      <w:r>
        <w:rPr>
          <w:rFonts w:ascii="Arial" w:eastAsia="Arial" w:hAnsi="Arial"/>
          <w:color w:val="000000"/>
          <w:sz w:val="20"/>
        </w:rPr>
        <w:t>d projects invested in regional economies during construction and continue to achieve profitability gains for enterprises across the QMDB. The reports, tools and information developed through studies inform and support the industry now and into the future.</w:t>
      </w:r>
    </w:p>
    <w:p w14:paraId="61D5B45F" w14:textId="77777777" w:rsidR="00D8670B" w:rsidRDefault="00D8670B">
      <w:pPr>
        <w:spacing w:before="123" w:after="11154" w:line="229" w:lineRule="exact"/>
        <w:sectPr w:rsidR="00D8670B">
          <w:pgSz w:w="11909" w:h="16838"/>
          <w:pgMar w:top="1120" w:right="792" w:bottom="282" w:left="778" w:header="720" w:footer="720" w:gutter="0"/>
          <w:cols w:space="720"/>
        </w:sectPr>
      </w:pPr>
    </w:p>
    <w:p w14:paraId="5E759DDD" w14:textId="77777777" w:rsidR="00D8670B" w:rsidRDefault="009B37A9">
      <w:pPr>
        <w:spacing w:before="165" w:line="227" w:lineRule="exact"/>
        <w:jc w:val="center"/>
        <w:textAlignment w:val="baseline"/>
        <w:rPr>
          <w:rFonts w:ascii="Arial" w:eastAsia="Arial" w:hAnsi="Arial"/>
          <w:color w:val="000000"/>
          <w:spacing w:val="41"/>
          <w:sz w:val="20"/>
        </w:rPr>
      </w:pPr>
      <w:r>
        <w:pict w14:anchorId="19CA8285">
          <v:line id="_x0000_s1033" style="position:absolute;left:0;text-align:left;z-index:251724800;mso-position-horizontal-relative:page;mso-position-vertical-relative:page" from="39.25pt,789.1pt" to="556.25pt,789.1pt" strokeweight="1.7pt">
            <w10:wrap anchorx="page" anchory="page"/>
          </v:line>
        </w:pict>
      </w:r>
      <w:r>
        <w:rPr>
          <w:rFonts w:ascii="Arial" w:eastAsia="Arial" w:hAnsi="Arial"/>
          <w:color w:val="000000"/>
          <w:spacing w:val="41"/>
          <w:sz w:val="20"/>
        </w:rPr>
        <w:t>44</w:t>
      </w:r>
    </w:p>
    <w:p w14:paraId="61362311" w14:textId="77777777" w:rsidR="00D8670B" w:rsidRDefault="00D8670B">
      <w:pPr>
        <w:sectPr w:rsidR="00D8670B">
          <w:type w:val="continuous"/>
          <w:pgSz w:w="11909" w:h="16838"/>
          <w:pgMar w:top="1120" w:right="785" w:bottom="282" w:left="785" w:header="720" w:footer="720" w:gutter="0"/>
          <w:cols w:space="720"/>
        </w:sectPr>
      </w:pPr>
    </w:p>
    <w:p w14:paraId="74EC1FB6" w14:textId="77777777" w:rsidR="00D8670B" w:rsidRDefault="009B37A9">
      <w:pPr>
        <w:spacing w:line="388" w:lineRule="exact"/>
        <w:ind w:left="144"/>
        <w:textAlignment w:val="baseline"/>
        <w:rPr>
          <w:rFonts w:ascii="Arial" w:eastAsia="Arial" w:hAnsi="Arial"/>
          <w:b/>
          <w:color w:val="1C75BB"/>
          <w:spacing w:val="5"/>
          <w:sz w:val="34"/>
        </w:rPr>
      </w:pPr>
      <w:r>
        <w:rPr>
          <w:rFonts w:ascii="Arial" w:eastAsia="Arial" w:hAnsi="Arial"/>
          <w:b/>
          <w:color w:val="1C75BB"/>
          <w:spacing w:val="5"/>
          <w:sz w:val="34"/>
        </w:rPr>
        <w:lastRenderedPageBreak/>
        <w:t>6 Learnings</w:t>
      </w:r>
    </w:p>
    <w:p w14:paraId="21896F79" w14:textId="77777777" w:rsidR="00D8670B" w:rsidRDefault="009B37A9">
      <w:pPr>
        <w:spacing w:before="127" w:after="449" w:line="230" w:lineRule="exact"/>
        <w:ind w:left="144" w:right="144"/>
        <w:textAlignment w:val="baseline"/>
        <w:rPr>
          <w:rFonts w:ascii="Arial" w:eastAsia="Arial" w:hAnsi="Arial"/>
          <w:color w:val="000000"/>
          <w:sz w:val="20"/>
        </w:rPr>
      </w:pPr>
      <w:r>
        <w:rPr>
          <w:rFonts w:ascii="Arial" w:eastAsia="Arial" w:hAnsi="Arial"/>
          <w:color w:val="000000"/>
          <w:sz w:val="20"/>
        </w:rPr>
        <w:t>The following learnings have been identified through the Queensland Government’s risk and issues registe</w:t>
      </w:r>
      <w:r>
        <w:rPr>
          <w:rFonts w:ascii="Arial" w:eastAsia="Arial" w:hAnsi="Arial"/>
          <w:color w:val="000000"/>
          <w:sz w:val="20"/>
        </w:rPr>
        <w:t xml:space="preserve">rs maintained over the life of the HHWUE program. They are informed by third party reports, industry engagement and program reviews. Where possible, the Queensland Government adapted its procedures to incorporate these learnings. The Queensland Government </w:t>
      </w:r>
      <w:r>
        <w:rPr>
          <w:rFonts w:ascii="Arial" w:eastAsia="Arial" w:hAnsi="Arial"/>
          <w:color w:val="000000"/>
          <w:sz w:val="20"/>
        </w:rPr>
        <w:t>also received some review recommendations late in the program. As the program was reaching its conclusion, these recommendations were no longer relevant, however they are captured below to inform future similar programs.</w:t>
      </w:r>
    </w:p>
    <w:p w14:paraId="30862D3B" w14:textId="77777777" w:rsidR="00D8670B" w:rsidRDefault="009B37A9">
      <w:pPr>
        <w:shd w:val="solid" w:color="CAE2F7" w:fill="CAE2F7"/>
        <w:spacing w:after="109" w:line="205" w:lineRule="exact"/>
        <w:ind w:left="144"/>
        <w:textAlignment w:val="baseline"/>
        <w:rPr>
          <w:rFonts w:ascii="Arial" w:eastAsia="Arial" w:hAnsi="Arial"/>
          <w:b/>
          <w:color w:val="15568B"/>
          <w:sz w:val="18"/>
        </w:rPr>
      </w:pPr>
      <w:r>
        <w:rPr>
          <w:rFonts w:ascii="Arial" w:eastAsia="Arial" w:hAnsi="Arial"/>
          <w:b/>
          <w:color w:val="15568B"/>
          <w:sz w:val="18"/>
        </w:rPr>
        <w:t>Program governance</w:t>
      </w:r>
    </w:p>
    <w:p w14:paraId="2681F3B9" w14:textId="77777777" w:rsidR="00D8670B" w:rsidRDefault="009B37A9">
      <w:pPr>
        <w:numPr>
          <w:ilvl w:val="0"/>
          <w:numId w:val="6"/>
        </w:numPr>
        <w:tabs>
          <w:tab w:val="clear" w:pos="432"/>
          <w:tab w:val="left" w:pos="936"/>
        </w:tabs>
        <w:spacing w:before="142" w:line="206" w:lineRule="exact"/>
        <w:ind w:left="936" w:right="360" w:hanging="432"/>
        <w:textAlignment w:val="baseline"/>
        <w:rPr>
          <w:rFonts w:ascii="Arial" w:eastAsia="Arial" w:hAnsi="Arial"/>
          <w:color w:val="000000"/>
          <w:sz w:val="18"/>
        </w:rPr>
      </w:pPr>
      <w:r>
        <w:pict w14:anchorId="08FDDE32">
          <v:shape id="_x0000_s1032" type="#_x0000_t202" style="position:absolute;left:0;text-align:left;margin-left:39.25pt;margin-top:197.05pt;width:516.95pt;height:139.9pt;z-index:-251644928;mso-wrap-distance-left:0;mso-wrap-distance-right:0;mso-wrap-distance-bottom:23.3pt;mso-position-horizontal-relative:page;mso-position-vertical-relative:page" fillcolor="#eaf4fb" stroked="f">
            <v:textbox inset="0,0,0,0">
              <w:txbxContent>
                <w:p w14:paraId="3614B7C2" w14:textId="77777777" w:rsidR="00000000" w:rsidRDefault="009B37A9"/>
              </w:txbxContent>
            </v:textbox>
            <w10:wrap anchorx="page" anchory="page"/>
          </v:shape>
        </w:pict>
      </w:r>
      <w:r>
        <w:rPr>
          <w:rFonts w:ascii="Arial" w:eastAsia="Arial" w:hAnsi="Arial"/>
          <w:color w:val="000000"/>
          <w:sz w:val="18"/>
        </w:rPr>
        <w:t>State service delivery risk analysis. At times, Queensland and Australian government roles and risk responsibilities were unclear in delivering the program. In most cases, the governments were able to negotiate the division of responsibilities as needed. H</w:t>
      </w:r>
      <w:r>
        <w:rPr>
          <w:rFonts w:ascii="Arial" w:eastAsia="Arial" w:hAnsi="Arial"/>
          <w:color w:val="000000"/>
          <w:sz w:val="18"/>
        </w:rPr>
        <w:t>owever, a detailed service delivery risk analysis at the start of the program could help define the scope of roles and responsibilities before accepting future state-delivered Australian Government programs.</w:t>
      </w:r>
    </w:p>
    <w:p w14:paraId="626FB807" w14:textId="77777777" w:rsidR="00D8670B" w:rsidRDefault="009B37A9">
      <w:pPr>
        <w:numPr>
          <w:ilvl w:val="0"/>
          <w:numId w:val="6"/>
        </w:numPr>
        <w:tabs>
          <w:tab w:val="clear" w:pos="432"/>
          <w:tab w:val="left" w:pos="936"/>
        </w:tabs>
        <w:spacing w:before="135" w:line="206" w:lineRule="exact"/>
        <w:ind w:left="936" w:right="360" w:hanging="432"/>
        <w:textAlignment w:val="baseline"/>
        <w:rPr>
          <w:rFonts w:ascii="Arial" w:eastAsia="Arial" w:hAnsi="Arial"/>
          <w:color w:val="000000"/>
          <w:sz w:val="18"/>
        </w:rPr>
      </w:pPr>
      <w:r>
        <w:rPr>
          <w:rFonts w:ascii="Arial" w:eastAsia="Arial" w:hAnsi="Arial"/>
          <w:color w:val="000000"/>
          <w:sz w:val="18"/>
        </w:rPr>
        <w:t>Synergy between other water recovery programs. T</w:t>
      </w:r>
      <w:r>
        <w:rPr>
          <w:rFonts w:ascii="Arial" w:eastAsia="Arial" w:hAnsi="Arial"/>
          <w:color w:val="000000"/>
          <w:sz w:val="18"/>
        </w:rPr>
        <w:t>he HHWUE program was run quite separately to the Australian Government’s Buyback program, despite both being water recovery initiatives. This distinction created some misunderstanding among stakeholders and limited opportunities for cross-promotion.</w:t>
      </w:r>
    </w:p>
    <w:p w14:paraId="72F3CABE" w14:textId="77777777" w:rsidR="00D8670B" w:rsidRDefault="009B37A9">
      <w:pPr>
        <w:numPr>
          <w:ilvl w:val="0"/>
          <w:numId w:val="6"/>
        </w:numPr>
        <w:tabs>
          <w:tab w:val="clear" w:pos="432"/>
          <w:tab w:val="left" w:pos="936"/>
        </w:tabs>
        <w:spacing w:before="136" w:after="570" w:line="206" w:lineRule="exact"/>
        <w:ind w:left="936" w:right="360" w:hanging="432"/>
        <w:textAlignment w:val="baseline"/>
        <w:rPr>
          <w:rFonts w:ascii="Arial" w:eastAsia="Arial" w:hAnsi="Arial"/>
          <w:color w:val="000000"/>
          <w:sz w:val="18"/>
        </w:rPr>
      </w:pPr>
      <w:r>
        <w:rPr>
          <w:rFonts w:ascii="Arial" w:eastAsia="Arial" w:hAnsi="Arial"/>
          <w:color w:val="000000"/>
          <w:sz w:val="18"/>
        </w:rPr>
        <w:t>Thorou</w:t>
      </w:r>
      <w:r>
        <w:rPr>
          <w:rFonts w:ascii="Arial" w:eastAsia="Arial" w:hAnsi="Arial"/>
          <w:color w:val="000000"/>
          <w:sz w:val="18"/>
        </w:rPr>
        <w:t>gh documentation of decision making processes. Program documentation, particularly application and payment claim assessments, were continuously improved to ensure documents were stand-alone, easily locatable records. This format was important for demonstra</w:t>
      </w:r>
      <w:r>
        <w:rPr>
          <w:rFonts w:ascii="Arial" w:eastAsia="Arial" w:hAnsi="Arial"/>
          <w:color w:val="000000"/>
          <w:sz w:val="18"/>
        </w:rPr>
        <w:t>ting the decision making process with transparency.</w:t>
      </w:r>
    </w:p>
    <w:p w14:paraId="0DB5D1F0" w14:textId="77777777" w:rsidR="00D8670B" w:rsidRDefault="009B37A9">
      <w:pPr>
        <w:shd w:val="solid" w:color="CCEAEB" w:fill="CCEAEB"/>
        <w:spacing w:after="114" w:line="205" w:lineRule="exact"/>
        <w:ind w:left="144"/>
        <w:textAlignment w:val="baseline"/>
        <w:rPr>
          <w:rFonts w:ascii="Arial" w:eastAsia="Arial" w:hAnsi="Arial"/>
          <w:b/>
          <w:color w:val="205457"/>
          <w:spacing w:val="-1"/>
          <w:sz w:val="18"/>
        </w:rPr>
      </w:pPr>
      <w:r>
        <w:rPr>
          <w:rFonts w:ascii="Arial" w:eastAsia="Arial" w:hAnsi="Arial"/>
          <w:b/>
          <w:color w:val="205457"/>
          <w:spacing w:val="-1"/>
          <w:sz w:val="18"/>
        </w:rPr>
        <w:t>Program team</w:t>
      </w:r>
    </w:p>
    <w:tbl>
      <w:tblPr>
        <w:tblW w:w="0" w:type="auto"/>
        <w:tblLayout w:type="fixed"/>
        <w:tblCellMar>
          <w:left w:w="0" w:type="dxa"/>
          <w:right w:w="0" w:type="dxa"/>
        </w:tblCellMar>
        <w:tblLook w:val="0000" w:firstRow="0" w:lastRow="0" w:firstColumn="0" w:lastColumn="0" w:noHBand="0" w:noVBand="0"/>
      </w:tblPr>
      <w:tblGrid>
        <w:gridCol w:w="10339"/>
      </w:tblGrid>
      <w:tr w:rsidR="00D8670B" w14:paraId="4C3AF0AB" w14:textId="77777777">
        <w:tblPrEx>
          <w:tblCellMar>
            <w:top w:w="0" w:type="dxa"/>
            <w:bottom w:w="0" w:type="dxa"/>
          </w:tblCellMar>
        </w:tblPrEx>
        <w:trPr>
          <w:trHeight w:hRule="exact" w:val="4584"/>
        </w:trPr>
        <w:tc>
          <w:tcPr>
            <w:tcW w:w="10339" w:type="dxa"/>
            <w:tcBorders>
              <w:top w:val="none" w:sz="0" w:space="0" w:color="000000"/>
              <w:left w:val="none" w:sz="0" w:space="0" w:color="000000"/>
              <w:bottom w:val="none" w:sz="0" w:space="0" w:color="000000"/>
              <w:right w:val="none" w:sz="0" w:space="0" w:color="000000"/>
            </w:tcBorders>
            <w:shd w:val="clear" w:color="E7F5F5" w:fill="E7F5F5"/>
          </w:tcPr>
          <w:p w14:paraId="1343A1DB" w14:textId="77777777" w:rsidR="00D8670B" w:rsidRDefault="009B37A9">
            <w:pPr>
              <w:numPr>
                <w:ilvl w:val="0"/>
                <w:numId w:val="6"/>
              </w:numPr>
              <w:tabs>
                <w:tab w:val="clear" w:pos="432"/>
                <w:tab w:val="left" w:pos="936"/>
              </w:tabs>
              <w:spacing w:before="142" w:line="206" w:lineRule="exact"/>
              <w:ind w:left="936" w:right="216" w:hanging="432"/>
              <w:textAlignment w:val="baseline"/>
              <w:rPr>
                <w:rFonts w:ascii="Arial" w:eastAsia="Arial" w:hAnsi="Arial"/>
                <w:color w:val="000000"/>
                <w:sz w:val="18"/>
              </w:rPr>
            </w:pPr>
            <w:r>
              <w:rPr>
                <w:rFonts w:ascii="Arial" w:eastAsia="Arial" w:hAnsi="Arial"/>
                <w:color w:val="000000"/>
                <w:sz w:val="18"/>
              </w:rPr>
              <w:t xml:space="preserve">Case management approach. The team clearly designated a case manager and a back-up case manager for each project. This approach established a single point of contact between the irrigator and the program team, and helped develop detailed knowledge of each </w:t>
            </w:r>
            <w:r>
              <w:rPr>
                <w:rFonts w:ascii="Arial" w:eastAsia="Arial" w:hAnsi="Arial"/>
                <w:color w:val="000000"/>
                <w:sz w:val="18"/>
              </w:rPr>
              <w:t>project and manage expectations for each irrigator. The approach was resource intensive and ten active projects was considered an optimal load per case manager.</w:t>
            </w:r>
          </w:p>
          <w:p w14:paraId="24A514D8" w14:textId="77777777" w:rsidR="00D8670B" w:rsidRDefault="009B37A9">
            <w:pPr>
              <w:numPr>
                <w:ilvl w:val="0"/>
                <w:numId w:val="6"/>
              </w:numPr>
              <w:tabs>
                <w:tab w:val="clear" w:pos="432"/>
                <w:tab w:val="left" w:pos="936"/>
              </w:tabs>
              <w:spacing w:before="135" w:line="206" w:lineRule="exact"/>
              <w:ind w:left="936" w:right="432" w:hanging="432"/>
              <w:textAlignment w:val="baseline"/>
              <w:rPr>
                <w:rFonts w:ascii="Arial" w:eastAsia="Arial" w:hAnsi="Arial"/>
                <w:color w:val="000000"/>
                <w:sz w:val="18"/>
              </w:rPr>
            </w:pPr>
            <w:r>
              <w:rPr>
                <w:rFonts w:ascii="Arial" w:eastAsia="Arial" w:hAnsi="Arial"/>
                <w:color w:val="000000"/>
                <w:sz w:val="18"/>
              </w:rPr>
              <w:t>Capacity to deliver program. Maintaining the capacity to deliver the program could be challengi</w:t>
            </w:r>
            <w:r>
              <w:rPr>
                <w:rFonts w:ascii="Arial" w:eastAsia="Arial" w:hAnsi="Arial"/>
                <w:color w:val="000000"/>
                <w:sz w:val="18"/>
              </w:rPr>
              <w:t>ng, particularly in a small team. The team’s case management and back-up approach helped share knowledge within the team and ensure continuity. The team also sourced external specialist input where additional expertise was required.</w:t>
            </w:r>
          </w:p>
          <w:p w14:paraId="6C1D647A" w14:textId="77777777" w:rsidR="00D8670B" w:rsidRDefault="009B37A9">
            <w:pPr>
              <w:numPr>
                <w:ilvl w:val="0"/>
                <w:numId w:val="6"/>
              </w:numPr>
              <w:tabs>
                <w:tab w:val="clear" w:pos="432"/>
                <w:tab w:val="left" w:pos="936"/>
              </w:tabs>
              <w:spacing w:before="136" w:line="206" w:lineRule="exact"/>
              <w:ind w:left="936" w:right="288" w:hanging="432"/>
              <w:jc w:val="both"/>
              <w:textAlignment w:val="baseline"/>
              <w:rPr>
                <w:rFonts w:ascii="Arial" w:eastAsia="Arial" w:hAnsi="Arial"/>
                <w:color w:val="000000"/>
                <w:sz w:val="18"/>
              </w:rPr>
            </w:pPr>
            <w:r>
              <w:rPr>
                <w:rFonts w:ascii="Arial" w:eastAsia="Arial" w:hAnsi="Arial"/>
                <w:color w:val="000000"/>
                <w:sz w:val="18"/>
              </w:rPr>
              <w:t>Compliance and auditing</w:t>
            </w:r>
            <w:r>
              <w:rPr>
                <w:rFonts w:ascii="Arial" w:eastAsia="Arial" w:hAnsi="Arial"/>
                <w:color w:val="000000"/>
                <w:sz w:val="18"/>
              </w:rPr>
              <w:t xml:space="preserve"> capability. Later program work required a level of compliance and auditing capacity which was not a main focus earlier in the program. As the program was originally staffed with a focus on engagement and promotion, the program team sought external input t</w:t>
            </w:r>
            <w:r>
              <w:rPr>
                <w:rFonts w:ascii="Arial" w:eastAsia="Arial" w:hAnsi="Arial"/>
                <w:color w:val="000000"/>
                <w:sz w:val="18"/>
              </w:rPr>
              <w:t>o build this capability. Future programs may consider including compliance and auditing skills in the initial project planning, activities and staffing mix.</w:t>
            </w:r>
          </w:p>
          <w:p w14:paraId="3EA49D7F" w14:textId="77777777" w:rsidR="00D8670B" w:rsidRDefault="009B37A9">
            <w:pPr>
              <w:numPr>
                <w:ilvl w:val="0"/>
                <w:numId w:val="6"/>
              </w:numPr>
              <w:tabs>
                <w:tab w:val="clear" w:pos="432"/>
                <w:tab w:val="left" w:pos="936"/>
              </w:tabs>
              <w:spacing w:before="143" w:after="104" w:line="206" w:lineRule="exact"/>
              <w:ind w:left="936" w:right="216" w:hanging="432"/>
              <w:textAlignment w:val="baseline"/>
              <w:rPr>
                <w:rFonts w:ascii="Arial" w:eastAsia="Arial" w:hAnsi="Arial"/>
                <w:color w:val="000000"/>
                <w:sz w:val="18"/>
              </w:rPr>
            </w:pPr>
            <w:r>
              <w:rPr>
                <w:rFonts w:ascii="Arial" w:eastAsia="Arial" w:hAnsi="Arial"/>
                <w:color w:val="000000"/>
                <w:sz w:val="18"/>
              </w:rPr>
              <w:t>Program team funding requirement. The Queensland Government aimed to keep program overheads at a mi</w:t>
            </w:r>
            <w:r>
              <w:rPr>
                <w:rFonts w:ascii="Arial" w:eastAsia="Arial" w:hAnsi="Arial"/>
                <w:color w:val="000000"/>
                <w:sz w:val="18"/>
              </w:rPr>
              <w:t>nimum including regularly reviewing and reducing the complementary measures funding requirement. This streamlining was particularly important as the Queensland Government’s program management costs were added to irrigators’ funding requests when calculatin</w:t>
            </w:r>
            <w:r>
              <w:rPr>
                <w:rFonts w:ascii="Arial" w:eastAsia="Arial" w:hAnsi="Arial"/>
                <w:color w:val="000000"/>
                <w:sz w:val="18"/>
              </w:rPr>
              <w:t xml:space="preserve">g the value for money criterion. For instance, Phase 2 overheads represented approximately 6 per cent of total program expenditure. A larger percentage may have made supporting activities such as additional complementary measures projects or more frequent </w:t>
            </w:r>
            <w:r>
              <w:rPr>
                <w:rFonts w:ascii="Arial" w:eastAsia="Arial" w:hAnsi="Arial"/>
                <w:color w:val="000000"/>
                <w:sz w:val="18"/>
              </w:rPr>
              <w:t>audits possible. Future programs may benefit from identifying the resources required to administer the program proportionate to the funds being distributed during program development and maintaining these throughout program delivery.</w:t>
            </w:r>
          </w:p>
        </w:tc>
      </w:tr>
    </w:tbl>
    <w:p w14:paraId="0C2FC0AB" w14:textId="77777777" w:rsidR="00D8670B" w:rsidRDefault="00D8670B">
      <w:pPr>
        <w:spacing w:after="446" w:line="20" w:lineRule="exact"/>
      </w:pPr>
    </w:p>
    <w:p w14:paraId="1EFF0CDB" w14:textId="77777777" w:rsidR="00D8670B" w:rsidRDefault="009B37A9">
      <w:pPr>
        <w:shd w:val="solid" w:color="CFE8D0" w:fill="CFE8D0"/>
        <w:spacing w:after="99" w:line="205" w:lineRule="exact"/>
        <w:ind w:left="144"/>
        <w:textAlignment w:val="baseline"/>
        <w:rPr>
          <w:rFonts w:ascii="Arial" w:eastAsia="Arial" w:hAnsi="Arial"/>
          <w:b/>
          <w:color w:val="275028"/>
          <w:sz w:val="18"/>
        </w:rPr>
      </w:pPr>
      <w:r>
        <w:rPr>
          <w:rFonts w:ascii="Arial" w:eastAsia="Arial" w:hAnsi="Arial"/>
          <w:b/>
          <w:color w:val="275028"/>
          <w:sz w:val="18"/>
        </w:rPr>
        <w:t>Eligibility</w:t>
      </w:r>
    </w:p>
    <w:tbl>
      <w:tblPr>
        <w:tblW w:w="0" w:type="auto"/>
        <w:tblLayout w:type="fixed"/>
        <w:tblCellMar>
          <w:left w:w="0" w:type="dxa"/>
          <w:right w:w="0" w:type="dxa"/>
        </w:tblCellMar>
        <w:tblLook w:val="0000" w:firstRow="0" w:lastRow="0" w:firstColumn="0" w:lastColumn="0" w:noHBand="0" w:noVBand="0"/>
      </w:tblPr>
      <w:tblGrid>
        <w:gridCol w:w="10339"/>
      </w:tblGrid>
      <w:tr w:rsidR="00D8670B" w14:paraId="62BEF356" w14:textId="77777777">
        <w:tblPrEx>
          <w:tblCellMar>
            <w:top w:w="0" w:type="dxa"/>
            <w:bottom w:w="0" w:type="dxa"/>
          </w:tblCellMar>
        </w:tblPrEx>
        <w:trPr>
          <w:trHeight w:hRule="exact" w:val="2045"/>
        </w:trPr>
        <w:tc>
          <w:tcPr>
            <w:tcW w:w="10339" w:type="dxa"/>
            <w:tcBorders>
              <w:top w:val="none" w:sz="0" w:space="0" w:color="000000"/>
              <w:left w:val="none" w:sz="0" w:space="0" w:color="000000"/>
              <w:bottom w:val="none" w:sz="0" w:space="0" w:color="000000"/>
              <w:right w:val="none" w:sz="0" w:space="0" w:color="000000"/>
            </w:tcBorders>
            <w:shd w:val="clear" w:color="E8F4E9" w:fill="E8F4E9"/>
          </w:tcPr>
          <w:p w14:paraId="399CF1E5" w14:textId="77777777" w:rsidR="00D8670B" w:rsidRDefault="009B37A9">
            <w:pPr>
              <w:numPr>
                <w:ilvl w:val="0"/>
                <w:numId w:val="6"/>
              </w:numPr>
              <w:tabs>
                <w:tab w:val="clear" w:pos="432"/>
                <w:tab w:val="left" w:pos="936"/>
              </w:tabs>
              <w:spacing w:before="146" w:line="206" w:lineRule="exact"/>
              <w:ind w:left="936" w:right="216" w:hanging="432"/>
              <w:textAlignment w:val="baseline"/>
              <w:rPr>
                <w:rFonts w:ascii="Arial" w:eastAsia="Arial" w:hAnsi="Arial"/>
                <w:color w:val="000000"/>
                <w:sz w:val="18"/>
              </w:rPr>
            </w:pPr>
            <w:r>
              <w:rPr>
                <w:rFonts w:ascii="Arial" w:eastAsia="Arial" w:hAnsi="Arial"/>
                <w:color w:val="000000"/>
                <w:sz w:val="18"/>
              </w:rPr>
              <w:t>Responsive eligibility criteria. Adapting eligibility criteria to meet irrigator demand helped maintain participation in the program. Changes to eligibility criteria included new catchments and water products, reconfiguration projects and dislo</w:t>
            </w:r>
            <w:r>
              <w:rPr>
                <w:rFonts w:ascii="Arial" w:eastAsia="Arial" w:hAnsi="Arial"/>
                <w:color w:val="000000"/>
                <w:sz w:val="18"/>
              </w:rPr>
              <w:t>cated water. These changes helped keep the program relevant and responsive to irrigators’ needs.</w:t>
            </w:r>
          </w:p>
          <w:p w14:paraId="54F8AAD8" w14:textId="77777777" w:rsidR="00D8670B" w:rsidRDefault="009B37A9">
            <w:pPr>
              <w:numPr>
                <w:ilvl w:val="0"/>
                <w:numId w:val="6"/>
              </w:numPr>
              <w:tabs>
                <w:tab w:val="clear" w:pos="432"/>
                <w:tab w:val="left" w:pos="936"/>
              </w:tabs>
              <w:spacing w:before="137" w:after="114" w:line="206" w:lineRule="exact"/>
              <w:ind w:left="936" w:right="288" w:hanging="432"/>
              <w:textAlignment w:val="baseline"/>
              <w:rPr>
                <w:rFonts w:ascii="Arial" w:eastAsia="Arial" w:hAnsi="Arial"/>
                <w:color w:val="000000"/>
                <w:sz w:val="18"/>
              </w:rPr>
            </w:pPr>
            <w:r>
              <w:rPr>
                <w:rFonts w:ascii="Arial" w:eastAsia="Arial" w:hAnsi="Arial"/>
                <w:color w:val="000000"/>
                <w:sz w:val="18"/>
              </w:rPr>
              <w:t>Engagement with irrigators and consultants. Early applications were frequently missing supporting information. The program also occasionally received applicati</w:t>
            </w:r>
            <w:r>
              <w:rPr>
                <w:rFonts w:ascii="Arial" w:eastAsia="Arial" w:hAnsi="Arial"/>
                <w:color w:val="000000"/>
                <w:sz w:val="18"/>
              </w:rPr>
              <w:t>ons for ineligible works or water products. Engagement with irrigators and consultants gave the program team the opportunity to explain guidelines and reduce the perceived complexity of the application process. Pre-lodgement information was also an importa</w:t>
            </w:r>
            <w:r>
              <w:rPr>
                <w:rFonts w:ascii="Arial" w:eastAsia="Arial" w:hAnsi="Arial"/>
                <w:color w:val="000000"/>
                <w:sz w:val="18"/>
              </w:rPr>
              <w:t>nt mechanism for clarifying eligibility and saving irrigators time and cost preparing ineligible applications.</w:t>
            </w:r>
          </w:p>
        </w:tc>
      </w:tr>
    </w:tbl>
    <w:p w14:paraId="528A2666" w14:textId="77777777" w:rsidR="00D8670B" w:rsidRDefault="00D8670B">
      <w:pPr>
        <w:spacing w:after="552" w:line="20" w:lineRule="exact"/>
      </w:pPr>
    </w:p>
    <w:p w14:paraId="18EFF012" w14:textId="77777777" w:rsidR="00D8670B" w:rsidRDefault="009B37A9">
      <w:pPr>
        <w:spacing w:before="164" w:line="228" w:lineRule="exact"/>
        <w:ind w:left="72"/>
        <w:jc w:val="center"/>
        <w:textAlignment w:val="baseline"/>
        <w:rPr>
          <w:rFonts w:ascii="Arial" w:eastAsia="Arial" w:hAnsi="Arial"/>
          <w:color w:val="000000"/>
          <w:spacing w:val="41"/>
          <w:sz w:val="20"/>
        </w:rPr>
      </w:pPr>
      <w:r>
        <w:pict w14:anchorId="0E41C848">
          <v:line id="_x0000_s1031" style="position:absolute;left:0;text-align:left;z-index:251725824;mso-position-horizontal-relative:page;mso-position-vertical-relative:page" from="39.25pt,789.1pt" to="556.25pt,789.1pt" strokeweight="1.7pt">
            <w10:wrap anchorx="page" anchory="page"/>
          </v:line>
        </w:pict>
      </w:r>
      <w:r>
        <w:rPr>
          <w:rFonts w:ascii="Arial" w:eastAsia="Arial" w:hAnsi="Arial"/>
          <w:color w:val="000000"/>
          <w:spacing w:val="41"/>
          <w:sz w:val="20"/>
        </w:rPr>
        <w:t>45</w:t>
      </w:r>
    </w:p>
    <w:p w14:paraId="47D9B449" w14:textId="77777777" w:rsidR="00D8670B" w:rsidRDefault="00D8670B">
      <w:pPr>
        <w:sectPr w:rsidR="00D8670B">
          <w:pgSz w:w="11909" w:h="16838"/>
          <w:pgMar w:top="1140" w:right="785" w:bottom="282" w:left="785" w:header="720" w:footer="720" w:gutter="0"/>
          <w:cols w:space="720"/>
        </w:sectPr>
      </w:pPr>
    </w:p>
    <w:p w14:paraId="05E634E2" w14:textId="77777777" w:rsidR="00D8670B" w:rsidRDefault="009B37A9">
      <w:pPr>
        <w:shd w:val="solid" w:color="E3E2CD" w:fill="E3E2CD"/>
        <w:spacing w:after="109" w:line="205" w:lineRule="exact"/>
        <w:ind w:left="144"/>
        <w:textAlignment w:val="baseline"/>
        <w:rPr>
          <w:rFonts w:ascii="Arial" w:eastAsia="Arial" w:hAnsi="Arial"/>
          <w:b/>
          <w:color w:val="403D21"/>
          <w:sz w:val="18"/>
        </w:rPr>
      </w:pPr>
      <w:r>
        <w:rPr>
          <w:rFonts w:ascii="Arial" w:eastAsia="Arial" w:hAnsi="Arial"/>
          <w:b/>
          <w:color w:val="403D21"/>
          <w:sz w:val="18"/>
        </w:rPr>
        <w:lastRenderedPageBreak/>
        <w:t>Project delivery</w:t>
      </w:r>
    </w:p>
    <w:tbl>
      <w:tblPr>
        <w:tblW w:w="0" w:type="auto"/>
        <w:tblLayout w:type="fixed"/>
        <w:tblCellMar>
          <w:left w:w="0" w:type="dxa"/>
          <w:right w:w="0" w:type="dxa"/>
        </w:tblCellMar>
        <w:tblLook w:val="0000" w:firstRow="0" w:lastRow="0" w:firstColumn="0" w:lastColumn="0" w:noHBand="0" w:noVBand="0"/>
      </w:tblPr>
      <w:tblGrid>
        <w:gridCol w:w="10339"/>
      </w:tblGrid>
      <w:tr w:rsidR="00D8670B" w14:paraId="7ED75C68" w14:textId="77777777">
        <w:tblPrEx>
          <w:tblCellMar>
            <w:top w:w="0" w:type="dxa"/>
            <w:bottom w:w="0" w:type="dxa"/>
          </w:tblCellMar>
        </w:tblPrEx>
        <w:trPr>
          <w:trHeight w:hRule="exact" w:val="6375"/>
        </w:trPr>
        <w:tc>
          <w:tcPr>
            <w:tcW w:w="10339" w:type="dxa"/>
            <w:tcBorders>
              <w:top w:val="none" w:sz="0" w:space="0" w:color="000000"/>
              <w:left w:val="none" w:sz="0" w:space="0" w:color="000000"/>
              <w:bottom w:val="none" w:sz="0" w:space="0" w:color="000000"/>
              <w:right w:val="none" w:sz="0" w:space="0" w:color="000000"/>
            </w:tcBorders>
            <w:shd w:val="clear" w:color="F1F0E6" w:fill="F1F0E6"/>
          </w:tcPr>
          <w:p w14:paraId="6B8765D7" w14:textId="77777777" w:rsidR="00D8670B" w:rsidRDefault="009B37A9">
            <w:pPr>
              <w:numPr>
                <w:ilvl w:val="0"/>
                <w:numId w:val="6"/>
              </w:numPr>
              <w:tabs>
                <w:tab w:val="clear" w:pos="432"/>
                <w:tab w:val="left" w:pos="936"/>
              </w:tabs>
              <w:spacing w:before="147" w:line="206" w:lineRule="exact"/>
              <w:ind w:left="936" w:right="288" w:hanging="432"/>
              <w:textAlignment w:val="baseline"/>
              <w:rPr>
                <w:rFonts w:ascii="Arial" w:eastAsia="Arial" w:hAnsi="Arial"/>
                <w:color w:val="000000"/>
                <w:sz w:val="18"/>
              </w:rPr>
            </w:pPr>
            <w:r>
              <w:rPr>
                <w:rFonts w:ascii="Arial" w:eastAsia="Arial" w:hAnsi="Arial"/>
                <w:color w:val="000000"/>
                <w:sz w:val="18"/>
              </w:rPr>
              <w:t>Verification of water savings. One challenge was how to check the achievability of proposed water savings. This issue was particularly relevant for new technologies for which data on water savings was limited. The program sought to develop this data by con</w:t>
            </w:r>
            <w:r>
              <w:rPr>
                <w:rFonts w:ascii="Arial" w:eastAsia="Arial" w:hAnsi="Arial"/>
                <w:color w:val="000000"/>
                <w:sz w:val="18"/>
              </w:rPr>
              <w:t>ducting research into lesser known efficiency measures. Technical assessments of applications also helped determine whether savings were feasible, and gave the Queensland Government the ability to seek further information from irrigators if required.</w:t>
            </w:r>
          </w:p>
          <w:p w14:paraId="445ADB99" w14:textId="77777777" w:rsidR="00D8670B" w:rsidRDefault="009B37A9">
            <w:pPr>
              <w:numPr>
                <w:ilvl w:val="0"/>
                <w:numId w:val="6"/>
              </w:numPr>
              <w:tabs>
                <w:tab w:val="clear" w:pos="432"/>
                <w:tab w:val="left" w:pos="936"/>
              </w:tabs>
              <w:spacing w:before="136" w:line="206" w:lineRule="exact"/>
              <w:ind w:left="936" w:right="144" w:hanging="432"/>
              <w:textAlignment w:val="baseline"/>
              <w:rPr>
                <w:rFonts w:ascii="Arial" w:eastAsia="Arial" w:hAnsi="Arial"/>
                <w:color w:val="000000"/>
                <w:sz w:val="18"/>
              </w:rPr>
            </w:pPr>
            <w:r>
              <w:rPr>
                <w:rFonts w:ascii="Arial" w:eastAsia="Arial" w:hAnsi="Arial"/>
                <w:color w:val="000000"/>
                <w:sz w:val="18"/>
              </w:rPr>
              <w:t>Indus</w:t>
            </w:r>
            <w:r>
              <w:rPr>
                <w:rFonts w:ascii="Arial" w:eastAsia="Arial" w:hAnsi="Arial"/>
                <w:color w:val="000000"/>
                <w:sz w:val="18"/>
              </w:rPr>
              <w:t>try expertise. Projects savings often depended on the level of expertise in installing, commissioning and operating the new technology. Applying appropriate expertise was therefore essential to achieving the estimated water savings. The program provided tr</w:t>
            </w:r>
            <w:r>
              <w:rPr>
                <w:rFonts w:ascii="Arial" w:eastAsia="Arial" w:hAnsi="Arial"/>
                <w:color w:val="000000"/>
                <w:sz w:val="18"/>
              </w:rPr>
              <w:t>aining and information sharing activities to help build industry knowledge and promote best practice. Later commissioning reports were required to include a statement on the achievability of the original estimated savings under the completed project.</w:t>
            </w:r>
          </w:p>
          <w:p w14:paraId="6CA74509" w14:textId="77777777" w:rsidR="00D8670B" w:rsidRDefault="009B37A9">
            <w:pPr>
              <w:numPr>
                <w:ilvl w:val="0"/>
                <w:numId w:val="6"/>
              </w:numPr>
              <w:tabs>
                <w:tab w:val="clear" w:pos="432"/>
                <w:tab w:val="left" w:pos="936"/>
              </w:tabs>
              <w:spacing w:before="138" w:line="206" w:lineRule="exact"/>
              <w:ind w:left="936" w:right="288" w:hanging="432"/>
              <w:textAlignment w:val="baseline"/>
              <w:rPr>
                <w:rFonts w:ascii="Arial" w:eastAsia="Arial" w:hAnsi="Arial"/>
                <w:color w:val="000000"/>
                <w:sz w:val="18"/>
              </w:rPr>
            </w:pPr>
            <w:r>
              <w:rPr>
                <w:rFonts w:ascii="Arial" w:eastAsia="Arial" w:hAnsi="Arial"/>
                <w:color w:val="000000"/>
                <w:sz w:val="18"/>
              </w:rPr>
              <w:t>Proje</w:t>
            </w:r>
            <w:r>
              <w:rPr>
                <w:rFonts w:ascii="Arial" w:eastAsia="Arial" w:hAnsi="Arial"/>
                <w:color w:val="000000"/>
                <w:sz w:val="18"/>
              </w:rPr>
              <w:t>ct flexibility. Projects were dependent on a number of variables such as seasonal and economic conditions. Projects often encountered long lead times from application development to implementation. As a result, it was not feasible for the budget apportionm</w:t>
            </w:r>
            <w:r>
              <w:rPr>
                <w:rFonts w:ascii="Arial" w:eastAsia="Arial" w:hAnsi="Arial"/>
                <w:color w:val="000000"/>
                <w:sz w:val="18"/>
              </w:rPr>
              <w:t>ent, timeframe or individual milestone activities to be overly prescriptive. Variations of around +/-10 per cent between budgeted items were reasonable and in most cases expected. Milestones were originally made up of various items at set levels of complet</w:t>
            </w:r>
            <w:r>
              <w:rPr>
                <w:rFonts w:ascii="Arial" w:eastAsia="Arial" w:hAnsi="Arial"/>
                <w:color w:val="000000"/>
                <w:sz w:val="18"/>
              </w:rPr>
              <w:t xml:space="preserve">ion. This approach however was unsuitable as items were not always completed in the prescribed order. Later milestone tables were amended to reflect a percentage of overall project completion, giving irrigators the flexibility to implement projects in the </w:t>
            </w:r>
            <w:r>
              <w:rPr>
                <w:rFonts w:ascii="Arial" w:eastAsia="Arial" w:hAnsi="Arial"/>
                <w:color w:val="000000"/>
                <w:sz w:val="18"/>
              </w:rPr>
              <w:t>most appropriate order at the time.</w:t>
            </w:r>
          </w:p>
          <w:p w14:paraId="68105CE8" w14:textId="77777777" w:rsidR="00D8670B" w:rsidRDefault="009B37A9">
            <w:pPr>
              <w:numPr>
                <w:ilvl w:val="0"/>
                <w:numId w:val="6"/>
              </w:numPr>
              <w:tabs>
                <w:tab w:val="clear" w:pos="432"/>
                <w:tab w:val="left" w:pos="936"/>
              </w:tabs>
              <w:spacing w:before="136" w:line="206" w:lineRule="exact"/>
              <w:ind w:left="936" w:right="144" w:hanging="432"/>
              <w:textAlignment w:val="baseline"/>
              <w:rPr>
                <w:rFonts w:ascii="Arial" w:eastAsia="Arial" w:hAnsi="Arial"/>
                <w:color w:val="000000"/>
                <w:spacing w:val="-1"/>
                <w:sz w:val="18"/>
              </w:rPr>
            </w:pPr>
            <w:r>
              <w:rPr>
                <w:rFonts w:ascii="Arial" w:eastAsia="Arial" w:hAnsi="Arial"/>
                <w:color w:val="000000"/>
                <w:spacing w:val="-1"/>
                <w:sz w:val="18"/>
              </w:rPr>
              <w:t>Project variations. In another flexibility measure, the Queensland Government enabled irrigators to apply for variations to change project timing or components after receiving funding approval. Variation requests were as</w:t>
            </w:r>
            <w:r>
              <w:rPr>
                <w:rFonts w:ascii="Arial" w:eastAsia="Arial" w:hAnsi="Arial"/>
                <w:color w:val="000000"/>
                <w:spacing w:val="-1"/>
                <w:sz w:val="18"/>
              </w:rPr>
              <w:t>sessed against the original application criteria to ensure irrigators were still able to meet the original water savings and program outcomes. Variations however ensured projects could be adapted to meet irrigators’ needs, particularly in instances where f</w:t>
            </w:r>
            <w:r>
              <w:rPr>
                <w:rFonts w:ascii="Arial" w:eastAsia="Arial" w:hAnsi="Arial"/>
                <w:color w:val="000000"/>
                <w:spacing w:val="-1"/>
                <w:sz w:val="18"/>
              </w:rPr>
              <w:t>urther planning determined another project to be more suitable than the original application.</w:t>
            </w:r>
          </w:p>
          <w:p w14:paraId="56C92D30" w14:textId="77777777" w:rsidR="00D8670B" w:rsidRDefault="009B37A9">
            <w:pPr>
              <w:numPr>
                <w:ilvl w:val="0"/>
                <w:numId w:val="6"/>
              </w:numPr>
              <w:tabs>
                <w:tab w:val="clear" w:pos="432"/>
                <w:tab w:val="left" w:pos="936"/>
              </w:tabs>
              <w:spacing w:before="136" w:after="114" w:line="206" w:lineRule="exact"/>
              <w:ind w:left="936" w:right="432" w:hanging="432"/>
              <w:textAlignment w:val="baseline"/>
              <w:rPr>
                <w:rFonts w:ascii="Arial" w:eastAsia="Arial" w:hAnsi="Arial"/>
                <w:color w:val="000000"/>
                <w:sz w:val="18"/>
              </w:rPr>
            </w:pPr>
            <w:r>
              <w:rPr>
                <w:rFonts w:ascii="Arial" w:eastAsia="Arial" w:hAnsi="Arial"/>
                <w:color w:val="000000"/>
                <w:sz w:val="18"/>
              </w:rPr>
              <w:t>Cash flow. A number of irrigators obtained loans to cover their project overlay. Early in the program, irrigators expressed concerns about their ability to secure</w:t>
            </w:r>
            <w:r>
              <w:rPr>
                <w:rFonts w:ascii="Arial" w:eastAsia="Arial" w:hAnsi="Arial"/>
                <w:color w:val="000000"/>
                <w:sz w:val="18"/>
              </w:rPr>
              <w:t xml:space="preserve"> loans. This issue was not however recurring, possibly due to the first milestone payment reducing some of this cash flow pressure or because irrigators only chose to participate where they could finance their projects.</w:t>
            </w:r>
          </w:p>
        </w:tc>
      </w:tr>
    </w:tbl>
    <w:p w14:paraId="2700F70C" w14:textId="77777777" w:rsidR="00D8670B" w:rsidRDefault="00D8670B">
      <w:pPr>
        <w:spacing w:after="445" w:line="20" w:lineRule="exact"/>
      </w:pPr>
    </w:p>
    <w:p w14:paraId="6B12452C" w14:textId="77777777" w:rsidR="00D8670B" w:rsidRDefault="009B37A9">
      <w:pPr>
        <w:shd w:val="solid" w:color="EBD9CA" w:fill="EBD9CA"/>
        <w:spacing w:after="110" w:line="205" w:lineRule="exact"/>
        <w:ind w:left="144"/>
        <w:textAlignment w:val="baseline"/>
        <w:rPr>
          <w:rFonts w:ascii="Arial" w:eastAsia="Arial" w:hAnsi="Arial"/>
          <w:b/>
          <w:color w:val="50351F"/>
          <w:sz w:val="18"/>
        </w:rPr>
      </w:pPr>
      <w:r>
        <w:rPr>
          <w:rFonts w:ascii="Arial" w:eastAsia="Arial" w:hAnsi="Arial"/>
          <w:b/>
          <w:color w:val="50351F"/>
          <w:sz w:val="18"/>
        </w:rPr>
        <w:t>Expenditure assessment</w:t>
      </w:r>
    </w:p>
    <w:tbl>
      <w:tblPr>
        <w:tblW w:w="0" w:type="auto"/>
        <w:tblLayout w:type="fixed"/>
        <w:tblCellMar>
          <w:left w:w="0" w:type="dxa"/>
          <w:right w:w="0" w:type="dxa"/>
        </w:tblCellMar>
        <w:tblLook w:val="0000" w:firstRow="0" w:lastRow="0" w:firstColumn="0" w:lastColumn="0" w:noHBand="0" w:noVBand="0"/>
      </w:tblPr>
      <w:tblGrid>
        <w:gridCol w:w="10339"/>
      </w:tblGrid>
      <w:tr w:rsidR="00D8670B" w14:paraId="3B05A649" w14:textId="77777777">
        <w:tblPrEx>
          <w:tblCellMar>
            <w:top w:w="0" w:type="dxa"/>
            <w:bottom w:w="0" w:type="dxa"/>
          </w:tblCellMar>
        </w:tblPrEx>
        <w:trPr>
          <w:trHeight w:hRule="exact" w:val="5620"/>
        </w:trPr>
        <w:tc>
          <w:tcPr>
            <w:tcW w:w="10339" w:type="dxa"/>
            <w:tcBorders>
              <w:top w:val="none" w:sz="0" w:space="0" w:color="000000"/>
              <w:left w:val="none" w:sz="0" w:space="0" w:color="000000"/>
              <w:bottom w:val="none" w:sz="0" w:space="0" w:color="000000"/>
              <w:right w:val="none" w:sz="0" w:space="0" w:color="000000"/>
            </w:tcBorders>
            <w:shd w:val="clear" w:color="F7EEE9" w:fill="F7EEE9"/>
          </w:tcPr>
          <w:p w14:paraId="36F4A391" w14:textId="77777777" w:rsidR="00D8670B" w:rsidRDefault="009B37A9">
            <w:pPr>
              <w:numPr>
                <w:ilvl w:val="0"/>
                <w:numId w:val="6"/>
              </w:numPr>
              <w:tabs>
                <w:tab w:val="clear" w:pos="432"/>
                <w:tab w:val="left" w:pos="936"/>
              </w:tabs>
              <w:spacing w:before="147" w:line="206" w:lineRule="exact"/>
              <w:ind w:left="936" w:right="216" w:hanging="432"/>
              <w:textAlignment w:val="baseline"/>
              <w:rPr>
                <w:rFonts w:ascii="Arial" w:eastAsia="Arial" w:hAnsi="Arial"/>
                <w:color w:val="000000"/>
                <w:sz w:val="18"/>
              </w:rPr>
            </w:pPr>
            <w:r>
              <w:rPr>
                <w:rFonts w:ascii="Arial" w:eastAsia="Arial" w:hAnsi="Arial"/>
                <w:color w:val="000000"/>
                <w:sz w:val="18"/>
              </w:rPr>
              <w:t>Expenditure outside project scope. The Queensland Government monitored budgeted costs and expenditure claimed to ensure items were within the project scope and eligibility criteria. For instance, capital items with a value and purpose outside the HHWUE pro</w:t>
            </w:r>
            <w:r>
              <w:rPr>
                <w:rFonts w:ascii="Arial" w:eastAsia="Arial" w:hAnsi="Arial"/>
                <w:color w:val="000000"/>
                <w:sz w:val="18"/>
              </w:rPr>
              <w:t>ject (e.g. earthmoving equipment) were considered ineligible and the application guidelines were updated early in the program to make this distinction clear. Additionally, the Queensland Government checked expenditure items for relationship to the project.</w:t>
            </w:r>
            <w:r>
              <w:rPr>
                <w:rFonts w:ascii="Arial" w:eastAsia="Arial" w:hAnsi="Arial"/>
                <w:color w:val="000000"/>
                <w:sz w:val="18"/>
              </w:rPr>
              <w:t xml:space="preserve"> A further mechanism could be requiring irrigators to inform the Queensland Government of any non-project works occurring on their enterprises in the same timeframe as the funded project.</w:t>
            </w:r>
          </w:p>
          <w:p w14:paraId="6233D1CF" w14:textId="77777777" w:rsidR="00D8670B" w:rsidRDefault="009B37A9">
            <w:pPr>
              <w:numPr>
                <w:ilvl w:val="0"/>
                <w:numId w:val="6"/>
              </w:numPr>
              <w:tabs>
                <w:tab w:val="clear" w:pos="432"/>
                <w:tab w:val="left" w:pos="936"/>
              </w:tabs>
              <w:spacing w:before="137" w:line="206" w:lineRule="exact"/>
              <w:ind w:left="936" w:right="504" w:hanging="432"/>
              <w:textAlignment w:val="baseline"/>
              <w:rPr>
                <w:rFonts w:ascii="Arial" w:eastAsia="Arial" w:hAnsi="Arial"/>
                <w:color w:val="000000"/>
                <w:sz w:val="18"/>
              </w:rPr>
            </w:pPr>
            <w:r>
              <w:rPr>
                <w:rFonts w:ascii="Arial" w:eastAsia="Arial" w:hAnsi="Arial"/>
                <w:color w:val="000000"/>
                <w:sz w:val="18"/>
              </w:rPr>
              <w:t>Invoice format. Later program reviews identified improvements to the</w:t>
            </w:r>
            <w:r>
              <w:rPr>
                <w:rFonts w:ascii="Arial" w:eastAsia="Arial" w:hAnsi="Arial"/>
                <w:color w:val="000000"/>
                <w:sz w:val="18"/>
              </w:rPr>
              <w:t xml:space="preserve"> accepted invoice format including requiring line items to be fully described, presenting invoices on Australian standard templates, and eliminating most handmade notations. The Queensland Government partially implemented these recommendations. Where the n</w:t>
            </w:r>
            <w:r>
              <w:rPr>
                <w:rFonts w:ascii="Arial" w:eastAsia="Arial" w:hAnsi="Arial"/>
                <w:color w:val="000000"/>
                <w:sz w:val="18"/>
              </w:rPr>
              <w:t>ature of work was unclear from invoice descriptions, the Queensland Government sought clarification in writing from suppliers. Any notations made by the program team were initialled and dated. In most cases, invoices presented met Australian standards.</w:t>
            </w:r>
          </w:p>
          <w:p w14:paraId="7904CDC2" w14:textId="77777777" w:rsidR="00D8670B" w:rsidRDefault="009B37A9">
            <w:pPr>
              <w:numPr>
                <w:ilvl w:val="0"/>
                <w:numId w:val="6"/>
              </w:numPr>
              <w:tabs>
                <w:tab w:val="clear" w:pos="432"/>
                <w:tab w:val="left" w:pos="936"/>
              </w:tabs>
              <w:spacing w:before="136" w:line="206" w:lineRule="exact"/>
              <w:ind w:left="936" w:right="288" w:hanging="432"/>
              <w:textAlignment w:val="baseline"/>
              <w:rPr>
                <w:rFonts w:ascii="Arial" w:eastAsia="Arial" w:hAnsi="Arial"/>
                <w:color w:val="000000"/>
                <w:sz w:val="18"/>
              </w:rPr>
            </w:pPr>
            <w:r>
              <w:rPr>
                <w:rFonts w:ascii="Arial" w:eastAsia="Arial" w:hAnsi="Arial"/>
                <w:color w:val="000000"/>
                <w:sz w:val="18"/>
              </w:rPr>
              <w:t>Sto</w:t>
            </w:r>
            <w:r>
              <w:rPr>
                <w:rFonts w:ascii="Arial" w:eastAsia="Arial" w:hAnsi="Arial"/>
                <w:color w:val="000000"/>
                <w:sz w:val="18"/>
              </w:rPr>
              <w:t>ck-on-hand. Demonstrating the value of stock-on-hand presented challenges, particularly as this stock often did not have accompanying evidence of expenditure. Acceptable secondary evidence of value was usually a quote or valuation for a comparable product.</w:t>
            </w:r>
          </w:p>
          <w:p w14:paraId="48568A54" w14:textId="77777777" w:rsidR="00D8670B" w:rsidRDefault="009B37A9">
            <w:pPr>
              <w:numPr>
                <w:ilvl w:val="0"/>
                <w:numId w:val="6"/>
              </w:numPr>
              <w:tabs>
                <w:tab w:val="clear" w:pos="432"/>
                <w:tab w:val="left" w:pos="936"/>
              </w:tabs>
              <w:spacing w:before="137" w:after="105" w:line="206" w:lineRule="exact"/>
              <w:ind w:left="936" w:right="144" w:hanging="432"/>
              <w:textAlignment w:val="baseline"/>
              <w:rPr>
                <w:rFonts w:ascii="Arial" w:eastAsia="Arial" w:hAnsi="Arial"/>
                <w:color w:val="000000"/>
                <w:sz w:val="18"/>
              </w:rPr>
            </w:pPr>
            <w:r>
              <w:rPr>
                <w:rFonts w:ascii="Arial" w:eastAsia="Arial" w:hAnsi="Arial"/>
                <w:color w:val="000000"/>
                <w:sz w:val="18"/>
              </w:rPr>
              <w:t>Supplier and contractor cross checking. The Queensland Government considered a number of measures for cross checking evidence of expenditure provided by irrigators with suppliers and contractors. Measures included random cross checking of invoices, receivi</w:t>
            </w:r>
            <w:r>
              <w:rPr>
                <w:rFonts w:ascii="Arial" w:eastAsia="Arial" w:hAnsi="Arial"/>
                <w:color w:val="000000"/>
                <w:sz w:val="18"/>
              </w:rPr>
              <w:t>ng evidence directly from suppliers (rather than via irrigators) and requiring use of earthmoving contractors able to provide GPS tracking data or logbooks, particularly for levelling. Ultimately, the Queensland Government determined most of these measures</w:t>
            </w:r>
            <w:r>
              <w:rPr>
                <w:rFonts w:ascii="Arial" w:eastAsia="Arial" w:hAnsi="Arial"/>
                <w:color w:val="000000"/>
                <w:sz w:val="18"/>
              </w:rPr>
              <w:t xml:space="preserve"> would require a separate contract with each supplier. Information requested from third parties under existing irrigator contracts was provided on a goodwill basis. The Queensland Government was however able to obtain additional information including writt</w:t>
            </w:r>
            <w:r>
              <w:rPr>
                <w:rFonts w:ascii="Arial" w:eastAsia="Arial" w:hAnsi="Arial"/>
                <w:color w:val="000000"/>
                <w:sz w:val="18"/>
              </w:rPr>
              <w:t>en explanatory statements from suppliers on this basis.</w:t>
            </w:r>
          </w:p>
        </w:tc>
      </w:tr>
    </w:tbl>
    <w:p w14:paraId="62C91C54" w14:textId="77777777" w:rsidR="00D8670B" w:rsidRDefault="00D8670B">
      <w:pPr>
        <w:spacing w:after="1258" w:line="20" w:lineRule="exact"/>
      </w:pPr>
    </w:p>
    <w:p w14:paraId="5850AC3D" w14:textId="77777777" w:rsidR="00D8670B" w:rsidRDefault="009B37A9">
      <w:pPr>
        <w:spacing w:before="165" w:line="227" w:lineRule="exact"/>
        <w:jc w:val="center"/>
        <w:textAlignment w:val="baseline"/>
        <w:rPr>
          <w:rFonts w:ascii="Arial" w:eastAsia="Arial" w:hAnsi="Arial"/>
          <w:color w:val="000000"/>
          <w:spacing w:val="41"/>
          <w:sz w:val="20"/>
        </w:rPr>
      </w:pPr>
      <w:r>
        <w:pict w14:anchorId="0CAD3AC4">
          <v:line id="_x0000_s1030" style="position:absolute;left:0;text-align:left;z-index:251726848;mso-position-horizontal-relative:page;mso-position-vertical-relative:page" from="39.25pt,789.1pt" to="556.25pt,789.1pt" strokeweight="1.7pt">
            <w10:wrap anchorx="page" anchory="page"/>
          </v:line>
        </w:pict>
      </w:r>
      <w:r>
        <w:rPr>
          <w:rFonts w:ascii="Arial" w:eastAsia="Arial" w:hAnsi="Arial"/>
          <w:color w:val="000000"/>
          <w:spacing w:val="41"/>
          <w:sz w:val="20"/>
        </w:rPr>
        <w:t>46</w:t>
      </w:r>
    </w:p>
    <w:p w14:paraId="29EC8551" w14:textId="77777777" w:rsidR="00D8670B" w:rsidRDefault="00D8670B">
      <w:pPr>
        <w:sectPr w:rsidR="00D8670B">
          <w:pgSz w:w="11909" w:h="16838"/>
          <w:pgMar w:top="1120" w:right="785" w:bottom="282" w:left="785" w:header="720" w:footer="720" w:gutter="0"/>
          <w:cols w:space="720"/>
        </w:sectPr>
      </w:pPr>
    </w:p>
    <w:p w14:paraId="71C33024" w14:textId="77777777" w:rsidR="00D8670B" w:rsidRDefault="009B37A9">
      <w:pPr>
        <w:shd w:val="solid" w:color="DDDDE0" w:fill="DDDDE0"/>
        <w:spacing w:after="109" w:line="205" w:lineRule="exact"/>
        <w:ind w:left="144"/>
        <w:textAlignment w:val="baseline"/>
        <w:rPr>
          <w:rFonts w:ascii="Arial" w:eastAsia="Arial" w:hAnsi="Arial"/>
          <w:b/>
          <w:color w:val="45444B"/>
          <w:sz w:val="18"/>
        </w:rPr>
      </w:pPr>
      <w:r>
        <w:rPr>
          <w:rFonts w:ascii="Arial" w:eastAsia="Arial" w:hAnsi="Arial"/>
          <w:b/>
          <w:color w:val="45444B"/>
          <w:sz w:val="18"/>
        </w:rPr>
        <w:lastRenderedPageBreak/>
        <w:t>Compliance</w:t>
      </w:r>
    </w:p>
    <w:tbl>
      <w:tblPr>
        <w:tblW w:w="0" w:type="auto"/>
        <w:tblLayout w:type="fixed"/>
        <w:tblCellMar>
          <w:left w:w="0" w:type="dxa"/>
          <w:right w:w="0" w:type="dxa"/>
        </w:tblCellMar>
        <w:tblLook w:val="0000" w:firstRow="0" w:lastRow="0" w:firstColumn="0" w:lastColumn="0" w:noHBand="0" w:noVBand="0"/>
      </w:tblPr>
      <w:tblGrid>
        <w:gridCol w:w="10339"/>
      </w:tblGrid>
      <w:tr w:rsidR="00D8670B" w14:paraId="62484991" w14:textId="77777777">
        <w:tblPrEx>
          <w:tblCellMar>
            <w:top w:w="0" w:type="dxa"/>
            <w:bottom w:w="0" w:type="dxa"/>
          </w:tblCellMar>
        </w:tblPrEx>
        <w:trPr>
          <w:trHeight w:hRule="exact" w:val="5002"/>
        </w:trPr>
        <w:tc>
          <w:tcPr>
            <w:tcW w:w="10339" w:type="dxa"/>
            <w:tcBorders>
              <w:top w:val="none" w:sz="0" w:space="0" w:color="000000"/>
              <w:left w:val="none" w:sz="0" w:space="0" w:color="000000"/>
              <w:bottom w:val="none" w:sz="0" w:space="0" w:color="000000"/>
              <w:right w:val="none" w:sz="0" w:space="0" w:color="000000"/>
            </w:tcBorders>
            <w:shd w:val="clear" w:color="EEEEF0" w:fill="EEEEF0"/>
          </w:tcPr>
          <w:p w14:paraId="681ACC5D" w14:textId="77777777" w:rsidR="00D8670B" w:rsidRDefault="009B37A9">
            <w:pPr>
              <w:numPr>
                <w:ilvl w:val="0"/>
                <w:numId w:val="6"/>
              </w:numPr>
              <w:tabs>
                <w:tab w:val="clear" w:pos="432"/>
                <w:tab w:val="left" w:pos="936"/>
              </w:tabs>
              <w:spacing w:before="146" w:line="206" w:lineRule="exact"/>
              <w:ind w:left="936" w:right="720" w:hanging="432"/>
              <w:textAlignment w:val="baseline"/>
              <w:rPr>
                <w:rFonts w:ascii="Arial" w:eastAsia="Arial" w:hAnsi="Arial"/>
                <w:color w:val="000000"/>
                <w:sz w:val="18"/>
              </w:rPr>
            </w:pPr>
            <w:r>
              <w:rPr>
                <w:rFonts w:ascii="Arial" w:eastAsia="Arial" w:hAnsi="Arial"/>
                <w:color w:val="000000"/>
                <w:sz w:val="18"/>
              </w:rPr>
              <w:t>Queensland and Australian Government legislation. Under contracts, irrigators were required to comply with Queensland and Australian Government legislation including obt</w:t>
            </w:r>
            <w:r>
              <w:rPr>
                <w:rFonts w:ascii="Arial" w:eastAsia="Arial" w:hAnsi="Arial"/>
                <w:color w:val="000000"/>
                <w:sz w:val="18"/>
              </w:rPr>
              <w:t>aining necessary development permits and complying with the Australian Government Work Health and Safety Accreditation Scheme where applicable. Irrigators submitted compliance plans to the Queensland Government, which identified particular approvals or per</w:t>
            </w:r>
            <w:r>
              <w:rPr>
                <w:rFonts w:ascii="Arial" w:eastAsia="Arial" w:hAnsi="Arial"/>
                <w:color w:val="000000"/>
                <w:sz w:val="18"/>
              </w:rPr>
              <w:t>mits required to undertake their projects. Later in the program, irrigators were required to submit copies of approvals or permits to support their compliance plan.</w:t>
            </w:r>
          </w:p>
          <w:p w14:paraId="671EEC37" w14:textId="77777777" w:rsidR="00D8670B" w:rsidRDefault="009B37A9">
            <w:pPr>
              <w:numPr>
                <w:ilvl w:val="0"/>
                <w:numId w:val="6"/>
              </w:numPr>
              <w:tabs>
                <w:tab w:val="clear" w:pos="432"/>
                <w:tab w:val="left" w:pos="936"/>
              </w:tabs>
              <w:spacing w:before="138" w:line="206" w:lineRule="exact"/>
              <w:ind w:left="936" w:right="360" w:hanging="432"/>
              <w:textAlignment w:val="baseline"/>
              <w:rPr>
                <w:rFonts w:ascii="Arial" w:eastAsia="Arial" w:hAnsi="Arial"/>
                <w:color w:val="000000"/>
                <w:sz w:val="18"/>
              </w:rPr>
            </w:pPr>
            <w:r>
              <w:rPr>
                <w:rFonts w:ascii="Arial" w:eastAsia="Arial" w:hAnsi="Arial"/>
                <w:color w:val="000000"/>
                <w:sz w:val="18"/>
              </w:rPr>
              <w:t>Contractual requirements. Some irrigators seemed unaware of their obligations in relation to reporting, payment claims and other matters after entering into contracts with the Queensland Government. Following adoption of the case management approach howeve</w:t>
            </w:r>
            <w:r>
              <w:rPr>
                <w:rFonts w:ascii="Arial" w:eastAsia="Arial" w:hAnsi="Arial"/>
                <w:color w:val="000000"/>
                <w:sz w:val="18"/>
              </w:rPr>
              <w:t>r, this issue seemed less prevalent as the program team was frequently engaging with irrigators and reinforcing their responsibilities. Additionally, the program team held pre-contractual meetings with irrigators upon application approval to discuss contra</w:t>
            </w:r>
            <w:r>
              <w:rPr>
                <w:rFonts w:ascii="Arial" w:eastAsia="Arial" w:hAnsi="Arial"/>
                <w:color w:val="000000"/>
                <w:sz w:val="18"/>
              </w:rPr>
              <w:t>ctual requirements and the Queensland Government’s compliance expectations.</w:t>
            </w:r>
          </w:p>
          <w:p w14:paraId="2858F16B" w14:textId="77777777" w:rsidR="00D8670B" w:rsidRDefault="009B37A9">
            <w:pPr>
              <w:numPr>
                <w:ilvl w:val="0"/>
                <w:numId w:val="6"/>
              </w:numPr>
              <w:tabs>
                <w:tab w:val="clear" w:pos="432"/>
                <w:tab w:val="left" w:pos="936"/>
              </w:tabs>
              <w:spacing w:before="135" w:line="206" w:lineRule="exact"/>
              <w:ind w:left="936" w:right="216" w:hanging="432"/>
              <w:textAlignment w:val="baseline"/>
              <w:rPr>
                <w:rFonts w:ascii="Arial" w:eastAsia="Arial" w:hAnsi="Arial"/>
                <w:color w:val="000000"/>
                <w:sz w:val="18"/>
              </w:rPr>
            </w:pPr>
            <w:r>
              <w:rPr>
                <w:rFonts w:ascii="Arial" w:eastAsia="Arial" w:hAnsi="Arial"/>
                <w:color w:val="000000"/>
                <w:sz w:val="18"/>
              </w:rPr>
              <w:t>Developing suitable controls. The Queensland Government developed broad controls under contracts including the completion of compliance plans, asset registers and reports. These co</w:t>
            </w:r>
            <w:r>
              <w:rPr>
                <w:rFonts w:ascii="Arial" w:eastAsia="Arial" w:hAnsi="Arial"/>
                <w:color w:val="000000"/>
                <w:sz w:val="18"/>
              </w:rPr>
              <w:t>ntrols however may have placed an unnecessary obligation on low-risk projects. Future programs may consider a discretionary approach to applying controls based on the level of individual project risk.</w:t>
            </w:r>
          </w:p>
          <w:p w14:paraId="77325DE0" w14:textId="77777777" w:rsidR="00D8670B" w:rsidRDefault="009B37A9">
            <w:pPr>
              <w:numPr>
                <w:ilvl w:val="0"/>
                <w:numId w:val="6"/>
              </w:numPr>
              <w:tabs>
                <w:tab w:val="clear" w:pos="432"/>
                <w:tab w:val="left" w:pos="936"/>
              </w:tabs>
              <w:spacing w:before="137" w:after="119" w:line="206" w:lineRule="exact"/>
              <w:ind w:left="936" w:right="216" w:hanging="432"/>
              <w:textAlignment w:val="baseline"/>
              <w:rPr>
                <w:rFonts w:ascii="Arial" w:eastAsia="Arial" w:hAnsi="Arial"/>
                <w:color w:val="000000"/>
                <w:sz w:val="18"/>
              </w:rPr>
            </w:pPr>
            <w:r>
              <w:rPr>
                <w:rFonts w:ascii="Arial" w:eastAsia="Arial" w:hAnsi="Arial"/>
                <w:color w:val="000000"/>
                <w:sz w:val="18"/>
              </w:rPr>
              <w:t>Site inspections. The Queensland Government continuousl</w:t>
            </w:r>
            <w:r>
              <w:rPr>
                <w:rFonts w:ascii="Arial" w:eastAsia="Arial" w:hAnsi="Arial"/>
                <w:color w:val="000000"/>
                <w:sz w:val="18"/>
              </w:rPr>
              <w:t>y improved the regularity and outputs of project site inspections. Site inspections focused on ground proofing works completion and location to determine project progress in accordance with the contracts. Inspection reports were presented on a standardised</w:t>
            </w:r>
            <w:r>
              <w:rPr>
                <w:rFonts w:ascii="Arial" w:eastAsia="Arial" w:hAnsi="Arial"/>
                <w:color w:val="000000"/>
                <w:sz w:val="18"/>
              </w:rPr>
              <w:t xml:space="preserve"> template which included photographs, maps and commentary on observed progress. In addition to gauging works completion, one review recommended similar programs could inspect projects to check compliance.</w:t>
            </w:r>
          </w:p>
        </w:tc>
      </w:tr>
    </w:tbl>
    <w:p w14:paraId="0A3B2ECC" w14:textId="77777777" w:rsidR="00D8670B" w:rsidRDefault="00D8670B">
      <w:pPr>
        <w:spacing w:after="445" w:line="20" w:lineRule="exact"/>
      </w:pPr>
    </w:p>
    <w:p w14:paraId="1B7F09E6" w14:textId="77777777" w:rsidR="00D8670B" w:rsidRDefault="009B37A9">
      <w:pPr>
        <w:shd w:val="solid" w:color="CAE2F7" w:fill="CAE2F7"/>
        <w:spacing w:after="114" w:line="205" w:lineRule="exact"/>
        <w:ind w:left="72"/>
        <w:textAlignment w:val="baseline"/>
        <w:rPr>
          <w:rFonts w:ascii="Arial" w:eastAsia="Arial" w:hAnsi="Arial"/>
          <w:b/>
          <w:color w:val="15568B"/>
          <w:spacing w:val="17"/>
          <w:sz w:val="18"/>
        </w:rPr>
      </w:pPr>
      <w:r>
        <w:rPr>
          <w:rFonts w:ascii="Arial" w:eastAsia="Arial" w:hAnsi="Arial"/>
          <w:b/>
          <w:color w:val="15568B"/>
          <w:spacing w:val="17"/>
          <w:sz w:val="18"/>
        </w:rPr>
        <w:t>Timing</w:t>
      </w:r>
    </w:p>
    <w:p w14:paraId="73AB8276" w14:textId="77777777" w:rsidR="00D8670B" w:rsidRDefault="009B37A9">
      <w:pPr>
        <w:numPr>
          <w:ilvl w:val="0"/>
          <w:numId w:val="6"/>
        </w:numPr>
        <w:tabs>
          <w:tab w:val="clear" w:pos="432"/>
          <w:tab w:val="left" w:pos="936"/>
        </w:tabs>
        <w:spacing w:before="141" w:line="206" w:lineRule="exact"/>
        <w:ind w:left="936" w:right="216" w:hanging="432"/>
        <w:textAlignment w:val="baseline"/>
        <w:rPr>
          <w:rFonts w:ascii="Arial" w:eastAsia="Arial" w:hAnsi="Arial"/>
          <w:color w:val="000000"/>
          <w:spacing w:val="-2"/>
          <w:sz w:val="18"/>
        </w:rPr>
      </w:pPr>
      <w:r>
        <w:pict w14:anchorId="6CB4250D">
          <v:shape id="_x0000_s1029" type="#_x0000_t202" style="position:absolute;left:0;text-align:left;margin-left:39.05pt;margin-top:374.65pt;width:516.95pt;height:212.4pt;z-index:-251643904;mso-wrap-distance-left:0;mso-wrap-distance-right:0;mso-wrap-distance-bottom:201.15pt;mso-position-horizontal-relative:page;mso-position-vertical-relative:page" fillcolor="#eaf4fb" stroked="f">
            <v:textbox inset="0,0,0,0">
              <w:txbxContent>
                <w:p w14:paraId="7DA6157D" w14:textId="77777777" w:rsidR="00000000" w:rsidRDefault="009B37A9"/>
              </w:txbxContent>
            </v:textbox>
            <w10:wrap anchorx="page" anchory="page"/>
          </v:shape>
        </w:pict>
      </w:r>
      <w:r>
        <w:rPr>
          <w:rFonts w:ascii="Arial" w:eastAsia="Arial" w:hAnsi="Arial"/>
          <w:color w:val="000000"/>
          <w:spacing w:val="-2"/>
          <w:sz w:val="18"/>
        </w:rPr>
        <w:t>Administrative process. The Queensland and Australian governments originally spent significant time negotiating administrative processes including rounds, application assessment, approvals and contracts. These delays were frequent at the start of the progr</w:t>
      </w:r>
      <w:r>
        <w:rPr>
          <w:rFonts w:ascii="Arial" w:eastAsia="Arial" w:hAnsi="Arial"/>
          <w:color w:val="000000"/>
          <w:spacing w:val="-2"/>
          <w:sz w:val="18"/>
        </w:rPr>
        <w:t>am as processes were still being developed and streamlined between governments. The time taken in administrative processes impacted on irrigators’ project delivery windows, creating demand for shorter turnaround times. As the program settled into the month</w:t>
      </w:r>
      <w:r>
        <w:rPr>
          <w:rFonts w:ascii="Arial" w:eastAsia="Arial" w:hAnsi="Arial"/>
          <w:color w:val="000000"/>
          <w:spacing w:val="-2"/>
          <w:sz w:val="18"/>
        </w:rPr>
        <w:t>ly application process however, the timeframe from close of applications to notification of outcomes reduced significantly from three months to one.</w:t>
      </w:r>
    </w:p>
    <w:p w14:paraId="15B8D4C4" w14:textId="77777777" w:rsidR="00D8670B" w:rsidRDefault="009B37A9">
      <w:pPr>
        <w:numPr>
          <w:ilvl w:val="0"/>
          <w:numId w:val="6"/>
        </w:numPr>
        <w:tabs>
          <w:tab w:val="clear" w:pos="432"/>
          <w:tab w:val="left" w:pos="936"/>
        </w:tabs>
        <w:spacing w:before="142" w:line="206" w:lineRule="exact"/>
        <w:ind w:left="936" w:right="216" w:hanging="432"/>
        <w:textAlignment w:val="baseline"/>
        <w:rPr>
          <w:rFonts w:ascii="Arial" w:eastAsia="Arial" w:hAnsi="Arial"/>
          <w:color w:val="000000"/>
          <w:sz w:val="18"/>
        </w:rPr>
      </w:pPr>
      <w:r>
        <w:rPr>
          <w:rFonts w:ascii="Arial" w:eastAsia="Arial" w:hAnsi="Arial"/>
          <w:color w:val="000000"/>
          <w:sz w:val="18"/>
        </w:rPr>
        <w:t>Water transfers. Until the water transfer occurred, works were at the irrigator’s risk and the irrigator ma</w:t>
      </w:r>
      <w:r>
        <w:rPr>
          <w:rFonts w:ascii="Arial" w:eastAsia="Arial" w:hAnsi="Arial"/>
          <w:color w:val="000000"/>
          <w:sz w:val="18"/>
        </w:rPr>
        <w:t>y not have had sufficient cash flow to commence their project. A number of projects experienced significant delays due to the time required for unencumbering and transferring water entitlements. Irrigators did not always expect such extended timeframes, wh</w:t>
      </w:r>
      <w:r>
        <w:rPr>
          <w:rFonts w:ascii="Arial" w:eastAsia="Arial" w:hAnsi="Arial"/>
          <w:color w:val="000000"/>
          <w:sz w:val="18"/>
        </w:rPr>
        <w:t>ich caused frustration with the program. The Queensland Government case managed each transfer and built effective working relationship with key stakeholders (e.g. water licencing, titles, solicitors) to help simplify this process. This approach helped impr</w:t>
      </w:r>
      <w:r>
        <w:rPr>
          <w:rFonts w:ascii="Arial" w:eastAsia="Arial" w:hAnsi="Arial"/>
          <w:color w:val="000000"/>
          <w:sz w:val="18"/>
        </w:rPr>
        <w:t>ove turnaround and set realistic expectations regarding the often lengthy lead times.</w:t>
      </w:r>
    </w:p>
    <w:p w14:paraId="6EC72C41" w14:textId="77777777" w:rsidR="00D8670B" w:rsidRDefault="009B37A9">
      <w:pPr>
        <w:numPr>
          <w:ilvl w:val="0"/>
          <w:numId w:val="6"/>
        </w:numPr>
        <w:tabs>
          <w:tab w:val="clear" w:pos="432"/>
          <w:tab w:val="left" w:pos="936"/>
        </w:tabs>
        <w:spacing w:before="137" w:after="4138" w:line="206" w:lineRule="exact"/>
        <w:ind w:left="936" w:right="216" w:hanging="432"/>
        <w:textAlignment w:val="baseline"/>
        <w:rPr>
          <w:rFonts w:ascii="Arial" w:eastAsia="Arial" w:hAnsi="Arial"/>
          <w:color w:val="000000"/>
          <w:spacing w:val="-2"/>
          <w:sz w:val="18"/>
        </w:rPr>
      </w:pPr>
      <w:r>
        <w:rPr>
          <w:rFonts w:ascii="Arial" w:eastAsia="Arial" w:hAnsi="Arial"/>
          <w:color w:val="000000"/>
          <w:spacing w:val="-2"/>
          <w:sz w:val="18"/>
        </w:rPr>
        <w:t>Water Management Partnership Agreement. While contracts were relatively flexible, the Water Management Partnership Agreement was at times more prescriptive particularly r</w:t>
      </w:r>
      <w:r>
        <w:rPr>
          <w:rFonts w:ascii="Arial" w:eastAsia="Arial" w:hAnsi="Arial"/>
          <w:color w:val="000000"/>
          <w:spacing w:val="-2"/>
          <w:sz w:val="18"/>
        </w:rPr>
        <w:t>egarding the program end date and funding payments in each financial year. Through variations to the Schedule 2, the Queensland and Australian governments negotiated extensions to the program end date and revised budgets for financial years. As the program</w:t>
      </w:r>
      <w:r>
        <w:rPr>
          <w:rFonts w:ascii="Arial" w:eastAsia="Arial" w:hAnsi="Arial"/>
          <w:color w:val="000000"/>
          <w:spacing w:val="-2"/>
          <w:sz w:val="18"/>
        </w:rPr>
        <w:t xml:space="preserve"> usually spent less than budgeted, the prescribed budget each financial year did not present an issue in reality.</w:t>
      </w:r>
    </w:p>
    <w:p w14:paraId="69F9BDA2" w14:textId="77777777" w:rsidR="00D8670B" w:rsidRDefault="00D8670B">
      <w:pPr>
        <w:spacing w:before="137" w:after="4138" w:line="206" w:lineRule="exact"/>
        <w:sectPr w:rsidR="00D8670B">
          <w:pgSz w:w="11909" w:h="16838"/>
          <w:pgMar w:top="1120" w:right="789" w:bottom="282" w:left="781" w:header="720" w:footer="720" w:gutter="0"/>
          <w:cols w:space="720"/>
        </w:sectPr>
      </w:pPr>
    </w:p>
    <w:p w14:paraId="2CECF227" w14:textId="77777777" w:rsidR="00D8670B" w:rsidRDefault="009B37A9">
      <w:pPr>
        <w:spacing w:before="165" w:line="227" w:lineRule="exact"/>
        <w:jc w:val="center"/>
        <w:textAlignment w:val="baseline"/>
        <w:rPr>
          <w:rFonts w:ascii="Arial" w:eastAsia="Arial" w:hAnsi="Arial"/>
          <w:color w:val="000000"/>
          <w:spacing w:val="41"/>
          <w:sz w:val="20"/>
        </w:rPr>
      </w:pPr>
      <w:r>
        <w:pict w14:anchorId="55FE583C">
          <v:line id="_x0000_s1028" style="position:absolute;left:0;text-align:left;z-index:251727872;mso-position-horizontal-relative:page;mso-position-vertical-relative:page" from="39.25pt,789.1pt" to="556.25pt,789.1pt" strokeweight="1.7pt">
            <w10:wrap anchorx="page" anchory="page"/>
          </v:line>
        </w:pict>
      </w:r>
      <w:r>
        <w:rPr>
          <w:rFonts w:ascii="Arial" w:eastAsia="Arial" w:hAnsi="Arial"/>
          <w:color w:val="000000"/>
          <w:spacing w:val="41"/>
          <w:sz w:val="20"/>
        </w:rPr>
        <w:t>47</w:t>
      </w:r>
    </w:p>
    <w:p w14:paraId="19129724" w14:textId="77777777" w:rsidR="00D8670B" w:rsidRDefault="00D8670B">
      <w:pPr>
        <w:sectPr w:rsidR="00D8670B">
          <w:type w:val="continuous"/>
          <w:pgSz w:w="11909" w:h="16838"/>
          <w:pgMar w:top="1120" w:right="785" w:bottom="282" w:left="785" w:header="720" w:footer="720" w:gutter="0"/>
          <w:cols w:space="720"/>
        </w:sectPr>
      </w:pPr>
    </w:p>
    <w:p w14:paraId="793CF2CD" w14:textId="77777777" w:rsidR="00D8670B" w:rsidRDefault="009B37A9">
      <w:pPr>
        <w:spacing w:line="388" w:lineRule="exact"/>
        <w:ind w:left="72"/>
        <w:textAlignment w:val="baseline"/>
        <w:rPr>
          <w:rFonts w:ascii="Arial" w:eastAsia="Arial" w:hAnsi="Arial"/>
          <w:b/>
          <w:color w:val="1C75BB"/>
          <w:spacing w:val="8"/>
          <w:sz w:val="34"/>
        </w:rPr>
      </w:pPr>
      <w:r>
        <w:rPr>
          <w:rFonts w:ascii="Arial" w:eastAsia="Arial" w:hAnsi="Arial"/>
          <w:b/>
          <w:color w:val="1C75BB"/>
          <w:spacing w:val="8"/>
          <w:sz w:val="34"/>
        </w:rPr>
        <w:lastRenderedPageBreak/>
        <w:t>7 Bibliography</w:t>
      </w:r>
    </w:p>
    <w:p w14:paraId="323BA18D" w14:textId="77777777" w:rsidR="00D8670B" w:rsidRDefault="009B37A9">
      <w:pPr>
        <w:spacing w:before="120" w:line="230" w:lineRule="exact"/>
        <w:ind w:left="72" w:right="504"/>
        <w:textAlignment w:val="baseline"/>
        <w:rPr>
          <w:rFonts w:ascii="Arial" w:eastAsia="Arial" w:hAnsi="Arial"/>
          <w:color w:val="000000"/>
          <w:sz w:val="20"/>
        </w:rPr>
      </w:pPr>
      <w:r>
        <w:rPr>
          <w:rFonts w:ascii="Arial" w:eastAsia="Arial" w:hAnsi="Arial"/>
          <w:color w:val="000000"/>
          <w:sz w:val="20"/>
        </w:rPr>
        <w:t xml:space="preserve">Binney J and Tunny G 2011, </w:t>
      </w:r>
      <w:r>
        <w:rPr>
          <w:rFonts w:ascii="Arial" w:eastAsia="Arial" w:hAnsi="Arial"/>
          <w:i/>
          <w:color w:val="000000"/>
          <w:sz w:val="20"/>
        </w:rPr>
        <w:t>Socio-economic impact assessment of the first round of the Healthy HeadWaters Program</w:t>
      </w:r>
      <w:r>
        <w:rPr>
          <w:rFonts w:ascii="Arial" w:eastAsia="Arial" w:hAnsi="Arial"/>
          <w:color w:val="000000"/>
          <w:sz w:val="20"/>
        </w:rPr>
        <w:t>, Marsden Jacob Associates, Brisbane.</w:t>
      </w:r>
    </w:p>
    <w:p w14:paraId="34B17A76" w14:textId="77777777" w:rsidR="00D8670B" w:rsidRDefault="009B37A9">
      <w:pPr>
        <w:spacing w:before="107" w:line="235" w:lineRule="exact"/>
        <w:ind w:left="72" w:right="144"/>
        <w:textAlignment w:val="baseline"/>
        <w:rPr>
          <w:rFonts w:ascii="Arial" w:eastAsia="Arial" w:hAnsi="Arial"/>
          <w:color w:val="000000"/>
          <w:sz w:val="20"/>
        </w:rPr>
      </w:pPr>
      <w:r>
        <w:rPr>
          <w:rFonts w:ascii="Arial" w:eastAsia="Arial" w:hAnsi="Arial"/>
          <w:color w:val="000000"/>
          <w:sz w:val="20"/>
        </w:rPr>
        <w:t xml:space="preserve">Binney J and Tunny G 2011, </w:t>
      </w:r>
      <w:r>
        <w:rPr>
          <w:rFonts w:ascii="Arial" w:eastAsia="Arial" w:hAnsi="Arial"/>
          <w:i/>
          <w:color w:val="000000"/>
          <w:sz w:val="20"/>
        </w:rPr>
        <w:t>Socio-economic impact assessment of Healthy HeadWaters round 2</w:t>
      </w:r>
      <w:r>
        <w:rPr>
          <w:rFonts w:ascii="Arial" w:eastAsia="Arial" w:hAnsi="Arial"/>
          <w:color w:val="000000"/>
          <w:sz w:val="20"/>
        </w:rPr>
        <w:t>, Marsden Jacob Associates, Brisbane.</w:t>
      </w:r>
    </w:p>
    <w:p w14:paraId="17B3CB59" w14:textId="77777777" w:rsidR="00D8670B" w:rsidRDefault="009B37A9">
      <w:pPr>
        <w:spacing w:before="109" w:line="236" w:lineRule="exact"/>
        <w:ind w:left="72" w:right="648"/>
        <w:textAlignment w:val="baseline"/>
        <w:rPr>
          <w:rFonts w:ascii="Arial" w:eastAsia="Arial" w:hAnsi="Arial"/>
          <w:color w:val="000000"/>
          <w:sz w:val="20"/>
        </w:rPr>
      </w:pPr>
      <w:r>
        <w:rPr>
          <w:rFonts w:ascii="Arial" w:eastAsia="Arial" w:hAnsi="Arial"/>
          <w:color w:val="000000"/>
          <w:sz w:val="20"/>
        </w:rPr>
        <w:t xml:space="preserve">Binney J and Tunny G 2012, </w:t>
      </w:r>
      <w:r>
        <w:rPr>
          <w:rFonts w:ascii="Arial" w:eastAsia="Arial" w:hAnsi="Arial"/>
          <w:i/>
          <w:color w:val="000000"/>
          <w:sz w:val="20"/>
        </w:rPr>
        <w:t>Healthy HeadWaters: Phase 2 issues and analysis</w:t>
      </w:r>
      <w:r>
        <w:rPr>
          <w:rFonts w:ascii="Arial" w:eastAsia="Arial" w:hAnsi="Arial"/>
          <w:color w:val="000000"/>
          <w:sz w:val="20"/>
        </w:rPr>
        <w:t>, Marsden Jacob Associates, Brisbane.</w:t>
      </w:r>
    </w:p>
    <w:p w14:paraId="678CDDEF" w14:textId="77777777" w:rsidR="00D8670B" w:rsidRDefault="009B37A9">
      <w:pPr>
        <w:spacing w:before="116" w:line="230" w:lineRule="exact"/>
        <w:ind w:left="72" w:right="144"/>
        <w:textAlignment w:val="baseline"/>
        <w:rPr>
          <w:rFonts w:ascii="Arial" w:eastAsia="Arial" w:hAnsi="Arial"/>
          <w:color w:val="000000"/>
          <w:sz w:val="20"/>
        </w:rPr>
      </w:pPr>
      <w:r>
        <w:rPr>
          <w:rFonts w:ascii="Arial" w:eastAsia="Arial" w:hAnsi="Arial"/>
          <w:color w:val="000000"/>
          <w:sz w:val="20"/>
        </w:rPr>
        <w:t xml:space="preserve">C Baillie, J Baillie, R Davis, M Scobie, D Wigginton, E Schmidt, B Muller and P Watts 2010, </w:t>
      </w:r>
      <w:r>
        <w:rPr>
          <w:rFonts w:ascii="Arial" w:eastAsia="Arial" w:hAnsi="Arial"/>
          <w:i/>
          <w:color w:val="000000"/>
          <w:sz w:val="20"/>
        </w:rPr>
        <w:t>An appraisal to identify and detail technology for i</w:t>
      </w:r>
      <w:r>
        <w:rPr>
          <w:rFonts w:ascii="Arial" w:eastAsia="Arial" w:hAnsi="Arial"/>
          <w:i/>
          <w:color w:val="000000"/>
          <w:sz w:val="20"/>
        </w:rPr>
        <w:t>mproving water use efficiency in irrigation in the Queensland Murray–Darling Basin</w:t>
      </w:r>
      <w:r>
        <w:rPr>
          <w:rFonts w:ascii="Arial" w:eastAsia="Arial" w:hAnsi="Arial"/>
          <w:color w:val="000000"/>
          <w:sz w:val="20"/>
        </w:rPr>
        <w:t>, USQ, Toowoomba.</w:t>
      </w:r>
    </w:p>
    <w:p w14:paraId="222B1A67" w14:textId="77777777" w:rsidR="00D8670B" w:rsidRDefault="009B37A9">
      <w:pPr>
        <w:spacing w:before="121" w:line="230" w:lineRule="exact"/>
        <w:ind w:left="72" w:right="432"/>
        <w:textAlignment w:val="baseline"/>
        <w:rPr>
          <w:rFonts w:ascii="Arial" w:eastAsia="Arial" w:hAnsi="Arial"/>
          <w:color w:val="000000"/>
          <w:sz w:val="20"/>
        </w:rPr>
      </w:pPr>
      <w:r>
        <w:rPr>
          <w:rFonts w:ascii="Arial" w:eastAsia="Arial" w:hAnsi="Arial"/>
          <w:color w:val="000000"/>
          <w:sz w:val="20"/>
        </w:rPr>
        <w:t xml:space="preserve">Cape J 2012, </w:t>
      </w:r>
      <w:r>
        <w:rPr>
          <w:rFonts w:ascii="Arial" w:eastAsia="Arial" w:hAnsi="Arial"/>
          <w:i/>
          <w:color w:val="000000"/>
          <w:sz w:val="20"/>
        </w:rPr>
        <w:t>Healthy Headwaters final report: Irrigation industry development – training</w:t>
      </w:r>
      <w:r>
        <w:rPr>
          <w:rFonts w:ascii="Arial" w:eastAsia="Arial" w:hAnsi="Arial"/>
          <w:color w:val="000000"/>
          <w:sz w:val="20"/>
        </w:rPr>
        <w:t>, River Murray Training, Berri.</w:t>
      </w:r>
    </w:p>
    <w:p w14:paraId="6AA0AF91" w14:textId="77777777" w:rsidR="00D8670B" w:rsidRDefault="009B37A9">
      <w:pPr>
        <w:spacing w:before="131" w:line="230" w:lineRule="exact"/>
        <w:ind w:left="72" w:right="432"/>
        <w:textAlignment w:val="baseline"/>
        <w:rPr>
          <w:rFonts w:ascii="Arial" w:eastAsia="Arial" w:hAnsi="Arial"/>
          <w:color w:val="000000"/>
          <w:sz w:val="20"/>
        </w:rPr>
      </w:pPr>
      <w:r>
        <w:rPr>
          <w:rFonts w:ascii="Arial" w:eastAsia="Arial" w:hAnsi="Arial"/>
          <w:color w:val="000000"/>
          <w:sz w:val="20"/>
        </w:rPr>
        <w:t>Cotton Catchment Communities CRC 201</w:t>
      </w:r>
      <w:r>
        <w:rPr>
          <w:rFonts w:ascii="Arial" w:eastAsia="Arial" w:hAnsi="Arial"/>
          <w:color w:val="000000"/>
          <w:sz w:val="20"/>
        </w:rPr>
        <w:t xml:space="preserve">1, </w:t>
      </w:r>
      <w:r>
        <w:rPr>
          <w:rFonts w:ascii="Arial" w:eastAsia="Arial" w:hAnsi="Arial"/>
          <w:i/>
          <w:color w:val="000000"/>
          <w:sz w:val="20"/>
        </w:rPr>
        <w:t xml:space="preserve">Modifying storages to save water: The cost of water saved through storage structural modifications, </w:t>
      </w:r>
      <w:r>
        <w:rPr>
          <w:rFonts w:ascii="Arial" w:eastAsia="Arial" w:hAnsi="Arial"/>
          <w:color w:val="000000"/>
          <w:sz w:val="20"/>
        </w:rPr>
        <w:t>accessed 23 March 2020</w:t>
      </w:r>
      <w:hyperlink r:id="rId53">
        <w:r>
          <w:rPr>
            <w:rFonts w:ascii="Arial" w:eastAsia="Arial" w:hAnsi="Arial"/>
            <w:color w:val="0000FF"/>
            <w:sz w:val="20"/>
            <w:u w:val="single"/>
          </w:rPr>
          <w:t xml:space="preserve"> http://mppd.com.au/wp-content/uploads/2017/</w:t>
        </w:r>
        <w:r>
          <w:rPr>
            <w:rFonts w:ascii="Arial" w:eastAsia="Arial" w:hAnsi="Arial"/>
            <w:color w:val="0000FF"/>
            <w:sz w:val="20"/>
            <w:u w:val="single"/>
          </w:rPr>
          <w:t>12/modifyingstorages.pdf</w:t>
        </w:r>
      </w:hyperlink>
      <w:r>
        <w:rPr>
          <w:rFonts w:ascii="Arial" w:eastAsia="Arial" w:hAnsi="Arial"/>
          <w:color w:val="0000FF"/>
          <w:sz w:val="20"/>
          <w:u w:val="single"/>
        </w:rPr>
        <w:t>.</w:t>
      </w:r>
      <w:r>
        <w:rPr>
          <w:rFonts w:ascii="Arial" w:eastAsia="Arial" w:hAnsi="Arial"/>
          <w:color w:val="0000FF"/>
          <w:sz w:val="20"/>
        </w:rPr>
        <w:t xml:space="preserve"> </w:t>
      </w:r>
    </w:p>
    <w:p w14:paraId="317C38D3" w14:textId="77777777" w:rsidR="00D8670B" w:rsidRDefault="009B37A9">
      <w:pPr>
        <w:spacing w:before="114" w:line="230" w:lineRule="exact"/>
        <w:ind w:left="72" w:right="144"/>
        <w:textAlignment w:val="baseline"/>
        <w:rPr>
          <w:rFonts w:ascii="Arial" w:eastAsia="Arial" w:hAnsi="Arial"/>
          <w:color w:val="000000"/>
          <w:sz w:val="20"/>
        </w:rPr>
      </w:pPr>
      <w:r>
        <w:rPr>
          <w:rFonts w:ascii="Arial" w:eastAsia="Arial" w:hAnsi="Arial"/>
          <w:color w:val="000000"/>
          <w:sz w:val="20"/>
        </w:rPr>
        <w:t xml:space="preserve">Culpitt, R 2010, </w:t>
      </w:r>
      <w:r>
        <w:rPr>
          <w:rFonts w:ascii="Arial" w:eastAsia="Arial" w:hAnsi="Arial"/>
          <w:i/>
          <w:color w:val="000000"/>
          <w:sz w:val="20"/>
        </w:rPr>
        <w:t xml:space="preserve">Healthy HeadWaters farm level economic and financial modelling of alternative irrigation practices: A representative farm approach in the Lower Balonne and Border Rivers areas, </w:t>
      </w:r>
      <w:r>
        <w:rPr>
          <w:rFonts w:ascii="Arial" w:eastAsia="Arial" w:hAnsi="Arial"/>
          <w:color w:val="000000"/>
          <w:sz w:val="20"/>
        </w:rPr>
        <w:t>Synergies Economic Consulting Pty L</w:t>
      </w:r>
      <w:r>
        <w:rPr>
          <w:rFonts w:ascii="Arial" w:eastAsia="Arial" w:hAnsi="Arial"/>
          <w:color w:val="000000"/>
          <w:sz w:val="20"/>
        </w:rPr>
        <w:t>td, Brisbane.</w:t>
      </w:r>
    </w:p>
    <w:p w14:paraId="059CC6C1" w14:textId="77777777" w:rsidR="00D8670B" w:rsidRDefault="009B37A9">
      <w:pPr>
        <w:spacing w:before="122" w:line="230" w:lineRule="exact"/>
        <w:ind w:left="72" w:right="144"/>
        <w:textAlignment w:val="baseline"/>
        <w:rPr>
          <w:rFonts w:ascii="Arial" w:eastAsia="Arial" w:hAnsi="Arial"/>
          <w:color w:val="000000"/>
          <w:spacing w:val="-1"/>
          <w:sz w:val="20"/>
        </w:rPr>
      </w:pPr>
      <w:r>
        <w:rPr>
          <w:rFonts w:ascii="Arial" w:eastAsia="Arial" w:hAnsi="Arial"/>
          <w:color w:val="000000"/>
          <w:spacing w:val="-1"/>
          <w:sz w:val="20"/>
        </w:rPr>
        <w:t xml:space="preserve">Culpitt, R 2011, </w:t>
      </w:r>
      <w:r>
        <w:rPr>
          <w:rFonts w:ascii="Arial" w:eastAsia="Arial" w:hAnsi="Arial"/>
          <w:i/>
          <w:color w:val="000000"/>
          <w:spacing w:val="-1"/>
          <w:sz w:val="20"/>
        </w:rPr>
        <w:t xml:space="preserve">Healthy HeadWaters farm level economic and financial modelling of alternative irrigation practices: A representative farm approach in the Condamine River area, </w:t>
      </w:r>
      <w:r>
        <w:rPr>
          <w:rFonts w:ascii="Arial" w:eastAsia="Arial" w:hAnsi="Arial"/>
          <w:color w:val="000000"/>
          <w:spacing w:val="-1"/>
          <w:sz w:val="20"/>
        </w:rPr>
        <w:t>Synergies Economic Consulting Pty Ltd, Brisbane.</w:t>
      </w:r>
    </w:p>
    <w:p w14:paraId="6A819441" w14:textId="77777777" w:rsidR="00D8670B" w:rsidRDefault="009B37A9">
      <w:pPr>
        <w:spacing w:before="121" w:line="230" w:lineRule="exact"/>
        <w:ind w:left="72" w:right="504"/>
        <w:textAlignment w:val="baseline"/>
        <w:rPr>
          <w:rFonts w:ascii="Arial" w:eastAsia="Arial" w:hAnsi="Arial"/>
          <w:color w:val="000000"/>
          <w:sz w:val="20"/>
        </w:rPr>
      </w:pPr>
      <w:r>
        <w:rPr>
          <w:rFonts w:ascii="Arial" w:eastAsia="Arial" w:hAnsi="Arial"/>
          <w:color w:val="000000"/>
          <w:sz w:val="20"/>
        </w:rPr>
        <w:t xml:space="preserve">Department of Environment and Resource Management 2009, </w:t>
      </w:r>
      <w:r>
        <w:rPr>
          <w:rFonts w:ascii="Arial" w:eastAsia="Arial" w:hAnsi="Arial"/>
          <w:i/>
          <w:color w:val="000000"/>
          <w:sz w:val="20"/>
        </w:rPr>
        <w:t>Healthy HeadWaters business case for on-farm water use efficiency in the Queensland Murray Darling Basin</w:t>
      </w:r>
      <w:r>
        <w:rPr>
          <w:rFonts w:ascii="Arial" w:eastAsia="Arial" w:hAnsi="Arial"/>
          <w:color w:val="000000"/>
          <w:sz w:val="20"/>
        </w:rPr>
        <w:t>, DERM, Toowoomba.</w:t>
      </w:r>
    </w:p>
    <w:p w14:paraId="08218005" w14:textId="77777777" w:rsidR="00D8670B" w:rsidRDefault="009B37A9">
      <w:pPr>
        <w:spacing w:before="116" w:line="230" w:lineRule="exact"/>
        <w:ind w:left="72" w:right="648"/>
        <w:textAlignment w:val="baseline"/>
        <w:rPr>
          <w:rFonts w:ascii="Arial" w:eastAsia="Arial" w:hAnsi="Arial"/>
          <w:color w:val="000000"/>
          <w:sz w:val="20"/>
        </w:rPr>
      </w:pPr>
      <w:r>
        <w:rPr>
          <w:rFonts w:ascii="Arial" w:eastAsia="Arial" w:hAnsi="Arial"/>
          <w:color w:val="000000"/>
          <w:sz w:val="20"/>
        </w:rPr>
        <w:t>Department of Environment an</w:t>
      </w:r>
      <w:r>
        <w:rPr>
          <w:rFonts w:ascii="Arial" w:eastAsia="Arial" w:hAnsi="Arial"/>
          <w:color w:val="000000"/>
          <w:sz w:val="20"/>
        </w:rPr>
        <w:t xml:space="preserve">d Resource Management 2010, </w:t>
      </w:r>
      <w:r>
        <w:rPr>
          <w:rFonts w:ascii="Arial" w:eastAsia="Arial" w:hAnsi="Arial"/>
          <w:i/>
          <w:color w:val="000000"/>
          <w:sz w:val="20"/>
        </w:rPr>
        <w:t>Basin Appraisal Project, Component No. 1, A description of QMDB water management characteristics, priorities and opportunities for acquisition under the Healthy HeadWaters Water Use Efficiency Program</w:t>
      </w:r>
      <w:r>
        <w:rPr>
          <w:rFonts w:ascii="Arial" w:eastAsia="Arial" w:hAnsi="Arial"/>
          <w:color w:val="000000"/>
          <w:sz w:val="20"/>
        </w:rPr>
        <w:t>, DERM, Toowoomba.</w:t>
      </w:r>
    </w:p>
    <w:p w14:paraId="083903B5" w14:textId="77777777" w:rsidR="00D8670B" w:rsidRDefault="009B37A9">
      <w:pPr>
        <w:spacing w:before="121" w:line="230" w:lineRule="exact"/>
        <w:ind w:left="72" w:right="144"/>
        <w:textAlignment w:val="baseline"/>
        <w:rPr>
          <w:rFonts w:ascii="Arial" w:eastAsia="Arial" w:hAnsi="Arial"/>
          <w:color w:val="000000"/>
          <w:sz w:val="20"/>
        </w:rPr>
      </w:pPr>
      <w:r>
        <w:rPr>
          <w:rFonts w:ascii="Arial" w:eastAsia="Arial" w:hAnsi="Arial"/>
          <w:color w:val="000000"/>
          <w:sz w:val="20"/>
        </w:rPr>
        <w:t>Departmen</w:t>
      </w:r>
      <w:r>
        <w:rPr>
          <w:rFonts w:ascii="Arial" w:eastAsia="Arial" w:hAnsi="Arial"/>
          <w:color w:val="000000"/>
          <w:sz w:val="20"/>
        </w:rPr>
        <w:t xml:space="preserve">t of Environment and Resource Management 2011, </w:t>
      </w:r>
      <w:r>
        <w:rPr>
          <w:rFonts w:ascii="Arial" w:eastAsia="Arial" w:hAnsi="Arial"/>
          <w:i/>
          <w:color w:val="000000"/>
          <w:sz w:val="20"/>
        </w:rPr>
        <w:t>Healthy HeadWaters Water Use Efficiency Phase 2 business case</w:t>
      </w:r>
      <w:r>
        <w:rPr>
          <w:rFonts w:ascii="Arial" w:eastAsia="Arial" w:hAnsi="Arial"/>
          <w:color w:val="000000"/>
          <w:sz w:val="20"/>
        </w:rPr>
        <w:t>, DERM, Toowoomba.</w:t>
      </w:r>
    </w:p>
    <w:p w14:paraId="0E4FD999" w14:textId="77777777" w:rsidR="00D8670B" w:rsidRDefault="009B37A9">
      <w:pPr>
        <w:spacing w:before="122" w:line="230" w:lineRule="exact"/>
        <w:ind w:left="72" w:right="864"/>
        <w:textAlignment w:val="baseline"/>
        <w:rPr>
          <w:rFonts w:ascii="Arial" w:eastAsia="Arial" w:hAnsi="Arial"/>
          <w:color w:val="000000"/>
          <w:sz w:val="20"/>
        </w:rPr>
      </w:pPr>
      <w:r>
        <w:rPr>
          <w:rFonts w:ascii="Arial" w:eastAsia="Arial" w:hAnsi="Arial"/>
          <w:color w:val="000000"/>
          <w:sz w:val="20"/>
        </w:rPr>
        <w:t xml:space="preserve">Department of Environment and Resource Management 2011, </w:t>
      </w:r>
      <w:r>
        <w:rPr>
          <w:rFonts w:ascii="Arial" w:eastAsia="Arial" w:hAnsi="Arial"/>
          <w:i/>
          <w:color w:val="000000"/>
          <w:sz w:val="20"/>
        </w:rPr>
        <w:t>Healthy HeadWaters Water Use Efficiency: evaluation report – Phase 1</w:t>
      </w:r>
      <w:r>
        <w:rPr>
          <w:rFonts w:ascii="Arial" w:eastAsia="Arial" w:hAnsi="Arial"/>
          <w:color w:val="000000"/>
          <w:sz w:val="20"/>
        </w:rPr>
        <w:t>, DERM, Toowoomba.</w:t>
      </w:r>
    </w:p>
    <w:p w14:paraId="285B87D1" w14:textId="77777777" w:rsidR="00D8670B" w:rsidRDefault="009B37A9">
      <w:pPr>
        <w:spacing w:before="120" w:line="230" w:lineRule="exact"/>
        <w:ind w:left="72" w:right="288"/>
        <w:textAlignment w:val="baseline"/>
        <w:rPr>
          <w:rFonts w:ascii="Arial" w:eastAsia="Arial" w:hAnsi="Arial"/>
          <w:color w:val="000000"/>
          <w:sz w:val="20"/>
        </w:rPr>
      </w:pPr>
      <w:r>
        <w:rPr>
          <w:rFonts w:ascii="Arial" w:eastAsia="Arial" w:hAnsi="Arial"/>
          <w:color w:val="000000"/>
          <w:sz w:val="20"/>
        </w:rPr>
        <w:t xml:space="preserve">Department of Natural Resources and Mines 2014, </w:t>
      </w:r>
      <w:r>
        <w:rPr>
          <w:rFonts w:ascii="Arial" w:eastAsia="Arial" w:hAnsi="Arial"/>
          <w:i/>
          <w:color w:val="000000"/>
          <w:sz w:val="20"/>
        </w:rPr>
        <w:t>Healthy HeadWaters Water Use Efficiency Program Phase 1 final report</w:t>
      </w:r>
      <w:r>
        <w:rPr>
          <w:rFonts w:ascii="Arial" w:eastAsia="Arial" w:hAnsi="Arial"/>
          <w:color w:val="000000"/>
          <w:sz w:val="20"/>
        </w:rPr>
        <w:t>, DNRM, Toowoomba.</w:t>
      </w:r>
    </w:p>
    <w:p w14:paraId="5A763078" w14:textId="77777777" w:rsidR="00D8670B" w:rsidRDefault="009B37A9">
      <w:pPr>
        <w:spacing w:before="121" w:line="230" w:lineRule="exact"/>
        <w:ind w:left="72" w:right="288"/>
        <w:textAlignment w:val="baseline"/>
        <w:rPr>
          <w:rFonts w:ascii="Arial" w:eastAsia="Arial" w:hAnsi="Arial"/>
          <w:color w:val="000000"/>
          <w:sz w:val="20"/>
        </w:rPr>
      </w:pPr>
      <w:r>
        <w:rPr>
          <w:rFonts w:ascii="Arial" w:eastAsia="Arial" w:hAnsi="Arial"/>
          <w:color w:val="000000"/>
          <w:sz w:val="20"/>
        </w:rPr>
        <w:t>Department of Natural Resources an</w:t>
      </w:r>
      <w:r>
        <w:rPr>
          <w:rFonts w:ascii="Arial" w:eastAsia="Arial" w:hAnsi="Arial"/>
          <w:color w:val="000000"/>
          <w:sz w:val="20"/>
        </w:rPr>
        <w:t xml:space="preserve">d Mines 2014, </w:t>
      </w:r>
      <w:r>
        <w:rPr>
          <w:rFonts w:ascii="Arial" w:eastAsia="Arial" w:hAnsi="Arial"/>
          <w:i/>
          <w:color w:val="000000"/>
          <w:sz w:val="20"/>
        </w:rPr>
        <w:t>Healthy HeadWaters Water Use Efficiency Phase 2 strategic review 2014</w:t>
      </w:r>
      <w:r>
        <w:rPr>
          <w:rFonts w:ascii="Arial" w:eastAsia="Arial" w:hAnsi="Arial"/>
          <w:color w:val="000000"/>
          <w:sz w:val="20"/>
        </w:rPr>
        <w:t>, DNRM, Toowoomba.</w:t>
      </w:r>
    </w:p>
    <w:p w14:paraId="032E59BE" w14:textId="77777777" w:rsidR="00D8670B" w:rsidRDefault="009B37A9">
      <w:pPr>
        <w:spacing w:before="120" w:line="230" w:lineRule="exact"/>
        <w:ind w:left="72" w:right="144"/>
        <w:textAlignment w:val="baseline"/>
        <w:rPr>
          <w:rFonts w:ascii="Arial" w:eastAsia="Arial" w:hAnsi="Arial"/>
          <w:color w:val="000000"/>
          <w:spacing w:val="-1"/>
          <w:sz w:val="20"/>
        </w:rPr>
      </w:pPr>
      <w:r>
        <w:rPr>
          <w:rFonts w:ascii="Arial" w:eastAsia="Arial" w:hAnsi="Arial"/>
          <w:color w:val="000000"/>
          <w:spacing w:val="-1"/>
          <w:sz w:val="20"/>
        </w:rPr>
        <w:t xml:space="preserve">Department of Natural Resources, Mines and Energy 2018, </w:t>
      </w:r>
      <w:r>
        <w:rPr>
          <w:rFonts w:ascii="Arial" w:eastAsia="Arial" w:hAnsi="Arial"/>
          <w:i/>
          <w:color w:val="000000"/>
          <w:spacing w:val="-1"/>
          <w:sz w:val="20"/>
        </w:rPr>
        <w:t>Completion report 23 August 2018: Compliance audit: Queensland Healthy Headwater Use Efficiency pr</w:t>
      </w:r>
      <w:r>
        <w:rPr>
          <w:rFonts w:ascii="Arial" w:eastAsia="Arial" w:hAnsi="Arial"/>
          <w:i/>
          <w:color w:val="000000"/>
          <w:spacing w:val="-1"/>
          <w:sz w:val="20"/>
        </w:rPr>
        <w:t xml:space="preserve">oject 16 March 2018 to 23 August 2018, </w:t>
      </w:r>
      <w:r>
        <w:rPr>
          <w:rFonts w:ascii="Arial" w:eastAsia="Arial" w:hAnsi="Arial"/>
          <w:color w:val="000000"/>
          <w:spacing w:val="-1"/>
          <w:sz w:val="20"/>
        </w:rPr>
        <w:t>DNRME, Nambour.</w:t>
      </w:r>
    </w:p>
    <w:p w14:paraId="243581F3" w14:textId="77777777" w:rsidR="00D8670B" w:rsidRDefault="009B37A9">
      <w:pPr>
        <w:spacing w:before="116" w:line="230" w:lineRule="exact"/>
        <w:ind w:left="72" w:right="792"/>
        <w:textAlignment w:val="baseline"/>
        <w:rPr>
          <w:rFonts w:ascii="Arial" w:eastAsia="Arial" w:hAnsi="Arial"/>
          <w:color w:val="000000"/>
          <w:sz w:val="20"/>
        </w:rPr>
      </w:pPr>
      <w:r>
        <w:rPr>
          <w:rFonts w:ascii="Arial" w:eastAsia="Arial" w:hAnsi="Arial"/>
          <w:color w:val="000000"/>
          <w:sz w:val="20"/>
        </w:rPr>
        <w:t xml:space="preserve">Jacob P and Tunny G 2010, </w:t>
      </w:r>
      <w:r>
        <w:rPr>
          <w:rFonts w:ascii="Arial" w:eastAsia="Arial" w:hAnsi="Arial"/>
          <w:i/>
          <w:color w:val="000000"/>
          <w:sz w:val="20"/>
        </w:rPr>
        <w:t xml:space="preserve">Cost-benefit analysis of the Healthy HeadWaters on-farm water use efficiency program, </w:t>
      </w:r>
      <w:r>
        <w:rPr>
          <w:rFonts w:ascii="Arial" w:eastAsia="Arial" w:hAnsi="Arial"/>
          <w:color w:val="000000"/>
          <w:sz w:val="20"/>
        </w:rPr>
        <w:t>Marsden Jacob Associates, Brisbane.</w:t>
      </w:r>
    </w:p>
    <w:p w14:paraId="33C71C66" w14:textId="77777777" w:rsidR="00D8670B" w:rsidRDefault="009B37A9">
      <w:pPr>
        <w:spacing w:before="107" w:line="235" w:lineRule="exact"/>
        <w:ind w:left="72" w:right="792"/>
        <w:textAlignment w:val="baseline"/>
        <w:rPr>
          <w:rFonts w:ascii="Arial" w:eastAsia="Arial" w:hAnsi="Arial"/>
          <w:color w:val="000000"/>
          <w:sz w:val="20"/>
        </w:rPr>
      </w:pPr>
      <w:r>
        <w:rPr>
          <w:rFonts w:ascii="Arial" w:eastAsia="Arial" w:hAnsi="Arial"/>
          <w:color w:val="000000"/>
          <w:sz w:val="20"/>
        </w:rPr>
        <w:t xml:space="preserve">KPMG 2018, </w:t>
      </w:r>
      <w:r>
        <w:rPr>
          <w:rFonts w:ascii="Arial" w:eastAsia="Arial" w:hAnsi="Arial"/>
          <w:i/>
          <w:color w:val="000000"/>
          <w:sz w:val="20"/>
        </w:rPr>
        <w:t>Review of State Priority Projects – Health</w:t>
      </w:r>
      <w:r>
        <w:rPr>
          <w:rFonts w:ascii="Arial" w:eastAsia="Arial" w:hAnsi="Arial"/>
          <w:i/>
          <w:color w:val="000000"/>
          <w:sz w:val="20"/>
        </w:rPr>
        <w:t>y HeadWaters Water Use Efficiency Project</w:t>
      </w:r>
      <w:r>
        <w:rPr>
          <w:rFonts w:ascii="Arial" w:eastAsia="Arial" w:hAnsi="Arial"/>
          <w:color w:val="000000"/>
          <w:sz w:val="20"/>
        </w:rPr>
        <w:t>, KPMG, Canberra.</w:t>
      </w:r>
    </w:p>
    <w:p w14:paraId="78994CB8" w14:textId="77777777" w:rsidR="00D8670B" w:rsidRDefault="009B37A9">
      <w:pPr>
        <w:spacing w:before="111" w:line="235" w:lineRule="exact"/>
        <w:ind w:left="72" w:right="648"/>
        <w:textAlignment w:val="baseline"/>
        <w:rPr>
          <w:rFonts w:ascii="Arial" w:eastAsia="Arial" w:hAnsi="Arial"/>
          <w:color w:val="000000"/>
          <w:sz w:val="20"/>
        </w:rPr>
      </w:pPr>
      <w:r>
        <w:rPr>
          <w:rFonts w:ascii="Arial" w:eastAsia="Arial" w:hAnsi="Arial"/>
          <w:color w:val="000000"/>
          <w:sz w:val="20"/>
        </w:rPr>
        <w:t xml:space="preserve">Leaver W 2017a, </w:t>
      </w:r>
      <w:r>
        <w:rPr>
          <w:rFonts w:ascii="Arial" w:eastAsia="Arial" w:hAnsi="Arial"/>
          <w:i/>
          <w:color w:val="000000"/>
          <w:sz w:val="20"/>
        </w:rPr>
        <w:t xml:space="preserve">Healthy HeadWaters Water Use Efficiency project procedure audit, </w:t>
      </w:r>
      <w:r>
        <w:rPr>
          <w:rFonts w:ascii="Arial" w:eastAsia="Arial" w:hAnsi="Arial"/>
          <w:color w:val="000000"/>
          <w:sz w:val="20"/>
        </w:rPr>
        <w:t>Barr Group Consulting, Brisbane.</w:t>
      </w:r>
    </w:p>
    <w:p w14:paraId="2C211C9E" w14:textId="77777777" w:rsidR="00D8670B" w:rsidRDefault="009B37A9">
      <w:pPr>
        <w:spacing w:before="116" w:line="230" w:lineRule="exact"/>
        <w:ind w:left="72" w:right="648"/>
        <w:textAlignment w:val="baseline"/>
        <w:rPr>
          <w:rFonts w:ascii="Arial" w:eastAsia="Arial" w:hAnsi="Arial"/>
          <w:color w:val="000000"/>
          <w:sz w:val="20"/>
        </w:rPr>
      </w:pPr>
      <w:r>
        <w:rPr>
          <w:rFonts w:ascii="Arial" w:eastAsia="Arial" w:hAnsi="Arial"/>
          <w:color w:val="000000"/>
          <w:sz w:val="20"/>
        </w:rPr>
        <w:t xml:space="preserve">Leaver W 2017b, </w:t>
      </w:r>
      <w:r>
        <w:rPr>
          <w:rFonts w:ascii="Arial" w:eastAsia="Arial" w:hAnsi="Arial"/>
          <w:i/>
          <w:color w:val="000000"/>
          <w:sz w:val="20"/>
        </w:rPr>
        <w:t xml:space="preserve">Healthy HeadWaters Water Use Efficiency project procedure audit, </w:t>
      </w:r>
      <w:r>
        <w:rPr>
          <w:rFonts w:ascii="Arial" w:eastAsia="Arial" w:hAnsi="Arial"/>
          <w:color w:val="000000"/>
          <w:sz w:val="20"/>
        </w:rPr>
        <w:t>Ba</w:t>
      </w:r>
      <w:r>
        <w:rPr>
          <w:rFonts w:ascii="Arial" w:eastAsia="Arial" w:hAnsi="Arial"/>
          <w:color w:val="000000"/>
          <w:sz w:val="20"/>
        </w:rPr>
        <w:t>rr Group Consulting, Brisbane.</w:t>
      </w:r>
    </w:p>
    <w:p w14:paraId="0D5390EC" w14:textId="77777777" w:rsidR="00D8670B" w:rsidRDefault="009B37A9">
      <w:pPr>
        <w:spacing w:before="121" w:line="230" w:lineRule="exact"/>
        <w:ind w:left="72" w:right="144"/>
        <w:textAlignment w:val="baseline"/>
        <w:rPr>
          <w:rFonts w:ascii="Arial" w:eastAsia="Arial" w:hAnsi="Arial"/>
          <w:color w:val="000000"/>
          <w:sz w:val="20"/>
        </w:rPr>
      </w:pPr>
      <w:r>
        <w:rPr>
          <w:rFonts w:ascii="Arial" w:eastAsia="Arial" w:hAnsi="Arial"/>
          <w:color w:val="000000"/>
          <w:sz w:val="20"/>
        </w:rPr>
        <w:t xml:space="preserve">McCartney, F and Durante, J 2015, </w:t>
      </w:r>
      <w:r>
        <w:rPr>
          <w:rFonts w:ascii="Arial" w:eastAsia="Arial" w:hAnsi="Arial"/>
          <w:i/>
          <w:color w:val="000000"/>
          <w:sz w:val="20"/>
        </w:rPr>
        <w:t>Factors that influence Queensland Murray Darling Basin irrigators’ participation in water use efficiency and water recovery programs</w:t>
      </w:r>
      <w:r>
        <w:rPr>
          <w:rFonts w:ascii="Arial" w:eastAsia="Arial" w:hAnsi="Arial"/>
          <w:color w:val="000000"/>
          <w:sz w:val="20"/>
        </w:rPr>
        <w:t>, Department of Science, Information Technology and Innovat</w:t>
      </w:r>
      <w:r>
        <w:rPr>
          <w:rFonts w:ascii="Arial" w:eastAsia="Arial" w:hAnsi="Arial"/>
          <w:color w:val="000000"/>
          <w:sz w:val="20"/>
        </w:rPr>
        <w:t>ion, Brisbane.</w:t>
      </w:r>
    </w:p>
    <w:p w14:paraId="59EB7810" w14:textId="77777777" w:rsidR="00D8670B" w:rsidRDefault="009B37A9">
      <w:pPr>
        <w:spacing w:before="125" w:line="230" w:lineRule="exact"/>
        <w:ind w:left="72" w:right="648"/>
        <w:textAlignment w:val="baseline"/>
        <w:rPr>
          <w:rFonts w:ascii="Arial" w:eastAsia="Arial" w:hAnsi="Arial"/>
          <w:color w:val="000000"/>
          <w:sz w:val="20"/>
        </w:rPr>
      </w:pPr>
      <w:r>
        <w:rPr>
          <w:rFonts w:ascii="Arial" w:eastAsia="Arial" w:hAnsi="Arial"/>
          <w:color w:val="000000"/>
          <w:sz w:val="20"/>
        </w:rPr>
        <w:t xml:space="preserve">Queensland Rural Adjustment Authority 2012, </w:t>
      </w:r>
      <w:r>
        <w:rPr>
          <w:rFonts w:ascii="Arial" w:eastAsia="Arial" w:hAnsi="Arial"/>
          <w:i/>
          <w:color w:val="000000"/>
          <w:sz w:val="20"/>
        </w:rPr>
        <w:t xml:space="preserve">Healthy HeadWaters Water Use Efficiency Project procedural governance review, </w:t>
      </w:r>
      <w:r>
        <w:rPr>
          <w:rFonts w:ascii="Arial" w:eastAsia="Arial" w:hAnsi="Arial"/>
          <w:color w:val="000000"/>
          <w:sz w:val="20"/>
        </w:rPr>
        <w:t>QRAA, Brisbane.</w:t>
      </w:r>
    </w:p>
    <w:p w14:paraId="3969DED8" w14:textId="77777777" w:rsidR="00D8670B" w:rsidRDefault="009B37A9">
      <w:pPr>
        <w:spacing w:before="121" w:after="315" w:line="230" w:lineRule="exact"/>
        <w:ind w:left="72" w:right="432"/>
        <w:textAlignment w:val="baseline"/>
        <w:rPr>
          <w:rFonts w:ascii="Arial" w:eastAsia="Arial" w:hAnsi="Arial"/>
          <w:color w:val="000000"/>
          <w:sz w:val="20"/>
        </w:rPr>
      </w:pPr>
      <w:r>
        <w:rPr>
          <w:rFonts w:ascii="Arial" w:eastAsia="Arial" w:hAnsi="Arial"/>
          <w:color w:val="000000"/>
          <w:sz w:val="20"/>
        </w:rPr>
        <w:t xml:space="preserve">Smith P, Foley J, Priest S, Bray S, Montgomery J, Wigginton D, Schultz J and Van Niekerk R 2014, </w:t>
      </w:r>
      <w:r>
        <w:rPr>
          <w:rFonts w:ascii="Arial" w:eastAsia="Arial" w:hAnsi="Arial"/>
          <w:i/>
          <w:color w:val="000000"/>
          <w:sz w:val="20"/>
        </w:rPr>
        <w:t>A review of centre pivot and lateral move irrigation installations in the Australian cotton industry</w:t>
      </w:r>
      <w:r>
        <w:rPr>
          <w:rFonts w:ascii="Arial" w:eastAsia="Arial" w:hAnsi="Arial"/>
          <w:color w:val="000000"/>
          <w:sz w:val="20"/>
        </w:rPr>
        <w:t>, Department of Primary</w:t>
      </w:r>
    </w:p>
    <w:p w14:paraId="2D96E6ED" w14:textId="77777777" w:rsidR="00D8670B" w:rsidRDefault="009B37A9">
      <w:pPr>
        <w:spacing w:before="165" w:line="220" w:lineRule="exact"/>
        <w:ind w:left="72"/>
        <w:jc w:val="center"/>
        <w:textAlignment w:val="baseline"/>
        <w:rPr>
          <w:rFonts w:ascii="Arial" w:eastAsia="Arial" w:hAnsi="Arial"/>
          <w:color w:val="000000"/>
          <w:spacing w:val="41"/>
          <w:sz w:val="20"/>
        </w:rPr>
      </w:pPr>
      <w:r>
        <w:pict w14:anchorId="198BE106">
          <v:line id="_x0000_s1027" style="position:absolute;left:0;text-align:left;z-index:251728896;mso-position-horizontal-relative:page;mso-position-vertical-relative:page" from="39.25pt,789.1pt" to="556.25pt,789.1pt" strokeweight="1.7pt">
            <w10:wrap anchorx="page" anchory="page"/>
          </v:line>
        </w:pict>
      </w:r>
      <w:r>
        <w:rPr>
          <w:rFonts w:ascii="Arial" w:eastAsia="Arial" w:hAnsi="Arial"/>
          <w:color w:val="000000"/>
          <w:spacing w:val="41"/>
          <w:sz w:val="20"/>
        </w:rPr>
        <w:t>48</w:t>
      </w:r>
    </w:p>
    <w:p w14:paraId="1125DF80" w14:textId="77777777" w:rsidR="00D8670B" w:rsidRDefault="00D8670B">
      <w:pPr>
        <w:sectPr w:rsidR="00D8670B">
          <w:pgSz w:w="11909" w:h="16838"/>
          <w:pgMar w:top="1140" w:right="785" w:bottom="282" w:left="785" w:header="720" w:footer="720" w:gutter="0"/>
          <w:cols w:space="720"/>
        </w:sectPr>
      </w:pPr>
    </w:p>
    <w:p w14:paraId="74FBFD53" w14:textId="77777777" w:rsidR="00D8670B" w:rsidRDefault="009B37A9">
      <w:pPr>
        <w:spacing w:before="140" w:line="223" w:lineRule="exact"/>
        <w:ind w:left="216"/>
        <w:textAlignment w:val="baseline"/>
        <w:rPr>
          <w:rFonts w:ascii="Arial" w:eastAsia="Arial" w:hAnsi="Arial"/>
          <w:color w:val="000000"/>
          <w:spacing w:val="-1"/>
          <w:sz w:val="20"/>
        </w:rPr>
      </w:pPr>
      <w:r>
        <w:rPr>
          <w:rFonts w:ascii="Arial" w:eastAsia="Arial" w:hAnsi="Arial"/>
          <w:color w:val="000000"/>
          <w:spacing w:val="-1"/>
          <w:sz w:val="20"/>
        </w:rPr>
        <w:lastRenderedPageBreak/>
        <w:t>Industries, New S</w:t>
      </w:r>
      <w:r>
        <w:rPr>
          <w:rFonts w:ascii="Arial" w:eastAsia="Arial" w:hAnsi="Arial"/>
          <w:color w:val="000000"/>
          <w:spacing w:val="-1"/>
          <w:sz w:val="20"/>
        </w:rPr>
        <w:t>outh Wales.</w:t>
      </w:r>
    </w:p>
    <w:p w14:paraId="02325277" w14:textId="77777777" w:rsidR="00D8670B" w:rsidRDefault="009B37A9">
      <w:pPr>
        <w:spacing w:before="111" w:line="235" w:lineRule="exact"/>
        <w:ind w:left="216" w:right="216"/>
        <w:textAlignment w:val="baseline"/>
        <w:rPr>
          <w:rFonts w:ascii="Arial" w:eastAsia="Arial" w:hAnsi="Arial"/>
          <w:color w:val="000000"/>
          <w:sz w:val="20"/>
        </w:rPr>
      </w:pPr>
      <w:r>
        <w:rPr>
          <w:rFonts w:ascii="Arial" w:eastAsia="Arial" w:hAnsi="Arial"/>
          <w:color w:val="000000"/>
          <w:sz w:val="20"/>
        </w:rPr>
        <w:t xml:space="preserve">Tunny G 2012, </w:t>
      </w:r>
      <w:r>
        <w:rPr>
          <w:rFonts w:ascii="Arial" w:eastAsia="Arial" w:hAnsi="Arial"/>
          <w:i/>
          <w:color w:val="000000"/>
          <w:sz w:val="20"/>
        </w:rPr>
        <w:t>Healthy HeadWaters cost file for benchmarking of project cost items</w:t>
      </w:r>
      <w:r>
        <w:rPr>
          <w:rFonts w:ascii="Arial" w:eastAsia="Arial" w:hAnsi="Arial"/>
          <w:color w:val="000000"/>
          <w:sz w:val="20"/>
        </w:rPr>
        <w:t>, Marsden Jacob Associates, Brisbane.</w:t>
      </w:r>
    </w:p>
    <w:p w14:paraId="5F9255B4" w14:textId="77777777" w:rsidR="00D8670B" w:rsidRDefault="009B37A9">
      <w:pPr>
        <w:spacing w:before="126" w:line="231" w:lineRule="exact"/>
        <w:ind w:left="216" w:right="648"/>
        <w:textAlignment w:val="baseline"/>
        <w:rPr>
          <w:rFonts w:ascii="Arial" w:eastAsia="Arial" w:hAnsi="Arial"/>
          <w:color w:val="000000"/>
          <w:sz w:val="20"/>
        </w:rPr>
      </w:pPr>
      <w:r>
        <w:rPr>
          <w:rFonts w:ascii="Arial" w:eastAsia="Arial" w:hAnsi="Arial"/>
          <w:color w:val="000000"/>
          <w:sz w:val="20"/>
        </w:rPr>
        <w:t xml:space="preserve">WaterBiz Pty Ltd 2011, </w:t>
      </w:r>
      <w:r>
        <w:rPr>
          <w:rFonts w:ascii="Arial" w:eastAsia="Arial" w:hAnsi="Arial"/>
          <w:i/>
          <w:color w:val="000000"/>
          <w:sz w:val="20"/>
        </w:rPr>
        <w:t>Healthy HeadWaters centre pivot-lateral move benchmarking: 2010-2011 seasonal benchmarking report</w:t>
      </w:r>
      <w:r>
        <w:rPr>
          <w:rFonts w:ascii="Arial" w:eastAsia="Arial" w:hAnsi="Arial"/>
          <w:color w:val="000000"/>
          <w:sz w:val="20"/>
        </w:rPr>
        <w:t>, Wat</w:t>
      </w:r>
      <w:r>
        <w:rPr>
          <w:rFonts w:ascii="Arial" w:eastAsia="Arial" w:hAnsi="Arial"/>
          <w:color w:val="000000"/>
          <w:sz w:val="20"/>
        </w:rPr>
        <w:t>erBiz Pty Ltd, Toowoomba.</w:t>
      </w:r>
    </w:p>
    <w:p w14:paraId="0BEEB642" w14:textId="77777777" w:rsidR="00D8670B" w:rsidRDefault="009B37A9">
      <w:pPr>
        <w:spacing w:before="114" w:line="231" w:lineRule="exact"/>
        <w:ind w:left="216" w:right="648"/>
        <w:textAlignment w:val="baseline"/>
        <w:rPr>
          <w:rFonts w:ascii="Arial" w:eastAsia="Arial" w:hAnsi="Arial"/>
          <w:color w:val="000000"/>
          <w:sz w:val="20"/>
        </w:rPr>
      </w:pPr>
      <w:r>
        <w:rPr>
          <w:rFonts w:ascii="Arial" w:eastAsia="Arial" w:hAnsi="Arial"/>
          <w:color w:val="000000"/>
          <w:sz w:val="20"/>
        </w:rPr>
        <w:t xml:space="preserve">WaterBiz Pty Ltd 2012, </w:t>
      </w:r>
      <w:r>
        <w:rPr>
          <w:rFonts w:ascii="Arial" w:eastAsia="Arial" w:hAnsi="Arial"/>
          <w:i/>
          <w:color w:val="000000"/>
          <w:sz w:val="20"/>
        </w:rPr>
        <w:t>Healthy HeadWaters centre pivot-lateral move benchmarking: 2011-2012 seasonal benchmarking report</w:t>
      </w:r>
      <w:r>
        <w:rPr>
          <w:rFonts w:ascii="Arial" w:eastAsia="Arial" w:hAnsi="Arial"/>
          <w:color w:val="000000"/>
          <w:sz w:val="20"/>
        </w:rPr>
        <w:t>, WaterBiz Pty Ltd, Toowoomba.</w:t>
      </w:r>
    </w:p>
    <w:p w14:paraId="5FD2C09D" w14:textId="77777777" w:rsidR="00D8670B" w:rsidRDefault="009B37A9">
      <w:pPr>
        <w:spacing w:before="120" w:line="230" w:lineRule="exact"/>
        <w:ind w:left="216" w:right="648"/>
        <w:textAlignment w:val="baseline"/>
        <w:rPr>
          <w:rFonts w:ascii="Arial" w:eastAsia="Arial" w:hAnsi="Arial"/>
          <w:color w:val="000000"/>
          <w:sz w:val="20"/>
        </w:rPr>
      </w:pPr>
      <w:r>
        <w:rPr>
          <w:rFonts w:ascii="Arial" w:eastAsia="Arial" w:hAnsi="Arial"/>
          <w:color w:val="000000"/>
          <w:sz w:val="20"/>
        </w:rPr>
        <w:t xml:space="preserve">WaterBiz Pty Ltd 2013, </w:t>
      </w:r>
      <w:r>
        <w:rPr>
          <w:rFonts w:ascii="Arial" w:eastAsia="Arial" w:hAnsi="Arial"/>
          <w:i/>
          <w:color w:val="000000"/>
          <w:sz w:val="20"/>
        </w:rPr>
        <w:t>Healthy HeadWaters centre pivot-lateral move benchmarkin</w:t>
      </w:r>
      <w:r>
        <w:rPr>
          <w:rFonts w:ascii="Arial" w:eastAsia="Arial" w:hAnsi="Arial"/>
          <w:i/>
          <w:color w:val="000000"/>
          <w:sz w:val="20"/>
        </w:rPr>
        <w:t>g: 2012-2013 seasonal benchmarking report</w:t>
      </w:r>
      <w:r>
        <w:rPr>
          <w:rFonts w:ascii="Arial" w:eastAsia="Arial" w:hAnsi="Arial"/>
          <w:color w:val="000000"/>
          <w:sz w:val="20"/>
        </w:rPr>
        <w:t>, WaterBiz Pty Ltd, Toowoomba.</w:t>
      </w:r>
    </w:p>
    <w:p w14:paraId="3334418B" w14:textId="77777777" w:rsidR="00D8670B" w:rsidRDefault="009B37A9">
      <w:pPr>
        <w:spacing w:before="121" w:line="230" w:lineRule="exact"/>
        <w:ind w:left="216" w:right="936"/>
        <w:textAlignment w:val="baseline"/>
        <w:rPr>
          <w:rFonts w:ascii="Arial" w:eastAsia="Arial" w:hAnsi="Arial"/>
          <w:color w:val="000000"/>
          <w:sz w:val="20"/>
        </w:rPr>
      </w:pPr>
      <w:r>
        <w:rPr>
          <w:rFonts w:ascii="Arial" w:eastAsia="Arial" w:hAnsi="Arial"/>
          <w:color w:val="000000"/>
          <w:sz w:val="20"/>
        </w:rPr>
        <w:t xml:space="preserve">WaterBiz Pty Ltd 2015, </w:t>
      </w:r>
      <w:r>
        <w:rPr>
          <w:rFonts w:ascii="Arial" w:eastAsia="Arial" w:hAnsi="Arial"/>
          <w:i/>
          <w:color w:val="000000"/>
          <w:sz w:val="20"/>
        </w:rPr>
        <w:t>Healthy HeadWaters centre pivot-lateral move benchmarking: 2013/14 seasonal benchmarking report</w:t>
      </w:r>
      <w:r>
        <w:rPr>
          <w:rFonts w:ascii="Arial" w:eastAsia="Arial" w:hAnsi="Arial"/>
          <w:color w:val="000000"/>
          <w:sz w:val="20"/>
        </w:rPr>
        <w:t>, WaterBiz Pty Ltd, Toowoomba.</w:t>
      </w:r>
    </w:p>
    <w:p w14:paraId="76C34AA8" w14:textId="77777777" w:rsidR="00D8670B" w:rsidRDefault="009B37A9">
      <w:pPr>
        <w:spacing w:before="121" w:after="10903" w:line="230" w:lineRule="exact"/>
        <w:ind w:left="216" w:right="936"/>
        <w:textAlignment w:val="baseline"/>
        <w:rPr>
          <w:rFonts w:ascii="Arial" w:eastAsia="Arial" w:hAnsi="Arial"/>
          <w:color w:val="000000"/>
          <w:sz w:val="20"/>
        </w:rPr>
      </w:pPr>
      <w:r>
        <w:rPr>
          <w:rFonts w:ascii="Arial" w:eastAsia="Arial" w:hAnsi="Arial"/>
          <w:color w:val="000000"/>
          <w:sz w:val="20"/>
        </w:rPr>
        <w:t xml:space="preserve">WaterBiz Pty Ltd 2015, </w:t>
      </w:r>
      <w:r>
        <w:rPr>
          <w:rFonts w:ascii="Arial" w:eastAsia="Arial" w:hAnsi="Arial"/>
          <w:i/>
          <w:color w:val="000000"/>
          <w:sz w:val="20"/>
        </w:rPr>
        <w:t>Healthy HeadWaters centre pivot-lateral move benchmarking: 2014/15 seasonal benchmarking report</w:t>
      </w:r>
      <w:r>
        <w:rPr>
          <w:rFonts w:ascii="Arial" w:eastAsia="Arial" w:hAnsi="Arial"/>
          <w:color w:val="000000"/>
          <w:sz w:val="20"/>
        </w:rPr>
        <w:t>, WaterBiz Pty Ltd, Toowoomba.</w:t>
      </w:r>
    </w:p>
    <w:p w14:paraId="3D141514" w14:textId="77777777" w:rsidR="00D8670B" w:rsidRDefault="00D8670B">
      <w:pPr>
        <w:spacing w:before="121" w:after="10903" w:line="230" w:lineRule="exact"/>
        <w:sectPr w:rsidR="00D8670B">
          <w:pgSz w:w="11909" w:h="16838"/>
          <w:pgMar w:top="1000" w:right="917" w:bottom="282" w:left="653" w:header="720" w:footer="720" w:gutter="0"/>
          <w:cols w:space="720"/>
        </w:sectPr>
      </w:pPr>
    </w:p>
    <w:p w14:paraId="46797875" w14:textId="77777777" w:rsidR="00D8670B" w:rsidRDefault="009B37A9">
      <w:pPr>
        <w:spacing w:before="165" w:line="223" w:lineRule="exact"/>
        <w:jc w:val="center"/>
        <w:textAlignment w:val="baseline"/>
        <w:rPr>
          <w:rFonts w:ascii="Arial" w:eastAsia="Arial" w:hAnsi="Arial"/>
          <w:color w:val="000000"/>
          <w:spacing w:val="41"/>
          <w:sz w:val="20"/>
        </w:rPr>
      </w:pPr>
      <w:r>
        <w:pict w14:anchorId="264453E3">
          <v:line id="_x0000_s1026" style="position:absolute;left:0;text-align:left;z-index:251729920;mso-position-horizontal-relative:page;mso-position-vertical-relative:page" from="39.25pt,789.1pt" to="556.25pt,789.1pt" strokeweight="1.7pt">
            <w10:wrap anchorx="page" anchory="page"/>
          </v:line>
        </w:pict>
      </w:r>
      <w:r>
        <w:rPr>
          <w:rFonts w:ascii="Arial" w:eastAsia="Arial" w:hAnsi="Arial"/>
          <w:color w:val="000000"/>
          <w:spacing w:val="41"/>
          <w:sz w:val="20"/>
        </w:rPr>
        <w:t>49</w:t>
      </w:r>
    </w:p>
    <w:sectPr w:rsidR="00D8670B">
      <w:type w:val="continuous"/>
      <w:pgSz w:w="11909" w:h="16838"/>
      <w:pgMar w:top="1000" w:right="785" w:bottom="282" w:left="78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Segoe UI Symbol">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79577C"/>
    <w:multiLevelType w:val="multilevel"/>
    <w:tmpl w:val="E4BCAFCC"/>
    <w:lvl w:ilvl="0">
      <w:numFmt w:val="bullet"/>
      <w:lvlText w:val="·"/>
      <w:lvlJc w:val="left"/>
      <w:pPr>
        <w:tabs>
          <w:tab w:val="left" w:pos="288"/>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1577E0"/>
    <w:multiLevelType w:val="multilevel"/>
    <w:tmpl w:val="1A126A36"/>
    <w:lvl w:ilvl="0">
      <w:numFmt w:val="bullet"/>
      <w:lvlText w:val="·"/>
      <w:lvlJc w:val="left"/>
      <w:pPr>
        <w:tabs>
          <w:tab w:val="left" w:pos="360"/>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A9B6116"/>
    <w:multiLevelType w:val="multilevel"/>
    <w:tmpl w:val="9F28703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F2258DB"/>
    <w:multiLevelType w:val="multilevel"/>
    <w:tmpl w:val="33DAA676"/>
    <w:lvl w:ilvl="0">
      <w:numFmt w:val="bullet"/>
      <w:lvlText w:val="·"/>
      <w:lvlJc w:val="left"/>
      <w:pPr>
        <w:tabs>
          <w:tab w:val="left" w:pos="432"/>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A0E58BE"/>
    <w:multiLevelType w:val="multilevel"/>
    <w:tmpl w:val="670A5058"/>
    <w:lvl w:ilvl="0">
      <w:numFmt w:val="bullet"/>
      <w:lvlText w:val="·"/>
      <w:lvlJc w:val="left"/>
      <w:pPr>
        <w:tabs>
          <w:tab w:val="left" w:pos="432"/>
        </w:tabs>
      </w:pPr>
      <w:rPr>
        <w:rFonts w:ascii="Symbol" w:eastAsia="Symbol" w:hAnsi="Symbol"/>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B3C0E23"/>
    <w:multiLevelType w:val="multilevel"/>
    <w:tmpl w:val="EA2AFB5A"/>
    <w:lvl w:ilvl="0">
      <w:numFmt w:val="bullet"/>
      <w:lvlText w:val="o"/>
      <w:lvlJc w:val="left"/>
      <w:pPr>
        <w:tabs>
          <w:tab w:val="left" w:pos="360"/>
        </w:tabs>
      </w:pPr>
      <w:rPr>
        <w:rFonts w:ascii="Courier New" w:eastAsia="Courier New" w:hAnsi="Courier New"/>
        <w:color w:val="000000"/>
        <w:spacing w:val="-1"/>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D8670B"/>
    <w:rsid w:val="009B37A9"/>
    <w:rsid w:val="00AD0504"/>
    <w:rsid w:val="00D867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68"/>
    <o:shapelayout v:ext="edit">
      <o:idmap v:ext="edit" data="1"/>
    </o:shapelayout>
  </w:shapeDefaults>
  <w:decimalSymbol w:val="."/>
  <w:listSeparator w:val=","/>
  <w14:docId w14:val="47AB7D20"/>
  <w15:docId w15:val="{FA597D2B-EB5C-46AC-8D6A-38691C664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jpg"/><Relationship Id="rId39" Type="http://schemas.openxmlformats.org/officeDocument/2006/relationships/image" Target="media/image32.jpg"/><Relationship Id="rId21" Type="http://schemas.openxmlformats.org/officeDocument/2006/relationships/image" Target="media/image17.png"/><Relationship Id="rId34" Type="http://schemas.openxmlformats.org/officeDocument/2006/relationships/hyperlink" Target="http://www.youtube.com/watch?v=wW2dkeeJFEY&amp;feature=youtu.be" TargetMode="External"/><Relationship Id="rId42" Type="http://schemas.openxmlformats.org/officeDocument/2006/relationships/image" Target="media/image35.jpg"/><Relationship Id="rId47" Type="http://schemas.openxmlformats.org/officeDocument/2006/relationships/hyperlink" Target="https://kmsi.usq.edu.au/" TargetMode="External"/><Relationship Id="rId50" Type="http://schemas.openxmlformats.org/officeDocument/2006/relationships/image" Target="media/image41.jpg"/><Relationship Id="rId55"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7.jpg"/><Relationship Id="rId38" Type="http://schemas.openxmlformats.org/officeDocument/2006/relationships/image" Target="media/image31.jpg"/><Relationship Id="rId46" Type="http://schemas.openxmlformats.org/officeDocument/2006/relationships/image" Target="media/image39.jpg"/><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6.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hyperlink" Target="http://mppd.com.au/wp-content/uploads/2017/12/modifyingstorages.pdf" TargetMode="Externa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jpg"/><Relationship Id="rId36" Type="http://schemas.openxmlformats.org/officeDocument/2006/relationships/image" Target="media/image29.jpg"/><Relationship Id="rId49" Type="http://schemas.openxmlformats.org/officeDocument/2006/relationships/image" Target="media/image40.jp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hyperlink" Target="http://www.youtube.com/watch?v=nn-uFmaQKNM" TargetMode="External"/><Relationship Id="rId44" Type="http://schemas.openxmlformats.org/officeDocument/2006/relationships/image" Target="media/image37.jp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hyperlink" Target="http://tinyurl.com/yxbllb5k" TargetMode="External"/><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hyperlink" Target="http://www.agriculture.gov.au/water/mdb/progress-recovery/progress-of-water-recovery," TargetMode="External"/><Relationship Id="rId8" Type="http://schemas.openxmlformats.org/officeDocument/2006/relationships/image" Target="media/image4.jpg"/><Relationship Id="rId51" Type="http://schemas.openxmlformats.org/officeDocument/2006/relationships/image" Target="media/image4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18082</Words>
  <Characters>103072</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Healthy HeadWaters Water Use Efficiency Phase 2 Final Report</vt:lpstr>
    </vt:vector>
  </TitlesOfParts>
  <Company/>
  <LinksUpToDate>false</LinksUpToDate>
  <CharactersWithSpaces>120913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HeadWaters Water Use Efficiency Phase 2 Final Report</dc:title>
  <dc:creator>Department of Natural Resources, Mines and Energy</dc:creator>
  <cp:lastModifiedBy>Dang, Van</cp:lastModifiedBy>
  <cp:revision>3</cp:revision>
  <dcterms:created xsi:type="dcterms:W3CDTF">2021-04-14T04:31:00Z</dcterms:created>
  <dcterms:modified xsi:type="dcterms:W3CDTF">2021-04-14T04:32:00Z</dcterms:modified>
</cp:coreProperties>
</file>