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332A" w14:textId="30D95CD9" w:rsidR="00B6012C" w:rsidRPr="00A7524F" w:rsidRDefault="00E30D03" w:rsidP="00381C3D">
      <w:pPr>
        <w:widowControl w:val="0"/>
        <w:tabs>
          <w:tab w:val="left" w:pos="6700"/>
        </w:tabs>
        <w:jc w:val="center"/>
        <w:rPr>
          <w:rFonts w:cs="Arial"/>
          <w:sz w:val="48"/>
        </w:rPr>
      </w:pPr>
      <w:r>
        <w:rPr>
          <w:noProof/>
          <w:lang w:eastAsia="en-AU"/>
        </w:rPr>
        <w:drawing>
          <wp:inline distT="0" distB="0" distL="0" distR="0" wp14:anchorId="43274CCB" wp14:editId="55B9E21C">
            <wp:extent cx="3409950" cy="1057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9950" cy="1057275"/>
                    </a:xfrm>
                    <a:prstGeom prst="rect">
                      <a:avLst/>
                    </a:prstGeom>
                  </pic:spPr>
                </pic:pic>
              </a:graphicData>
            </a:graphic>
          </wp:inline>
        </w:drawing>
      </w:r>
    </w:p>
    <w:p w14:paraId="33C7C20A" w14:textId="77777777" w:rsidR="00B6012C" w:rsidRPr="00B05CDE" w:rsidRDefault="00B6012C" w:rsidP="00381C3D">
      <w:pPr>
        <w:widowControl w:val="0"/>
        <w:tabs>
          <w:tab w:val="left" w:pos="6700"/>
        </w:tabs>
        <w:jc w:val="center"/>
        <w:rPr>
          <w:rFonts w:cs="Arial"/>
          <w:sz w:val="40"/>
          <w:szCs w:val="40"/>
        </w:rPr>
      </w:pPr>
    </w:p>
    <w:p w14:paraId="116BB68D" w14:textId="77777777" w:rsidR="00B6012C" w:rsidRPr="00B05CDE" w:rsidRDefault="00B6012C" w:rsidP="00381C3D">
      <w:pPr>
        <w:widowControl w:val="0"/>
        <w:tabs>
          <w:tab w:val="left" w:pos="6700"/>
        </w:tabs>
        <w:jc w:val="center"/>
        <w:rPr>
          <w:rFonts w:cs="Arial"/>
          <w:sz w:val="40"/>
          <w:szCs w:val="40"/>
        </w:rPr>
      </w:pPr>
    </w:p>
    <w:p w14:paraId="7CB94214" w14:textId="7DDED51D" w:rsidR="00B6012C" w:rsidRPr="00F7797D" w:rsidRDefault="00B6012C" w:rsidP="00F7797D">
      <w:pPr>
        <w:jc w:val="center"/>
        <w:outlineLvl w:val="5"/>
        <w:rPr>
          <w:rFonts w:cs="Arial"/>
          <w:b/>
          <w:sz w:val="40"/>
          <w:szCs w:val="40"/>
        </w:rPr>
      </w:pPr>
      <w:r w:rsidRPr="00B05CDE">
        <w:rPr>
          <w:rFonts w:cs="Arial"/>
          <w:b/>
          <w:sz w:val="40"/>
          <w:szCs w:val="40"/>
        </w:rPr>
        <w:t>Assessment of the</w:t>
      </w:r>
      <w:r w:rsidR="00FC6381">
        <w:rPr>
          <w:rFonts w:cs="Arial"/>
          <w:b/>
          <w:sz w:val="40"/>
          <w:szCs w:val="40"/>
        </w:rPr>
        <w:t xml:space="preserve"> </w:t>
      </w:r>
      <w:r w:rsidR="00A30869">
        <w:rPr>
          <w:rFonts w:cs="Arial"/>
          <w:b/>
          <w:sz w:val="40"/>
          <w:szCs w:val="40"/>
        </w:rPr>
        <w:t>Queensland Sea Cucumber Fishery (East Coast)</w:t>
      </w:r>
    </w:p>
    <w:p w14:paraId="6A28F6C5" w14:textId="77777777" w:rsidR="00B6012C" w:rsidRPr="00B05CDE" w:rsidRDefault="00B6012C" w:rsidP="00381C3D">
      <w:pPr>
        <w:tabs>
          <w:tab w:val="left" w:pos="6700"/>
        </w:tabs>
        <w:jc w:val="center"/>
        <w:outlineLvl w:val="5"/>
        <w:rPr>
          <w:rFonts w:cs="Arial"/>
          <w:sz w:val="40"/>
          <w:szCs w:val="40"/>
        </w:rPr>
      </w:pPr>
    </w:p>
    <w:p w14:paraId="408FC6FF" w14:textId="77777777" w:rsidR="00B6012C" w:rsidRPr="00B05CDE" w:rsidRDefault="00B6012C" w:rsidP="00381C3D">
      <w:pPr>
        <w:tabs>
          <w:tab w:val="left" w:pos="6700"/>
        </w:tabs>
        <w:jc w:val="center"/>
        <w:outlineLvl w:val="5"/>
        <w:rPr>
          <w:rFonts w:cs="Arial"/>
          <w:sz w:val="40"/>
          <w:szCs w:val="40"/>
        </w:rPr>
      </w:pPr>
    </w:p>
    <w:p w14:paraId="09582250" w14:textId="77777777" w:rsidR="00B6012C" w:rsidRPr="00211477" w:rsidRDefault="00B6012C" w:rsidP="00211477"/>
    <w:p w14:paraId="6FDB88F3" w14:textId="77777777" w:rsidR="00B6012C" w:rsidRPr="00211477" w:rsidRDefault="00B6012C" w:rsidP="00211477"/>
    <w:p w14:paraId="5421CD4F" w14:textId="77777777" w:rsidR="00B6012C" w:rsidRPr="00211477" w:rsidRDefault="00B6012C" w:rsidP="00211477"/>
    <w:p w14:paraId="2FCE336E" w14:textId="77777777" w:rsidR="00B6012C" w:rsidRPr="00211477" w:rsidRDefault="00B6012C" w:rsidP="00211477"/>
    <w:p w14:paraId="615EED31" w14:textId="73FE4F2E" w:rsidR="00381C3D" w:rsidRPr="00211477" w:rsidRDefault="00381C3D" w:rsidP="00211477"/>
    <w:p w14:paraId="3380EC84" w14:textId="77777777" w:rsidR="00381C3D" w:rsidRPr="00211477" w:rsidRDefault="00381C3D" w:rsidP="00211477"/>
    <w:p w14:paraId="3360CB3D" w14:textId="77777777" w:rsidR="00381C3D" w:rsidRPr="00211477" w:rsidRDefault="00381C3D" w:rsidP="00211477"/>
    <w:p w14:paraId="45DC70E5" w14:textId="77777777" w:rsidR="00381C3D" w:rsidRPr="00211477" w:rsidRDefault="00381C3D" w:rsidP="00211477"/>
    <w:p w14:paraId="34CDA9D0" w14:textId="77777777" w:rsidR="00381C3D" w:rsidRPr="00211477" w:rsidRDefault="00381C3D" w:rsidP="00211477"/>
    <w:p w14:paraId="535E58FC" w14:textId="77777777" w:rsidR="00381C3D" w:rsidRPr="00211477" w:rsidRDefault="00381C3D" w:rsidP="00211477"/>
    <w:p w14:paraId="1497D3BD" w14:textId="7377A734" w:rsidR="00B6012C" w:rsidRPr="00F6308F" w:rsidRDefault="009D28AE" w:rsidP="00381C3D">
      <w:pPr>
        <w:pStyle w:val="Heading7"/>
        <w:keepNext w:val="0"/>
        <w:autoSpaceDE/>
        <w:autoSpaceDN/>
        <w:spacing w:after="120"/>
        <w:rPr>
          <w:rFonts w:ascii="Arial" w:hAnsi="Arial" w:cs="Arial"/>
          <w:lang w:val="en-AU"/>
        </w:rPr>
      </w:pPr>
      <w:r>
        <w:rPr>
          <w:rFonts w:ascii="Arial" w:hAnsi="Arial" w:cs="Arial"/>
          <w:lang w:val="en-AU"/>
        </w:rPr>
        <w:t>November</w:t>
      </w:r>
      <w:r w:rsidR="00B6012C" w:rsidRPr="00D34159">
        <w:rPr>
          <w:rFonts w:ascii="Arial" w:hAnsi="Arial" w:cs="Arial"/>
          <w:lang w:val="en-AU"/>
        </w:rPr>
        <w:t xml:space="preserve"> </w:t>
      </w:r>
      <w:r w:rsidR="00D34159">
        <w:rPr>
          <w:rFonts w:ascii="Arial" w:hAnsi="Arial" w:cs="Arial"/>
          <w:lang w:val="en-AU"/>
        </w:rPr>
        <w:t>2021</w:t>
      </w:r>
    </w:p>
    <w:p w14:paraId="1FA2A5CC" w14:textId="77777777" w:rsidR="00B6012C" w:rsidRPr="00F6308F" w:rsidRDefault="00B6012C" w:rsidP="00381C3D">
      <w:pPr>
        <w:jc w:val="center"/>
        <w:outlineLvl w:val="5"/>
        <w:rPr>
          <w:rFonts w:cs="Arial"/>
        </w:rPr>
      </w:pPr>
    </w:p>
    <w:p w14:paraId="2040416A" w14:textId="77777777" w:rsidR="00B6012C" w:rsidRPr="00F6308F" w:rsidRDefault="00B6012C" w:rsidP="00381C3D">
      <w:pPr>
        <w:rPr>
          <w:rFonts w:cs="Arial"/>
        </w:rPr>
      </w:pPr>
    </w:p>
    <w:p w14:paraId="54B4FEE2" w14:textId="77777777" w:rsidR="00574DD7" w:rsidRDefault="00574DD7" w:rsidP="00381C3D">
      <w:pPr>
        <w:rPr>
          <w:rFonts w:cs="Arial"/>
        </w:rPr>
        <w:sectPr w:rsidR="00574DD7" w:rsidSect="001955CD">
          <w:footerReference w:type="default" r:id="rId12"/>
          <w:footerReference w:type="first" r:id="rId13"/>
          <w:pgSz w:w="11906" w:h="16838"/>
          <w:pgMar w:top="1418" w:right="1276" w:bottom="567" w:left="1418" w:header="425" w:footer="425" w:gutter="0"/>
          <w:pgNumType w:start="1"/>
          <w:cols w:space="708"/>
          <w:titlePg/>
          <w:docGrid w:linePitch="360"/>
        </w:sectPr>
      </w:pPr>
    </w:p>
    <w:p w14:paraId="5C1A4B42" w14:textId="5916A496" w:rsidR="00B6012C" w:rsidRPr="00574DD7" w:rsidRDefault="00B6012C" w:rsidP="00381C3D">
      <w:pPr>
        <w:rPr>
          <w:rFonts w:cs="Arial"/>
          <w:sz w:val="20"/>
          <w:szCs w:val="20"/>
        </w:rPr>
      </w:pPr>
    </w:p>
    <w:p w14:paraId="1AB4BB3C" w14:textId="4FFE5C06" w:rsidR="00134108" w:rsidRPr="00574DD7" w:rsidRDefault="00134108" w:rsidP="00381C3D">
      <w:pPr>
        <w:rPr>
          <w:rStyle w:val="Hyperlink"/>
          <w:rFonts w:eastAsia="Times New Roman" w:cs="Arial"/>
          <w:noProof/>
          <w:color w:val="auto"/>
          <w:sz w:val="20"/>
          <w:szCs w:val="20"/>
          <w:lang w:eastAsia="en-AU"/>
        </w:rPr>
      </w:pPr>
    </w:p>
    <w:p w14:paraId="02B38320" w14:textId="77777777" w:rsidR="00134108" w:rsidRPr="00574DD7" w:rsidRDefault="00134108" w:rsidP="00381C3D">
      <w:pPr>
        <w:rPr>
          <w:rStyle w:val="Hyperlink"/>
          <w:rFonts w:eastAsia="Times New Roman" w:cs="Arial"/>
          <w:noProof/>
          <w:color w:val="auto"/>
          <w:sz w:val="20"/>
          <w:szCs w:val="20"/>
          <w:lang w:eastAsia="en-AU"/>
        </w:rPr>
      </w:pPr>
    </w:p>
    <w:p w14:paraId="2C148F52" w14:textId="77777777" w:rsidR="00134108" w:rsidRPr="00574DD7" w:rsidRDefault="00134108" w:rsidP="00381C3D">
      <w:pPr>
        <w:rPr>
          <w:rStyle w:val="Hyperlink"/>
          <w:rFonts w:eastAsia="Times New Roman" w:cs="Arial"/>
          <w:noProof/>
          <w:color w:val="auto"/>
          <w:sz w:val="20"/>
          <w:szCs w:val="20"/>
          <w:lang w:eastAsia="en-AU"/>
        </w:rPr>
      </w:pPr>
    </w:p>
    <w:p w14:paraId="796DA257" w14:textId="77777777" w:rsidR="00134108" w:rsidRDefault="00134108" w:rsidP="00381C3D">
      <w:pPr>
        <w:rPr>
          <w:rStyle w:val="Hyperlink"/>
          <w:rFonts w:eastAsia="Times New Roman" w:cs="Arial"/>
          <w:noProof/>
          <w:color w:val="auto"/>
          <w:sz w:val="20"/>
          <w:szCs w:val="20"/>
          <w:lang w:eastAsia="en-AU"/>
        </w:rPr>
      </w:pPr>
    </w:p>
    <w:p w14:paraId="55A75FF0" w14:textId="5A9C8879" w:rsidR="00381C3D" w:rsidRDefault="00381C3D" w:rsidP="00381C3D">
      <w:pPr>
        <w:rPr>
          <w:rStyle w:val="Hyperlink"/>
          <w:rFonts w:eastAsia="Times New Roman" w:cs="Arial"/>
          <w:noProof/>
          <w:color w:val="auto"/>
          <w:sz w:val="20"/>
          <w:szCs w:val="20"/>
          <w:lang w:eastAsia="en-AU"/>
        </w:rPr>
      </w:pPr>
    </w:p>
    <w:p w14:paraId="6E33F720" w14:textId="77777777" w:rsidR="00381C3D" w:rsidRDefault="00381C3D" w:rsidP="00381C3D">
      <w:pPr>
        <w:rPr>
          <w:rStyle w:val="Hyperlink"/>
          <w:rFonts w:eastAsia="Times New Roman" w:cs="Arial"/>
          <w:noProof/>
          <w:color w:val="auto"/>
          <w:sz w:val="20"/>
          <w:szCs w:val="20"/>
          <w:lang w:eastAsia="en-AU"/>
        </w:rPr>
      </w:pPr>
    </w:p>
    <w:p w14:paraId="4DFC8019" w14:textId="77777777" w:rsidR="00381C3D" w:rsidRDefault="00381C3D" w:rsidP="00381C3D">
      <w:pPr>
        <w:rPr>
          <w:rStyle w:val="Hyperlink"/>
          <w:rFonts w:eastAsia="Times New Roman" w:cs="Arial"/>
          <w:noProof/>
          <w:color w:val="auto"/>
          <w:sz w:val="20"/>
          <w:szCs w:val="20"/>
          <w:lang w:eastAsia="en-AU"/>
        </w:rPr>
      </w:pPr>
    </w:p>
    <w:p w14:paraId="27F68273" w14:textId="77777777" w:rsidR="00381C3D" w:rsidRDefault="00381C3D" w:rsidP="00381C3D">
      <w:pPr>
        <w:rPr>
          <w:rStyle w:val="Hyperlink"/>
          <w:rFonts w:eastAsia="Times New Roman" w:cs="Arial"/>
          <w:noProof/>
          <w:color w:val="auto"/>
          <w:sz w:val="20"/>
          <w:szCs w:val="20"/>
          <w:lang w:eastAsia="en-AU"/>
        </w:rPr>
      </w:pPr>
    </w:p>
    <w:p w14:paraId="6B5E3DAC" w14:textId="77777777" w:rsidR="00381C3D" w:rsidRDefault="00381C3D" w:rsidP="00381C3D">
      <w:pPr>
        <w:rPr>
          <w:rStyle w:val="Hyperlink"/>
          <w:rFonts w:eastAsia="Times New Roman" w:cs="Arial"/>
          <w:noProof/>
          <w:color w:val="auto"/>
          <w:sz w:val="20"/>
          <w:szCs w:val="20"/>
          <w:lang w:eastAsia="en-AU"/>
        </w:rPr>
      </w:pPr>
    </w:p>
    <w:p w14:paraId="0BDF2950" w14:textId="77777777" w:rsidR="00381C3D" w:rsidRDefault="00381C3D" w:rsidP="00381C3D">
      <w:pPr>
        <w:rPr>
          <w:rStyle w:val="Hyperlink"/>
          <w:rFonts w:eastAsia="Times New Roman" w:cs="Arial"/>
          <w:noProof/>
          <w:color w:val="auto"/>
          <w:sz w:val="20"/>
          <w:szCs w:val="20"/>
          <w:lang w:eastAsia="en-AU"/>
        </w:rPr>
      </w:pPr>
    </w:p>
    <w:p w14:paraId="3278EA5D" w14:textId="77777777" w:rsidR="00381C3D" w:rsidRDefault="00381C3D" w:rsidP="00381C3D">
      <w:pPr>
        <w:rPr>
          <w:rStyle w:val="Hyperlink"/>
          <w:rFonts w:eastAsia="Times New Roman" w:cs="Arial"/>
          <w:noProof/>
          <w:color w:val="auto"/>
          <w:sz w:val="20"/>
          <w:szCs w:val="20"/>
          <w:lang w:eastAsia="en-AU"/>
        </w:rPr>
      </w:pPr>
    </w:p>
    <w:p w14:paraId="53DF490F" w14:textId="77777777" w:rsidR="00381C3D" w:rsidRDefault="00381C3D" w:rsidP="00381C3D">
      <w:pPr>
        <w:rPr>
          <w:rStyle w:val="Hyperlink"/>
          <w:rFonts w:eastAsia="Times New Roman" w:cs="Arial"/>
          <w:noProof/>
          <w:color w:val="auto"/>
          <w:sz w:val="20"/>
          <w:szCs w:val="20"/>
          <w:lang w:eastAsia="en-AU"/>
        </w:rPr>
      </w:pPr>
    </w:p>
    <w:p w14:paraId="53A8FDD9" w14:textId="77777777" w:rsidR="00381C3D" w:rsidRDefault="00381C3D" w:rsidP="00381C3D">
      <w:pPr>
        <w:rPr>
          <w:rStyle w:val="Hyperlink"/>
          <w:rFonts w:eastAsia="Times New Roman" w:cs="Arial"/>
          <w:noProof/>
          <w:color w:val="auto"/>
          <w:sz w:val="20"/>
          <w:szCs w:val="20"/>
          <w:lang w:eastAsia="en-AU"/>
        </w:rPr>
      </w:pPr>
    </w:p>
    <w:p w14:paraId="626ADEFF" w14:textId="77777777" w:rsidR="00381C3D" w:rsidRDefault="00381C3D" w:rsidP="00381C3D">
      <w:pPr>
        <w:rPr>
          <w:rStyle w:val="Hyperlink"/>
          <w:rFonts w:eastAsia="Times New Roman" w:cs="Arial"/>
          <w:noProof/>
          <w:color w:val="auto"/>
          <w:sz w:val="20"/>
          <w:szCs w:val="20"/>
          <w:lang w:eastAsia="en-AU"/>
        </w:rPr>
      </w:pPr>
    </w:p>
    <w:p w14:paraId="4C68D5AF" w14:textId="77777777" w:rsidR="00381C3D" w:rsidRDefault="00381C3D" w:rsidP="00381C3D">
      <w:pPr>
        <w:rPr>
          <w:rStyle w:val="Hyperlink"/>
          <w:rFonts w:eastAsia="Times New Roman" w:cs="Arial"/>
          <w:noProof/>
          <w:color w:val="auto"/>
          <w:sz w:val="20"/>
          <w:szCs w:val="20"/>
          <w:lang w:eastAsia="en-AU"/>
        </w:rPr>
      </w:pPr>
    </w:p>
    <w:p w14:paraId="4AF0A397" w14:textId="77777777" w:rsidR="00134108" w:rsidRPr="00574DD7" w:rsidRDefault="00134108" w:rsidP="00381C3D">
      <w:pPr>
        <w:rPr>
          <w:rStyle w:val="Hyperlink"/>
          <w:rFonts w:eastAsia="Times New Roman" w:cs="Arial"/>
          <w:noProof/>
          <w:color w:val="auto"/>
          <w:sz w:val="20"/>
          <w:szCs w:val="20"/>
          <w:lang w:eastAsia="en-AU"/>
        </w:rPr>
      </w:pPr>
    </w:p>
    <w:p w14:paraId="38149A8D" w14:textId="77777777" w:rsidR="00134108" w:rsidRPr="00574DD7" w:rsidRDefault="00134108" w:rsidP="00381C3D">
      <w:pPr>
        <w:rPr>
          <w:rStyle w:val="Hyperlink"/>
          <w:rFonts w:eastAsia="Times New Roman" w:cs="Arial"/>
          <w:noProof/>
          <w:color w:val="auto"/>
          <w:sz w:val="20"/>
          <w:szCs w:val="20"/>
          <w:lang w:eastAsia="en-AU"/>
        </w:rPr>
      </w:pPr>
    </w:p>
    <w:p w14:paraId="44147207" w14:textId="32DA7E53" w:rsidR="00216DC7" w:rsidRPr="00574DD7" w:rsidRDefault="00216DC7" w:rsidP="00381C3D">
      <w:pPr>
        <w:tabs>
          <w:tab w:val="right" w:leader="dot" w:pos="8302"/>
        </w:tabs>
        <w:rPr>
          <w:rFonts w:cs="Arial"/>
          <w:noProof/>
          <w:webHidden/>
          <w:sz w:val="20"/>
          <w:szCs w:val="20"/>
        </w:rPr>
      </w:pPr>
    </w:p>
    <w:p w14:paraId="7E323DD6" w14:textId="6550424C" w:rsidR="00056E19" w:rsidRPr="00574DD7" w:rsidRDefault="00056E19" w:rsidP="00381C3D">
      <w:pPr>
        <w:tabs>
          <w:tab w:val="right" w:leader="dot" w:pos="8302"/>
        </w:tabs>
        <w:rPr>
          <w:rFonts w:cs="Arial"/>
          <w:noProof/>
          <w:webHidden/>
          <w:sz w:val="20"/>
          <w:szCs w:val="20"/>
        </w:rPr>
      </w:pPr>
    </w:p>
    <w:p w14:paraId="79EBC778" w14:textId="77777777" w:rsidR="00056E19" w:rsidRPr="00574DD7" w:rsidRDefault="00056E19" w:rsidP="00381C3D">
      <w:pPr>
        <w:tabs>
          <w:tab w:val="right" w:leader="dot" w:pos="8302"/>
        </w:tabs>
        <w:rPr>
          <w:rFonts w:cs="Arial"/>
          <w:noProof/>
          <w:webHidden/>
          <w:sz w:val="20"/>
          <w:szCs w:val="20"/>
        </w:rPr>
      </w:pPr>
    </w:p>
    <w:p w14:paraId="7874054E" w14:textId="77777777" w:rsidR="00056E19" w:rsidRPr="00574DD7" w:rsidRDefault="00056E19" w:rsidP="00381C3D">
      <w:pPr>
        <w:tabs>
          <w:tab w:val="right" w:leader="dot" w:pos="8302"/>
        </w:tabs>
        <w:rPr>
          <w:rFonts w:cs="Arial"/>
          <w:noProof/>
          <w:webHidden/>
          <w:sz w:val="20"/>
          <w:szCs w:val="20"/>
        </w:rPr>
      </w:pPr>
    </w:p>
    <w:p w14:paraId="14434FC4" w14:textId="77777777" w:rsidR="00056E19" w:rsidRPr="00574DD7" w:rsidRDefault="00056E19" w:rsidP="00381C3D">
      <w:pPr>
        <w:tabs>
          <w:tab w:val="right" w:leader="dot" w:pos="8302"/>
        </w:tabs>
        <w:rPr>
          <w:rFonts w:cs="Arial"/>
          <w:noProof/>
          <w:webHidden/>
          <w:sz w:val="20"/>
          <w:szCs w:val="20"/>
        </w:rPr>
      </w:pPr>
    </w:p>
    <w:p w14:paraId="0640B96F" w14:textId="4B8E758E" w:rsidR="00C743A7" w:rsidRPr="00574DD7" w:rsidRDefault="00C743A7" w:rsidP="00381C3D">
      <w:pPr>
        <w:rPr>
          <w:rFonts w:cs="Arial"/>
          <w:sz w:val="20"/>
          <w:szCs w:val="20"/>
        </w:rPr>
      </w:pPr>
    </w:p>
    <w:p w14:paraId="7C167C8F" w14:textId="2C6D9A97" w:rsidR="00C743A7" w:rsidRPr="00480A40" w:rsidRDefault="00C743A7" w:rsidP="00381C3D">
      <w:pPr>
        <w:pStyle w:val="NormalWeb"/>
        <w:spacing w:before="120" w:beforeAutospacing="0" w:after="120" w:afterAutospacing="0"/>
        <w:rPr>
          <w:rFonts w:ascii="Arial" w:hAnsi="Arial" w:cs="Arial"/>
          <w:sz w:val="16"/>
          <w:szCs w:val="16"/>
        </w:rPr>
      </w:pPr>
      <w:r w:rsidRPr="00480A40">
        <w:rPr>
          <w:rFonts w:ascii="Arial" w:hAnsi="Arial" w:cs="Arial"/>
          <w:sz w:val="16"/>
          <w:szCs w:val="16"/>
        </w:rPr>
        <w:t>© Copyright</w:t>
      </w:r>
      <w:r>
        <w:rPr>
          <w:rFonts w:ascii="Arial" w:hAnsi="Arial" w:cs="Arial"/>
          <w:sz w:val="16"/>
          <w:szCs w:val="16"/>
        </w:rPr>
        <w:t xml:space="preserve"> Commonwealth of Australia, </w:t>
      </w:r>
      <w:r w:rsidR="00D34159">
        <w:rPr>
          <w:rFonts w:ascii="Arial" w:hAnsi="Arial" w:cs="Arial"/>
          <w:sz w:val="16"/>
          <w:szCs w:val="16"/>
        </w:rPr>
        <w:t>2021</w:t>
      </w:r>
      <w:r w:rsidRPr="00480A40">
        <w:rPr>
          <w:rFonts w:ascii="Arial" w:hAnsi="Arial" w:cs="Arial"/>
          <w:sz w:val="16"/>
          <w:szCs w:val="16"/>
        </w:rPr>
        <w:t>.</w:t>
      </w:r>
    </w:p>
    <w:p w14:paraId="05B584B8" w14:textId="77777777" w:rsidR="00C743A7" w:rsidRPr="00480A40" w:rsidRDefault="00C743A7" w:rsidP="00381C3D">
      <w:pPr>
        <w:pStyle w:val="NormalWeb"/>
        <w:spacing w:before="120" w:beforeAutospacing="0" w:after="120" w:afterAutospacing="0"/>
        <w:rPr>
          <w:rFonts w:ascii="Arial" w:hAnsi="Arial" w:cs="Arial"/>
          <w:i/>
          <w:sz w:val="16"/>
          <w:szCs w:val="16"/>
        </w:rPr>
      </w:pPr>
      <w:r>
        <w:rPr>
          <w:rFonts w:ascii="Arial" w:hAnsi="Arial" w:cs="Arial"/>
          <w:noProof/>
          <w:sz w:val="16"/>
          <w:szCs w:val="16"/>
          <w:lang w:val="en-AU" w:eastAsia="en-AU"/>
        </w:rPr>
        <w:drawing>
          <wp:inline distT="0" distB="0" distL="0" distR="0" wp14:anchorId="4697E7F7" wp14:editId="4CAAC379">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4"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1FB1499B" w14:textId="1E56BB67" w:rsidR="00C743A7" w:rsidRPr="00480A40" w:rsidRDefault="00C743A7" w:rsidP="00381C3D">
      <w:pPr>
        <w:pStyle w:val="NormalWeb"/>
        <w:spacing w:before="120" w:beforeAutospacing="0" w:after="120" w:afterAutospacing="0"/>
        <w:rPr>
          <w:rFonts w:ascii="Arial" w:hAnsi="Arial" w:cs="Arial"/>
          <w:sz w:val="16"/>
          <w:szCs w:val="16"/>
        </w:rPr>
      </w:pPr>
      <w:r w:rsidRPr="006F5EA3">
        <w:rPr>
          <w:rFonts w:ascii="Arial" w:hAnsi="Arial" w:cs="Arial"/>
          <w:i/>
          <w:sz w:val="16"/>
          <w:szCs w:val="16"/>
        </w:rPr>
        <w:t xml:space="preserve">Assessment of the </w:t>
      </w:r>
      <w:r w:rsidR="006F5EA3" w:rsidRPr="006F5EA3">
        <w:rPr>
          <w:rFonts w:ascii="Arial" w:hAnsi="Arial" w:cs="Arial"/>
          <w:i/>
          <w:sz w:val="16"/>
          <w:szCs w:val="16"/>
        </w:rPr>
        <w:t xml:space="preserve">Queensland Sea Cucumber Fishery </w:t>
      </w:r>
      <w:r w:rsidR="009D28AE">
        <w:rPr>
          <w:rFonts w:ascii="Arial" w:hAnsi="Arial" w:cs="Arial"/>
          <w:i/>
          <w:sz w:val="16"/>
          <w:szCs w:val="16"/>
        </w:rPr>
        <w:t>November</w:t>
      </w:r>
      <w:r w:rsidR="006F5EA3" w:rsidRPr="006F5EA3">
        <w:rPr>
          <w:rFonts w:ascii="Arial" w:hAnsi="Arial" w:cs="Arial"/>
          <w:i/>
          <w:sz w:val="16"/>
          <w:szCs w:val="16"/>
        </w:rPr>
        <w:t xml:space="preserve"> 2021</w:t>
      </w:r>
      <w:r w:rsidR="00056E19" w:rsidRPr="006F5EA3">
        <w:rPr>
          <w:rFonts w:ascii="Arial" w:hAnsi="Arial" w:cs="Arial"/>
          <w:i/>
          <w:sz w:val="16"/>
          <w:szCs w:val="16"/>
        </w:rPr>
        <w:t xml:space="preserve"> </w:t>
      </w:r>
      <w:r w:rsidRPr="00480A40">
        <w:rPr>
          <w:rFonts w:ascii="Arial" w:hAnsi="Arial" w:cs="Arial"/>
          <w:sz w:val="16"/>
          <w:szCs w:val="16"/>
        </w:rPr>
        <w:t xml:space="preserve">is licensed by the Commonwealth of Australia for use under a Creative Commons </w:t>
      </w:r>
      <w:proofErr w:type="gramStart"/>
      <w:r w:rsidRPr="00480A40">
        <w:rPr>
          <w:rFonts w:ascii="Arial" w:hAnsi="Arial" w:cs="Arial"/>
          <w:sz w:val="16"/>
          <w:szCs w:val="16"/>
        </w:rPr>
        <w:t>By</w:t>
      </w:r>
      <w:proofErr w:type="gramEnd"/>
      <w:r w:rsidRPr="00480A40">
        <w:rPr>
          <w:rFonts w:ascii="Arial" w:hAnsi="Arial" w:cs="Arial"/>
          <w:sz w:val="16"/>
          <w:szCs w:val="16"/>
        </w:rPr>
        <w:t xml:space="preserve"> Attribution 3.0 Australia </w:t>
      </w:r>
      <w:proofErr w:type="spellStart"/>
      <w:r w:rsidRPr="00480A40">
        <w:rPr>
          <w:rFonts w:ascii="Arial" w:hAnsi="Arial" w:cs="Arial"/>
          <w:sz w:val="16"/>
          <w:szCs w:val="16"/>
        </w:rPr>
        <w:t>licence</w:t>
      </w:r>
      <w:proofErr w:type="spellEnd"/>
      <w:r w:rsidRPr="00480A40">
        <w:rPr>
          <w:rFonts w:ascii="Arial" w:hAnsi="Arial" w:cs="Arial"/>
          <w:sz w:val="16"/>
          <w:szCs w:val="16"/>
        </w:rPr>
        <w:t xml:space="preserve"> with the exception of the Coat of Arms of the Commonwealth of Australia, the logo of the agency responsible for publishing the report, content supplied by third parties, and any images depicting people. For </w:t>
      </w:r>
      <w:proofErr w:type="spellStart"/>
      <w:r w:rsidRPr="00480A40">
        <w:rPr>
          <w:rFonts w:ascii="Arial" w:hAnsi="Arial" w:cs="Arial"/>
          <w:sz w:val="16"/>
          <w:szCs w:val="16"/>
        </w:rPr>
        <w:t>licence</w:t>
      </w:r>
      <w:proofErr w:type="spellEnd"/>
      <w:r w:rsidRPr="00480A40">
        <w:rPr>
          <w:rFonts w:ascii="Arial" w:hAnsi="Arial" w:cs="Arial"/>
          <w:sz w:val="16"/>
          <w:szCs w:val="16"/>
        </w:rPr>
        <w:t xml:space="preserve"> conditions see: http://creativecommons.org/licenses/by/3.0/au/.</w:t>
      </w:r>
    </w:p>
    <w:p w14:paraId="6F619313" w14:textId="05163C44" w:rsidR="00C743A7" w:rsidRPr="00480A40" w:rsidRDefault="00C743A7" w:rsidP="00381C3D">
      <w:pPr>
        <w:pStyle w:val="NormalWeb"/>
        <w:spacing w:before="120" w:beforeAutospacing="0" w:after="120" w:afterAutospacing="0"/>
        <w:rPr>
          <w:rFonts w:ascii="Arial" w:hAnsi="Arial" w:cs="Arial"/>
          <w:sz w:val="16"/>
          <w:szCs w:val="16"/>
        </w:rPr>
      </w:pPr>
      <w:r w:rsidRPr="00480A40">
        <w:rPr>
          <w:rFonts w:ascii="Arial" w:hAnsi="Arial" w:cs="Arial"/>
          <w:sz w:val="16"/>
          <w:szCs w:val="16"/>
        </w:rPr>
        <w:t>This report should be attributed as ‘</w:t>
      </w:r>
      <w:r w:rsidR="006F5EA3" w:rsidRPr="006F5EA3">
        <w:rPr>
          <w:rFonts w:ascii="Arial" w:hAnsi="Arial" w:cs="Arial"/>
          <w:i/>
          <w:sz w:val="16"/>
          <w:szCs w:val="16"/>
        </w:rPr>
        <w:t xml:space="preserve">Assessment of the Queensland Sea Cucumber Fishery </w:t>
      </w:r>
      <w:r w:rsidR="009D28AE">
        <w:rPr>
          <w:rFonts w:ascii="Arial" w:hAnsi="Arial" w:cs="Arial"/>
          <w:i/>
          <w:sz w:val="16"/>
          <w:szCs w:val="16"/>
        </w:rPr>
        <w:t>November</w:t>
      </w:r>
      <w:r w:rsidR="006F5EA3" w:rsidRPr="006F5EA3">
        <w:rPr>
          <w:rFonts w:ascii="Arial" w:hAnsi="Arial" w:cs="Arial"/>
          <w:i/>
          <w:sz w:val="16"/>
          <w:szCs w:val="16"/>
        </w:rPr>
        <w:t xml:space="preserve"> 2021</w:t>
      </w:r>
      <w:r w:rsidRPr="00480A40">
        <w:rPr>
          <w:rFonts w:ascii="Arial" w:hAnsi="Arial" w:cs="Arial"/>
          <w:sz w:val="16"/>
          <w:szCs w:val="16"/>
        </w:rPr>
        <w:t xml:space="preserve">, Commonwealth of Australia </w:t>
      </w:r>
      <w:r w:rsidR="006F5EA3">
        <w:rPr>
          <w:rFonts w:ascii="Arial" w:hAnsi="Arial" w:cs="Arial"/>
          <w:sz w:val="16"/>
          <w:szCs w:val="16"/>
        </w:rPr>
        <w:t>2021</w:t>
      </w:r>
      <w:r w:rsidR="004649FA">
        <w:rPr>
          <w:rFonts w:ascii="Arial" w:hAnsi="Arial" w:cs="Arial"/>
          <w:sz w:val="16"/>
          <w:szCs w:val="16"/>
        </w:rPr>
        <w:t>’</w:t>
      </w:r>
      <w:r w:rsidRPr="00480A40">
        <w:rPr>
          <w:rFonts w:ascii="Arial" w:hAnsi="Arial" w:cs="Arial"/>
          <w:sz w:val="16"/>
          <w:szCs w:val="16"/>
        </w:rPr>
        <w:t>.</w:t>
      </w:r>
    </w:p>
    <w:p w14:paraId="0D5442F5" w14:textId="77777777" w:rsidR="00C743A7" w:rsidRPr="00F6308F" w:rsidRDefault="00C743A7" w:rsidP="00381C3D">
      <w:pPr>
        <w:pStyle w:val="NormalWeb"/>
        <w:spacing w:before="120" w:beforeAutospacing="0" w:after="120" w:afterAutospacing="0"/>
        <w:rPr>
          <w:rFonts w:ascii="Arial" w:hAnsi="Arial" w:cs="Arial"/>
          <w:sz w:val="20"/>
          <w:szCs w:val="20"/>
          <w:lang w:val="en-AU"/>
        </w:rPr>
      </w:pPr>
      <w:r w:rsidRPr="00F6308F">
        <w:rPr>
          <w:rFonts w:ascii="Arial" w:hAnsi="Arial" w:cs="Arial"/>
          <w:sz w:val="20"/>
          <w:szCs w:val="20"/>
          <w:lang w:val="en-AU"/>
        </w:rPr>
        <w:t xml:space="preserve"> </w:t>
      </w:r>
    </w:p>
    <w:p w14:paraId="749958A3" w14:textId="77777777" w:rsidR="00C743A7" w:rsidRPr="00F6308F" w:rsidRDefault="00C743A7" w:rsidP="00381C3D">
      <w:pPr>
        <w:rPr>
          <w:rFonts w:cs="Arial"/>
          <w:b/>
          <w:sz w:val="16"/>
          <w:szCs w:val="16"/>
        </w:rPr>
      </w:pPr>
      <w:r w:rsidRPr="00F6308F">
        <w:rPr>
          <w:rFonts w:cs="Arial"/>
          <w:b/>
          <w:sz w:val="16"/>
          <w:szCs w:val="16"/>
        </w:rPr>
        <w:t>Disclaimer</w:t>
      </w:r>
    </w:p>
    <w:p w14:paraId="39EA68CA" w14:textId="4FB35067" w:rsidR="00C743A7" w:rsidRPr="00F6308F" w:rsidRDefault="00C743A7" w:rsidP="00381C3D">
      <w:pPr>
        <w:pStyle w:val="NormalWeb"/>
        <w:spacing w:before="120" w:beforeAutospacing="0" w:after="120" w:afterAutospacing="0"/>
        <w:rPr>
          <w:rFonts w:ascii="Arial" w:hAnsi="Arial" w:cs="Arial"/>
          <w:sz w:val="16"/>
          <w:szCs w:val="16"/>
          <w:lang w:val="en-AU"/>
        </w:rPr>
      </w:pPr>
      <w:r w:rsidRPr="00F6308F">
        <w:rPr>
          <w:rFonts w:ascii="Arial" w:hAnsi="Arial" w:cs="Arial"/>
          <w:sz w:val="16"/>
          <w:szCs w:val="16"/>
          <w:lang w:val="en-AU"/>
        </w:rPr>
        <w:t xml:space="preserve">This document is an assessment carried out by </w:t>
      </w:r>
      <w:r w:rsidRPr="008A6F54">
        <w:rPr>
          <w:rFonts w:ascii="Arial" w:hAnsi="Arial" w:cs="Arial"/>
          <w:sz w:val="16"/>
          <w:szCs w:val="16"/>
          <w:lang w:val="en-AU"/>
        </w:rPr>
        <w:t xml:space="preserve">the Department of </w:t>
      </w:r>
      <w:r w:rsidR="00F0366E" w:rsidRPr="008A6F54">
        <w:rPr>
          <w:rFonts w:ascii="Arial" w:hAnsi="Arial" w:cs="Arial"/>
          <w:sz w:val="16"/>
          <w:szCs w:val="16"/>
          <w:lang w:val="en-AU"/>
        </w:rPr>
        <w:t xml:space="preserve">Agriculture, </w:t>
      </w:r>
      <w:proofErr w:type="gramStart"/>
      <w:r w:rsidR="00F0366E" w:rsidRPr="008A6F54">
        <w:rPr>
          <w:rFonts w:ascii="Arial" w:hAnsi="Arial" w:cs="Arial"/>
          <w:sz w:val="16"/>
          <w:szCs w:val="16"/>
          <w:lang w:val="en-AU"/>
        </w:rPr>
        <w:t>Water</w:t>
      </w:r>
      <w:proofErr w:type="gramEnd"/>
      <w:r w:rsidR="00F0366E" w:rsidRPr="008A6F54">
        <w:rPr>
          <w:rFonts w:ascii="Arial" w:hAnsi="Arial" w:cs="Arial"/>
          <w:sz w:val="16"/>
          <w:szCs w:val="16"/>
          <w:lang w:val="en-AU"/>
        </w:rPr>
        <w:t xml:space="preserve"> and the Environment</w:t>
      </w:r>
      <w:r w:rsidRPr="008A6F54">
        <w:rPr>
          <w:rFonts w:ascii="Arial" w:hAnsi="Arial" w:cs="Arial"/>
          <w:sz w:val="16"/>
          <w:szCs w:val="16"/>
          <w:lang w:val="en-AU"/>
        </w:rPr>
        <w:t xml:space="preserve"> of a commercial fishery against the Australian Government </w:t>
      </w:r>
      <w:r w:rsidRPr="008A6F54">
        <w:rPr>
          <w:rFonts w:ascii="Arial" w:hAnsi="Arial" w:cs="Arial"/>
          <w:i/>
          <w:iCs/>
          <w:sz w:val="16"/>
          <w:szCs w:val="16"/>
          <w:lang w:val="en-AU"/>
        </w:rPr>
        <w:t>Guidelines for the Ecologically Sustainable Management of Fisheries – 2nd Edition</w:t>
      </w:r>
      <w:r w:rsidRPr="008A6F54">
        <w:rPr>
          <w:rFonts w:ascii="Arial" w:hAnsi="Arial" w:cs="Arial"/>
          <w:sz w:val="16"/>
          <w:szCs w:val="16"/>
          <w:lang w:val="en-AU"/>
        </w:rPr>
        <w:t xml:space="preserve">. It forms part of the advice provided to the Minister for the Environment on the fishery in relation to decisions under Parts 13 and 13A of the </w:t>
      </w:r>
      <w:r w:rsidRPr="008A6F54">
        <w:rPr>
          <w:rFonts w:ascii="Arial" w:hAnsi="Arial" w:cs="Arial"/>
          <w:i/>
          <w:iCs/>
          <w:sz w:val="16"/>
          <w:szCs w:val="16"/>
          <w:lang w:val="en-AU"/>
        </w:rPr>
        <w:t>Environment Protection and Biodiversity Conservation Act 1999</w:t>
      </w:r>
      <w:r w:rsidRPr="008A6F54">
        <w:rPr>
          <w:rFonts w:ascii="Arial" w:hAnsi="Arial" w:cs="Arial"/>
          <w:sz w:val="16"/>
          <w:szCs w:val="16"/>
          <w:lang w:val="en-AU"/>
        </w:rPr>
        <w:t>. The views expressed do not necessarily reflect those of the Minister for the Environment or the Australian Government.</w:t>
      </w:r>
    </w:p>
    <w:p w14:paraId="70C2E5B8" w14:textId="77777777" w:rsidR="00C743A7" w:rsidRDefault="00C743A7" w:rsidP="00381C3D">
      <w:pPr>
        <w:rPr>
          <w:rFonts w:cs="Arial"/>
          <w:color w:val="000000"/>
          <w:sz w:val="16"/>
          <w:szCs w:val="16"/>
        </w:rPr>
      </w:pPr>
      <w:r w:rsidRPr="00F6308F">
        <w:rPr>
          <w:rFonts w:cs="Arial"/>
          <w:color w:val="000000"/>
          <w:sz w:val="16"/>
          <w:szCs w:val="16"/>
        </w:rPr>
        <w:t xml:space="preserve">While reasonable efforts have been made to ensure that the contents of this report are factually correct, the Australian Government does not accept responsibility for the accuracy or completeness of the </w:t>
      </w:r>
      <w:proofErr w:type="gramStart"/>
      <w:r w:rsidRPr="00F6308F">
        <w:rPr>
          <w:rFonts w:cs="Arial"/>
          <w:color w:val="000000"/>
          <w:sz w:val="16"/>
          <w:szCs w:val="16"/>
        </w:rPr>
        <w:t>contents, and</w:t>
      </w:r>
      <w:proofErr w:type="gramEnd"/>
      <w:r w:rsidRPr="00F6308F">
        <w:rPr>
          <w:rFonts w:cs="Arial"/>
          <w:color w:val="000000"/>
          <w:sz w:val="16"/>
          <w:szCs w:val="16"/>
        </w:rPr>
        <w:t xml:space="preserve"> shall not be liable for any loss or damage that may be occasioned directly or indirectly through the use of, or reliance on, the contents of this report. You should not rely solely on the information presented in the report when making a commercial or other decision.</w:t>
      </w:r>
    </w:p>
    <w:p w14:paraId="30DF465A" w14:textId="77777777" w:rsidR="00574DD7" w:rsidRPr="00F6308F" w:rsidRDefault="00574DD7" w:rsidP="00381C3D">
      <w:pPr>
        <w:rPr>
          <w:rFonts w:cs="Arial"/>
          <w:sz w:val="16"/>
          <w:szCs w:val="16"/>
        </w:rPr>
      </w:pPr>
    </w:p>
    <w:p w14:paraId="7FF3C9F6" w14:textId="68EA5F38" w:rsidR="00C743A7" w:rsidRPr="00A14FF4" w:rsidRDefault="00C743A7" w:rsidP="00056E19">
      <w:pPr>
        <w:pStyle w:val="Heading1"/>
        <w:spacing w:after="0"/>
      </w:pPr>
    </w:p>
    <w:p w14:paraId="4546424F" w14:textId="77777777" w:rsidR="00134108" w:rsidRDefault="00134108" w:rsidP="001955CD">
      <w:pPr>
        <w:rPr>
          <w:rFonts w:cs="Arial"/>
          <w:b/>
        </w:rPr>
        <w:sectPr w:rsidR="00134108" w:rsidSect="001955CD">
          <w:pgSz w:w="11906" w:h="16838"/>
          <w:pgMar w:top="1418" w:right="1276" w:bottom="567" w:left="1418" w:header="425" w:footer="425" w:gutter="0"/>
          <w:pgNumType w:start="1"/>
          <w:cols w:space="708"/>
          <w:titlePg/>
          <w:docGrid w:linePitch="360"/>
        </w:sectPr>
      </w:pPr>
    </w:p>
    <w:sdt>
      <w:sdtPr>
        <w:rPr>
          <w:rFonts w:ascii="Arial" w:eastAsia="Calibri" w:hAnsi="Arial" w:cs="Arial"/>
          <w:b w:val="0"/>
          <w:bCs w:val="0"/>
          <w:sz w:val="22"/>
          <w:szCs w:val="22"/>
          <w:lang w:val="en-AU"/>
        </w:rPr>
        <w:id w:val="992149566"/>
        <w:docPartObj>
          <w:docPartGallery w:val="Table of Contents"/>
          <w:docPartUnique/>
        </w:docPartObj>
      </w:sdtPr>
      <w:sdtEndPr>
        <w:rPr>
          <w:noProof/>
          <w:sz w:val="24"/>
          <w:szCs w:val="24"/>
        </w:rPr>
      </w:sdtEndPr>
      <w:sdtContent>
        <w:p w14:paraId="59CFA3CA" w14:textId="77777777" w:rsidR="00134108" w:rsidRPr="00433FCA" w:rsidRDefault="00134108" w:rsidP="00B05CDE">
          <w:pPr>
            <w:pStyle w:val="TOCHeading"/>
            <w:rPr>
              <w:rFonts w:ascii="Arial" w:hAnsi="Arial" w:cs="Arial"/>
              <w:sz w:val="22"/>
              <w:szCs w:val="22"/>
            </w:rPr>
          </w:pPr>
          <w:r w:rsidRPr="00433FCA">
            <w:rPr>
              <w:rFonts w:ascii="Arial" w:hAnsi="Arial" w:cs="Arial"/>
              <w:sz w:val="22"/>
              <w:szCs w:val="22"/>
            </w:rPr>
            <w:t>CONTENTS</w:t>
          </w:r>
        </w:p>
        <w:p w14:paraId="0DCB5FF7" w14:textId="77777777" w:rsidR="00134108" w:rsidRPr="00433FCA" w:rsidRDefault="00134108" w:rsidP="00433FCA">
          <w:pPr>
            <w:pStyle w:val="TOC1"/>
          </w:pPr>
        </w:p>
        <w:p w14:paraId="56C38E35" w14:textId="64324675" w:rsidR="00C82E43" w:rsidRPr="00C82E43" w:rsidRDefault="00134108">
          <w:pPr>
            <w:pStyle w:val="TOC1"/>
            <w:rPr>
              <w:rFonts w:ascii="Arial" w:eastAsiaTheme="minorEastAsia" w:hAnsi="Arial" w:cs="Arial"/>
            </w:rPr>
          </w:pPr>
          <w:r w:rsidRPr="00C82E43">
            <w:rPr>
              <w:rFonts w:ascii="Arial" w:hAnsi="Arial" w:cs="Arial"/>
              <w:b/>
            </w:rPr>
            <w:fldChar w:fldCharType="begin"/>
          </w:r>
          <w:r w:rsidRPr="00C82E43">
            <w:rPr>
              <w:rFonts w:ascii="Arial" w:hAnsi="Arial" w:cs="Arial"/>
              <w:b/>
            </w:rPr>
            <w:instrText xml:space="preserve"> TOC \o "1-3" \h \z \u </w:instrText>
          </w:r>
          <w:r w:rsidRPr="00C82E43">
            <w:rPr>
              <w:rFonts w:ascii="Arial" w:hAnsi="Arial" w:cs="Arial"/>
              <w:b/>
            </w:rPr>
            <w:fldChar w:fldCharType="separate"/>
          </w:r>
          <w:hyperlink w:anchor="_Toc89208565" w:history="1">
            <w:r w:rsidR="00C82E43" w:rsidRPr="00C82E43">
              <w:rPr>
                <w:rStyle w:val="Hyperlink"/>
                <w:rFonts w:ascii="Arial" w:hAnsi="Arial" w:cs="Arial"/>
              </w:rPr>
              <w:t>Executive summary</w:t>
            </w:r>
            <w:r w:rsidR="00C82E43" w:rsidRPr="00C82E43">
              <w:rPr>
                <w:rFonts w:ascii="Arial" w:hAnsi="Arial" w:cs="Arial"/>
                <w:webHidden/>
              </w:rPr>
              <w:tab/>
            </w:r>
            <w:r w:rsidR="00C82E43" w:rsidRPr="00C82E43">
              <w:rPr>
                <w:rFonts w:ascii="Arial" w:hAnsi="Arial" w:cs="Arial"/>
                <w:webHidden/>
              </w:rPr>
              <w:fldChar w:fldCharType="begin"/>
            </w:r>
            <w:r w:rsidR="00C82E43" w:rsidRPr="00C82E43">
              <w:rPr>
                <w:rFonts w:ascii="Arial" w:hAnsi="Arial" w:cs="Arial"/>
                <w:webHidden/>
              </w:rPr>
              <w:instrText xml:space="preserve"> PAGEREF _Toc89208565 \h </w:instrText>
            </w:r>
            <w:r w:rsidR="00C82E43" w:rsidRPr="00C82E43">
              <w:rPr>
                <w:rFonts w:ascii="Arial" w:hAnsi="Arial" w:cs="Arial"/>
                <w:webHidden/>
              </w:rPr>
            </w:r>
            <w:r w:rsidR="00C82E43" w:rsidRPr="00C82E43">
              <w:rPr>
                <w:rFonts w:ascii="Arial" w:hAnsi="Arial" w:cs="Arial"/>
                <w:webHidden/>
              </w:rPr>
              <w:fldChar w:fldCharType="separate"/>
            </w:r>
            <w:r w:rsidR="00C82E43" w:rsidRPr="00C82E43">
              <w:rPr>
                <w:rFonts w:ascii="Arial" w:hAnsi="Arial" w:cs="Arial"/>
                <w:webHidden/>
              </w:rPr>
              <w:t>1</w:t>
            </w:r>
            <w:r w:rsidR="00C82E43" w:rsidRPr="00C82E43">
              <w:rPr>
                <w:rFonts w:ascii="Arial" w:hAnsi="Arial" w:cs="Arial"/>
                <w:webHidden/>
              </w:rPr>
              <w:fldChar w:fldCharType="end"/>
            </w:r>
          </w:hyperlink>
        </w:p>
        <w:p w14:paraId="27337985" w14:textId="6D5DD3E7" w:rsidR="00C82E43" w:rsidRPr="00C82E43" w:rsidRDefault="008E50D6">
          <w:pPr>
            <w:pStyle w:val="TOC1"/>
            <w:rPr>
              <w:rFonts w:ascii="Arial" w:eastAsiaTheme="minorEastAsia" w:hAnsi="Arial" w:cs="Arial"/>
            </w:rPr>
          </w:pPr>
          <w:hyperlink w:anchor="_Toc89208566" w:history="1">
            <w:r w:rsidR="00C82E43" w:rsidRPr="00C82E43">
              <w:rPr>
                <w:rStyle w:val="Hyperlink"/>
                <w:rFonts w:ascii="Arial" w:hAnsi="Arial" w:cs="Arial"/>
              </w:rPr>
              <w:t xml:space="preserve">Section 1: Assessment </w:t>
            </w:r>
            <w:r w:rsidR="00C82E43">
              <w:rPr>
                <w:rStyle w:val="Hyperlink"/>
                <w:rFonts w:ascii="Arial" w:hAnsi="Arial" w:cs="Arial"/>
              </w:rPr>
              <w:t>s</w:t>
            </w:r>
            <w:r w:rsidR="00C82E43" w:rsidRPr="00C82E43">
              <w:rPr>
                <w:rStyle w:val="Hyperlink"/>
                <w:rFonts w:ascii="Arial" w:hAnsi="Arial" w:cs="Arial"/>
              </w:rPr>
              <w:t>ummary</w:t>
            </w:r>
            <w:r w:rsidR="00C82E43" w:rsidRPr="00C82E43">
              <w:rPr>
                <w:rFonts w:ascii="Arial" w:hAnsi="Arial" w:cs="Arial"/>
                <w:webHidden/>
              </w:rPr>
              <w:tab/>
            </w:r>
            <w:r w:rsidR="00C82E43" w:rsidRPr="00C82E43">
              <w:rPr>
                <w:rFonts w:ascii="Arial" w:hAnsi="Arial" w:cs="Arial"/>
                <w:webHidden/>
              </w:rPr>
              <w:fldChar w:fldCharType="begin"/>
            </w:r>
            <w:r w:rsidR="00C82E43" w:rsidRPr="00C82E43">
              <w:rPr>
                <w:rFonts w:ascii="Arial" w:hAnsi="Arial" w:cs="Arial"/>
                <w:webHidden/>
              </w:rPr>
              <w:instrText xml:space="preserve"> PAGEREF _Toc89208566 \h </w:instrText>
            </w:r>
            <w:r w:rsidR="00C82E43" w:rsidRPr="00C82E43">
              <w:rPr>
                <w:rFonts w:ascii="Arial" w:hAnsi="Arial" w:cs="Arial"/>
                <w:webHidden/>
              </w:rPr>
            </w:r>
            <w:r w:rsidR="00C82E43" w:rsidRPr="00C82E43">
              <w:rPr>
                <w:rFonts w:ascii="Arial" w:hAnsi="Arial" w:cs="Arial"/>
                <w:webHidden/>
              </w:rPr>
              <w:fldChar w:fldCharType="separate"/>
            </w:r>
            <w:r w:rsidR="00C82E43" w:rsidRPr="00C82E43">
              <w:rPr>
                <w:rFonts w:ascii="Arial" w:hAnsi="Arial" w:cs="Arial"/>
                <w:webHidden/>
              </w:rPr>
              <w:t>4</w:t>
            </w:r>
            <w:r w:rsidR="00C82E43" w:rsidRPr="00C82E43">
              <w:rPr>
                <w:rFonts w:ascii="Arial" w:hAnsi="Arial" w:cs="Arial"/>
                <w:webHidden/>
              </w:rPr>
              <w:fldChar w:fldCharType="end"/>
            </w:r>
          </w:hyperlink>
        </w:p>
        <w:p w14:paraId="7CC9BD3A" w14:textId="365423B4" w:rsidR="00C82E43" w:rsidRPr="00C82E43" w:rsidRDefault="008E50D6">
          <w:pPr>
            <w:pStyle w:val="TOC1"/>
            <w:rPr>
              <w:rFonts w:ascii="Arial" w:eastAsiaTheme="minorEastAsia" w:hAnsi="Arial" w:cs="Arial"/>
            </w:rPr>
          </w:pPr>
          <w:hyperlink w:anchor="_Toc89208567" w:history="1">
            <w:r w:rsidR="00C82E43" w:rsidRPr="00C82E43">
              <w:rPr>
                <w:rStyle w:val="Hyperlink"/>
                <w:rFonts w:ascii="Arial" w:hAnsi="Arial" w:cs="Arial"/>
              </w:rPr>
              <w:t xml:space="preserve">Section 2: Summary of </w:t>
            </w:r>
            <w:r w:rsidR="00C82E43">
              <w:rPr>
                <w:rStyle w:val="Hyperlink"/>
                <w:rFonts w:ascii="Arial" w:hAnsi="Arial" w:cs="Arial"/>
              </w:rPr>
              <w:t>i</w:t>
            </w:r>
            <w:r w:rsidR="00C82E43" w:rsidRPr="00C82E43">
              <w:rPr>
                <w:rStyle w:val="Hyperlink"/>
                <w:rFonts w:ascii="Arial" w:hAnsi="Arial" w:cs="Arial"/>
              </w:rPr>
              <w:t xml:space="preserve">ssues </w:t>
            </w:r>
            <w:r w:rsidR="00C82E43">
              <w:rPr>
                <w:rStyle w:val="Hyperlink"/>
                <w:rFonts w:ascii="Arial" w:hAnsi="Arial" w:cs="Arial"/>
              </w:rPr>
              <w:t>r</w:t>
            </w:r>
            <w:r w:rsidR="00C82E43" w:rsidRPr="00C82E43">
              <w:rPr>
                <w:rStyle w:val="Hyperlink"/>
                <w:rFonts w:ascii="Arial" w:hAnsi="Arial" w:cs="Arial"/>
              </w:rPr>
              <w:t xml:space="preserve">equiring </w:t>
            </w:r>
            <w:r w:rsidR="00C82E43">
              <w:rPr>
                <w:rStyle w:val="Hyperlink"/>
                <w:rFonts w:ascii="Arial" w:hAnsi="Arial" w:cs="Arial"/>
              </w:rPr>
              <w:t>c</w:t>
            </w:r>
            <w:r w:rsidR="00C82E43" w:rsidRPr="00C82E43">
              <w:rPr>
                <w:rStyle w:val="Hyperlink"/>
                <w:rFonts w:ascii="Arial" w:hAnsi="Arial" w:cs="Arial"/>
              </w:rPr>
              <w:t>onditions</w:t>
            </w:r>
            <w:r w:rsidR="00C82E43" w:rsidRPr="00C82E43">
              <w:rPr>
                <w:rFonts w:ascii="Arial" w:hAnsi="Arial" w:cs="Arial"/>
                <w:webHidden/>
              </w:rPr>
              <w:tab/>
            </w:r>
            <w:r w:rsidR="00C82E43" w:rsidRPr="00C82E43">
              <w:rPr>
                <w:rFonts w:ascii="Arial" w:hAnsi="Arial" w:cs="Arial"/>
                <w:webHidden/>
              </w:rPr>
              <w:fldChar w:fldCharType="begin"/>
            </w:r>
            <w:r w:rsidR="00C82E43" w:rsidRPr="00C82E43">
              <w:rPr>
                <w:rFonts w:ascii="Arial" w:hAnsi="Arial" w:cs="Arial"/>
                <w:webHidden/>
              </w:rPr>
              <w:instrText xml:space="preserve"> PAGEREF _Toc89208567 \h </w:instrText>
            </w:r>
            <w:r w:rsidR="00C82E43" w:rsidRPr="00C82E43">
              <w:rPr>
                <w:rFonts w:ascii="Arial" w:hAnsi="Arial" w:cs="Arial"/>
                <w:webHidden/>
              </w:rPr>
            </w:r>
            <w:r w:rsidR="00C82E43" w:rsidRPr="00C82E43">
              <w:rPr>
                <w:rFonts w:ascii="Arial" w:hAnsi="Arial" w:cs="Arial"/>
                <w:webHidden/>
              </w:rPr>
              <w:fldChar w:fldCharType="separate"/>
            </w:r>
            <w:r w:rsidR="00C82E43" w:rsidRPr="00C82E43">
              <w:rPr>
                <w:rFonts w:ascii="Arial" w:hAnsi="Arial" w:cs="Arial"/>
                <w:webHidden/>
              </w:rPr>
              <w:t>6</w:t>
            </w:r>
            <w:r w:rsidR="00C82E43" w:rsidRPr="00C82E43">
              <w:rPr>
                <w:rFonts w:ascii="Arial" w:hAnsi="Arial" w:cs="Arial"/>
                <w:webHidden/>
              </w:rPr>
              <w:fldChar w:fldCharType="end"/>
            </w:r>
          </w:hyperlink>
        </w:p>
        <w:p w14:paraId="626D5912" w14:textId="25587523" w:rsidR="00C82E43" w:rsidRPr="00C82E43" w:rsidRDefault="008E50D6">
          <w:pPr>
            <w:pStyle w:val="TOC1"/>
            <w:rPr>
              <w:rFonts w:ascii="Arial" w:eastAsiaTheme="minorEastAsia" w:hAnsi="Arial" w:cs="Arial"/>
            </w:rPr>
          </w:pPr>
          <w:hyperlink w:anchor="_Toc89208568" w:history="1">
            <w:r w:rsidR="00C82E43" w:rsidRPr="00C82E43">
              <w:rPr>
                <w:rStyle w:val="Hyperlink"/>
                <w:rFonts w:ascii="Arial" w:hAnsi="Arial" w:cs="Arial"/>
              </w:rPr>
              <w:t xml:space="preserve">Section 3: Detailed </w:t>
            </w:r>
            <w:r w:rsidR="00C82E43">
              <w:rPr>
                <w:rStyle w:val="Hyperlink"/>
                <w:rFonts w:ascii="Arial" w:hAnsi="Arial" w:cs="Arial"/>
              </w:rPr>
              <w:t>a</w:t>
            </w:r>
            <w:r w:rsidR="00C82E43" w:rsidRPr="00C82E43">
              <w:rPr>
                <w:rStyle w:val="Hyperlink"/>
                <w:rFonts w:ascii="Arial" w:hAnsi="Arial" w:cs="Arial"/>
              </w:rPr>
              <w:t xml:space="preserve">nalysis </w:t>
            </w:r>
            <w:r w:rsidR="00C82E43">
              <w:rPr>
                <w:rStyle w:val="Hyperlink"/>
                <w:rFonts w:ascii="Arial" w:hAnsi="Arial" w:cs="Arial"/>
              </w:rPr>
              <w:t>a</w:t>
            </w:r>
            <w:r w:rsidR="00C82E43" w:rsidRPr="00C82E43">
              <w:rPr>
                <w:rStyle w:val="Hyperlink"/>
                <w:rFonts w:ascii="Arial" w:hAnsi="Arial" w:cs="Arial"/>
              </w:rPr>
              <w:t xml:space="preserve">gainst the </w:t>
            </w:r>
            <w:r w:rsidR="00C82E43">
              <w:rPr>
                <w:rStyle w:val="Hyperlink"/>
                <w:rFonts w:ascii="Arial" w:hAnsi="Arial" w:cs="Arial"/>
              </w:rPr>
              <w:t>g</w:t>
            </w:r>
            <w:r w:rsidR="00C82E43" w:rsidRPr="00C82E43">
              <w:rPr>
                <w:rStyle w:val="Hyperlink"/>
                <w:rFonts w:ascii="Arial" w:hAnsi="Arial" w:cs="Arial"/>
              </w:rPr>
              <w:t>uidelines</w:t>
            </w:r>
            <w:r w:rsidR="00C82E43" w:rsidRPr="00C82E43">
              <w:rPr>
                <w:rFonts w:ascii="Arial" w:hAnsi="Arial" w:cs="Arial"/>
                <w:webHidden/>
              </w:rPr>
              <w:tab/>
            </w:r>
            <w:r w:rsidR="00C82E43" w:rsidRPr="00C82E43">
              <w:rPr>
                <w:rFonts w:ascii="Arial" w:hAnsi="Arial" w:cs="Arial"/>
                <w:webHidden/>
              </w:rPr>
              <w:fldChar w:fldCharType="begin"/>
            </w:r>
            <w:r w:rsidR="00C82E43" w:rsidRPr="00C82E43">
              <w:rPr>
                <w:rFonts w:ascii="Arial" w:hAnsi="Arial" w:cs="Arial"/>
                <w:webHidden/>
              </w:rPr>
              <w:instrText xml:space="preserve"> PAGEREF _Toc89208568 \h </w:instrText>
            </w:r>
            <w:r w:rsidR="00C82E43" w:rsidRPr="00C82E43">
              <w:rPr>
                <w:rFonts w:ascii="Arial" w:hAnsi="Arial" w:cs="Arial"/>
                <w:webHidden/>
              </w:rPr>
            </w:r>
            <w:r w:rsidR="00C82E43" w:rsidRPr="00C82E43">
              <w:rPr>
                <w:rFonts w:ascii="Arial" w:hAnsi="Arial" w:cs="Arial"/>
                <w:webHidden/>
              </w:rPr>
              <w:fldChar w:fldCharType="separate"/>
            </w:r>
            <w:r w:rsidR="00C82E43" w:rsidRPr="00C82E43">
              <w:rPr>
                <w:rFonts w:ascii="Arial" w:hAnsi="Arial" w:cs="Arial"/>
                <w:webHidden/>
              </w:rPr>
              <w:t>22</w:t>
            </w:r>
            <w:r w:rsidR="00C82E43" w:rsidRPr="00C82E43">
              <w:rPr>
                <w:rFonts w:ascii="Arial" w:hAnsi="Arial" w:cs="Arial"/>
                <w:webHidden/>
              </w:rPr>
              <w:fldChar w:fldCharType="end"/>
            </w:r>
          </w:hyperlink>
        </w:p>
        <w:p w14:paraId="17FF0340" w14:textId="0995CB3B" w:rsidR="00C82E43" w:rsidRPr="00C82E43" w:rsidRDefault="008E50D6">
          <w:pPr>
            <w:pStyle w:val="TOC1"/>
            <w:rPr>
              <w:rFonts w:ascii="Arial" w:eastAsiaTheme="minorEastAsia" w:hAnsi="Arial" w:cs="Arial"/>
            </w:rPr>
          </w:pPr>
          <w:hyperlink w:anchor="_Toc89208569" w:history="1">
            <w:r w:rsidR="00C82E43" w:rsidRPr="00C82E43">
              <w:rPr>
                <w:rStyle w:val="Hyperlink"/>
                <w:rFonts w:ascii="Arial" w:hAnsi="Arial" w:cs="Arial"/>
              </w:rPr>
              <w:t xml:space="preserve">Section 4: Assessment </w:t>
            </w:r>
            <w:r w:rsidR="00C82E43">
              <w:rPr>
                <w:rStyle w:val="Hyperlink"/>
                <w:rFonts w:ascii="Arial" w:hAnsi="Arial" w:cs="Arial"/>
              </w:rPr>
              <w:t>a</w:t>
            </w:r>
            <w:r w:rsidR="00C82E43" w:rsidRPr="00C82E43">
              <w:rPr>
                <w:rStyle w:val="Hyperlink"/>
                <w:rFonts w:ascii="Arial" w:hAnsi="Arial" w:cs="Arial"/>
              </w:rPr>
              <w:t>gainst the EPBC Act</w:t>
            </w:r>
            <w:r w:rsidR="00C82E43" w:rsidRPr="00C82E43">
              <w:rPr>
                <w:rFonts w:ascii="Arial" w:hAnsi="Arial" w:cs="Arial"/>
                <w:webHidden/>
              </w:rPr>
              <w:tab/>
            </w:r>
            <w:r w:rsidR="00C82E43" w:rsidRPr="00C82E43">
              <w:rPr>
                <w:rFonts w:ascii="Arial" w:hAnsi="Arial" w:cs="Arial"/>
                <w:webHidden/>
              </w:rPr>
              <w:fldChar w:fldCharType="begin"/>
            </w:r>
            <w:r w:rsidR="00C82E43" w:rsidRPr="00C82E43">
              <w:rPr>
                <w:rFonts w:ascii="Arial" w:hAnsi="Arial" w:cs="Arial"/>
                <w:webHidden/>
              </w:rPr>
              <w:instrText xml:space="preserve"> PAGEREF _Toc89208569 \h </w:instrText>
            </w:r>
            <w:r w:rsidR="00C82E43" w:rsidRPr="00C82E43">
              <w:rPr>
                <w:rFonts w:ascii="Arial" w:hAnsi="Arial" w:cs="Arial"/>
                <w:webHidden/>
              </w:rPr>
            </w:r>
            <w:r w:rsidR="00C82E43" w:rsidRPr="00C82E43">
              <w:rPr>
                <w:rFonts w:ascii="Arial" w:hAnsi="Arial" w:cs="Arial"/>
                <w:webHidden/>
              </w:rPr>
              <w:fldChar w:fldCharType="separate"/>
            </w:r>
            <w:r w:rsidR="00C82E43" w:rsidRPr="00C82E43">
              <w:rPr>
                <w:rFonts w:ascii="Arial" w:hAnsi="Arial" w:cs="Arial"/>
                <w:webHidden/>
              </w:rPr>
              <w:t>41</w:t>
            </w:r>
            <w:r w:rsidR="00C82E43" w:rsidRPr="00C82E43">
              <w:rPr>
                <w:rFonts w:ascii="Arial" w:hAnsi="Arial" w:cs="Arial"/>
                <w:webHidden/>
              </w:rPr>
              <w:fldChar w:fldCharType="end"/>
            </w:r>
          </w:hyperlink>
        </w:p>
        <w:p w14:paraId="2D2C5D75" w14:textId="7666F6AA" w:rsidR="00C82E43" w:rsidRPr="00C82E43" w:rsidRDefault="008E50D6">
          <w:pPr>
            <w:pStyle w:val="TOC2"/>
            <w:rPr>
              <w:rFonts w:ascii="Arial" w:hAnsi="Arial" w:cs="Arial"/>
              <w:noProof/>
              <w:sz w:val="24"/>
              <w:szCs w:val="24"/>
              <w:lang w:val="en-AU" w:eastAsia="en-AU"/>
            </w:rPr>
          </w:pPr>
          <w:hyperlink w:anchor="_Toc89208570" w:history="1">
            <w:r w:rsidR="00C82E43" w:rsidRPr="00C82E43">
              <w:rPr>
                <w:rStyle w:val="Hyperlink"/>
                <w:rFonts w:ascii="Arial" w:hAnsi="Arial" w:cs="Arial"/>
                <w:noProof/>
                <w:sz w:val="24"/>
                <w:szCs w:val="24"/>
              </w:rPr>
              <w:t>Part 12 – Identifying and monitoring biodiversity and making bioregional plans</w:t>
            </w:r>
            <w:r w:rsidR="00C82E43" w:rsidRPr="00C82E43">
              <w:rPr>
                <w:rFonts w:ascii="Arial" w:hAnsi="Arial" w:cs="Arial"/>
                <w:noProof/>
                <w:webHidden/>
                <w:sz w:val="24"/>
                <w:szCs w:val="24"/>
              </w:rPr>
              <w:tab/>
            </w:r>
            <w:r w:rsidR="00C82E43" w:rsidRPr="00C82E43">
              <w:rPr>
                <w:rFonts w:ascii="Arial" w:hAnsi="Arial" w:cs="Arial"/>
                <w:noProof/>
                <w:webHidden/>
                <w:sz w:val="24"/>
                <w:szCs w:val="24"/>
              </w:rPr>
              <w:fldChar w:fldCharType="begin"/>
            </w:r>
            <w:r w:rsidR="00C82E43" w:rsidRPr="00C82E43">
              <w:rPr>
                <w:rFonts w:ascii="Arial" w:hAnsi="Arial" w:cs="Arial"/>
                <w:noProof/>
                <w:webHidden/>
                <w:sz w:val="24"/>
                <w:szCs w:val="24"/>
              </w:rPr>
              <w:instrText xml:space="preserve"> PAGEREF _Toc89208570 \h </w:instrText>
            </w:r>
            <w:r w:rsidR="00C82E43" w:rsidRPr="00C82E43">
              <w:rPr>
                <w:rFonts w:ascii="Arial" w:hAnsi="Arial" w:cs="Arial"/>
                <w:noProof/>
                <w:webHidden/>
                <w:sz w:val="24"/>
                <w:szCs w:val="24"/>
              </w:rPr>
            </w:r>
            <w:r w:rsidR="00C82E43" w:rsidRPr="00C82E43">
              <w:rPr>
                <w:rFonts w:ascii="Arial" w:hAnsi="Arial" w:cs="Arial"/>
                <w:noProof/>
                <w:webHidden/>
                <w:sz w:val="24"/>
                <w:szCs w:val="24"/>
              </w:rPr>
              <w:fldChar w:fldCharType="separate"/>
            </w:r>
            <w:r w:rsidR="00C82E43" w:rsidRPr="00C82E43">
              <w:rPr>
                <w:rFonts w:ascii="Arial" w:hAnsi="Arial" w:cs="Arial"/>
                <w:noProof/>
                <w:webHidden/>
                <w:sz w:val="24"/>
                <w:szCs w:val="24"/>
              </w:rPr>
              <w:t>41</w:t>
            </w:r>
            <w:r w:rsidR="00C82E43" w:rsidRPr="00C82E43">
              <w:rPr>
                <w:rFonts w:ascii="Arial" w:hAnsi="Arial" w:cs="Arial"/>
                <w:noProof/>
                <w:webHidden/>
                <w:sz w:val="24"/>
                <w:szCs w:val="24"/>
              </w:rPr>
              <w:fldChar w:fldCharType="end"/>
            </w:r>
          </w:hyperlink>
        </w:p>
        <w:p w14:paraId="1A0A159E" w14:textId="5FFE8A46" w:rsidR="00C82E43" w:rsidRPr="00C82E43" w:rsidRDefault="008E50D6">
          <w:pPr>
            <w:pStyle w:val="TOC2"/>
            <w:rPr>
              <w:rFonts w:ascii="Arial" w:hAnsi="Arial" w:cs="Arial"/>
              <w:noProof/>
              <w:sz w:val="24"/>
              <w:szCs w:val="24"/>
              <w:lang w:val="en-AU" w:eastAsia="en-AU"/>
            </w:rPr>
          </w:pPr>
          <w:hyperlink w:anchor="_Toc89208571" w:history="1">
            <w:r w:rsidR="00C82E43" w:rsidRPr="00C82E43">
              <w:rPr>
                <w:rStyle w:val="Hyperlink"/>
                <w:rFonts w:ascii="Arial" w:hAnsi="Arial" w:cs="Arial"/>
                <w:noProof/>
                <w:sz w:val="24"/>
                <w:szCs w:val="24"/>
              </w:rPr>
              <w:t>Part 13 – Species and communities</w:t>
            </w:r>
            <w:r w:rsidR="00C82E43" w:rsidRPr="00C82E43">
              <w:rPr>
                <w:rFonts w:ascii="Arial" w:hAnsi="Arial" w:cs="Arial"/>
                <w:noProof/>
                <w:webHidden/>
                <w:sz w:val="24"/>
                <w:szCs w:val="24"/>
              </w:rPr>
              <w:tab/>
            </w:r>
            <w:r w:rsidR="00C82E43" w:rsidRPr="00C82E43">
              <w:rPr>
                <w:rFonts w:ascii="Arial" w:hAnsi="Arial" w:cs="Arial"/>
                <w:noProof/>
                <w:webHidden/>
                <w:sz w:val="24"/>
                <w:szCs w:val="24"/>
              </w:rPr>
              <w:fldChar w:fldCharType="begin"/>
            </w:r>
            <w:r w:rsidR="00C82E43" w:rsidRPr="00C82E43">
              <w:rPr>
                <w:rFonts w:ascii="Arial" w:hAnsi="Arial" w:cs="Arial"/>
                <w:noProof/>
                <w:webHidden/>
                <w:sz w:val="24"/>
                <w:szCs w:val="24"/>
              </w:rPr>
              <w:instrText xml:space="preserve"> PAGEREF _Toc89208571 \h </w:instrText>
            </w:r>
            <w:r w:rsidR="00C82E43" w:rsidRPr="00C82E43">
              <w:rPr>
                <w:rFonts w:ascii="Arial" w:hAnsi="Arial" w:cs="Arial"/>
                <w:noProof/>
                <w:webHidden/>
                <w:sz w:val="24"/>
                <w:szCs w:val="24"/>
              </w:rPr>
            </w:r>
            <w:r w:rsidR="00C82E43" w:rsidRPr="00C82E43">
              <w:rPr>
                <w:rFonts w:ascii="Arial" w:hAnsi="Arial" w:cs="Arial"/>
                <w:noProof/>
                <w:webHidden/>
                <w:sz w:val="24"/>
                <w:szCs w:val="24"/>
              </w:rPr>
              <w:fldChar w:fldCharType="separate"/>
            </w:r>
            <w:r w:rsidR="00C82E43" w:rsidRPr="00C82E43">
              <w:rPr>
                <w:rFonts w:ascii="Arial" w:hAnsi="Arial" w:cs="Arial"/>
                <w:noProof/>
                <w:webHidden/>
                <w:sz w:val="24"/>
                <w:szCs w:val="24"/>
              </w:rPr>
              <w:t>42</w:t>
            </w:r>
            <w:r w:rsidR="00C82E43" w:rsidRPr="00C82E43">
              <w:rPr>
                <w:rFonts w:ascii="Arial" w:hAnsi="Arial" w:cs="Arial"/>
                <w:noProof/>
                <w:webHidden/>
                <w:sz w:val="24"/>
                <w:szCs w:val="24"/>
              </w:rPr>
              <w:fldChar w:fldCharType="end"/>
            </w:r>
          </w:hyperlink>
        </w:p>
        <w:p w14:paraId="0FEC0626" w14:textId="5CB143E2" w:rsidR="00C82E43" w:rsidRPr="00C82E43" w:rsidRDefault="008E50D6">
          <w:pPr>
            <w:pStyle w:val="TOC2"/>
            <w:rPr>
              <w:rFonts w:ascii="Arial" w:hAnsi="Arial" w:cs="Arial"/>
              <w:noProof/>
              <w:sz w:val="24"/>
              <w:szCs w:val="24"/>
              <w:lang w:val="en-AU" w:eastAsia="en-AU"/>
            </w:rPr>
          </w:pPr>
          <w:hyperlink w:anchor="_Toc89208572" w:history="1">
            <w:r w:rsidR="00C82E43" w:rsidRPr="00C82E43">
              <w:rPr>
                <w:rStyle w:val="Hyperlink"/>
                <w:rFonts w:ascii="Arial" w:hAnsi="Arial" w:cs="Arial"/>
                <w:noProof/>
                <w:sz w:val="24"/>
                <w:szCs w:val="24"/>
              </w:rPr>
              <w:t>Part 13A – International movement of wildlife specimens</w:t>
            </w:r>
            <w:r w:rsidR="00C82E43" w:rsidRPr="00C82E43">
              <w:rPr>
                <w:rFonts w:ascii="Arial" w:hAnsi="Arial" w:cs="Arial"/>
                <w:noProof/>
                <w:webHidden/>
                <w:sz w:val="24"/>
                <w:szCs w:val="24"/>
              </w:rPr>
              <w:tab/>
            </w:r>
            <w:r w:rsidR="00C82E43" w:rsidRPr="00C82E43">
              <w:rPr>
                <w:rFonts w:ascii="Arial" w:hAnsi="Arial" w:cs="Arial"/>
                <w:noProof/>
                <w:webHidden/>
                <w:sz w:val="24"/>
                <w:szCs w:val="24"/>
              </w:rPr>
              <w:fldChar w:fldCharType="begin"/>
            </w:r>
            <w:r w:rsidR="00C82E43" w:rsidRPr="00C82E43">
              <w:rPr>
                <w:rFonts w:ascii="Arial" w:hAnsi="Arial" w:cs="Arial"/>
                <w:noProof/>
                <w:webHidden/>
                <w:sz w:val="24"/>
                <w:szCs w:val="24"/>
              </w:rPr>
              <w:instrText xml:space="preserve"> PAGEREF _Toc89208572 \h </w:instrText>
            </w:r>
            <w:r w:rsidR="00C82E43" w:rsidRPr="00C82E43">
              <w:rPr>
                <w:rFonts w:ascii="Arial" w:hAnsi="Arial" w:cs="Arial"/>
                <w:noProof/>
                <w:webHidden/>
                <w:sz w:val="24"/>
                <w:szCs w:val="24"/>
              </w:rPr>
            </w:r>
            <w:r w:rsidR="00C82E43" w:rsidRPr="00C82E43">
              <w:rPr>
                <w:rFonts w:ascii="Arial" w:hAnsi="Arial" w:cs="Arial"/>
                <w:noProof/>
                <w:webHidden/>
                <w:sz w:val="24"/>
                <w:szCs w:val="24"/>
              </w:rPr>
              <w:fldChar w:fldCharType="separate"/>
            </w:r>
            <w:r w:rsidR="00C82E43" w:rsidRPr="00C82E43">
              <w:rPr>
                <w:rFonts w:ascii="Arial" w:hAnsi="Arial" w:cs="Arial"/>
                <w:noProof/>
                <w:webHidden/>
                <w:sz w:val="24"/>
                <w:szCs w:val="24"/>
              </w:rPr>
              <w:t>45</w:t>
            </w:r>
            <w:r w:rsidR="00C82E43" w:rsidRPr="00C82E43">
              <w:rPr>
                <w:rFonts w:ascii="Arial" w:hAnsi="Arial" w:cs="Arial"/>
                <w:noProof/>
                <w:webHidden/>
                <w:sz w:val="24"/>
                <w:szCs w:val="24"/>
              </w:rPr>
              <w:fldChar w:fldCharType="end"/>
            </w:r>
          </w:hyperlink>
        </w:p>
        <w:p w14:paraId="6CB498AC" w14:textId="1E0BAEC8" w:rsidR="00C82E43" w:rsidRPr="00C82E43" w:rsidRDefault="008E50D6">
          <w:pPr>
            <w:pStyle w:val="TOC2"/>
            <w:rPr>
              <w:rFonts w:ascii="Arial" w:hAnsi="Arial" w:cs="Arial"/>
              <w:noProof/>
              <w:sz w:val="24"/>
              <w:szCs w:val="24"/>
              <w:lang w:val="en-AU" w:eastAsia="en-AU"/>
            </w:rPr>
          </w:pPr>
          <w:hyperlink w:anchor="_Toc89208573" w:history="1">
            <w:r w:rsidR="00C82E43" w:rsidRPr="00C82E43">
              <w:rPr>
                <w:rStyle w:val="Hyperlink"/>
                <w:rFonts w:ascii="Arial" w:hAnsi="Arial" w:cs="Arial"/>
                <w:noProof/>
                <w:sz w:val="24"/>
                <w:szCs w:val="24"/>
              </w:rPr>
              <w:t>Part 16 – Precautionary principle and other considerations in making decisions</w:t>
            </w:r>
            <w:r w:rsidR="00C82E43" w:rsidRPr="00C82E43">
              <w:rPr>
                <w:rFonts w:ascii="Arial" w:hAnsi="Arial" w:cs="Arial"/>
                <w:noProof/>
                <w:webHidden/>
                <w:sz w:val="24"/>
                <w:szCs w:val="24"/>
              </w:rPr>
              <w:tab/>
            </w:r>
            <w:r w:rsidR="00C82E43" w:rsidRPr="00C82E43">
              <w:rPr>
                <w:rFonts w:ascii="Arial" w:hAnsi="Arial" w:cs="Arial"/>
                <w:noProof/>
                <w:webHidden/>
                <w:sz w:val="24"/>
                <w:szCs w:val="24"/>
              </w:rPr>
              <w:fldChar w:fldCharType="begin"/>
            </w:r>
            <w:r w:rsidR="00C82E43" w:rsidRPr="00C82E43">
              <w:rPr>
                <w:rFonts w:ascii="Arial" w:hAnsi="Arial" w:cs="Arial"/>
                <w:noProof/>
                <w:webHidden/>
                <w:sz w:val="24"/>
                <w:szCs w:val="24"/>
              </w:rPr>
              <w:instrText xml:space="preserve"> PAGEREF _Toc89208573 \h </w:instrText>
            </w:r>
            <w:r w:rsidR="00C82E43" w:rsidRPr="00C82E43">
              <w:rPr>
                <w:rFonts w:ascii="Arial" w:hAnsi="Arial" w:cs="Arial"/>
                <w:noProof/>
                <w:webHidden/>
                <w:sz w:val="24"/>
                <w:szCs w:val="24"/>
              </w:rPr>
            </w:r>
            <w:r w:rsidR="00C82E43" w:rsidRPr="00C82E43">
              <w:rPr>
                <w:rFonts w:ascii="Arial" w:hAnsi="Arial" w:cs="Arial"/>
                <w:noProof/>
                <w:webHidden/>
                <w:sz w:val="24"/>
                <w:szCs w:val="24"/>
              </w:rPr>
              <w:fldChar w:fldCharType="separate"/>
            </w:r>
            <w:r w:rsidR="00C82E43" w:rsidRPr="00C82E43">
              <w:rPr>
                <w:rFonts w:ascii="Arial" w:hAnsi="Arial" w:cs="Arial"/>
                <w:noProof/>
                <w:webHidden/>
                <w:sz w:val="24"/>
                <w:szCs w:val="24"/>
              </w:rPr>
              <w:t>52</w:t>
            </w:r>
            <w:r w:rsidR="00C82E43" w:rsidRPr="00C82E43">
              <w:rPr>
                <w:rFonts w:ascii="Arial" w:hAnsi="Arial" w:cs="Arial"/>
                <w:noProof/>
                <w:webHidden/>
                <w:sz w:val="24"/>
                <w:szCs w:val="24"/>
              </w:rPr>
              <w:fldChar w:fldCharType="end"/>
            </w:r>
          </w:hyperlink>
        </w:p>
        <w:p w14:paraId="6751F984" w14:textId="21BF54ED" w:rsidR="00C82E43" w:rsidRPr="00C82E43" w:rsidRDefault="008E50D6">
          <w:pPr>
            <w:pStyle w:val="TOC1"/>
            <w:rPr>
              <w:rFonts w:ascii="Arial" w:eastAsiaTheme="minorEastAsia" w:hAnsi="Arial" w:cs="Arial"/>
            </w:rPr>
          </w:pPr>
          <w:hyperlink w:anchor="_Toc89208574" w:history="1">
            <w:r w:rsidR="00C82E43" w:rsidRPr="00C82E43">
              <w:rPr>
                <w:rStyle w:val="Hyperlink"/>
                <w:rFonts w:ascii="Arial" w:hAnsi="Arial" w:cs="Arial"/>
              </w:rPr>
              <w:t>Section 5: Additional information on the fis</w:t>
            </w:r>
            <w:r w:rsidR="00C82E43">
              <w:rPr>
                <w:rStyle w:val="Hyperlink"/>
                <w:rFonts w:ascii="Arial" w:hAnsi="Arial" w:cs="Arial"/>
              </w:rPr>
              <w:t>hery</w:t>
            </w:r>
            <w:r w:rsidR="00C82E43" w:rsidRPr="00C82E43">
              <w:rPr>
                <w:rFonts w:ascii="Arial" w:hAnsi="Arial" w:cs="Arial"/>
                <w:webHidden/>
              </w:rPr>
              <w:tab/>
            </w:r>
            <w:r w:rsidR="00C82E43" w:rsidRPr="00C82E43">
              <w:rPr>
                <w:rFonts w:ascii="Arial" w:hAnsi="Arial" w:cs="Arial"/>
                <w:webHidden/>
              </w:rPr>
              <w:fldChar w:fldCharType="begin"/>
            </w:r>
            <w:r w:rsidR="00C82E43" w:rsidRPr="00C82E43">
              <w:rPr>
                <w:rFonts w:ascii="Arial" w:hAnsi="Arial" w:cs="Arial"/>
                <w:webHidden/>
              </w:rPr>
              <w:instrText xml:space="preserve"> PAGEREF _Toc89208574 \h </w:instrText>
            </w:r>
            <w:r w:rsidR="00C82E43" w:rsidRPr="00C82E43">
              <w:rPr>
                <w:rFonts w:ascii="Arial" w:hAnsi="Arial" w:cs="Arial"/>
                <w:webHidden/>
              </w:rPr>
            </w:r>
            <w:r w:rsidR="00C82E43" w:rsidRPr="00C82E43">
              <w:rPr>
                <w:rFonts w:ascii="Arial" w:hAnsi="Arial" w:cs="Arial"/>
                <w:webHidden/>
              </w:rPr>
              <w:fldChar w:fldCharType="separate"/>
            </w:r>
            <w:r w:rsidR="00C82E43" w:rsidRPr="00C82E43">
              <w:rPr>
                <w:rFonts w:ascii="Arial" w:hAnsi="Arial" w:cs="Arial"/>
                <w:webHidden/>
              </w:rPr>
              <w:t>54</w:t>
            </w:r>
            <w:r w:rsidR="00C82E43" w:rsidRPr="00C82E43">
              <w:rPr>
                <w:rFonts w:ascii="Arial" w:hAnsi="Arial" w:cs="Arial"/>
                <w:webHidden/>
              </w:rPr>
              <w:fldChar w:fldCharType="end"/>
            </w:r>
          </w:hyperlink>
        </w:p>
        <w:p w14:paraId="4EDE20AF" w14:textId="3F729536" w:rsidR="00C82E43" w:rsidRPr="00C82E43" w:rsidRDefault="008E50D6">
          <w:pPr>
            <w:pStyle w:val="TOC1"/>
            <w:rPr>
              <w:rFonts w:ascii="Arial" w:eastAsiaTheme="minorEastAsia" w:hAnsi="Arial" w:cs="Arial"/>
            </w:rPr>
          </w:pPr>
          <w:hyperlink w:anchor="_Toc89208575" w:history="1">
            <w:r w:rsidR="00C82E43" w:rsidRPr="00C82E43">
              <w:rPr>
                <w:rStyle w:val="Hyperlink"/>
                <w:rFonts w:ascii="Arial" w:hAnsi="Arial" w:cs="Arial"/>
              </w:rPr>
              <w:t>References</w:t>
            </w:r>
            <w:r w:rsidR="00C82E43" w:rsidRPr="00C82E43">
              <w:rPr>
                <w:rFonts w:ascii="Arial" w:hAnsi="Arial" w:cs="Arial"/>
                <w:webHidden/>
              </w:rPr>
              <w:tab/>
            </w:r>
            <w:r w:rsidR="00C82E43" w:rsidRPr="00C82E43">
              <w:rPr>
                <w:rFonts w:ascii="Arial" w:hAnsi="Arial" w:cs="Arial"/>
                <w:webHidden/>
              </w:rPr>
              <w:fldChar w:fldCharType="begin"/>
            </w:r>
            <w:r w:rsidR="00C82E43" w:rsidRPr="00C82E43">
              <w:rPr>
                <w:rFonts w:ascii="Arial" w:hAnsi="Arial" w:cs="Arial"/>
                <w:webHidden/>
              </w:rPr>
              <w:instrText xml:space="preserve"> PAGEREF _Toc89208575 \h </w:instrText>
            </w:r>
            <w:r w:rsidR="00C82E43" w:rsidRPr="00C82E43">
              <w:rPr>
                <w:rFonts w:ascii="Arial" w:hAnsi="Arial" w:cs="Arial"/>
                <w:webHidden/>
              </w:rPr>
            </w:r>
            <w:r w:rsidR="00C82E43" w:rsidRPr="00C82E43">
              <w:rPr>
                <w:rFonts w:ascii="Arial" w:hAnsi="Arial" w:cs="Arial"/>
                <w:webHidden/>
              </w:rPr>
              <w:fldChar w:fldCharType="separate"/>
            </w:r>
            <w:r w:rsidR="00C82E43" w:rsidRPr="00C82E43">
              <w:rPr>
                <w:rFonts w:ascii="Arial" w:hAnsi="Arial" w:cs="Arial"/>
                <w:webHidden/>
              </w:rPr>
              <w:t>56</w:t>
            </w:r>
            <w:r w:rsidR="00C82E43" w:rsidRPr="00C82E43">
              <w:rPr>
                <w:rFonts w:ascii="Arial" w:hAnsi="Arial" w:cs="Arial"/>
                <w:webHidden/>
              </w:rPr>
              <w:fldChar w:fldCharType="end"/>
            </w:r>
          </w:hyperlink>
        </w:p>
        <w:p w14:paraId="16AFA717" w14:textId="3A98AA59" w:rsidR="00134108" w:rsidRPr="00C82E43" w:rsidRDefault="00134108" w:rsidP="00134108">
          <w:pPr>
            <w:rPr>
              <w:rFonts w:cs="Arial"/>
              <w:sz w:val="24"/>
              <w:szCs w:val="24"/>
            </w:rPr>
          </w:pPr>
          <w:r w:rsidRPr="00C82E43">
            <w:rPr>
              <w:rFonts w:cs="Arial"/>
              <w:b/>
              <w:bCs/>
              <w:noProof/>
              <w:sz w:val="24"/>
              <w:szCs w:val="24"/>
            </w:rPr>
            <w:fldChar w:fldCharType="end"/>
          </w:r>
        </w:p>
      </w:sdtContent>
    </w:sdt>
    <w:p w14:paraId="6BA9C823" w14:textId="77777777" w:rsidR="00134108" w:rsidRDefault="00134108" w:rsidP="00134108">
      <w:pPr>
        <w:tabs>
          <w:tab w:val="right" w:leader="dot" w:pos="8302"/>
        </w:tabs>
        <w:ind w:left="1166" w:right="792" w:hanging="1166"/>
        <w:rPr>
          <w:rFonts w:cs="Arial"/>
          <w:b/>
          <w:noProof/>
          <w:webHidden/>
        </w:rPr>
      </w:pPr>
    </w:p>
    <w:p w14:paraId="03A653DE" w14:textId="77777777" w:rsidR="00134108" w:rsidRDefault="00134108" w:rsidP="001955CD">
      <w:pPr>
        <w:rPr>
          <w:rFonts w:cs="Arial"/>
          <w:b/>
        </w:rPr>
      </w:pPr>
    </w:p>
    <w:p w14:paraId="16191263" w14:textId="77777777" w:rsidR="00134108" w:rsidRDefault="00134108" w:rsidP="006E4EA3">
      <w:pPr>
        <w:pStyle w:val="Heading1"/>
        <w:sectPr w:rsidR="00134108" w:rsidSect="001955CD">
          <w:pgSz w:w="11906" w:h="16838"/>
          <w:pgMar w:top="1418" w:right="1276" w:bottom="567" w:left="1418" w:header="425" w:footer="425" w:gutter="0"/>
          <w:pgNumType w:start="1"/>
          <w:cols w:space="708"/>
          <w:titlePg/>
          <w:docGrid w:linePitch="360"/>
        </w:sectPr>
      </w:pPr>
    </w:p>
    <w:p w14:paraId="561D9E39" w14:textId="77777777" w:rsidR="00016EE7" w:rsidRDefault="00016EE7" w:rsidP="00433FCA">
      <w:pPr>
        <w:pStyle w:val="Heading1"/>
        <w:spacing w:before="120" w:after="120"/>
        <w:rPr>
          <w:rFonts w:ascii="Arial" w:hAnsi="Arial"/>
        </w:rPr>
        <w:sectPr w:rsidR="00016EE7" w:rsidSect="00937DA0">
          <w:type w:val="continuous"/>
          <w:pgSz w:w="11906" w:h="16838"/>
          <w:pgMar w:top="1418" w:right="1276" w:bottom="567" w:left="1418" w:header="425" w:footer="425" w:gutter="0"/>
          <w:pgNumType w:start="1"/>
          <w:cols w:space="708"/>
          <w:titlePg/>
          <w:docGrid w:linePitch="360"/>
        </w:sectPr>
      </w:pPr>
    </w:p>
    <w:p w14:paraId="4911004E" w14:textId="62BDB0B8" w:rsidR="00CF1DE5" w:rsidRPr="00433FCA" w:rsidRDefault="00F64430" w:rsidP="00433FCA">
      <w:pPr>
        <w:pStyle w:val="Heading1"/>
        <w:spacing w:before="120" w:after="120"/>
        <w:rPr>
          <w:rFonts w:ascii="Arial" w:hAnsi="Arial"/>
        </w:rPr>
      </w:pPr>
      <w:bookmarkStart w:id="0" w:name="_Toc89208565"/>
      <w:r>
        <w:rPr>
          <w:rFonts w:ascii="Arial" w:hAnsi="Arial"/>
        </w:rPr>
        <w:lastRenderedPageBreak/>
        <w:t>Executive summary</w:t>
      </w:r>
      <w:bookmarkEnd w:id="0"/>
    </w:p>
    <w:p w14:paraId="7CB4A950" w14:textId="5A54F834" w:rsidR="00F8472A" w:rsidRPr="00433FCA" w:rsidRDefault="00325A2F" w:rsidP="00433FCA">
      <w:pPr>
        <w:tabs>
          <w:tab w:val="left" w:pos="360"/>
        </w:tabs>
        <w:spacing w:line="276" w:lineRule="auto"/>
        <w:rPr>
          <w:rFonts w:cs="Arial"/>
          <w:noProof/>
        </w:rPr>
      </w:pPr>
      <w:r w:rsidRPr="00433FCA">
        <w:rPr>
          <w:rFonts w:cs="Arial"/>
          <w:noProof/>
        </w:rPr>
        <w:t xml:space="preserve">On </w:t>
      </w:r>
      <w:r w:rsidR="00213FDD">
        <w:rPr>
          <w:rFonts w:cs="Arial"/>
          <w:noProof/>
        </w:rPr>
        <w:t>4</w:t>
      </w:r>
      <w:r w:rsidR="00213FDD" w:rsidDel="00281EBB">
        <w:rPr>
          <w:rFonts w:cs="Arial"/>
          <w:noProof/>
        </w:rPr>
        <w:t xml:space="preserve"> </w:t>
      </w:r>
      <w:r w:rsidR="00281EBB">
        <w:rPr>
          <w:rFonts w:cs="Arial"/>
          <w:noProof/>
        </w:rPr>
        <w:t xml:space="preserve">August </w:t>
      </w:r>
      <w:r w:rsidR="00213FDD">
        <w:rPr>
          <w:rFonts w:cs="Arial"/>
          <w:noProof/>
        </w:rPr>
        <w:t>2021</w:t>
      </w:r>
      <w:r w:rsidRPr="00433FCA">
        <w:rPr>
          <w:rFonts w:cs="Arial"/>
          <w:noProof/>
        </w:rPr>
        <w:t>,</w:t>
      </w:r>
      <w:r w:rsidR="006C5130">
        <w:rPr>
          <w:rFonts w:cs="Arial"/>
          <w:noProof/>
        </w:rPr>
        <w:t xml:space="preserve"> the Queensland Depar</w:t>
      </w:r>
      <w:r w:rsidR="00897528">
        <w:rPr>
          <w:rFonts w:cs="Arial"/>
          <w:noProof/>
        </w:rPr>
        <w:t>t</w:t>
      </w:r>
      <w:r w:rsidR="006C5130">
        <w:rPr>
          <w:rFonts w:cs="Arial"/>
          <w:noProof/>
        </w:rPr>
        <w:t>ment</w:t>
      </w:r>
      <w:r w:rsidRPr="00433FCA">
        <w:rPr>
          <w:rFonts w:cs="Arial"/>
          <w:noProof/>
        </w:rPr>
        <w:t xml:space="preserve"> </w:t>
      </w:r>
      <w:r w:rsidR="00897528">
        <w:rPr>
          <w:rFonts w:cs="Arial"/>
          <w:noProof/>
        </w:rPr>
        <w:t xml:space="preserve">of </w:t>
      </w:r>
      <w:r w:rsidR="008A6F54">
        <w:rPr>
          <w:rFonts w:cs="Arial"/>
          <w:noProof/>
        </w:rPr>
        <w:t xml:space="preserve">Agriculture and Fisheries </w:t>
      </w:r>
      <w:r w:rsidRPr="00433FCA">
        <w:rPr>
          <w:rFonts w:cs="Arial"/>
          <w:noProof/>
        </w:rPr>
        <w:t>submitted an application for</w:t>
      </w:r>
      <w:r w:rsidRPr="00433FCA" w:rsidDel="00281EBB">
        <w:rPr>
          <w:rFonts w:cs="Arial"/>
          <w:noProof/>
        </w:rPr>
        <w:t xml:space="preserve"> </w:t>
      </w:r>
      <w:r w:rsidR="00281EBB" w:rsidRPr="00433FCA">
        <w:rPr>
          <w:rFonts w:cs="Arial"/>
          <w:noProof/>
        </w:rPr>
        <w:t>assessment</w:t>
      </w:r>
      <w:r w:rsidR="00281EBB">
        <w:rPr>
          <w:rFonts w:cs="Arial"/>
          <w:noProof/>
        </w:rPr>
        <w:t xml:space="preserve"> of</w:t>
      </w:r>
      <w:r w:rsidR="00281EBB" w:rsidRPr="00433FCA">
        <w:rPr>
          <w:rFonts w:cs="Arial"/>
          <w:noProof/>
        </w:rPr>
        <w:t xml:space="preserve"> </w:t>
      </w:r>
      <w:r w:rsidR="008A6F54">
        <w:rPr>
          <w:rFonts w:cs="Arial"/>
          <w:noProof/>
        </w:rPr>
        <w:t>Queensland</w:t>
      </w:r>
      <w:r w:rsidR="00281EBB">
        <w:rPr>
          <w:rFonts w:cs="Arial"/>
          <w:noProof/>
        </w:rPr>
        <w:t>’</w:t>
      </w:r>
      <w:r w:rsidR="008A6F54">
        <w:rPr>
          <w:rFonts w:cs="Arial"/>
          <w:noProof/>
        </w:rPr>
        <w:t xml:space="preserve">s Sea Cucumber Fishery </w:t>
      </w:r>
      <w:r w:rsidR="00823B9C">
        <w:rPr>
          <w:rFonts w:cs="Arial"/>
          <w:noProof/>
        </w:rPr>
        <w:t>(</w:t>
      </w:r>
      <w:r w:rsidR="008A6F54">
        <w:rPr>
          <w:rFonts w:cs="Arial"/>
          <w:noProof/>
        </w:rPr>
        <w:t>East Coast</w:t>
      </w:r>
      <w:r w:rsidR="00823B9C">
        <w:rPr>
          <w:rFonts w:cs="Arial"/>
          <w:noProof/>
        </w:rPr>
        <w:t>)</w:t>
      </w:r>
      <w:r w:rsidRPr="00433FCA">
        <w:rPr>
          <w:rFonts w:cs="Arial"/>
          <w:noProof/>
        </w:rPr>
        <w:t xml:space="preserve"> </w:t>
      </w:r>
      <w:r w:rsidR="00323CA8" w:rsidRPr="00433FCA">
        <w:rPr>
          <w:rFonts w:cs="Arial"/>
          <w:noProof/>
        </w:rPr>
        <w:t>(</w:t>
      </w:r>
      <w:r w:rsidR="00323CA8" w:rsidRPr="008A6F54">
        <w:rPr>
          <w:rFonts w:cs="Arial"/>
          <w:noProof/>
        </w:rPr>
        <w:t xml:space="preserve">the fishery) </w:t>
      </w:r>
      <w:r w:rsidRPr="008A6F54">
        <w:rPr>
          <w:rFonts w:cs="Arial"/>
          <w:noProof/>
        </w:rPr>
        <w:t xml:space="preserve">to the Department of </w:t>
      </w:r>
      <w:r w:rsidR="00E443B1" w:rsidRPr="008A6F54">
        <w:rPr>
          <w:rFonts w:cs="Arial"/>
          <w:noProof/>
        </w:rPr>
        <w:t>Agriculture, Water and the E</w:t>
      </w:r>
      <w:r w:rsidR="00E443B1">
        <w:rPr>
          <w:rFonts w:cs="Arial"/>
          <w:noProof/>
        </w:rPr>
        <w:t>nvironment</w:t>
      </w:r>
      <w:r w:rsidRPr="00433FCA">
        <w:rPr>
          <w:rFonts w:cs="Arial"/>
          <w:noProof/>
        </w:rPr>
        <w:t xml:space="preserve"> </w:t>
      </w:r>
      <w:r w:rsidR="00DF27FA" w:rsidRPr="00433FCA">
        <w:rPr>
          <w:rFonts w:cs="Arial"/>
          <w:noProof/>
        </w:rPr>
        <w:t>under the</w:t>
      </w:r>
      <w:r w:rsidR="00976AF8">
        <w:rPr>
          <w:rFonts w:cs="Arial"/>
          <w:noProof/>
        </w:rPr>
        <w:t xml:space="preserve"> Commonwealth </w:t>
      </w:r>
      <w:r w:rsidR="00976AF8" w:rsidRPr="005C3E6C">
        <w:rPr>
          <w:rFonts w:cs="Arial"/>
          <w:i/>
          <w:iCs/>
          <w:noProof/>
        </w:rPr>
        <w:t>Environment Protection and Biodiversity Conservation Act 1999</w:t>
      </w:r>
      <w:r w:rsidR="00976AF8" w:rsidRPr="005C3E6C">
        <w:rPr>
          <w:rFonts w:cs="Arial"/>
          <w:noProof/>
        </w:rPr>
        <w:t xml:space="preserve"> </w:t>
      </w:r>
      <w:r w:rsidR="00976AF8">
        <w:rPr>
          <w:rFonts w:cs="Arial"/>
          <w:noProof/>
        </w:rPr>
        <w:t>(</w:t>
      </w:r>
      <w:r w:rsidR="00976AF8" w:rsidRPr="00433FCA">
        <w:rPr>
          <w:rFonts w:cs="Arial"/>
          <w:noProof/>
        </w:rPr>
        <w:t>EPBC Act</w:t>
      </w:r>
      <w:r w:rsidR="00976AF8">
        <w:rPr>
          <w:rFonts w:cs="Arial"/>
          <w:noProof/>
        </w:rPr>
        <w:t>)</w:t>
      </w:r>
      <w:r w:rsidR="00DF27FA" w:rsidRPr="00433FCA">
        <w:rPr>
          <w:rFonts w:cs="Arial"/>
          <w:noProof/>
        </w:rPr>
        <w:t xml:space="preserve"> as a</w:t>
      </w:r>
      <w:r w:rsidR="00323CA8" w:rsidRPr="00433FCA">
        <w:rPr>
          <w:rFonts w:cs="Arial"/>
          <w:noProof/>
        </w:rPr>
        <w:t xml:space="preserve">n approved </w:t>
      </w:r>
      <w:r w:rsidR="000071F1">
        <w:rPr>
          <w:rFonts w:cs="Arial"/>
          <w:noProof/>
        </w:rPr>
        <w:t>W</w:t>
      </w:r>
      <w:r w:rsidR="00323CA8" w:rsidRPr="00433FCA">
        <w:rPr>
          <w:rFonts w:cs="Arial"/>
          <w:noProof/>
        </w:rPr>
        <w:t xml:space="preserve">ildlife </w:t>
      </w:r>
      <w:r w:rsidR="000071F1">
        <w:rPr>
          <w:rFonts w:cs="Arial"/>
          <w:noProof/>
        </w:rPr>
        <w:t>T</w:t>
      </w:r>
      <w:r w:rsidR="00323CA8" w:rsidRPr="00433FCA">
        <w:rPr>
          <w:rFonts w:cs="Arial"/>
          <w:noProof/>
        </w:rPr>
        <w:t xml:space="preserve">rade </w:t>
      </w:r>
      <w:r w:rsidR="000071F1">
        <w:rPr>
          <w:rFonts w:cs="Arial"/>
          <w:noProof/>
        </w:rPr>
        <w:t>O</w:t>
      </w:r>
      <w:r w:rsidR="00323CA8" w:rsidRPr="00433FCA">
        <w:rPr>
          <w:rFonts w:cs="Arial"/>
          <w:noProof/>
        </w:rPr>
        <w:t>peration (</w:t>
      </w:r>
      <w:r w:rsidRPr="00433FCA">
        <w:rPr>
          <w:rFonts w:cs="Arial"/>
          <w:noProof/>
        </w:rPr>
        <w:t>WTO</w:t>
      </w:r>
      <w:r w:rsidR="00323CA8" w:rsidRPr="00433FCA">
        <w:rPr>
          <w:rFonts w:cs="Arial"/>
          <w:noProof/>
        </w:rPr>
        <w:t>)</w:t>
      </w:r>
      <w:r w:rsidR="007B2BA7">
        <w:rPr>
          <w:rFonts w:cs="Arial"/>
          <w:noProof/>
        </w:rPr>
        <w:t>. This assessment was undertaken</w:t>
      </w:r>
      <w:r w:rsidRPr="00433FCA">
        <w:rPr>
          <w:rFonts w:cs="Arial"/>
          <w:noProof/>
        </w:rPr>
        <w:t xml:space="preserve"> against the Australian Government </w:t>
      </w:r>
      <w:r w:rsidRPr="003D4144">
        <w:rPr>
          <w:rFonts w:cs="Arial"/>
          <w:i/>
          <w:iCs/>
          <w:noProof/>
        </w:rPr>
        <w:t>‘Guidelines for the Ecologically Sustainable Management of Fisheries – 2nd Edition’</w:t>
      </w:r>
      <w:r w:rsidR="00976AF8">
        <w:rPr>
          <w:rFonts w:cs="Arial"/>
          <w:noProof/>
        </w:rPr>
        <w:t xml:space="preserve">. </w:t>
      </w:r>
      <w:r w:rsidRPr="00433FCA">
        <w:rPr>
          <w:rFonts w:cs="Arial"/>
          <w:noProof/>
        </w:rPr>
        <w:t xml:space="preserve">A public comment period was open from </w:t>
      </w:r>
      <w:r w:rsidR="008A6F54">
        <w:rPr>
          <w:rFonts w:cs="Arial"/>
          <w:noProof/>
        </w:rPr>
        <w:t>5 August 2021 to 9 September 2021</w:t>
      </w:r>
      <w:r w:rsidRPr="00433FCA">
        <w:rPr>
          <w:rFonts w:cs="Arial"/>
          <w:noProof/>
        </w:rPr>
        <w:t>.</w:t>
      </w:r>
    </w:p>
    <w:p w14:paraId="3BB1F463" w14:textId="30A5FF00" w:rsidR="00937DA0" w:rsidRDefault="00937DA0" w:rsidP="00433FCA">
      <w:pPr>
        <w:spacing w:line="276" w:lineRule="auto"/>
        <w:rPr>
          <w:rFonts w:cs="Arial"/>
          <w:b/>
        </w:rPr>
      </w:pPr>
      <w:r w:rsidRPr="00433FCA">
        <w:rPr>
          <w:rFonts w:cs="Arial"/>
          <w:b/>
        </w:rPr>
        <w:t>Fishery management arrangements</w:t>
      </w:r>
    </w:p>
    <w:p w14:paraId="5BC40306" w14:textId="08C2D469" w:rsidR="001376CA" w:rsidRDefault="00976AF8" w:rsidP="00433FCA">
      <w:pPr>
        <w:spacing w:line="276" w:lineRule="auto"/>
        <w:rPr>
          <w:lang w:eastAsia="en-AU"/>
        </w:rPr>
      </w:pPr>
      <w:r w:rsidRPr="00211874">
        <w:rPr>
          <w:lang w:eastAsia="en-AU"/>
        </w:rPr>
        <w:t>The</w:t>
      </w:r>
      <w:r w:rsidR="00C066DC">
        <w:rPr>
          <w:lang w:eastAsia="en-AU"/>
        </w:rPr>
        <w:t xml:space="preserve"> fishery</w:t>
      </w:r>
      <w:r w:rsidRPr="00211874">
        <w:rPr>
          <w:lang w:eastAsia="en-AU"/>
        </w:rPr>
        <w:t xml:space="preserve"> </w:t>
      </w:r>
      <w:r>
        <w:rPr>
          <w:lang w:eastAsia="en-AU"/>
        </w:rPr>
        <w:t>operate</w:t>
      </w:r>
      <w:r w:rsidR="00281EBB">
        <w:rPr>
          <w:lang w:eastAsia="en-AU"/>
        </w:rPr>
        <w:t>s</w:t>
      </w:r>
      <w:r>
        <w:rPr>
          <w:lang w:eastAsia="en-AU"/>
        </w:rPr>
        <w:t xml:space="preserve"> in </w:t>
      </w:r>
      <w:r w:rsidRPr="00211874">
        <w:rPr>
          <w:lang w:eastAsia="en-AU"/>
        </w:rPr>
        <w:t>Queensland and Commonwealth waters from Cape York to Tin Can Bay, including parts of the Great Barrier Reef Marine</w:t>
      </w:r>
      <w:r>
        <w:rPr>
          <w:lang w:eastAsia="en-AU"/>
        </w:rPr>
        <w:t xml:space="preserve"> Park and the Coral Sea Marine Park</w:t>
      </w:r>
      <w:r w:rsidRPr="00211874">
        <w:rPr>
          <w:lang w:eastAsia="en-AU"/>
        </w:rPr>
        <w:t>.</w:t>
      </w:r>
      <w:r>
        <w:rPr>
          <w:lang w:eastAsia="en-AU"/>
        </w:rPr>
        <w:t xml:space="preserve"> Harvest is by hand collection only and the fishery </w:t>
      </w:r>
      <w:r w:rsidR="00897528">
        <w:rPr>
          <w:lang w:eastAsia="en-AU"/>
        </w:rPr>
        <w:t>ha</w:t>
      </w:r>
      <w:r>
        <w:rPr>
          <w:lang w:eastAsia="en-AU"/>
        </w:rPr>
        <w:t xml:space="preserve">s </w:t>
      </w:r>
      <w:r w:rsidR="00897528">
        <w:rPr>
          <w:lang w:eastAsia="en-AU"/>
        </w:rPr>
        <w:t xml:space="preserve">been </w:t>
      </w:r>
      <w:r>
        <w:rPr>
          <w:lang w:eastAsia="en-AU"/>
        </w:rPr>
        <w:t xml:space="preserve">managed using limited entry with quota of 391 t, split between </w:t>
      </w:r>
      <w:r w:rsidR="001376CA">
        <w:rPr>
          <w:lang w:eastAsia="en-AU"/>
        </w:rPr>
        <w:t xml:space="preserve">a </w:t>
      </w:r>
      <w:proofErr w:type="gramStart"/>
      <w:r w:rsidR="00823B9C">
        <w:rPr>
          <w:lang w:eastAsia="en-AU"/>
        </w:rPr>
        <w:t>53</w:t>
      </w:r>
      <w:r w:rsidR="00C066DC">
        <w:rPr>
          <w:lang w:eastAsia="en-AU"/>
        </w:rPr>
        <w:t xml:space="preserve"> </w:t>
      </w:r>
      <w:r w:rsidR="00823B9C">
        <w:rPr>
          <w:lang w:eastAsia="en-AU"/>
        </w:rPr>
        <w:t>t</w:t>
      </w:r>
      <w:proofErr w:type="gramEnd"/>
      <w:r w:rsidR="001376CA">
        <w:rPr>
          <w:lang w:eastAsia="en-AU"/>
        </w:rPr>
        <w:t xml:space="preserve"> quota for White </w:t>
      </w:r>
      <w:proofErr w:type="spellStart"/>
      <w:r w:rsidR="001376CA">
        <w:rPr>
          <w:lang w:eastAsia="en-AU"/>
        </w:rPr>
        <w:t>Teatfish</w:t>
      </w:r>
      <w:proofErr w:type="spellEnd"/>
      <w:r w:rsidR="001376CA">
        <w:rPr>
          <w:lang w:eastAsia="en-AU"/>
        </w:rPr>
        <w:t xml:space="preserve"> (</w:t>
      </w:r>
      <w:proofErr w:type="spellStart"/>
      <w:r w:rsidR="001376CA" w:rsidRPr="001376CA">
        <w:rPr>
          <w:i/>
          <w:iCs/>
          <w:lang w:eastAsia="en-AU"/>
        </w:rPr>
        <w:t>Holothuria</w:t>
      </w:r>
      <w:proofErr w:type="spellEnd"/>
      <w:r w:rsidR="001376CA" w:rsidRPr="001376CA">
        <w:rPr>
          <w:i/>
          <w:iCs/>
          <w:lang w:eastAsia="en-AU"/>
        </w:rPr>
        <w:t xml:space="preserve"> </w:t>
      </w:r>
      <w:proofErr w:type="spellStart"/>
      <w:r w:rsidR="001376CA" w:rsidRPr="001376CA">
        <w:rPr>
          <w:i/>
          <w:iCs/>
          <w:lang w:eastAsia="en-AU"/>
        </w:rPr>
        <w:t>fuscogilva</w:t>
      </w:r>
      <w:proofErr w:type="spellEnd"/>
      <w:r w:rsidR="001376CA">
        <w:rPr>
          <w:lang w:eastAsia="en-AU"/>
        </w:rPr>
        <w:t xml:space="preserve">), 30 t quota for Black </w:t>
      </w:r>
      <w:proofErr w:type="spellStart"/>
      <w:r w:rsidR="001376CA">
        <w:rPr>
          <w:lang w:eastAsia="en-AU"/>
        </w:rPr>
        <w:t>Teatfish</w:t>
      </w:r>
      <w:proofErr w:type="spellEnd"/>
      <w:r w:rsidR="001376CA">
        <w:rPr>
          <w:lang w:eastAsia="en-AU"/>
        </w:rPr>
        <w:t xml:space="preserve"> (</w:t>
      </w:r>
      <w:proofErr w:type="spellStart"/>
      <w:r w:rsidR="001376CA" w:rsidRPr="001376CA">
        <w:rPr>
          <w:rFonts w:cs="Arial"/>
          <w:i/>
          <w:lang w:eastAsia="en-AU"/>
        </w:rPr>
        <w:t>Holothuria</w:t>
      </w:r>
      <w:proofErr w:type="spellEnd"/>
      <w:r w:rsidR="001376CA" w:rsidRPr="001376CA">
        <w:rPr>
          <w:rFonts w:cs="Arial"/>
          <w:i/>
          <w:lang w:eastAsia="en-AU"/>
        </w:rPr>
        <w:t xml:space="preserve"> </w:t>
      </w:r>
      <w:proofErr w:type="spellStart"/>
      <w:r w:rsidR="001376CA" w:rsidRPr="001376CA">
        <w:rPr>
          <w:rFonts w:cs="Arial"/>
          <w:i/>
          <w:lang w:eastAsia="en-AU"/>
        </w:rPr>
        <w:t>whitmaei</w:t>
      </w:r>
      <w:proofErr w:type="spellEnd"/>
      <w:r w:rsidR="001376CA">
        <w:rPr>
          <w:lang w:eastAsia="en-AU"/>
        </w:rPr>
        <w:t>) and 308 t quota for ‘</w:t>
      </w:r>
      <w:r w:rsidR="00823B9C">
        <w:rPr>
          <w:lang w:eastAsia="en-AU"/>
        </w:rPr>
        <w:t>o</w:t>
      </w:r>
      <w:r w:rsidR="001376CA">
        <w:rPr>
          <w:lang w:eastAsia="en-AU"/>
        </w:rPr>
        <w:t xml:space="preserve">ther sea cucumbers’. There are also Rotational Harvest Arrangements (RHA) which divide the fishery into 158 zones, </w:t>
      </w:r>
      <w:r w:rsidR="00C066DC">
        <w:rPr>
          <w:lang w:eastAsia="en-AU"/>
        </w:rPr>
        <w:t xml:space="preserve">where </w:t>
      </w:r>
      <w:r w:rsidR="001376CA">
        <w:rPr>
          <w:lang w:eastAsia="en-AU"/>
        </w:rPr>
        <w:t>each may be fished a maximum of 18 days every 3 years. An Ecological Risk Assessment (ERA) was complete</w:t>
      </w:r>
      <w:r w:rsidR="00281EBB">
        <w:rPr>
          <w:lang w:eastAsia="en-AU"/>
        </w:rPr>
        <w:t>d</w:t>
      </w:r>
      <w:r w:rsidR="001376CA">
        <w:rPr>
          <w:lang w:eastAsia="en-AU"/>
        </w:rPr>
        <w:t xml:space="preserve"> in August 2021 and a Harvest Strategy was implemented on 1</w:t>
      </w:r>
      <w:r w:rsidR="00CF2BA1">
        <w:rPr>
          <w:lang w:eastAsia="en-AU"/>
        </w:rPr>
        <w:t> </w:t>
      </w:r>
      <w:r w:rsidR="001376CA">
        <w:rPr>
          <w:lang w:eastAsia="en-AU"/>
        </w:rPr>
        <w:t>September</w:t>
      </w:r>
      <w:r w:rsidR="00CF2BA1">
        <w:rPr>
          <w:lang w:eastAsia="en-AU"/>
        </w:rPr>
        <w:t> </w:t>
      </w:r>
      <w:r w:rsidR="001376CA">
        <w:rPr>
          <w:lang w:eastAsia="en-AU"/>
        </w:rPr>
        <w:t xml:space="preserve">2021. </w:t>
      </w:r>
    </w:p>
    <w:p w14:paraId="2C602040" w14:textId="3BD2345E" w:rsidR="00804CB5" w:rsidRDefault="00804CB5" w:rsidP="00804CB5">
      <w:pPr>
        <w:spacing w:line="276" w:lineRule="auto"/>
      </w:pPr>
      <w:r>
        <w:rPr>
          <w:lang w:eastAsia="en-AU"/>
        </w:rPr>
        <w:t>I</w:t>
      </w:r>
      <w:r w:rsidRPr="00804CB5">
        <w:rPr>
          <w:lang w:eastAsia="en-AU"/>
        </w:rPr>
        <w:t>mplementation of the Harvest Strategy is a positive development, formalising</w:t>
      </w:r>
      <w:r w:rsidR="00C066DC">
        <w:rPr>
          <w:lang w:eastAsia="en-AU"/>
        </w:rPr>
        <w:t xml:space="preserve"> </w:t>
      </w:r>
      <w:r w:rsidRPr="00804CB5">
        <w:rPr>
          <w:lang w:eastAsia="en-AU"/>
        </w:rPr>
        <w:t>previously voluntary</w:t>
      </w:r>
      <w:r w:rsidR="00C066DC">
        <w:rPr>
          <w:lang w:eastAsia="en-AU"/>
        </w:rPr>
        <w:t xml:space="preserve"> management measures</w:t>
      </w:r>
      <w:r w:rsidRPr="00804CB5">
        <w:rPr>
          <w:lang w:eastAsia="en-AU"/>
        </w:rPr>
        <w:t xml:space="preserve"> </w:t>
      </w:r>
      <w:r w:rsidR="00C066DC">
        <w:rPr>
          <w:lang w:eastAsia="en-AU"/>
        </w:rPr>
        <w:t xml:space="preserve">from </w:t>
      </w:r>
      <w:r w:rsidRPr="00804CB5">
        <w:rPr>
          <w:lang w:eastAsia="en-AU"/>
        </w:rPr>
        <w:t>a Memorandum of Understanding (MoU) with industry. The Harvest Strategy also outlines the rules applied to the fishery and makes the management arrangements more transparent.</w:t>
      </w:r>
      <w:r w:rsidRPr="00804CB5">
        <w:t xml:space="preserve"> </w:t>
      </w:r>
    </w:p>
    <w:p w14:paraId="41C55E47" w14:textId="355B7ABD" w:rsidR="00804CB5" w:rsidRDefault="00804CB5" w:rsidP="00804CB5">
      <w:pPr>
        <w:spacing w:line="276" w:lineRule="auto"/>
        <w:rPr>
          <w:lang w:eastAsia="en-AU"/>
        </w:rPr>
      </w:pPr>
      <w:r>
        <w:t xml:space="preserve">However, </w:t>
      </w:r>
      <w:r w:rsidR="00C066DC">
        <w:t>the department has</w:t>
      </w:r>
      <w:r>
        <w:t xml:space="preserve"> noted</w:t>
      </w:r>
      <w:r w:rsidR="00C066DC">
        <w:t xml:space="preserve"> some concerns</w:t>
      </w:r>
      <w:r>
        <w:t xml:space="preserve"> in this assessment </w:t>
      </w:r>
      <w:r w:rsidR="00C066DC">
        <w:t xml:space="preserve">relating to </w:t>
      </w:r>
      <w:r>
        <w:t>the</w:t>
      </w:r>
      <w:r w:rsidR="00C066DC">
        <w:t xml:space="preserve"> fishery’s</w:t>
      </w:r>
      <w:r>
        <w:t xml:space="preserve"> management arrangements. </w:t>
      </w:r>
      <w:r>
        <w:rPr>
          <w:lang w:eastAsia="en-AU"/>
        </w:rPr>
        <w:t xml:space="preserve">While the harvest strategy is an important step, some of the </w:t>
      </w:r>
      <w:r w:rsidR="000E67CE">
        <w:rPr>
          <w:lang w:eastAsia="en-AU"/>
        </w:rPr>
        <w:t xml:space="preserve">previous MoU </w:t>
      </w:r>
      <w:r>
        <w:rPr>
          <w:lang w:eastAsia="en-AU"/>
        </w:rPr>
        <w:t xml:space="preserve">measures </w:t>
      </w:r>
      <w:r w:rsidR="004C5EC9">
        <w:rPr>
          <w:lang w:eastAsia="en-AU"/>
        </w:rPr>
        <w:t xml:space="preserve">(such as minimum size limits) </w:t>
      </w:r>
      <w:r w:rsidR="00C066DC">
        <w:rPr>
          <w:lang w:eastAsia="en-AU"/>
        </w:rPr>
        <w:t>were</w:t>
      </w:r>
      <w:r>
        <w:rPr>
          <w:lang w:eastAsia="en-AU"/>
        </w:rPr>
        <w:t xml:space="preserve"> not transferred to the harvest strategy</w:t>
      </w:r>
      <w:r w:rsidR="00C066DC">
        <w:rPr>
          <w:lang w:eastAsia="en-AU"/>
        </w:rPr>
        <w:t>. T</w:t>
      </w:r>
      <w:r>
        <w:rPr>
          <w:lang w:eastAsia="en-AU"/>
        </w:rPr>
        <w:t xml:space="preserve">hese measures </w:t>
      </w:r>
      <w:r w:rsidR="00C066DC">
        <w:rPr>
          <w:lang w:eastAsia="en-AU"/>
        </w:rPr>
        <w:t xml:space="preserve">were </w:t>
      </w:r>
      <w:r>
        <w:rPr>
          <w:lang w:eastAsia="en-AU"/>
        </w:rPr>
        <w:t xml:space="preserve">part of the framework of input controls </w:t>
      </w:r>
      <w:r w:rsidR="000E67CE">
        <w:rPr>
          <w:lang w:eastAsia="en-AU"/>
        </w:rPr>
        <w:t xml:space="preserve">designed to </w:t>
      </w:r>
      <w:r>
        <w:rPr>
          <w:lang w:eastAsia="en-AU"/>
        </w:rPr>
        <w:t>ensur</w:t>
      </w:r>
      <w:r w:rsidR="00C066DC">
        <w:rPr>
          <w:lang w:eastAsia="en-AU"/>
        </w:rPr>
        <w:t>e</w:t>
      </w:r>
      <w:r>
        <w:rPr>
          <w:lang w:eastAsia="en-AU"/>
        </w:rPr>
        <w:t xml:space="preserve"> </w:t>
      </w:r>
      <w:r w:rsidR="00C066DC">
        <w:rPr>
          <w:lang w:eastAsia="en-AU"/>
        </w:rPr>
        <w:t xml:space="preserve">sustainable </w:t>
      </w:r>
      <w:r>
        <w:rPr>
          <w:lang w:eastAsia="en-AU"/>
        </w:rPr>
        <w:t xml:space="preserve">harvest in </w:t>
      </w:r>
      <w:r w:rsidR="00C066DC">
        <w:rPr>
          <w:lang w:eastAsia="en-AU"/>
        </w:rPr>
        <w:t>the</w:t>
      </w:r>
      <w:r>
        <w:rPr>
          <w:lang w:eastAsia="en-AU"/>
        </w:rPr>
        <w:t xml:space="preserve"> fishery in the long term. The original framework was formally evaluated </w:t>
      </w:r>
      <w:r w:rsidR="000F391B">
        <w:rPr>
          <w:lang w:eastAsia="en-AU"/>
        </w:rPr>
        <w:t xml:space="preserve">by CSIRO </w:t>
      </w:r>
      <w:r>
        <w:rPr>
          <w:lang w:eastAsia="en-AU"/>
        </w:rPr>
        <w:t xml:space="preserve">in 2014 through a Management Strategy Evaluation (MSE). </w:t>
      </w:r>
    </w:p>
    <w:p w14:paraId="33404627" w14:textId="4B514330" w:rsidR="00804CB5" w:rsidRDefault="00804CB5" w:rsidP="00804CB5">
      <w:pPr>
        <w:spacing w:line="276" w:lineRule="auto"/>
      </w:pPr>
      <w:r>
        <w:rPr>
          <w:lang w:eastAsia="en-AU"/>
        </w:rPr>
        <w:t>In addition, the harvest strategy biomass limit reference point for the exploitable biomass (</w:t>
      </w:r>
      <w:proofErr w:type="gramStart"/>
      <w:r>
        <w:rPr>
          <w:lang w:eastAsia="en-AU"/>
        </w:rPr>
        <w:t>i.e.</w:t>
      </w:r>
      <w:proofErr w:type="gramEnd"/>
      <w:r>
        <w:rPr>
          <w:lang w:eastAsia="en-AU"/>
        </w:rPr>
        <w:t xml:space="preserve"> the point </w:t>
      </w:r>
      <w:r w:rsidR="00FB027E">
        <w:rPr>
          <w:lang w:eastAsia="en-AU"/>
        </w:rPr>
        <w:t>where</w:t>
      </w:r>
      <w:r>
        <w:rPr>
          <w:lang w:eastAsia="en-AU"/>
        </w:rPr>
        <w:t xml:space="preserve"> fishing mortality is set at zero </w:t>
      </w:r>
      <w:r w:rsidR="00D43C9D">
        <w:rPr>
          <w:lang w:eastAsia="en-AU"/>
        </w:rPr>
        <w:t>to allow a stock to recover</w:t>
      </w:r>
      <w:r>
        <w:rPr>
          <w:lang w:eastAsia="en-AU"/>
        </w:rPr>
        <w:t xml:space="preserve">) </w:t>
      </w:r>
      <w:r w:rsidR="000E67CE">
        <w:rPr>
          <w:lang w:eastAsia="en-AU"/>
        </w:rPr>
        <w:t xml:space="preserve">is </w:t>
      </w:r>
      <w:r>
        <w:rPr>
          <w:lang w:eastAsia="en-AU"/>
        </w:rPr>
        <w:t xml:space="preserve">at 20% of the unfished biomass level. Acknowledging 20% is the default limit biomass for stock management in the absence of any further information, this level may not be conservative enough for sea cucumber species. For example, in the Torres Strait, the </w:t>
      </w:r>
      <w:proofErr w:type="spellStart"/>
      <w:r>
        <w:rPr>
          <w:lang w:eastAsia="en-AU"/>
        </w:rPr>
        <w:t>beche</w:t>
      </w:r>
      <w:proofErr w:type="spellEnd"/>
      <w:r>
        <w:rPr>
          <w:lang w:eastAsia="en-AU"/>
        </w:rPr>
        <w:t>-de-</w:t>
      </w:r>
      <w:proofErr w:type="spellStart"/>
      <w:r>
        <w:rPr>
          <w:lang w:eastAsia="en-AU"/>
        </w:rPr>
        <w:t>mer</w:t>
      </w:r>
      <w:proofErr w:type="spellEnd"/>
      <w:r>
        <w:rPr>
          <w:lang w:eastAsia="en-AU"/>
        </w:rPr>
        <w:t xml:space="preserve"> harvest strategy biomass limit reference point </w:t>
      </w:r>
      <w:r w:rsidR="0080319D">
        <w:rPr>
          <w:lang w:eastAsia="en-AU"/>
        </w:rPr>
        <w:t>is</w:t>
      </w:r>
      <w:r>
        <w:rPr>
          <w:lang w:eastAsia="en-AU"/>
        </w:rPr>
        <w:t xml:space="preserve"> 40% of unfished biomass as 20% </w:t>
      </w:r>
      <w:r w:rsidR="00F24C8B">
        <w:rPr>
          <w:lang w:eastAsia="en-AU"/>
        </w:rPr>
        <w:t>is</w:t>
      </w:r>
      <w:r>
        <w:rPr>
          <w:lang w:eastAsia="en-AU"/>
        </w:rPr>
        <w:t xml:space="preserve"> </w:t>
      </w:r>
      <w:r w:rsidR="00F24C8B">
        <w:rPr>
          <w:lang w:eastAsia="en-AU"/>
        </w:rPr>
        <w:t>considered</w:t>
      </w:r>
      <w:r>
        <w:rPr>
          <w:lang w:eastAsia="en-AU"/>
        </w:rPr>
        <w:t xml:space="preserve"> too low</w:t>
      </w:r>
      <w:r w:rsidR="000E67CE">
        <w:rPr>
          <w:lang w:eastAsia="en-AU"/>
        </w:rPr>
        <w:t>,</w:t>
      </w:r>
      <w:r>
        <w:rPr>
          <w:lang w:eastAsia="en-AU"/>
        </w:rPr>
        <w:t xml:space="preserve"> </w:t>
      </w:r>
      <w:r>
        <w:t xml:space="preserve">due in part to the “Allee” affect where there is low fertilisation success </w:t>
      </w:r>
      <w:r w:rsidR="0080319D">
        <w:t>f</w:t>
      </w:r>
      <w:r w:rsidR="000E67CE">
        <w:t xml:space="preserve">or sea cucumbers </w:t>
      </w:r>
      <w:r>
        <w:t xml:space="preserve">at low densities. </w:t>
      </w:r>
    </w:p>
    <w:p w14:paraId="3B07D570" w14:textId="1AD8FBF4" w:rsidR="00057F6D" w:rsidRDefault="00804CB5" w:rsidP="00804CB5">
      <w:pPr>
        <w:spacing w:line="276" w:lineRule="auto"/>
        <w:rPr>
          <w:lang w:eastAsia="en-AU"/>
        </w:rPr>
      </w:pPr>
      <w:r w:rsidRPr="00804CB5">
        <w:rPr>
          <w:lang w:eastAsia="en-AU"/>
        </w:rPr>
        <w:t>A</w:t>
      </w:r>
      <w:r>
        <w:rPr>
          <w:lang w:eastAsia="en-AU"/>
        </w:rPr>
        <w:t xml:space="preserve">n </w:t>
      </w:r>
      <w:r w:rsidRPr="00804CB5">
        <w:rPr>
          <w:lang w:eastAsia="en-AU"/>
        </w:rPr>
        <w:t xml:space="preserve">MSE is a tool that scientists and managers use to test whether </w:t>
      </w:r>
      <w:r w:rsidR="00316443">
        <w:rPr>
          <w:lang w:eastAsia="en-AU"/>
        </w:rPr>
        <w:t>a fishery’s</w:t>
      </w:r>
      <w:r w:rsidRPr="00804CB5">
        <w:rPr>
          <w:lang w:eastAsia="en-AU"/>
        </w:rPr>
        <w:t xml:space="preserve"> management arrangements can achieve pre-agreed management objectives. MSE</w:t>
      </w:r>
      <w:r w:rsidR="000E67CE">
        <w:rPr>
          <w:lang w:eastAsia="en-AU"/>
        </w:rPr>
        <w:t>s</w:t>
      </w:r>
      <w:r w:rsidRPr="00804CB5">
        <w:rPr>
          <w:lang w:eastAsia="en-AU"/>
        </w:rPr>
        <w:t xml:space="preserve"> help determine the harvest strategy likely to perform best. Th</w:t>
      </w:r>
      <w:r w:rsidR="007B4207">
        <w:rPr>
          <w:lang w:eastAsia="en-AU"/>
        </w:rPr>
        <w:t>e</w:t>
      </w:r>
      <w:r w:rsidRPr="00804CB5">
        <w:rPr>
          <w:lang w:eastAsia="en-AU"/>
        </w:rPr>
        <w:t xml:space="preserve"> best harvest strategy would perform well, regardless of uncertainty, and balance trade-offs amid competing management objectives.</w:t>
      </w:r>
      <w:r w:rsidR="00D85F36">
        <w:rPr>
          <w:lang w:eastAsia="en-AU"/>
        </w:rPr>
        <w:t xml:space="preserve"> Th</w:t>
      </w:r>
      <w:r w:rsidR="000E67CE">
        <w:rPr>
          <w:lang w:eastAsia="en-AU"/>
        </w:rPr>
        <w:t xml:space="preserve">e </w:t>
      </w:r>
      <w:r w:rsidR="008B502E">
        <w:rPr>
          <w:lang w:eastAsia="en-AU"/>
        </w:rPr>
        <w:t xml:space="preserve">department </w:t>
      </w:r>
      <w:r w:rsidR="000E67CE">
        <w:rPr>
          <w:lang w:eastAsia="en-AU"/>
        </w:rPr>
        <w:t>notes</w:t>
      </w:r>
      <w:r w:rsidR="00D85F36">
        <w:rPr>
          <w:lang w:eastAsia="en-AU"/>
        </w:rPr>
        <w:t xml:space="preserve"> that the new management arrangements for the fishery should be tested in this manner.</w:t>
      </w:r>
    </w:p>
    <w:p w14:paraId="11467A76" w14:textId="77777777" w:rsidR="00057F6D" w:rsidRDefault="00057F6D">
      <w:pPr>
        <w:spacing w:before="0" w:after="0"/>
        <w:rPr>
          <w:lang w:eastAsia="en-AU"/>
        </w:rPr>
      </w:pPr>
      <w:r>
        <w:rPr>
          <w:lang w:eastAsia="en-AU"/>
        </w:rPr>
        <w:br w:type="page"/>
      </w:r>
    </w:p>
    <w:p w14:paraId="5AFA040D" w14:textId="61A0E986" w:rsidR="00937DA0" w:rsidRDefault="00937DA0" w:rsidP="000E67CE">
      <w:pPr>
        <w:keepNext/>
        <w:spacing w:line="276" w:lineRule="auto"/>
        <w:rPr>
          <w:rFonts w:cs="Arial"/>
          <w:b/>
        </w:rPr>
      </w:pPr>
      <w:r w:rsidRPr="00433FCA">
        <w:rPr>
          <w:rFonts w:cs="Arial"/>
          <w:b/>
        </w:rPr>
        <w:lastRenderedPageBreak/>
        <w:t>Target stocks</w:t>
      </w:r>
    </w:p>
    <w:p w14:paraId="752B977D" w14:textId="45ACA56E" w:rsidR="001376CA" w:rsidRDefault="001037F4" w:rsidP="00433FCA">
      <w:pPr>
        <w:spacing w:line="276" w:lineRule="auto"/>
        <w:rPr>
          <w:rFonts w:cs="Arial"/>
          <w:lang w:eastAsia="en-AU"/>
        </w:rPr>
      </w:pPr>
      <w:r>
        <w:rPr>
          <w:rFonts w:cs="Arial"/>
          <w:bCs/>
        </w:rPr>
        <w:t xml:space="preserve">Approximately 22 species of sea cucumbers </w:t>
      </w:r>
      <w:r w:rsidR="00621061">
        <w:rPr>
          <w:rFonts w:cs="Arial"/>
          <w:bCs/>
        </w:rPr>
        <w:t>h</w:t>
      </w:r>
      <w:r>
        <w:rPr>
          <w:rFonts w:cs="Arial"/>
          <w:bCs/>
        </w:rPr>
        <w:t>a</w:t>
      </w:r>
      <w:r w:rsidR="00621061">
        <w:rPr>
          <w:rFonts w:cs="Arial"/>
          <w:bCs/>
        </w:rPr>
        <w:t>v</w:t>
      </w:r>
      <w:r>
        <w:rPr>
          <w:rFonts w:cs="Arial"/>
          <w:bCs/>
        </w:rPr>
        <w:t xml:space="preserve">e </w:t>
      </w:r>
      <w:r w:rsidR="00621061">
        <w:rPr>
          <w:rFonts w:cs="Arial"/>
          <w:bCs/>
        </w:rPr>
        <w:t xml:space="preserve">been </w:t>
      </w:r>
      <w:r>
        <w:rPr>
          <w:rFonts w:cs="Arial"/>
          <w:bCs/>
        </w:rPr>
        <w:t>harvested in the fishery</w:t>
      </w:r>
      <w:r w:rsidR="000E67CE">
        <w:rPr>
          <w:rFonts w:cs="Arial"/>
          <w:bCs/>
        </w:rPr>
        <w:t>. H</w:t>
      </w:r>
      <w:r>
        <w:rPr>
          <w:rFonts w:cs="Arial"/>
          <w:bCs/>
        </w:rPr>
        <w:t>owever</w:t>
      </w:r>
      <w:r w:rsidR="00284A8F">
        <w:rPr>
          <w:rFonts w:cs="Arial"/>
          <w:bCs/>
        </w:rPr>
        <w:t xml:space="preserve">, </w:t>
      </w:r>
      <w:r w:rsidR="008B502E">
        <w:rPr>
          <w:rFonts w:cs="Arial"/>
          <w:bCs/>
        </w:rPr>
        <w:t>most</w:t>
      </w:r>
      <w:r>
        <w:rPr>
          <w:rFonts w:cs="Arial"/>
          <w:bCs/>
        </w:rPr>
        <w:t xml:space="preserve"> </w:t>
      </w:r>
      <w:r w:rsidR="00621061">
        <w:rPr>
          <w:rFonts w:cs="Arial"/>
          <w:bCs/>
        </w:rPr>
        <w:t xml:space="preserve">of the recent </w:t>
      </w:r>
      <w:r>
        <w:rPr>
          <w:rFonts w:cs="Arial"/>
          <w:bCs/>
        </w:rPr>
        <w:t xml:space="preserve">harvest </w:t>
      </w:r>
      <w:r w:rsidR="00621061">
        <w:rPr>
          <w:rFonts w:cs="Arial"/>
          <w:bCs/>
        </w:rPr>
        <w:t>ha</w:t>
      </w:r>
      <w:r>
        <w:rPr>
          <w:rFonts w:cs="Arial"/>
          <w:bCs/>
        </w:rPr>
        <w:t xml:space="preserve">s </w:t>
      </w:r>
      <w:r w:rsidR="00621061">
        <w:rPr>
          <w:rFonts w:cs="Arial"/>
          <w:bCs/>
        </w:rPr>
        <w:t xml:space="preserve">been </w:t>
      </w:r>
      <w:r>
        <w:rPr>
          <w:rFonts w:cs="Arial"/>
          <w:bCs/>
        </w:rPr>
        <w:t xml:space="preserve">comprised of </w:t>
      </w:r>
      <w:r w:rsidRPr="001037F4">
        <w:rPr>
          <w:rFonts w:cs="Arial"/>
          <w:iCs/>
          <w:lang w:eastAsia="en-AU"/>
        </w:rPr>
        <w:t>Burrowing B</w:t>
      </w:r>
      <w:r w:rsidRPr="001037F4">
        <w:rPr>
          <w:rFonts w:cs="Arial"/>
          <w:lang w:eastAsia="en-AU"/>
        </w:rPr>
        <w:t>lackfish (</w:t>
      </w:r>
      <w:proofErr w:type="spellStart"/>
      <w:r w:rsidRPr="001037F4">
        <w:rPr>
          <w:rFonts w:cs="Arial"/>
          <w:i/>
          <w:lang w:eastAsia="en-AU"/>
        </w:rPr>
        <w:t>Actinopyga</w:t>
      </w:r>
      <w:proofErr w:type="spellEnd"/>
      <w:r w:rsidRPr="001037F4">
        <w:rPr>
          <w:rFonts w:cs="Arial"/>
          <w:i/>
          <w:lang w:eastAsia="en-AU"/>
        </w:rPr>
        <w:t xml:space="preserve"> </w:t>
      </w:r>
      <w:proofErr w:type="spellStart"/>
      <w:r w:rsidRPr="001037F4">
        <w:rPr>
          <w:rFonts w:cs="Arial"/>
          <w:i/>
          <w:lang w:eastAsia="en-AU"/>
        </w:rPr>
        <w:t>spinea</w:t>
      </w:r>
      <w:proofErr w:type="spellEnd"/>
      <w:r w:rsidRPr="001037F4">
        <w:rPr>
          <w:rFonts w:cs="Arial"/>
          <w:lang w:eastAsia="en-AU"/>
        </w:rPr>
        <w:t xml:space="preserve">), White </w:t>
      </w:r>
      <w:proofErr w:type="spellStart"/>
      <w:r w:rsidRPr="001037F4">
        <w:rPr>
          <w:rFonts w:cs="Arial"/>
          <w:lang w:eastAsia="en-AU"/>
        </w:rPr>
        <w:t>Teatfish</w:t>
      </w:r>
      <w:proofErr w:type="spellEnd"/>
      <w:r w:rsidRPr="001037F4">
        <w:rPr>
          <w:rFonts w:cs="Arial"/>
          <w:lang w:eastAsia="en-AU"/>
        </w:rPr>
        <w:t xml:space="preserve"> (</w:t>
      </w:r>
      <w:proofErr w:type="spellStart"/>
      <w:r w:rsidRPr="001037F4">
        <w:rPr>
          <w:rFonts w:cs="Arial"/>
          <w:i/>
          <w:lang w:eastAsia="en-AU"/>
        </w:rPr>
        <w:t>Holothuria</w:t>
      </w:r>
      <w:proofErr w:type="spellEnd"/>
      <w:r w:rsidRPr="001037F4">
        <w:rPr>
          <w:rFonts w:cs="Arial"/>
          <w:i/>
          <w:lang w:eastAsia="en-AU"/>
        </w:rPr>
        <w:t xml:space="preserve"> </w:t>
      </w:r>
      <w:proofErr w:type="spellStart"/>
      <w:r w:rsidRPr="001037F4">
        <w:rPr>
          <w:rFonts w:cs="Arial"/>
          <w:i/>
          <w:lang w:eastAsia="en-AU"/>
        </w:rPr>
        <w:t>fuscogilva</w:t>
      </w:r>
      <w:proofErr w:type="spellEnd"/>
      <w:r w:rsidRPr="001037F4">
        <w:rPr>
          <w:rFonts w:cs="Arial"/>
          <w:lang w:eastAsia="en-AU"/>
        </w:rPr>
        <w:t xml:space="preserve">), Black </w:t>
      </w:r>
      <w:proofErr w:type="spellStart"/>
      <w:r w:rsidRPr="001037F4">
        <w:rPr>
          <w:rFonts w:cs="Arial"/>
          <w:lang w:eastAsia="en-AU"/>
        </w:rPr>
        <w:t>Teatfish</w:t>
      </w:r>
      <w:proofErr w:type="spellEnd"/>
      <w:r w:rsidRPr="001037F4">
        <w:rPr>
          <w:rFonts w:cs="Arial"/>
          <w:lang w:eastAsia="en-AU"/>
        </w:rPr>
        <w:t xml:space="preserve"> (</w:t>
      </w:r>
      <w:proofErr w:type="spellStart"/>
      <w:r w:rsidRPr="001037F4">
        <w:rPr>
          <w:rFonts w:cs="Arial"/>
          <w:i/>
          <w:lang w:eastAsia="en-AU"/>
        </w:rPr>
        <w:t>Holothuria</w:t>
      </w:r>
      <w:proofErr w:type="spellEnd"/>
      <w:r w:rsidRPr="001037F4">
        <w:rPr>
          <w:rFonts w:cs="Arial"/>
          <w:i/>
          <w:lang w:eastAsia="en-AU"/>
        </w:rPr>
        <w:t xml:space="preserve"> </w:t>
      </w:r>
      <w:proofErr w:type="spellStart"/>
      <w:r w:rsidRPr="001037F4">
        <w:rPr>
          <w:rFonts w:cs="Arial"/>
          <w:i/>
          <w:lang w:eastAsia="en-AU"/>
        </w:rPr>
        <w:t>whitmaei</w:t>
      </w:r>
      <w:proofErr w:type="spellEnd"/>
      <w:r w:rsidRPr="001037F4">
        <w:rPr>
          <w:rFonts w:cs="Arial"/>
          <w:lang w:eastAsia="en-AU"/>
        </w:rPr>
        <w:t>), Prickly Redfish (</w:t>
      </w:r>
      <w:proofErr w:type="spellStart"/>
      <w:r w:rsidRPr="001037F4">
        <w:rPr>
          <w:rFonts w:cs="Arial"/>
          <w:i/>
          <w:lang w:eastAsia="en-AU"/>
        </w:rPr>
        <w:t>Thelenota</w:t>
      </w:r>
      <w:proofErr w:type="spellEnd"/>
      <w:r w:rsidRPr="001037F4">
        <w:rPr>
          <w:rFonts w:cs="Arial"/>
          <w:i/>
          <w:lang w:eastAsia="en-AU"/>
        </w:rPr>
        <w:t xml:space="preserve"> ananas</w:t>
      </w:r>
      <w:r w:rsidRPr="001037F4">
        <w:rPr>
          <w:rFonts w:cs="Arial"/>
          <w:lang w:eastAsia="en-AU"/>
        </w:rPr>
        <w:t xml:space="preserve">), </w:t>
      </w:r>
      <w:proofErr w:type="spellStart"/>
      <w:r w:rsidRPr="001037F4">
        <w:rPr>
          <w:rFonts w:cs="Arial"/>
          <w:lang w:eastAsia="en-AU"/>
        </w:rPr>
        <w:t>Curryfish</w:t>
      </w:r>
      <w:proofErr w:type="spellEnd"/>
      <w:r w:rsidRPr="001037F4">
        <w:rPr>
          <w:rFonts w:cs="Arial"/>
          <w:lang w:eastAsia="en-AU"/>
        </w:rPr>
        <w:t xml:space="preserve"> (</w:t>
      </w:r>
      <w:proofErr w:type="spellStart"/>
      <w:r w:rsidRPr="001037F4">
        <w:rPr>
          <w:rFonts w:cs="Arial"/>
          <w:i/>
          <w:lang w:eastAsia="en-AU"/>
        </w:rPr>
        <w:t>Stichopus</w:t>
      </w:r>
      <w:proofErr w:type="spellEnd"/>
      <w:r w:rsidRPr="001037F4">
        <w:rPr>
          <w:rFonts w:cs="Arial"/>
          <w:i/>
          <w:lang w:eastAsia="en-AU"/>
        </w:rPr>
        <w:t xml:space="preserve"> </w:t>
      </w:r>
      <w:proofErr w:type="spellStart"/>
      <w:r w:rsidRPr="001037F4">
        <w:rPr>
          <w:rFonts w:cs="Arial"/>
          <w:i/>
          <w:lang w:eastAsia="en-AU"/>
        </w:rPr>
        <w:t>herrmanni</w:t>
      </w:r>
      <w:proofErr w:type="spellEnd"/>
      <w:r w:rsidRPr="001037F4">
        <w:rPr>
          <w:rFonts w:cs="Arial"/>
          <w:i/>
          <w:lang w:eastAsia="en-AU"/>
        </w:rPr>
        <w:t xml:space="preserve">, </w:t>
      </w:r>
      <w:proofErr w:type="spellStart"/>
      <w:r w:rsidRPr="001037F4">
        <w:rPr>
          <w:rFonts w:cs="Arial"/>
          <w:i/>
          <w:lang w:eastAsia="en-AU"/>
        </w:rPr>
        <w:t>Stichopus</w:t>
      </w:r>
      <w:proofErr w:type="spellEnd"/>
      <w:r w:rsidRPr="001037F4">
        <w:rPr>
          <w:rFonts w:cs="Arial"/>
          <w:i/>
          <w:lang w:eastAsia="en-AU"/>
        </w:rPr>
        <w:t xml:space="preserve"> vastus), </w:t>
      </w:r>
      <w:r w:rsidR="000E67CE" w:rsidRPr="000E67CE">
        <w:rPr>
          <w:rFonts w:cs="Arial"/>
          <w:iCs/>
          <w:lang w:eastAsia="en-AU"/>
        </w:rPr>
        <w:t>and</w:t>
      </w:r>
      <w:r w:rsidR="000E67CE">
        <w:rPr>
          <w:rFonts w:cs="Arial"/>
          <w:i/>
          <w:lang w:eastAsia="en-AU"/>
        </w:rPr>
        <w:t xml:space="preserve"> </w:t>
      </w:r>
      <w:r w:rsidRPr="001037F4">
        <w:rPr>
          <w:rFonts w:cs="Arial"/>
          <w:lang w:eastAsia="en-AU"/>
        </w:rPr>
        <w:t>Blackfish (</w:t>
      </w:r>
      <w:proofErr w:type="spellStart"/>
      <w:r w:rsidRPr="001037F4">
        <w:rPr>
          <w:rFonts w:cs="Arial"/>
          <w:i/>
          <w:lang w:eastAsia="en-AU"/>
        </w:rPr>
        <w:t>Actinopyga</w:t>
      </w:r>
      <w:proofErr w:type="spellEnd"/>
      <w:r w:rsidRPr="001037F4">
        <w:rPr>
          <w:rFonts w:cs="Arial"/>
          <w:i/>
          <w:lang w:eastAsia="en-AU"/>
        </w:rPr>
        <w:t xml:space="preserve"> </w:t>
      </w:r>
      <w:proofErr w:type="spellStart"/>
      <w:r w:rsidRPr="001037F4">
        <w:rPr>
          <w:rFonts w:cs="Arial"/>
          <w:i/>
          <w:lang w:eastAsia="en-AU"/>
        </w:rPr>
        <w:t>palauensis</w:t>
      </w:r>
      <w:proofErr w:type="spellEnd"/>
      <w:r w:rsidRPr="001037F4">
        <w:rPr>
          <w:rFonts w:cs="Arial"/>
          <w:lang w:eastAsia="en-AU"/>
        </w:rPr>
        <w:t>)</w:t>
      </w:r>
      <w:r>
        <w:rPr>
          <w:rFonts w:cs="Arial"/>
          <w:lang w:eastAsia="en-AU"/>
        </w:rPr>
        <w:t>.</w:t>
      </w:r>
    </w:p>
    <w:p w14:paraId="0B874378" w14:textId="57F35FA2" w:rsidR="001037F4" w:rsidRDefault="001037F4" w:rsidP="001C0A6D">
      <w:pPr>
        <w:spacing w:line="276" w:lineRule="auto"/>
      </w:pPr>
      <w:r>
        <w:rPr>
          <w:rFonts w:cs="Arial"/>
          <w:lang w:eastAsia="en-AU"/>
        </w:rPr>
        <w:t xml:space="preserve">White </w:t>
      </w:r>
      <w:proofErr w:type="spellStart"/>
      <w:r>
        <w:rPr>
          <w:rFonts w:cs="Arial"/>
          <w:lang w:eastAsia="en-AU"/>
        </w:rPr>
        <w:t>Teatfish</w:t>
      </w:r>
      <w:proofErr w:type="spellEnd"/>
      <w:r>
        <w:rPr>
          <w:rFonts w:cs="Arial"/>
          <w:lang w:eastAsia="en-AU"/>
        </w:rPr>
        <w:t xml:space="preserve"> and Black </w:t>
      </w:r>
      <w:proofErr w:type="spellStart"/>
      <w:r>
        <w:rPr>
          <w:rFonts w:cs="Arial"/>
          <w:lang w:eastAsia="en-AU"/>
        </w:rPr>
        <w:t>Teatfish</w:t>
      </w:r>
      <w:proofErr w:type="spellEnd"/>
      <w:r>
        <w:rPr>
          <w:rFonts w:cs="Arial"/>
          <w:lang w:eastAsia="en-AU"/>
        </w:rPr>
        <w:t xml:space="preserve"> were listed </w:t>
      </w:r>
      <w:r w:rsidR="001C0A6D">
        <w:rPr>
          <w:rFonts w:cs="Arial"/>
          <w:lang w:eastAsia="en-AU"/>
        </w:rPr>
        <w:t>on Appendix II of the Convention on International Trade in Endangered Species of Wild Fauna and Flora (CITES) at</w:t>
      </w:r>
      <w:r w:rsidR="001C0A6D" w:rsidRPr="001C0A6D">
        <w:rPr>
          <w:rFonts w:cs="Arial"/>
          <w:lang w:eastAsia="en-AU"/>
        </w:rPr>
        <w:t xml:space="preserve"> the 18th Conference of the Parties meeting (17-28 August 2019)</w:t>
      </w:r>
      <w:r w:rsidR="001C0A6D">
        <w:rPr>
          <w:rFonts w:cs="Arial"/>
          <w:lang w:eastAsia="en-AU"/>
        </w:rPr>
        <w:t xml:space="preserve">. </w:t>
      </w:r>
      <w:r w:rsidR="001C0A6D" w:rsidRPr="001C0A6D">
        <w:rPr>
          <w:rFonts w:cs="Arial"/>
          <w:lang w:eastAsia="en-AU"/>
        </w:rPr>
        <w:t>Th</w:t>
      </w:r>
      <w:r w:rsidR="00647D1D">
        <w:rPr>
          <w:rFonts w:cs="Arial"/>
          <w:lang w:eastAsia="en-AU"/>
        </w:rPr>
        <w:t>e</w:t>
      </w:r>
      <w:r w:rsidR="001C0A6D" w:rsidRPr="001C0A6D">
        <w:rPr>
          <w:rFonts w:cs="Arial"/>
          <w:lang w:eastAsia="en-AU"/>
        </w:rPr>
        <w:t xml:space="preserve"> listing came into effect on 28</w:t>
      </w:r>
      <w:r w:rsidR="000E67CE">
        <w:rPr>
          <w:rFonts w:cs="Arial"/>
          <w:lang w:eastAsia="en-AU"/>
        </w:rPr>
        <w:t> </w:t>
      </w:r>
      <w:r w:rsidR="001C0A6D" w:rsidRPr="001C0A6D">
        <w:rPr>
          <w:rFonts w:cs="Arial"/>
          <w:lang w:eastAsia="en-AU"/>
        </w:rPr>
        <w:t>August 2020.</w:t>
      </w:r>
      <w:r w:rsidR="001C0A6D">
        <w:rPr>
          <w:rFonts w:cs="Arial"/>
          <w:lang w:eastAsia="en-AU"/>
        </w:rPr>
        <w:t xml:space="preserve"> </w:t>
      </w:r>
      <w:r w:rsidR="001C0A6D">
        <w:t xml:space="preserve">The </w:t>
      </w:r>
      <w:r w:rsidR="000E67CE">
        <w:t>d</w:t>
      </w:r>
      <w:r w:rsidR="001C0A6D">
        <w:t>epartment’s assessment forms the basis for approvals granted under Parts 13 and 13A of the EPBC Act, and for the Australian CITES Scientific Authority’s Non-Detriment Finding</w:t>
      </w:r>
      <w:r w:rsidR="000E67CE">
        <w:t>s</w:t>
      </w:r>
      <w:r w:rsidR="001C0A6D">
        <w:t xml:space="preserve"> (NDF) for Black </w:t>
      </w:r>
      <w:proofErr w:type="spellStart"/>
      <w:r w:rsidR="001C0A6D">
        <w:t>Teatfish</w:t>
      </w:r>
      <w:proofErr w:type="spellEnd"/>
      <w:r w:rsidR="001C0A6D">
        <w:t xml:space="preserve"> and White </w:t>
      </w:r>
      <w:proofErr w:type="spellStart"/>
      <w:r w:rsidR="001C0A6D">
        <w:t>Teatfish</w:t>
      </w:r>
      <w:proofErr w:type="spellEnd"/>
      <w:r w:rsidR="001C0A6D">
        <w:t xml:space="preserve"> in this fishery.</w:t>
      </w:r>
    </w:p>
    <w:p w14:paraId="13FF0932" w14:textId="071C89FB" w:rsidR="00C11A4B" w:rsidRDefault="00284A8F" w:rsidP="001C0A6D">
      <w:pPr>
        <w:spacing w:line="276" w:lineRule="auto"/>
        <w:rPr>
          <w:rFonts w:cs="Arial"/>
          <w:lang w:eastAsia="en-AU"/>
        </w:rPr>
      </w:pPr>
      <w:r>
        <w:rPr>
          <w:rFonts w:cs="Arial"/>
          <w:lang w:eastAsia="en-AU"/>
        </w:rPr>
        <w:t>A s</w:t>
      </w:r>
      <w:r w:rsidR="001C0A6D">
        <w:rPr>
          <w:rFonts w:cs="Arial"/>
          <w:lang w:eastAsia="en-AU"/>
        </w:rPr>
        <w:t>tock assessment ha</w:t>
      </w:r>
      <w:r>
        <w:rPr>
          <w:rFonts w:cs="Arial"/>
          <w:lang w:eastAsia="en-AU"/>
        </w:rPr>
        <w:t>s</w:t>
      </w:r>
      <w:r w:rsidR="001C0A6D">
        <w:rPr>
          <w:rFonts w:cs="Arial"/>
          <w:lang w:eastAsia="en-AU"/>
        </w:rPr>
        <w:t xml:space="preserve"> been completed for White </w:t>
      </w:r>
      <w:proofErr w:type="spellStart"/>
      <w:r w:rsidR="001C0A6D">
        <w:rPr>
          <w:rFonts w:cs="Arial"/>
          <w:lang w:eastAsia="en-AU"/>
        </w:rPr>
        <w:t>Teatfish</w:t>
      </w:r>
      <w:proofErr w:type="spellEnd"/>
      <w:r w:rsidR="001C0A6D">
        <w:rPr>
          <w:rFonts w:cs="Arial"/>
          <w:lang w:eastAsia="en-AU"/>
        </w:rPr>
        <w:t xml:space="preserve">. </w:t>
      </w:r>
      <w:r w:rsidR="004D7CA9">
        <w:rPr>
          <w:rFonts w:cs="Arial"/>
          <w:lang w:eastAsia="en-AU"/>
        </w:rPr>
        <w:t>While the assessment</w:t>
      </w:r>
      <w:r w:rsidR="004D7CA9" w:rsidDel="00284A8F">
        <w:rPr>
          <w:rFonts w:cs="Arial"/>
          <w:lang w:eastAsia="en-AU"/>
        </w:rPr>
        <w:t xml:space="preserve"> </w:t>
      </w:r>
      <w:r w:rsidR="004D7CA9">
        <w:rPr>
          <w:rFonts w:cs="Arial"/>
          <w:lang w:eastAsia="en-AU"/>
        </w:rPr>
        <w:t>indicate</w:t>
      </w:r>
      <w:r>
        <w:rPr>
          <w:rFonts w:cs="Arial"/>
          <w:lang w:eastAsia="en-AU"/>
        </w:rPr>
        <w:t>s</w:t>
      </w:r>
      <w:r w:rsidR="004D7CA9">
        <w:rPr>
          <w:rFonts w:cs="Arial"/>
          <w:lang w:eastAsia="en-AU"/>
        </w:rPr>
        <w:t xml:space="preserve"> a favourable stock status</w:t>
      </w:r>
      <w:r w:rsidR="00281EBB">
        <w:rPr>
          <w:rFonts w:cs="Arial"/>
          <w:lang w:eastAsia="en-AU"/>
        </w:rPr>
        <w:t>,</w:t>
      </w:r>
      <w:r w:rsidR="004D7CA9">
        <w:rPr>
          <w:rFonts w:cs="Arial"/>
          <w:lang w:eastAsia="en-AU"/>
        </w:rPr>
        <w:t xml:space="preserve"> uncertainty remains due to the lack of biomass surveys for this species and critical assumptions made </w:t>
      </w:r>
      <w:r w:rsidR="00700DE8">
        <w:rPr>
          <w:rFonts w:cs="Arial"/>
          <w:lang w:eastAsia="en-AU"/>
        </w:rPr>
        <w:t xml:space="preserve">in the stock </w:t>
      </w:r>
      <w:r w:rsidR="004D7CA9">
        <w:rPr>
          <w:rFonts w:cs="Arial"/>
          <w:lang w:eastAsia="en-AU"/>
        </w:rPr>
        <w:t xml:space="preserve">assessment. </w:t>
      </w:r>
      <w:r w:rsidR="00C11A4B">
        <w:rPr>
          <w:rFonts w:cs="Arial"/>
          <w:lang w:eastAsia="en-AU"/>
        </w:rPr>
        <w:t>A feasibility study completed to meet a condition of the 2020 WTO declaration for the fishery</w:t>
      </w:r>
      <w:r>
        <w:rPr>
          <w:rFonts w:cs="Arial"/>
          <w:lang w:eastAsia="en-AU"/>
        </w:rPr>
        <w:t xml:space="preserve"> defined ways </w:t>
      </w:r>
      <w:r w:rsidR="009A306C">
        <w:rPr>
          <w:rFonts w:cs="Arial"/>
          <w:lang w:eastAsia="en-AU"/>
        </w:rPr>
        <w:t>to</w:t>
      </w:r>
      <w:r>
        <w:rPr>
          <w:rFonts w:cs="Arial"/>
          <w:lang w:eastAsia="en-AU"/>
        </w:rPr>
        <w:t xml:space="preserve"> effectively survey the fishery</w:t>
      </w:r>
      <w:r w:rsidR="00EC25F0">
        <w:rPr>
          <w:rFonts w:cs="Arial"/>
          <w:lang w:eastAsia="en-AU"/>
        </w:rPr>
        <w:t xml:space="preserve">. The Harvest Strategy for the fishery indicates industry </w:t>
      </w:r>
      <w:r w:rsidR="009A306C">
        <w:rPr>
          <w:rFonts w:cs="Arial"/>
          <w:lang w:eastAsia="en-AU"/>
        </w:rPr>
        <w:t xml:space="preserve">will </w:t>
      </w:r>
      <w:r w:rsidR="00EC25F0">
        <w:rPr>
          <w:rFonts w:cs="Arial"/>
          <w:lang w:eastAsia="en-AU"/>
        </w:rPr>
        <w:t>survey</w:t>
      </w:r>
      <w:r w:rsidR="009A306C">
        <w:rPr>
          <w:rFonts w:cs="Arial"/>
          <w:lang w:eastAsia="en-AU"/>
        </w:rPr>
        <w:t xml:space="preserve"> the fishery in</w:t>
      </w:r>
      <w:r w:rsidR="00EC25F0">
        <w:rPr>
          <w:rFonts w:cs="Arial"/>
          <w:lang w:eastAsia="en-AU"/>
        </w:rPr>
        <w:t xml:space="preserve"> 2023</w:t>
      </w:r>
      <w:r w:rsidR="000E67CE">
        <w:rPr>
          <w:rFonts w:cs="Arial"/>
          <w:lang w:eastAsia="en-AU"/>
        </w:rPr>
        <w:t>–</w:t>
      </w:r>
      <w:r w:rsidR="00EC25F0">
        <w:rPr>
          <w:rFonts w:cs="Arial"/>
          <w:lang w:eastAsia="en-AU"/>
        </w:rPr>
        <w:t xml:space="preserve">24. Further, an independent </w:t>
      </w:r>
      <w:r w:rsidR="00F24746">
        <w:rPr>
          <w:rFonts w:cs="Arial"/>
          <w:lang w:eastAsia="en-AU"/>
        </w:rPr>
        <w:t xml:space="preserve">study </w:t>
      </w:r>
      <w:r w:rsidR="00F24746" w:rsidRPr="00F24746">
        <w:rPr>
          <w:rFonts w:cs="Arial"/>
          <w:lang w:eastAsia="en-AU"/>
        </w:rPr>
        <w:t xml:space="preserve">to assess the population and demography of sea cucumbers on the </w:t>
      </w:r>
      <w:r w:rsidR="001A75D0">
        <w:rPr>
          <w:rFonts w:cs="Arial"/>
          <w:lang w:eastAsia="en-AU"/>
        </w:rPr>
        <w:t>Great Barrier Reef (</w:t>
      </w:r>
      <w:r w:rsidR="00F24746" w:rsidRPr="00F24746">
        <w:rPr>
          <w:rFonts w:cs="Arial"/>
          <w:lang w:eastAsia="en-AU"/>
        </w:rPr>
        <w:t>GBR</w:t>
      </w:r>
      <w:r w:rsidR="001A75D0">
        <w:rPr>
          <w:rFonts w:cs="Arial"/>
          <w:lang w:eastAsia="en-AU"/>
        </w:rPr>
        <w:t>)</w:t>
      </w:r>
      <w:r w:rsidR="00F24746">
        <w:rPr>
          <w:rFonts w:cs="Arial"/>
          <w:lang w:eastAsia="en-AU"/>
        </w:rPr>
        <w:t xml:space="preserve"> is </w:t>
      </w:r>
      <w:r w:rsidR="001A75D0">
        <w:rPr>
          <w:rFonts w:cs="Arial"/>
          <w:lang w:eastAsia="en-AU"/>
        </w:rPr>
        <w:t xml:space="preserve">due to </w:t>
      </w:r>
      <w:r w:rsidR="00A67569">
        <w:rPr>
          <w:rFonts w:cs="Arial"/>
          <w:lang w:eastAsia="en-AU"/>
        </w:rPr>
        <w:t>begin</w:t>
      </w:r>
      <w:r w:rsidR="001A75D0">
        <w:rPr>
          <w:rFonts w:cs="Arial"/>
          <w:lang w:eastAsia="en-AU"/>
        </w:rPr>
        <w:t xml:space="preserve"> in </w:t>
      </w:r>
      <w:r w:rsidR="00F24746">
        <w:rPr>
          <w:rFonts w:cs="Arial"/>
          <w:lang w:eastAsia="en-AU"/>
        </w:rPr>
        <w:t xml:space="preserve">2022 and </w:t>
      </w:r>
      <w:r w:rsidR="001A75D0">
        <w:rPr>
          <w:rFonts w:cs="Arial"/>
          <w:lang w:eastAsia="en-AU"/>
        </w:rPr>
        <w:t>run</w:t>
      </w:r>
      <w:r w:rsidR="00F24746">
        <w:rPr>
          <w:rFonts w:cs="Arial"/>
          <w:lang w:eastAsia="en-AU"/>
        </w:rPr>
        <w:t xml:space="preserve"> for three years. </w:t>
      </w:r>
      <w:r w:rsidR="00EC25F0">
        <w:rPr>
          <w:rFonts w:cs="Arial"/>
          <w:lang w:eastAsia="en-AU"/>
        </w:rPr>
        <w:t xml:space="preserve">A further survey of the neighbouring Coral Sea region </w:t>
      </w:r>
      <w:r w:rsidR="00E72A47">
        <w:rPr>
          <w:rFonts w:cs="Arial"/>
          <w:lang w:eastAsia="en-AU"/>
        </w:rPr>
        <w:t>is</w:t>
      </w:r>
      <w:r w:rsidR="00EC25F0">
        <w:rPr>
          <w:rFonts w:cs="Arial"/>
          <w:lang w:eastAsia="en-AU"/>
        </w:rPr>
        <w:t xml:space="preserve"> </w:t>
      </w:r>
      <w:r w:rsidR="00C05388">
        <w:rPr>
          <w:rFonts w:cs="Arial"/>
          <w:lang w:eastAsia="en-AU"/>
        </w:rPr>
        <w:t>planned for 2022 and will</w:t>
      </w:r>
      <w:r w:rsidR="00EC25F0">
        <w:rPr>
          <w:rFonts w:cs="Arial"/>
          <w:lang w:eastAsia="en-AU"/>
        </w:rPr>
        <w:t xml:space="preserve"> </w:t>
      </w:r>
      <w:r w:rsidR="00F24746">
        <w:rPr>
          <w:rFonts w:cs="Arial"/>
          <w:lang w:eastAsia="en-AU"/>
        </w:rPr>
        <w:t xml:space="preserve">improve understanding of the population of this species. </w:t>
      </w:r>
      <w:r w:rsidR="00EC25F0">
        <w:rPr>
          <w:rFonts w:cs="Arial"/>
          <w:lang w:eastAsia="en-AU"/>
        </w:rPr>
        <w:t xml:space="preserve">As such, </w:t>
      </w:r>
      <w:r w:rsidR="00A67569">
        <w:rPr>
          <w:rFonts w:cs="Arial"/>
          <w:lang w:eastAsia="en-AU"/>
        </w:rPr>
        <w:t xml:space="preserve">the department expects </w:t>
      </w:r>
      <w:r w:rsidR="00EC25F0">
        <w:rPr>
          <w:rFonts w:cs="Arial"/>
          <w:lang w:eastAsia="en-AU"/>
        </w:rPr>
        <w:t xml:space="preserve">that uncertainty in the estimation of population status for this species will be reduced over the next three years. </w:t>
      </w:r>
      <w:r w:rsidR="00F24746">
        <w:rPr>
          <w:rFonts w:cs="Arial"/>
          <w:lang w:eastAsia="en-AU"/>
        </w:rPr>
        <w:t>Th</w:t>
      </w:r>
      <w:r w:rsidR="001A75D0">
        <w:rPr>
          <w:rFonts w:cs="Arial"/>
          <w:lang w:eastAsia="en-AU"/>
        </w:rPr>
        <w:t xml:space="preserve">e </w:t>
      </w:r>
      <w:r w:rsidR="009622A6">
        <w:rPr>
          <w:rFonts w:cs="Arial"/>
          <w:lang w:eastAsia="en-AU"/>
        </w:rPr>
        <w:t>department notes the</w:t>
      </w:r>
      <w:r w:rsidR="001A75D0">
        <w:rPr>
          <w:rFonts w:cs="Arial"/>
          <w:lang w:eastAsia="en-AU"/>
        </w:rPr>
        <w:t xml:space="preserve"> White </w:t>
      </w:r>
      <w:proofErr w:type="spellStart"/>
      <w:r w:rsidR="001A75D0">
        <w:rPr>
          <w:rFonts w:cs="Arial"/>
          <w:lang w:eastAsia="en-AU"/>
        </w:rPr>
        <w:t>Teatfish</w:t>
      </w:r>
      <w:proofErr w:type="spellEnd"/>
      <w:r w:rsidR="001A75D0">
        <w:rPr>
          <w:rFonts w:cs="Arial"/>
          <w:lang w:eastAsia="en-AU"/>
        </w:rPr>
        <w:t xml:space="preserve"> stock assessment completed in 2021 requires</w:t>
      </w:r>
      <w:r w:rsidR="00F24746">
        <w:rPr>
          <w:rFonts w:cs="Arial"/>
          <w:lang w:eastAsia="en-AU"/>
        </w:rPr>
        <w:t xml:space="preserve"> peer-review.</w:t>
      </w:r>
    </w:p>
    <w:p w14:paraId="72847D1C" w14:textId="4795DDF8" w:rsidR="00D956CF" w:rsidRDefault="004D7CA9" w:rsidP="001C0A6D">
      <w:pPr>
        <w:spacing w:line="276" w:lineRule="auto"/>
        <w:rPr>
          <w:rFonts w:cs="Arial"/>
          <w:lang w:eastAsia="en-AU"/>
        </w:rPr>
      </w:pPr>
      <w:r>
        <w:rPr>
          <w:rFonts w:cs="Arial"/>
          <w:lang w:eastAsia="en-AU"/>
        </w:rPr>
        <w:t xml:space="preserve">There is </w:t>
      </w:r>
      <w:r w:rsidR="00682065">
        <w:rPr>
          <w:rFonts w:cs="Arial"/>
          <w:lang w:eastAsia="en-AU"/>
        </w:rPr>
        <w:t xml:space="preserve">currently </w:t>
      </w:r>
      <w:r>
        <w:rPr>
          <w:rFonts w:cs="Arial"/>
          <w:lang w:eastAsia="en-AU"/>
        </w:rPr>
        <w:t>insufficient evidence of a clear recover</w:t>
      </w:r>
      <w:r w:rsidR="001660E7">
        <w:rPr>
          <w:rFonts w:cs="Arial"/>
          <w:lang w:eastAsia="en-AU"/>
        </w:rPr>
        <w:t>y</w:t>
      </w:r>
      <w:r>
        <w:rPr>
          <w:rFonts w:cs="Arial"/>
          <w:lang w:eastAsia="en-AU"/>
        </w:rPr>
        <w:t xml:space="preserve"> of Black </w:t>
      </w:r>
      <w:proofErr w:type="spellStart"/>
      <w:r>
        <w:rPr>
          <w:rFonts w:cs="Arial"/>
          <w:lang w:eastAsia="en-AU"/>
        </w:rPr>
        <w:t>Teatfish</w:t>
      </w:r>
      <w:proofErr w:type="spellEnd"/>
      <w:r>
        <w:rPr>
          <w:rFonts w:cs="Arial"/>
          <w:lang w:eastAsia="en-AU"/>
        </w:rPr>
        <w:t xml:space="preserve"> </w:t>
      </w:r>
      <w:r w:rsidR="00682065">
        <w:rPr>
          <w:rFonts w:cs="Arial"/>
          <w:lang w:eastAsia="en-AU"/>
        </w:rPr>
        <w:t>to d</w:t>
      </w:r>
      <w:r w:rsidR="00F24746">
        <w:rPr>
          <w:rFonts w:cs="Arial"/>
          <w:lang w:eastAsia="en-AU"/>
        </w:rPr>
        <w:t>emonstrate that</w:t>
      </w:r>
      <w:r>
        <w:rPr>
          <w:rFonts w:cs="Arial"/>
          <w:lang w:eastAsia="en-AU"/>
        </w:rPr>
        <w:t xml:space="preserve"> ongoing harvest would </w:t>
      </w:r>
      <w:r w:rsidR="00F24746">
        <w:rPr>
          <w:rFonts w:cs="Arial"/>
          <w:lang w:eastAsia="en-AU"/>
        </w:rPr>
        <w:t xml:space="preserve">not </w:t>
      </w:r>
      <w:r>
        <w:rPr>
          <w:rFonts w:cs="Arial"/>
          <w:lang w:eastAsia="en-AU"/>
        </w:rPr>
        <w:t xml:space="preserve">be detrimental to the stock status of the species. </w:t>
      </w:r>
      <w:r w:rsidR="00682065">
        <w:rPr>
          <w:rFonts w:cs="Arial"/>
          <w:lang w:eastAsia="en-AU"/>
        </w:rPr>
        <w:t xml:space="preserve">While industry has led surveys in the fishery and </w:t>
      </w:r>
      <w:r w:rsidR="00EA73B9">
        <w:rPr>
          <w:rFonts w:cs="Arial"/>
          <w:lang w:eastAsia="en-AU"/>
        </w:rPr>
        <w:t xml:space="preserve">a </w:t>
      </w:r>
      <w:r w:rsidR="00682065">
        <w:rPr>
          <w:rFonts w:cs="Arial"/>
          <w:lang w:eastAsia="en-AU"/>
        </w:rPr>
        <w:t xml:space="preserve">stock assessment </w:t>
      </w:r>
      <w:r w:rsidR="00EA73B9">
        <w:rPr>
          <w:rFonts w:cs="Arial"/>
          <w:lang w:eastAsia="en-AU"/>
        </w:rPr>
        <w:t xml:space="preserve">has </w:t>
      </w:r>
      <w:r w:rsidR="00682065">
        <w:rPr>
          <w:rFonts w:cs="Arial"/>
          <w:lang w:eastAsia="en-AU"/>
        </w:rPr>
        <w:t xml:space="preserve">been prepared using this information, the level of uncertainty remains high. </w:t>
      </w:r>
      <w:r w:rsidR="00556E29">
        <w:rPr>
          <w:rFonts w:cs="Arial"/>
          <w:lang w:eastAsia="en-AU"/>
        </w:rPr>
        <w:t xml:space="preserve">The department notes </w:t>
      </w:r>
      <w:r w:rsidR="008D2F23">
        <w:rPr>
          <w:rFonts w:cs="Arial"/>
          <w:lang w:eastAsia="en-AU"/>
        </w:rPr>
        <w:t xml:space="preserve">that the Black </w:t>
      </w:r>
      <w:proofErr w:type="spellStart"/>
      <w:r w:rsidR="008D2F23">
        <w:rPr>
          <w:rFonts w:cs="Arial"/>
          <w:lang w:eastAsia="en-AU"/>
        </w:rPr>
        <w:t>Teatfish</w:t>
      </w:r>
      <w:proofErr w:type="spellEnd"/>
      <w:r w:rsidR="008D2F23">
        <w:rPr>
          <w:rFonts w:cs="Arial"/>
          <w:lang w:eastAsia="en-AU"/>
        </w:rPr>
        <w:t xml:space="preserve"> stock assessment completed in 2021 also requires peer-review. </w:t>
      </w:r>
    </w:p>
    <w:p w14:paraId="447A5039" w14:textId="26042C5E" w:rsidR="00937DA0" w:rsidRPr="004D7CA9" w:rsidRDefault="004D7CA9" w:rsidP="004D7CA9">
      <w:pPr>
        <w:spacing w:line="276" w:lineRule="auto"/>
        <w:rPr>
          <w:rFonts w:cs="Arial"/>
          <w:lang w:eastAsia="en-AU"/>
        </w:rPr>
      </w:pPr>
      <w:r>
        <w:rPr>
          <w:rFonts w:cs="Arial"/>
          <w:lang w:eastAsia="en-AU"/>
        </w:rPr>
        <w:t>The</w:t>
      </w:r>
      <w:r w:rsidR="001A75D0">
        <w:rPr>
          <w:rFonts w:cs="Arial"/>
          <w:lang w:eastAsia="en-AU"/>
        </w:rPr>
        <w:t xml:space="preserve"> department is also concerned about the </w:t>
      </w:r>
      <w:r>
        <w:rPr>
          <w:rFonts w:cs="Arial"/>
          <w:lang w:eastAsia="en-AU"/>
        </w:rPr>
        <w:t>lack of stock assessment</w:t>
      </w:r>
      <w:r w:rsidR="001A75D0">
        <w:rPr>
          <w:rFonts w:cs="Arial"/>
          <w:lang w:eastAsia="en-AU"/>
        </w:rPr>
        <w:t>s</w:t>
      </w:r>
      <w:r>
        <w:rPr>
          <w:rFonts w:cs="Arial"/>
          <w:lang w:eastAsia="en-AU"/>
        </w:rPr>
        <w:t xml:space="preserve"> </w:t>
      </w:r>
      <w:r w:rsidR="00F24746">
        <w:rPr>
          <w:rFonts w:cs="Arial"/>
          <w:lang w:eastAsia="en-AU"/>
        </w:rPr>
        <w:t xml:space="preserve">and comprehensive and representative fishery independent surveys </w:t>
      </w:r>
      <w:r>
        <w:rPr>
          <w:rFonts w:cs="Arial"/>
          <w:lang w:eastAsia="en-AU"/>
        </w:rPr>
        <w:t>for other species targeted by the fishery and</w:t>
      </w:r>
      <w:r w:rsidR="001A75D0">
        <w:rPr>
          <w:rFonts w:cs="Arial"/>
          <w:lang w:eastAsia="en-AU"/>
        </w:rPr>
        <w:t xml:space="preserve"> has recommended </w:t>
      </w:r>
      <w:r>
        <w:rPr>
          <w:rFonts w:cs="Arial"/>
          <w:lang w:eastAsia="en-AU"/>
        </w:rPr>
        <w:t xml:space="preserve">conditions </w:t>
      </w:r>
      <w:r w:rsidR="001A75D0">
        <w:rPr>
          <w:rFonts w:cs="Arial"/>
          <w:lang w:eastAsia="en-AU"/>
        </w:rPr>
        <w:t>to help</w:t>
      </w:r>
      <w:r>
        <w:rPr>
          <w:rFonts w:cs="Arial"/>
          <w:lang w:eastAsia="en-AU"/>
        </w:rPr>
        <w:t xml:space="preserve"> further this work.</w:t>
      </w:r>
    </w:p>
    <w:p w14:paraId="5E93B8CC" w14:textId="6EA37C0E" w:rsidR="004D7CA9" w:rsidRDefault="004D7CA9" w:rsidP="00433FCA">
      <w:pPr>
        <w:spacing w:line="276" w:lineRule="auto"/>
        <w:rPr>
          <w:rFonts w:cs="Arial"/>
          <w:b/>
          <w:noProof/>
        </w:rPr>
      </w:pPr>
      <w:r>
        <w:rPr>
          <w:rFonts w:cs="Arial"/>
          <w:b/>
          <w:noProof/>
        </w:rPr>
        <w:t xml:space="preserve">Impacts on </w:t>
      </w:r>
      <w:r w:rsidR="001A75D0">
        <w:rPr>
          <w:rFonts w:cs="Arial"/>
          <w:b/>
          <w:noProof/>
        </w:rPr>
        <w:t>e</w:t>
      </w:r>
      <w:r>
        <w:rPr>
          <w:rFonts w:cs="Arial"/>
          <w:b/>
          <w:noProof/>
        </w:rPr>
        <w:t xml:space="preserve">cosystems and </w:t>
      </w:r>
      <w:r w:rsidR="001A75D0">
        <w:rPr>
          <w:rFonts w:cs="Arial"/>
          <w:b/>
          <w:noProof/>
        </w:rPr>
        <w:t>p</w:t>
      </w:r>
      <w:r>
        <w:rPr>
          <w:rFonts w:cs="Arial"/>
          <w:b/>
          <w:noProof/>
        </w:rPr>
        <w:t xml:space="preserve">rotected </w:t>
      </w:r>
      <w:r w:rsidR="001A75D0">
        <w:rPr>
          <w:rFonts w:cs="Arial"/>
          <w:b/>
          <w:noProof/>
        </w:rPr>
        <w:t>s</w:t>
      </w:r>
      <w:r>
        <w:rPr>
          <w:rFonts w:cs="Arial"/>
          <w:b/>
          <w:noProof/>
        </w:rPr>
        <w:t>pecies</w:t>
      </w:r>
    </w:p>
    <w:p w14:paraId="1E3D0B1B" w14:textId="2313C31D" w:rsidR="000B2ECB" w:rsidRDefault="00503F6D" w:rsidP="000B2ECB">
      <w:pPr>
        <w:adjustRightInd w:val="0"/>
        <w:spacing w:line="276" w:lineRule="auto"/>
        <w:rPr>
          <w:rFonts w:cs="Arial"/>
          <w:bCs/>
        </w:rPr>
      </w:pPr>
      <w:r>
        <w:rPr>
          <w:rFonts w:cs="Arial"/>
          <w:bCs/>
          <w:noProof/>
        </w:rPr>
        <w:t>The fishery is highly targeted</w:t>
      </w:r>
      <w:r w:rsidR="001A75D0">
        <w:rPr>
          <w:rFonts w:cs="Arial"/>
          <w:bCs/>
          <w:noProof/>
        </w:rPr>
        <w:t xml:space="preserve">, with </w:t>
      </w:r>
      <w:r>
        <w:rPr>
          <w:rFonts w:cs="Arial"/>
          <w:bCs/>
          <w:noProof/>
        </w:rPr>
        <w:t>fishing limited to hand collection. Impa</w:t>
      </w:r>
      <w:r w:rsidR="00E72A47">
        <w:rPr>
          <w:rFonts w:cs="Arial"/>
          <w:bCs/>
          <w:noProof/>
        </w:rPr>
        <w:t>c</w:t>
      </w:r>
      <w:r>
        <w:rPr>
          <w:rFonts w:cs="Arial"/>
          <w:bCs/>
          <w:noProof/>
        </w:rPr>
        <w:t xml:space="preserve">ts to protected species </w:t>
      </w:r>
      <w:r w:rsidR="00E72A47">
        <w:rPr>
          <w:rFonts w:cs="Arial"/>
          <w:bCs/>
          <w:noProof/>
        </w:rPr>
        <w:t xml:space="preserve">are </w:t>
      </w:r>
      <w:r>
        <w:rPr>
          <w:rFonts w:cs="Arial"/>
          <w:bCs/>
          <w:noProof/>
        </w:rPr>
        <w:t>likely to be low and limited to interations while anchoring</w:t>
      </w:r>
      <w:r w:rsidR="00E72A47">
        <w:rPr>
          <w:rFonts w:cs="Arial"/>
          <w:bCs/>
          <w:noProof/>
        </w:rPr>
        <w:t xml:space="preserve"> and</w:t>
      </w:r>
      <w:r>
        <w:rPr>
          <w:rFonts w:cs="Arial"/>
          <w:bCs/>
          <w:noProof/>
        </w:rPr>
        <w:t xml:space="preserve"> moving between locations. The highly selective fishing practices also limit potential impacts on the marine ecosystem. </w:t>
      </w:r>
      <w:r w:rsidR="000B2ECB" w:rsidRPr="000B2ECB">
        <w:rPr>
          <w:rFonts w:cs="Arial"/>
          <w:bCs/>
        </w:rPr>
        <w:t>Sea cucumbers</w:t>
      </w:r>
      <w:r w:rsidR="001A75D0">
        <w:rPr>
          <w:rFonts w:cs="Arial"/>
          <w:bCs/>
        </w:rPr>
        <w:t xml:space="preserve"> are</w:t>
      </w:r>
      <w:r w:rsidR="000B2ECB" w:rsidRPr="000B2ECB">
        <w:rPr>
          <w:rFonts w:cs="Arial"/>
          <w:bCs/>
        </w:rPr>
        <w:t xml:space="preserve"> members of marine benthic communities</w:t>
      </w:r>
      <w:r w:rsidR="000B2ECB">
        <w:rPr>
          <w:rFonts w:cs="Arial"/>
          <w:bCs/>
        </w:rPr>
        <w:t xml:space="preserve"> that</w:t>
      </w:r>
      <w:r w:rsidR="000B2ECB" w:rsidRPr="000B2ECB">
        <w:rPr>
          <w:rFonts w:cs="Arial"/>
          <w:bCs/>
        </w:rPr>
        <w:t xml:space="preserve"> </w:t>
      </w:r>
      <w:r w:rsidR="000B2ECB">
        <w:rPr>
          <w:rFonts w:cs="Arial"/>
          <w:bCs/>
        </w:rPr>
        <w:t xml:space="preserve">play </w:t>
      </w:r>
      <w:r w:rsidR="000B2ECB" w:rsidRPr="000B2ECB">
        <w:rPr>
          <w:rFonts w:cs="Arial"/>
          <w:bCs/>
        </w:rPr>
        <w:t xml:space="preserve">important </w:t>
      </w:r>
      <w:r w:rsidR="000604E4">
        <w:rPr>
          <w:rFonts w:cs="Arial"/>
          <w:bCs/>
        </w:rPr>
        <w:t xml:space="preserve">ecosystem </w:t>
      </w:r>
      <w:r w:rsidR="000B2ECB" w:rsidRPr="000B2ECB">
        <w:rPr>
          <w:rFonts w:cs="Arial"/>
          <w:bCs/>
        </w:rPr>
        <w:t>functions</w:t>
      </w:r>
      <w:r w:rsidR="000604E4">
        <w:rPr>
          <w:rFonts w:cs="Arial"/>
          <w:bCs/>
        </w:rPr>
        <w:t>.</w:t>
      </w:r>
      <w:r w:rsidR="000B2ECB" w:rsidRPr="000B2ECB">
        <w:rPr>
          <w:rFonts w:cs="Arial"/>
          <w:bCs/>
        </w:rPr>
        <w:t xml:space="preserve"> Of the more than 70 species commercially exploited, at least 12 regularly bu</w:t>
      </w:r>
      <w:r w:rsidR="001A75D0">
        <w:rPr>
          <w:rFonts w:cs="Arial"/>
          <w:bCs/>
        </w:rPr>
        <w:t>rrow</w:t>
      </w:r>
      <w:r w:rsidR="000B2ECB" w:rsidRPr="000B2ECB">
        <w:rPr>
          <w:rFonts w:cs="Arial"/>
          <w:bCs/>
        </w:rPr>
        <w:t xml:space="preserve"> into sand and mud, playing major roles in bioturbation. </w:t>
      </w:r>
      <w:r w:rsidR="000B2ECB">
        <w:rPr>
          <w:rFonts w:cs="Arial"/>
          <w:bCs/>
        </w:rPr>
        <w:t>Some</w:t>
      </w:r>
      <w:r w:rsidR="000B2ECB" w:rsidRPr="000B2ECB">
        <w:rPr>
          <w:rFonts w:cs="Arial"/>
          <w:bCs/>
        </w:rPr>
        <w:t xml:space="preserve"> are deposit-feeders, reducing the organic load and redistributing surface sediments, making them </w:t>
      </w:r>
      <w:proofErr w:type="spellStart"/>
      <w:r w:rsidR="000B2ECB" w:rsidRPr="000B2ECB">
        <w:rPr>
          <w:rFonts w:cs="Arial"/>
          <w:bCs/>
        </w:rPr>
        <w:t>bioremediators</w:t>
      </w:r>
      <w:proofErr w:type="spellEnd"/>
      <w:r w:rsidR="000B2ECB" w:rsidRPr="000B2ECB">
        <w:rPr>
          <w:rFonts w:cs="Arial"/>
          <w:bCs/>
        </w:rPr>
        <w:t xml:space="preserve"> </w:t>
      </w:r>
      <w:r w:rsidR="000B2ECB">
        <w:rPr>
          <w:rFonts w:cs="Arial"/>
          <w:bCs/>
        </w:rPr>
        <w:t>for nutrient runoff</w:t>
      </w:r>
      <w:r w:rsidR="000B2ECB" w:rsidRPr="000B2ECB">
        <w:rPr>
          <w:rFonts w:cs="Arial"/>
          <w:bCs/>
        </w:rPr>
        <w:t>. Sea cucumbers excrete inorganic nitrogen and phosphorus, enhancing the productivity of benthic biota. This form of nutrient recycling is crucial in ecosystems such as coral reefs. Feeding and excretion by sea cucumbers also act</w:t>
      </w:r>
      <w:r w:rsidR="00927662">
        <w:rPr>
          <w:rFonts w:cs="Arial"/>
          <w:bCs/>
        </w:rPr>
        <w:t>s</w:t>
      </w:r>
      <w:r w:rsidR="000B2ECB" w:rsidRPr="000B2ECB">
        <w:rPr>
          <w:rFonts w:cs="Arial"/>
          <w:bCs/>
        </w:rPr>
        <w:t xml:space="preserve"> to increase seawater alkalinity which contributes to local buffering of ocean acidification.</w:t>
      </w:r>
    </w:p>
    <w:p w14:paraId="592DFBBD" w14:textId="2DB44E82" w:rsidR="009F5E84" w:rsidRPr="00503F6D" w:rsidRDefault="000B2ECB" w:rsidP="00433FCA">
      <w:pPr>
        <w:spacing w:line="276" w:lineRule="auto"/>
        <w:rPr>
          <w:rFonts w:cs="Arial"/>
          <w:bCs/>
          <w:noProof/>
        </w:rPr>
      </w:pPr>
      <w:r w:rsidRPr="000B2ECB">
        <w:rPr>
          <w:rFonts w:cs="Arial"/>
          <w:bCs/>
          <w:noProof/>
        </w:rPr>
        <w:lastRenderedPageBreak/>
        <w:t>Ecosystem-based fisheries management needs to consider the importance of sea cucumbers in marine ecosystems and implement regulatory measures to safeguard their ecological roles.</w:t>
      </w:r>
      <w:r>
        <w:rPr>
          <w:rFonts w:cs="Arial"/>
          <w:bCs/>
          <w:noProof/>
        </w:rPr>
        <w:t xml:space="preserve"> </w:t>
      </w:r>
      <w:r w:rsidR="001C70CC">
        <w:rPr>
          <w:rFonts w:cs="Arial"/>
          <w:bCs/>
          <w:noProof/>
        </w:rPr>
        <w:t>While it is unclear whether</w:t>
      </w:r>
      <w:r w:rsidR="00346956">
        <w:rPr>
          <w:rFonts w:cs="Arial"/>
          <w:bCs/>
          <w:noProof/>
        </w:rPr>
        <w:t xml:space="preserve"> the Queensland Department of Agriculture and Fisheries</w:t>
      </w:r>
      <w:r w:rsidR="001C70CC">
        <w:rPr>
          <w:rFonts w:cs="Arial"/>
          <w:bCs/>
          <w:noProof/>
        </w:rPr>
        <w:t xml:space="preserve"> </w:t>
      </w:r>
      <w:r w:rsidR="00346956">
        <w:rPr>
          <w:rFonts w:cs="Arial"/>
          <w:bCs/>
          <w:noProof/>
        </w:rPr>
        <w:t>(</w:t>
      </w:r>
      <w:r w:rsidR="001C70CC">
        <w:rPr>
          <w:rFonts w:cs="Arial"/>
          <w:bCs/>
          <w:noProof/>
        </w:rPr>
        <w:t>QDAF</w:t>
      </w:r>
      <w:r w:rsidR="00346956">
        <w:rPr>
          <w:rFonts w:cs="Arial"/>
          <w:bCs/>
          <w:noProof/>
        </w:rPr>
        <w:t>)</w:t>
      </w:r>
      <w:r w:rsidR="001A75D0">
        <w:rPr>
          <w:rFonts w:cs="Arial"/>
          <w:bCs/>
          <w:noProof/>
        </w:rPr>
        <w:t xml:space="preserve"> </w:t>
      </w:r>
      <w:r w:rsidR="00503F6D">
        <w:rPr>
          <w:rFonts w:cs="Arial"/>
          <w:bCs/>
          <w:noProof/>
        </w:rPr>
        <w:t>direct</w:t>
      </w:r>
      <w:r w:rsidR="001C70CC">
        <w:rPr>
          <w:rFonts w:cs="Arial"/>
          <w:bCs/>
          <w:noProof/>
        </w:rPr>
        <w:t>ly</w:t>
      </w:r>
      <w:r w:rsidR="00503F6D">
        <w:rPr>
          <w:rFonts w:cs="Arial"/>
          <w:bCs/>
          <w:noProof/>
        </w:rPr>
        <w:t xml:space="preserve"> monitor</w:t>
      </w:r>
      <w:r w:rsidR="001C70CC">
        <w:rPr>
          <w:rFonts w:cs="Arial"/>
          <w:bCs/>
          <w:noProof/>
        </w:rPr>
        <w:t xml:space="preserve">s </w:t>
      </w:r>
      <w:r w:rsidR="00503F6D">
        <w:rPr>
          <w:rFonts w:cs="Arial"/>
          <w:bCs/>
          <w:noProof/>
        </w:rPr>
        <w:t xml:space="preserve">ecosystem </w:t>
      </w:r>
      <w:r w:rsidR="001C70CC">
        <w:rPr>
          <w:rFonts w:cs="Arial"/>
          <w:bCs/>
          <w:noProof/>
        </w:rPr>
        <w:t xml:space="preserve">impacts from sea cucumber fishing, </w:t>
      </w:r>
      <w:r>
        <w:rPr>
          <w:rFonts w:cs="Arial"/>
          <w:bCs/>
          <w:noProof/>
        </w:rPr>
        <w:t>the department’s assessment</w:t>
      </w:r>
      <w:r w:rsidR="001C70CC">
        <w:rPr>
          <w:rFonts w:cs="Arial"/>
          <w:bCs/>
          <w:noProof/>
        </w:rPr>
        <w:t xml:space="preserve"> has determined that </w:t>
      </w:r>
      <w:r w:rsidR="00D642AC">
        <w:rPr>
          <w:rFonts w:cs="Arial"/>
          <w:bCs/>
          <w:noProof/>
        </w:rPr>
        <w:t>significant ecological impacts are unlikley with QDAF’s current management arrangements.</w:t>
      </w:r>
    </w:p>
    <w:p w14:paraId="51B2F604" w14:textId="035AFBF3" w:rsidR="00937DA0" w:rsidRDefault="00937DA0" w:rsidP="00433FCA">
      <w:pPr>
        <w:spacing w:line="276" w:lineRule="auto"/>
        <w:rPr>
          <w:rFonts w:cs="Arial"/>
          <w:b/>
        </w:rPr>
      </w:pPr>
      <w:r w:rsidRPr="00433FCA">
        <w:rPr>
          <w:rFonts w:cs="Arial"/>
          <w:b/>
        </w:rPr>
        <w:t>Public submissions</w:t>
      </w:r>
    </w:p>
    <w:p w14:paraId="5C9CBB1C" w14:textId="737E6405" w:rsidR="007342E8" w:rsidRPr="00F44F79" w:rsidRDefault="006F4CF7" w:rsidP="00F44F79">
      <w:pPr>
        <w:spacing w:line="276" w:lineRule="auto"/>
        <w:rPr>
          <w:rFonts w:cs="Arial"/>
          <w:iCs/>
        </w:rPr>
      </w:pPr>
      <w:r>
        <w:rPr>
          <w:rFonts w:cs="Arial"/>
          <w:bCs/>
        </w:rPr>
        <w:t>The department received a</w:t>
      </w:r>
      <w:r w:rsidR="009F5E84">
        <w:rPr>
          <w:rFonts w:cs="Arial"/>
          <w:bCs/>
        </w:rPr>
        <w:t xml:space="preserve"> total of 12 public comments as part of the public consultation process. </w:t>
      </w:r>
      <w:r w:rsidR="007342E8">
        <w:rPr>
          <w:rFonts w:cs="Arial"/>
          <w:bCs/>
        </w:rPr>
        <w:t>These included 2 commends from industry, 3 from Non-Government Organisations (NGO), and 7 from academics and scientific experts on sea cucumbers. Whi</w:t>
      </w:r>
      <w:r w:rsidR="009A5685">
        <w:rPr>
          <w:rFonts w:cs="Arial"/>
          <w:bCs/>
        </w:rPr>
        <w:t>l</w:t>
      </w:r>
      <w:r w:rsidR="007342E8">
        <w:rPr>
          <w:rFonts w:cs="Arial"/>
          <w:bCs/>
        </w:rPr>
        <w:t xml:space="preserve">e the industry comments highlighted the stewardship and innovation in the fishery, comments from NGOs and scientists warned of the intrinsic vulnerability of sea cucumbers and their low capacity to recover from overharvesting. These comments recommended </w:t>
      </w:r>
      <w:r w:rsidR="00FC456A">
        <w:rPr>
          <w:rFonts w:cs="Arial"/>
          <w:bCs/>
        </w:rPr>
        <w:t xml:space="preserve">not granting </w:t>
      </w:r>
      <w:r w:rsidR="007342E8">
        <w:rPr>
          <w:rFonts w:cs="Arial"/>
          <w:bCs/>
        </w:rPr>
        <w:t>export approval</w:t>
      </w:r>
      <w:r w:rsidR="00FC456A">
        <w:rPr>
          <w:rFonts w:cs="Arial"/>
          <w:bCs/>
        </w:rPr>
        <w:t xml:space="preserve"> </w:t>
      </w:r>
      <w:r w:rsidR="007342E8">
        <w:rPr>
          <w:rFonts w:cs="Arial"/>
          <w:bCs/>
        </w:rPr>
        <w:t xml:space="preserve">for White </w:t>
      </w:r>
      <w:proofErr w:type="spellStart"/>
      <w:r w:rsidR="007342E8">
        <w:rPr>
          <w:rFonts w:cs="Arial"/>
          <w:bCs/>
        </w:rPr>
        <w:t>Teatfish</w:t>
      </w:r>
      <w:proofErr w:type="spellEnd"/>
      <w:r w:rsidR="007342E8">
        <w:rPr>
          <w:rFonts w:cs="Arial"/>
          <w:bCs/>
        </w:rPr>
        <w:t xml:space="preserve"> </w:t>
      </w:r>
      <w:r w:rsidR="00493EB1">
        <w:rPr>
          <w:rFonts w:cs="Arial"/>
          <w:bCs/>
        </w:rPr>
        <w:t>or</w:t>
      </w:r>
      <w:r w:rsidR="007342E8">
        <w:rPr>
          <w:rFonts w:cs="Arial"/>
          <w:bCs/>
        </w:rPr>
        <w:t xml:space="preserve"> Black </w:t>
      </w:r>
      <w:proofErr w:type="spellStart"/>
      <w:r w:rsidR="007342E8">
        <w:rPr>
          <w:rFonts w:cs="Arial"/>
          <w:bCs/>
        </w:rPr>
        <w:t>Teatfish</w:t>
      </w:r>
      <w:proofErr w:type="spellEnd"/>
      <w:r w:rsidR="00205E15">
        <w:rPr>
          <w:rFonts w:cs="Arial"/>
          <w:bCs/>
        </w:rPr>
        <w:t xml:space="preserve">, indicating that </w:t>
      </w:r>
      <w:r w:rsidR="00503F6D">
        <w:rPr>
          <w:rFonts w:cs="Arial"/>
          <w:bCs/>
        </w:rPr>
        <w:t>management arrangement</w:t>
      </w:r>
      <w:r w:rsidR="00683B58">
        <w:rPr>
          <w:rFonts w:cs="Arial"/>
          <w:bCs/>
        </w:rPr>
        <w:t xml:space="preserve">s are </w:t>
      </w:r>
      <w:r w:rsidR="00503F6D">
        <w:rPr>
          <w:rFonts w:cs="Arial"/>
          <w:bCs/>
        </w:rPr>
        <w:t>not meeting Australia’s obligations under CITES</w:t>
      </w:r>
      <w:r w:rsidR="00AE443A">
        <w:rPr>
          <w:rFonts w:cs="Arial"/>
          <w:bCs/>
        </w:rPr>
        <w:t xml:space="preserve">, and </w:t>
      </w:r>
      <w:r w:rsidR="00C033CB">
        <w:rPr>
          <w:rFonts w:cs="Arial"/>
          <w:bCs/>
        </w:rPr>
        <w:t>are not</w:t>
      </w:r>
      <w:r w:rsidR="00AE443A">
        <w:rPr>
          <w:rFonts w:cs="Arial"/>
          <w:bCs/>
        </w:rPr>
        <w:t xml:space="preserve"> conducive to the aims of the </w:t>
      </w:r>
      <w:r w:rsidR="00AE443A" w:rsidRPr="00AE443A">
        <w:rPr>
          <w:rFonts w:cs="Arial"/>
          <w:bCs/>
        </w:rPr>
        <w:t>Reef 2050 Long Term Sustainability Plan</w:t>
      </w:r>
      <w:r w:rsidR="00AE443A">
        <w:rPr>
          <w:rFonts w:cs="Arial"/>
          <w:bCs/>
        </w:rPr>
        <w:t xml:space="preserve">. </w:t>
      </w:r>
      <w:r w:rsidR="00493EB1">
        <w:rPr>
          <w:rFonts w:cs="Arial"/>
          <w:bCs/>
        </w:rPr>
        <w:t>S</w:t>
      </w:r>
      <w:r w:rsidR="00AE443A">
        <w:rPr>
          <w:rFonts w:cs="Arial"/>
          <w:bCs/>
        </w:rPr>
        <w:t>cientific experts raised concerns about t</w:t>
      </w:r>
      <w:r w:rsidR="00AE443A" w:rsidRPr="00F44F79">
        <w:rPr>
          <w:rFonts w:cs="Arial"/>
          <w:bCs/>
        </w:rPr>
        <w:t>h</w:t>
      </w:r>
      <w:r w:rsidR="007342E8" w:rsidRPr="00F44F79">
        <w:rPr>
          <w:rFonts w:cs="Arial"/>
          <w:iCs/>
        </w:rPr>
        <w:t>e lack of adequate stock status information and inconsistent</w:t>
      </w:r>
      <w:r w:rsidR="00F45F7B">
        <w:rPr>
          <w:rFonts w:cs="Arial"/>
          <w:iCs/>
        </w:rPr>
        <w:t>,</w:t>
      </w:r>
      <w:r w:rsidR="007342E8" w:rsidRPr="00F44F79">
        <w:rPr>
          <w:rFonts w:cs="Arial"/>
          <w:iCs/>
        </w:rPr>
        <w:t xml:space="preserve"> </w:t>
      </w:r>
      <w:proofErr w:type="gramStart"/>
      <w:r w:rsidR="007342E8" w:rsidRPr="00F44F79">
        <w:rPr>
          <w:rFonts w:cs="Arial"/>
          <w:iCs/>
        </w:rPr>
        <w:t>inadequate</w:t>
      </w:r>
      <w:proofErr w:type="gramEnd"/>
      <w:r w:rsidR="00F45F7B">
        <w:rPr>
          <w:rFonts w:cs="Arial"/>
          <w:iCs/>
        </w:rPr>
        <w:t xml:space="preserve"> and uncertain</w:t>
      </w:r>
      <w:r w:rsidR="007342E8" w:rsidRPr="00F44F79">
        <w:rPr>
          <w:rFonts w:cs="Arial"/>
          <w:iCs/>
        </w:rPr>
        <w:t xml:space="preserve"> </w:t>
      </w:r>
      <w:r w:rsidR="00493EB1">
        <w:rPr>
          <w:rFonts w:cs="Arial"/>
          <w:iCs/>
        </w:rPr>
        <w:t>survey data, particularly for</w:t>
      </w:r>
      <w:r w:rsidR="007342E8" w:rsidRPr="00F44F79">
        <w:rPr>
          <w:rFonts w:cs="Arial"/>
          <w:iCs/>
        </w:rPr>
        <w:t xml:space="preserve"> Black </w:t>
      </w:r>
      <w:proofErr w:type="spellStart"/>
      <w:r w:rsidR="007342E8" w:rsidRPr="00F44F79">
        <w:rPr>
          <w:rFonts w:cs="Arial"/>
          <w:iCs/>
        </w:rPr>
        <w:t>Teatfish</w:t>
      </w:r>
      <w:proofErr w:type="spellEnd"/>
      <w:r w:rsidR="007342E8" w:rsidRPr="00F44F79">
        <w:rPr>
          <w:rFonts w:cs="Arial"/>
          <w:iCs/>
        </w:rPr>
        <w:t>.</w:t>
      </w:r>
      <w:r w:rsidR="00F44F79">
        <w:rPr>
          <w:rFonts w:cs="Arial"/>
          <w:iCs/>
        </w:rPr>
        <w:t xml:space="preserve"> </w:t>
      </w:r>
      <w:r w:rsidR="007342E8" w:rsidRPr="00F44F79">
        <w:rPr>
          <w:rFonts w:cs="Arial"/>
          <w:iCs/>
        </w:rPr>
        <w:t xml:space="preserve">There were also concerns raised about the concentration of harvest in specific areas of the fishery despite the RHA only </w:t>
      </w:r>
      <w:r w:rsidR="00385D6E" w:rsidRPr="00F44F79">
        <w:rPr>
          <w:rFonts w:cs="Arial"/>
          <w:iCs/>
        </w:rPr>
        <w:t>allowing</w:t>
      </w:r>
      <w:r w:rsidR="007342E8" w:rsidRPr="00F44F79">
        <w:rPr>
          <w:rFonts w:cs="Arial"/>
          <w:iCs/>
        </w:rPr>
        <w:t xml:space="preserve"> harvest for a limited time in each zone of the fishery every three years. </w:t>
      </w:r>
    </w:p>
    <w:p w14:paraId="40195A4B" w14:textId="1A1BDA29" w:rsidR="00937DA0" w:rsidRDefault="00937DA0" w:rsidP="00433FCA">
      <w:pPr>
        <w:adjustRightInd w:val="0"/>
        <w:spacing w:line="276" w:lineRule="auto"/>
        <w:rPr>
          <w:rFonts w:cs="Arial"/>
          <w:b/>
        </w:rPr>
      </w:pPr>
      <w:r w:rsidRPr="00433FCA">
        <w:rPr>
          <w:rFonts w:cs="Arial"/>
          <w:b/>
        </w:rPr>
        <w:t>Conclusion</w:t>
      </w:r>
    </w:p>
    <w:p w14:paraId="1111213E" w14:textId="3B555A7A" w:rsidR="000B2ECB" w:rsidRDefault="001660E7" w:rsidP="001660E7">
      <w:pPr>
        <w:adjustRightInd w:val="0"/>
        <w:spacing w:line="276" w:lineRule="auto"/>
        <w:rPr>
          <w:rFonts w:cs="Arial"/>
          <w:bCs/>
        </w:rPr>
      </w:pPr>
      <w:r>
        <w:rPr>
          <w:rFonts w:cs="Arial"/>
          <w:bCs/>
        </w:rPr>
        <w:t>The department</w:t>
      </w:r>
      <w:r w:rsidR="00EC2BCC">
        <w:rPr>
          <w:rFonts w:cs="Arial"/>
          <w:bCs/>
        </w:rPr>
        <w:t>’</w:t>
      </w:r>
      <w:r>
        <w:rPr>
          <w:rFonts w:cs="Arial"/>
          <w:bCs/>
        </w:rPr>
        <w:t xml:space="preserve">s assessment identified a range of concerns that relate </w:t>
      </w:r>
      <w:r w:rsidDel="00EC2BCC">
        <w:rPr>
          <w:rFonts w:cs="Arial"/>
          <w:bCs/>
        </w:rPr>
        <w:t xml:space="preserve">to </w:t>
      </w:r>
      <w:r w:rsidR="00EC2BCC">
        <w:rPr>
          <w:rFonts w:cs="Arial"/>
          <w:bCs/>
        </w:rPr>
        <w:t>a high level of uncertainty in the</w:t>
      </w:r>
      <w:r w:rsidDel="00EC2BCC">
        <w:rPr>
          <w:rFonts w:cs="Arial"/>
          <w:bCs/>
        </w:rPr>
        <w:t xml:space="preserve"> </w:t>
      </w:r>
      <w:r>
        <w:rPr>
          <w:rFonts w:cs="Arial"/>
          <w:bCs/>
        </w:rPr>
        <w:t xml:space="preserve">information </w:t>
      </w:r>
      <w:r w:rsidR="00EC2BCC">
        <w:rPr>
          <w:rFonts w:cs="Arial"/>
          <w:bCs/>
        </w:rPr>
        <w:t xml:space="preserve">that underpins the management of harvest for some of the </w:t>
      </w:r>
      <w:r w:rsidR="00BB0E27">
        <w:rPr>
          <w:rFonts w:cs="Arial"/>
          <w:bCs/>
        </w:rPr>
        <w:t>key species</w:t>
      </w:r>
      <w:r>
        <w:rPr>
          <w:rFonts w:cs="Arial"/>
          <w:bCs/>
        </w:rPr>
        <w:t xml:space="preserve"> in the fishery. </w:t>
      </w:r>
    </w:p>
    <w:p w14:paraId="3B908595" w14:textId="677FAEC3" w:rsidR="001660E7" w:rsidRDefault="001660E7" w:rsidP="001660E7">
      <w:pPr>
        <w:adjustRightInd w:val="0"/>
        <w:spacing w:line="276" w:lineRule="auto"/>
        <w:rPr>
          <w:rFonts w:cs="Arial"/>
        </w:rPr>
      </w:pPr>
      <w:r>
        <w:rPr>
          <w:rFonts w:cs="Arial"/>
          <w:bCs/>
        </w:rPr>
        <w:t xml:space="preserve">Noting the important role sea cucumbers </w:t>
      </w:r>
      <w:r w:rsidR="009D2DBD">
        <w:rPr>
          <w:rFonts w:cs="Arial"/>
          <w:bCs/>
        </w:rPr>
        <w:t xml:space="preserve">play </w:t>
      </w:r>
      <w:r>
        <w:rPr>
          <w:rFonts w:cs="Arial"/>
          <w:bCs/>
        </w:rPr>
        <w:t xml:space="preserve">in the ecosystem, their vulnerability to overharvesting, and limited capacity to recover </w:t>
      </w:r>
      <w:r w:rsidR="009D2DBD">
        <w:rPr>
          <w:rFonts w:cs="Arial"/>
          <w:bCs/>
        </w:rPr>
        <w:t xml:space="preserve">from population decline, this assessment report details </w:t>
      </w:r>
      <w:proofErr w:type="gramStart"/>
      <w:r w:rsidR="009D2DBD">
        <w:rPr>
          <w:rFonts w:cs="Arial"/>
          <w:bCs/>
        </w:rPr>
        <w:t>a number of</w:t>
      </w:r>
      <w:proofErr w:type="gramEnd"/>
      <w:r w:rsidR="009D2DBD">
        <w:rPr>
          <w:rFonts w:cs="Arial"/>
          <w:bCs/>
        </w:rPr>
        <w:t xml:space="preserve"> conditions </w:t>
      </w:r>
      <w:r w:rsidR="00C12C4F">
        <w:rPr>
          <w:rFonts w:cs="Arial"/>
          <w:bCs/>
        </w:rPr>
        <w:t>for the</w:t>
      </w:r>
      <w:r w:rsidR="009D2DBD">
        <w:rPr>
          <w:rFonts w:cs="Arial"/>
          <w:bCs/>
        </w:rPr>
        <w:t xml:space="preserve"> WTO declaration for th</w:t>
      </w:r>
      <w:r w:rsidR="0024079F">
        <w:rPr>
          <w:rFonts w:cs="Arial"/>
          <w:bCs/>
        </w:rPr>
        <w:t>e</w:t>
      </w:r>
      <w:r w:rsidR="009D2DBD">
        <w:rPr>
          <w:rFonts w:cs="Arial"/>
          <w:bCs/>
        </w:rPr>
        <w:t xml:space="preserve"> fishery to improve the ecological sustainability of the management arrangements</w:t>
      </w:r>
      <w:r w:rsidR="0024079F">
        <w:rPr>
          <w:rFonts w:cs="Arial"/>
          <w:bCs/>
        </w:rPr>
        <w:t xml:space="preserve">. The conditions require a </w:t>
      </w:r>
      <w:r>
        <w:rPr>
          <w:rFonts w:cs="Arial"/>
          <w:bCs/>
        </w:rPr>
        <w:t xml:space="preserve">more precautionary approach to management of </w:t>
      </w:r>
      <w:r w:rsidR="00351C06">
        <w:rPr>
          <w:rFonts w:cs="Arial"/>
          <w:bCs/>
        </w:rPr>
        <w:t>the</w:t>
      </w:r>
      <w:r>
        <w:rPr>
          <w:rFonts w:cs="Arial"/>
          <w:bCs/>
        </w:rPr>
        <w:t xml:space="preserve"> risk</w:t>
      </w:r>
      <w:r w:rsidR="009D2DBD">
        <w:rPr>
          <w:rFonts w:cs="Arial"/>
          <w:bCs/>
        </w:rPr>
        <w:t>s</w:t>
      </w:r>
      <w:r>
        <w:rPr>
          <w:rFonts w:cs="Arial"/>
          <w:bCs/>
        </w:rPr>
        <w:t xml:space="preserve"> in the fishery.</w:t>
      </w:r>
    </w:p>
    <w:p w14:paraId="45F42017" w14:textId="0B534468" w:rsidR="00885298" w:rsidRPr="00433FCA" w:rsidRDefault="001660E7" w:rsidP="001660E7">
      <w:pPr>
        <w:adjustRightInd w:val="0"/>
        <w:spacing w:line="276" w:lineRule="auto"/>
        <w:rPr>
          <w:rFonts w:cs="Arial"/>
        </w:rPr>
      </w:pPr>
      <w:r>
        <w:rPr>
          <w:rFonts w:cs="Arial"/>
        </w:rPr>
        <w:t>T</w:t>
      </w:r>
      <w:r w:rsidR="00CF1DE5" w:rsidRPr="00433FCA">
        <w:rPr>
          <w:rFonts w:cs="Arial"/>
        </w:rPr>
        <w:t xml:space="preserve">he </w:t>
      </w:r>
      <w:r w:rsidR="00D50F2A">
        <w:rPr>
          <w:rFonts w:cs="Arial"/>
        </w:rPr>
        <w:t>d</w:t>
      </w:r>
      <w:r w:rsidR="00CF1DE5" w:rsidRPr="00433FCA">
        <w:rPr>
          <w:rFonts w:cs="Arial"/>
        </w:rPr>
        <w:t xml:space="preserve">epartment </w:t>
      </w:r>
      <w:r>
        <w:rPr>
          <w:rFonts w:cs="Arial"/>
        </w:rPr>
        <w:t>recommends</w:t>
      </w:r>
      <w:r w:rsidR="00E85097">
        <w:rPr>
          <w:rFonts w:cs="Arial"/>
        </w:rPr>
        <w:t xml:space="preserve"> declaring the </w:t>
      </w:r>
      <w:r>
        <w:rPr>
          <w:rFonts w:cs="Arial"/>
        </w:rPr>
        <w:t xml:space="preserve">fishery an approved WTO for a period of three years until </w:t>
      </w:r>
      <w:r w:rsidR="009306EC" w:rsidRPr="00AF2EEA">
        <w:rPr>
          <w:rFonts w:cs="Arial"/>
        </w:rPr>
        <w:t>30</w:t>
      </w:r>
      <w:r w:rsidRPr="00AF2EEA">
        <w:rPr>
          <w:rFonts w:cs="Arial"/>
        </w:rPr>
        <w:t xml:space="preserve"> November 2024</w:t>
      </w:r>
      <w:r w:rsidR="00D50F2A">
        <w:rPr>
          <w:rFonts w:cs="Arial"/>
        </w:rPr>
        <w:t xml:space="preserve"> subject to the conditions outlined in section 2. </w:t>
      </w:r>
      <w:r w:rsidR="00D50F2A">
        <w:t xml:space="preserve">The department also recommends </w:t>
      </w:r>
      <w:r w:rsidR="00151916">
        <w:t xml:space="preserve">including </w:t>
      </w:r>
      <w:r w:rsidR="00D50F2A">
        <w:t>the fishery</w:t>
      </w:r>
      <w:r w:rsidR="00151916">
        <w:t xml:space="preserve"> </w:t>
      </w:r>
      <w:r w:rsidR="00D50F2A">
        <w:t>on the List of Exempt Native Specimens (LENS) while a WTO approval is in place</w:t>
      </w:r>
      <w:r w:rsidR="00535884">
        <w:t xml:space="preserve"> and accrediting the </w:t>
      </w:r>
      <w:r w:rsidR="00D50F2A">
        <w:t xml:space="preserve">management arrangements under Part 13 of the EPBC Act. </w:t>
      </w:r>
    </w:p>
    <w:p w14:paraId="7795D446" w14:textId="77777777" w:rsidR="00F8472A" w:rsidRPr="00433FCA" w:rsidRDefault="00F8472A" w:rsidP="00433FCA">
      <w:pPr>
        <w:tabs>
          <w:tab w:val="left" w:pos="360"/>
        </w:tabs>
        <w:spacing w:line="276" w:lineRule="auto"/>
        <w:rPr>
          <w:rFonts w:cs="Arial"/>
        </w:rPr>
      </w:pPr>
    </w:p>
    <w:p w14:paraId="5B299803" w14:textId="77777777" w:rsidR="00937DA0" w:rsidRPr="00433FCA" w:rsidRDefault="00937DA0" w:rsidP="00433FCA">
      <w:pPr>
        <w:tabs>
          <w:tab w:val="left" w:pos="360"/>
        </w:tabs>
        <w:spacing w:line="276" w:lineRule="auto"/>
        <w:rPr>
          <w:rFonts w:cs="Arial"/>
        </w:rPr>
        <w:sectPr w:rsidR="00937DA0" w:rsidRPr="00433FCA" w:rsidSect="00016EE7">
          <w:footerReference w:type="default" r:id="rId15"/>
          <w:pgSz w:w="11906" w:h="16838"/>
          <w:pgMar w:top="1418" w:right="1276" w:bottom="567" w:left="1418" w:header="425" w:footer="425" w:gutter="0"/>
          <w:pgNumType w:start="1"/>
          <w:cols w:space="708"/>
          <w:docGrid w:linePitch="360"/>
        </w:sectPr>
      </w:pPr>
    </w:p>
    <w:p w14:paraId="647FA7A4" w14:textId="37315087" w:rsidR="00885298" w:rsidRPr="00433FCA" w:rsidRDefault="00134108" w:rsidP="0080417B">
      <w:pPr>
        <w:pStyle w:val="Heading1"/>
        <w:rPr>
          <w:rFonts w:ascii="Arial" w:hAnsi="Arial"/>
          <w:u w:val="single"/>
        </w:rPr>
      </w:pPr>
      <w:bookmarkStart w:id="1" w:name="_Toc89208566"/>
      <w:bookmarkStart w:id="2" w:name="_Toc316301050"/>
      <w:r w:rsidRPr="00433FCA">
        <w:rPr>
          <w:rFonts w:ascii="Arial" w:hAnsi="Arial"/>
        </w:rPr>
        <w:lastRenderedPageBreak/>
        <w:t>Section</w:t>
      </w:r>
      <w:r w:rsidR="00885298" w:rsidRPr="00433FCA">
        <w:rPr>
          <w:rStyle w:val="Emphasis"/>
          <w:rFonts w:ascii="Arial" w:hAnsi="Arial"/>
          <w:i w:val="0"/>
          <w:iCs w:val="0"/>
        </w:rPr>
        <w:t xml:space="preserve"> </w:t>
      </w:r>
      <w:r w:rsidR="00BC5432" w:rsidRPr="00433FCA">
        <w:rPr>
          <w:rStyle w:val="Emphasis"/>
          <w:rFonts w:ascii="Arial" w:hAnsi="Arial"/>
          <w:i w:val="0"/>
          <w:iCs w:val="0"/>
        </w:rPr>
        <w:t>1</w:t>
      </w:r>
      <w:r w:rsidR="00885298" w:rsidRPr="00433FCA">
        <w:rPr>
          <w:rStyle w:val="Emphasis"/>
          <w:rFonts w:ascii="Arial" w:hAnsi="Arial"/>
          <w:i w:val="0"/>
          <w:iCs w:val="0"/>
        </w:rPr>
        <w:t xml:space="preserve">: </w:t>
      </w:r>
      <w:r w:rsidR="0080417B" w:rsidRPr="00433FCA">
        <w:rPr>
          <w:rStyle w:val="Emphasis"/>
          <w:rFonts w:ascii="Arial" w:hAnsi="Arial"/>
          <w:i w:val="0"/>
          <w:iCs w:val="0"/>
        </w:rPr>
        <w:t>A</w:t>
      </w:r>
      <w:r w:rsidRPr="00433FCA">
        <w:rPr>
          <w:rStyle w:val="Emphasis"/>
          <w:rFonts w:ascii="Arial" w:hAnsi="Arial"/>
          <w:i w:val="0"/>
          <w:iCs w:val="0"/>
        </w:rPr>
        <w:t>ssessment Summary</w:t>
      </w:r>
      <w:bookmarkEnd w:id="1"/>
      <w:r w:rsidRPr="00433FCA">
        <w:rPr>
          <w:rStyle w:val="Emphasis"/>
          <w:rFonts w:ascii="Arial" w:hAnsi="Arial"/>
          <w:i w:val="0"/>
          <w:iCs w:val="0"/>
        </w:rPr>
        <w:t xml:space="preserve"> </w:t>
      </w:r>
    </w:p>
    <w:tbl>
      <w:tblPr>
        <w:tblStyle w:val="TableGrid"/>
        <w:tblW w:w="5000" w:type="pct"/>
        <w:tblLook w:val="04A0" w:firstRow="1" w:lastRow="0" w:firstColumn="1" w:lastColumn="0" w:noHBand="0" w:noVBand="1"/>
      </w:tblPr>
      <w:tblGrid>
        <w:gridCol w:w="3115"/>
        <w:gridCol w:w="1556"/>
        <w:gridCol w:w="1556"/>
        <w:gridCol w:w="1556"/>
        <w:gridCol w:w="7003"/>
      </w:tblGrid>
      <w:tr w:rsidR="00AB194A" w:rsidRPr="00433FCA" w14:paraId="5241E59E" w14:textId="77777777" w:rsidTr="0069741A">
        <w:trPr>
          <w:cnfStyle w:val="100000000000" w:firstRow="1" w:lastRow="0" w:firstColumn="0" w:lastColumn="0" w:oddVBand="0" w:evenVBand="0" w:oddHBand="0" w:evenHBand="0" w:firstRowFirstColumn="0" w:firstRowLastColumn="0" w:lastRowFirstColumn="0" w:lastRowLastColumn="0"/>
        </w:trPr>
        <w:tc>
          <w:tcPr>
            <w:tcW w:w="1053" w:type="pct"/>
            <w:vAlign w:val="center"/>
          </w:tcPr>
          <w:p w14:paraId="0B78829B" w14:textId="6E78AF69" w:rsidR="00AB194A" w:rsidRPr="00433FCA" w:rsidRDefault="00B97B40" w:rsidP="00FC2EBF">
            <w:pPr>
              <w:spacing w:before="60" w:after="60" w:line="276" w:lineRule="auto"/>
              <w:contextualSpacing/>
              <w:jc w:val="center"/>
              <w:rPr>
                <w:rFonts w:cs="Arial"/>
                <w:b/>
                <w:sz w:val="20"/>
                <w:szCs w:val="20"/>
              </w:rPr>
            </w:pPr>
            <w:proofErr w:type="gramStart"/>
            <w:r w:rsidRPr="00433FCA">
              <w:rPr>
                <w:rFonts w:cs="Arial"/>
                <w:b/>
                <w:sz w:val="20"/>
                <w:szCs w:val="20"/>
              </w:rPr>
              <w:t>Guideline</w:t>
            </w:r>
            <w:r w:rsidR="00774B8B">
              <w:rPr>
                <w:rFonts w:cs="Arial"/>
                <w:b/>
                <w:sz w:val="20"/>
                <w:szCs w:val="20"/>
              </w:rPr>
              <w:t>s</w:t>
            </w:r>
            <w:proofErr w:type="gramEnd"/>
            <w:r w:rsidRPr="00433FCA">
              <w:rPr>
                <w:rFonts w:cs="Arial"/>
                <w:b/>
                <w:sz w:val="20"/>
                <w:szCs w:val="20"/>
              </w:rPr>
              <w:t xml:space="preserve"> assessment </w:t>
            </w:r>
          </w:p>
        </w:tc>
        <w:tc>
          <w:tcPr>
            <w:tcW w:w="526" w:type="pct"/>
            <w:shd w:val="clear" w:color="auto" w:fill="92D050"/>
            <w:vAlign w:val="center"/>
          </w:tcPr>
          <w:p w14:paraId="29372550"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Meets</w:t>
            </w:r>
          </w:p>
        </w:tc>
        <w:tc>
          <w:tcPr>
            <w:tcW w:w="526" w:type="pct"/>
            <w:shd w:val="clear" w:color="auto" w:fill="FFC000"/>
            <w:vAlign w:val="center"/>
          </w:tcPr>
          <w:p w14:paraId="439F3FF6"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Partially meets</w:t>
            </w:r>
          </w:p>
        </w:tc>
        <w:tc>
          <w:tcPr>
            <w:tcW w:w="526" w:type="pct"/>
            <w:shd w:val="clear" w:color="auto" w:fill="FF0000"/>
            <w:vAlign w:val="center"/>
          </w:tcPr>
          <w:p w14:paraId="4F65884C"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Does not meet</w:t>
            </w:r>
          </w:p>
        </w:tc>
        <w:tc>
          <w:tcPr>
            <w:tcW w:w="2368" w:type="pct"/>
            <w:vAlign w:val="center"/>
          </w:tcPr>
          <w:p w14:paraId="052AB3D7"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Details</w:t>
            </w:r>
          </w:p>
        </w:tc>
      </w:tr>
      <w:tr w:rsidR="00AB194A" w:rsidRPr="00433FCA" w14:paraId="1B656C43" w14:textId="77777777" w:rsidTr="0069741A">
        <w:trPr>
          <w:cnfStyle w:val="000000100000" w:firstRow="0" w:lastRow="0" w:firstColumn="0" w:lastColumn="0" w:oddVBand="0" w:evenVBand="0" w:oddHBand="1" w:evenHBand="0" w:firstRowFirstColumn="0" w:firstRowLastColumn="0" w:lastRowFirstColumn="0" w:lastRowLastColumn="0"/>
        </w:trPr>
        <w:tc>
          <w:tcPr>
            <w:tcW w:w="1053" w:type="pct"/>
          </w:tcPr>
          <w:p w14:paraId="246B4ADC" w14:textId="77777777" w:rsidR="00AB194A" w:rsidRDefault="00AB194A" w:rsidP="00FC2EBF">
            <w:pPr>
              <w:spacing w:before="60" w:after="60" w:line="276" w:lineRule="auto"/>
              <w:contextualSpacing/>
              <w:rPr>
                <w:rFonts w:cs="Arial"/>
                <w:sz w:val="20"/>
                <w:szCs w:val="20"/>
              </w:rPr>
            </w:pPr>
            <w:r w:rsidRPr="00433FCA">
              <w:rPr>
                <w:rFonts w:cs="Arial"/>
                <w:sz w:val="20"/>
                <w:szCs w:val="20"/>
              </w:rPr>
              <w:t>Management regime</w:t>
            </w:r>
          </w:p>
          <w:p w14:paraId="29382D6F" w14:textId="75206CE6" w:rsidR="00743AA5" w:rsidRPr="00433FCA" w:rsidRDefault="00743AA5" w:rsidP="00FC2EBF">
            <w:pPr>
              <w:spacing w:before="60" w:after="60" w:line="276" w:lineRule="auto"/>
              <w:contextualSpacing/>
              <w:rPr>
                <w:rFonts w:cs="Arial"/>
                <w:sz w:val="20"/>
                <w:szCs w:val="20"/>
              </w:rPr>
            </w:pPr>
            <w:r>
              <w:rPr>
                <w:rFonts w:cs="Arial"/>
                <w:sz w:val="20"/>
                <w:szCs w:val="20"/>
              </w:rPr>
              <w:t>*1 of 9 criteria is not applicable</w:t>
            </w:r>
          </w:p>
        </w:tc>
        <w:tc>
          <w:tcPr>
            <w:tcW w:w="526" w:type="pct"/>
            <w:shd w:val="clear" w:color="auto" w:fill="auto"/>
          </w:tcPr>
          <w:p w14:paraId="6B33C294" w14:textId="70151A5B" w:rsidR="00AB194A" w:rsidRPr="00433FCA" w:rsidRDefault="00743AA5" w:rsidP="00FC2EBF">
            <w:pPr>
              <w:spacing w:before="60" w:after="60" w:line="276" w:lineRule="auto"/>
              <w:contextualSpacing/>
              <w:rPr>
                <w:rFonts w:cs="Arial"/>
                <w:sz w:val="20"/>
                <w:szCs w:val="20"/>
              </w:rPr>
            </w:pPr>
            <w:r>
              <w:rPr>
                <w:rFonts w:cs="Arial"/>
                <w:sz w:val="20"/>
                <w:szCs w:val="20"/>
              </w:rPr>
              <w:t xml:space="preserve">1 of </w:t>
            </w:r>
            <w:r w:rsidR="00484D4E">
              <w:rPr>
                <w:rFonts w:cs="Arial"/>
                <w:sz w:val="20"/>
                <w:szCs w:val="20"/>
              </w:rPr>
              <w:t>8</w:t>
            </w:r>
          </w:p>
        </w:tc>
        <w:tc>
          <w:tcPr>
            <w:tcW w:w="526" w:type="pct"/>
            <w:shd w:val="clear" w:color="auto" w:fill="FFC000"/>
          </w:tcPr>
          <w:p w14:paraId="3BBC9E01" w14:textId="61A58980" w:rsidR="00AB194A" w:rsidRPr="00433FCA" w:rsidRDefault="00170820" w:rsidP="00FC2EBF">
            <w:pPr>
              <w:spacing w:before="60" w:after="60" w:line="276" w:lineRule="auto"/>
              <w:contextualSpacing/>
              <w:rPr>
                <w:rFonts w:cs="Arial"/>
                <w:sz w:val="20"/>
                <w:szCs w:val="20"/>
              </w:rPr>
            </w:pPr>
            <w:r>
              <w:rPr>
                <w:rFonts w:cs="Arial"/>
                <w:sz w:val="20"/>
                <w:szCs w:val="20"/>
              </w:rPr>
              <w:t>7</w:t>
            </w:r>
            <w:r w:rsidR="00743AA5">
              <w:rPr>
                <w:rFonts w:cs="Arial"/>
                <w:sz w:val="20"/>
                <w:szCs w:val="20"/>
              </w:rPr>
              <w:t xml:space="preserve"> of </w:t>
            </w:r>
            <w:r w:rsidR="008C65B5">
              <w:rPr>
                <w:rFonts w:cs="Arial"/>
                <w:sz w:val="20"/>
                <w:szCs w:val="20"/>
              </w:rPr>
              <w:t>8</w:t>
            </w:r>
          </w:p>
        </w:tc>
        <w:tc>
          <w:tcPr>
            <w:tcW w:w="526" w:type="pct"/>
            <w:shd w:val="clear" w:color="auto" w:fill="auto"/>
          </w:tcPr>
          <w:p w14:paraId="4E06581E" w14:textId="51D33434" w:rsidR="00AB194A" w:rsidRPr="00433FCA" w:rsidRDefault="00AB194A" w:rsidP="00FC2EBF">
            <w:pPr>
              <w:spacing w:before="60" w:after="60" w:line="276" w:lineRule="auto"/>
              <w:contextualSpacing/>
              <w:rPr>
                <w:rFonts w:cs="Arial"/>
                <w:sz w:val="20"/>
                <w:szCs w:val="20"/>
              </w:rPr>
            </w:pPr>
          </w:p>
        </w:tc>
        <w:tc>
          <w:tcPr>
            <w:tcW w:w="2368" w:type="pct"/>
          </w:tcPr>
          <w:p w14:paraId="646F42E0" w14:textId="09796115" w:rsidR="00AB194A" w:rsidRPr="00433FCA" w:rsidRDefault="00627887" w:rsidP="00FC2EBF">
            <w:pPr>
              <w:spacing w:before="60" w:after="60" w:line="276" w:lineRule="auto"/>
              <w:contextualSpacing/>
              <w:rPr>
                <w:rFonts w:cs="Arial"/>
                <w:sz w:val="20"/>
                <w:szCs w:val="20"/>
              </w:rPr>
            </w:pPr>
            <w:r>
              <w:rPr>
                <w:rFonts w:cs="Arial"/>
                <w:sz w:val="20"/>
                <w:szCs w:val="20"/>
              </w:rPr>
              <w:t xml:space="preserve">The </w:t>
            </w:r>
            <w:r w:rsidR="00774B8B">
              <w:rPr>
                <w:rFonts w:cs="Arial"/>
                <w:sz w:val="20"/>
                <w:szCs w:val="20"/>
              </w:rPr>
              <w:t xml:space="preserve">fishery’s </w:t>
            </w:r>
            <w:r>
              <w:rPr>
                <w:rFonts w:cs="Arial"/>
                <w:sz w:val="20"/>
                <w:szCs w:val="20"/>
              </w:rPr>
              <w:t>management arrangement</w:t>
            </w:r>
            <w:r w:rsidR="009652D2">
              <w:rPr>
                <w:rFonts w:cs="Arial"/>
                <w:sz w:val="20"/>
                <w:szCs w:val="20"/>
              </w:rPr>
              <w:t>s</w:t>
            </w:r>
            <w:r>
              <w:rPr>
                <w:rFonts w:cs="Arial"/>
                <w:sz w:val="20"/>
                <w:szCs w:val="20"/>
              </w:rPr>
              <w:t xml:space="preserve"> are documented but some details are not publicly available. Stakeholder engagement is focused on </w:t>
            </w:r>
            <w:r w:rsidR="009C235F">
              <w:rPr>
                <w:rFonts w:cs="Arial"/>
                <w:sz w:val="20"/>
                <w:szCs w:val="20"/>
              </w:rPr>
              <w:t xml:space="preserve">the members of the fishery’s working group. </w:t>
            </w:r>
            <w:r w:rsidR="00E249E3">
              <w:rPr>
                <w:rFonts w:cs="Arial"/>
                <w:sz w:val="20"/>
                <w:szCs w:val="20"/>
              </w:rPr>
              <w:t>Fisheries information</w:t>
            </w:r>
            <w:r w:rsidR="008D03C9">
              <w:rPr>
                <w:rFonts w:cs="Arial"/>
                <w:sz w:val="20"/>
                <w:szCs w:val="20"/>
              </w:rPr>
              <w:t>/data</w:t>
            </w:r>
            <w:r w:rsidR="00E249E3">
              <w:rPr>
                <w:rFonts w:cs="Arial"/>
                <w:sz w:val="20"/>
                <w:szCs w:val="20"/>
              </w:rPr>
              <w:t xml:space="preserve"> should be </w:t>
            </w:r>
            <w:r w:rsidR="008D03C9">
              <w:rPr>
                <w:rFonts w:cs="Arial"/>
                <w:sz w:val="20"/>
                <w:szCs w:val="20"/>
              </w:rPr>
              <w:t xml:space="preserve">made </w:t>
            </w:r>
            <w:r w:rsidR="00E249E3">
              <w:rPr>
                <w:rFonts w:cs="Arial"/>
                <w:sz w:val="20"/>
                <w:szCs w:val="20"/>
              </w:rPr>
              <w:t xml:space="preserve">publicly </w:t>
            </w:r>
            <w:r w:rsidR="009C235F">
              <w:rPr>
                <w:rFonts w:cs="Arial"/>
                <w:sz w:val="20"/>
                <w:szCs w:val="20"/>
              </w:rPr>
              <w:t>available</w:t>
            </w:r>
            <w:r w:rsidR="00E249E3">
              <w:rPr>
                <w:rFonts w:cs="Arial"/>
                <w:sz w:val="20"/>
                <w:szCs w:val="20"/>
              </w:rPr>
              <w:t>,</w:t>
            </w:r>
            <w:r w:rsidR="009C235F">
              <w:rPr>
                <w:rFonts w:cs="Arial"/>
                <w:sz w:val="20"/>
                <w:szCs w:val="20"/>
              </w:rPr>
              <w:t xml:space="preserve"> particularly when harvesting species listed under international conventions such as CITES. </w:t>
            </w:r>
            <w:r w:rsidR="00F10C93">
              <w:rPr>
                <w:rFonts w:cs="Arial"/>
                <w:sz w:val="20"/>
                <w:szCs w:val="20"/>
              </w:rPr>
              <w:t xml:space="preserve">Questions were raised about the adequacy of consultation with key stakeholders. </w:t>
            </w:r>
            <w:r>
              <w:rPr>
                <w:rFonts w:cs="Arial"/>
                <w:sz w:val="20"/>
                <w:szCs w:val="20"/>
              </w:rPr>
              <w:t>Management of the fishery is strategic</w:t>
            </w:r>
            <w:r w:rsidR="001A79EE">
              <w:rPr>
                <w:rFonts w:cs="Arial"/>
                <w:sz w:val="20"/>
                <w:szCs w:val="20"/>
              </w:rPr>
              <w:t>. However,</w:t>
            </w:r>
            <w:r>
              <w:rPr>
                <w:rFonts w:cs="Arial"/>
                <w:sz w:val="20"/>
                <w:szCs w:val="20"/>
              </w:rPr>
              <w:t xml:space="preserve"> the</w:t>
            </w:r>
            <w:r w:rsidR="009C235F">
              <w:rPr>
                <w:rFonts w:cs="Arial"/>
                <w:sz w:val="20"/>
                <w:szCs w:val="20"/>
              </w:rPr>
              <w:t>r</w:t>
            </w:r>
            <w:r>
              <w:rPr>
                <w:rFonts w:cs="Arial"/>
                <w:sz w:val="20"/>
                <w:szCs w:val="20"/>
              </w:rPr>
              <w:t xml:space="preserve">e is considerable uncertainty surrounding the biological basis and appropriateness of </w:t>
            </w:r>
            <w:r w:rsidR="00B64E9F">
              <w:rPr>
                <w:rFonts w:cs="Arial"/>
                <w:sz w:val="20"/>
                <w:szCs w:val="20"/>
              </w:rPr>
              <w:t>management</w:t>
            </w:r>
            <w:r>
              <w:rPr>
                <w:rFonts w:cs="Arial"/>
                <w:sz w:val="20"/>
                <w:szCs w:val="20"/>
              </w:rPr>
              <w:t xml:space="preserve"> controls</w:t>
            </w:r>
            <w:r w:rsidR="0026121B">
              <w:rPr>
                <w:rFonts w:cs="Arial"/>
                <w:sz w:val="20"/>
                <w:szCs w:val="20"/>
              </w:rPr>
              <w:t xml:space="preserve"> a</w:t>
            </w:r>
            <w:r>
              <w:rPr>
                <w:rFonts w:cs="Arial"/>
                <w:sz w:val="20"/>
                <w:szCs w:val="20"/>
              </w:rPr>
              <w:t>nd harvest limits</w:t>
            </w:r>
            <w:r w:rsidR="0026121B">
              <w:rPr>
                <w:rFonts w:cs="Arial"/>
                <w:sz w:val="20"/>
                <w:szCs w:val="20"/>
              </w:rPr>
              <w:t>.</w:t>
            </w:r>
            <w:r w:rsidR="00255895">
              <w:rPr>
                <w:rFonts w:cs="Arial"/>
                <w:sz w:val="20"/>
                <w:szCs w:val="20"/>
              </w:rPr>
              <w:t xml:space="preserve"> There are also </w:t>
            </w:r>
            <w:r w:rsidR="009C235F">
              <w:rPr>
                <w:rFonts w:cs="Arial"/>
                <w:sz w:val="20"/>
                <w:szCs w:val="20"/>
              </w:rPr>
              <w:t>concerns about the enforceability of key aspects of the management framework.</w:t>
            </w:r>
          </w:p>
        </w:tc>
      </w:tr>
      <w:tr w:rsidR="00AB194A" w:rsidRPr="00433FCA" w14:paraId="56282922" w14:textId="77777777" w:rsidTr="0069741A">
        <w:trPr>
          <w:cnfStyle w:val="000000010000" w:firstRow="0" w:lastRow="0" w:firstColumn="0" w:lastColumn="0" w:oddVBand="0" w:evenVBand="0" w:oddHBand="0" w:evenHBand="1" w:firstRowFirstColumn="0" w:firstRowLastColumn="0" w:lastRowFirstColumn="0" w:lastRowLastColumn="0"/>
        </w:trPr>
        <w:tc>
          <w:tcPr>
            <w:tcW w:w="1053" w:type="pct"/>
          </w:tcPr>
          <w:p w14:paraId="7A12B61E" w14:textId="77777777" w:rsidR="00AB194A" w:rsidRDefault="00AB194A" w:rsidP="00FC2EBF">
            <w:pPr>
              <w:spacing w:before="60" w:after="60" w:line="276" w:lineRule="auto"/>
              <w:contextualSpacing/>
              <w:rPr>
                <w:rFonts w:cs="Arial"/>
                <w:sz w:val="20"/>
                <w:szCs w:val="20"/>
              </w:rPr>
            </w:pPr>
            <w:r w:rsidRPr="00433FCA">
              <w:rPr>
                <w:rFonts w:cs="Arial"/>
                <w:sz w:val="20"/>
                <w:szCs w:val="20"/>
              </w:rPr>
              <w:t>Principle 1 (target stocks)</w:t>
            </w:r>
          </w:p>
          <w:p w14:paraId="1CF6F480" w14:textId="64283259" w:rsidR="00743AA5" w:rsidRPr="00743AA5" w:rsidRDefault="00743AA5" w:rsidP="00743AA5">
            <w:pPr>
              <w:spacing w:before="60" w:after="60" w:line="276" w:lineRule="auto"/>
              <w:ind w:left="369" w:hanging="369"/>
              <w:contextualSpacing/>
              <w:rPr>
                <w:rFonts w:cs="Arial"/>
                <w:sz w:val="20"/>
                <w:szCs w:val="20"/>
              </w:rPr>
            </w:pPr>
            <w:r>
              <w:rPr>
                <w:rFonts w:cs="Arial"/>
                <w:sz w:val="20"/>
                <w:szCs w:val="20"/>
              </w:rPr>
              <w:t xml:space="preserve">*3 of 11 criteria </w:t>
            </w:r>
            <w:proofErr w:type="gramStart"/>
            <w:r>
              <w:rPr>
                <w:rFonts w:cs="Arial"/>
                <w:sz w:val="20"/>
                <w:szCs w:val="20"/>
              </w:rPr>
              <w:t>are</w:t>
            </w:r>
            <w:proofErr w:type="gramEnd"/>
            <w:r>
              <w:rPr>
                <w:rFonts w:cs="Arial"/>
                <w:sz w:val="20"/>
                <w:szCs w:val="20"/>
              </w:rPr>
              <w:t xml:space="preserve"> not applicable </w:t>
            </w:r>
          </w:p>
        </w:tc>
        <w:tc>
          <w:tcPr>
            <w:tcW w:w="526" w:type="pct"/>
            <w:shd w:val="clear" w:color="auto" w:fill="auto"/>
          </w:tcPr>
          <w:p w14:paraId="490E81C8" w14:textId="1AD0C36C" w:rsidR="00AB194A" w:rsidRPr="00433FCA" w:rsidRDefault="00AB194A" w:rsidP="00FC2EBF">
            <w:pPr>
              <w:spacing w:before="60" w:after="60" w:line="276" w:lineRule="auto"/>
              <w:contextualSpacing/>
              <w:rPr>
                <w:rFonts w:cs="Arial"/>
                <w:sz w:val="20"/>
                <w:szCs w:val="20"/>
              </w:rPr>
            </w:pPr>
          </w:p>
        </w:tc>
        <w:tc>
          <w:tcPr>
            <w:tcW w:w="526" w:type="pct"/>
            <w:shd w:val="clear" w:color="auto" w:fill="FFC000"/>
          </w:tcPr>
          <w:p w14:paraId="4C95A0BC" w14:textId="55E5CBEB" w:rsidR="00AB194A" w:rsidRPr="00433FCA" w:rsidRDefault="004F0C6D" w:rsidP="00FC2EBF">
            <w:pPr>
              <w:spacing w:before="60" w:after="60" w:line="276" w:lineRule="auto"/>
              <w:contextualSpacing/>
              <w:rPr>
                <w:rFonts w:cs="Arial"/>
                <w:sz w:val="20"/>
                <w:szCs w:val="20"/>
              </w:rPr>
            </w:pPr>
            <w:r>
              <w:rPr>
                <w:rFonts w:cs="Arial"/>
                <w:sz w:val="20"/>
                <w:szCs w:val="20"/>
              </w:rPr>
              <w:t xml:space="preserve">9 </w:t>
            </w:r>
            <w:r w:rsidR="00E82C49">
              <w:rPr>
                <w:rFonts w:cs="Arial"/>
                <w:sz w:val="20"/>
                <w:szCs w:val="20"/>
              </w:rPr>
              <w:t>of 9</w:t>
            </w:r>
          </w:p>
        </w:tc>
        <w:tc>
          <w:tcPr>
            <w:tcW w:w="526" w:type="pct"/>
            <w:shd w:val="clear" w:color="auto" w:fill="auto"/>
          </w:tcPr>
          <w:p w14:paraId="2344264A" w14:textId="3F727065" w:rsidR="00AB194A" w:rsidRPr="00433FCA" w:rsidRDefault="00AB194A" w:rsidP="00FC2EBF">
            <w:pPr>
              <w:spacing w:before="60" w:after="60" w:line="276" w:lineRule="auto"/>
              <w:contextualSpacing/>
              <w:rPr>
                <w:rFonts w:cs="Arial"/>
                <w:sz w:val="20"/>
                <w:szCs w:val="20"/>
              </w:rPr>
            </w:pPr>
          </w:p>
        </w:tc>
        <w:tc>
          <w:tcPr>
            <w:tcW w:w="2368" w:type="pct"/>
          </w:tcPr>
          <w:p w14:paraId="087D9E22" w14:textId="1473FC49" w:rsidR="00AB194A" w:rsidRPr="00433FCA" w:rsidRDefault="009F5486" w:rsidP="00FC2EBF">
            <w:pPr>
              <w:spacing w:before="60" w:after="60" w:line="276" w:lineRule="auto"/>
              <w:contextualSpacing/>
              <w:rPr>
                <w:rFonts w:cs="Arial"/>
                <w:sz w:val="20"/>
                <w:szCs w:val="20"/>
              </w:rPr>
            </w:pPr>
            <w:r>
              <w:rPr>
                <w:rFonts w:cs="Arial"/>
                <w:sz w:val="20"/>
                <w:szCs w:val="20"/>
              </w:rPr>
              <w:t xml:space="preserve">Harvest data </w:t>
            </w:r>
            <w:r w:rsidR="009652D2">
              <w:rPr>
                <w:rFonts w:cs="Arial"/>
                <w:sz w:val="20"/>
                <w:szCs w:val="20"/>
              </w:rPr>
              <w:t xml:space="preserve">is </w:t>
            </w:r>
            <w:r w:rsidR="00B71868">
              <w:rPr>
                <w:rFonts w:cs="Arial"/>
                <w:sz w:val="20"/>
                <w:szCs w:val="20"/>
              </w:rPr>
              <w:t>collected</w:t>
            </w:r>
            <w:r>
              <w:rPr>
                <w:rFonts w:cs="Arial"/>
                <w:sz w:val="20"/>
                <w:szCs w:val="20"/>
              </w:rPr>
              <w:t xml:space="preserve"> in logbooks and there are vessel monitoring systems in place </w:t>
            </w:r>
            <w:r w:rsidR="009652D2">
              <w:rPr>
                <w:rFonts w:cs="Arial"/>
                <w:sz w:val="20"/>
                <w:szCs w:val="20"/>
              </w:rPr>
              <w:t>i</w:t>
            </w:r>
            <w:r>
              <w:rPr>
                <w:rFonts w:cs="Arial"/>
                <w:sz w:val="20"/>
                <w:szCs w:val="20"/>
              </w:rPr>
              <w:t>n the fishery</w:t>
            </w:r>
            <w:r w:rsidR="009652D2">
              <w:rPr>
                <w:rFonts w:cs="Arial"/>
                <w:sz w:val="20"/>
                <w:szCs w:val="20"/>
              </w:rPr>
              <w:t xml:space="preserve"> </w:t>
            </w:r>
            <w:r w:rsidR="00B71868">
              <w:rPr>
                <w:rFonts w:cs="Arial"/>
                <w:sz w:val="20"/>
                <w:szCs w:val="20"/>
              </w:rPr>
              <w:t>but</w:t>
            </w:r>
            <w:r w:rsidR="009652D2">
              <w:rPr>
                <w:rFonts w:cs="Arial"/>
                <w:sz w:val="20"/>
                <w:szCs w:val="20"/>
              </w:rPr>
              <w:t xml:space="preserve"> there</w:t>
            </w:r>
            <w:r>
              <w:rPr>
                <w:rFonts w:cs="Arial"/>
                <w:sz w:val="20"/>
                <w:szCs w:val="20"/>
              </w:rPr>
              <w:t xml:space="preserve"> is currently no independent observer </w:t>
            </w:r>
            <w:r w:rsidR="00B71868">
              <w:rPr>
                <w:rFonts w:cs="Arial"/>
                <w:sz w:val="20"/>
                <w:szCs w:val="20"/>
              </w:rPr>
              <w:t xml:space="preserve">or other data validation </w:t>
            </w:r>
            <w:r>
              <w:rPr>
                <w:rFonts w:cs="Arial"/>
                <w:sz w:val="20"/>
                <w:szCs w:val="20"/>
              </w:rPr>
              <w:t xml:space="preserve">program. The assessment has identified concerns regarding the stock assessment for Black </w:t>
            </w:r>
            <w:proofErr w:type="spellStart"/>
            <w:r>
              <w:rPr>
                <w:rFonts w:cs="Arial"/>
                <w:sz w:val="20"/>
                <w:szCs w:val="20"/>
              </w:rPr>
              <w:t>Teatfish</w:t>
            </w:r>
            <w:proofErr w:type="spellEnd"/>
            <w:r>
              <w:rPr>
                <w:rFonts w:cs="Arial"/>
                <w:sz w:val="20"/>
                <w:szCs w:val="20"/>
              </w:rPr>
              <w:t xml:space="preserve"> and White </w:t>
            </w:r>
            <w:proofErr w:type="spellStart"/>
            <w:r>
              <w:rPr>
                <w:rFonts w:cs="Arial"/>
                <w:sz w:val="20"/>
                <w:szCs w:val="20"/>
              </w:rPr>
              <w:t>Teatfish</w:t>
            </w:r>
            <w:proofErr w:type="spellEnd"/>
            <w:r>
              <w:rPr>
                <w:rFonts w:cs="Arial"/>
                <w:sz w:val="20"/>
                <w:szCs w:val="20"/>
              </w:rPr>
              <w:t xml:space="preserve">. No stock assessments have been prepared for other species and there is limited information on the biological basis for harvest limits of these species. There are reference limits in place but there </w:t>
            </w:r>
            <w:r w:rsidR="00621061">
              <w:rPr>
                <w:rFonts w:cs="Arial"/>
                <w:sz w:val="20"/>
                <w:szCs w:val="20"/>
              </w:rPr>
              <w:t>is</w:t>
            </w:r>
            <w:r>
              <w:rPr>
                <w:rFonts w:cs="Arial"/>
                <w:sz w:val="20"/>
                <w:szCs w:val="20"/>
              </w:rPr>
              <w:t xml:space="preserve"> serio</w:t>
            </w:r>
            <w:r w:rsidR="009652D2">
              <w:rPr>
                <w:rFonts w:cs="Arial"/>
                <w:sz w:val="20"/>
                <w:szCs w:val="20"/>
              </w:rPr>
              <w:t>u</w:t>
            </w:r>
            <w:r>
              <w:rPr>
                <w:rFonts w:cs="Arial"/>
                <w:sz w:val="20"/>
                <w:szCs w:val="20"/>
              </w:rPr>
              <w:t xml:space="preserve">s concern over the appropriateness of </w:t>
            </w:r>
            <w:r w:rsidR="009652D2">
              <w:rPr>
                <w:rFonts w:cs="Arial"/>
                <w:sz w:val="20"/>
                <w:szCs w:val="20"/>
              </w:rPr>
              <w:t>the</w:t>
            </w:r>
            <w:r>
              <w:rPr>
                <w:rFonts w:cs="Arial"/>
                <w:sz w:val="20"/>
                <w:szCs w:val="20"/>
              </w:rPr>
              <w:t xml:space="preserve"> 20% biomass limit for managing sea cucumber stocks. </w:t>
            </w:r>
          </w:p>
        </w:tc>
      </w:tr>
      <w:tr w:rsidR="00AB194A" w:rsidRPr="00433FCA" w14:paraId="4DB69FFC" w14:textId="77777777" w:rsidTr="0069741A">
        <w:trPr>
          <w:cnfStyle w:val="000000100000" w:firstRow="0" w:lastRow="0" w:firstColumn="0" w:lastColumn="0" w:oddVBand="0" w:evenVBand="0" w:oddHBand="1" w:evenHBand="0" w:firstRowFirstColumn="0" w:firstRowLastColumn="0" w:lastRowFirstColumn="0" w:lastRowLastColumn="0"/>
        </w:trPr>
        <w:tc>
          <w:tcPr>
            <w:tcW w:w="1053" w:type="pct"/>
          </w:tcPr>
          <w:p w14:paraId="01E1788F" w14:textId="77777777" w:rsidR="00AB194A" w:rsidRDefault="00AB194A" w:rsidP="00FC2EBF">
            <w:pPr>
              <w:spacing w:before="60" w:after="60" w:line="276" w:lineRule="auto"/>
              <w:contextualSpacing/>
              <w:rPr>
                <w:rFonts w:cs="Arial"/>
                <w:sz w:val="20"/>
                <w:szCs w:val="20"/>
              </w:rPr>
            </w:pPr>
            <w:r w:rsidRPr="00433FCA">
              <w:rPr>
                <w:rFonts w:cs="Arial"/>
                <w:sz w:val="20"/>
                <w:szCs w:val="20"/>
              </w:rPr>
              <w:t>Principle 2 (bycatch and TEPS)</w:t>
            </w:r>
          </w:p>
          <w:p w14:paraId="5DBEF2B0" w14:textId="0602C05F" w:rsidR="00743AA5" w:rsidRPr="00433FCA" w:rsidRDefault="00743AA5" w:rsidP="00FC2EBF">
            <w:pPr>
              <w:spacing w:before="60" w:after="60" w:line="276" w:lineRule="auto"/>
              <w:contextualSpacing/>
              <w:rPr>
                <w:rFonts w:cs="Arial"/>
                <w:sz w:val="20"/>
                <w:szCs w:val="20"/>
              </w:rPr>
            </w:pPr>
            <w:r>
              <w:rPr>
                <w:rFonts w:cs="Arial"/>
                <w:sz w:val="20"/>
                <w:szCs w:val="20"/>
              </w:rPr>
              <w:t xml:space="preserve">*8 of 12 criteria </w:t>
            </w:r>
            <w:proofErr w:type="gramStart"/>
            <w:r>
              <w:rPr>
                <w:rFonts w:cs="Arial"/>
                <w:sz w:val="20"/>
                <w:szCs w:val="20"/>
              </w:rPr>
              <w:t>are</w:t>
            </w:r>
            <w:proofErr w:type="gramEnd"/>
            <w:r>
              <w:rPr>
                <w:rFonts w:cs="Arial"/>
                <w:sz w:val="20"/>
                <w:szCs w:val="20"/>
              </w:rPr>
              <w:t xml:space="preserve"> not applicable</w:t>
            </w:r>
          </w:p>
        </w:tc>
        <w:tc>
          <w:tcPr>
            <w:tcW w:w="526" w:type="pct"/>
            <w:shd w:val="clear" w:color="auto" w:fill="92D050"/>
          </w:tcPr>
          <w:p w14:paraId="01713504" w14:textId="40300CC3" w:rsidR="00AB194A" w:rsidRPr="00433FCA" w:rsidRDefault="00743AA5" w:rsidP="00FC2EBF">
            <w:pPr>
              <w:spacing w:before="60" w:after="60" w:line="276" w:lineRule="auto"/>
              <w:contextualSpacing/>
              <w:rPr>
                <w:rFonts w:cs="Arial"/>
                <w:sz w:val="20"/>
                <w:szCs w:val="20"/>
              </w:rPr>
            </w:pPr>
            <w:r>
              <w:rPr>
                <w:rFonts w:cs="Arial"/>
                <w:sz w:val="20"/>
                <w:szCs w:val="20"/>
              </w:rPr>
              <w:t xml:space="preserve">4 of </w:t>
            </w:r>
            <w:r w:rsidR="00704D84">
              <w:rPr>
                <w:rFonts w:cs="Arial"/>
                <w:sz w:val="20"/>
                <w:szCs w:val="20"/>
              </w:rPr>
              <w:t>4</w:t>
            </w:r>
          </w:p>
        </w:tc>
        <w:tc>
          <w:tcPr>
            <w:tcW w:w="526" w:type="pct"/>
            <w:shd w:val="clear" w:color="auto" w:fill="auto"/>
          </w:tcPr>
          <w:p w14:paraId="6F0B7D38" w14:textId="3E075965" w:rsidR="00AB194A" w:rsidRPr="00433FCA" w:rsidRDefault="00AB194A" w:rsidP="00FC2EBF">
            <w:pPr>
              <w:spacing w:before="60" w:after="60" w:line="276" w:lineRule="auto"/>
              <w:contextualSpacing/>
              <w:rPr>
                <w:rFonts w:cs="Arial"/>
                <w:sz w:val="20"/>
                <w:szCs w:val="20"/>
              </w:rPr>
            </w:pPr>
          </w:p>
        </w:tc>
        <w:tc>
          <w:tcPr>
            <w:tcW w:w="526" w:type="pct"/>
            <w:shd w:val="clear" w:color="auto" w:fill="auto"/>
          </w:tcPr>
          <w:p w14:paraId="26CFB1FA" w14:textId="202862DE" w:rsidR="00AB194A" w:rsidRPr="00433FCA" w:rsidRDefault="00AB194A" w:rsidP="00FC2EBF">
            <w:pPr>
              <w:spacing w:before="60" w:after="60" w:line="276" w:lineRule="auto"/>
              <w:contextualSpacing/>
              <w:rPr>
                <w:rFonts w:cs="Arial"/>
                <w:sz w:val="20"/>
                <w:szCs w:val="20"/>
              </w:rPr>
            </w:pPr>
          </w:p>
        </w:tc>
        <w:tc>
          <w:tcPr>
            <w:tcW w:w="2368" w:type="pct"/>
          </w:tcPr>
          <w:p w14:paraId="08EB80BE" w14:textId="16A69EE1" w:rsidR="00AB194A" w:rsidRPr="00433FCA" w:rsidRDefault="00FA242F" w:rsidP="00FC2EBF">
            <w:pPr>
              <w:spacing w:before="60" w:after="60" w:line="276" w:lineRule="auto"/>
              <w:contextualSpacing/>
              <w:rPr>
                <w:rFonts w:cs="Arial"/>
                <w:sz w:val="20"/>
                <w:szCs w:val="20"/>
              </w:rPr>
            </w:pPr>
            <w:r w:rsidRPr="00FA242F">
              <w:rPr>
                <w:rFonts w:cs="Arial"/>
                <w:sz w:val="20"/>
                <w:szCs w:val="20"/>
              </w:rPr>
              <w:t>Given the highly selective hand-collection methods used by this fishery, there are negligible risks to bycatch and very low risk to protected species</w:t>
            </w:r>
            <w:r>
              <w:rPr>
                <w:rFonts w:cs="Arial"/>
                <w:sz w:val="20"/>
                <w:szCs w:val="20"/>
              </w:rPr>
              <w:t xml:space="preserve">. An Ecological Risk </w:t>
            </w:r>
            <w:r w:rsidR="009652D2">
              <w:rPr>
                <w:rFonts w:cs="Arial"/>
                <w:sz w:val="20"/>
                <w:szCs w:val="20"/>
              </w:rPr>
              <w:t>A</w:t>
            </w:r>
            <w:r>
              <w:rPr>
                <w:rFonts w:cs="Arial"/>
                <w:sz w:val="20"/>
                <w:szCs w:val="20"/>
              </w:rPr>
              <w:t>ssessment has been completed and considered the risk</w:t>
            </w:r>
            <w:r w:rsidR="009652D2">
              <w:rPr>
                <w:rFonts w:cs="Arial"/>
                <w:sz w:val="20"/>
                <w:szCs w:val="20"/>
              </w:rPr>
              <w:t xml:space="preserve"> to bycatch and protected species</w:t>
            </w:r>
            <w:r>
              <w:rPr>
                <w:rFonts w:cs="Arial"/>
                <w:sz w:val="20"/>
                <w:szCs w:val="20"/>
              </w:rPr>
              <w:t xml:space="preserve"> as negligible to low.</w:t>
            </w:r>
          </w:p>
        </w:tc>
      </w:tr>
      <w:tr w:rsidR="00AB194A" w:rsidRPr="00433FCA" w14:paraId="77A7913F" w14:textId="77777777" w:rsidTr="0069741A">
        <w:trPr>
          <w:cnfStyle w:val="000000010000" w:firstRow="0" w:lastRow="0" w:firstColumn="0" w:lastColumn="0" w:oddVBand="0" w:evenVBand="0" w:oddHBand="0" w:evenHBand="1" w:firstRowFirstColumn="0" w:firstRowLastColumn="0" w:lastRowFirstColumn="0" w:lastRowLastColumn="0"/>
        </w:trPr>
        <w:tc>
          <w:tcPr>
            <w:tcW w:w="1053" w:type="pct"/>
          </w:tcPr>
          <w:p w14:paraId="722471C4"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Principle 2 (ecosystem impacts)</w:t>
            </w:r>
          </w:p>
        </w:tc>
        <w:tc>
          <w:tcPr>
            <w:tcW w:w="526" w:type="pct"/>
            <w:shd w:val="clear" w:color="auto" w:fill="auto"/>
          </w:tcPr>
          <w:p w14:paraId="7B2D69A1" w14:textId="77777777" w:rsidR="00AB194A" w:rsidRPr="00433FCA" w:rsidRDefault="00AB194A" w:rsidP="00FC2EBF">
            <w:pPr>
              <w:spacing w:before="60" w:after="60" w:line="276" w:lineRule="auto"/>
              <w:contextualSpacing/>
              <w:rPr>
                <w:rFonts w:cs="Arial"/>
                <w:sz w:val="20"/>
                <w:szCs w:val="20"/>
              </w:rPr>
            </w:pPr>
          </w:p>
        </w:tc>
        <w:tc>
          <w:tcPr>
            <w:tcW w:w="526" w:type="pct"/>
            <w:shd w:val="clear" w:color="auto" w:fill="FFC000"/>
          </w:tcPr>
          <w:p w14:paraId="4A050D0C" w14:textId="77777777" w:rsidR="00AB194A" w:rsidRDefault="00483C59" w:rsidP="00FC2EBF">
            <w:pPr>
              <w:spacing w:before="60" w:after="60" w:line="276" w:lineRule="auto"/>
              <w:contextualSpacing/>
              <w:rPr>
                <w:rFonts w:cs="Arial"/>
                <w:sz w:val="20"/>
                <w:szCs w:val="20"/>
              </w:rPr>
            </w:pPr>
            <w:r>
              <w:rPr>
                <w:rFonts w:cs="Arial"/>
                <w:sz w:val="20"/>
                <w:szCs w:val="20"/>
              </w:rPr>
              <w:t xml:space="preserve">2 </w:t>
            </w:r>
            <w:r w:rsidR="00AB60B9">
              <w:rPr>
                <w:rFonts w:cs="Arial"/>
                <w:sz w:val="20"/>
                <w:szCs w:val="20"/>
              </w:rPr>
              <w:t xml:space="preserve">of 5 </w:t>
            </w:r>
          </w:p>
          <w:p w14:paraId="183A4864" w14:textId="4AC38653" w:rsidR="0091533A" w:rsidRPr="0091533A" w:rsidRDefault="0091533A" w:rsidP="0091533A">
            <w:pPr>
              <w:jc w:val="center"/>
              <w:rPr>
                <w:rFonts w:cs="Arial"/>
                <w:sz w:val="20"/>
                <w:szCs w:val="20"/>
              </w:rPr>
            </w:pPr>
          </w:p>
        </w:tc>
        <w:tc>
          <w:tcPr>
            <w:tcW w:w="526" w:type="pct"/>
            <w:shd w:val="clear" w:color="auto" w:fill="FF0000"/>
          </w:tcPr>
          <w:p w14:paraId="0EF7E465" w14:textId="0AF8B7A7" w:rsidR="00AB194A" w:rsidRPr="00433FCA" w:rsidRDefault="00483C59" w:rsidP="00FC2EBF">
            <w:pPr>
              <w:spacing w:before="60" w:after="60" w:line="276" w:lineRule="auto"/>
              <w:contextualSpacing/>
              <w:rPr>
                <w:rFonts w:cs="Arial"/>
                <w:sz w:val="20"/>
                <w:szCs w:val="20"/>
              </w:rPr>
            </w:pPr>
            <w:r>
              <w:rPr>
                <w:rFonts w:cs="Arial"/>
                <w:sz w:val="20"/>
                <w:szCs w:val="20"/>
              </w:rPr>
              <w:t xml:space="preserve">3 </w:t>
            </w:r>
            <w:r w:rsidR="00AB60B9">
              <w:rPr>
                <w:rFonts w:cs="Arial"/>
                <w:sz w:val="20"/>
                <w:szCs w:val="20"/>
              </w:rPr>
              <w:t>of 5</w:t>
            </w:r>
          </w:p>
        </w:tc>
        <w:tc>
          <w:tcPr>
            <w:tcW w:w="2368" w:type="pct"/>
          </w:tcPr>
          <w:p w14:paraId="5701B5C8" w14:textId="33907427" w:rsidR="00AB194A" w:rsidRPr="00433FCA" w:rsidRDefault="005B5F7B" w:rsidP="00FC2EBF">
            <w:pPr>
              <w:spacing w:before="60" w:after="60" w:line="276" w:lineRule="auto"/>
              <w:contextualSpacing/>
              <w:rPr>
                <w:rFonts w:cs="Arial"/>
                <w:sz w:val="20"/>
                <w:szCs w:val="20"/>
              </w:rPr>
            </w:pPr>
            <w:r>
              <w:rPr>
                <w:rFonts w:cs="Arial"/>
                <w:sz w:val="20"/>
                <w:szCs w:val="20"/>
              </w:rPr>
              <w:t xml:space="preserve">There </w:t>
            </w:r>
            <w:proofErr w:type="gramStart"/>
            <w:r>
              <w:rPr>
                <w:rFonts w:cs="Arial"/>
                <w:sz w:val="20"/>
                <w:szCs w:val="20"/>
              </w:rPr>
              <w:t>is</w:t>
            </w:r>
            <w:proofErr w:type="gramEnd"/>
            <w:r>
              <w:rPr>
                <w:rFonts w:cs="Arial"/>
                <w:sz w:val="20"/>
                <w:szCs w:val="20"/>
              </w:rPr>
              <w:t xml:space="preserve"> no active monitoring of ecosystem impacts for the fishery. Sea cucumbers play and important role in the ecosystem and further work</w:t>
            </w:r>
            <w:r w:rsidR="00982040">
              <w:rPr>
                <w:rFonts w:cs="Arial"/>
                <w:sz w:val="20"/>
                <w:szCs w:val="20"/>
              </w:rPr>
              <w:t xml:space="preserve"> is required</w:t>
            </w:r>
            <w:r>
              <w:rPr>
                <w:rFonts w:cs="Arial"/>
                <w:sz w:val="20"/>
                <w:szCs w:val="20"/>
              </w:rPr>
              <w:t xml:space="preserve"> to determine whether the level of harvest is consistent with the abundance </w:t>
            </w:r>
            <w:r w:rsidR="00982040">
              <w:rPr>
                <w:rFonts w:cs="Arial"/>
                <w:sz w:val="20"/>
                <w:szCs w:val="20"/>
              </w:rPr>
              <w:t xml:space="preserve">of each species </w:t>
            </w:r>
            <w:r>
              <w:rPr>
                <w:rFonts w:cs="Arial"/>
                <w:sz w:val="20"/>
                <w:szCs w:val="20"/>
              </w:rPr>
              <w:t>and</w:t>
            </w:r>
            <w:r w:rsidR="00982040">
              <w:rPr>
                <w:rFonts w:cs="Arial"/>
                <w:sz w:val="20"/>
                <w:szCs w:val="20"/>
              </w:rPr>
              <w:t xml:space="preserve"> their</w:t>
            </w:r>
            <w:r>
              <w:rPr>
                <w:rFonts w:cs="Arial"/>
                <w:sz w:val="20"/>
                <w:szCs w:val="20"/>
              </w:rPr>
              <w:t xml:space="preserve"> role in the ecosystem. </w:t>
            </w:r>
          </w:p>
        </w:tc>
      </w:tr>
      <w:tr w:rsidR="00B97B40" w:rsidRPr="00433FCA" w14:paraId="14FFCC4D" w14:textId="77777777" w:rsidTr="0069741A">
        <w:trPr>
          <w:cnfStyle w:val="000000100000" w:firstRow="0" w:lastRow="0" w:firstColumn="0" w:lastColumn="0" w:oddVBand="0" w:evenVBand="0" w:oddHBand="1" w:evenHBand="0" w:firstRowFirstColumn="0" w:firstRowLastColumn="0" w:lastRowFirstColumn="0" w:lastRowLastColumn="0"/>
        </w:trPr>
        <w:tc>
          <w:tcPr>
            <w:tcW w:w="1053" w:type="pct"/>
            <w:vAlign w:val="center"/>
          </w:tcPr>
          <w:p w14:paraId="4D7DC563" w14:textId="67470506"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EPBC requirements</w:t>
            </w:r>
          </w:p>
        </w:tc>
        <w:tc>
          <w:tcPr>
            <w:tcW w:w="526" w:type="pct"/>
            <w:shd w:val="clear" w:color="auto" w:fill="92D050"/>
            <w:vAlign w:val="center"/>
          </w:tcPr>
          <w:p w14:paraId="6D0A4838"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Meets</w:t>
            </w:r>
          </w:p>
        </w:tc>
        <w:tc>
          <w:tcPr>
            <w:tcW w:w="526" w:type="pct"/>
            <w:shd w:val="clear" w:color="auto" w:fill="FFC000"/>
            <w:vAlign w:val="center"/>
          </w:tcPr>
          <w:p w14:paraId="3E8183B4"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Partially meets</w:t>
            </w:r>
          </w:p>
        </w:tc>
        <w:tc>
          <w:tcPr>
            <w:tcW w:w="526" w:type="pct"/>
            <w:shd w:val="clear" w:color="auto" w:fill="FF0000"/>
            <w:vAlign w:val="center"/>
          </w:tcPr>
          <w:p w14:paraId="09A677DF"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Does not meet</w:t>
            </w:r>
          </w:p>
        </w:tc>
        <w:tc>
          <w:tcPr>
            <w:tcW w:w="2368" w:type="pct"/>
            <w:vAlign w:val="center"/>
          </w:tcPr>
          <w:p w14:paraId="52515391"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Details</w:t>
            </w:r>
          </w:p>
        </w:tc>
      </w:tr>
      <w:tr w:rsidR="00AB194A" w:rsidRPr="00433FCA" w14:paraId="288C0458" w14:textId="77777777" w:rsidTr="0069741A">
        <w:trPr>
          <w:cnfStyle w:val="000000010000" w:firstRow="0" w:lastRow="0" w:firstColumn="0" w:lastColumn="0" w:oddVBand="0" w:evenVBand="0" w:oddHBand="0" w:evenHBand="1" w:firstRowFirstColumn="0" w:firstRowLastColumn="0" w:lastRowFirstColumn="0" w:lastRowLastColumn="0"/>
        </w:trPr>
        <w:tc>
          <w:tcPr>
            <w:tcW w:w="1053" w:type="pct"/>
          </w:tcPr>
          <w:p w14:paraId="3A69EF13"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12</w:t>
            </w:r>
          </w:p>
        </w:tc>
        <w:tc>
          <w:tcPr>
            <w:tcW w:w="526" w:type="pct"/>
            <w:shd w:val="clear" w:color="auto" w:fill="92D050"/>
          </w:tcPr>
          <w:p w14:paraId="0D057530" w14:textId="213A0659" w:rsidR="00AB194A" w:rsidRPr="00433FCA" w:rsidRDefault="00AB60B9" w:rsidP="00FC2EBF">
            <w:pPr>
              <w:spacing w:before="60" w:after="60" w:line="276" w:lineRule="auto"/>
              <w:contextualSpacing/>
              <w:rPr>
                <w:rFonts w:cs="Arial"/>
                <w:sz w:val="20"/>
                <w:szCs w:val="20"/>
              </w:rPr>
            </w:pPr>
            <w:r>
              <w:rPr>
                <w:rFonts w:cs="Arial"/>
                <w:sz w:val="20"/>
                <w:szCs w:val="20"/>
              </w:rPr>
              <w:t>Meets</w:t>
            </w:r>
          </w:p>
        </w:tc>
        <w:tc>
          <w:tcPr>
            <w:tcW w:w="526" w:type="pct"/>
            <w:shd w:val="clear" w:color="auto" w:fill="auto"/>
          </w:tcPr>
          <w:p w14:paraId="256D5847" w14:textId="77777777" w:rsidR="00AB194A" w:rsidRPr="00433FCA" w:rsidRDefault="00AB194A" w:rsidP="00FC2EBF">
            <w:pPr>
              <w:spacing w:before="60" w:after="60" w:line="276" w:lineRule="auto"/>
              <w:contextualSpacing/>
              <w:rPr>
                <w:rFonts w:cs="Arial"/>
                <w:sz w:val="20"/>
                <w:szCs w:val="20"/>
              </w:rPr>
            </w:pPr>
          </w:p>
        </w:tc>
        <w:tc>
          <w:tcPr>
            <w:tcW w:w="526" w:type="pct"/>
            <w:shd w:val="clear" w:color="auto" w:fill="auto"/>
          </w:tcPr>
          <w:p w14:paraId="6EE06B37" w14:textId="77777777" w:rsidR="00AB194A" w:rsidRPr="00433FCA" w:rsidRDefault="00AB194A" w:rsidP="00FC2EBF">
            <w:pPr>
              <w:spacing w:before="60" w:after="60" w:line="276" w:lineRule="auto"/>
              <w:contextualSpacing/>
              <w:rPr>
                <w:rFonts w:cs="Arial"/>
                <w:sz w:val="20"/>
                <w:szCs w:val="20"/>
              </w:rPr>
            </w:pPr>
          </w:p>
        </w:tc>
        <w:tc>
          <w:tcPr>
            <w:tcW w:w="2368" w:type="pct"/>
          </w:tcPr>
          <w:p w14:paraId="327E0B80" w14:textId="55D63E4E" w:rsidR="00AB194A" w:rsidRPr="00433FCA" w:rsidRDefault="00AB60B9" w:rsidP="00FC2EBF">
            <w:pPr>
              <w:spacing w:before="60" w:after="60" w:line="276" w:lineRule="auto"/>
              <w:contextualSpacing/>
              <w:rPr>
                <w:rFonts w:cs="Arial"/>
                <w:sz w:val="20"/>
                <w:szCs w:val="20"/>
              </w:rPr>
            </w:pPr>
            <w:r>
              <w:rPr>
                <w:rFonts w:cs="Arial"/>
                <w:sz w:val="20"/>
                <w:szCs w:val="20"/>
              </w:rPr>
              <w:t xml:space="preserve">This assessment considered the fishery’s impact on marine bioregional areas and </w:t>
            </w:r>
            <w:r w:rsidR="00E52365">
              <w:rPr>
                <w:rFonts w:cs="Arial"/>
                <w:sz w:val="20"/>
                <w:szCs w:val="20"/>
              </w:rPr>
              <w:t>has found</w:t>
            </w:r>
            <w:r>
              <w:rPr>
                <w:rFonts w:cs="Arial"/>
                <w:sz w:val="20"/>
                <w:szCs w:val="20"/>
              </w:rPr>
              <w:t xml:space="preserve"> the risk to be low and acceptable.</w:t>
            </w:r>
          </w:p>
        </w:tc>
      </w:tr>
      <w:tr w:rsidR="00AB194A" w:rsidRPr="00433FCA" w14:paraId="506B6990" w14:textId="77777777" w:rsidTr="0069741A">
        <w:trPr>
          <w:cnfStyle w:val="000000100000" w:firstRow="0" w:lastRow="0" w:firstColumn="0" w:lastColumn="0" w:oddVBand="0" w:evenVBand="0" w:oddHBand="1" w:evenHBand="0" w:firstRowFirstColumn="0" w:firstRowLastColumn="0" w:lastRowFirstColumn="0" w:lastRowLastColumn="0"/>
        </w:trPr>
        <w:tc>
          <w:tcPr>
            <w:tcW w:w="1053" w:type="pct"/>
          </w:tcPr>
          <w:p w14:paraId="1E8F6B74"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lastRenderedPageBreak/>
              <w:t>Part 13</w:t>
            </w:r>
          </w:p>
        </w:tc>
        <w:tc>
          <w:tcPr>
            <w:tcW w:w="526" w:type="pct"/>
            <w:shd w:val="clear" w:color="auto" w:fill="92D050"/>
          </w:tcPr>
          <w:p w14:paraId="7F19FF8D" w14:textId="22D8CB35" w:rsidR="00AB194A" w:rsidRPr="00433FCA" w:rsidRDefault="00AB60B9" w:rsidP="00FC2EBF">
            <w:pPr>
              <w:spacing w:before="60" w:after="60" w:line="276" w:lineRule="auto"/>
              <w:contextualSpacing/>
              <w:rPr>
                <w:rFonts w:cs="Arial"/>
                <w:sz w:val="20"/>
                <w:szCs w:val="20"/>
              </w:rPr>
            </w:pPr>
            <w:r>
              <w:rPr>
                <w:rFonts w:cs="Arial"/>
                <w:sz w:val="20"/>
                <w:szCs w:val="20"/>
              </w:rPr>
              <w:t>Meets</w:t>
            </w:r>
          </w:p>
        </w:tc>
        <w:tc>
          <w:tcPr>
            <w:tcW w:w="526" w:type="pct"/>
            <w:shd w:val="clear" w:color="auto" w:fill="auto"/>
          </w:tcPr>
          <w:p w14:paraId="236DD031" w14:textId="77777777" w:rsidR="00AB194A" w:rsidRPr="00433FCA" w:rsidRDefault="00AB194A" w:rsidP="00FC2EBF">
            <w:pPr>
              <w:spacing w:before="60" w:after="60" w:line="276" w:lineRule="auto"/>
              <w:contextualSpacing/>
              <w:rPr>
                <w:rFonts w:cs="Arial"/>
                <w:sz w:val="20"/>
                <w:szCs w:val="20"/>
              </w:rPr>
            </w:pPr>
          </w:p>
        </w:tc>
        <w:tc>
          <w:tcPr>
            <w:tcW w:w="526" w:type="pct"/>
            <w:shd w:val="clear" w:color="auto" w:fill="auto"/>
          </w:tcPr>
          <w:p w14:paraId="46D8A6F7" w14:textId="77777777" w:rsidR="00AB194A" w:rsidRPr="00433FCA" w:rsidRDefault="00AB194A" w:rsidP="00FC2EBF">
            <w:pPr>
              <w:spacing w:before="60" w:after="60" w:line="276" w:lineRule="auto"/>
              <w:contextualSpacing/>
              <w:rPr>
                <w:rFonts w:cs="Arial"/>
                <w:sz w:val="20"/>
                <w:szCs w:val="20"/>
              </w:rPr>
            </w:pPr>
          </w:p>
        </w:tc>
        <w:tc>
          <w:tcPr>
            <w:tcW w:w="2368" w:type="pct"/>
          </w:tcPr>
          <w:p w14:paraId="008A304B" w14:textId="4801299B" w:rsidR="00AB194A" w:rsidRPr="00433FCA" w:rsidRDefault="00AB60B9" w:rsidP="00FC2EBF">
            <w:pPr>
              <w:spacing w:before="60" w:after="60" w:line="276" w:lineRule="auto"/>
              <w:contextualSpacing/>
              <w:rPr>
                <w:rFonts w:cs="Arial"/>
                <w:sz w:val="20"/>
                <w:szCs w:val="20"/>
              </w:rPr>
            </w:pPr>
            <w:r>
              <w:rPr>
                <w:rFonts w:cs="Arial"/>
                <w:sz w:val="20"/>
                <w:szCs w:val="20"/>
              </w:rPr>
              <w:t xml:space="preserve">This assessment considered the fishery’s impact on protected species and ecological communities and </w:t>
            </w:r>
            <w:r w:rsidR="00FD7D0F">
              <w:rPr>
                <w:rFonts w:cs="Arial"/>
                <w:sz w:val="20"/>
                <w:szCs w:val="20"/>
              </w:rPr>
              <w:t xml:space="preserve">has found </w:t>
            </w:r>
            <w:r>
              <w:rPr>
                <w:rFonts w:cs="Arial"/>
                <w:sz w:val="20"/>
                <w:szCs w:val="20"/>
              </w:rPr>
              <w:t>the risk to be low and acceptable.</w:t>
            </w:r>
          </w:p>
        </w:tc>
      </w:tr>
      <w:tr w:rsidR="00AB194A" w:rsidRPr="00433FCA" w14:paraId="22B413FF" w14:textId="77777777" w:rsidTr="0069741A">
        <w:trPr>
          <w:cnfStyle w:val="000000010000" w:firstRow="0" w:lastRow="0" w:firstColumn="0" w:lastColumn="0" w:oddVBand="0" w:evenVBand="0" w:oddHBand="0" w:evenHBand="1" w:firstRowFirstColumn="0" w:firstRowLastColumn="0" w:lastRowFirstColumn="0" w:lastRowLastColumn="0"/>
        </w:trPr>
        <w:tc>
          <w:tcPr>
            <w:tcW w:w="1053" w:type="pct"/>
          </w:tcPr>
          <w:p w14:paraId="43BD9B9F"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13A</w:t>
            </w:r>
          </w:p>
        </w:tc>
        <w:tc>
          <w:tcPr>
            <w:tcW w:w="526" w:type="pct"/>
            <w:shd w:val="clear" w:color="auto" w:fill="92D050"/>
          </w:tcPr>
          <w:p w14:paraId="5C07EDB0" w14:textId="2D7FFC8B" w:rsidR="00AB194A" w:rsidRPr="00433FCA" w:rsidRDefault="00AB60B9" w:rsidP="00FC2EBF">
            <w:pPr>
              <w:spacing w:before="60" w:after="60" w:line="276" w:lineRule="auto"/>
              <w:contextualSpacing/>
              <w:rPr>
                <w:rFonts w:cs="Arial"/>
                <w:sz w:val="20"/>
                <w:szCs w:val="20"/>
              </w:rPr>
            </w:pPr>
            <w:r>
              <w:rPr>
                <w:rFonts w:cs="Arial"/>
                <w:sz w:val="20"/>
                <w:szCs w:val="20"/>
              </w:rPr>
              <w:t>Meets</w:t>
            </w:r>
          </w:p>
        </w:tc>
        <w:tc>
          <w:tcPr>
            <w:tcW w:w="526" w:type="pct"/>
            <w:shd w:val="clear" w:color="auto" w:fill="auto"/>
          </w:tcPr>
          <w:p w14:paraId="37366B5B" w14:textId="77777777" w:rsidR="00AB194A" w:rsidRPr="00433FCA" w:rsidRDefault="00AB194A" w:rsidP="00FC2EBF">
            <w:pPr>
              <w:spacing w:before="60" w:after="60" w:line="276" w:lineRule="auto"/>
              <w:contextualSpacing/>
              <w:rPr>
                <w:rFonts w:cs="Arial"/>
                <w:sz w:val="20"/>
                <w:szCs w:val="20"/>
              </w:rPr>
            </w:pPr>
          </w:p>
        </w:tc>
        <w:tc>
          <w:tcPr>
            <w:tcW w:w="526" w:type="pct"/>
            <w:shd w:val="clear" w:color="auto" w:fill="auto"/>
          </w:tcPr>
          <w:p w14:paraId="3DC1438C" w14:textId="77777777" w:rsidR="00AB194A" w:rsidRPr="00433FCA" w:rsidRDefault="00AB194A" w:rsidP="00FC2EBF">
            <w:pPr>
              <w:spacing w:before="60" w:after="60" w:line="276" w:lineRule="auto"/>
              <w:contextualSpacing/>
              <w:rPr>
                <w:rFonts w:cs="Arial"/>
                <w:sz w:val="20"/>
                <w:szCs w:val="20"/>
              </w:rPr>
            </w:pPr>
          </w:p>
        </w:tc>
        <w:tc>
          <w:tcPr>
            <w:tcW w:w="2368" w:type="pct"/>
          </w:tcPr>
          <w:p w14:paraId="3A492242" w14:textId="24B0638B" w:rsidR="00AB194A" w:rsidRPr="00433FCA" w:rsidRDefault="00AB60B9" w:rsidP="00FC2EBF">
            <w:pPr>
              <w:spacing w:before="60" w:after="60" w:line="276" w:lineRule="auto"/>
              <w:contextualSpacing/>
              <w:rPr>
                <w:rFonts w:cs="Arial"/>
                <w:sz w:val="20"/>
                <w:szCs w:val="20"/>
              </w:rPr>
            </w:pPr>
            <w:r>
              <w:rPr>
                <w:rFonts w:cs="Arial"/>
                <w:sz w:val="20"/>
                <w:szCs w:val="20"/>
              </w:rPr>
              <w:t>The management of the fishery has</w:t>
            </w:r>
            <w:r w:rsidR="00D12BE4">
              <w:rPr>
                <w:rFonts w:cs="Arial"/>
                <w:sz w:val="20"/>
                <w:szCs w:val="20"/>
              </w:rPr>
              <w:t xml:space="preserve"> </w:t>
            </w:r>
            <w:r w:rsidRPr="00C3119D">
              <w:rPr>
                <w:rFonts w:cs="Arial"/>
                <w:sz w:val="20"/>
                <w:szCs w:val="20"/>
              </w:rPr>
              <w:t xml:space="preserve">been assessed and found to have shortcoming </w:t>
            </w:r>
            <w:r w:rsidR="009F5486" w:rsidRPr="00C3119D">
              <w:rPr>
                <w:rFonts w:cs="Arial"/>
                <w:sz w:val="20"/>
                <w:szCs w:val="20"/>
              </w:rPr>
              <w:t>in</w:t>
            </w:r>
            <w:r w:rsidR="009F5486">
              <w:rPr>
                <w:rFonts w:cs="Arial"/>
                <w:sz w:val="20"/>
                <w:szCs w:val="20"/>
              </w:rPr>
              <w:t xml:space="preserve"> the understanding of the </w:t>
            </w:r>
            <w:r w:rsidR="009F5486" w:rsidRPr="00982040">
              <w:rPr>
                <w:rFonts w:cs="Arial"/>
                <w:sz w:val="20"/>
                <w:szCs w:val="20"/>
              </w:rPr>
              <w:t>status of stock</w:t>
            </w:r>
            <w:r w:rsidR="00982040" w:rsidRPr="00982040">
              <w:rPr>
                <w:rFonts w:cs="Arial"/>
                <w:sz w:val="20"/>
                <w:szCs w:val="20"/>
              </w:rPr>
              <w:t>s</w:t>
            </w:r>
            <w:r w:rsidR="009F5486" w:rsidRPr="00982040">
              <w:rPr>
                <w:rFonts w:cs="Arial"/>
                <w:sz w:val="20"/>
                <w:szCs w:val="20"/>
              </w:rPr>
              <w:t xml:space="preserve"> in the fishery</w:t>
            </w:r>
            <w:r>
              <w:rPr>
                <w:rFonts w:cs="Arial"/>
                <w:sz w:val="20"/>
                <w:szCs w:val="20"/>
              </w:rPr>
              <w:t>. With QDAF’s agreement to implementing the conditions outlined in Section 2 of this report, management measures are likely to be adequate</w:t>
            </w:r>
            <w:r w:rsidR="00D509DD">
              <w:rPr>
                <w:rFonts w:cs="Arial"/>
                <w:sz w:val="20"/>
                <w:szCs w:val="20"/>
              </w:rPr>
              <w:t>.</w:t>
            </w:r>
          </w:p>
        </w:tc>
      </w:tr>
      <w:tr w:rsidR="00AB194A" w:rsidRPr="00433FCA" w14:paraId="3E17CDF2" w14:textId="77777777" w:rsidTr="0069741A">
        <w:trPr>
          <w:cnfStyle w:val="000000100000" w:firstRow="0" w:lastRow="0" w:firstColumn="0" w:lastColumn="0" w:oddVBand="0" w:evenVBand="0" w:oddHBand="1" w:evenHBand="0" w:firstRowFirstColumn="0" w:firstRowLastColumn="0" w:lastRowFirstColumn="0" w:lastRowLastColumn="0"/>
        </w:trPr>
        <w:tc>
          <w:tcPr>
            <w:tcW w:w="1053" w:type="pct"/>
          </w:tcPr>
          <w:p w14:paraId="716FE531"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16</w:t>
            </w:r>
          </w:p>
        </w:tc>
        <w:tc>
          <w:tcPr>
            <w:tcW w:w="526" w:type="pct"/>
            <w:shd w:val="clear" w:color="auto" w:fill="92D050"/>
          </w:tcPr>
          <w:p w14:paraId="6CB8748C" w14:textId="160EB14C" w:rsidR="00AB194A" w:rsidRPr="00433FCA" w:rsidRDefault="00AB60B9" w:rsidP="00FC2EBF">
            <w:pPr>
              <w:spacing w:before="60" w:after="60" w:line="276" w:lineRule="auto"/>
              <w:contextualSpacing/>
              <w:rPr>
                <w:rFonts w:cs="Arial"/>
                <w:sz w:val="20"/>
                <w:szCs w:val="20"/>
              </w:rPr>
            </w:pPr>
            <w:r>
              <w:rPr>
                <w:rFonts w:cs="Arial"/>
                <w:sz w:val="20"/>
                <w:szCs w:val="20"/>
              </w:rPr>
              <w:t>Meets</w:t>
            </w:r>
          </w:p>
        </w:tc>
        <w:tc>
          <w:tcPr>
            <w:tcW w:w="526" w:type="pct"/>
            <w:shd w:val="clear" w:color="auto" w:fill="auto"/>
          </w:tcPr>
          <w:p w14:paraId="7B5C007D" w14:textId="77777777" w:rsidR="00AB194A" w:rsidRPr="00433FCA" w:rsidRDefault="00AB194A" w:rsidP="00FC2EBF">
            <w:pPr>
              <w:spacing w:before="60" w:after="60" w:line="276" w:lineRule="auto"/>
              <w:contextualSpacing/>
              <w:rPr>
                <w:rFonts w:cs="Arial"/>
                <w:sz w:val="20"/>
                <w:szCs w:val="20"/>
              </w:rPr>
            </w:pPr>
          </w:p>
        </w:tc>
        <w:tc>
          <w:tcPr>
            <w:tcW w:w="526" w:type="pct"/>
            <w:shd w:val="clear" w:color="auto" w:fill="auto"/>
          </w:tcPr>
          <w:p w14:paraId="138BAF54" w14:textId="77777777" w:rsidR="00AB194A" w:rsidRPr="00433FCA" w:rsidRDefault="00AB194A" w:rsidP="00FC2EBF">
            <w:pPr>
              <w:spacing w:before="60" w:after="60" w:line="276" w:lineRule="auto"/>
              <w:contextualSpacing/>
              <w:rPr>
                <w:rFonts w:cs="Arial"/>
                <w:sz w:val="20"/>
                <w:szCs w:val="20"/>
              </w:rPr>
            </w:pPr>
          </w:p>
        </w:tc>
        <w:tc>
          <w:tcPr>
            <w:tcW w:w="2368" w:type="pct"/>
          </w:tcPr>
          <w:p w14:paraId="70D1DCFD" w14:textId="206744FB" w:rsidR="00AB194A" w:rsidRPr="00433FCA" w:rsidRDefault="00AB60B9" w:rsidP="00FC2EBF">
            <w:pPr>
              <w:spacing w:before="60" w:after="60" w:line="276" w:lineRule="auto"/>
              <w:contextualSpacing/>
              <w:rPr>
                <w:rFonts w:cs="Arial"/>
                <w:sz w:val="20"/>
                <w:szCs w:val="20"/>
              </w:rPr>
            </w:pPr>
            <w:r w:rsidRPr="00B8714D">
              <w:rPr>
                <w:sz w:val="20"/>
                <w:szCs w:val="20"/>
              </w:rPr>
              <w:t>Management arrangements were found to be moderately precautionary</w:t>
            </w:r>
            <w:r>
              <w:rPr>
                <w:sz w:val="20"/>
                <w:szCs w:val="20"/>
              </w:rPr>
              <w:t xml:space="preserve">. </w:t>
            </w:r>
            <w:r>
              <w:rPr>
                <w:rFonts w:cs="Arial"/>
                <w:sz w:val="20"/>
                <w:szCs w:val="20"/>
              </w:rPr>
              <w:t xml:space="preserve"> With QDAF’s agreement to implementing the conditions outlined in Section 2 of this report, management measures are likely to be adequate.</w:t>
            </w:r>
          </w:p>
        </w:tc>
      </w:tr>
    </w:tbl>
    <w:p w14:paraId="32449674" w14:textId="3EE298A3" w:rsidR="00AB194A" w:rsidRDefault="00AB194A" w:rsidP="00FC2EBF"/>
    <w:p w14:paraId="60D3588F" w14:textId="4437DDE3" w:rsidR="00417DFC" w:rsidRDefault="00417DFC">
      <w:pPr>
        <w:spacing w:before="0" w:after="0"/>
      </w:pPr>
      <w:r>
        <w:br w:type="page"/>
      </w:r>
    </w:p>
    <w:p w14:paraId="1F77DFC3" w14:textId="6588338A" w:rsidR="00417DFC" w:rsidRPr="0069741A" w:rsidRDefault="00417DFC" w:rsidP="00417DFC">
      <w:pPr>
        <w:pStyle w:val="Heading1"/>
        <w:rPr>
          <w:rFonts w:ascii="Arial" w:hAnsi="Arial"/>
        </w:rPr>
      </w:pPr>
      <w:bookmarkStart w:id="3" w:name="_Toc89208567"/>
      <w:r w:rsidRPr="0069741A">
        <w:rPr>
          <w:rFonts w:ascii="Arial" w:hAnsi="Arial"/>
        </w:rPr>
        <w:lastRenderedPageBreak/>
        <w:t>Section 2: Summary of Issues Requiring Conditions</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417DFC" w:rsidRPr="00887241" w14:paraId="10B2CAE0" w14:textId="77777777" w:rsidTr="00211477">
        <w:trPr>
          <w:tblHeader/>
          <w:jc w:val="center"/>
        </w:trPr>
        <w:tc>
          <w:tcPr>
            <w:tcW w:w="2500" w:type="pct"/>
            <w:shd w:val="clear" w:color="auto" w:fill="D9D9D9"/>
            <w:vAlign w:val="center"/>
          </w:tcPr>
          <w:p w14:paraId="54D004F8" w14:textId="77777777" w:rsidR="00417DFC" w:rsidRPr="00887241" w:rsidRDefault="00417DFC" w:rsidP="00211477">
            <w:pPr>
              <w:spacing w:before="60" w:after="60" w:line="276" w:lineRule="auto"/>
              <w:contextualSpacing/>
              <w:jc w:val="center"/>
              <w:rPr>
                <w:rFonts w:cs="Arial"/>
                <w:b/>
                <w:sz w:val="20"/>
                <w:szCs w:val="20"/>
              </w:rPr>
            </w:pPr>
            <w:r w:rsidRPr="00887241">
              <w:rPr>
                <w:rFonts w:cs="Arial"/>
                <w:b/>
                <w:sz w:val="20"/>
                <w:szCs w:val="20"/>
              </w:rPr>
              <w:t>Issue</w:t>
            </w:r>
          </w:p>
        </w:tc>
        <w:tc>
          <w:tcPr>
            <w:tcW w:w="2500" w:type="pct"/>
            <w:shd w:val="clear" w:color="auto" w:fill="D9D9D9"/>
            <w:vAlign w:val="center"/>
          </w:tcPr>
          <w:p w14:paraId="4B5B82B9" w14:textId="77777777" w:rsidR="00417DFC" w:rsidRPr="00887241" w:rsidRDefault="00417DFC" w:rsidP="00211477">
            <w:pPr>
              <w:spacing w:before="60" w:after="60" w:line="276" w:lineRule="auto"/>
              <w:contextualSpacing/>
              <w:jc w:val="center"/>
              <w:rPr>
                <w:rFonts w:cs="Arial"/>
                <w:b/>
                <w:sz w:val="20"/>
                <w:szCs w:val="20"/>
              </w:rPr>
            </w:pPr>
            <w:r w:rsidRPr="00860E63">
              <w:rPr>
                <w:rFonts w:cs="Arial"/>
                <w:b/>
                <w:sz w:val="20"/>
                <w:szCs w:val="20"/>
              </w:rPr>
              <w:t>Condition</w:t>
            </w:r>
            <w:r w:rsidRPr="00887241">
              <w:rPr>
                <w:rFonts w:cs="Arial"/>
                <w:b/>
                <w:sz w:val="20"/>
                <w:szCs w:val="20"/>
              </w:rPr>
              <w:t xml:space="preserve"> </w:t>
            </w:r>
          </w:p>
        </w:tc>
      </w:tr>
      <w:tr w:rsidR="00771DF0" w:rsidRPr="00887241" w14:paraId="50EAB394" w14:textId="77777777" w:rsidTr="00211477">
        <w:trPr>
          <w:jc w:val="center"/>
        </w:trPr>
        <w:tc>
          <w:tcPr>
            <w:tcW w:w="2500" w:type="pct"/>
          </w:tcPr>
          <w:p w14:paraId="1AEA9104" w14:textId="77777777" w:rsidR="00771DF0" w:rsidRPr="00F7512D" w:rsidRDefault="00771DF0" w:rsidP="00F7512D">
            <w:pPr>
              <w:spacing w:line="252" w:lineRule="auto"/>
              <w:rPr>
                <w:rFonts w:cs="Arial"/>
                <w:b/>
                <w:sz w:val="20"/>
                <w:szCs w:val="20"/>
              </w:rPr>
            </w:pPr>
            <w:r w:rsidRPr="00F7512D">
              <w:rPr>
                <w:rFonts w:cs="Arial"/>
                <w:b/>
                <w:sz w:val="20"/>
                <w:szCs w:val="20"/>
              </w:rPr>
              <w:t>General Management</w:t>
            </w:r>
          </w:p>
          <w:p w14:paraId="33CA101C" w14:textId="77777777" w:rsidR="00771DF0" w:rsidRPr="00A7590A" w:rsidRDefault="00771DF0" w:rsidP="00771DF0">
            <w:pPr>
              <w:spacing w:before="60" w:after="60" w:line="276" w:lineRule="auto"/>
              <w:contextualSpacing/>
              <w:rPr>
                <w:rFonts w:cs="Arial"/>
                <w:sz w:val="20"/>
                <w:szCs w:val="20"/>
              </w:rPr>
            </w:pPr>
            <w:r w:rsidRPr="00A7590A">
              <w:rPr>
                <w:rFonts w:cs="Arial"/>
                <w:sz w:val="20"/>
                <w:szCs w:val="20"/>
              </w:rPr>
              <w:t xml:space="preserve">Export decisions relate to the management arrangements in force at the time of any decision(s) made under the EPBC Act. To ensure that the decision(s) remain valid and export approval continues uninterrupted, the Department of Agriculture, </w:t>
            </w:r>
            <w:proofErr w:type="gramStart"/>
            <w:r w:rsidRPr="00A7590A">
              <w:rPr>
                <w:rFonts w:cs="Arial"/>
                <w:sz w:val="20"/>
                <w:szCs w:val="20"/>
              </w:rPr>
              <w:t>Water</w:t>
            </w:r>
            <w:proofErr w:type="gramEnd"/>
            <w:r w:rsidRPr="00A7590A">
              <w:rPr>
                <w:rFonts w:cs="Arial"/>
                <w:sz w:val="20"/>
                <w:szCs w:val="20"/>
              </w:rPr>
              <w:t xml:space="preserve"> and the Environment (the department) needs to be advised of any changes that are made to the management regime and make an assessment that the new arrangements are equivalent or better, in terms of ecological sustainability, than those in place at the time of the original decision(s). This includes operational and legislated amendments that may affect the sustainability of the target species or negatively impact on </w:t>
            </w:r>
            <w:proofErr w:type="spellStart"/>
            <w:r w:rsidRPr="00A7590A">
              <w:rPr>
                <w:rFonts w:cs="Arial"/>
                <w:sz w:val="20"/>
                <w:szCs w:val="20"/>
              </w:rPr>
              <w:t>byproduct</w:t>
            </w:r>
            <w:proofErr w:type="spellEnd"/>
            <w:r w:rsidRPr="00A7590A">
              <w:rPr>
                <w:rFonts w:cs="Arial"/>
                <w:sz w:val="20"/>
                <w:szCs w:val="20"/>
              </w:rPr>
              <w:t xml:space="preserve">, bycatch, EPBC Act protected species or the ecosystem. </w:t>
            </w:r>
          </w:p>
          <w:p w14:paraId="0B1B86F5" w14:textId="77777777" w:rsidR="00771DF0" w:rsidRPr="00887241" w:rsidRDefault="00771DF0" w:rsidP="00771DF0">
            <w:pPr>
              <w:spacing w:before="60" w:after="60" w:line="276" w:lineRule="auto"/>
              <w:contextualSpacing/>
              <w:rPr>
                <w:rFonts w:cs="Arial"/>
                <w:sz w:val="20"/>
                <w:szCs w:val="20"/>
              </w:rPr>
            </w:pPr>
          </w:p>
        </w:tc>
        <w:tc>
          <w:tcPr>
            <w:tcW w:w="2500" w:type="pct"/>
          </w:tcPr>
          <w:p w14:paraId="3CEAEE61" w14:textId="19E9072F" w:rsidR="00771DF0" w:rsidRPr="00A7590A" w:rsidRDefault="00771DF0" w:rsidP="00771DF0">
            <w:pPr>
              <w:spacing w:line="252" w:lineRule="auto"/>
              <w:rPr>
                <w:rFonts w:cs="Arial"/>
                <w:b/>
                <w:sz w:val="20"/>
                <w:szCs w:val="20"/>
              </w:rPr>
            </w:pPr>
            <w:r w:rsidRPr="00A7590A">
              <w:rPr>
                <w:rFonts w:cs="Arial"/>
                <w:b/>
                <w:sz w:val="20"/>
                <w:szCs w:val="20"/>
              </w:rPr>
              <w:t>Condition 1</w:t>
            </w:r>
          </w:p>
          <w:p w14:paraId="1BC7C945" w14:textId="77777777" w:rsidR="00771DF0" w:rsidRPr="00A7590A" w:rsidRDefault="00771DF0" w:rsidP="00771DF0">
            <w:pPr>
              <w:spacing w:line="252" w:lineRule="auto"/>
              <w:rPr>
                <w:rFonts w:cs="Arial"/>
                <w:sz w:val="20"/>
                <w:szCs w:val="20"/>
              </w:rPr>
            </w:pPr>
            <w:r w:rsidRPr="00A7590A">
              <w:rPr>
                <w:rFonts w:cs="Arial"/>
                <w:sz w:val="20"/>
                <w:szCs w:val="20"/>
              </w:rPr>
              <w:t>The Queensland Department of Agriculture and Fisheries must ensure that operation of the Queensland Sea Cucumber Fishery (East Coast) is carried out in accordance with management regime specified in Queensland Department of Agriculture and Fisheries, and Great Barrier Reef Marine Park Authority issued permits, as well as in the following:</w:t>
            </w:r>
          </w:p>
          <w:p w14:paraId="5A812139" w14:textId="77777777" w:rsidR="00771DF0" w:rsidRPr="00A7590A" w:rsidRDefault="00771DF0" w:rsidP="005D7B25">
            <w:pPr>
              <w:pStyle w:val="ListParagraph"/>
              <w:numPr>
                <w:ilvl w:val="0"/>
                <w:numId w:val="14"/>
              </w:numPr>
              <w:spacing w:before="0" w:after="160" w:line="252" w:lineRule="auto"/>
              <w:contextualSpacing/>
              <w:rPr>
                <w:rFonts w:cs="Arial"/>
                <w:sz w:val="20"/>
                <w:szCs w:val="20"/>
              </w:rPr>
            </w:pPr>
            <w:r w:rsidRPr="00681E37">
              <w:rPr>
                <w:rFonts w:cs="Arial"/>
                <w:i/>
                <w:iCs/>
                <w:sz w:val="20"/>
                <w:szCs w:val="20"/>
              </w:rPr>
              <w:t>Fisheries Act 1994</w:t>
            </w:r>
            <w:r w:rsidRPr="00A7590A">
              <w:rPr>
                <w:rFonts w:cs="Arial"/>
                <w:sz w:val="20"/>
                <w:szCs w:val="20"/>
              </w:rPr>
              <w:t> (Qld)</w:t>
            </w:r>
          </w:p>
          <w:p w14:paraId="26E47AA6" w14:textId="77777777" w:rsidR="00771DF0" w:rsidRPr="00A7590A" w:rsidRDefault="00771DF0" w:rsidP="005D7B25">
            <w:pPr>
              <w:pStyle w:val="ListParagraph"/>
              <w:numPr>
                <w:ilvl w:val="0"/>
                <w:numId w:val="14"/>
              </w:numPr>
              <w:spacing w:before="0" w:after="160" w:line="252" w:lineRule="auto"/>
              <w:contextualSpacing/>
              <w:rPr>
                <w:rFonts w:cs="Arial"/>
                <w:sz w:val="20"/>
                <w:szCs w:val="20"/>
              </w:rPr>
            </w:pPr>
            <w:r w:rsidRPr="00A7590A">
              <w:rPr>
                <w:rFonts w:cs="Arial"/>
                <w:sz w:val="20"/>
                <w:szCs w:val="20"/>
              </w:rPr>
              <w:t>Fisheries (General) Regulation 2019 (Qld)</w:t>
            </w:r>
          </w:p>
          <w:p w14:paraId="2641FE35" w14:textId="77777777" w:rsidR="00771DF0" w:rsidRPr="00A7590A" w:rsidRDefault="00771DF0" w:rsidP="005D7B25">
            <w:pPr>
              <w:pStyle w:val="ListParagraph"/>
              <w:numPr>
                <w:ilvl w:val="0"/>
                <w:numId w:val="14"/>
              </w:numPr>
              <w:spacing w:before="0" w:after="160" w:line="252" w:lineRule="auto"/>
              <w:contextualSpacing/>
              <w:rPr>
                <w:rFonts w:cs="Arial"/>
                <w:sz w:val="20"/>
                <w:szCs w:val="20"/>
              </w:rPr>
            </w:pPr>
            <w:r w:rsidRPr="00A7590A">
              <w:rPr>
                <w:rFonts w:cs="Arial"/>
                <w:sz w:val="20"/>
                <w:szCs w:val="20"/>
              </w:rPr>
              <w:t>Fisheries (Commercial Fisheries) Regulation 2019 (Qld)</w:t>
            </w:r>
          </w:p>
          <w:p w14:paraId="4CC2112B" w14:textId="77777777" w:rsidR="00771DF0" w:rsidRPr="00A7590A" w:rsidRDefault="00771DF0" w:rsidP="005D7B25">
            <w:pPr>
              <w:pStyle w:val="ListParagraph"/>
              <w:numPr>
                <w:ilvl w:val="0"/>
                <w:numId w:val="14"/>
              </w:numPr>
              <w:spacing w:before="0" w:after="160" w:line="252" w:lineRule="auto"/>
              <w:contextualSpacing/>
              <w:rPr>
                <w:rFonts w:cs="Arial"/>
                <w:sz w:val="20"/>
                <w:szCs w:val="20"/>
              </w:rPr>
            </w:pPr>
            <w:r w:rsidRPr="00A7590A">
              <w:rPr>
                <w:rFonts w:cs="Arial"/>
                <w:sz w:val="20"/>
                <w:szCs w:val="20"/>
              </w:rPr>
              <w:t>Fisheries Declaration 2019 (Qld)</w:t>
            </w:r>
          </w:p>
          <w:p w14:paraId="4C197743" w14:textId="77777777" w:rsidR="00771DF0" w:rsidRPr="00A7590A" w:rsidRDefault="00771DF0" w:rsidP="005D7B25">
            <w:pPr>
              <w:pStyle w:val="ListParagraph"/>
              <w:numPr>
                <w:ilvl w:val="0"/>
                <w:numId w:val="14"/>
              </w:numPr>
              <w:spacing w:before="0" w:after="160" w:line="252" w:lineRule="auto"/>
              <w:contextualSpacing/>
              <w:rPr>
                <w:rFonts w:cs="Arial"/>
                <w:sz w:val="20"/>
                <w:szCs w:val="20"/>
              </w:rPr>
            </w:pPr>
            <w:r w:rsidRPr="00A7590A">
              <w:rPr>
                <w:rFonts w:cs="Arial"/>
                <w:sz w:val="20"/>
                <w:szCs w:val="20"/>
              </w:rPr>
              <w:t>Fisheries Quota Declaration 2019 (Qld)</w:t>
            </w:r>
          </w:p>
          <w:p w14:paraId="08011A9D" w14:textId="77777777" w:rsidR="00771DF0" w:rsidRPr="00A7590A" w:rsidRDefault="00771DF0" w:rsidP="005D7B25">
            <w:pPr>
              <w:pStyle w:val="ListParagraph"/>
              <w:numPr>
                <w:ilvl w:val="0"/>
                <w:numId w:val="14"/>
              </w:numPr>
              <w:spacing w:before="0" w:after="160" w:line="252" w:lineRule="auto"/>
              <w:contextualSpacing/>
              <w:rPr>
                <w:rFonts w:cs="Arial"/>
                <w:sz w:val="20"/>
                <w:szCs w:val="20"/>
              </w:rPr>
            </w:pPr>
            <w:r w:rsidRPr="00681E37">
              <w:rPr>
                <w:rFonts w:cs="Arial"/>
                <w:i/>
                <w:iCs/>
                <w:sz w:val="20"/>
                <w:szCs w:val="20"/>
              </w:rPr>
              <w:t>Marine Parks Act 2004</w:t>
            </w:r>
            <w:r w:rsidRPr="00A7590A">
              <w:rPr>
                <w:rFonts w:cs="Arial"/>
                <w:sz w:val="20"/>
                <w:szCs w:val="20"/>
              </w:rPr>
              <w:t> (Qld)</w:t>
            </w:r>
          </w:p>
          <w:p w14:paraId="2D66A146" w14:textId="77777777" w:rsidR="00771DF0" w:rsidRPr="00A7590A" w:rsidRDefault="00771DF0" w:rsidP="005D7B25">
            <w:pPr>
              <w:pStyle w:val="ListParagraph"/>
              <w:numPr>
                <w:ilvl w:val="0"/>
                <w:numId w:val="14"/>
              </w:numPr>
              <w:spacing w:before="0" w:after="160" w:line="252" w:lineRule="auto"/>
              <w:contextualSpacing/>
              <w:rPr>
                <w:rFonts w:cs="Arial"/>
                <w:sz w:val="20"/>
                <w:szCs w:val="20"/>
              </w:rPr>
            </w:pPr>
            <w:r w:rsidRPr="00A7590A">
              <w:rPr>
                <w:rFonts w:cs="Arial"/>
                <w:sz w:val="20"/>
                <w:szCs w:val="20"/>
              </w:rPr>
              <w:t>Marine Parks Regulations 2019 (Qld)</w:t>
            </w:r>
          </w:p>
          <w:p w14:paraId="5545C2A9" w14:textId="77777777" w:rsidR="00771DF0" w:rsidRPr="00A7590A" w:rsidRDefault="00771DF0" w:rsidP="005D7B25">
            <w:pPr>
              <w:pStyle w:val="ListParagraph"/>
              <w:numPr>
                <w:ilvl w:val="0"/>
                <w:numId w:val="14"/>
              </w:numPr>
              <w:spacing w:before="0" w:after="160" w:line="252" w:lineRule="auto"/>
              <w:contextualSpacing/>
              <w:rPr>
                <w:rFonts w:cs="Arial"/>
                <w:sz w:val="20"/>
                <w:szCs w:val="20"/>
              </w:rPr>
            </w:pPr>
            <w:r w:rsidRPr="003B6BAB">
              <w:rPr>
                <w:rFonts w:cs="Arial"/>
                <w:i/>
                <w:iCs/>
                <w:sz w:val="20"/>
                <w:szCs w:val="20"/>
              </w:rPr>
              <w:t>Great Barrier Reef Marine Park Act 1975</w:t>
            </w:r>
            <w:r w:rsidRPr="00A7590A">
              <w:rPr>
                <w:rFonts w:cs="Arial"/>
                <w:sz w:val="20"/>
                <w:szCs w:val="20"/>
              </w:rPr>
              <w:t> (</w:t>
            </w:r>
            <w:proofErr w:type="spellStart"/>
            <w:r w:rsidRPr="00A7590A">
              <w:rPr>
                <w:rFonts w:cs="Arial"/>
                <w:sz w:val="20"/>
                <w:szCs w:val="20"/>
              </w:rPr>
              <w:t>Cth</w:t>
            </w:r>
            <w:proofErr w:type="spellEnd"/>
            <w:r w:rsidRPr="00A7590A">
              <w:rPr>
                <w:rFonts w:cs="Arial"/>
                <w:sz w:val="20"/>
                <w:szCs w:val="20"/>
              </w:rPr>
              <w:t>)</w:t>
            </w:r>
          </w:p>
          <w:p w14:paraId="7049AB21" w14:textId="77777777" w:rsidR="00771DF0" w:rsidRPr="00A7590A" w:rsidRDefault="00771DF0" w:rsidP="005D7B25">
            <w:pPr>
              <w:pStyle w:val="ListParagraph"/>
              <w:numPr>
                <w:ilvl w:val="0"/>
                <w:numId w:val="14"/>
              </w:numPr>
              <w:spacing w:before="0" w:after="160" w:line="252" w:lineRule="auto"/>
              <w:contextualSpacing/>
              <w:rPr>
                <w:rFonts w:cs="Arial"/>
                <w:sz w:val="20"/>
                <w:szCs w:val="20"/>
              </w:rPr>
            </w:pPr>
            <w:r w:rsidRPr="00A7590A">
              <w:rPr>
                <w:rFonts w:cs="Arial"/>
                <w:sz w:val="20"/>
                <w:szCs w:val="20"/>
              </w:rPr>
              <w:t>Great Barrier Reef Marine Park Regulations 2019 (</w:t>
            </w:r>
            <w:proofErr w:type="spellStart"/>
            <w:r w:rsidRPr="00A7590A">
              <w:rPr>
                <w:rFonts w:cs="Arial"/>
                <w:sz w:val="20"/>
                <w:szCs w:val="20"/>
              </w:rPr>
              <w:t>Cth</w:t>
            </w:r>
            <w:proofErr w:type="spellEnd"/>
            <w:r w:rsidRPr="00A7590A">
              <w:rPr>
                <w:rFonts w:cs="Arial"/>
                <w:sz w:val="20"/>
                <w:szCs w:val="20"/>
              </w:rPr>
              <w:t>).</w:t>
            </w:r>
          </w:p>
          <w:p w14:paraId="5536F3BE" w14:textId="1BC557DD" w:rsidR="00771DF0" w:rsidRPr="00A7590A" w:rsidRDefault="00771DF0" w:rsidP="00771DF0">
            <w:pPr>
              <w:spacing w:line="252" w:lineRule="auto"/>
              <w:rPr>
                <w:rFonts w:cs="Arial"/>
                <w:sz w:val="20"/>
                <w:szCs w:val="20"/>
              </w:rPr>
            </w:pPr>
            <w:r w:rsidRPr="00A7590A">
              <w:rPr>
                <w:rFonts w:cs="Arial"/>
                <w:b/>
                <w:sz w:val="20"/>
                <w:szCs w:val="20"/>
              </w:rPr>
              <w:t>Condition 2</w:t>
            </w:r>
          </w:p>
          <w:p w14:paraId="3831A973" w14:textId="77777777" w:rsidR="00771DF0" w:rsidRPr="00A7590A" w:rsidRDefault="00771DF0" w:rsidP="00771DF0">
            <w:pPr>
              <w:spacing w:line="252" w:lineRule="auto"/>
              <w:rPr>
                <w:rFonts w:cs="Arial"/>
                <w:sz w:val="20"/>
                <w:szCs w:val="20"/>
              </w:rPr>
            </w:pPr>
            <w:r w:rsidRPr="00A7590A">
              <w:rPr>
                <w:rFonts w:cs="Arial"/>
                <w:sz w:val="20"/>
                <w:szCs w:val="20"/>
              </w:rPr>
              <w:t xml:space="preserve">The Queensland Department of Agriculture and Fisheries must inform the Department of Agriculture, </w:t>
            </w:r>
            <w:proofErr w:type="gramStart"/>
            <w:r w:rsidRPr="00A7590A">
              <w:rPr>
                <w:rFonts w:cs="Arial"/>
                <w:sz w:val="20"/>
                <w:szCs w:val="20"/>
              </w:rPr>
              <w:t>Water</w:t>
            </w:r>
            <w:proofErr w:type="gramEnd"/>
            <w:r w:rsidRPr="00A7590A">
              <w:rPr>
                <w:rFonts w:cs="Arial"/>
                <w:sz w:val="20"/>
                <w:szCs w:val="20"/>
              </w:rPr>
              <w:t xml:space="preserve"> and the Environment of any intended material changes to the Queensland Sea Cucumber Fishery (East Coast) management arrangements that may affect the assessment against which </w:t>
            </w:r>
            <w:r w:rsidRPr="00A7590A">
              <w:rPr>
                <w:rFonts w:cs="Arial"/>
                <w:i/>
                <w:iCs/>
                <w:sz w:val="20"/>
                <w:szCs w:val="20"/>
              </w:rPr>
              <w:t>Environment Protection and Biodiversity Conservation Act 1999</w:t>
            </w:r>
            <w:r w:rsidRPr="00A7590A">
              <w:rPr>
                <w:rFonts w:cs="Arial"/>
                <w:sz w:val="20"/>
                <w:szCs w:val="20"/>
              </w:rPr>
              <w:t xml:space="preserve"> decisions are made.</w:t>
            </w:r>
          </w:p>
          <w:p w14:paraId="643E6A0E" w14:textId="7CC87F31" w:rsidR="00771DF0" w:rsidRPr="00A7590A" w:rsidRDefault="00771DF0" w:rsidP="00771DF0">
            <w:pPr>
              <w:spacing w:line="252" w:lineRule="auto"/>
              <w:rPr>
                <w:rFonts w:cs="Arial"/>
                <w:b/>
                <w:sz w:val="20"/>
                <w:szCs w:val="20"/>
              </w:rPr>
            </w:pPr>
            <w:r w:rsidRPr="00A7590A">
              <w:rPr>
                <w:rFonts w:cs="Arial"/>
                <w:b/>
                <w:bCs/>
                <w:sz w:val="20"/>
                <w:szCs w:val="20"/>
              </w:rPr>
              <w:t>Condition 3</w:t>
            </w:r>
          </w:p>
          <w:p w14:paraId="49778DA7" w14:textId="77777777" w:rsidR="00771DF0" w:rsidRPr="00A7590A" w:rsidRDefault="00771DF0" w:rsidP="00771DF0">
            <w:pPr>
              <w:rPr>
                <w:rFonts w:cs="Arial"/>
                <w:sz w:val="20"/>
                <w:szCs w:val="20"/>
              </w:rPr>
            </w:pPr>
            <w:r w:rsidRPr="00A7590A">
              <w:rPr>
                <w:rFonts w:cs="Arial"/>
                <w:sz w:val="20"/>
                <w:szCs w:val="20"/>
              </w:rPr>
              <w:t xml:space="preserve">The Queensland Department of Agriculture and Fisheries must inform the Department of Agriculture, </w:t>
            </w:r>
            <w:proofErr w:type="gramStart"/>
            <w:r w:rsidRPr="00A7590A">
              <w:rPr>
                <w:rFonts w:cs="Arial"/>
                <w:sz w:val="20"/>
                <w:szCs w:val="20"/>
              </w:rPr>
              <w:t>Water</w:t>
            </w:r>
            <w:proofErr w:type="gramEnd"/>
            <w:r w:rsidRPr="00A7590A">
              <w:rPr>
                <w:rFonts w:cs="Arial"/>
                <w:sz w:val="20"/>
                <w:szCs w:val="20"/>
              </w:rPr>
              <w:t xml:space="preserve"> and the Environment of any intended changes to fisheries legislation that may affect the legislative instruments relevant to this approval.</w:t>
            </w:r>
          </w:p>
          <w:p w14:paraId="33C969C0" w14:textId="69D8CADA" w:rsidR="00771DF0" w:rsidRPr="005D223B" w:rsidRDefault="00771DF0" w:rsidP="00771DF0">
            <w:pPr>
              <w:spacing w:before="60" w:after="60" w:line="276" w:lineRule="auto"/>
              <w:contextualSpacing/>
              <w:rPr>
                <w:rFonts w:cs="Arial"/>
                <w:b/>
                <w:sz w:val="20"/>
                <w:szCs w:val="20"/>
              </w:rPr>
            </w:pPr>
          </w:p>
        </w:tc>
      </w:tr>
      <w:tr w:rsidR="002F03E1" w:rsidRPr="00887241" w14:paraId="6EB4CB05" w14:textId="77777777" w:rsidTr="00211477">
        <w:trPr>
          <w:jc w:val="center"/>
        </w:trPr>
        <w:tc>
          <w:tcPr>
            <w:tcW w:w="2500" w:type="pct"/>
          </w:tcPr>
          <w:p w14:paraId="24D99D1F" w14:textId="77777777" w:rsidR="002F03E1" w:rsidRPr="00A7590A" w:rsidRDefault="002F03E1" w:rsidP="00F7512D">
            <w:pPr>
              <w:spacing w:line="252" w:lineRule="auto"/>
              <w:rPr>
                <w:rFonts w:cs="Arial"/>
                <w:b/>
                <w:sz w:val="20"/>
                <w:szCs w:val="20"/>
              </w:rPr>
            </w:pPr>
            <w:r w:rsidRPr="00F7512D">
              <w:rPr>
                <w:rFonts w:cs="Arial"/>
                <w:b/>
                <w:sz w:val="20"/>
                <w:szCs w:val="20"/>
              </w:rPr>
              <w:t>Annual Reporting</w:t>
            </w:r>
            <w:r w:rsidRPr="00A7590A">
              <w:rPr>
                <w:rFonts w:cs="Arial"/>
                <w:b/>
                <w:sz w:val="20"/>
                <w:szCs w:val="20"/>
              </w:rPr>
              <w:t xml:space="preserve"> </w:t>
            </w:r>
          </w:p>
          <w:p w14:paraId="0422EC86" w14:textId="091D02D6" w:rsidR="002F03E1" w:rsidRPr="00887241" w:rsidRDefault="002F03E1" w:rsidP="002F03E1">
            <w:pPr>
              <w:spacing w:before="60" w:after="60" w:line="276" w:lineRule="auto"/>
              <w:contextualSpacing/>
              <w:rPr>
                <w:rFonts w:cs="Arial"/>
                <w:sz w:val="20"/>
                <w:szCs w:val="20"/>
                <w:highlight w:val="yellow"/>
              </w:rPr>
            </w:pPr>
            <w:r w:rsidRPr="00A7590A">
              <w:rPr>
                <w:rFonts w:cs="Arial"/>
                <w:sz w:val="20"/>
                <w:szCs w:val="20"/>
              </w:rPr>
              <w:t xml:space="preserve">It is important that the Queensland Department of Agriculture and Fisheries produce and present reports to the department </w:t>
            </w:r>
            <w:proofErr w:type="gramStart"/>
            <w:r w:rsidRPr="00A7590A">
              <w:rPr>
                <w:rFonts w:cs="Arial"/>
                <w:sz w:val="20"/>
                <w:szCs w:val="20"/>
              </w:rPr>
              <w:t>in order for</w:t>
            </w:r>
            <w:proofErr w:type="gramEnd"/>
            <w:r w:rsidRPr="00A7590A">
              <w:rPr>
                <w:rFonts w:cs="Arial"/>
                <w:sz w:val="20"/>
                <w:szCs w:val="20"/>
              </w:rPr>
              <w:t xml:space="preserve"> the performance of the fishery and progress in implementing the conditions described in this report </w:t>
            </w:r>
            <w:r w:rsidRPr="00A7590A">
              <w:rPr>
                <w:rFonts w:cs="Arial"/>
                <w:sz w:val="20"/>
                <w:szCs w:val="20"/>
              </w:rPr>
              <w:lastRenderedPageBreak/>
              <w:t xml:space="preserve">and other managerial commitments to be monitored and assessed throughout the life of the export approval. An application for re-accreditation should follow Appendix B to the </w:t>
            </w:r>
            <w:r w:rsidRPr="00361827">
              <w:rPr>
                <w:rFonts w:cs="Arial"/>
                <w:i/>
                <w:iCs/>
                <w:noProof/>
                <w:sz w:val="20"/>
                <w:szCs w:val="20"/>
              </w:rPr>
              <w:t>'</w:t>
            </w:r>
            <w:r w:rsidRPr="00361827">
              <w:rPr>
                <w:rFonts w:cs="Arial"/>
                <w:i/>
                <w:iCs/>
                <w:sz w:val="20"/>
                <w:szCs w:val="20"/>
              </w:rPr>
              <w:t xml:space="preserve">Guidelines for the Ecologically Sustainable Management of Fisheries </w:t>
            </w:r>
            <w:r w:rsidR="00361827">
              <w:rPr>
                <w:rFonts w:cs="Arial"/>
                <w:i/>
                <w:iCs/>
                <w:sz w:val="20"/>
                <w:szCs w:val="20"/>
              </w:rPr>
              <w:t>–</w:t>
            </w:r>
            <w:r w:rsidRPr="00361827">
              <w:rPr>
                <w:rFonts w:cs="Arial"/>
                <w:i/>
                <w:iCs/>
                <w:sz w:val="20"/>
                <w:szCs w:val="20"/>
              </w:rPr>
              <w:t xml:space="preserve"> 2nd Edition</w:t>
            </w:r>
            <w:r w:rsidRPr="00361827">
              <w:rPr>
                <w:rFonts w:cs="Arial"/>
                <w:i/>
                <w:iCs/>
                <w:noProof/>
                <w:sz w:val="20"/>
                <w:szCs w:val="20"/>
              </w:rPr>
              <w:t>'</w:t>
            </w:r>
            <w:r w:rsidRPr="00A7590A">
              <w:rPr>
                <w:rFonts w:cs="Arial"/>
                <w:sz w:val="20"/>
                <w:szCs w:val="20"/>
              </w:rPr>
              <w:t xml:space="preserve"> and include a description of the fishery, management arrangements in place, research and monitoring outcomes, recent catch data for all sectors of the fishery, status of target stock, interactions with EPBC Act protected species, impacts of the fishery on the ecosystem in which it operates and progress in implementing the department’s conditions described in the previous assessment for the fishery. Electronic copies of the guidelines are available from the Department’s website at</w:t>
            </w:r>
            <w:r w:rsidR="007A75EE">
              <w:rPr>
                <w:rFonts w:cs="Arial"/>
                <w:sz w:val="20"/>
                <w:szCs w:val="20"/>
              </w:rPr>
              <w:t>:</w:t>
            </w:r>
            <w:r w:rsidRPr="00A7590A">
              <w:rPr>
                <w:rFonts w:cs="Arial"/>
                <w:sz w:val="20"/>
                <w:szCs w:val="20"/>
              </w:rPr>
              <w:t xml:space="preserve"> </w:t>
            </w:r>
            <w:hyperlink r:id="rId16" w:history="1">
              <w:r w:rsidRPr="00A7590A">
                <w:rPr>
                  <w:rStyle w:val="Hyperlink"/>
                  <w:rFonts w:cs="Arial"/>
                  <w:sz w:val="20"/>
                  <w:szCs w:val="20"/>
                </w:rPr>
                <w:t>http://www.environment.gov.au/resource/guidelines-ecologically-sustainable-management-fisheries</w:t>
              </w:r>
            </w:hyperlink>
            <w:r w:rsidRPr="00A7590A">
              <w:rPr>
                <w:rFonts w:cs="Arial"/>
                <w:sz w:val="20"/>
                <w:szCs w:val="20"/>
              </w:rPr>
              <w:t>.</w:t>
            </w:r>
          </w:p>
        </w:tc>
        <w:tc>
          <w:tcPr>
            <w:tcW w:w="2500" w:type="pct"/>
          </w:tcPr>
          <w:p w14:paraId="43F42027" w14:textId="32C466B3" w:rsidR="002F03E1" w:rsidRPr="00A7590A" w:rsidRDefault="002F03E1" w:rsidP="002F03E1">
            <w:pPr>
              <w:spacing w:line="252" w:lineRule="auto"/>
              <w:rPr>
                <w:rFonts w:cs="Arial"/>
                <w:b/>
                <w:sz w:val="20"/>
                <w:szCs w:val="20"/>
              </w:rPr>
            </w:pPr>
            <w:r w:rsidRPr="00A7590A">
              <w:rPr>
                <w:rFonts w:cs="Arial"/>
                <w:b/>
                <w:bCs/>
                <w:sz w:val="20"/>
                <w:szCs w:val="20"/>
              </w:rPr>
              <w:lastRenderedPageBreak/>
              <w:t>Condition 4</w:t>
            </w:r>
          </w:p>
          <w:p w14:paraId="5B769166" w14:textId="04D2AB42" w:rsidR="002F03E1" w:rsidRPr="00887241" w:rsidRDefault="002F03E1" w:rsidP="002F03E1">
            <w:pPr>
              <w:spacing w:before="60" w:after="60" w:line="276" w:lineRule="auto"/>
              <w:contextualSpacing/>
              <w:rPr>
                <w:rFonts w:cs="Arial"/>
                <w:iCs/>
                <w:sz w:val="20"/>
                <w:szCs w:val="20"/>
              </w:rPr>
            </w:pPr>
            <w:r w:rsidRPr="00A7590A">
              <w:rPr>
                <w:rFonts w:cs="Arial"/>
                <w:sz w:val="20"/>
                <w:szCs w:val="20"/>
              </w:rPr>
              <w:t xml:space="preserve">The Queensland Department of Agriculture and Fisheries must provide annual reports on the Queensland Sea Cucumber Fishery (East Coast) to the Department of Agriculture, </w:t>
            </w:r>
            <w:proofErr w:type="gramStart"/>
            <w:r w:rsidRPr="00A7590A">
              <w:rPr>
                <w:rFonts w:cs="Arial"/>
                <w:sz w:val="20"/>
                <w:szCs w:val="20"/>
              </w:rPr>
              <w:t>Water</w:t>
            </w:r>
            <w:proofErr w:type="gramEnd"/>
            <w:r w:rsidRPr="00A7590A">
              <w:rPr>
                <w:rFonts w:cs="Arial"/>
                <w:sz w:val="20"/>
                <w:szCs w:val="20"/>
              </w:rPr>
              <w:t xml:space="preserve"> and the Environment every 12 months, from </w:t>
            </w:r>
            <w:r w:rsidRPr="00A7590A">
              <w:rPr>
                <w:rFonts w:cs="Arial"/>
                <w:sz w:val="20"/>
                <w:szCs w:val="20"/>
              </w:rPr>
              <w:lastRenderedPageBreak/>
              <w:t xml:space="preserve">the date of the approval of the </w:t>
            </w:r>
            <w:r w:rsidR="00566524">
              <w:rPr>
                <w:rFonts w:cs="Arial"/>
                <w:sz w:val="20"/>
                <w:szCs w:val="20"/>
              </w:rPr>
              <w:t>W</w:t>
            </w:r>
            <w:r w:rsidRPr="00A7590A">
              <w:rPr>
                <w:rFonts w:cs="Arial"/>
                <w:sz w:val="20"/>
                <w:szCs w:val="20"/>
              </w:rPr>
              <w:t xml:space="preserve">ildlife </w:t>
            </w:r>
            <w:r w:rsidR="00566524">
              <w:rPr>
                <w:rFonts w:cs="Arial"/>
                <w:sz w:val="20"/>
                <w:szCs w:val="20"/>
              </w:rPr>
              <w:t>T</w:t>
            </w:r>
            <w:r w:rsidRPr="00A7590A">
              <w:rPr>
                <w:rFonts w:cs="Arial"/>
                <w:sz w:val="20"/>
                <w:szCs w:val="20"/>
              </w:rPr>
              <w:t xml:space="preserve">rade </w:t>
            </w:r>
            <w:r w:rsidR="00566524">
              <w:rPr>
                <w:rFonts w:cs="Arial"/>
                <w:sz w:val="20"/>
                <w:szCs w:val="20"/>
              </w:rPr>
              <w:t>O</w:t>
            </w:r>
            <w:r w:rsidRPr="00A7590A">
              <w:rPr>
                <w:rFonts w:cs="Arial"/>
                <w:sz w:val="20"/>
                <w:szCs w:val="20"/>
              </w:rPr>
              <w:t>peration</w:t>
            </w:r>
            <w:r w:rsidR="00566524">
              <w:rPr>
                <w:rFonts w:cs="Arial"/>
                <w:sz w:val="20"/>
                <w:szCs w:val="20"/>
              </w:rPr>
              <w:t xml:space="preserve"> (WTO)</w:t>
            </w:r>
            <w:r w:rsidRPr="00A7590A">
              <w:rPr>
                <w:rFonts w:cs="Arial"/>
                <w:sz w:val="20"/>
                <w:szCs w:val="20"/>
              </w:rPr>
              <w:t xml:space="preserve">. These reports must be consistent with Appendix B of the </w:t>
            </w:r>
            <w:r w:rsidRPr="00A7590A">
              <w:rPr>
                <w:rFonts w:cs="Arial"/>
                <w:i/>
                <w:iCs/>
                <w:sz w:val="20"/>
                <w:szCs w:val="20"/>
              </w:rPr>
              <w:t>Guidelines for the Ecologically Sustainable Management of Fisheries – 2nd Edition</w:t>
            </w:r>
            <w:r w:rsidRPr="00A7590A">
              <w:rPr>
                <w:rFonts w:cs="Arial"/>
                <w:sz w:val="20"/>
                <w:szCs w:val="20"/>
              </w:rPr>
              <w:t>.</w:t>
            </w:r>
            <w:r w:rsidRPr="00A7590A" w:rsidDel="00CA092C">
              <w:rPr>
                <w:rFonts w:cs="Arial"/>
                <w:sz w:val="20"/>
                <w:szCs w:val="20"/>
              </w:rPr>
              <w:t xml:space="preserve"> </w:t>
            </w:r>
          </w:p>
        </w:tc>
      </w:tr>
      <w:tr w:rsidR="00CE4538" w:rsidRPr="00887241" w14:paraId="2A676CA0" w14:textId="77777777" w:rsidTr="00211477">
        <w:trPr>
          <w:jc w:val="center"/>
        </w:trPr>
        <w:tc>
          <w:tcPr>
            <w:tcW w:w="2500" w:type="pct"/>
          </w:tcPr>
          <w:p w14:paraId="475B876D" w14:textId="77777777" w:rsidR="00CE4538" w:rsidRPr="008E296F" w:rsidRDefault="00CE4538" w:rsidP="00CE4538">
            <w:pPr>
              <w:keepNext/>
              <w:spacing w:line="252" w:lineRule="auto"/>
              <w:rPr>
                <w:rFonts w:cs="Arial"/>
                <w:b/>
                <w:sz w:val="20"/>
                <w:szCs w:val="20"/>
              </w:rPr>
            </w:pPr>
            <w:r w:rsidRPr="008E296F">
              <w:rPr>
                <w:rFonts w:cs="Arial"/>
                <w:b/>
                <w:sz w:val="20"/>
                <w:szCs w:val="20"/>
              </w:rPr>
              <w:lastRenderedPageBreak/>
              <w:t>Management under the Harvest Strategy</w:t>
            </w:r>
          </w:p>
          <w:p w14:paraId="1D674275" w14:textId="77777777" w:rsidR="00CE4538" w:rsidRDefault="00CE4538" w:rsidP="00CE4538">
            <w:pPr>
              <w:spacing w:line="276" w:lineRule="auto"/>
              <w:contextualSpacing/>
              <w:rPr>
                <w:rFonts w:cs="Arial"/>
                <w:bCs/>
                <w:sz w:val="20"/>
                <w:szCs w:val="20"/>
              </w:rPr>
            </w:pPr>
            <w:r w:rsidRPr="00A7590A">
              <w:rPr>
                <w:rFonts w:cs="Arial"/>
                <w:bCs/>
                <w:sz w:val="20"/>
                <w:szCs w:val="20"/>
              </w:rPr>
              <w:t xml:space="preserve">Implementation of the Harvest Strategy is a positive </w:t>
            </w:r>
            <w:r>
              <w:rPr>
                <w:rFonts w:cs="Arial"/>
                <w:bCs/>
                <w:sz w:val="20"/>
                <w:szCs w:val="20"/>
              </w:rPr>
              <w:t xml:space="preserve">development, </w:t>
            </w:r>
            <w:r w:rsidRPr="00A7590A">
              <w:rPr>
                <w:rFonts w:cs="Arial"/>
                <w:bCs/>
                <w:sz w:val="20"/>
                <w:szCs w:val="20"/>
              </w:rPr>
              <w:t>formalis</w:t>
            </w:r>
            <w:r>
              <w:rPr>
                <w:rFonts w:cs="Arial"/>
                <w:bCs/>
                <w:sz w:val="20"/>
                <w:szCs w:val="20"/>
              </w:rPr>
              <w:t xml:space="preserve">ing </w:t>
            </w:r>
            <w:r w:rsidRPr="00A7590A">
              <w:rPr>
                <w:rFonts w:cs="Arial"/>
                <w:bCs/>
                <w:sz w:val="20"/>
                <w:szCs w:val="20"/>
              </w:rPr>
              <w:t xml:space="preserve">management measures that were </w:t>
            </w:r>
            <w:r>
              <w:rPr>
                <w:rFonts w:cs="Arial"/>
                <w:bCs/>
                <w:sz w:val="20"/>
                <w:szCs w:val="20"/>
              </w:rPr>
              <w:t xml:space="preserve">previously </w:t>
            </w:r>
            <w:r w:rsidRPr="00A7590A">
              <w:rPr>
                <w:rFonts w:cs="Arial"/>
                <w:bCs/>
                <w:sz w:val="20"/>
                <w:szCs w:val="20"/>
              </w:rPr>
              <w:t xml:space="preserve">voluntary under </w:t>
            </w:r>
            <w:r>
              <w:rPr>
                <w:rFonts w:cs="Arial"/>
                <w:bCs/>
                <w:sz w:val="20"/>
                <w:szCs w:val="20"/>
              </w:rPr>
              <w:t>a</w:t>
            </w:r>
            <w:r w:rsidRPr="00A7590A">
              <w:rPr>
                <w:rFonts w:cs="Arial"/>
                <w:bCs/>
                <w:sz w:val="20"/>
                <w:szCs w:val="20"/>
              </w:rPr>
              <w:t xml:space="preserve"> Memorandum of Understanding (MoU) with industry.</w:t>
            </w:r>
            <w:r>
              <w:rPr>
                <w:rFonts w:cs="Arial"/>
                <w:bCs/>
                <w:sz w:val="20"/>
                <w:szCs w:val="20"/>
              </w:rPr>
              <w:t xml:space="preserve"> The Harvest Strategy also outlines in one document the rules applied to the fishery and makes the management arrangements more transparent.</w:t>
            </w:r>
          </w:p>
          <w:p w14:paraId="1D6D3E86" w14:textId="77777777" w:rsidR="00CE4538" w:rsidRDefault="00CE4538" w:rsidP="00CE4538">
            <w:pPr>
              <w:spacing w:line="276" w:lineRule="auto"/>
              <w:contextualSpacing/>
              <w:rPr>
                <w:rFonts w:cs="Arial"/>
                <w:bCs/>
                <w:sz w:val="20"/>
                <w:szCs w:val="20"/>
              </w:rPr>
            </w:pPr>
          </w:p>
          <w:p w14:paraId="0304611E" w14:textId="77777777" w:rsidR="00CE4538" w:rsidRDefault="00CE4538" w:rsidP="00CE4538">
            <w:pPr>
              <w:spacing w:line="276" w:lineRule="auto"/>
              <w:contextualSpacing/>
              <w:rPr>
                <w:rFonts w:cs="Arial"/>
                <w:bCs/>
                <w:sz w:val="20"/>
                <w:szCs w:val="20"/>
              </w:rPr>
            </w:pPr>
            <w:r>
              <w:rPr>
                <w:rFonts w:cs="Arial"/>
                <w:bCs/>
                <w:sz w:val="20"/>
                <w:szCs w:val="20"/>
              </w:rPr>
              <w:t>The Harvest Strategy details that f</w:t>
            </w:r>
            <w:r w:rsidRPr="00DF5870">
              <w:rPr>
                <w:rFonts w:cs="Arial"/>
                <w:bCs/>
                <w:sz w:val="20"/>
                <w:szCs w:val="20"/>
              </w:rPr>
              <w:t xml:space="preserve">or tier 1 stocks, </w:t>
            </w:r>
            <w:r>
              <w:rPr>
                <w:rFonts w:cs="Arial"/>
                <w:bCs/>
                <w:sz w:val="20"/>
                <w:szCs w:val="20"/>
              </w:rPr>
              <w:t xml:space="preserve">(White </w:t>
            </w:r>
            <w:proofErr w:type="spellStart"/>
            <w:r>
              <w:rPr>
                <w:rFonts w:cs="Arial"/>
                <w:bCs/>
                <w:sz w:val="20"/>
                <w:szCs w:val="20"/>
              </w:rPr>
              <w:t>Teatfish</w:t>
            </w:r>
            <w:proofErr w:type="spellEnd"/>
            <w:r>
              <w:rPr>
                <w:rFonts w:cs="Arial"/>
                <w:bCs/>
                <w:sz w:val="20"/>
                <w:szCs w:val="20"/>
              </w:rPr>
              <w:t xml:space="preserve"> and Burrowing Blackfish) </w:t>
            </w:r>
            <w:r w:rsidRPr="00DF5870">
              <w:rPr>
                <w:rFonts w:cs="Arial"/>
                <w:bCs/>
                <w:sz w:val="20"/>
                <w:szCs w:val="20"/>
              </w:rPr>
              <w:t>performance indicators and sustainable harvests for all sectors will be estimated using a</w:t>
            </w:r>
            <w:r>
              <w:rPr>
                <w:rFonts w:cs="Arial"/>
                <w:bCs/>
                <w:sz w:val="20"/>
                <w:szCs w:val="20"/>
              </w:rPr>
              <w:t xml:space="preserve"> </w:t>
            </w:r>
            <w:r w:rsidRPr="00DF5870">
              <w:rPr>
                <w:rFonts w:cs="Arial"/>
                <w:bCs/>
                <w:sz w:val="20"/>
                <w:szCs w:val="20"/>
              </w:rPr>
              <w:t>stock assessment. The aim is to measure the capability for the stock to attain the target biomass level (</w:t>
            </w:r>
            <w:proofErr w:type="spellStart"/>
            <w:r w:rsidRPr="00DF5870">
              <w:rPr>
                <w:rFonts w:cs="Arial"/>
                <w:bCs/>
                <w:sz w:val="20"/>
                <w:szCs w:val="20"/>
              </w:rPr>
              <w:t>Btarg</w:t>
            </w:r>
            <w:proofErr w:type="spellEnd"/>
            <w:r>
              <w:rPr>
                <w:rFonts w:cs="Arial"/>
                <w:bCs/>
                <w:sz w:val="20"/>
                <w:szCs w:val="20"/>
              </w:rPr>
              <w:t xml:space="preserve"> </w:t>
            </w:r>
            <w:r w:rsidRPr="00DF5870">
              <w:rPr>
                <w:rFonts w:cs="Arial"/>
                <w:bCs/>
                <w:sz w:val="20"/>
                <w:szCs w:val="20"/>
              </w:rPr>
              <w:t>60%</w:t>
            </w:r>
            <w:r>
              <w:rPr>
                <w:rFonts w:cs="Arial"/>
                <w:bCs/>
                <w:sz w:val="20"/>
                <w:szCs w:val="20"/>
              </w:rPr>
              <w:t xml:space="preserve"> of unfished biomass</w:t>
            </w:r>
            <w:r w:rsidRPr="00DF5870">
              <w:rPr>
                <w:rFonts w:cs="Arial"/>
                <w:bCs/>
                <w:sz w:val="20"/>
                <w:szCs w:val="20"/>
              </w:rPr>
              <w:t>), at which point the harvest strategy will be considered as meeting its fishery objectives.</w:t>
            </w:r>
          </w:p>
          <w:p w14:paraId="5A0E657B" w14:textId="77777777" w:rsidR="00CE4538" w:rsidRDefault="00CE4538" w:rsidP="00CE4538">
            <w:pPr>
              <w:spacing w:line="276" w:lineRule="auto"/>
              <w:contextualSpacing/>
              <w:rPr>
                <w:rFonts w:cs="Arial"/>
                <w:bCs/>
                <w:sz w:val="20"/>
                <w:szCs w:val="20"/>
              </w:rPr>
            </w:pPr>
          </w:p>
          <w:p w14:paraId="7558189E" w14:textId="77777777" w:rsidR="00CE4538" w:rsidRDefault="00CE4538" w:rsidP="00CE4538">
            <w:pPr>
              <w:spacing w:line="276" w:lineRule="auto"/>
              <w:contextualSpacing/>
              <w:rPr>
                <w:rFonts w:cs="Arial"/>
                <w:bCs/>
                <w:sz w:val="20"/>
                <w:szCs w:val="20"/>
              </w:rPr>
            </w:pPr>
            <w:r w:rsidRPr="00406E31">
              <w:rPr>
                <w:rFonts w:cs="Arial"/>
                <w:bCs/>
                <w:sz w:val="20"/>
                <w:szCs w:val="20"/>
              </w:rPr>
              <w:t>The decision rules for setting a sustainable harvest in the harvest strategy are based on a ‘hockey stick’</w:t>
            </w:r>
            <w:r>
              <w:rPr>
                <w:rFonts w:cs="Arial"/>
                <w:bCs/>
                <w:sz w:val="20"/>
                <w:szCs w:val="20"/>
              </w:rPr>
              <w:t xml:space="preserve"> </w:t>
            </w:r>
            <w:r w:rsidRPr="00406E31">
              <w:rPr>
                <w:rFonts w:cs="Arial"/>
                <w:bCs/>
                <w:sz w:val="20"/>
                <w:szCs w:val="20"/>
              </w:rPr>
              <w:t xml:space="preserve">approach. This is where the </w:t>
            </w:r>
            <w:r>
              <w:rPr>
                <w:rFonts w:cs="Arial"/>
                <w:bCs/>
                <w:sz w:val="20"/>
                <w:szCs w:val="20"/>
              </w:rPr>
              <w:t>total allowable catch</w:t>
            </w:r>
            <w:r w:rsidRPr="00406E31">
              <w:rPr>
                <w:rFonts w:cs="Arial"/>
                <w:bCs/>
                <w:sz w:val="20"/>
                <w:szCs w:val="20"/>
              </w:rPr>
              <w:t xml:space="preserve"> </w:t>
            </w:r>
            <w:r>
              <w:rPr>
                <w:rFonts w:cs="Arial"/>
                <w:bCs/>
                <w:sz w:val="20"/>
                <w:szCs w:val="20"/>
              </w:rPr>
              <w:t xml:space="preserve">(TAC) </w:t>
            </w:r>
            <w:r w:rsidRPr="00406E31">
              <w:rPr>
                <w:rFonts w:cs="Arial"/>
                <w:bCs/>
                <w:sz w:val="20"/>
                <w:szCs w:val="20"/>
              </w:rPr>
              <w:t xml:space="preserve">is set based on a linear relationship between </w:t>
            </w:r>
            <w:r>
              <w:rPr>
                <w:rFonts w:cs="Arial"/>
                <w:bCs/>
                <w:sz w:val="20"/>
                <w:szCs w:val="20"/>
              </w:rPr>
              <w:t>limit biomass level (</w:t>
            </w:r>
            <w:proofErr w:type="spellStart"/>
            <w:r w:rsidRPr="00406E31">
              <w:rPr>
                <w:rFonts w:cs="Arial"/>
                <w:bCs/>
                <w:sz w:val="20"/>
                <w:szCs w:val="20"/>
              </w:rPr>
              <w:t>Blim</w:t>
            </w:r>
            <w:proofErr w:type="spellEnd"/>
            <w:r>
              <w:rPr>
                <w:rFonts w:cs="Arial"/>
                <w:bCs/>
                <w:sz w:val="20"/>
                <w:szCs w:val="20"/>
              </w:rPr>
              <w:t>)</w:t>
            </w:r>
            <w:r w:rsidRPr="00406E31">
              <w:rPr>
                <w:rFonts w:cs="Arial"/>
                <w:bCs/>
                <w:sz w:val="20"/>
                <w:szCs w:val="20"/>
              </w:rPr>
              <w:t>, where the level of fishing</w:t>
            </w:r>
            <w:r>
              <w:rPr>
                <w:rFonts w:cs="Arial"/>
                <w:bCs/>
                <w:sz w:val="20"/>
                <w:szCs w:val="20"/>
              </w:rPr>
              <w:t xml:space="preserve"> </w:t>
            </w:r>
            <w:r w:rsidRPr="00406E31">
              <w:rPr>
                <w:rFonts w:cs="Arial"/>
                <w:bCs/>
                <w:sz w:val="20"/>
                <w:szCs w:val="20"/>
              </w:rPr>
              <w:t xml:space="preserve">mortality is equal to zero, and </w:t>
            </w:r>
            <w:proofErr w:type="spellStart"/>
            <w:r w:rsidRPr="00406E31">
              <w:rPr>
                <w:rFonts w:cs="Arial"/>
                <w:bCs/>
                <w:sz w:val="20"/>
                <w:szCs w:val="20"/>
              </w:rPr>
              <w:t>Btarg</w:t>
            </w:r>
            <w:proofErr w:type="spellEnd"/>
            <w:r w:rsidRPr="00406E31">
              <w:rPr>
                <w:rFonts w:cs="Arial"/>
                <w:bCs/>
                <w:sz w:val="20"/>
                <w:szCs w:val="20"/>
              </w:rPr>
              <w:t xml:space="preserve">, where the exploitation rate and TAC </w:t>
            </w:r>
            <w:r>
              <w:rPr>
                <w:rFonts w:cs="Arial"/>
                <w:bCs/>
                <w:sz w:val="20"/>
                <w:szCs w:val="20"/>
              </w:rPr>
              <w:t>are</w:t>
            </w:r>
            <w:r w:rsidRPr="00406E31">
              <w:rPr>
                <w:rFonts w:cs="Arial"/>
                <w:bCs/>
                <w:sz w:val="20"/>
                <w:szCs w:val="20"/>
              </w:rPr>
              <w:t xml:space="preserve"> set to achieve</w:t>
            </w:r>
            <w:r>
              <w:rPr>
                <w:rFonts w:cs="Arial"/>
                <w:bCs/>
                <w:sz w:val="20"/>
                <w:szCs w:val="20"/>
              </w:rPr>
              <w:t xml:space="preserve"> the maximum economic yield. </w:t>
            </w:r>
            <w:r w:rsidRPr="00406E31">
              <w:rPr>
                <w:rFonts w:cs="Arial"/>
                <w:bCs/>
                <w:sz w:val="20"/>
                <w:szCs w:val="20"/>
              </w:rPr>
              <w:t>The decision rules consider the current biomass level of the stock for determining</w:t>
            </w:r>
            <w:r>
              <w:rPr>
                <w:rFonts w:cs="Arial"/>
                <w:bCs/>
                <w:sz w:val="20"/>
                <w:szCs w:val="20"/>
              </w:rPr>
              <w:t xml:space="preserve"> </w:t>
            </w:r>
            <w:r w:rsidRPr="00406E31">
              <w:rPr>
                <w:rFonts w:cs="Arial"/>
                <w:bCs/>
                <w:sz w:val="20"/>
                <w:szCs w:val="20"/>
              </w:rPr>
              <w:t xml:space="preserve">the TAC to achieve the </w:t>
            </w:r>
            <w:proofErr w:type="spellStart"/>
            <w:r w:rsidRPr="00406E31">
              <w:rPr>
                <w:rFonts w:cs="Arial"/>
                <w:bCs/>
                <w:sz w:val="20"/>
                <w:szCs w:val="20"/>
              </w:rPr>
              <w:t>Btarg</w:t>
            </w:r>
            <w:proofErr w:type="spellEnd"/>
            <w:r w:rsidRPr="00406E31">
              <w:rPr>
                <w:rFonts w:cs="Arial"/>
                <w:bCs/>
                <w:sz w:val="20"/>
                <w:szCs w:val="20"/>
              </w:rPr>
              <w:t>.</w:t>
            </w:r>
            <w:r>
              <w:rPr>
                <w:rFonts w:cs="Arial"/>
                <w:bCs/>
                <w:sz w:val="20"/>
                <w:szCs w:val="20"/>
              </w:rPr>
              <w:t xml:space="preserve"> As such, estimating the exploitable biomass level for tier 1 species to a high degree of confidence is greatly important for the operation of the harvest strategy.</w:t>
            </w:r>
            <w:r w:rsidRPr="00DF5870">
              <w:rPr>
                <w:rFonts w:cs="Arial"/>
                <w:bCs/>
                <w:sz w:val="20"/>
                <w:szCs w:val="20"/>
              </w:rPr>
              <w:t xml:space="preserve"> </w:t>
            </w:r>
          </w:p>
          <w:p w14:paraId="4FB55CAF" w14:textId="77777777" w:rsidR="00CE4538" w:rsidRDefault="00CE4538" w:rsidP="00CE4538">
            <w:pPr>
              <w:spacing w:line="276" w:lineRule="auto"/>
              <w:contextualSpacing/>
              <w:rPr>
                <w:rFonts w:cs="Arial"/>
                <w:bCs/>
                <w:sz w:val="20"/>
                <w:szCs w:val="20"/>
              </w:rPr>
            </w:pPr>
          </w:p>
          <w:p w14:paraId="7BB18601" w14:textId="77777777" w:rsidR="00CE4538" w:rsidRDefault="00CE4538" w:rsidP="00CE4538">
            <w:pPr>
              <w:spacing w:line="276" w:lineRule="auto"/>
              <w:contextualSpacing/>
              <w:rPr>
                <w:rFonts w:cs="Arial"/>
                <w:bCs/>
                <w:sz w:val="20"/>
                <w:szCs w:val="20"/>
              </w:rPr>
            </w:pPr>
            <w:r w:rsidRPr="00406E31">
              <w:rPr>
                <w:rFonts w:cs="Arial"/>
                <w:bCs/>
                <w:sz w:val="20"/>
                <w:szCs w:val="20"/>
              </w:rPr>
              <w:t xml:space="preserve">The recommended TAC is calculated by applying the rate of fishing mortality to achieve </w:t>
            </w:r>
            <w:proofErr w:type="spellStart"/>
            <w:r w:rsidRPr="00406E31">
              <w:rPr>
                <w:rFonts w:cs="Arial"/>
                <w:bCs/>
                <w:sz w:val="20"/>
                <w:szCs w:val="20"/>
              </w:rPr>
              <w:t>Btarg</w:t>
            </w:r>
            <w:proofErr w:type="spellEnd"/>
            <w:r w:rsidRPr="00406E31">
              <w:rPr>
                <w:rFonts w:cs="Arial"/>
                <w:bCs/>
                <w:sz w:val="20"/>
                <w:szCs w:val="20"/>
              </w:rPr>
              <w:t xml:space="preserve"> to the current</w:t>
            </w:r>
            <w:r>
              <w:rPr>
                <w:rFonts w:cs="Arial"/>
                <w:bCs/>
                <w:sz w:val="20"/>
                <w:szCs w:val="20"/>
              </w:rPr>
              <w:t xml:space="preserve"> </w:t>
            </w:r>
            <w:r w:rsidRPr="00406E31">
              <w:rPr>
                <w:rFonts w:cs="Arial"/>
                <w:bCs/>
                <w:sz w:val="20"/>
                <w:szCs w:val="20"/>
              </w:rPr>
              <w:t>exploitable biomass level. As a result, the recommended TAC represents the total catch that can be</w:t>
            </w:r>
            <w:r>
              <w:rPr>
                <w:rFonts w:cs="Arial"/>
                <w:bCs/>
                <w:sz w:val="20"/>
                <w:szCs w:val="20"/>
              </w:rPr>
              <w:t xml:space="preserve"> </w:t>
            </w:r>
            <w:r w:rsidRPr="00406E31">
              <w:rPr>
                <w:rFonts w:cs="Arial"/>
                <w:bCs/>
                <w:sz w:val="20"/>
                <w:szCs w:val="20"/>
              </w:rPr>
              <w:t>harvested in the following years to move the current biomass level towards the target level.</w:t>
            </w:r>
          </w:p>
          <w:p w14:paraId="646ECBCC" w14:textId="77777777" w:rsidR="00CE4538" w:rsidRDefault="00CE4538" w:rsidP="00CE4538">
            <w:pPr>
              <w:spacing w:line="276" w:lineRule="auto"/>
              <w:contextualSpacing/>
              <w:rPr>
                <w:rFonts w:cs="Arial"/>
                <w:bCs/>
                <w:sz w:val="20"/>
                <w:szCs w:val="20"/>
              </w:rPr>
            </w:pPr>
          </w:p>
          <w:p w14:paraId="098D3FA2" w14:textId="77777777" w:rsidR="00CE4538" w:rsidRDefault="00CE4538" w:rsidP="00CE4538">
            <w:pPr>
              <w:spacing w:line="276" w:lineRule="auto"/>
              <w:contextualSpacing/>
              <w:rPr>
                <w:rFonts w:cs="Arial"/>
                <w:bCs/>
                <w:sz w:val="20"/>
                <w:szCs w:val="20"/>
              </w:rPr>
            </w:pPr>
            <w:r w:rsidRPr="0066258C">
              <w:rPr>
                <w:rFonts w:cs="Arial"/>
                <w:bCs/>
                <w:sz w:val="20"/>
                <w:szCs w:val="20"/>
              </w:rPr>
              <w:t xml:space="preserve">If the spawning biomass of a stock falls below </w:t>
            </w:r>
            <w:proofErr w:type="spellStart"/>
            <w:r w:rsidRPr="0066258C">
              <w:rPr>
                <w:rFonts w:cs="Arial"/>
                <w:bCs/>
                <w:sz w:val="20"/>
                <w:szCs w:val="20"/>
              </w:rPr>
              <w:t>Blim</w:t>
            </w:r>
            <w:proofErr w:type="spellEnd"/>
            <w:r w:rsidRPr="0066258C">
              <w:rPr>
                <w:rFonts w:cs="Arial"/>
                <w:bCs/>
                <w:sz w:val="20"/>
                <w:szCs w:val="20"/>
              </w:rPr>
              <w:t>, targeted fishing of the stock must cease, and a rebuilding</w:t>
            </w:r>
            <w:r>
              <w:rPr>
                <w:rFonts w:cs="Arial"/>
                <w:bCs/>
                <w:sz w:val="20"/>
                <w:szCs w:val="20"/>
              </w:rPr>
              <w:t xml:space="preserve"> </w:t>
            </w:r>
            <w:r w:rsidRPr="0066258C">
              <w:rPr>
                <w:rFonts w:cs="Arial"/>
                <w:bCs/>
                <w:sz w:val="20"/>
                <w:szCs w:val="20"/>
              </w:rPr>
              <w:t xml:space="preserve">strategy be developed to rebuild the spawning biomass above </w:t>
            </w:r>
            <w:proofErr w:type="spellStart"/>
            <w:r w:rsidRPr="0066258C">
              <w:rPr>
                <w:rFonts w:cs="Arial"/>
                <w:bCs/>
                <w:sz w:val="20"/>
                <w:szCs w:val="20"/>
              </w:rPr>
              <w:t>Blim</w:t>
            </w:r>
            <w:proofErr w:type="spellEnd"/>
            <w:r w:rsidRPr="0066258C">
              <w:rPr>
                <w:rFonts w:cs="Arial"/>
                <w:bCs/>
                <w:sz w:val="20"/>
                <w:szCs w:val="20"/>
              </w:rPr>
              <w:t xml:space="preserve"> within a biologically reasonable</w:t>
            </w:r>
            <w:r>
              <w:rPr>
                <w:rFonts w:cs="Arial"/>
                <w:bCs/>
                <w:sz w:val="20"/>
                <w:szCs w:val="20"/>
              </w:rPr>
              <w:t xml:space="preserve"> </w:t>
            </w:r>
            <w:r w:rsidRPr="0066258C">
              <w:rPr>
                <w:rFonts w:cs="Arial"/>
                <w:bCs/>
                <w:sz w:val="20"/>
                <w:szCs w:val="20"/>
              </w:rPr>
              <w:t>timeframe (</w:t>
            </w:r>
            <w:proofErr w:type="gramStart"/>
            <w:r w:rsidRPr="0066258C">
              <w:rPr>
                <w:rFonts w:cs="Arial"/>
                <w:bCs/>
                <w:sz w:val="20"/>
                <w:szCs w:val="20"/>
              </w:rPr>
              <w:t>e.g.</w:t>
            </w:r>
            <w:proofErr w:type="gramEnd"/>
            <w:r w:rsidRPr="0066258C">
              <w:rPr>
                <w:rFonts w:cs="Arial"/>
                <w:bCs/>
                <w:sz w:val="20"/>
                <w:szCs w:val="20"/>
              </w:rPr>
              <w:t xml:space="preserve"> based on mean generation time)</w:t>
            </w:r>
            <w:r>
              <w:rPr>
                <w:rFonts w:cs="Arial"/>
                <w:bCs/>
                <w:sz w:val="20"/>
                <w:szCs w:val="20"/>
              </w:rPr>
              <w:t xml:space="preserve">, </w:t>
            </w:r>
            <w:r w:rsidRPr="0066258C">
              <w:rPr>
                <w:rFonts w:cs="Arial"/>
                <w:bCs/>
                <w:sz w:val="20"/>
                <w:szCs w:val="20"/>
              </w:rPr>
              <w:t xml:space="preserve">as </w:t>
            </w:r>
            <w:r>
              <w:rPr>
                <w:rFonts w:cs="Arial"/>
                <w:bCs/>
                <w:sz w:val="20"/>
                <w:szCs w:val="20"/>
              </w:rPr>
              <w:t xml:space="preserve">required by </w:t>
            </w:r>
            <w:r w:rsidRPr="0066258C">
              <w:rPr>
                <w:rFonts w:cs="Arial"/>
                <w:bCs/>
                <w:sz w:val="20"/>
                <w:szCs w:val="20"/>
              </w:rPr>
              <w:t>the Queensland Harvest Strategy Policy</w:t>
            </w:r>
            <w:r>
              <w:rPr>
                <w:rFonts w:cs="Arial"/>
                <w:bCs/>
                <w:sz w:val="20"/>
                <w:szCs w:val="20"/>
              </w:rPr>
              <w:t>.</w:t>
            </w:r>
          </w:p>
          <w:p w14:paraId="0ACEDA42" w14:textId="77777777" w:rsidR="00CE4538" w:rsidRDefault="00CE4538" w:rsidP="00CE4538">
            <w:pPr>
              <w:spacing w:line="276" w:lineRule="auto"/>
              <w:contextualSpacing/>
              <w:rPr>
                <w:rFonts w:cs="Arial"/>
                <w:bCs/>
                <w:sz w:val="20"/>
                <w:szCs w:val="20"/>
              </w:rPr>
            </w:pPr>
          </w:p>
          <w:p w14:paraId="3C97D67E" w14:textId="77777777" w:rsidR="00CE4538" w:rsidRDefault="00CE4538" w:rsidP="00CE4538">
            <w:pPr>
              <w:spacing w:line="276" w:lineRule="auto"/>
              <w:contextualSpacing/>
              <w:rPr>
                <w:rFonts w:cs="Arial"/>
                <w:bCs/>
                <w:sz w:val="20"/>
                <w:szCs w:val="20"/>
              </w:rPr>
            </w:pPr>
            <w:r>
              <w:rPr>
                <w:rFonts w:cs="Arial"/>
                <w:bCs/>
                <w:sz w:val="20"/>
                <w:szCs w:val="20"/>
              </w:rPr>
              <w:t>While the harvest strategy is an important step forward, s</w:t>
            </w:r>
            <w:r w:rsidRPr="00A7590A">
              <w:rPr>
                <w:rFonts w:cs="Arial"/>
                <w:bCs/>
                <w:sz w:val="20"/>
                <w:szCs w:val="20"/>
              </w:rPr>
              <w:t xml:space="preserve">ome </w:t>
            </w:r>
            <w:r>
              <w:rPr>
                <w:rFonts w:cs="Arial"/>
                <w:bCs/>
                <w:sz w:val="20"/>
                <w:szCs w:val="20"/>
              </w:rPr>
              <w:t>of the measures</w:t>
            </w:r>
            <w:r w:rsidRPr="00A7590A">
              <w:rPr>
                <w:rFonts w:cs="Arial"/>
                <w:bCs/>
                <w:sz w:val="20"/>
                <w:szCs w:val="20"/>
              </w:rPr>
              <w:t xml:space="preserve"> </w:t>
            </w:r>
            <w:r>
              <w:rPr>
                <w:rFonts w:cs="Arial"/>
                <w:bCs/>
                <w:sz w:val="20"/>
                <w:szCs w:val="20"/>
              </w:rPr>
              <w:t xml:space="preserve">previously contained in the MoU have not been transferred to the harvest </w:t>
            </w:r>
            <w:r>
              <w:rPr>
                <w:rFonts w:cs="Arial"/>
                <w:bCs/>
                <w:sz w:val="20"/>
                <w:szCs w:val="20"/>
              </w:rPr>
              <w:lastRenderedPageBreak/>
              <w:t xml:space="preserve">strategy, and these measures formed part of the framework of input controls that had previously been found to have a high chance of ensuring that harvest in this fishery was sustainable in the long term. The original framework was formally evaluated in 2014 through a Management Strategy Evaluation (MSE). </w:t>
            </w:r>
          </w:p>
          <w:p w14:paraId="280C6250" w14:textId="77777777" w:rsidR="00CE4538" w:rsidRDefault="00CE4538" w:rsidP="00CE4538">
            <w:pPr>
              <w:spacing w:line="276" w:lineRule="auto"/>
              <w:contextualSpacing/>
              <w:rPr>
                <w:rFonts w:cs="Arial"/>
                <w:bCs/>
                <w:sz w:val="20"/>
                <w:szCs w:val="20"/>
              </w:rPr>
            </w:pPr>
          </w:p>
          <w:p w14:paraId="7E2455ED" w14:textId="77777777" w:rsidR="00CE4538" w:rsidRDefault="00CE4538" w:rsidP="00CE4538">
            <w:pPr>
              <w:spacing w:line="276" w:lineRule="auto"/>
              <w:contextualSpacing/>
              <w:rPr>
                <w:rFonts w:cs="Arial"/>
                <w:bCs/>
                <w:sz w:val="20"/>
                <w:szCs w:val="20"/>
              </w:rPr>
            </w:pPr>
            <w:r>
              <w:rPr>
                <w:rFonts w:cs="Arial"/>
                <w:bCs/>
                <w:sz w:val="20"/>
                <w:szCs w:val="20"/>
              </w:rPr>
              <w:t xml:space="preserve">In addition, the </w:t>
            </w:r>
            <w:r w:rsidRPr="0045366D">
              <w:rPr>
                <w:rFonts w:cs="Arial"/>
                <w:bCs/>
                <w:sz w:val="20"/>
                <w:szCs w:val="20"/>
              </w:rPr>
              <w:t>harvest strategy has set a biomass</w:t>
            </w:r>
            <w:r>
              <w:rPr>
                <w:rFonts w:cs="Arial"/>
                <w:bCs/>
                <w:sz w:val="20"/>
                <w:szCs w:val="20"/>
              </w:rPr>
              <w:t xml:space="preserve"> limit reference point for the exploitable biomass (</w:t>
            </w:r>
            <w:proofErr w:type="gramStart"/>
            <w:r>
              <w:rPr>
                <w:rFonts w:cs="Arial"/>
                <w:bCs/>
                <w:sz w:val="20"/>
                <w:szCs w:val="20"/>
              </w:rPr>
              <w:t>i.e.</w:t>
            </w:r>
            <w:proofErr w:type="gramEnd"/>
            <w:r>
              <w:rPr>
                <w:rFonts w:cs="Arial"/>
                <w:bCs/>
                <w:sz w:val="20"/>
                <w:szCs w:val="20"/>
              </w:rPr>
              <w:t xml:space="preserve"> the point at which fishing mortality is set at zero) at 20% of the unfished biomass level. Acknowledging that 20% is the default limit biomass for stock management in the absence of any further information, this level </w:t>
            </w:r>
            <w:r w:rsidRPr="00A44C03">
              <w:rPr>
                <w:rFonts w:cs="Arial"/>
                <w:bCs/>
                <w:sz w:val="20"/>
                <w:szCs w:val="20"/>
              </w:rPr>
              <w:t>may not be conservative enough for sea cucumber</w:t>
            </w:r>
            <w:r>
              <w:rPr>
                <w:rFonts w:cs="Arial"/>
                <w:bCs/>
                <w:sz w:val="20"/>
                <w:szCs w:val="20"/>
              </w:rPr>
              <w:t xml:space="preserve"> species. For example, in the Torres Strait, the </w:t>
            </w:r>
            <w:proofErr w:type="spellStart"/>
            <w:r>
              <w:rPr>
                <w:rFonts w:cs="Arial"/>
                <w:bCs/>
                <w:sz w:val="20"/>
                <w:szCs w:val="20"/>
              </w:rPr>
              <w:t>beche</w:t>
            </w:r>
            <w:proofErr w:type="spellEnd"/>
            <w:r>
              <w:rPr>
                <w:rFonts w:cs="Arial"/>
                <w:bCs/>
                <w:sz w:val="20"/>
                <w:szCs w:val="20"/>
              </w:rPr>
              <w:t>-de-</w:t>
            </w:r>
            <w:proofErr w:type="spellStart"/>
            <w:r>
              <w:rPr>
                <w:rFonts w:cs="Arial"/>
                <w:bCs/>
                <w:sz w:val="20"/>
                <w:szCs w:val="20"/>
              </w:rPr>
              <w:t>mer</w:t>
            </w:r>
            <w:proofErr w:type="spellEnd"/>
            <w:r>
              <w:rPr>
                <w:rFonts w:cs="Arial"/>
                <w:bCs/>
                <w:sz w:val="20"/>
                <w:szCs w:val="20"/>
              </w:rPr>
              <w:t xml:space="preserve"> harvest strategy biomass limit reference point was set at 40% of unfished biomass. </w:t>
            </w:r>
          </w:p>
          <w:p w14:paraId="53014E25" w14:textId="77777777" w:rsidR="00CE4538" w:rsidRPr="00A7590A" w:rsidRDefault="00CE4538" w:rsidP="00CE4538">
            <w:pPr>
              <w:spacing w:line="276" w:lineRule="auto"/>
              <w:contextualSpacing/>
              <w:rPr>
                <w:rFonts w:cs="Arial"/>
                <w:bCs/>
                <w:sz w:val="20"/>
                <w:szCs w:val="20"/>
              </w:rPr>
            </w:pPr>
          </w:p>
          <w:p w14:paraId="741FD4C1" w14:textId="77777777" w:rsidR="00CE4538" w:rsidRPr="006F45D0" w:rsidRDefault="00CE4538" w:rsidP="00CE4538">
            <w:pPr>
              <w:spacing w:line="276" w:lineRule="auto"/>
              <w:contextualSpacing/>
              <w:rPr>
                <w:rFonts w:cs="Arial"/>
                <w:bCs/>
                <w:sz w:val="20"/>
                <w:szCs w:val="20"/>
              </w:rPr>
            </w:pPr>
            <w:r>
              <w:rPr>
                <w:rFonts w:cs="Arial"/>
                <w:bCs/>
                <w:sz w:val="20"/>
                <w:szCs w:val="20"/>
              </w:rPr>
              <w:t xml:space="preserve">A </w:t>
            </w:r>
            <w:r w:rsidRPr="006F45D0">
              <w:rPr>
                <w:rFonts w:cs="Arial"/>
                <w:bCs/>
                <w:sz w:val="20"/>
                <w:szCs w:val="20"/>
              </w:rPr>
              <w:t xml:space="preserve">Management </w:t>
            </w:r>
            <w:r>
              <w:rPr>
                <w:rFonts w:cs="Arial"/>
                <w:bCs/>
                <w:sz w:val="20"/>
                <w:szCs w:val="20"/>
              </w:rPr>
              <w:t>S</w:t>
            </w:r>
            <w:r w:rsidRPr="006F45D0">
              <w:rPr>
                <w:rFonts w:cs="Arial"/>
                <w:bCs/>
                <w:sz w:val="20"/>
                <w:szCs w:val="20"/>
              </w:rPr>
              <w:t xml:space="preserve">trategy </w:t>
            </w:r>
            <w:r>
              <w:rPr>
                <w:rFonts w:cs="Arial"/>
                <w:bCs/>
                <w:sz w:val="20"/>
                <w:szCs w:val="20"/>
              </w:rPr>
              <w:t>E</w:t>
            </w:r>
            <w:r w:rsidRPr="006F45D0">
              <w:rPr>
                <w:rFonts w:cs="Arial"/>
                <w:bCs/>
                <w:sz w:val="20"/>
                <w:szCs w:val="20"/>
              </w:rPr>
              <w:t>valuation or MSE is a tool that scientists and managers can use to simulate the workings of a fisher</w:t>
            </w:r>
            <w:r>
              <w:rPr>
                <w:rFonts w:cs="Arial"/>
                <w:bCs/>
                <w:sz w:val="20"/>
                <w:szCs w:val="20"/>
              </w:rPr>
              <w:t>y’s</w:t>
            </w:r>
            <w:r w:rsidRPr="006F45D0">
              <w:rPr>
                <w:rFonts w:cs="Arial"/>
                <w:bCs/>
                <w:sz w:val="20"/>
                <w:szCs w:val="20"/>
              </w:rPr>
              <w:t xml:space="preserve"> system and allow them to test whether </w:t>
            </w:r>
            <w:r>
              <w:rPr>
                <w:rFonts w:cs="Arial"/>
                <w:bCs/>
                <w:sz w:val="20"/>
                <w:szCs w:val="20"/>
              </w:rPr>
              <w:t xml:space="preserve">the </w:t>
            </w:r>
            <w:r w:rsidRPr="006F45D0">
              <w:rPr>
                <w:rFonts w:cs="Arial"/>
                <w:bCs/>
                <w:sz w:val="20"/>
                <w:szCs w:val="20"/>
              </w:rPr>
              <w:t xml:space="preserve">management arrangements </w:t>
            </w:r>
            <w:r>
              <w:rPr>
                <w:rFonts w:cs="Arial"/>
                <w:bCs/>
                <w:sz w:val="20"/>
                <w:szCs w:val="20"/>
              </w:rPr>
              <w:t>c</w:t>
            </w:r>
            <w:r w:rsidRPr="006F45D0">
              <w:rPr>
                <w:rFonts w:cs="Arial"/>
                <w:bCs/>
                <w:sz w:val="20"/>
                <w:szCs w:val="20"/>
              </w:rPr>
              <w:t xml:space="preserve">an achieve pre-agreed management objectives. In so doing, </w:t>
            </w:r>
            <w:r>
              <w:rPr>
                <w:rFonts w:cs="Arial"/>
                <w:bCs/>
                <w:sz w:val="20"/>
                <w:szCs w:val="20"/>
              </w:rPr>
              <w:t xml:space="preserve">an </w:t>
            </w:r>
            <w:r w:rsidRPr="006F45D0">
              <w:rPr>
                <w:rFonts w:cs="Arial"/>
                <w:bCs/>
                <w:sz w:val="20"/>
                <w:szCs w:val="20"/>
              </w:rPr>
              <w:t xml:space="preserve">MSE helps to determine the harvest strategy likely to perform best. That </w:t>
            </w:r>
            <w:r>
              <w:rPr>
                <w:rFonts w:cs="Arial"/>
                <w:bCs/>
                <w:sz w:val="20"/>
                <w:szCs w:val="20"/>
              </w:rPr>
              <w:t xml:space="preserve">best harvest strategy </w:t>
            </w:r>
            <w:r w:rsidRPr="006F45D0">
              <w:rPr>
                <w:rFonts w:cs="Arial"/>
                <w:bCs/>
                <w:sz w:val="20"/>
                <w:szCs w:val="20"/>
              </w:rPr>
              <w:t>would perform well, regardless of uncertainty, and balance trade-offs amid competing management objectives. </w:t>
            </w:r>
          </w:p>
          <w:p w14:paraId="0431DEDC" w14:textId="77777777" w:rsidR="00CE4538" w:rsidRPr="006F45D0" w:rsidRDefault="00CE4538" w:rsidP="00CE4538">
            <w:pPr>
              <w:spacing w:line="276" w:lineRule="auto"/>
              <w:contextualSpacing/>
              <w:rPr>
                <w:rFonts w:cs="Arial"/>
                <w:bCs/>
                <w:sz w:val="20"/>
                <w:szCs w:val="20"/>
              </w:rPr>
            </w:pPr>
          </w:p>
          <w:p w14:paraId="083F6362" w14:textId="77777777" w:rsidR="00CE4538" w:rsidRPr="004A3B47" w:rsidRDefault="00CE4538" w:rsidP="00CE4538">
            <w:pPr>
              <w:spacing w:line="276" w:lineRule="auto"/>
              <w:contextualSpacing/>
              <w:rPr>
                <w:rFonts w:cs="Arial"/>
                <w:color w:val="000000" w:themeColor="text1"/>
                <w:sz w:val="20"/>
                <w:szCs w:val="20"/>
              </w:rPr>
            </w:pPr>
            <w:r w:rsidRPr="00A7590A">
              <w:rPr>
                <w:rFonts w:cs="Arial"/>
                <w:bCs/>
                <w:sz w:val="20"/>
                <w:szCs w:val="20"/>
              </w:rPr>
              <w:t xml:space="preserve">In 2014, through </w:t>
            </w:r>
            <w:r>
              <w:rPr>
                <w:rFonts w:cs="Arial"/>
                <w:bCs/>
                <w:sz w:val="20"/>
                <w:szCs w:val="20"/>
              </w:rPr>
              <w:t>a Project of the Fisheries Research and Development Corporation</w:t>
            </w:r>
            <w:r w:rsidRPr="00A7590A">
              <w:rPr>
                <w:rFonts w:cs="Arial"/>
                <w:bCs/>
                <w:sz w:val="20"/>
                <w:szCs w:val="20"/>
              </w:rPr>
              <w:t xml:space="preserve">, </w:t>
            </w:r>
            <w:r>
              <w:rPr>
                <w:rFonts w:cs="Arial"/>
                <w:bCs/>
                <w:sz w:val="20"/>
                <w:szCs w:val="20"/>
              </w:rPr>
              <w:t>the CSIRO carried out</w:t>
            </w:r>
            <w:r w:rsidRPr="00A7590A">
              <w:rPr>
                <w:rFonts w:cs="Arial"/>
                <w:bCs/>
                <w:sz w:val="20"/>
                <w:szCs w:val="20"/>
              </w:rPr>
              <w:t xml:space="preserve"> an MSE </w:t>
            </w:r>
            <w:r w:rsidRPr="00A7590A">
              <w:rPr>
                <w:rFonts w:cs="Arial"/>
                <w:sz w:val="20"/>
                <w:szCs w:val="20"/>
              </w:rPr>
              <w:t xml:space="preserve">to evaluate the benefits of a rotational harvest strategy (the Rotational Zoning Scheme subsequently referred to </w:t>
            </w:r>
            <w:r>
              <w:rPr>
                <w:rFonts w:cs="Arial"/>
                <w:sz w:val="20"/>
                <w:szCs w:val="20"/>
              </w:rPr>
              <w:t xml:space="preserve">in this document </w:t>
            </w:r>
            <w:r w:rsidRPr="00A7590A">
              <w:rPr>
                <w:rFonts w:cs="Arial"/>
                <w:sz w:val="20"/>
                <w:szCs w:val="20"/>
              </w:rPr>
              <w:t xml:space="preserve">as Rotational Harvest </w:t>
            </w:r>
            <w:r w:rsidRPr="004A3B47">
              <w:rPr>
                <w:rFonts w:cs="Arial"/>
                <w:color w:val="000000" w:themeColor="text1"/>
                <w:sz w:val="20"/>
                <w:szCs w:val="20"/>
              </w:rPr>
              <w:t>Arrangement</w:t>
            </w:r>
            <w:r>
              <w:rPr>
                <w:rFonts w:cs="Arial"/>
                <w:color w:val="000000" w:themeColor="text1"/>
                <w:sz w:val="20"/>
                <w:szCs w:val="20"/>
              </w:rPr>
              <w:t>s –</w:t>
            </w:r>
            <w:r w:rsidRPr="004A3B47">
              <w:rPr>
                <w:rFonts w:cs="Arial"/>
                <w:color w:val="000000" w:themeColor="text1"/>
                <w:sz w:val="20"/>
                <w:szCs w:val="20"/>
              </w:rPr>
              <w:t xml:space="preserve"> RHAs) then utilised in this fishery </w:t>
            </w:r>
            <w:r w:rsidRPr="004A3B47">
              <w:rPr>
                <w:rFonts w:cs="Arial"/>
                <w:bCs/>
                <w:color w:val="000000" w:themeColor="text1"/>
                <w:sz w:val="20"/>
                <w:szCs w:val="20"/>
              </w:rPr>
              <w:t>(Skewes et al 2014)</w:t>
            </w:r>
            <w:r w:rsidRPr="004A3B47">
              <w:rPr>
                <w:rFonts w:cs="Arial"/>
                <w:color w:val="000000" w:themeColor="text1"/>
                <w:sz w:val="20"/>
                <w:szCs w:val="20"/>
              </w:rPr>
              <w:t xml:space="preserve">. The MSE considered the RHAs in the context of the other management arrangements applied to the fishery at the time, including </w:t>
            </w:r>
            <w:r w:rsidRPr="004A3B47">
              <w:rPr>
                <w:rFonts w:cs="Arial"/>
                <w:color w:val="000000" w:themeColor="text1"/>
                <w:sz w:val="20"/>
                <w:szCs w:val="20"/>
                <w:shd w:val="clear" w:color="auto" w:fill="FFFFFF"/>
              </w:rPr>
              <w:t>fishing limits within zones, minimum size limits, and total allowable catches (TACs) for some high-value species.</w:t>
            </w:r>
          </w:p>
          <w:p w14:paraId="02D468B1" w14:textId="77777777" w:rsidR="00CE4538" w:rsidRPr="004A3B47" w:rsidRDefault="00CE4538" w:rsidP="00CE4538">
            <w:pPr>
              <w:spacing w:line="276" w:lineRule="auto"/>
              <w:contextualSpacing/>
              <w:rPr>
                <w:rFonts w:cs="Arial"/>
                <w:color w:val="000000" w:themeColor="text1"/>
                <w:sz w:val="20"/>
                <w:szCs w:val="20"/>
              </w:rPr>
            </w:pPr>
          </w:p>
          <w:p w14:paraId="29C109B8" w14:textId="77777777" w:rsidR="00CE4538" w:rsidRDefault="00CE4538" w:rsidP="00CE4538">
            <w:pPr>
              <w:spacing w:line="276" w:lineRule="auto"/>
              <w:contextualSpacing/>
              <w:rPr>
                <w:rFonts w:cs="Arial"/>
                <w:bCs/>
                <w:sz w:val="20"/>
                <w:szCs w:val="20"/>
              </w:rPr>
            </w:pPr>
            <w:r w:rsidRPr="004A3B47">
              <w:rPr>
                <w:rFonts w:cs="Arial"/>
                <w:bCs/>
                <w:color w:val="000000" w:themeColor="text1"/>
                <w:sz w:val="20"/>
                <w:szCs w:val="20"/>
              </w:rPr>
              <w:t xml:space="preserve">The findings of the 2014 MSE supported the decision to grant the short-term Wildlife Trade Operation (WTO) approval for the fishery in 2020, while </w:t>
            </w:r>
            <w:r w:rsidRPr="00A7590A">
              <w:rPr>
                <w:rFonts w:cs="Arial"/>
                <w:bCs/>
                <w:sz w:val="20"/>
                <w:szCs w:val="20"/>
              </w:rPr>
              <w:t xml:space="preserve">more information was gathered on the stock status of CITES-listed target species. </w:t>
            </w:r>
          </w:p>
          <w:p w14:paraId="6D9EB342" w14:textId="77777777" w:rsidR="00CE4538" w:rsidRDefault="00CE4538" w:rsidP="00CE4538">
            <w:pPr>
              <w:spacing w:line="276" w:lineRule="auto"/>
              <w:contextualSpacing/>
              <w:rPr>
                <w:rFonts w:cs="Arial"/>
                <w:bCs/>
                <w:sz w:val="20"/>
                <w:szCs w:val="20"/>
              </w:rPr>
            </w:pPr>
          </w:p>
          <w:p w14:paraId="7C4FCC88" w14:textId="77777777" w:rsidR="00CE4538" w:rsidRPr="00826786" w:rsidRDefault="00CE4538" w:rsidP="00CE4538">
            <w:pPr>
              <w:spacing w:line="276" w:lineRule="auto"/>
              <w:contextualSpacing/>
              <w:rPr>
                <w:rFonts w:cs="Arial"/>
                <w:bCs/>
                <w:sz w:val="20"/>
                <w:szCs w:val="20"/>
              </w:rPr>
            </w:pPr>
            <w:r>
              <w:rPr>
                <w:rFonts w:cs="Arial"/>
                <w:bCs/>
                <w:sz w:val="20"/>
                <w:szCs w:val="20"/>
              </w:rPr>
              <w:lastRenderedPageBreak/>
              <w:t>However, s</w:t>
            </w:r>
            <w:r w:rsidRPr="00A7590A">
              <w:rPr>
                <w:rFonts w:cs="Arial"/>
                <w:bCs/>
                <w:sz w:val="20"/>
                <w:szCs w:val="20"/>
              </w:rPr>
              <w:t>ome of the changes in management</w:t>
            </w:r>
            <w:r>
              <w:rPr>
                <w:rFonts w:cs="Arial"/>
                <w:bCs/>
                <w:sz w:val="20"/>
                <w:szCs w:val="20"/>
              </w:rPr>
              <w:t xml:space="preserve"> arrangements</w:t>
            </w:r>
            <w:r w:rsidRPr="00A7590A">
              <w:rPr>
                <w:rFonts w:cs="Arial"/>
                <w:bCs/>
                <w:sz w:val="20"/>
                <w:szCs w:val="20"/>
              </w:rPr>
              <w:t xml:space="preserve"> brought in by the</w:t>
            </w:r>
            <w:r>
              <w:rPr>
                <w:rFonts w:cs="Arial"/>
                <w:bCs/>
                <w:sz w:val="20"/>
                <w:szCs w:val="20"/>
              </w:rPr>
              <w:t xml:space="preserve"> </w:t>
            </w:r>
            <w:r w:rsidRPr="00826786">
              <w:rPr>
                <w:rFonts w:cs="Arial"/>
                <w:bCs/>
                <w:sz w:val="20"/>
                <w:szCs w:val="20"/>
              </w:rPr>
              <w:t xml:space="preserve">implementation of a new Harvest Strategy in 2021 present some concerns in relation to whether the MSE’s conclusions remain relevant. In particular: </w:t>
            </w:r>
          </w:p>
          <w:p w14:paraId="1C666A6E" w14:textId="77777777" w:rsidR="00CE4538" w:rsidRPr="00826786" w:rsidRDefault="00CE4538" w:rsidP="00CE4538">
            <w:pPr>
              <w:pStyle w:val="ListParagraph"/>
              <w:numPr>
                <w:ilvl w:val="0"/>
                <w:numId w:val="18"/>
              </w:numPr>
              <w:spacing w:line="276" w:lineRule="auto"/>
              <w:contextualSpacing/>
              <w:rPr>
                <w:rFonts w:cs="Arial"/>
                <w:bCs/>
                <w:sz w:val="20"/>
                <w:szCs w:val="20"/>
              </w:rPr>
            </w:pPr>
            <w:r w:rsidRPr="00826786">
              <w:rPr>
                <w:sz w:val="20"/>
                <w:szCs w:val="20"/>
              </w:rPr>
              <w:t xml:space="preserve">The MSE found that effectiveness of RHAs broke down when individual zones are heavily targeted. </w:t>
            </w:r>
            <w:r w:rsidRPr="00826786">
              <w:rPr>
                <w:rFonts w:cs="Arial"/>
                <w:bCs/>
                <w:sz w:val="20"/>
                <w:szCs w:val="20"/>
              </w:rPr>
              <w:t xml:space="preserve">The recent feasibility study into a stock assessment for White </w:t>
            </w:r>
            <w:proofErr w:type="spellStart"/>
            <w:r w:rsidRPr="00826786">
              <w:rPr>
                <w:rFonts w:cs="Arial"/>
                <w:bCs/>
                <w:sz w:val="20"/>
                <w:szCs w:val="20"/>
              </w:rPr>
              <w:t>Teatfish</w:t>
            </w:r>
            <w:proofErr w:type="spellEnd"/>
            <w:r w:rsidRPr="00826786">
              <w:rPr>
                <w:rFonts w:cs="Arial"/>
                <w:bCs/>
                <w:sz w:val="20"/>
                <w:szCs w:val="20"/>
              </w:rPr>
              <w:t xml:space="preserve"> indicated that around 80% of harvest of White </w:t>
            </w:r>
            <w:proofErr w:type="spellStart"/>
            <w:r w:rsidRPr="00826786">
              <w:rPr>
                <w:rFonts w:cs="Arial"/>
                <w:bCs/>
                <w:sz w:val="20"/>
                <w:szCs w:val="20"/>
              </w:rPr>
              <w:t>Teatfish</w:t>
            </w:r>
            <w:proofErr w:type="spellEnd"/>
            <w:r w:rsidRPr="00826786">
              <w:rPr>
                <w:rFonts w:cs="Arial"/>
                <w:bCs/>
                <w:sz w:val="20"/>
                <w:szCs w:val="20"/>
              </w:rPr>
              <w:t xml:space="preserve"> since the </w:t>
            </w:r>
            <w:r w:rsidRPr="00F21020">
              <w:rPr>
                <w:rFonts w:cs="Arial"/>
                <w:bCs/>
                <w:sz w:val="20"/>
                <w:szCs w:val="20"/>
              </w:rPr>
              <w:t>2010</w:t>
            </w:r>
            <w:r w:rsidRPr="007D3D03">
              <w:rPr>
                <w:rFonts w:cs="Arial"/>
                <w:bCs/>
                <w:sz w:val="20"/>
                <w:szCs w:val="20"/>
              </w:rPr>
              <w:t>–11 season</w:t>
            </w:r>
            <w:r w:rsidRPr="00826786">
              <w:rPr>
                <w:rFonts w:cs="Arial"/>
                <w:bCs/>
                <w:sz w:val="20"/>
                <w:szCs w:val="20"/>
              </w:rPr>
              <w:t xml:space="preserve"> has occurred in just 34 of 158 harvest zones and nearly 25% of harvest came from just one RHA. Spatial harvest data </w:t>
            </w:r>
            <w:r>
              <w:rPr>
                <w:rFonts w:cs="Arial"/>
                <w:bCs/>
                <w:sz w:val="20"/>
                <w:szCs w:val="20"/>
              </w:rPr>
              <w:t>are not available for</w:t>
            </w:r>
            <w:r w:rsidRPr="00826786">
              <w:rPr>
                <w:rFonts w:cs="Arial"/>
                <w:bCs/>
                <w:sz w:val="20"/>
                <w:szCs w:val="20"/>
              </w:rPr>
              <w:t xml:space="preserve"> analysis </w:t>
            </w:r>
            <w:r>
              <w:rPr>
                <w:rFonts w:cs="Arial"/>
                <w:bCs/>
                <w:sz w:val="20"/>
                <w:szCs w:val="20"/>
              </w:rPr>
              <w:t xml:space="preserve">of whether this </w:t>
            </w:r>
            <w:r w:rsidRPr="00826786">
              <w:rPr>
                <w:rFonts w:cs="Arial"/>
                <w:bCs/>
                <w:sz w:val="20"/>
                <w:szCs w:val="20"/>
              </w:rPr>
              <w:t xml:space="preserve">trend </w:t>
            </w:r>
            <w:r>
              <w:rPr>
                <w:rFonts w:cs="Arial"/>
                <w:bCs/>
                <w:sz w:val="20"/>
                <w:szCs w:val="20"/>
              </w:rPr>
              <w:t xml:space="preserve">is </w:t>
            </w:r>
            <w:r w:rsidRPr="00826786">
              <w:rPr>
                <w:rFonts w:cs="Arial"/>
                <w:bCs/>
                <w:sz w:val="20"/>
                <w:szCs w:val="20"/>
              </w:rPr>
              <w:t xml:space="preserve">occurring </w:t>
            </w:r>
            <w:r>
              <w:rPr>
                <w:rFonts w:cs="Arial"/>
                <w:bCs/>
                <w:sz w:val="20"/>
                <w:szCs w:val="20"/>
              </w:rPr>
              <w:t>for</w:t>
            </w:r>
            <w:r w:rsidRPr="00826786">
              <w:rPr>
                <w:rFonts w:cs="Arial"/>
                <w:bCs/>
                <w:sz w:val="20"/>
                <w:szCs w:val="20"/>
              </w:rPr>
              <w:t xml:space="preserve"> other species targeted in</w:t>
            </w:r>
            <w:r>
              <w:rPr>
                <w:rFonts w:cs="Arial"/>
                <w:bCs/>
                <w:sz w:val="20"/>
                <w:szCs w:val="20"/>
              </w:rPr>
              <w:t xml:space="preserve"> the</w:t>
            </w:r>
            <w:r w:rsidRPr="00826786">
              <w:rPr>
                <w:rFonts w:cs="Arial"/>
                <w:bCs/>
                <w:sz w:val="20"/>
                <w:szCs w:val="20"/>
              </w:rPr>
              <w:t xml:space="preserve"> fishery. </w:t>
            </w:r>
            <w:r w:rsidRPr="00A77BD3">
              <w:rPr>
                <w:rFonts w:cs="Arial"/>
                <w:bCs/>
                <w:sz w:val="20"/>
                <w:szCs w:val="20"/>
              </w:rPr>
              <w:t>This is a departure for the lowest risk scenario modelled in the MSE where harvest was distributed evenly throughout the fishery.</w:t>
            </w:r>
          </w:p>
          <w:p w14:paraId="200DBC87" w14:textId="77777777" w:rsidR="00CE4538" w:rsidRPr="00A7590A" w:rsidRDefault="00CE4538" w:rsidP="00CE4538">
            <w:pPr>
              <w:pStyle w:val="ListParagraph"/>
              <w:numPr>
                <w:ilvl w:val="0"/>
                <w:numId w:val="18"/>
              </w:numPr>
              <w:spacing w:line="276" w:lineRule="auto"/>
              <w:contextualSpacing/>
              <w:rPr>
                <w:rFonts w:cs="Arial"/>
                <w:bCs/>
                <w:sz w:val="20"/>
                <w:szCs w:val="20"/>
              </w:rPr>
            </w:pPr>
            <w:r w:rsidRPr="00A7590A">
              <w:rPr>
                <w:rFonts w:cs="Arial"/>
                <w:bCs/>
                <w:sz w:val="20"/>
                <w:szCs w:val="20"/>
              </w:rPr>
              <w:t xml:space="preserve">The MSE evaluated the RHAs based on a limit of 15 days fishing effort per harvest zone. The submission and Harvest Strategy indicate that RHAs </w:t>
            </w:r>
            <w:r>
              <w:rPr>
                <w:rFonts w:cs="Arial"/>
                <w:bCs/>
                <w:sz w:val="20"/>
                <w:szCs w:val="20"/>
              </w:rPr>
              <w:t xml:space="preserve">now </w:t>
            </w:r>
            <w:r w:rsidRPr="00A7590A">
              <w:rPr>
                <w:rFonts w:cs="Arial"/>
                <w:bCs/>
                <w:sz w:val="20"/>
                <w:szCs w:val="20"/>
              </w:rPr>
              <w:t>allow up to 18 days per zone</w:t>
            </w:r>
            <w:r w:rsidRPr="00067C22">
              <w:rPr>
                <w:rFonts w:cs="Arial"/>
                <w:bCs/>
                <w:sz w:val="20"/>
                <w:szCs w:val="20"/>
              </w:rPr>
              <w:t xml:space="preserve">. This is </w:t>
            </w:r>
            <w:r>
              <w:rPr>
                <w:rFonts w:cs="Arial"/>
                <w:bCs/>
                <w:sz w:val="20"/>
                <w:szCs w:val="20"/>
              </w:rPr>
              <w:t xml:space="preserve">potentially </w:t>
            </w:r>
            <w:r w:rsidRPr="00067C22">
              <w:rPr>
                <w:rFonts w:cs="Arial"/>
                <w:bCs/>
                <w:sz w:val="20"/>
                <w:szCs w:val="20"/>
              </w:rPr>
              <w:t>a substantial (20%</w:t>
            </w:r>
            <w:r>
              <w:rPr>
                <w:rFonts w:cs="Arial"/>
                <w:bCs/>
                <w:sz w:val="20"/>
                <w:szCs w:val="20"/>
              </w:rPr>
              <w:t>+</w:t>
            </w:r>
            <w:r w:rsidRPr="00067C22">
              <w:rPr>
                <w:rFonts w:cs="Arial"/>
                <w:bCs/>
                <w:sz w:val="20"/>
                <w:szCs w:val="20"/>
              </w:rPr>
              <w:t>) increase in effort day</w:t>
            </w:r>
            <w:r>
              <w:rPr>
                <w:rFonts w:cs="Arial"/>
                <w:bCs/>
                <w:sz w:val="20"/>
                <w:szCs w:val="20"/>
              </w:rPr>
              <w:t>s, a significant change to this parameter</w:t>
            </w:r>
            <w:r w:rsidRPr="00A7590A">
              <w:rPr>
                <w:rFonts w:cs="Arial"/>
                <w:bCs/>
                <w:sz w:val="20"/>
                <w:szCs w:val="20"/>
              </w:rPr>
              <w:t>.</w:t>
            </w:r>
          </w:p>
          <w:p w14:paraId="4A065438" w14:textId="77777777" w:rsidR="00CE4538" w:rsidRPr="00A7590A" w:rsidRDefault="00CE4538" w:rsidP="00CE4538">
            <w:pPr>
              <w:pStyle w:val="ListParagraph"/>
              <w:numPr>
                <w:ilvl w:val="0"/>
                <w:numId w:val="18"/>
              </w:numPr>
              <w:spacing w:line="276" w:lineRule="auto"/>
              <w:contextualSpacing/>
              <w:rPr>
                <w:rFonts w:cs="Arial"/>
                <w:bCs/>
                <w:sz w:val="20"/>
                <w:szCs w:val="20"/>
              </w:rPr>
            </w:pPr>
            <w:r w:rsidRPr="00A7590A">
              <w:rPr>
                <w:rFonts w:cs="Arial"/>
                <w:bCs/>
                <w:sz w:val="20"/>
                <w:szCs w:val="20"/>
              </w:rPr>
              <w:t>The MSE also considered the broader management framework applied to the harvest, concluding that RHAs</w:t>
            </w:r>
            <w:r w:rsidRPr="00A7590A">
              <w:rPr>
                <w:rFonts w:cs="Arial"/>
                <w:color w:val="333333"/>
                <w:sz w:val="20"/>
                <w:szCs w:val="20"/>
                <w:shd w:val="clear" w:color="auto" w:fill="FFFFFF"/>
              </w:rPr>
              <w:t xml:space="preserve"> together with fishing limits within zones, minimum size limits, and TACs for some high-value species would reduce the risk of locali</w:t>
            </w:r>
            <w:r>
              <w:rPr>
                <w:rFonts w:cs="Arial"/>
                <w:color w:val="333333"/>
                <w:sz w:val="20"/>
                <w:szCs w:val="20"/>
                <w:shd w:val="clear" w:color="auto" w:fill="FFFFFF"/>
              </w:rPr>
              <w:t>s</w:t>
            </w:r>
            <w:r w:rsidRPr="00A7590A">
              <w:rPr>
                <w:rFonts w:cs="Arial"/>
                <w:color w:val="333333"/>
                <w:sz w:val="20"/>
                <w:szCs w:val="20"/>
                <w:shd w:val="clear" w:color="auto" w:fill="FFFFFF"/>
              </w:rPr>
              <w:t xml:space="preserve">ed and overall overexploitation. Importantly there was an assumption that no animals were harvested younger than the minimum size limit. Therefore, the </w:t>
            </w:r>
            <w:r w:rsidRPr="00A7590A">
              <w:rPr>
                <w:rFonts w:cs="Arial"/>
                <w:bCs/>
                <w:sz w:val="20"/>
                <w:szCs w:val="20"/>
              </w:rPr>
              <w:t xml:space="preserve">removal of minimum size limits across all species of sea cucumbers is </w:t>
            </w:r>
            <w:r>
              <w:rPr>
                <w:rFonts w:cs="Arial"/>
                <w:bCs/>
                <w:sz w:val="20"/>
                <w:szCs w:val="20"/>
              </w:rPr>
              <w:t>another significant shift from the original framework</w:t>
            </w:r>
            <w:r w:rsidRPr="00A7590A">
              <w:rPr>
                <w:rFonts w:cs="Arial"/>
                <w:bCs/>
                <w:sz w:val="20"/>
                <w:szCs w:val="20"/>
              </w:rPr>
              <w:t>. Acknowledging the plasticity of form in sea cucumbers, minimum size limit is a common measure applied to the management of sea cucumber fisheries</w:t>
            </w:r>
            <w:r>
              <w:rPr>
                <w:rFonts w:cs="Arial"/>
                <w:bCs/>
                <w:sz w:val="20"/>
                <w:szCs w:val="20"/>
              </w:rPr>
              <w:t>. P</w:t>
            </w:r>
            <w:r w:rsidRPr="00A7590A">
              <w:rPr>
                <w:rFonts w:cs="Arial"/>
                <w:sz w:val="20"/>
                <w:szCs w:val="20"/>
              </w:rPr>
              <w:t xml:space="preserve">rovided they are chosen appropriately, and fishers comply with regulations, </w:t>
            </w:r>
            <w:r>
              <w:rPr>
                <w:rFonts w:cs="Arial"/>
                <w:sz w:val="20"/>
                <w:szCs w:val="20"/>
              </w:rPr>
              <w:t xml:space="preserve">they </w:t>
            </w:r>
            <w:r w:rsidRPr="00A7590A">
              <w:rPr>
                <w:rFonts w:cs="Arial"/>
                <w:sz w:val="20"/>
                <w:szCs w:val="20"/>
              </w:rPr>
              <w:t>have been found to be an effective measure in allowing protection of some individuals and spawning biomass which will then become available after a period of growth.</w:t>
            </w:r>
            <w:r w:rsidRPr="00A7590A">
              <w:rPr>
                <w:rFonts w:cs="Arial"/>
                <w:bCs/>
                <w:sz w:val="20"/>
                <w:szCs w:val="20"/>
              </w:rPr>
              <w:t xml:space="preserve"> </w:t>
            </w:r>
          </w:p>
          <w:p w14:paraId="6FD9C5A0" w14:textId="77777777" w:rsidR="00CE4538" w:rsidRPr="00A7590A" w:rsidRDefault="00CE4538" w:rsidP="00CE4538">
            <w:pPr>
              <w:pStyle w:val="ListParagraph"/>
              <w:numPr>
                <w:ilvl w:val="0"/>
                <w:numId w:val="18"/>
              </w:numPr>
              <w:spacing w:line="276" w:lineRule="auto"/>
              <w:contextualSpacing/>
              <w:rPr>
                <w:rFonts w:cs="Arial"/>
                <w:bCs/>
                <w:sz w:val="20"/>
                <w:szCs w:val="20"/>
              </w:rPr>
            </w:pPr>
            <w:r w:rsidRPr="00A7590A">
              <w:rPr>
                <w:rFonts w:cs="Arial"/>
                <w:bCs/>
                <w:sz w:val="20"/>
                <w:szCs w:val="20"/>
              </w:rPr>
              <w:t>The MSE was based on fishing patterns of 2012, the fishery has changed over the years, new species have been added to the harvest and new information has been collected on species (i.e., new surveys).</w:t>
            </w:r>
            <w:r>
              <w:rPr>
                <w:rFonts w:cs="Arial"/>
                <w:bCs/>
                <w:sz w:val="20"/>
                <w:szCs w:val="20"/>
              </w:rPr>
              <w:t xml:space="preserve"> Together, these changes make the 2014 MSE less relevant in evaluating the current management framework. </w:t>
            </w:r>
            <w:r w:rsidRPr="00A7590A">
              <w:rPr>
                <w:rFonts w:cs="Arial"/>
                <w:bCs/>
                <w:sz w:val="20"/>
                <w:szCs w:val="20"/>
              </w:rPr>
              <w:t xml:space="preserve"> </w:t>
            </w:r>
          </w:p>
          <w:p w14:paraId="107F90CD" w14:textId="77777777" w:rsidR="00CE4538" w:rsidRPr="00A7590A" w:rsidRDefault="00CE4538" w:rsidP="00CE4538">
            <w:pPr>
              <w:pStyle w:val="ListParagraph"/>
              <w:numPr>
                <w:ilvl w:val="0"/>
                <w:numId w:val="18"/>
              </w:numPr>
              <w:spacing w:line="276" w:lineRule="auto"/>
              <w:contextualSpacing/>
              <w:rPr>
                <w:rFonts w:cs="Arial"/>
                <w:bCs/>
                <w:sz w:val="20"/>
                <w:szCs w:val="20"/>
              </w:rPr>
            </w:pPr>
            <w:r w:rsidRPr="00A7590A">
              <w:rPr>
                <w:rFonts w:cs="Arial"/>
                <w:bCs/>
                <w:sz w:val="20"/>
                <w:szCs w:val="20"/>
              </w:rPr>
              <w:lastRenderedPageBreak/>
              <w:t>The 201</w:t>
            </w:r>
            <w:r>
              <w:rPr>
                <w:rFonts w:cs="Arial"/>
                <w:bCs/>
                <w:sz w:val="20"/>
                <w:szCs w:val="20"/>
              </w:rPr>
              <w:t>4</w:t>
            </w:r>
            <w:r w:rsidRPr="00A7590A">
              <w:rPr>
                <w:rFonts w:cs="Arial"/>
                <w:bCs/>
                <w:sz w:val="20"/>
                <w:szCs w:val="20"/>
              </w:rPr>
              <w:t xml:space="preserve"> MSE model </w:t>
            </w:r>
            <w:r>
              <w:rPr>
                <w:rFonts w:cs="Arial"/>
                <w:bCs/>
                <w:sz w:val="20"/>
                <w:szCs w:val="20"/>
              </w:rPr>
              <w:t xml:space="preserve">also </w:t>
            </w:r>
            <w:r w:rsidRPr="00A7590A">
              <w:rPr>
                <w:rFonts w:cs="Arial"/>
                <w:bCs/>
                <w:sz w:val="20"/>
                <w:szCs w:val="20"/>
              </w:rPr>
              <w:t>did not include positive density dependence for fertilisation success, which at the time was</w:t>
            </w:r>
            <w:r>
              <w:rPr>
                <w:rFonts w:cs="Arial"/>
                <w:bCs/>
                <w:sz w:val="20"/>
                <w:szCs w:val="20"/>
              </w:rPr>
              <w:t xml:space="preserve"> already </w:t>
            </w:r>
            <w:r w:rsidRPr="00A7590A">
              <w:rPr>
                <w:rFonts w:cs="Arial"/>
                <w:bCs/>
                <w:sz w:val="20"/>
                <w:szCs w:val="20"/>
              </w:rPr>
              <w:t>hypothesised</w:t>
            </w:r>
            <w:r>
              <w:rPr>
                <w:rFonts w:cs="Arial"/>
                <w:bCs/>
                <w:sz w:val="20"/>
                <w:szCs w:val="20"/>
              </w:rPr>
              <w:t xml:space="preserve"> </w:t>
            </w:r>
            <w:r w:rsidRPr="00C931B8">
              <w:rPr>
                <w:rFonts w:cs="Arial"/>
                <w:bCs/>
                <w:sz w:val="20"/>
                <w:szCs w:val="20"/>
              </w:rPr>
              <w:t>to be responsible for population crashes and slow recovery for sea cucumber fisheries</w:t>
            </w:r>
            <w:r>
              <w:rPr>
                <w:rFonts w:cs="Arial"/>
                <w:bCs/>
                <w:sz w:val="20"/>
                <w:szCs w:val="20"/>
              </w:rPr>
              <w:t xml:space="preserve"> but</w:t>
            </w:r>
            <w:r w:rsidRPr="00A7590A">
              <w:rPr>
                <w:rFonts w:cs="Arial"/>
                <w:bCs/>
                <w:sz w:val="20"/>
                <w:szCs w:val="20"/>
              </w:rPr>
              <w:t xml:space="preserve"> there was little</w:t>
            </w:r>
            <w:r w:rsidRPr="00A7590A">
              <w:rPr>
                <w:rFonts w:cs="Arial"/>
                <w:sz w:val="20"/>
                <w:szCs w:val="20"/>
              </w:rPr>
              <w:t xml:space="preserve"> information </w:t>
            </w:r>
            <w:r>
              <w:rPr>
                <w:rFonts w:cs="Arial"/>
                <w:sz w:val="20"/>
                <w:szCs w:val="20"/>
              </w:rPr>
              <w:t xml:space="preserve">available for </w:t>
            </w:r>
            <w:r w:rsidRPr="00A7590A">
              <w:rPr>
                <w:rFonts w:cs="Arial"/>
                <w:sz w:val="20"/>
                <w:szCs w:val="20"/>
              </w:rPr>
              <w:t>model</w:t>
            </w:r>
            <w:r>
              <w:rPr>
                <w:rFonts w:cs="Arial"/>
                <w:sz w:val="20"/>
                <w:szCs w:val="20"/>
              </w:rPr>
              <w:t>ling</w:t>
            </w:r>
            <w:r w:rsidRPr="00A7590A">
              <w:rPr>
                <w:rFonts w:cs="Arial"/>
                <w:sz w:val="20"/>
                <w:szCs w:val="20"/>
              </w:rPr>
              <w:t xml:space="preserve"> these effects</w:t>
            </w:r>
            <w:r>
              <w:rPr>
                <w:rFonts w:cs="Arial"/>
                <w:sz w:val="20"/>
                <w:szCs w:val="20"/>
              </w:rPr>
              <w:t>.</w:t>
            </w:r>
          </w:p>
          <w:p w14:paraId="08E2BDC0" w14:textId="77777777" w:rsidR="00CE4538" w:rsidRPr="00A7590A" w:rsidRDefault="00CE4538" w:rsidP="00CE4538">
            <w:pPr>
              <w:pStyle w:val="ListParagraph"/>
              <w:numPr>
                <w:ilvl w:val="0"/>
                <w:numId w:val="18"/>
              </w:numPr>
              <w:spacing w:line="276" w:lineRule="auto"/>
              <w:contextualSpacing/>
              <w:rPr>
                <w:rFonts w:cs="Arial"/>
                <w:bCs/>
                <w:sz w:val="20"/>
                <w:szCs w:val="20"/>
              </w:rPr>
            </w:pPr>
            <w:r w:rsidRPr="00A7590A">
              <w:rPr>
                <w:rFonts w:cs="Arial"/>
                <w:bCs/>
                <w:sz w:val="20"/>
                <w:szCs w:val="20"/>
              </w:rPr>
              <w:t>Industry stewardship has been an important factor in the management approach taken</w:t>
            </w:r>
            <w:r>
              <w:rPr>
                <w:rFonts w:cs="Arial"/>
                <w:bCs/>
                <w:sz w:val="20"/>
                <w:szCs w:val="20"/>
              </w:rPr>
              <w:t xml:space="preserve"> in</w:t>
            </w:r>
            <w:r w:rsidRPr="00A7590A">
              <w:rPr>
                <w:rFonts w:cs="Arial"/>
                <w:bCs/>
                <w:sz w:val="20"/>
                <w:szCs w:val="20"/>
              </w:rPr>
              <w:t xml:space="preserve"> this fishery. While voluntary measures and stewardship are a nimbler and at times more effective way of ensuring compliance,</w:t>
            </w:r>
            <w:r>
              <w:rPr>
                <w:rFonts w:cs="Arial"/>
                <w:bCs/>
                <w:sz w:val="20"/>
                <w:szCs w:val="20"/>
              </w:rPr>
              <w:t xml:space="preserve"> alone</w:t>
            </w:r>
            <w:r w:rsidRPr="00A7590A">
              <w:rPr>
                <w:rFonts w:cs="Arial"/>
                <w:bCs/>
                <w:sz w:val="20"/>
                <w:szCs w:val="20"/>
              </w:rPr>
              <w:t xml:space="preserve"> it does not future proof management measures against changes in the industry composition. To do so, it is important that management arrangements are be based on clear and enforceable measures</w:t>
            </w:r>
            <w:r>
              <w:rPr>
                <w:rFonts w:cs="Arial"/>
                <w:bCs/>
                <w:sz w:val="20"/>
                <w:szCs w:val="20"/>
              </w:rPr>
              <w:t>. Having included some elements from the MoU into the Harvest Strategy for the fishery has already gone some way towards that.</w:t>
            </w:r>
            <w:r w:rsidRPr="00A7590A">
              <w:rPr>
                <w:rFonts w:cs="Arial"/>
                <w:bCs/>
                <w:sz w:val="20"/>
                <w:szCs w:val="20"/>
              </w:rPr>
              <w:t xml:space="preserve"> </w:t>
            </w:r>
          </w:p>
          <w:p w14:paraId="7D9627D8" w14:textId="77777777" w:rsidR="00CE4538" w:rsidRPr="00A7590A" w:rsidRDefault="00CE4538" w:rsidP="00CE4538">
            <w:pPr>
              <w:spacing w:line="276" w:lineRule="auto"/>
              <w:rPr>
                <w:rFonts w:cs="Arial"/>
                <w:bCs/>
                <w:sz w:val="20"/>
                <w:szCs w:val="20"/>
              </w:rPr>
            </w:pPr>
            <w:r>
              <w:rPr>
                <w:rFonts w:cs="Arial"/>
                <w:bCs/>
                <w:sz w:val="20"/>
                <w:szCs w:val="20"/>
              </w:rPr>
              <w:t>Further, t</w:t>
            </w:r>
            <w:r w:rsidRPr="00A7590A">
              <w:rPr>
                <w:rFonts w:cs="Arial"/>
                <w:bCs/>
                <w:sz w:val="20"/>
                <w:szCs w:val="20"/>
              </w:rPr>
              <w:t xml:space="preserve">he 2015 MSE made </w:t>
            </w:r>
            <w:r>
              <w:rPr>
                <w:rFonts w:cs="Arial"/>
                <w:bCs/>
                <w:sz w:val="20"/>
                <w:szCs w:val="20"/>
              </w:rPr>
              <w:t>four</w:t>
            </w:r>
            <w:r w:rsidRPr="00A7590A">
              <w:rPr>
                <w:rFonts w:cs="Arial"/>
                <w:bCs/>
                <w:sz w:val="20"/>
                <w:szCs w:val="20"/>
              </w:rPr>
              <w:t xml:space="preserve"> recommendations to improve the management of the fishery into the future. </w:t>
            </w:r>
          </w:p>
          <w:p w14:paraId="0483730C" w14:textId="77777777" w:rsidR="00CE4538" w:rsidRPr="00A7590A" w:rsidRDefault="00CE4538" w:rsidP="00CE4538">
            <w:pPr>
              <w:spacing w:line="276" w:lineRule="auto"/>
              <w:rPr>
                <w:rFonts w:cs="Arial"/>
                <w:bCs/>
                <w:sz w:val="20"/>
                <w:szCs w:val="20"/>
              </w:rPr>
            </w:pPr>
            <w:r w:rsidRPr="00A7590A">
              <w:rPr>
                <w:rFonts w:cs="Arial"/>
                <w:bCs/>
                <w:sz w:val="20"/>
                <w:szCs w:val="20"/>
              </w:rPr>
              <w:t>Recommendations include</w:t>
            </w:r>
            <w:r>
              <w:rPr>
                <w:rFonts w:cs="Arial"/>
                <w:bCs/>
                <w:sz w:val="20"/>
                <w:szCs w:val="20"/>
              </w:rPr>
              <w:t>d</w:t>
            </w:r>
            <w:r w:rsidRPr="00A7590A">
              <w:rPr>
                <w:rFonts w:cs="Arial"/>
                <w:bCs/>
                <w:sz w:val="20"/>
                <w:szCs w:val="20"/>
              </w:rPr>
              <w:t>:</w:t>
            </w:r>
          </w:p>
          <w:p w14:paraId="41E1444A" w14:textId="77777777" w:rsidR="00CE4538" w:rsidRPr="00A7590A" w:rsidRDefault="00CE4538" w:rsidP="00CE4538">
            <w:pPr>
              <w:pStyle w:val="ListParagraph"/>
              <w:numPr>
                <w:ilvl w:val="0"/>
                <w:numId w:val="19"/>
              </w:numPr>
              <w:spacing w:line="276" w:lineRule="auto"/>
              <w:contextualSpacing/>
              <w:rPr>
                <w:rFonts w:cs="Arial"/>
                <w:sz w:val="20"/>
                <w:szCs w:val="20"/>
              </w:rPr>
            </w:pPr>
            <w:r w:rsidRPr="00A7590A">
              <w:rPr>
                <w:rFonts w:cs="Arial"/>
                <w:sz w:val="20"/>
                <w:szCs w:val="20"/>
              </w:rPr>
              <w:t xml:space="preserve">Maintain, </w:t>
            </w:r>
            <w:proofErr w:type="gramStart"/>
            <w:r w:rsidRPr="00A7590A">
              <w:rPr>
                <w:rFonts w:cs="Arial"/>
                <w:sz w:val="20"/>
                <w:szCs w:val="20"/>
              </w:rPr>
              <w:t>strengthen</w:t>
            </w:r>
            <w:proofErr w:type="gramEnd"/>
            <w:r w:rsidRPr="00A7590A">
              <w:rPr>
                <w:rFonts w:cs="Arial"/>
                <w:sz w:val="20"/>
                <w:szCs w:val="20"/>
              </w:rPr>
              <w:t xml:space="preserve"> and develop the (then) current Rotational Zoning Scheme (RZS) in the ECBDMF. Consider increasing rotational periodicity and a wider spread of fished zones as this is likely to reduce further the risk of localised depletion and improve the overall sustainability of the fishery.</w:t>
            </w:r>
          </w:p>
          <w:p w14:paraId="7A0595CF" w14:textId="77777777" w:rsidR="00CE4538" w:rsidRPr="00A7590A" w:rsidRDefault="00CE4538" w:rsidP="00CE4538">
            <w:pPr>
              <w:pStyle w:val="ListParagraph"/>
              <w:numPr>
                <w:ilvl w:val="0"/>
                <w:numId w:val="19"/>
              </w:numPr>
              <w:spacing w:line="276" w:lineRule="auto"/>
              <w:contextualSpacing/>
              <w:rPr>
                <w:rFonts w:cs="Arial"/>
                <w:sz w:val="20"/>
                <w:szCs w:val="20"/>
              </w:rPr>
            </w:pPr>
            <w:r w:rsidRPr="00A7590A">
              <w:rPr>
                <w:rFonts w:cs="Arial"/>
                <w:sz w:val="20"/>
                <w:szCs w:val="20"/>
              </w:rPr>
              <w:t xml:space="preserve">Address important information gaps for higher risk species such as Burrowing Blackfish and White </w:t>
            </w:r>
            <w:proofErr w:type="spellStart"/>
            <w:r w:rsidRPr="00A7590A">
              <w:rPr>
                <w:rFonts w:cs="Arial"/>
                <w:sz w:val="20"/>
                <w:szCs w:val="20"/>
              </w:rPr>
              <w:t>Teatfish</w:t>
            </w:r>
            <w:proofErr w:type="spellEnd"/>
            <w:r w:rsidRPr="00A7590A">
              <w:rPr>
                <w:rFonts w:cs="Arial"/>
                <w:sz w:val="20"/>
                <w:szCs w:val="20"/>
              </w:rPr>
              <w:t xml:space="preserve">, including the distribution and density of Burrowing Blackfish outside the fished zones, and the density of White </w:t>
            </w:r>
            <w:proofErr w:type="spellStart"/>
            <w:r w:rsidRPr="00A7590A">
              <w:rPr>
                <w:rFonts w:cs="Arial"/>
                <w:sz w:val="20"/>
                <w:szCs w:val="20"/>
              </w:rPr>
              <w:t>Teatfish</w:t>
            </w:r>
            <w:proofErr w:type="spellEnd"/>
            <w:r w:rsidRPr="00A7590A">
              <w:rPr>
                <w:rFonts w:cs="Arial"/>
                <w:sz w:val="20"/>
                <w:szCs w:val="20"/>
              </w:rPr>
              <w:t xml:space="preserve"> throughout the fishery. </w:t>
            </w:r>
          </w:p>
          <w:p w14:paraId="4351189D" w14:textId="77777777" w:rsidR="00CE4538" w:rsidRPr="00A7590A" w:rsidRDefault="00CE4538" w:rsidP="00CE4538">
            <w:pPr>
              <w:pStyle w:val="ListParagraph"/>
              <w:numPr>
                <w:ilvl w:val="0"/>
                <w:numId w:val="19"/>
              </w:numPr>
              <w:spacing w:line="276" w:lineRule="auto"/>
              <w:contextualSpacing/>
              <w:rPr>
                <w:rFonts w:cs="Arial"/>
                <w:sz w:val="20"/>
                <w:szCs w:val="20"/>
              </w:rPr>
            </w:pPr>
            <w:r w:rsidRPr="00A7590A">
              <w:rPr>
                <w:rFonts w:cs="Arial"/>
                <w:sz w:val="20"/>
                <w:szCs w:val="20"/>
              </w:rPr>
              <w:t xml:space="preserve">Address important information gaps that will increase model certainty and hence the robustness of management recommendations; especially size/age at maturity, </w:t>
            </w:r>
            <w:proofErr w:type="gramStart"/>
            <w:r w:rsidRPr="00A7590A">
              <w:rPr>
                <w:rFonts w:cs="Arial"/>
                <w:sz w:val="20"/>
                <w:szCs w:val="20"/>
              </w:rPr>
              <w:t>growth</w:t>
            </w:r>
            <w:proofErr w:type="gramEnd"/>
            <w:r w:rsidRPr="00A7590A">
              <w:rPr>
                <w:rFonts w:cs="Arial"/>
                <w:sz w:val="20"/>
                <w:szCs w:val="20"/>
              </w:rPr>
              <w:t xml:space="preserve"> and natural mortality of targeted sea cucumber species. </w:t>
            </w:r>
          </w:p>
          <w:p w14:paraId="192A26F7" w14:textId="77777777" w:rsidR="00CE4538" w:rsidRDefault="00CE4538" w:rsidP="00CE4538">
            <w:pPr>
              <w:pStyle w:val="ListParagraph"/>
              <w:numPr>
                <w:ilvl w:val="0"/>
                <w:numId w:val="19"/>
              </w:numPr>
              <w:spacing w:line="276" w:lineRule="auto"/>
              <w:contextualSpacing/>
              <w:rPr>
                <w:rFonts w:cs="Arial"/>
                <w:sz w:val="20"/>
                <w:szCs w:val="20"/>
              </w:rPr>
            </w:pPr>
            <w:r w:rsidRPr="00A7590A">
              <w:rPr>
                <w:rFonts w:cs="Arial"/>
                <w:sz w:val="20"/>
                <w:szCs w:val="20"/>
              </w:rPr>
              <w:t>Apply MSE approach to any new species in the ECBDMF that exceed the trigger limits implemented for the fishery.</w:t>
            </w:r>
          </w:p>
          <w:p w14:paraId="1D776857" w14:textId="012582BD" w:rsidR="00CE4538" w:rsidRPr="00A7590A" w:rsidRDefault="00CE4538" w:rsidP="00CE4538">
            <w:pPr>
              <w:spacing w:before="60" w:after="60" w:line="276" w:lineRule="auto"/>
              <w:contextualSpacing/>
              <w:rPr>
                <w:rFonts w:cs="Arial"/>
                <w:b/>
                <w:sz w:val="20"/>
                <w:szCs w:val="20"/>
                <w:u w:val="single"/>
              </w:rPr>
            </w:pPr>
            <w:r w:rsidRPr="00835CA7">
              <w:rPr>
                <w:rFonts w:cs="Arial"/>
                <w:bCs/>
                <w:sz w:val="20"/>
                <w:szCs w:val="20"/>
              </w:rPr>
              <w:lastRenderedPageBreak/>
              <w:t>It does not appear these recommendations were progressed.</w:t>
            </w:r>
            <w:r>
              <w:rPr>
                <w:rFonts w:cs="Arial"/>
                <w:bCs/>
                <w:sz w:val="20"/>
                <w:szCs w:val="20"/>
              </w:rPr>
              <w:t xml:space="preserve"> While not progressing the recommendations from the 2014 MSE will possibly make a new MSE less powerful than it would have been otherwise, the changes in the management settings for the fishery do support a need for the revised MSE. </w:t>
            </w:r>
          </w:p>
        </w:tc>
        <w:tc>
          <w:tcPr>
            <w:tcW w:w="2500" w:type="pct"/>
          </w:tcPr>
          <w:p w14:paraId="264A635B" w14:textId="33A4AA15" w:rsidR="009B5072" w:rsidRPr="008E296F" w:rsidRDefault="009B5072" w:rsidP="009B5072">
            <w:pPr>
              <w:keepNext/>
              <w:spacing w:line="252" w:lineRule="auto"/>
              <w:rPr>
                <w:rFonts w:cs="Arial"/>
                <w:b/>
                <w:sz w:val="20"/>
                <w:szCs w:val="20"/>
              </w:rPr>
            </w:pPr>
            <w:r w:rsidRPr="008E296F">
              <w:rPr>
                <w:rFonts w:cs="Arial"/>
                <w:b/>
                <w:sz w:val="20"/>
                <w:szCs w:val="20"/>
              </w:rPr>
              <w:lastRenderedPageBreak/>
              <w:t>Condition 5</w:t>
            </w:r>
          </w:p>
          <w:p w14:paraId="0ED2710E" w14:textId="77777777" w:rsidR="009B5072" w:rsidRDefault="009B5072" w:rsidP="009B5072">
            <w:pPr>
              <w:spacing w:line="276" w:lineRule="auto"/>
              <w:contextualSpacing/>
              <w:rPr>
                <w:rFonts w:cs="Arial"/>
                <w:sz w:val="20"/>
                <w:szCs w:val="20"/>
              </w:rPr>
            </w:pPr>
            <w:r>
              <w:rPr>
                <w:rFonts w:cs="Arial"/>
                <w:sz w:val="20"/>
                <w:szCs w:val="20"/>
              </w:rPr>
              <w:t xml:space="preserve">The Queensland Department of Agriculture and Fisheries must commission a Management Strategy Evaluation (MSE) </w:t>
            </w:r>
            <w:r w:rsidRPr="00A7590A">
              <w:rPr>
                <w:rFonts w:cs="Arial"/>
                <w:sz w:val="20"/>
                <w:szCs w:val="20"/>
              </w:rPr>
              <w:t xml:space="preserve">to evaluate the </w:t>
            </w:r>
            <w:r>
              <w:rPr>
                <w:rFonts w:cs="Arial"/>
                <w:sz w:val="20"/>
                <w:szCs w:val="20"/>
              </w:rPr>
              <w:t>ability of the</w:t>
            </w:r>
            <w:r w:rsidRPr="00A7590A">
              <w:rPr>
                <w:rFonts w:cs="Arial"/>
                <w:sz w:val="20"/>
                <w:szCs w:val="20"/>
              </w:rPr>
              <w:t xml:space="preserve"> </w:t>
            </w:r>
            <w:r>
              <w:rPr>
                <w:rFonts w:cs="Arial"/>
                <w:sz w:val="20"/>
                <w:szCs w:val="20"/>
              </w:rPr>
              <w:t xml:space="preserve">settings contained in the </w:t>
            </w:r>
            <w:r w:rsidRPr="00A7590A">
              <w:rPr>
                <w:rFonts w:cs="Arial"/>
                <w:sz w:val="20"/>
                <w:szCs w:val="20"/>
              </w:rPr>
              <w:t>‘</w:t>
            </w:r>
            <w:r w:rsidRPr="00A7590A">
              <w:rPr>
                <w:rFonts w:cs="Arial"/>
                <w:i/>
                <w:iCs/>
                <w:sz w:val="20"/>
                <w:szCs w:val="20"/>
              </w:rPr>
              <w:t>Queensland Sea cucumber fishery harvest strategy 2021</w:t>
            </w:r>
            <w:r>
              <w:rPr>
                <w:rFonts w:cs="Arial"/>
                <w:i/>
                <w:iCs/>
                <w:sz w:val="20"/>
                <w:szCs w:val="20"/>
              </w:rPr>
              <w:t>–</w:t>
            </w:r>
            <w:r w:rsidRPr="00A7590A">
              <w:rPr>
                <w:rFonts w:cs="Arial"/>
                <w:i/>
                <w:iCs/>
                <w:sz w:val="20"/>
                <w:szCs w:val="20"/>
              </w:rPr>
              <w:t>2026</w:t>
            </w:r>
            <w:r w:rsidRPr="00A7590A">
              <w:rPr>
                <w:rFonts w:cs="Arial"/>
                <w:sz w:val="20"/>
                <w:szCs w:val="20"/>
              </w:rPr>
              <w:t>’</w:t>
            </w:r>
            <w:r>
              <w:rPr>
                <w:rFonts w:cs="Arial"/>
                <w:sz w:val="20"/>
                <w:szCs w:val="20"/>
              </w:rPr>
              <w:t xml:space="preserve"> and any other legislated and enforceable management arrangements to meet the fishery’s objectives of attaining maximum economic yield (defined in the harvest strategy as target</w:t>
            </w:r>
            <w:r w:rsidRPr="00A7590A">
              <w:rPr>
                <w:rFonts w:cs="Arial"/>
                <w:sz w:val="20"/>
                <w:szCs w:val="20"/>
              </w:rPr>
              <w:t xml:space="preserve"> biomass level of 60%</w:t>
            </w:r>
            <w:r>
              <w:rPr>
                <w:rFonts w:cs="Arial"/>
                <w:sz w:val="20"/>
                <w:szCs w:val="20"/>
              </w:rPr>
              <w:t xml:space="preserve"> of unfished biomass for stocks harvested in the fishery)</w:t>
            </w:r>
            <w:r w:rsidRPr="00A7590A">
              <w:rPr>
                <w:rFonts w:cs="Arial"/>
                <w:sz w:val="20"/>
                <w:szCs w:val="20"/>
              </w:rPr>
              <w:t>.</w:t>
            </w:r>
            <w:r>
              <w:rPr>
                <w:rFonts w:cs="Arial"/>
                <w:sz w:val="20"/>
                <w:szCs w:val="20"/>
              </w:rPr>
              <w:t xml:space="preserve"> </w:t>
            </w:r>
            <w:r w:rsidRPr="00A7590A">
              <w:rPr>
                <w:rFonts w:cs="Arial"/>
                <w:sz w:val="20"/>
                <w:szCs w:val="20"/>
              </w:rPr>
              <w:t>The MSE</w:t>
            </w:r>
            <w:r>
              <w:rPr>
                <w:rFonts w:cs="Arial"/>
                <w:sz w:val="20"/>
                <w:szCs w:val="20"/>
              </w:rPr>
              <w:t xml:space="preserve"> must</w:t>
            </w:r>
            <w:r w:rsidRPr="00A7590A">
              <w:rPr>
                <w:rFonts w:cs="Arial"/>
                <w:sz w:val="20"/>
                <w:szCs w:val="20"/>
              </w:rPr>
              <w:t xml:space="preserve"> consider the risk posed to each individual species harvested in the fishery</w:t>
            </w:r>
            <w:r>
              <w:rPr>
                <w:rFonts w:cs="Arial"/>
                <w:sz w:val="20"/>
                <w:szCs w:val="20"/>
              </w:rPr>
              <w:t>,</w:t>
            </w:r>
            <w:r w:rsidRPr="00A7590A">
              <w:rPr>
                <w:rFonts w:cs="Arial"/>
                <w:sz w:val="20"/>
                <w:szCs w:val="20"/>
              </w:rPr>
              <w:t xml:space="preserve"> </w:t>
            </w:r>
            <w:r>
              <w:rPr>
                <w:rFonts w:cs="Arial"/>
                <w:sz w:val="20"/>
                <w:szCs w:val="20"/>
              </w:rPr>
              <w:t xml:space="preserve">identify information needs and </w:t>
            </w:r>
            <w:r w:rsidRPr="00A7590A">
              <w:rPr>
                <w:rFonts w:cs="Arial"/>
                <w:sz w:val="20"/>
                <w:szCs w:val="20"/>
              </w:rPr>
              <w:t xml:space="preserve">make recommendations for any improvements to </w:t>
            </w:r>
            <w:r>
              <w:rPr>
                <w:rFonts w:cs="Arial"/>
                <w:sz w:val="20"/>
                <w:szCs w:val="20"/>
              </w:rPr>
              <w:t xml:space="preserve">the </w:t>
            </w:r>
            <w:r w:rsidRPr="00A7590A">
              <w:rPr>
                <w:rFonts w:cs="Arial"/>
                <w:sz w:val="20"/>
                <w:szCs w:val="20"/>
              </w:rPr>
              <w:t xml:space="preserve">management arrangements considered necessary </w:t>
            </w:r>
            <w:r>
              <w:rPr>
                <w:rFonts w:cs="Arial"/>
                <w:sz w:val="20"/>
                <w:szCs w:val="20"/>
              </w:rPr>
              <w:t>for the management of the fishery to meet its objective.</w:t>
            </w:r>
          </w:p>
          <w:p w14:paraId="3A47D524" w14:textId="77777777" w:rsidR="009B5072" w:rsidRDefault="009B5072" w:rsidP="009B5072">
            <w:pPr>
              <w:pStyle w:val="ListParagraph"/>
              <w:numPr>
                <w:ilvl w:val="0"/>
                <w:numId w:val="20"/>
              </w:numPr>
              <w:spacing w:line="276" w:lineRule="auto"/>
              <w:contextualSpacing/>
              <w:rPr>
                <w:rFonts w:cs="Arial"/>
                <w:sz w:val="20"/>
                <w:szCs w:val="20"/>
              </w:rPr>
            </w:pPr>
            <w:r>
              <w:rPr>
                <w:rFonts w:cs="Arial"/>
                <w:sz w:val="20"/>
                <w:szCs w:val="20"/>
              </w:rPr>
              <w:t xml:space="preserve">The scope and </w:t>
            </w:r>
            <w:r w:rsidRPr="00020E61">
              <w:rPr>
                <w:rFonts w:cs="Arial"/>
                <w:sz w:val="20"/>
                <w:szCs w:val="20"/>
              </w:rPr>
              <w:t>Terms of Reference for this review</w:t>
            </w:r>
            <w:r>
              <w:rPr>
                <w:rFonts w:cs="Arial"/>
                <w:sz w:val="20"/>
                <w:szCs w:val="20"/>
              </w:rPr>
              <w:t xml:space="preserve"> </w:t>
            </w:r>
            <w:r w:rsidRPr="00020E61">
              <w:rPr>
                <w:rFonts w:cs="Arial"/>
                <w:sz w:val="20"/>
                <w:szCs w:val="20"/>
              </w:rPr>
              <w:t>should be developed in consultation with the Department of Agriculture</w:t>
            </w:r>
            <w:r>
              <w:rPr>
                <w:rFonts w:cs="Arial"/>
                <w:sz w:val="20"/>
                <w:szCs w:val="20"/>
              </w:rPr>
              <w:t>,</w:t>
            </w:r>
            <w:r w:rsidRPr="00020E61">
              <w:rPr>
                <w:rFonts w:cs="Arial"/>
                <w:sz w:val="20"/>
                <w:szCs w:val="20"/>
              </w:rPr>
              <w:t xml:space="preserve"> </w:t>
            </w:r>
            <w:proofErr w:type="gramStart"/>
            <w:r w:rsidRPr="00020E61">
              <w:rPr>
                <w:rFonts w:cs="Arial"/>
                <w:sz w:val="20"/>
                <w:szCs w:val="20"/>
              </w:rPr>
              <w:t>Water</w:t>
            </w:r>
            <w:proofErr w:type="gramEnd"/>
            <w:r w:rsidRPr="00020E61">
              <w:rPr>
                <w:rFonts w:cs="Arial"/>
                <w:sz w:val="20"/>
                <w:szCs w:val="20"/>
              </w:rPr>
              <w:t xml:space="preserve"> and the Environment</w:t>
            </w:r>
            <w:r>
              <w:rPr>
                <w:rFonts w:cs="Arial"/>
                <w:sz w:val="20"/>
                <w:szCs w:val="20"/>
              </w:rPr>
              <w:t>.</w:t>
            </w:r>
          </w:p>
          <w:p w14:paraId="70C8A29D" w14:textId="77777777" w:rsidR="009B5072" w:rsidRDefault="009B5072" w:rsidP="009B5072">
            <w:pPr>
              <w:pStyle w:val="ListParagraph"/>
              <w:numPr>
                <w:ilvl w:val="0"/>
                <w:numId w:val="20"/>
              </w:numPr>
              <w:spacing w:line="276" w:lineRule="auto"/>
              <w:contextualSpacing/>
              <w:rPr>
                <w:rFonts w:cs="Arial"/>
                <w:sz w:val="20"/>
                <w:szCs w:val="20"/>
              </w:rPr>
            </w:pPr>
            <w:r w:rsidRPr="00A93AED">
              <w:rPr>
                <w:rFonts w:cs="Arial"/>
                <w:sz w:val="20"/>
                <w:szCs w:val="20"/>
              </w:rPr>
              <w:t>The updated MSE must</w:t>
            </w:r>
            <w:r>
              <w:rPr>
                <w:rFonts w:cs="Arial"/>
                <w:sz w:val="20"/>
                <w:szCs w:val="20"/>
              </w:rPr>
              <w:t xml:space="preserve"> include all new data, including data from fishery independent surveys. The updated MSE must</w:t>
            </w:r>
            <w:r w:rsidRPr="00A93AED">
              <w:rPr>
                <w:rFonts w:cs="Arial"/>
                <w:sz w:val="20"/>
                <w:szCs w:val="20"/>
              </w:rPr>
              <w:t xml:space="preserve"> be published on the Queensland Department of Agriculture and Fisheries website, alongside the Harvest Strategy for the fishery by</w:t>
            </w:r>
            <w:r>
              <w:rPr>
                <w:rFonts w:cs="Arial"/>
                <w:sz w:val="20"/>
                <w:szCs w:val="20"/>
              </w:rPr>
              <w:t xml:space="preserve"> no later than the commencement of the 2023–24 fishing season</w:t>
            </w:r>
            <w:r w:rsidRPr="00A93AED">
              <w:rPr>
                <w:rFonts w:cs="Arial"/>
                <w:sz w:val="20"/>
                <w:szCs w:val="20"/>
              </w:rPr>
              <w:t xml:space="preserve">. </w:t>
            </w:r>
          </w:p>
          <w:p w14:paraId="5C134763" w14:textId="77777777" w:rsidR="009B5072" w:rsidRDefault="009B5072" w:rsidP="009B5072">
            <w:pPr>
              <w:pStyle w:val="ListParagraph"/>
              <w:numPr>
                <w:ilvl w:val="0"/>
                <w:numId w:val="20"/>
              </w:numPr>
              <w:spacing w:line="276" w:lineRule="auto"/>
              <w:contextualSpacing/>
              <w:rPr>
                <w:rFonts w:cs="Arial"/>
                <w:sz w:val="20"/>
                <w:szCs w:val="20"/>
              </w:rPr>
            </w:pPr>
            <w:r w:rsidRPr="00A93AED">
              <w:rPr>
                <w:rFonts w:cs="Arial"/>
                <w:sz w:val="20"/>
                <w:szCs w:val="20"/>
              </w:rPr>
              <w:t>T</w:t>
            </w:r>
            <w:r w:rsidRPr="00D56BC5">
              <w:rPr>
                <w:rFonts w:cs="Arial"/>
                <w:sz w:val="20"/>
                <w:szCs w:val="20"/>
              </w:rPr>
              <w:t xml:space="preserve">he </w:t>
            </w:r>
            <w:r w:rsidRPr="00D147EE">
              <w:rPr>
                <w:rFonts w:cs="Arial"/>
                <w:sz w:val="20"/>
                <w:szCs w:val="20"/>
              </w:rPr>
              <w:t>outcomes of the MSE must be considered as part of</w:t>
            </w:r>
            <w:r>
              <w:rPr>
                <w:rFonts w:cs="Arial"/>
                <w:sz w:val="20"/>
                <w:szCs w:val="20"/>
              </w:rPr>
              <w:t xml:space="preserve"> an </w:t>
            </w:r>
            <w:r w:rsidRPr="00D147EE">
              <w:rPr>
                <w:rFonts w:cs="Arial"/>
                <w:sz w:val="20"/>
                <w:szCs w:val="20"/>
              </w:rPr>
              <w:t>implementation plan</w:t>
            </w:r>
            <w:r>
              <w:rPr>
                <w:rFonts w:cs="Arial"/>
                <w:sz w:val="20"/>
                <w:szCs w:val="20"/>
              </w:rPr>
              <w:t xml:space="preserve"> to be provided to the Department of Agriculture, </w:t>
            </w:r>
            <w:proofErr w:type="gramStart"/>
            <w:r>
              <w:rPr>
                <w:rFonts w:cs="Arial"/>
                <w:sz w:val="20"/>
                <w:szCs w:val="20"/>
              </w:rPr>
              <w:t>Water</w:t>
            </w:r>
            <w:proofErr w:type="gramEnd"/>
            <w:r>
              <w:rPr>
                <w:rFonts w:cs="Arial"/>
                <w:sz w:val="20"/>
                <w:szCs w:val="20"/>
              </w:rPr>
              <w:t xml:space="preserve"> and the Environment</w:t>
            </w:r>
            <w:r w:rsidRPr="00D147EE">
              <w:rPr>
                <w:rFonts w:cs="Arial"/>
                <w:sz w:val="20"/>
                <w:szCs w:val="20"/>
              </w:rPr>
              <w:t xml:space="preserve"> </w:t>
            </w:r>
            <w:r>
              <w:rPr>
                <w:rFonts w:cs="Arial"/>
                <w:sz w:val="20"/>
                <w:szCs w:val="20"/>
              </w:rPr>
              <w:t>by no later than six months before the end of the WTO. A</w:t>
            </w:r>
            <w:r w:rsidRPr="00D147EE">
              <w:rPr>
                <w:rFonts w:cs="Arial"/>
                <w:sz w:val="20"/>
                <w:szCs w:val="20"/>
              </w:rPr>
              <w:t xml:space="preserve">ny </w:t>
            </w:r>
            <w:r>
              <w:rPr>
                <w:rFonts w:cs="Arial"/>
                <w:sz w:val="20"/>
                <w:szCs w:val="20"/>
              </w:rPr>
              <w:t xml:space="preserve">required </w:t>
            </w:r>
            <w:r w:rsidRPr="00D147EE">
              <w:rPr>
                <w:rFonts w:cs="Arial"/>
                <w:sz w:val="20"/>
                <w:szCs w:val="20"/>
              </w:rPr>
              <w:t xml:space="preserve">changes to management </w:t>
            </w:r>
            <w:r w:rsidRPr="00A93AED">
              <w:rPr>
                <w:rFonts w:cs="Arial"/>
                <w:sz w:val="20"/>
                <w:szCs w:val="20"/>
              </w:rPr>
              <w:t>of the fishery</w:t>
            </w:r>
            <w:r>
              <w:rPr>
                <w:rFonts w:cs="Arial"/>
                <w:sz w:val="20"/>
                <w:szCs w:val="20"/>
              </w:rPr>
              <w:t xml:space="preserve"> must also be</w:t>
            </w:r>
            <w:r w:rsidRPr="00A93AED">
              <w:rPr>
                <w:rFonts w:cs="Arial"/>
                <w:sz w:val="20"/>
                <w:szCs w:val="20"/>
              </w:rPr>
              <w:t xml:space="preserve"> implemented</w:t>
            </w:r>
            <w:r>
              <w:rPr>
                <w:rFonts w:cs="Arial"/>
                <w:sz w:val="20"/>
                <w:szCs w:val="20"/>
              </w:rPr>
              <w:t xml:space="preserve"> by that time.</w:t>
            </w:r>
          </w:p>
          <w:p w14:paraId="6AA67F99" w14:textId="77777777" w:rsidR="009B5072" w:rsidRDefault="009B5072" w:rsidP="009B5072">
            <w:pPr>
              <w:keepNext/>
              <w:spacing w:line="252" w:lineRule="auto"/>
              <w:rPr>
                <w:rFonts w:cs="Arial"/>
                <w:b/>
                <w:sz w:val="20"/>
                <w:szCs w:val="20"/>
              </w:rPr>
            </w:pPr>
          </w:p>
          <w:p w14:paraId="1079FA3C" w14:textId="77777777" w:rsidR="009B5072" w:rsidRDefault="009B5072" w:rsidP="009B5072">
            <w:pPr>
              <w:keepNext/>
              <w:spacing w:line="252" w:lineRule="auto"/>
              <w:rPr>
                <w:rFonts w:cs="Arial"/>
                <w:b/>
                <w:sz w:val="20"/>
                <w:szCs w:val="20"/>
              </w:rPr>
            </w:pPr>
          </w:p>
          <w:p w14:paraId="3281879F" w14:textId="60CA351C" w:rsidR="009B5072" w:rsidRDefault="009B5072" w:rsidP="009B5072">
            <w:pPr>
              <w:keepNext/>
              <w:spacing w:line="252" w:lineRule="auto"/>
              <w:rPr>
                <w:rFonts w:cs="Arial"/>
                <w:b/>
                <w:sz w:val="20"/>
                <w:szCs w:val="20"/>
              </w:rPr>
            </w:pPr>
          </w:p>
          <w:p w14:paraId="48645CE5" w14:textId="4D4CA258" w:rsidR="009B5072" w:rsidRDefault="009B5072" w:rsidP="009B5072">
            <w:pPr>
              <w:keepNext/>
              <w:spacing w:line="252" w:lineRule="auto"/>
              <w:rPr>
                <w:rFonts w:cs="Arial"/>
                <w:b/>
                <w:sz w:val="20"/>
                <w:szCs w:val="20"/>
              </w:rPr>
            </w:pPr>
          </w:p>
          <w:p w14:paraId="0FFCEC0E" w14:textId="74F87FA4" w:rsidR="009B5072" w:rsidRDefault="009B5072" w:rsidP="009B5072">
            <w:pPr>
              <w:keepNext/>
              <w:spacing w:line="252" w:lineRule="auto"/>
              <w:rPr>
                <w:rFonts w:cs="Arial"/>
                <w:b/>
                <w:sz w:val="20"/>
                <w:szCs w:val="20"/>
              </w:rPr>
            </w:pPr>
          </w:p>
          <w:p w14:paraId="7C45BD5F" w14:textId="1A7EDD06" w:rsidR="009B5072" w:rsidRDefault="009B5072" w:rsidP="009B5072">
            <w:pPr>
              <w:keepNext/>
              <w:spacing w:line="252" w:lineRule="auto"/>
              <w:rPr>
                <w:rFonts w:cs="Arial"/>
                <w:b/>
                <w:sz w:val="20"/>
                <w:szCs w:val="20"/>
              </w:rPr>
            </w:pPr>
          </w:p>
          <w:p w14:paraId="0FF1FE3B" w14:textId="51B2E91C" w:rsidR="009B5072" w:rsidRDefault="009B5072" w:rsidP="009B5072">
            <w:pPr>
              <w:keepNext/>
              <w:spacing w:line="252" w:lineRule="auto"/>
              <w:rPr>
                <w:rFonts w:cs="Arial"/>
                <w:b/>
                <w:sz w:val="20"/>
                <w:szCs w:val="20"/>
              </w:rPr>
            </w:pPr>
          </w:p>
          <w:p w14:paraId="57A5C28B" w14:textId="77777777" w:rsidR="009B5072" w:rsidRDefault="009B5072" w:rsidP="009B5072">
            <w:pPr>
              <w:keepNext/>
              <w:spacing w:line="252" w:lineRule="auto"/>
              <w:rPr>
                <w:rFonts w:cs="Arial"/>
                <w:b/>
                <w:sz w:val="20"/>
                <w:szCs w:val="20"/>
              </w:rPr>
            </w:pPr>
          </w:p>
          <w:p w14:paraId="2E3C9E9A" w14:textId="4F1DC54A" w:rsidR="009B5072" w:rsidRPr="008E296F" w:rsidRDefault="009B5072" w:rsidP="009B5072">
            <w:pPr>
              <w:keepNext/>
              <w:spacing w:line="252" w:lineRule="auto"/>
              <w:rPr>
                <w:rFonts w:cs="Arial"/>
                <w:b/>
                <w:sz w:val="20"/>
                <w:szCs w:val="20"/>
              </w:rPr>
            </w:pPr>
            <w:r w:rsidRPr="008E296F">
              <w:rPr>
                <w:rFonts w:cs="Arial"/>
                <w:b/>
                <w:sz w:val="20"/>
                <w:szCs w:val="20"/>
              </w:rPr>
              <w:lastRenderedPageBreak/>
              <w:t xml:space="preserve">Condition 6 </w:t>
            </w:r>
          </w:p>
          <w:p w14:paraId="669D4A7E" w14:textId="77777777" w:rsidR="009B5072" w:rsidRDefault="009B5072" w:rsidP="009B5072">
            <w:pPr>
              <w:spacing w:line="276" w:lineRule="auto"/>
              <w:rPr>
                <w:rFonts w:cs="Arial"/>
                <w:sz w:val="20"/>
                <w:szCs w:val="20"/>
              </w:rPr>
            </w:pPr>
            <w:r w:rsidRPr="0074642C">
              <w:rPr>
                <w:rFonts w:cs="Arial"/>
                <w:sz w:val="20"/>
                <w:szCs w:val="20"/>
              </w:rPr>
              <w:t xml:space="preserve">The Queensland Department of Agriculture and Fisheries </w:t>
            </w:r>
            <w:r>
              <w:rPr>
                <w:rFonts w:cs="Arial"/>
                <w:sz w:val="20"/>
                <w:szCs w:val="20"/>
              </w:rPr>
              <w:t>must:</w:t>
            </w:r>
            <w:r w:rsidRPr="0074642C">
              <w:rPr>
                <w:rFonts w:cs="Arial"/>
                <w:sz w:val="20"/>
                <w:szCs w:val="20"/>
              </w:rPr>
              <w:t xml:space="preserve"> </w:t>
            </w:r>
          </w:p>
          <w:p w14:paraId="3B3FA7BA" w14:textId="75BDD200" w:rsidR="009B5072" w:rsidRDefault="009B5072" w:rsidP="009B5072">
            <w:pPr>
              <w:pStyle w:val="ListParagraph"/>
              <w:numPr>
                <w:ilvl w:val="0"/>
                <w:numId w:val="21"/>
              </w:numPr>
              <w:spacing w:line="276" w:lineRule="auto"/>
              <w:contextualSpacing/>
              <w:rPr>
                <w:rFonts w:cs="Arial"/>
                <w:sz w:val="20"/>
                <w:szCs w:val="20"/>
              </w:rPr>
            </w:pPr>
            <w:r>
              <w:rPr>
                <w:rFonts w:cs="Arial"/>
                <w:sz w:val="20"/>
                <w:szCs w:val="20"/>
              </w:rPr>
              <w:t xml:space="preserve">Undertake desktop research on the main sea cucumber species harvested in the fishery to determine biologically meaningful minimum size limits. Investigations should consider key biological parameters, for example, size at maturity. Findings of this research should be published on the </w:t>
            </w:r>
            <w:r w:rsidR="007963C2">
              <w:rPr>
                <w:rFonts w:cs="Arial"/>
                <w:sz w:val="20"/>
                <w:szCs w:val="20"/>
              </w:rPr>
              <w:t xml:space="preserve">Queensland Department of Agriculture and Fisheries </w:t>
            </w:r>
            <w:r>
              <w:rPr>
                <w:rFonts w:cs="Arial"/>
                <w:sz w:val="20"/>
                <w:szCs w:val="20"/>
              </w:rPr>
              <w:t>website before the commencement of the 2022–23 fishing season.</w:t>
            </w:r>
          </w:p>
          <w:p w14:paraId="14127040" w14:textId="6566E5AE" w:rsidR="009B5072" w:rsidRDefault="009B5072" w:rsidP="009B5072">
            <w:pPr>
              <w:pStyle w:val="ListParagraph"/>
              <w:numPr>
                <w:ilvl w:val="0"/>
                <w:numId w:val="21"/>
              </w:numPr>
              <w:spacing w:line="276" w:lineRule="auto"/>
              <w:contextualSpacing/>
              <w:rPr>
                <w:rFonts w:cs="Arial"/>
                <w:sz w:val="20"/>
                <w:szCs w:val="20"/>
              </w:rPr>
            </w:pPr>
            <w:r>
              <w:rPr>
                <w:rFonts w:cs="Arial"/>
                <w:sz w:val="20"/>
                <w:szCs w:val="20"/>
              </w:rPr>
              <w:t xml:space="preserve">Work with industry to undertake fieldwork within the fishery to determine appropriate ways to implement the minimum size limits determined through 6a. This may include the development of appropriate conversion factors to account for changes in size resulting from processing. Findings of this research should be published on the </w:t>
            </w:r>
            <w:r w:rsidR="004C1047">
              <w:rPr>
                <w:rFonts w:cs="Arial"/>
                <w:sz w:val="20"/>
                <w:szCs w:val="20"/>
              </w:rPr>
              <w:t xml:space="preserve">Queensland Department of Agriculture and Fisheries </w:t>
            </w:r>
            <w:r>
              <w:rPr>
                <w:rFonts w:cs="Arial"/>
                <w:sz w:val="20"/>
                <w:szCs w:val="20"/>
              </w:rPr>
              <w:t>website before the commencement of the 2023–24 fishing season.</w:t>
            </w:r>
          </w:p>
          <w:p w14:paraId="22690D63" w14:textId="32647D53" w:rsidR="009B5072" w:rsidRDefault="009B5072" w:rsidP="009B5072">
            <w:pPr>
              <w:pStyle w:val="ListParagraph"/>
              <w:numPr>
                <w:ilvl w:val="0"/>
                <w:numId w:val="21"/>
              </w:numPr>
              <w:spacing w:line="276" w:lineRule="auto"/>
              <w:contextualSpacing/>
              <w:rPr>
                <w:rFonts w:cs="Arial"/>
                <w:sz w:val="20"/>
                <w:szCs w:val="20"/>
              </w:rPr>
            </w:pPr>
            <w:r>
              <w:rPr>
                <w:rFonts w:cs="Arial"/>
                <w:sz w:val="20"/>
                <w:szCs w:val="20"/>
              </w:rPr>
              <w:t xml:space="preserve">Implement minimum size limits based on work completed in 6a and 6b prior to the 2024–25 fishing season. Implementation of minimum size limits should be described in </w:t>
            </w:r>
            <w:r w:rsidR="00440229">
              <w:rPr>
                <w:rFonts w:cs="Arial"/>
                <w:sz w:val="20"/>
                <w:szCs w:val="20"/>
              </w:rPr>
              <w:t>the Queensland Department of Agriculture and Fisheries</w:t>
            </w:r>
            <w:r>
              <w:rPr>
                <w:rFonts w:cs="Arial"/>
                <w:sz w:val="20"/>
                <w:szCs w:val="20"/>
              </w:rPr>
              <w:t xml:space="preserve"> application for the next WTO for this fishery.</w:t>
            </w:r>
          </w:p>
          <w:p w14:paraId="3333430B" w14:textId="77777777" w:rsidR="009B5072" w:rsidRPr="006750A3" w:rsidRDefault="009B5072" w:rsidP="009B5072">
            <w:pPr>
              <w:spacing w:line="276" w:lineRule="auto"/>
              <w:rPr>
                <w:rFonts w:cs="Arial"/>
                <w:sz w:val="20"/>
                <w:szCs w:val="20"/>
              </w:rPr>
            </w:pPr>
          </w:p>
          <w:p w14:paraId="08EA951F" w14:textId="77777777" w:rsidR="00CE4538" w:rsidRPr="00A7590A" w:rsidRDefault="00CE4538" w:rsidP="00CE4538">
            <w:pPr>
              <w:spacing w:line="252" w:lineRule="auto"/>
              <w:rPr>
                <w:rFonts w:cs="Arial"/>
                <w:b/>
                <w:bCs/>
                <w:sz w:val="20"/>
                <w:szCs w:val="20"/>
              </w:rPr>
            </w:pPr>
          </w:p>
        </w:tc>
      </w:tr>
      <w:tr w:rsidR="00B02B0E" w:rsidRPr="00887241" w14:paraId="0A9EBBE6" w14:textId="77777777" w:rsidTr="00211477">
        <w:trPr>
          <w:jc w:val="center"/>
        </w:trPr>
        <w:tc>
          <w:tcPr>
            <w:tcW w:w="2500" w:type="pct"/>
          </w:tcPr>
          <w:p w14:paraId="3A696BB0" w14:textId="77777777" w:rsidR="00B02B0E" w:rsidRPr="008E296F" w:rsidRDefault="00B02B0E" w:rsidP="00B02B0E">
            <w:pPr>
              <w:keepNext/>
              <w:spacing w:line="252" w:lineRule="auto"/>
              <w:rPr>
                <w:rFonts w:cs="Arial"/>
                <w:b/>
                <w:sz w:val="20"/>
                <w:szCs w:val="20"/>
              </w:rPr>
            </w:pPr>
            <w:r w:rsidRPr="008E296F">
              <w:rPr>
                <w:rFonts w:cs="Arial"/>
                <w:b/>
                <w:sz w:val="20"/>
                <w:szCs w:val="20"/>
              </w:rPr>
              <w:lastRenderedPageBreak/>
              <w:t>Burrowing Blackfish (</w:t>
            </w:r>
            <w:proofErr w:type="spellStart"/>
            <w:r w:rsidRPr="008E296F">
              <w:rPr>
                <w:rFonts w:cs="Arial"/>
                <w:b/>
                <w:i/>
                <w:iCs/>
                <w:sz w:val="20"/>
                <w:szCs w:val="20"/>
              </w:rPr>
              <w:t>Actinopyga</w:t>
            </w:r>
            <w:proofErr w:type="spellEnd"/>
            <w:r w:rsidRPr="008E296F">
              <w:rPr>
                <w:rFonts w:cs="Arial"/>
                <w:b/>
                <w:i/>
                <w:iCs/>
                <w:sz w:val="20"/>
                <w:szCs w:val="20"/>
              </w:rPr>
              <w:t xml:space="preserve"> </w:t>
            </w:r>
            <w:proofErr w:type="spellStart"/>
            <w:r w:rsidRPr="008E296F">
              <w:rPr>
                <w:rFonts w:cs="Arial"/>
                <w:b/>
                <w:i/>
                <w:iCs/>
                <w:sz w:val="20"/>
                <w:szCs w:val="20"/>
              </w:rPr>
              <w:t>spinea</w:t>
            </w:r>
            <w:proofErr w:type="spellEnd"/>
            <w:r w:rsidRPr="008E296F">
              <w:rPr>
                <w:rFonts w:cs="Arial"/>
                <w:b/>
                <w:sz w:val="20"/>
                <w:szCs w:val="20"/>
              </w:rPr>
              <w:t>)</w:t>
            </w:r>
          </w:p>
          <w:p w14:paraId="795502AB" w14:textId="77777777" w:rsidR="00B02B0E" w:rsidRPr="00A7590A" w:rsidRDefault="00B02B0E" w:rsidP="00B02B0E">
            <w:pPr>
              <w:spacing w:line="276" w:lineRule="auto"/>
              <w:rPr>
                <w:rFonts w:cs="Arial"/>
                <w:sz w:val="20"/>
                <w:szCs w:val="20"/>
              </w:rPr>
            </w:pPr>
            <w:r w:rsidRPr="00A7590A">
              <w:rPr>
                <w:rFonts w:cs="Arial"/>
                <w:sz w:val="20"/>
                <w:szCs w:val="20"/>
              </w:rPr>
              <w:t xml:space="preserve">Burrowing </w:t>
            </w:r>
            <w:r>
              <w:rPr>
                <w:rFonts w:cs="Arial"/>
                <w:sz w:val="20"/>
                <w:szCs w:val="20"/>
              </w:rPr>
              <w:t>B</w:t>
            </w:r>
            <w:r w:rsidRPr="00A7590A">
              <w:rPr>
                <w:rFonts w:cs="Arial"/>
                <w:sz w:val="20"/>
                <w:szCs w:val="20"/>
              </w:rPr>
              <w:t>lackfish currently makes up approximately half of the total harvest in the fishery and has made up the largest component of the fishery since the mid-2000s. This species is managed outside of the Rotational Harvest Arrangement (RHAs). Instead, there are declared Burrowing Blackfish Zones (BFZs), areas identified in industry</w:t>
            </w:r>
            <w:r>
              <w:rPr>
                <w:rFonts w:cs="Arial"/>
                <w:sz w:val="20"/>
                <w:szCs w:val="20"/>
              </w:rPr>
              <w:t>-</w:t>
            </w:r>
            <w:r w:rsidRPr="00A7590A">
              <w:rPr>
                <w:rFonts w:cs="Arial"/>
                <w:sz w:val="20"/>
                <w:szCs w:val="20"/>
              </w:rPr>
              <w:t xml:space="preserve">led surveys as having high abundance. </w:t>
            </w:r>
            <w:r>
              <w:rPr>
                <w:rFonts w:cs="Arial"/>
                <w:sz w:val="20"/>
                <w:szCs w:val="20"/>
              </w:rPr>
              <w:t>H</w:t>
            </w:r>
            <w:r w:rsidRPr="00A7590A">
              <w:rPr>
                <w:rFonts w:cs="Arial"/>
                <w:sz w:val="20"/>
                <w:szCs w:val="20"/>
              </w:rPr>
              <w:t xml:space="preserve">arvest limits are set for each zone and continuous fishing is permitted. There is however a </w:t>
            </w:r>
            <w:proofErr w:type="gramStart"/>
            <w:r w:rsidRPr="00A7590A">
              <w:rPr>
                <w:rFonts w:cs="Arial"/>
                <w:sz w:val="20"/>
                <w:szCs w:val="20"/>
              </w:rPr>
              <w:t>15</w:t>
            </w:r>
            <w:r>
              <w:rPr>
                <w:rFonts w:cs="Arial"/>
                <w:sz w:val="20"/>
                <w:szCs w:val="20"/>
              </w:rPr>
              <w:t xml:space="preserve"> t</w:t>
            </w:r>
            <w:proofErr w:type="gramEnd"/>
            <w:r w:rsidRPr="00A7590A">
              <w:rPr>
                <w:rFonts w:cs="Arial"/>
                <w:sz w:val="20"/>
                <w:szCs w:val="20"/>
              </w:rPr>
              <w:t xml:space="preserve"> allowance for harvest from outside the BFZs and from the RZS area.</w:t>
            </w:r>
          </w:p>
          <w:p w14:paraId="4D54621E" w14:textId="77777777" w:rsidR="00B02B0E" w:rsidRPr="00A7590A" w:rsidRDefault="00B02B0E" w:rsidP="00B02B0E">
            <w:pPr>
              <w:spacing w:line="276" w:lineRule="auto"/>
              <w:rPr>
                <w:rFonts w:cs="Arial"/>
                <w:sz w:val="20"/>
                <w:szCs w:val="20"/>
              </w:rPr>
            </w:pPr>
            <w:r w:rsidRPr="00A7590A">
              <w:rPr>
                <w:rFonts w:cs="Arial"/>
                <w:sz w:val="20"/>
                <w:szCs w:val="20"/>
              </w:rPr>
              <w:t>The 201</w:t>
            </w:r>
            <w:r>
              <w:rPr>
                <w:rFonts w:cs="Arial"/>
                <w:sz w:val="20"/>
                <w:szCs w:val="20"/>
              </w:rPr>
              <w:t>4</w:t>
            </w:r>
            <w:r w:rsidRPr="00A7590A">
              <w:rPr>
                <w:rFonts w:cs="Arial"/>
                <w:sz w:val="20"/>
                <w:szCs w:val="20"/>
              </w:rPr>
              <w:t xml:space="preserve"> MSE that reviewed the rotational harvest strategy of the fishery concluded that Burrowing Blackfish was at the highest risk of depletion of any species in the fishery and would benefit from being included in RZS. The report also noted the need to better understand the distribution and density of Burrowing Blackfish outside the fished zoned as well as the need to collect reliable abundance data within the fished zones. These recommendations have not been followed.</w:t>
            </w:r>
          </w:p>
          <w:p w14:paraId="3944E673" w14:textId="77777777" w:rsidR="00B02B0E" w:rsidRPr="00A7590A" w:rsidRDefault="00B02B0E" w:rsidP="00B02B0E">
            <w:pPr>
              <w:spacing w:line="276" w:lineRule="auto"/>
              <w:rPr>
                <w:rFonts w:cs="Arial"/>
                <w:sz w:val="20"/>
                <w:szCs w:val="20"/>
              </w:rPr>
            </w:pPr>
            <w:r w:rsidRPr="00A7590A">
              <w:rPr>
                <w:rFonts w:cs="Arial"/>
                <w:sz w:val="20"/>
                <w:szCs w:val="20"/>
              </w:rPr>
              <w:t>Surveys for Burrowing Blackfish have been conducted at Gould Reef with the most recent having taken place in 2019. Changes in survey methodology between historic surveys and the most recent survey prevent direct comparison capable of detecting trends from sustained fishing pressure</w:t>
            </w:r>
            <w:r>
              <w:rPr>
                <w:rFonts w:cs="Arial"/>
                <w:sz w:val="20"/>
                <w:szCs w:val="20"/>
              </w:rPr>
              <w:t xml:space="preserve"> and </w:t>
            </w:r>
            <w:r w:rsidRPr="00A7590A">
              <w:rPr>
                <w:rFonts w:cs="Arial"/>
                <w:sz w:val="20"/>
                <w:szCs w:val="20"/>
              </w:rPr>
              <w:t>make it hard to establish the longer-term sustainability of the harvest.</w:t>
            </w:r>
          </w:p>
          <w:p w14:paraId="2349A38B" w14:textId="77777777" w:rsidR="00B02B0E" w:rsidRPr="00A7590A" w:rsidRDefault="00B02B0E" w:rsidP="00B02B0E">
            <w:pPr>
              <w:spacing w:line="276" w:lineRule="auto"/>
              <w:rPr>
                <w:rFonts w:cs="Arial"/>
                <w:sz w:val="20"/>
                <w:szCs w:val="20"/>
              </w:rPr>
            </w:pPr>
            <w:r>
              <w:rPr>
                <w:rFonts w:cs="Arial"/>
                <w:sz w:val="20"/>
                <w:szCs w:val="20"/>
              </w:rPr>
              <w:t>Further, while t</w:t>
            </w:r>
            <w:r w:rsidRPr="00A7590A">
              <w:rPr>
                <w:rFonts w:cs="Arial"/>
                <w:sz w:val="20"/>
                <w:szCs w:val="20"/>
              </w:rPr>
              <w:t xml:space="preserve">he findings of the 2019 survey </w:t>
            </w:r>
            <w:r>
              <w:rPr>
                <w:rFonts w:cs="Arial"/>
                <w:sz w:val="20"/>
                <w:szCs w:val="20"/>
              </w:rPr>
              <w:t xml:space="preserve">can be used to </w:t>
            </w:r>
            <w:r w:rsidRPr="00A7590A">
              <w:rPr>
                <w:rFonts w:cs="Arial"/>
                <w:sz w:val="20"/>
                <w:szCs w:val="20"/>
              </w:rPr>
              <w:t>support a 25</w:t>
            </w:r>
            <w:r>
              <w:rPr>
                <w:rFonts w:cs="Arial"/>
                <w:sz w:val="20"/>
                <w:szCs w:val="20"/>
              </w:rPr>
              <w:t xml:space="preserve"> </w:t>
            </w:r>
            <w:r w:rsidRPr="00A7590A">
              <w:rPr>
                <w:rFonts w:cs="Arial"/>
                <w:sz w:val="20"/>
                <w:szCs w:val="20"/>
              </w:rPr>
              <w:t>t TAC for Gould Reef</w:t>
            </w:r>
            <w:r>
              <w:rPr>
                <w:rFonts w:cs="Arial"/>
                <w:sz w:val="20"/>
                <w:szCs w:val="20"/>
              </w:rPr>
              <w:t>, it</w:t>
            </w:r>
            <w:r w:rsidRPr="00A7590A">
              <w:rPr>
                <w:rFonts w:cs="Arial"/>
                <w:sz w:val="20"/>
                <w:szCs w:val="20"/>
              </w:rPr>
              <w:t xml:space="preserve"> is unclear how these surveys support the 45</w:t>
            </w:r>
            <w:r>
              <w:rPr>
                <w:rFonts w:cs="Arial"/>
                <w:sz w:val="20"/>
                <w:szCs w:val="20"/>
              </w:rPr>
              <w:t xml:space="preserve"> </w:t>
            </w:r>
            <w:r w:rsidRPr="00A7590A">
              <w:rPr>
                <w:rFonts w:cs="Arial"/>
                <w:sz w:val="20"/>
                <w:szCs w:val="20"/>
              </w:rPr>
              <w:t>t TAC for Gould Reef under the recently implemented Harvest Strategy. Gould Reef has the lowest TAC of all the BFZs.</w:t>
            </w:r>
          </w:p>
          <w:p w14:paraId="5B13D633" w14:textId="77777777" w:rsidR="00B02B0E" w:rsidRPr="00A7590A" w:rsidRDefault="00B02B0E" w:rsidP="00B02B0E">
            <w:pPr>
              <w:autoSpaceDE w:val="0"/>
              <w:autoSpaceDN w:val="0"/>
              <w:adjustRightInd w:val="0"/>
              <w:spacing w:before="0" w:after="0"/>
              <w:rPr>
                <w:rFonts w:cs="Arial"/>
                <w:sz w:val="20"/>
                <w:szCs w:val="20"/>
              </w:rPr>
            </w:pPr>
            <w:r w:rsidRPr="00A7590A">
              <w:rPr>
                <w:rFonts w:cs="Arial"/>
                <w:sz w:val="20"/>
                <w:szCs w:val="20"/>
              </w:rPr>
              <w:t>The Lizard Island/</w:t>
            </w:r>
            <w:proofErr w:type="spellStart"/>
            <w:r w:rsidRPr="00A7590A">
              <w:rPr>
                <w:rFonts w:cs="Arial"/>
                <w:sz w:val="20"/>
                <w:szCs w:val="20"/>
              </w:rPr>
              <w:t>Waining</w:t>
            </w:r>
            <w:proofErr w:type="spellEnd"/>
            <w:r w:rsidRPr="00A7590A">
              <w:rPr>
                <w:rFonts w:cs="Arial"/>
                <w:sz w:val="20"/>
                <w:szCs w:val="20"/>
              </w:rPr>
              <w:t xml:space="preserve"> Reef BFZ has a TAC of 120</w:t>
            </w:r>
            <w:r>
              <w:rPr>
                <w:rFonts w:cs="Arial"/>
                <w:sz w:val="20"/>
                <w:szCs w:val="20"/>
              </w:rPr>
              <w:t xml:space="preserve"> </w:t>
            </w:r>
            <w:r w:rsidRPr="00A7590A">
              <w:rPr>
                <w:rFonts w:cs="Arial"/>
                <w:sz w:val="20"/>
                <w:szCs w:val="20"/>
              </w:rPr>
              <w:t xml:space="preserve">t and was surveyed </w:t>
            </w:r>
            <w:r>
              <w:rPr>
                <w:rFonts w:cs="Arial"/>
                <w:sz w:val="20"/>
                <w:szCs w:val="20"/>
              </w:rPr>
              <w:t xml:space="preserve">16 years ago </w:t>
            </w:r>
            <w:r w:rsidRPr="00A7590A">
              <w:rPr>
                <w:rFonts w:cs="Arial"/>
                <w:sz w:val="20"/>
                <w:szCs w:val="20"/>
              </w:rPr>
              <w:t>in 2005</w:t>
            </w:r>
            <w:r>
              <w:rPr>
                <w:rFonts w:cs="Arial"/>
                <w:sz w:val="20"/>
                <w:szCs w:val="20"/>
              </w:rPr>
              <w:t>,</w:t>
            </w:r>
            <w:r w:rsidRPr="00A7590A">
              <w:rPr>
                <w:rFonts w:cs="Arial"/>
                <w:sz w:val="20"/>
                <w:szCs w:val="20"/>
              </w:rPr>
              <w:t xml:space="preserve"> prior to the commencement of targeted harvesting of Burrowing Blackfish in the area. This survey identified high abundance of the species but made the following recommendations:</w:t>
            </w:r>
          </w:p>
          <w:p w14:paraId="230D400A" w14:textId="77777777" w:rsidR="00B02B0E" w:rsidRPr="00A7590A" w:rsidRDefault="00B02B0E" w:rsidP="00B02B0E">
            <w:pPr>
              <w:pStyle w:val="ListParagraph"/>
              <w:numPr>
                <w:ilvl w:val="0"/>
                <w:numId w:val="23"/>
              </w:numPr>
              <w:autoSpaceDE w:val="0"/>
              <w:autoSpaceDN w:val="0"/>
              <w:adjustRightInd w:val="0"/>
              <w:spacing w:before="0" w:after="0"/>
              <w:contextualSpacing/>
              <w:rPr>
                <w:rFonts w:eastAsiaTheme="minorHAnsi" w:cs="Arial"/>
                <w:sz w:val="20"/>
                <w:szCs w:val="20"/>
              </w:rPr>
            </w:pPr>
            <w:r w:rsidRPr="00A7590A">
              <w:rPr>
                <w:rFonts w:eastAsiaTheme="minorHAnsi" w:cs="Arial"/>
                <w:sz w:val="20"/>
                <w:szCs w:val="20"/>
              </w:rPr>
              <w:t>A fine-scale system of management should be devised for the burrowing blackfish resource to allow for the spreading of effort within each patch.</w:t>
            </w:r>
          </w:p>
          <w:p w14:paraId="4E5E8D7C" w14:textId="77777777" w:rsidR="00B02B0E" w:rsidRPr="00A7590A" w:rsidRDefault="00B02B0E" w:rsidP="00B02B0E">
            <w:pPr>
              <w:pStyle w:val="ListParagraph"/>
              <w:numPr>
                <w:ilvl w:val="0"/>
                <w:numId w:val="23"/>
              </w:numPr>
              <w:autoSpaceDE w:val="0"/>
              <w:autoSpaceDN w:val="0"/>
              <w:adjustRightInd w:val="0"/>
              <w:spacing w:before="0" w:after="0"/>
              <w:contextualSpacing/>
              <w:rPr>
                <w:rFonts w:eastAsiaTheme="minorHAnsi" w:cs="Arial"/>
                <w:sz w:val="20"/>
                <w:szCs w:val="20"/>
              </w:rPr>
            </w:pPr>
            <w:r w:rsidRPr="00A7590A">
              <w:rPr>
                <w:rFonts w:eastAsiaTheme="minorHAnsi" w:cs="Arial"/>
                <w:sz w:val="20"/>
                <w:szCs w:val="20"/>
              </w:rPr>
              <w:t>Further biological research needs to be conducted to enable the development of a spatially relevant stock productivity model.</w:t>
            </w:r>
          </w:p>
          <w:p w14:paraId="1C669D53" w14:textId="77777777" w:rsidR="00B02B0E" w:rsidRPr="00A7590A" w:rsidRDefault="00B02B0E" w:rsidP="00B02B0E">
            <w:pPr>
              <w:pStyle w:val="ListParagraph"/>
              <w:numPr>
                <w:ilvl w:val="0"/>
                <w:numId w:val="23"/>
              </w:numPr>
              <w:autoSpaceDE w:val="0"/>
              <w:autoSpaceDN w:val="0"/>
              <w:adjustRightInd w:val="0"/>
              <w:spacing w:before="0" w:after="0"/>
              <w:contextualSpacing/>
              <w:rPr>
                <w:rFonts w:eastAsiaTheme="minorHAnsi" w:cs="Arial"/>
                <w:sz w:val="20"/>
                <w:szCs w:val="20"/>
              </w:rPr>
            </w:pPr>
            <w:r w:rsidRPr="00A7590A">
              <w:rPr>
                <w:rFonts w:eastAsiaTheme="minorHAnsi" w:cs="Arial"/>
                <w:sz w:val="20"/>
                <w:szCs w:val="20"/>
              </w:rPr>
              <w:t>Investigation should be carried out to determine whether any benefits exist in the use of video assessments for the burrowing blackfish stock.</w:t>
            </w:r>
          </w:p>
          <w:p w14:paraId="27AE3360" w14:textId="77777777" w:rsidR="00B02B0E" w:rsidRDefault="00B02B0E" w:rsidP="00B02B0E">
            <w:pPr>
              <w:pStyle w:val="ListParagraph"/>
              <w:numPr>
                <w:ilvl w:val="0"/>
                <w:numId w:val="23"/>
              </w:numPr>
              <w:autoSpaceDE w:val="0"/>
              <w:autoSpaceDN w:val="0"/>
              <w:adjustRightInd w:val="0"/>
              <w:spacing w:before="0" w:after="0"/>
              <w:contextualSpacing/>
              <w:rPr>
                <w:rFonts w:eastAsiaTheme="minorHAnsi" w:cs="Arial"/>
                <w:sz w:val="20"/>
                <w:szCs w:val="20"/>
              </w:rPr>
            </w:pPr>
            <w:r w:rsidRPr="00A7590A">
              <w:rPr>
                <w:rFonts w:eastAsiaTheme="minorHAnsi" w:cs="Arial"/>
                <w:sz w:val="20"/>
                <w:szCs w:val="20"/>
              </w:rPr>
              <w:lastRenderedPageBreak/>
              <w:t>More survey work needs to be conducted to quantify the extent of the stock in this area including the stock extending into the Green Zone of the Great Barrier Reef Marine Park.</w:t>
            </w:r>
          </w:p>
          <w:p w14:paraId="4A68AE71" w14:textId="1C7684AD" w:rsidR="00B02B0E" w:rsidRPr="0033136B" w:rsidRDefault="00B02B0E" w:rsidP="0033136B">
            <w:pPr>
              <w:spacing w:line="276" w:lineRule="auto"/>
              <w:rPr>
                <w:rFonts w:cs="Arial"/>
                <w:sz w:val="20"/>
                <w:szCs w:val="20"/>
              </w:rPr>
            </w:pPr>
            <w:r w:rsidRPr="0033136B">
              <w:rPr>
                <w:rFonts w:cs="Arial"/>
                <w:sz w:val="20"/>
                <w:szCs w:val="20"/>
              </w:rPr>
              <w:t xml:space="preserve">There is no evidence that further survey work has been undertaken either to quantify the stock in the area or to monitor the impact of 16 years of sustained fishing pressure in the area. </w:t>
            </w:r>
          </w:p>
          <w:p w14:paraId="7BDC08F6" w14:textId="2CF914FF" w:rsidR="00B02B0E" w:rsidRPr="00A7590A" w:rsidRDefault="00B02B0E" w:rsidP="0033136B">
            <w:pPr>
              <w:spacing w:line="276" w:lineRule="auto"/>
              <w:rPr>
                <w:rFonts w:cs="Arial"/>
                <w:b/>
                <w:sz w:val="20"/>
                <w:szCs w:val="20"/>
                <w:u w:val="single"/>
              </w:rPr>
            </w:pPr>
            <w:r w:rsidRPr="00A7590A">
              <w:rPr>
                <w:rFonts w:cs="Arial"/>
                <w:sz w:val="20"/>
                <w:szCs w:val="20"/>
              </w:rPr>
              <w:t>Bunker Reef has a TAC of 60</w:t>
            </w:r>
            <w:r>
              <w:rPr>
                <w:rFonts w:cs="Arial"/>
                <w:sz w:val="20"/>
                <w:szCs w:val="20"/>
              </w:rPr>
              <w:t xml:space="preserve"> </w:t>
            </w:r>
            <w:r w:rsidRPr="00A7590A">
              <w:rPr>
                <w:rFonts w:cs="Arial"/>
                <w:sz w:val="20"/>
                <w:szCs w:val="20"/>
              </w:rPr>
              <w:t xml:space="preserve">t and there is no information on biomass estimates to support the TAC for this BFZ. </w:t>
            </w:r>
          </w:p>
        </w:tc>
        <w:tc>
          <w:tcPr>
            <w:tcW w:w="2500" w:type="pct"/>
          </w:tcPr>
          <w:p w14:paraId="6446F50A" w14:textId="442683AC" w:rsidR="00B02B0E" w:rsidRPr="00A7590A" w:rsidRDefault="00B02B0E" w:rsidP="00B02B0E">
            <w:pPr>
              <w:keepNext/>
              <w:spacing w:line="252" w:lineRule="auto"/>
              <w:rPr>
                <w:rFonts w:cs="Arial"/>
                <w:b/>
                <w:sz w:val="20"/>
                <w:szCs w:val="20"/>
              </w:rPr>
            </w:pPr>
            <w:r w:rsidRPr="00A7590A">
              <w:rPr>
                <w:rFonts w:cs="Arial"/>
                <w:b/>
                <w:sz w:val="20"/>
                <w:szCs w:val="20"/>
              </w:rPr>
              <w:lastRenderedPageBreak/>
              <w:t xml:space="preserve">Condition </w:t>
            </w:r>
            <w:r>
              <w:rPr>
                <w:rFonts w:cs="Arial"/>
                <w:b/>
                <w:sz w:val="20"/>
                <w:szCs w:val="20"/>
              </w:rPr>
              <w:t>7</w:t>
            </w:r>
          </w:p>
          <w:p w14:paraId="11335FCC" w14:textId="77777777" w:rsidR="00B02B0E" w:rsidRPr="00A7590A" w:rsidRDefault="00B02B0E" w:rsidP="00B02B0E">
            <w:pPr>
              <w:rPr>
                <w:rFonts w:cs="Arial"/>
                <w:sz w:val="20"/>
                <w:szCs w:val="20"/>
              </w:rPr>
            </w:pPr>
            <w:r>
              <w:rPr>
                <w:rFonts w:cs="Arial"/>
                <w:sz w:val="20"/>
                <w:szCs w:val="20"/>
              </w:rPr>
              <w:t xml:space="preserve">The </w:t>
            </w:r>
            <w:r w:rsidRPr="00A7590A">
              <w:rPr>
                <w:rFonts w:cs="Arial"/>
                <w:sz w:val="20"/>
                <w:szCs w:val="20"/>
              </w:rPr>
              <w:t xml:space="preserve">Queensland Department of Agriculture and Fisheries </w:t>
            </w:r>
            <w:r>
              <w:rPr>
                <w:rFonts w:cs="Arial"/>
                <w:sz w:val="20"/>
                <w:szCs w:val="20"/>
              </w:rPr>
              <w:t>must</w:t>
            </w:r>
            <w:r w:rsidRPr="00A7590A">
              <w:rPr>
                <w:rFonts w:cs="Arial"/>
                <w:sz w:val="20"/>
                <w:szCs w:val="20"/>
              </w:rPr>
              <w:t>:</w:t>
            </w:r>
          </w:p>
          <w:p w14:paraId="7AEEBC72" w14:textId="77777777" w:rsidR="00B02B0E" w:rsidRPr="009A14C2" w:rsidRDefault="00B02B0E" w:rsidP="00B02B0E">
            <w:pPr>
              <w:pStyle w:val="ListParagraph"/>
              <w:numPr>
                <w:ilvl w:val="0"/>
                <w:numId w:val="22"/>
              </w:numPr>
              <w:spacing w:line="276" w:lineRule="auto"/>
              <w:contextualSpacing/>
              <w:rPr>
                <w:rFonts w:cs="Arial"/>
                <w:sz w:val="20"/>
                <w:szCs w:val="20"/>
              </w:rPr>
            </w:pPr>
            <w:r>
              <w:rPr>
                <w:rFonts w:cs="Arial"/>
                <w:sz w:val="20"/>
                <w:szCs w:val="20"/>
              </w:rPr>
              <w:t xml:space="preserve">Ensure data from fishery independent </w:t>
            </w:r>
            <w:r w:rsidRPr="00A7590A">
              <w:rPr>
                <w:rFonts w:cs="Arial"/>
                <w:sz w:val="20"/>
                <w:szCs w:val="20"/>
              </w:rPr>
              <w:t>surveys of Burrowing Blackfish</w:t>
            </w:r>
            <w:r>
              <w:rPr>
                <w:rFonts w:cs="Arial"/>
                <w:sz w:val="20"/>
                <w:szCs w:val="20"/>
              </w:rPr>
              <w:t xml:space="preserve"> </w:t>
            </w:r>
            <w:r w:rsidRPr="00A7590A">
              <w:rPr>
                <w:rFonts w:cs="Arial"/>
                <w:sz w:val="20"/>
                <w:szCs w:val="20"/>
              </w:rPr>
              <w:t>at the Lizard</w:t>
            </w:r>
            <w:r>
              <w:rPr>
                <w:rFonts w:cs="Arial"/>
                <w:sz w:val="20"/>
                <w:szCs w:val="20"/>
              </w:rPr>
              <w:t>, Gould</w:t>
            </w:r>
            <w:r w:rsidRPr="00A7590A">
              <w:rPr>
                <w:rFonts w:cs="Arial"/>
                <w:sz w:val="20"/>
                <w:szCs w:val="20"/>
              </w:rPr>
              <w:t xml:space="preserve"> </w:t>
            </w:r>
            <w:r w:rsidRPr="00495B22">
              <w:rPr>
                <w:rFonts w:cs="Arial"/>
                <w:sz w:val="20"/>
                <w:szCs w:val="20"/>
              </w:rPr>
              <w:t>and Bunker Reef Burrowing Blackfish Zones</w:t>
            </w:r>
            <w:r>
              <w:rPr>
                <w:rFonts w:cs="Arial"/>
                <w:sz w:val="20"/>
                <w:szCs w:val="20"/>
              </w:rPr>
              <w:t xml:space="preserve"> are representative of the fishery and used</w:t>
            </w:r>
            <w:r w:rsidRPr="00495B22">
              <w:rPr>
                <w:rFonts w:cs="Arial"/>
                <w:sz w:val="20"/>
                <w:szCs w:val="20"/>
              </w:rPr>
              <w:t xml:space="preserve"> to inform a stock assessment for the species.</w:t>
            </w:r>
          </w:p>
          <w:p w14:paraId="33C0491E" w14:textId="77777777" w:rsidR="00B02B0E" w:rsidRDefault="00B02B0E" w:rsidP="00B02B0E">
            <w:pPr>
              <w:pStyle w:val="ListParagraph"/>
              <w:numPr>
                <w:ilvl w:val="0"/>
                <w:numId w:val="22"/>
              </w:numPr>
              <w:spacing w:line="276" w:lineRule="auto"/>
              <w:contextualSpacing/>
              <w:rPr>
                <w:rFonts w:cs="Arial"/>
                <w:sz w:val="20"/>
                <w:szCs w:val="20"/>
              </w:rPr>
            </w:pPr>
            <w:r>
              <w:rPr>
                <w:rFonts w:cs="Arial"/>
                <w:sz w:val="20"/>
                <w:szCs w:val="20"/>
              </w:rPr>
              <w:t xml:space="preserve">Undertake and publish the stock assessment for Burrowing Blackfish. </w:t>
            </w:r>
            <w:r w:rsidRPr="006256A9">
              <w:rPr>
                <w:rFonts w:cs="Arial"/>
                <w:sz w:val="20"/>
                <w:szCs w:val="20"/>
              </w:rPr>
              <w:t>The stock assessment must be independently peer reviewed and must be completed</w:t>
            </w:r>
            <w:r>
              <w:rPr>
                <w:rFonts w:cs="Arial"/>
                <w:sz w:val="20"/>
                <w:szCs w:val="20"/>
              </w:rPr>
              <w:t xml:space="preserve"> by no later than six months prior to the expiry of the WTO approval. </w:t>
            </w:r>
          </w:p>
          <w:p w14:paraId="72C1C65B" w14:textId="7E0AD28F" w:rsidR="00B02B0E" w:rsidRDefault="00B02B0E" w:rsidP="00B02B0E">
            <w:pPr>
              <w:pStyle w:val="ListParagraph"/>
              <w:numPr>
                <w:ilvl w:val="0"/>
                <w:numId w:val="22"/>
              </w:numPr>
              <w:spacing w:line="276" w:lineRule="auto"/>
              <w:contextualSpacing/>
              <w:rPr>
                <w:rFonts w:cs="Arial"/>
                <w:sz w:val="20"/>
                <w:szCs w:val="20"/>
              </w:rPr>
            </w:pPr>
            <w:r>
              <w:rPr>
                <w:rFonts w:cs="Arial"/>
                <w:sz w:val="20"/>
                <w:szCs w:val="20"/>
              </w:rPr>
              <w:t>F</w:t>
            </w:r>
            <w:r w:rsidRPr="00495B22">
              <w:rPr>
                <w:rFonts w:cs="Arial"/>
                <w:sz w:val="20"/>
                <w:szCs w:val="20"/>
              </w:rPr>
              <w:t>or the 202</w:t>
            </w:r>
            <w:r>
              <w:rPr>
                <w:rFonts w:cs="Arial"/>
                <w:sz w:val="20"/>
                <w:szCs w:val="20"/>
              </w:rPr>
              <w:t>4</w:t>
            </w:r>
            <w:r w:rsidRPr="00495B22">
              <w:rPr>
                <w:rFonts w:cs="Arial"/>
                <w:sz w:val="20"/>
                <w:szCs w:val="20"/>
              </w:rPr>
              <w:t>–2</w:t>
            </w:r>
            <w:r>
              <w:rPr>
                <w:rFonts w:cs="Arial"/>
                <w:sz w:val="20"/>
                <w:szCs w:val="20"/>
              </w:rPr>
              <w:t>5 fishing season and beyond</w:t>
            </w:r>
            <w:r w:rsidRPr="00495B22">
              <w:rPr>
                <w:rFonts w:cs="Arial"/>
                <w:sz w:val="20"/>
                <w:szCs w:val="20"/>
              </w:rPr>
              <w:t xml:space="preserve">, implement any </w:t>
            </w:r>
            <w:r>
              <w:rPr>
                <w:rFonts w:cs="Arial"/>
                <w:sz w:val="20"/>
                <w:szCs w:val="20"/>
              </w:rPr>
              <w:t xml:space="preserve">necessary </w:t>
            </w:r>
            <w:r w:rsidRPr="00495B22">
              <w:rPr>
                <w:rFonts w:cs="Arial"/>
                <w:sz w:val="20"/>
                <w:szCs w:val="20"/>
              </w:rPr>
              <w:t xml:space="preserve">changes </w:t>
            </w:r>
            <w:r>
              <w:rPr>
                <w:rFonts w:cs="Arial"/>
                <w:sz w:val="20"/>
                <w:szCs w:val="20"/>
              </w:rPr>
              <w:t xml:space="preserve">to </w:t>
            </w:r>
            <w:r w:rsidRPr="00495B22">
              <w:rPr>
                <w:rFonts w:cs="Arial"/>
                <w:sz w:val="20"/>
                <w:szCs w:val="20"/>
              </w:rPr>
              <w:t xml:space="preserve">the </w:t>
            </w:r>
            <w:r w:rsidR="00566524">
              <w:rPr>
                <w:rFonts w:cs="Arial"/>
                <w:sz w:val="20"/>
                <w:szCs w:val="20"/>
              </w:rPr>
              <w:t>total allowable catch (</w:t>
            </w:r>
            <w:r w:rsidRPr="00CE6A00">
              <w:rPr>
                <w:rFonts w:cs="Arial"/>
                <w:sz w:val="20"/>
                <w:szCs w:val="20"/>
              </w:rPr>
              <w:t>TAC</w:t>
            </w:r>
            <w:r w:rsidR="00566524">
              <w:rPr>
                <w:rFonts w:cs="Arial"/>
                <w:sz w:val="20"/>
                <w:szCs w:val="20"/>
              </w:rPr>
              <w:t>)</w:t>
            </w:r>
            <w:r w:rsidRPr="00CE6A00">
              <w:rPr>
                <w:rFonts w:cs="Arial"/>
                <w:sz w:val="20"/>
                <w:szCs w:val="20"/>
              </w:rPr>
              <w:t xml:space="preserve"> to ensure that </w:t>
            </w:r>
            <w:r w:rsidRPr="003C1418">
              <w:rPr>
                <w:rFonts w:cs="Arial"/>
                <w:sz w:val="20"/>
                <w:szCs w:val="20"/>
              </w:rPr>
              <w:t>rate of fishing mortality does not exceed that required to achieve the biomass target of 60%</w:t>
            </w:r>
            <w:r w:rsidRPr="00CE6A00">
              <w:rPr>
                <w:rFonts w:cs="Arial"/>
                <w:sz w:val="20"/>
                <w:szCs w:val="20"/>
              </w:rPr>
              <w:t xml:space="preserve"> of unfished biomass for this species</w:t>
            </w:r>
            <w:r w:rsidRPr="003C1418">
              <w:rPr>
                <w:rFonts w:cs="Arial"/>
                <w:sz w:val="20"/>
                <w:szCs w:val="20"/>
              </w:rPr>
              <w:t xml:space="preserve"> as detailed in the harvest strategy for the fishery</w:t>
            </w:r>
            <w:r w:rsidRPr="00CE6A00">
              <w:rPr>
                <w:rFonts w:cs="Arial"/>
                <w:sz w:val="20"/>
                <w:szCs w:val="20"/>
              </w:rPr>
              <w:t>.</w:t>
            </w:r>
          </w:p>
          <w:p w14:paraId="4350B78F" w14:textId="77777777" w:rsidR="00B02B0E" w:rsidRPr="00A7590A" w:rsidRDefault="00B02B0E" w:rsidP="00B02B0E">
            <w:pPr>
              <w:spacing w:line="252" w:lineRule="auto"/>
              <w:rPr>
                <w:rFonts w:cs="Arial"/>
                <w:b/>
                <w:bCs/>
                <w:sz w:val="20"/>
                <w:szCs w:val="20"/>
              </w:rPr>
            </w:pPr>
          </w:p>
        </w:tc>
      </w:tr>
      <w:tr w:rsidR="00B02B0E" w:rsidRPr="00887241" w14:paraId="686776D7" w14:textId="77777777" w:rsidTr="00211477">
        <w:trPr>
          <w:jc w:val="center"/>
        </w:trPr>
        <w:tc>
          <w:tcPr>
            <w:tcW w:w="2500" w:type="pct"/>
          </w:tcPr>
          <w:p w14:paraId="42563B47" w14:textId="77777777" w:rsidR="001E43B7" w:rsidRPr="008E296F" w:rsidRDefault="001E43B7" w:rsidP="001E43B7">
            <w:pPr>
              <w:keepNext/>
              <w:spacing w:line="252" w:lineRule="auto"/>
              <w:rPr>
                <w:rFonts w:cs="Arial"/>
                <w:b/>
                <w:sz w:val="20"/>
                <w:szCs w:val="20"/>
              </w:rPr>
            </w:pPr>
            <w:proofErr w:type="spellStart"/>
            <w:r w:rsidRPr="008E296F">
              <w:rPr>
                <w:rFonts w:cs="Arial"/>
                <w:b/>
                <w:sz w:val="20"/>
                <w:szCs w:val="20"/>
              </w:rPr>
              <w:lastRenderedPageBreak/>
              <w:t>Curryfish</w:t>
            </w:r>
            <w:proofErr w:type="spellEnd"/>
            <w:r w:rsidRPr="008E296F">
              <w:rPr>
                <w:rFonts w:cs="Arial"/>
                <w:b/>
                <w:sz w:val="20"/>
                <w:szCs w:val="20"/>
              </w:rPr>
              <w:t xml:space="preserve"> (</w:t>
            </w:r>
            <w:proofErr w:type="spellStart"/>
            <w:r w:rsidRPr="008E296F">
              <w:rPr>
                <w:rFonts w:cs="Arial"/>
                <w:b/>
                <w:i/>
                <w:iCs/>
                <w:sz w:val="20"/>
                <w:szCs w:val="20"/>
              </w:rPr>
              <w:t>Stichopus</w:t>
            </w:r>
            <w:proofErr w:type="spellEnd"/>
            <w:r w:rsidRPr="008E296F">
              <w:rPr>
                <w:rFonts w:cs="Arial"/>
                <w:b/>
                <w:i/>
                <w:iCs/>
                <w:sz w:val="20"/>
                <w:szCs w:val="20"/>
              </w:rPr>
              <w:t xml:space="preserve"> </w:t>
            </w:r>
            <w:proofErr w:type="spellStart"/>
            <w:r w:rsidRPr="008E296F">
              <w:rPr>
                <w:rFonts w:cs="Arial"/>
                <w:b/>
                <w:i/>
                <w:iCs/>
                <w:sz w:val="20"/>
                <w:szCs w:val="20"/>
              </w:rPr>
              <w:t>herrmanni</w:t>
            </w:r>
            <w:proofErr w:type="spellEnd"/>
            <w:r w:rsidRPr="008E296F">
              <w:rPr>
                <w:rFonts w:cs="Arial"/>
                <w:b/>
                <w:i/>
                <w:iCs/>
                <w:sz w:val="20"/>
                <w:szCs w:val="20"/>
              </w:rPr>
              <w:t>, S. vastus, and S. ocellatus</w:t>
            </w:r>
            <w:r w:rsidRPr="008E296F">
              <w:rPr>
                <w:rFonts w:cs="Arial"/>
                <w:b/>
                <w:sz w:val="20"/>
                <w:szCs w:val="20"/>
              </w:rPr>
              <w:t>) and Prickly Redfish (</w:t>
            </w:r>
            <w:proofErr w:type="spellStart"/>
            <w:r w:rsidRPr="008E296F">
              <w:rPr>
                <w:rFonts w:cs="Arial"/>
                <w:b/>
                <w:i/>
                <w:iCs/>
                <w:sz w:val="20"/>
                <w:szCs w:val="20"/>
              </w:rPr>
              <w:t>Thelenota</w:t>
            </w:r>
            <w:proofErr w:type="spellEnd"/>
            <w:r w:rsidRPr="008E296F">
              <w:rPr>
                <w:rFonts w:cs="Arial"/>
                <w:b/>
                <w:i/>
                <w:iCs/>
                <w:sz w:val="20"/>
                <w:szCs w:val="20"/>
              </w:rPr>
              <w:t xml:space="preserve"> ananas</w:t>
            </w:r>
            <w:r w:rsidRPr="008E296F">
              <w:rPr>
                <w:rFonts w:cs="Arial"/>
                <w:b/>
                <w:sz w:val="20"/>
                <w:szCs w:val="20"/>
              </w:rPr>
              <w:t>)</w:t>
            </w:r>
          </w:p>
          <w:p w14:paraId="012CFD92" w14:textId="77777777" w:rsidR="001E43B7" w:rsidRPr="00A7590A" w:rsidRDefault="001E43B7" w:rsidP="001E43B7">
            <w:pPr>
              <w:spacing w:line="276" w:lineRule="auto"/>
              <w:contextualSpacing/>
              <w:rPr>
                <w:rFonts w:cs="Arial"/>
                <w:sz w:val="20"/>
                <w:szCs w:val="20"/>
              </w:rPr>
            </w:pPr>
            <w:r w:rsidRPr="00A7590A">
              <w:rPr>
                <w:rFonts w:cs="Arial"/>
                <w:sz w:val="20"/>
                <w:szCs w:val="20"/>
              </w:rPr>
              <w:t xml:space="preserve">Prickly Redfish and </w:t>
            </w:r>
            <w:proofErr w:type="spellStart"/>
            <w:r w:rsidRPr="00A7590A">
              <w:rPr>
                <w:rFonts w:cs="Arial"/>
                <w:sz w:val="20"/>
                <w:szCs w:val="20"/>
              </w:rPr>
              <w:t>Curryfish</w:t>
            </w:r>
            <w:proofErr w:type="spellEnd"/>
            <w:r w:rsidRPr="00A7590A">
              <w:rPr>
                <w:rFonts w:cs="Arial"/>
                <w:sz w:val="20"/>
                <w:szCs w:val="20"/>
              </w:rPr>
              <w:t xml:space="preserve"> make up a significant portion of the overall harvest in the fishery (approximately 20%). There is </w:t>
            </w:r>
            <w:r>
              <w:rPr>
                <w:rFonts w:cs="Arial"/>
                <w:sz w:val="20"/>
                <w:szCs w:val="20"/>
              </w:rPr>
              <w:t>very limited</w:t>
            </w:r>
            <w:r w:rsidRPr="00A7590A">
              <w:rPr>
                <w:rFonts w:cs="Arial"/>
                <w:sz w:val="20"/>
                <w:szCs w:val="20"/>
              </w:rPr>
              <w:t xml:space="preserve"> information on the abundance of either species in the GBR. </w:t>
            </w:r>
          </w:p>
          <w:p w14:paraId="3608774C" w14:textId="77777777" w:rsidR="001E43B7" w:rsidRPr="00A7590A" w:rsidRDefault="001E43B7" w:rsidP="001E43B7">
            <w:pPr>
              <w:spacing w:line="276" w:lineRule="auto"/>
              <w:contextualSpacing/>
              <w:rPr>
                <w:rFonts w:cs="Arial"/>
                <w:sz w:val="20"/>
                <w:szCs w:val="20"/>
              </w:rPr>
            </w:pPr>
          </w:p>
          <w:p w14:paraId="7DD56D5B" w14:textId="1C1EAFF3" w:rsidR="001E43B7" w:rsidRPr="00A7590A" w:rsidRDefault="001E43B7" w:rsidP="001E43B7">
            <w:pPr>
              <w:spacing w:line="276" w:lineRule="auto"/>
              <w:contextualSpacing/>
              <w:rPr>
                <w:rFonts w:cs="Arial"/>
                <w:sz w:val="20"/>
                <w:szCs w:val="20"/>
              </w:rPr>
            </w:pPr>
            <w:r w:rsidRPr="00A7590A">
              <w:rPr>
                <w:rFonts w:cs="Arial"/>
                <w:sz w:val="20"/>
                <w:szCs w:val="20"/>
              </w:rPr>
              <w:t xml:space="preserve">Pricky </w:t>
            </w:r>
            <w:r w:rsidR="00257A78">
              <w:rPr>
                <w:rFonts w:cs="Arial"/>
                <w:sz w:val="20"/>
                <w:szCs w:val="20"/>
              </w:rPr>
              <w:t>R</w:t>
            </w:r>
            <w:r w:rsidRPr="00A7590A">
              <w:rPr>
                <w:rFonts w:cs="Arial"/>
                <w:sz w:val="20"/>
                <w:szCs w:val="20"/>
              </w:rPr>
              <w:t>edfish is listed as ‘endangered’ by the International Union for Conservation of Nature (IUCN) Red List. The</w:t>
            </w:r>
            <w:r>
              <w:rPr>
                <w:rFonts w:cs="Arial"/>
                <w:sz w:val="20"/>
                <w:szCs w:val="20"/>
              </w:rPr>
              <w:t xml:space="preserve"> Harvest Strategy outlines</w:t>
            </w:r>
            <w:r w:rsidRPr="00A7590A">
              <w:rPr>
                <w:rFonts w:cs="Arial"/>
                <w:sz w:val="20"/>
                <w:szCs w:val="20"/>
              </w:rPr>
              <w:t xml:space="preserve"> a </w:t>
            </w:r>
            <w:proofErr w:type="gramStart"/>
            <w:r w:rsidRPr="00A7590A">
              <w:rPr>
                <w:rFonts w:cs="Arial"/>
                <w:sz w:val="20"/>
                <w:szCs w:val="20"/>
              </w:rPr>
              <w:t>40</w:t>
            </w:r>
            <w:r>
              <w:rPr>
                <w:rFonts w:cs="Arial"/>
                <w:sz w:val="20"/>
                <w:szCs w:val="20"/>
              </w:rPr>
              <w:t> t</w:t>
            </w:r>
            <w:proofErr w:type="gramEnd"/>
            <w:r w:rsidRPr="00A7590A">
              <w:rPr>
                <w:rFonts w:cs="Arial"/>
                <w:sz w:val="20"/>
                <w:szCs w:val="20"/>
              </w:rPr>
              <w:t xml:space="preserve"> trigger reference level </w:t>
            </w:r>
            <w:r>
              <w:rPr>
                <w:rFonts w:cs="Arial"/>
                <w:sz w:val="20"/>
                <w:szCs w:val="20"/>
              </w:rPr>
              <w:t>for</w:t>
            </w:r>
            <w:r w:rsidRPr="00A7590A">
              <w:rPr>
                <w:rFonts w:cs="Arial"/>
                <w:sz w:val="20"/>
                <w:szCs w:val="20"/>
              </w:rPr>
              <w:t xml:space="preserve"> the harvest of this species</w:t>
            </w:r>
            <w:r>
              <w:rPr>
                <w:rFonts w:cs="Arial"/>
                <w:sz w:val="20"/>
                <w:szCs w:val="20"/>
              </w:rPr>
              <w:t>.</w:t>
            </w:r>
            <w:r w:rsidRPr="00A7590A">
              <w:rPr>
                <w:rFonts w:cs="Arial"/>
                <w:sz w:val="20"/>
                <w:szCs w:val="20"/>
              </w:rPr>
              <w:t xml:space="preserve"> </w:t>
            </w:r>
            <w:r>
              <w:rPr>
                <w:rFonts w:cs="Arial"/>
                <w:sz w:val="20"/>
                <w:szCs w:val="20"/>
              </w:rPr>
              <w:t>H</w:t>
            </w:r>
            <w:r w:rsidRPr="00A7590A">
              <w:rPr>
                <w:rFonts w:cs="Arial"/>
                <w:sz w:val="20"/>
                <w:szCs w:val="20"/>
              </w:rPr>
              <w:t>owever</w:t>
            </w:r>
            <w:r>
              <w:rPr>
                <w:rFonts w:cs="Arial"/>
                <w:sz w:val="20"/>
                <w:szCs w:val="20"/>
              </w:rPr>
              <w:t>,</w:t>
            </w:r>
            <w:r w:rsidRPr="00A7590A">
              <w:rPr>
                <w:rFonts w:cs="Arial"/>
                <w:sz w:val="20"/>
                <w:szCs w:val="20"/>
              </w:rPr>
              <w:t xml:space="preserve"> there does not appear to be a biological basis for this trigger level.</w:t>
            </w:r>
          </w:p>
          <w:p w14:paraId="7FD1440D" w14:textId="77777777" w:rsidR="001E43B7" w:rsidRPr="00A7590A" w:rsidRDefault="001E43B7" w:rsidP="001E43B7">
            <w:pPr>
              <w:spacing w:line="276" w:lineRule="auto"/>
              <w:contextualSpacing/>
              <w:rPr>
                <w:rFonts w:cs="Arial"/>
                <w:sz w:val="20"/>
                <w:szCs w:val="20"/>
              </w:rPr>
            </w:pPr>
          </w:p>
          <w:p w14:paraId="1A2C9AA4" w14:textId="77777777" w:rsidR="001E43B7" w:rsidRDefault="001E43B7" w:rsidP="001E43B7">
            <w:pPr>
              <w:spacing w:line="276" w:lineRule="auto"/>
              <w:contextualSpacing/>
              <w:rPr>
                <w:rFonts w:cs="Arial"/>
                <w:sz w:val="20"/>
                <w:szCs w:val="20"/>
              </w:rPr>
            </w:pPr>
            <w:r w:rsidRPr="00A7590A">
              <w:rPr>
                <w:rFonts w:cs="Arial"/>
                <w:sz w:val="20"/>
                <w:szCs w:val="20"/>
              </w:rPr>
              <w:t xml:space="preserve">There are two species of </w:t>
            </w:r>
            <w:proofErr w:type="spellStart"/>
            <w:r w:rsidRPr="00A7590A">
              <w:rPr>
                <w:rFonts w:cs="Arial"/>
                <w:sz w:val="20"/>
                <w:szCs w:val="20"/>
              </w:rPr>
              <w:t>Curryfish</w:t>
            </w:r>
            <w:proofErr w:type="spellEnd"/>
            <w:r w:rsidRPr="00A7590A">
              <w:rPr>
                <w:rFonts w:cs="Arial"/>
                <w:sz w:val="20"/>
                <w:szCs w:val="20"/>
              </w:rPr>
              <w:t xml:space="preserve"> reported to be harvested in the fishery: </w:t>
            </w:r>
            <w:proofErr w:type="spellStart"/>
            <w:r w:rsidRPr="00A7590A">
              <w:rPr>
                <w:rFonts w:cs="Arial"/>
                <w:i/>
                <w:iCs/>
                <w:sz w:val="20"/>
                <w:szCs w:val="20"/>
              </w:rPr>
              <w:t>Stichopus</w:t>
            </w:r>
            <w:proofErr w:type="spellEnd"/>
            <w:r w:rsidRPr="00A7590A">
              <w:rPr>
                <w:rFonts w:cs="Arial"/>
                <w:i/>
                <w:iCs/>
                <w:sz w:val="20"/>
                <w:szCs w:val="20"/>
              </w:rPr>
              <w:t xml:space="preserve"> </w:t>
            </w:r>
            <w:proofErr w:type="spellStart"/>
            <w:r w:rsidRPr="00A7590A">
              <w:rPr>
                <w:rFonts w:cs="Arial"/>
                <w:i/>
                <w:iCs/>
                <w:sz w:val="20"/>
                <w:szCs w:val="20"/>
              </w:rPr>
              <w:t>herrmanni</w:t>
            </w:r>
            <w:proofErr w:type="spellEnd"/>
            <w:r w:rsidRPr="00A7590A">
              <w:rPr>
                <w:rFonts w:cs="Arial"/>
                <w:sz w:val="20"/>
                <w:szCs w:val="20"/>
              </w:rPr>
              <w:t xml:space="preserve"> and </w:t>
            </w:r>
            <w:r w:rsidRPr="00A7590A">
              <w:rPr>
                <w:rFonts w:cs="Arial"/>
                <w:i/>
                <w:iCs/>
                <w:sz w:val="20"/>
                <w:szCs w:val="20"/>
              </w:rPr>
              <w:t>S. vastus</w:t>
            </w:r>
            <w:r w:rsidRPr="00A7590A">
              <w:rPr>
                <w:rFonts w:cs="Arial"/>
                <w:sz w:val="20"/>
                <w:szCs w:val="20"/>
              </w:rPr>
              <w:t xml:space="preserve">. Each species has trigger reference level under the Harvest Strategy, </w:t>
            </w:r>
            <w:r>
              <w:rPr>
                <w:rFonts w:cs="Arial"/>
                <w:sz w:val="20"/>
                <w:szCs w:val="20"/>
              </w:rPr>
              <w:t>but</w:t>
            </w:r>
            <w:r w:rsidRPr="00A7590A">
              <w:rPr>
                <w:rFonts w:cs="Arial"/>
                <w:sz w:val="20"/>
                <w:szCs w:val="20"/>
              </w:rPr>
              <w:t xml:space="preserve"> recent logbook reporting does not differentiate the species</w:t>
            </w:r>
            <w:r>
              <w:rPr>
                <w:rFonts w:cs="Arial"/>
                <w:sz w:val="20"/>
                <w:szCs w:val="20"/>
              </w:rPr>
              <w:t xml:space="preserve"> making those trigger reference levels less meaningful</w:t>
            </w:r>
            <w:r w:rsidRPr="00A7590A">
              <w:rPr>
                <w:rFonts w:cs="Arial"/>
                <w:sz w:val="20"/>
                <w:szCs w:val="20"/>
              </w:rPr>
              <w:t xml:space="preserve">. </w:t>
            </w:r>
            <w:r>
              <w:rPr>
                <w:rFonts w:cs="Arial"/>
                <w:sz w:val="20"/>
                <w:szCs w:val="20"/>
              </w:rPr>
              <w:t>Expert advice received through the department’s p</w:t>
            </w:r>
            <w:r w:rsidRPr="00A7590A">
              <w:rPr>
                <w:rFonts w:cs="Arial"/>
                <w:sz w:val="20"/>
                <w:szCs w:val="20"/>
              </w:rPr>
              <w:t xml:space="preserve">ublic </w:t>
            </w:r>
            <w:r>
              <w:rPr>
                <w:rFonts w:cs="Arial"/>
                <w:sz w:val="20"/>
                <w:szCs w:val="20"/>
              </w:rPr>
              <w:t>consultation process</w:t>
            </w:r>
            <w:r w:rsidRPr="00A7590A">
              <w:rPr>
                <w:rFonts w:cs="Arial"/>
                <w:sz w:val="20"/>
                <w:szCs w:val="20"/>
              </w:rPr>
              <w:t xml:space="preserve"> also noted that there is a third species (</w:t>
            </w:r>
            <w:r w:rsidRPr="00A7590A">
              <w:rPr>
                <w:rFonts w:cs="Arial"/>
                <w:i/>
                <w:iCs/>
                <w:sz w:val="20"/>
                <w:szCs w:val="20"/>
              </w:rPr>
              <w:t>S. ocellatus</w:t>
            </w:r>
            <w:r w:rsidRPr="00A7590A">
              <w:rPr>
                <w:rFonts w:cs="Arial"/>
                <w:sz w:val="20"/>
                <w:szCs w:val="20"/>
              </w:rPr>
              <w:t xml:space="preserve">) that occurs in the fishery and may be harvested </w:t>
            </w:r>
            <w:r>
              <w:rPr>
                <w:rFonts w:cs="Arial"/>
                <w:sz w:val="20"/>
                <w:szCs w:val="20"/>
              </w:rPr>
              <w:t xml:space="preserve">but this is not known as reporting is not done </w:t>
            </w:r>
            <w:r w:rsidRPr="00A7590A">
              <w:rPr>
                <w:rFonts w:cs="Arial"/>
                <w:sz w:val="20"/>
                <w:szCs w:val="20"/>
              </w:rPr>
              <w:t xml:space="preserve">to species level. </w:t>
            </w:r>
          </w:p>
          <w:p w14:paraId="3C35390E" w14:textId="77777777" w:rsidR="001E43B7" w:rsidRDefault="001E43B7" w:rsidP="001E43B7">
            <w:pPr>
              <w:spacing w:line="276" w:lineRule="auto"/>
              <w:contextualSpacing/>
              <w:rPr>
                <w:rFonts w:cs="Arial"/>
                <w:sz w:val="20"/>
                <w:szCs w:val="20"/>
              </w:rPr>
            </w:pPr>
          </w:p>
          <w:p w14:paraId="60DA9FC2" w14:textId="77777777" w:rsidR="001E43B7" w:rsidRDefault="001E43B7" w:rsidP="001E43B7">
            <w:pPr>
              <w:spacing w:line="276" w:lineRule="auto"/>
              <w:contextualSpacing/>
              <w:rPr>
                <w:rFonts w:cs="Arial"/>
                <w:sz w:val="20"/>
                <w:szCs w:val="20"/>
              </w:rPr>
            </w:pPr>
            <w:r w:rsidRPr="00A7590A">
              <w:rPr>
                <w:rFonts w:cs="Arial"/>
                <w:i/>
                <w:iCs/>
                <w:sz w:val="20"/>
                <w:szCs w:val="20"/>
              </w:rPr>
              <w:t xml:space="preserve">S. vastus </w:t>
            </w:r>
            <w:r w:rsidRPr="00A7590A">
              <w:rPr>
                <w:rFonts w:cs="Arial"/>
                <w:sz w:val="20"/>
                <w:szCs w:val="20"/>
              </w:rPr>
              <w:t xml:space="preserve">is listed as ‘least concern’ on the IUCN Red List and there is a </w:t>
            </w:r>
            <w:proofErr w:type="gramStart"/>
            <w:r w:rsidRPr="00A7590A">
              <w:rPr>
                <w:rFonts w:cs="Arial"/>
                <w:sz w:val="20"/>
                <w:szCs w:val="20"/>
              </w:rPr>
              <w:t>25</w:t>
            </w:r>
            <w:r>
              <w:rPr>
                <w:rFonts w:cs="Arial"/>
                <w:sz w:val="20"/>
                <w:szCs w:val="20"/>
              </w:rPr>
              <w:t> </w:t>
            </w:r>
            <w:r w:rsidRPr="00A7590A">
              <w:rPr>
                <w:rFonts w:cs="Arial"/>
                <w:sz w:val="20"/>
                <w:szCs w:val="20"/>
              </w:rPr>
              <w:t>t</w:t>
            </w:r>
            <w:proofErr w:type="gramEnd"/>
            <w:r w:rsidRPr="00A7590A">
              <w:rPr>
                <w:rFonts w:cs="Arial"/>
                <w:sz w:val="20"/>
                <w:szCs w:val="20"/>
              </w:rPr>
              <w:t xml:space="preserve"> trigger reference level for this species in the fishery. </w:t>
            </w:r>
            <w:r w:rsidRPr="00A7590A">
              <w:rPr>
                <w:rFonts w:cs="Arial"/>
                <w:i/>
                <w:iCs/>
                <w:sz w:val="20"/>
                <w:szCs w:val="20"/>
              </w:rPr>
              <w:t xml:space="preserve">S. </w:t>
            </w:r>
            <w:proofErr w:type="spellStart"/>
            <w:r w:rsidRPr="00A7590A">
              <w:rPr>
                <w:rFonts w:cs="Arial"/>
                <w:i/>
                <w:iCs/>
                <w:sz w:val="20"/>
                <w:szCs w:val="20"/>
              </w:rPr>
              <w:t>herrmanni</w:t>
            </w:r>
            <w:proofErr w:type="spellEnd"/>
            <w:r w:rsidRPr="00A7590A">
              <w:rPr>
                <w:rFonts w:cs="Arial"/>
                <w:i/>
                <w:iCs/>
                <w:sz w:val="20"/>
                <w:szCs w:val="20"/>
              </w:rPr>
              <w:t xml:space="preserve"> </w:t>
            </w:r>
            <w:r w:rsidRPr="00A7590A">
              <w:rPr>
                <w:rFonts w:cs="Arial"/>
                <w:sz w:val="20"/>
                <w:szCs w:val="20"/>
              </w:rPr>
              <w:t>is listed as ‘vulnerable’ on the IUCN Red List and has a trigger reference level of 50</w:t>
            </w:r>
            <w:r>
              <w:rPr>
                <w:rFonts w:cs="Arial"/>
                <w:sz w:val="20"/>
                <w:szCs w:val="20"/>
              </w:rPr>
              <w:t> </w:t>
            </w:r>
            <w:r w:rsidRPr="00A7590A">
              <w:rPr>
                <w:rFonts w:cs="Arial"/>
                <w:sz w:val="20"/>
                <w:szCs w:val="20"/>
              </w:rPr>
              <w:t xml:space="preserve">t. </w:t>
            </w:r>
          </w:p>
          <w:p w14:paraId="3E2FAEDE" w14:textId="77777777" w:rsidR="001E43B7" w:rsidRDefault="001E43B7" w:rsidP="001E43B7">
            <w:pPr>
              <w:spacing w:line="276" w:lineRule="auto"/>
              <w:contextualSpacing/>
              <w:rPr>
                <w:rFonts w:cs="Arial"/>
                <w:sz w:val="20"/>
                <w:szCs w:val="20"/>
              </w:rPr>
            </w:pPr>
          </w:p>
          <w:p w14:paraId="465448E0" w14:textId="3B391403" w:rsidR="001E43B7" w:rsidRDefault="001E43B7" w:rsidP="001E43B7">
            <w:pPr>
              <w:spacing w:line="276" w:lineRule="auto"/>
              <w:contextualSpacing/>
              <w:rPr>
                <w:rFonts w:cs="Arial"/>
                <w:sz w:val="20"/>
                <w:szCs w:val="20"/>
              </w:rPr>
            </w:pPr>
            <w:r w:rsidRPr="00A7590A">
              <w:rPr>
                <w:rFonts w:cs="Arial"/>
                <w:sz w:val="20"/>
                <w:szCs w:val="20"/>
              </w:rPr>
              <w:t>Before 2008</w:t>
            </w:r>
            <w:r w:rsidRPr="00036DBF">
              <w:rPr>
                <w:rFonts w:cs="Arial"/>
                <w:sz w:val="20"/>
                <w:szCs w:val="20"/>
              </w:rPr>
              <w:t xml:space="preserve">, </w:t>
            </w:r>
            <w:proofErr w:type="spellStart"/>
            <w:r w:rsidRPr="00036DBF">
              <w:rPr>
                <w:rFonts w:cs="Arial"/>
                <w:sz w:val="20"/>
                <w:szCs w:val="20"/>
              </w:rPr>
              <w:t>Curryfish</w:t>
            </w:r>
            <w:proofErr w:type="spellEnd"/>
            <w:r w:rsidRPr="00036DBF">
              <w:rPr>
                <w:rFonts w:cs="Arial"/>
                <w:sz w:val="20"/>
                <w:szCs w:val="20"/>
              </w:rPr>
              <w:t xml:space="preserve"> were</w:t>
            </w:r>
            <w:r w:rsidRPr="00A7590A">
              <w:rPr>
                <w:rFonts w:cs="Arial"/>
                <w:sz w:val="20"/>
                <w:szCs w:val="20"/>
              </w:rPr>
              <w:t xml:space="preserve"> not heavily fished as there were significant challenges with quality during processing. Since then, its proportional harvest has grown as processing </w:t>
            </w:r>
            <w:r w:rsidRPr="00826786">
              <w:rPr>
                <w:rFonts w:cs="Arial"/>
                <w:sz w:val="20"/>
                <w:szCs w:val="20"/>
              </w:rPr>
              <w:t xml:space="preserve">methods for this species have improved (Skewes </w:t>
            </w:r>
            <w:r w:rsidRPr="00826786">
              <w:rPr>
                <w:rFonts w:cs="Arial"/>
                <w:i/>
                <w:iCs/>
                <w:sz w:val="20"/>
                <w:szCs w:val="20"/>
              </w:rPr>
              <w:t xml:space="preserve">et al </w:t>
            </w:r>
            <w:r w:rsidRPr="00826786">
              <w:rPr>
                <w:rFonts w:cs="Arial"/>
                <w:sz w:val="20"/>
                <w:szCs w:val="20"/>
              </w:rPr>
              <w:t xml:space="preserve">2014), making it a relatively recent addition to the fishery. Processing has been known to have potentially large amounts of wastage in other fisheries and it is unknown whether this </w:t>
            </w:r>
            <w:r w:rsidR="00B95084">
              <w:rPr>
                <w:rFonts w:cs="Arial"/>
                <w:sz w:val="20"/>
                <w:szCs w:val="20"/>
              </w:rPr>
              <w:t xml:space="preserve">is </w:t>
            </w:r>
            <w:r w:rsidRPr="00826786">
              <w:rPr>
                <w:rFonts w:cs="Arial"/>
                <w:sz w:val="20"/>
                <w:szCs w:val="20"/>
              </w:rPr>
              <w:t>an issue for this fishery as this information is not collected or accounted for in in harvest reporting.</w:t>
            </w:r>
            <w:r w:rsidRPr="00A7590A">
              <w:rPr>
                <w:rFonts w:cs="Arial"/>
                <w:sz w:val="20"/>
                <w:szCs w:val="20"/>
              </w:rPr>
              <w:t xml:space="preserve"> </w:t>
            </w:r>
          </w:p>
          <w:p w14:paraId="2A7C8521" w14:textId="77777777" w:rsidR="001E43B7" w:rsidRDefault="001E43B7" w:rsidP="001E43B7">
            <w:pPr>
              <w:spacing w:line="276" w:lineRule="auto"/>
              <w:contextualSpacing/>
              <w:rPr>
                <w:rFonts w:cs="Arial"/>
                <w:sz w:val="20"/>
                <w:szCs w:val="20"/>
              </w:rPr>
            </w:pPr>
          </w:p>
          <w:p w14:paraId="060C0EF8" w14:textId="77777777" w:rsidR="001E43B7" w:rsidRPr="00A7590A" w:rsidRDefault="001E43B7" w:rsidP="001E43B7">
            <w:pPr>
              <w:spacing w:line="276" w:lineRule="auto"/>
              <w:contextualSpacing/>
              <w:rPr>
                <w:rFonts w:cs="Arial"/>
                <w:sz w:val="20"/>
                <w:szCs w:val="20"/>
              </w:rPr>
            </w:pPr>
            <w:r w:rsidRPr="00A7590A">
              <w:rPr>
                <w:rFonts w:cs="Arial"/>
                <w:sz w:val="20"/>
                <w:szCs w:val="20"/>
              </w:rPr>
              <w:t xml:space="preserve">The </w:t>
            </w:r>
            <w:r>
              <w:rPr>
                <w:rFonts w:cs="Arial"/>
                <w:sz w:val="20"/>
                <w:szCs w:val="20"/>
              </w:rPr>
              <w:t xml:space="preserve">2014 </w:t>
            </w:r>
            <w:r w:rsidRPr="00A7590A">
              <w:rPr>
                <w:rFonts w:cs="Arial"/>
                <w:sz w:val="20"/>
                <w:szCs w:val="20"/>
              </w:rPr>
              <w:t xml:space="preserve">MSE modelled the abundance of </w:t>
            </w:r>
            <w:r w:rsidRPr="00A7590A">
              <w:rPr>
                <w:rFonts w:cs="Arial"/>
                <w:i/>
                <w:iCs/>
                <w:sz w:val="20"/>
                <w:szCs w:val="20"/>
              </w:rPr>
              <w:t xml:space="preserve">S. </w:t>
            </w:r>
            <w:proofErr w:type="spellStart"/>
            <w:r w:rsidRPr="00A7590A">
              <w:rPr>
                <w:rFonts w:cs="Arial"/>
                <w:i/>
                <w:iCs/>
                <w:sz w:val="20"/>
                <w:szCs w:val="20"/>
              </w:rPr>
              <w:t>herrmanni</w:t>
            </w:r>
            <w:proofErr w:type="spellEnd"/>
            <w:r w:rsidRPr="00A7590A">
              <w:rPr>
                <w:rFonts w:cs="Arial"/>
                <w:i/>
                <w:iCs/>
                <w:sz w:val="20"/>
                <w:szCs w:val="20"/>
              </w:rPr>
              <w:t xml:space="preserve"> </w:t>
            </w:r>
            <w:r w:rsidRPr="00A7590A">
              <w:rPr>
                <w:rFonts w:cs="Arial"/>
                <w:sz w:val="20"/>
                <w:szCs w:val="20"/>
              </w:rPr>
              <w:t>as 2.8 individuals per hectare citing surveys conducted from 1998</w:t>
            </w:r>
            <w:r>
              <w:rPr>
                <w:rFonts w:cs="Arial"/>
                <w:sz w:val="20"/>
                <w:szCs w:val="20"/>
              </w:rPr>
              <w:t>–</w:t>
            </w:r>
            <w:r w:rsidRPr="00A7590A">
              <w:rPr>
                <w:rFonts w:cs="Arial"/>
                <w:sz w:val="20"/>
                <w:szCs w:val="20"/>
              </w:rPr>
              <w:t>2000</w:t>
            </w:r>
            <w:r>
              <w:rPr>
                <w:rFonts w:cs="Arial"/>
                <w:sz w:val="20"/>
                <w:szCs w:val="20"/>
              </w:rPr>
              <w:t>. H</w:t>
            </w:r>
            <w:r w:rsidRPr="00A7590A">
              <w:rPr>
                <w:rFonts w:cs="Arial"/>
                <w:sz w:val="20"/>
                <w:szCs w:val="20"/>
              </w:rPr>
              <w:t>owever</w:t>
            </w:r>
            <w:r>
              <w:rPr>
                <w:rFonts w:cs="Arial"/>
                <w:sz w:val="20"/>
                <w:szCs w:val="20"/>
              </w:rPr>
              <w:t>, it</w:t>
            </w:r>
            <w:r w:rsidRPr="00A7590A">
              <w:rPr>
                <w:rFonts w:cs="Arial"/>
                <w:sz w:val="20"/>
                <w:szCs w:val="20"/>
              </w:rPr>
              <w:t xml:space="preserve"> noted that surveys reported a density estimate of zero in the northern part of the reef. The abundance of </w:t>
            </w:r>
            <w:r w:rsidRPr="00A7590A">
              <w:rPr>
                <w:rFonts w:cs="Arial"/>
                <w:i/>
                <w:iCs/>
                <w:sz w:val="20"/>
                <w:szCs w:val="20"/>
              </w:rPr>
              <w:t xml:space="preserve">S. vastus </w:t>
            </w:r>
            <w:r w:rsidRPr="00A7590A">
              <w:rPr>
                <w:rFonts w:cs="Arial"/>
                <w:sz w:val="20"/>
                <w:szCs w:val="20"/>
              </w:rPr>
              <w:t xml:space="preserve">was inferred from the fishery reporting at an approximate catch composition of 2/3 </w:t>
            </w:r>
            <w:r w:rsidRPr="00A7590A">
              <w:rPr>
                <w:rFonts w:cs="Arial"/>
                <w:i/>
                <w:iCs/>
                <w:sz w:val="20"/>
                <w:szCs w:val="20"/>
              </w:rPr>
              <w:t xml:space="preserve">S. </w:t>
            </w:r>
            <w:proofErr w:type="spellStart"/>
            <w:r w:rsidRPr="00A7590A">
              <w:rPr>
                <w:rFonts w:cs="Arial"/>
                <w:i/>
                <w:iCs/>
                <w:sz w:val="20"/>
                <w:szCs w:val="20"/>
              </w:rPr>
              <w:t>herrmanni</w:t>
            </w:r>
            <w:proofErr w:type="spellEnd"/>
            <w:r w:rsidRPr="00A7590A">
              <w:rPr>
                <w:rFonts w:cs="Arial"/>
                <w:i/>
                <w:iCs/>
                <w:sz w:val="20"/>
                <w:szCs w:val="20"/>
              </w:rPr>
              <w:t xml:space="preserve"> </w:t>
            </w:r>
            <w:r w:rsidRPr="00A7590A">
              <w:rPr>
                <w:rFonts w:cs="Arial"/>
                <w:sz w:val="20"/>
                <w:szCs w:val="20"/>
              </w:rPr>
              <w:t xml:space="preserve">to 1/3 </w:t>
            </w:r>
            <w:r w:rsidRPr="00A7590A">
              <w:rPr>
                <w:rFonts w:cs="Arial"/>
                <w:i/>
                <w:iCs/>
                <w:sz w:val="20"/>
                <w:szCs w:val="20"/>
              </w:rPr>
              <w:t>S. vastus</w:t>
            </w:r>
            <w:r w:rsidRPr="00A7590A">
              <w:rPr>
                <w:rFonts w:cs="Arial"/>
                <w:sz w:val="20"/>
                <w:szCs w:val="20"/>
              </w:rPr>
              <w:t xml:space="preserve">. </w:t>
            </w:r>
          </w:p>
          <w:p w14:paraId="17A6FA9E" w14:textId="77777777" w:rsidR="001E43B7" w:rsidRDefault="001E43B7" w:rsidP="001E43B7">
            <w:pPr>
              <w:spacing w:line="276" w:lineRule="auto"/>
              <w:contextualSpacing/>
              <w:rPr>
                <w:rFonts w:cs="Arial"/>
                <w:sz w:val="20"/>
                <w:szCs w:val="20"/>
              </w:rPr>
            </w:pPr>
          </w:p>
          <w:p w14:paraId="7BE92D8D" w14:textId="68B6AA0C" w:rsidR="001E43B7" w:rsidRPr="00A7590A" w:rsidRDefault="001E43B7" w:rsidP="001E43B7">
            <w:pPr>
              <w:spacing w:line="276" w:lineRule="auto"/>
              <w:contextualSpacing/>
              <w:rPr>
                <w:rFonts w:eastAsia="Times New Roman" w:cs="Arial"/>
                <w:sz w:val="20"/>
                <w:szCs w:val="20"/>
              </w:rPr>
            </w:pPr>
            <w:r w:rsidRPr="00A7590A">
              <w:rPr>
                <w:rFonts w:cs="Arial"/>
                <w:sz w:val="20"/>
                <w:szCs w:val="20"/>
              </w:rPr>
              <w:t xml:space="preserve">The Level 1 Ecological Risk Assessment (ERA) for the fishery identified several information gaps and recommended consideration of </w:t>
            </w:r>
            <w:r w:rsidRPr="00A7590A">
              <w:rPr>
                <w:rFonts w:eastAsia="Times New Roman" w:cs="Arial"/>
                <w:sz w:val="20"/>
                <w:szCs w:val="20"/>
              </w:rPr>
              <w:t>the need to conduct sustainability assessments for target species not managed under species-specific quotas (</w:t>
            </w:r>
            <w:r w:rsidRPr="00A7590A">
              <w:rPr>
                <w:rFonts w:eastAsia="Times New Roman" w:cs="Arial"/>
                <w:i/>
                <w:iCs/>
                <w:sz w:val="20"/>
                <w:szCs w:val="20"/>
              </w:rPr>
              <w:t xml:space="preserve">i.e., </w:t>
            </w:r>
            <w:r w:rsidR="00FA446D">
              <w:rPr>
                <w:rFonts w:eastAsia="Times New Roman" w:cs="Arial"/>
                <w:sz w:val="20"/>
                <w:szCs w:val="20"/>
              </w:rPr>
              <w:t>P</w:t>
            </w:r>
            <w:r w:rsidRPr="00A7590A">
              <w:rPr>
                <w:rFonts w:eastAsia="Times New Roman" w:cs="Arial"/>
                <w:sz w:val="20"/>
                <w:szCs w:val="20"/>
              </w:rPr>
              <w:t xml:space="preserve">rickly </w:t>
            </w:r>
            <w:r w:rsidR="00FA446D">
              <w:rPr>
                <w:rFonts w:eastAsia="Times New Roman" w:cs="Arial"/>
                <w:sz w:val="20"/>
                <w:szCs w:val="20"/>
              </w:rPr>
              <w:t>R</w:t>
            </w:r>
            <w:r w:rsidRPr="00A7590A">
              <w:rPr>
                <w:rFonts w:eastAsia="Times New Roman" w:cs="Arial"/>
                <w:sz w:val="20"/>
                <w:szCs w:val="20"/>
              </w:rPr>
              <w:t xml:space="preserve">edfish, </w:t>
            </w:r>
            <w:proofErr w:type="spellStart"/>
            <w:r w:rsidR="00FA446D">
              <w:rPr>
                <w:rFonts w:eastAsia="Times New Roman" w:cs="Arial"/>
                <w:sz w:val="20"/>
                <w:szCs w:val="20"/>
              </w:rPr>
              <w:t>C</w:t>
            </w:r>
            <w:r w:rsidRPr="00A7590A">
              <w:rPr>
                <w:rFonts w:eastAsia="Times New Roman" w:cs="Arial"/>
                <w:sz w:val="20"/>
                <w:szCs w:val="20"/>
              </w:rPr>
              <w:t>urryfish</w:t>
            </w:r>
            <w:proofErr w:type="spellEnd"/>
            <w:r w:rsidRPr="00A7590A">
              <w:rPr>
                <w:rFonts w:eastAsia="Times New Roman" w:cs="Arial"/>
                <w:sz w:val="20"/>
                <w:szCs w:val="20"/>
              </w:rPr>
              <w:t xml:space="preserve">). The ERA suggests that based on the results of these assessments, the suitability or applicability of </w:t>
            </w:r>
            <w:r w:rsidRPr="00826786">
              <w:rPr>
                <w:rFonts w:eastAsia="Times New Roman" w:cs="Arial"/>
                <w:sz w:val="20"/>
                <w:szCs w:val="20"/>
              </w:rPr>
              <w:t>managing their take under species-specific TAC limits should be examined, the department will be interested in considering this at the next assessment for this fishery.</w:t>
            </w:r>
            <w:r w:rsidRPr="00A7590A">
              <w:rPr>
                <w:rFonts w:eastAsia="Times New Roman" w:cs="Arial"/>
                <w:sz w:val="20"/>
                <w:szCs w:val="20"/>
              </w:rPr>
              <w:t xml:space="preserve"> </w:t>
            </w:r>
          </w:p>
          <w:p w14:paraId="3B85763B" w14:textId="77777777" w:rsidR="001E43B7" w:rsidRPr="00A7590A" w:rsidRDefault="001E43B7" w:rsidP="001E43B7">
            <w:pPr>
              <w:spacing w:line="276" w:lineRule="auto"/>
              <w:contextualSpacing/>
              <w:rPr>
                <w:rFonts w:cs="Arial"/>
                <w:sz w:val="20"/>
                <w:szCs w:val="20"/>
              </w:rPr>
            </w:pPr>
          </w:p>
          <w:p w14:paraId="0A158097" w14:textId="77777777" w:rsidR="001E43B7" w:rsidRPr="00A7590A" w:rsidRDefault="001E43B7" w:rsidP="001E43B7">
            <w:pPr>
              <w:spacing w:line="276" w:lineRule="auto"/>
              <w:contextualSpacing/>
              <w:rPr>
                <w:rFonts w:cs="Arial"/>
                <w:sz w:val="20"/>
                <w:szCs w:val="20"/>
              </w:rPr>
            </w:pPr>
            <w:r w:rsidRPr="00A7590A">
              <w:rPr>
                <w:rFonts w:cs="Arial"/>
                <w:sz w:val="20"/>
                <w:szCs w:val="20"/>
              </w:rPr>
              <w:t>The patchy distribution, low abundance and uncertain catch composition of these species warrant a precautionary approach to their management.</w:t>
            </w:r>
            <w:r>
              <w:rPr>
                <w:rFonts w:cs="Arial"/>
                <w:sz w:val="20"/>
                <w:szCs w:val="20"/>
              </w:rPr>
              <w:t xml:space="preserve"> </w:t>
            </w:r>
            <w:r w:rsidRPr="00A7590A">
              <w:rPr>
                <w:rFonts w:cs="Arial"/>
                <w:sz w:val="20"/>
                <w:szCs w:val="20"/>
              </w:rPr>
              <w:t>The IUCN listing of these species comes from identified declines because of fishing pressure internationally. While these species are not listed under Australian legislation or CITES</w:t>
            </w:r>
            <w:r>
              <w:rPr>
                <w:rFonts w:cs="Arial"/>
                <w:sz w:val="20"/>
                <w:szCs w:val="20"/>
              </w:rPr>
              <w:t>,</w:t>
            </w:r>
            <w:r w:rsidRPr="00A7590A">
              <w:rPr>
                <w:rFonts w:cs="Arial"/>
                <w:sz w:val="20"/>
                <w:szCs w:val="20"/>
              </w:rPr>
              <w:t xml:space="preserve"> the knowledge of their vulnerability to fishing pressure and the absence of any</w:t>
            </w:r>
            <w:r>
              <w:rPr>
                <w:rFonts w:cs="Arial"/>
                <w:sz w:val="20"/>
                <w:szCs w:val="20"/>
              </w:rPr>
              <w:t xml:space="preserve"> recent</w:t>
            </w:r>
            <w:r w:rsidRPr="00A7590A">
              <w:rPr>
                <w:rFonts w:cs="Arial"/>
                <w:sz w:val="20"/>
                <w:szCs w:val="20"/>
              </w:rPr>
              <w:t xml:space="preserve"> information on their abundance in the GBR calls for a better understanding of these species, their level of abundance and ability to sustain fishing pressure at current levels.</w:t>
            </w:r>
          </w:p>
          <w:p w14:paraId="39EE83BE" w14:textId="77777777" w:rsidR="00B02B0E" w:rsidRPr="00A7590A" w:rsidRDefault="00B02B0E" w:rsidP="00B02B0E">
            <w:pPr>
              <w:spacing w:before="60" w:after="60" w:line="276" w:lineRule="auto"/>
              <w:contextualSpacing/>
              <w:rPr>
                <w:rFonts w:cs="Arial"/>
                <w:b/>
                <w:sz w:val="20"/>
                <w:szCs w:val="20"/>
                <w:u w:val="single"/>
              </w:rPr>
            </w:pPr>
          </w:p>
        </w:tc>
        <w:tc>
          <w:tcPr>
            <w:tcW w:w="2500" w:type="pct"/>
          </w:tcPr>
          <w:p w14:paraId="2A9D93EF" w14:textId="14962485" w:rsidR="007D561C" w:rsidRDefault="007D561C" w:rsidP="007D561C">
            <w:pPr>
              <w:keepNext/>
              <w:spacing w:line="252" w:lineRule="auto"/>
              <w:rPr>
                <w:rFonts w:cs="Arial"/>
                <w:b/>
                <w:sz w:val="20"/>
                <w:szCs w:val="20"/>
              </w:rPr>
            </w:pPr>
            <w:r>
              <w:rPr>
                <w:rFonts w:cs="Arial"/>
                <w:b/>
                <w:sz w:val="20"/>
                <w:szCs w:val="20"/>
              </w:rPr>
              <w:lastRenderedPageBreak/>
              <w:t>Condition 8</w:t>
            </w:r>
          </w:p>
          <w:p w14:paraId="7A410466" w14:textId="77777777" w:rsidR="007D561C" w:rsidRDefault="007D561C" w:rsidP="007D561C">
            <w:pPr>
              <w:autoSpaceDE w:val="0"/>
              <w:autoSpaceDN w:val="0"/>
              <w:adjustRightInd w:val="0"/>
              <w:spacing w:before="0" w:after="0"/>
              <w:rPr>
                <w:rFonts w:eastAsiaTheme="minorHAnsi" w:cs="Arial"/>
                <w:sz w:val="20"/>
                <w:szCs w:val="20"/>
              </w:rPr>
            </w:pPr>
            <w:r>
              <w:rPr>
                <w:rFonts w:eastAsiaTheme="minorHAnsi" w:cs="Arial"/>
                <w:sz w:val="20"/>
                <w:szCs w:val="20"/>
              </w:rPr>
              <w:t xml:space="preserve">The Queensland Department of Agriculture and Fisheries must: </w:t>
            </w:r>
          </w:p>
          <w:p w14:paraId="2B52AF52" w14:textId="77777777" w:rsidR="007D561C" w:rsidRPr="006256A9" w:rsidRDefault="007D561C" w:rsidP="007D561C">
            <w:pPr>
              <w:pStyle w:val="ListParagraph"/>
              <w:numPr>
                <w:ilvl w:val="0"/>
                <w:numId w:val="24"/>
              </w:numPr>
              <w:spacing w:line="276" w:lineRule="auto"/>
              <w:contextualSpacing/>
              <w:rPr>
                <w:rFonts w:cs="Arial"/>
                <w:sz w:val="20"/>
                <w:szCs w:val="20"/>
              </w:rPr>
            </w:pPr>
            <w:r w:rsidRPr="006256A9">
              <w:rPr>
                <w:rFonts w:cs="Arial"/>
                <w:sz w:val="20"/>
                <w:szCs w:val="20"/>
              </w:rPr>
              <w:t xml:space="preserve">Implement species-specific reporting for </w:t>
            </w:r>
            <w:proofErr w:type="spellStart"/>
            <w:r w:rsidRPr="006256A9">
              <w:rPr>
                <w:rFonts w:cs="Arial"/>
                <w:sz w:val="20"/>
                <w:szCs w:val="20"/>
              </w:rPr>
              <w:t>Curryfish</w:t>
            </w:r>
            <w:proofErr w:type="spellEnd"/>
            <w:r w:rsidRPr="006256A9">
              <w:rPr>
                <w:rFonts w:cs="Arial"/>
                <w:sz w:val="20"/>
                <w:szCs w:val="20"/>
              </w:rPr>
              <w:t xml:space="preserve"> for the 2022–23 fishing season and beyond.</w:t>
            </w:r>
          </w:p>
          <w:p w14:paraId="1E1CB6C8" w14:textId="77777777" w:rsidR="007D561C" w:rsidRPr="006256A9" w:rsidRDefault="007D561C" w:rsidP="007D561C">
            <w:pPr>
              <w:pStyle w:val="ListParagraph"/>
              <w:numPr>
                <w:ilvl w:val="0"/>
                <w:numId w:val="24"/>
              </w:numPr>
              <w:spacing w:line="276" w:lineRule="auto"/>
              <w:contextualSpacing/>
              <w:rPr>
                <w:rFonts w:cs="Arial"/>
                <w:sz w:val="20"/>
                <w:szCs w:val="20"/>
              </w:rPr>
            </w:pPr>
            <w:r w:rsidRPr="006256A9">
              <w:rPr>
                <w:rFonts w:cs="Arial"/>
                <w:sz w:val="20"/>
                <w:szCs w:val="20"/>
              </w:rPr>
              <w:t xml:space="preserve">Undertake and publish stock assessments for Prickly Redfish and </w:t>
            </w:r>
            <w:proofErr w:type="spellStart"/>
            <w:r w:rsidRPr="006256A9">
              <w:rPr>
                <w:rFonts w:cs="Arial"/>
                <w:sz w:val="20"/>
                <w:szCs w:val="20"/>
              </w:rPr>
              <w:t>Curryfish</w:t>
            </w:r>
            <w:proofErr w:type="spellEnd"/>
            <w:r w:rsidRPr="006256A9">
              <w:rPr>
                <w:rFonts w:cs="Arial"/>
                <w:sz w:val="20"/>
                <w:szCs w:val="20"/>
              </w:rPr>
              <w:t xml:space="preserve"> that incorporate fishery independent surveys</w:t>
            </w:r>
            <w:r>
              <w:rPr>
                <w:rFonts w:cs="Arial"/>
                <w:sz w:val="20"/>
                <w:szCs w:val="20"/>
              </w:rPr>
              <w:t xml:space="preserve">, that are representative of the fishery, </w:t>
            </w:r>
            <w:r w:rsidRPr="006256A9">
              <w:rPr>
                <w:rFonts w:cs="Arial"/>
                <w:sz w:val="20"/>
                <w:szCs w:val="20"/>
              </w:rPr>
              <w:t>for these species. The stock assessment must be independently peer reviewed and must be completed no later than six months prior to the expiry of the WTO approval.</w:t>
            </w:r>
          </w:p>
          <w:p w14:paraId="4E9CCFE7" w14:textId="24555875" w:rsidR="007D561C" w:rsidRPr="006256A9" w:rsidRDefault="007D561C" w:rsidP="007D561C">
            <w:pPr>
              <w:pStyle w:val="ListParagraph"/>
              <w:numPr>
                <w:ilvl w:val="0"/>
                <w:numId w:val="24"/>
              </w:numPr>
              <w:spacing w:line="276" w:lineRule="auto"/>
              <w:contextualSpacing/>
              <w:rPr>
                <w:rFonts w:cs="Arial"/>
                <w:sz w:val="20"/>
                <w:szCs w:val="20"/>
              </w:rPr>
            </w:pPr>
            <w:r w:rsidRPr="006256A9">
              <w:rPr>
                <w:rFonts w:cs="Arial"/>
                <w:sz w:val="20"/>
                <w:szCs w:val="20"/>
              </w:rPr>
              <w:t xml:space="preserve">For the 2024–25 fishing season and beyond, use information from </w:t>
            </w:r>
            <w:r w:rsidR="00B4472A">
              <w:rPr>
                <w:rFonts w:cs="Arial"/>
                <w:sz w:val="20"/>
                <w:szCs w:val="20"/>
              </w:rPr>
              <w:t>8</w:t>
            </w:r>
            <w:r w:rsidRPr="006256A9">
              <w:rPr>
                <w:rFonts w:cs="Arial"/>
                <w:sz w:val="20"/>
                <w:szCs w:val="20"/>
              </w:rPr>
              <w:t xml:space="preserve">a and </w:t>
            </w:r>
            <w:r w:rsidR="00B4472A">
              <w:rPr>
                <w:rFonts w:cs="Arial"/>
                <w:sz w:val="20"/>
                <w:szCs w:val="20"/>
              </w:rPr>
              <w:t>8</w:t>
            </w:r>
            <w:r w:rsidRPr="006256A9">
              <w:rPr>
                <w:rFonts w:cs="Arial"/>
                <w:sz w:val="20"/>
                <w:szCs w:val="20"/>
              </w:rPr>
              <w:t>b above to determine and implement the appropriate level of fishing mortality rate to be applied to these species to achieve the 60% biomass target as detailed under decision rule 3.2 of the harvest strategy for this fishery.</w:t>
            </w:r>
          </w:p>
          <w:p w14:paraId="0E40D63C" w14:textId="77777777" w:rsidR="00B02B0E" w:rsidRPr="00A7590A" w:rsidRDefault="00B02B0E" w:rsidP="00B02B0E">
            <w:pPr>
              <w:spacing w:line="252" w:lineRule="auto"/>
              <w:rPr>
                <w:rFonts w:cs="Arial"/>
                <w:b/>
                <w:bCs/>
                <w:sz w:val="20"/>
                <w:szCs w:val="20"/>
              </w:rPr>
            </w:pPr>
          </w:p>
        </w:tc>
      </w:tr>
      <w:tr w:rsidR="005F5F4B" w:rsidRPr="00887241" w14:paraId="10C0C85C" w14:textId="77777777" w:rsidTr="00211477">
        <w:trPr>
          <w:jc w:val="center"/>
        </w:trPr>
        <w:tc>
          <w:tcPr>
            <w:tcW w:w="2500" w:type="pct"/>
          </w:tcPr>
          <w:p w14:paraId="557A7AE4" w14:textId="77777777" w:rsidR="005F5F4B" w:rsidRPr="008E296F" w:rsidRDefault="005F5F4B" w:rsidP="005F5F4B">
            <w:pPr>
              <w:keepNext/>
              <w:spacing w:line="252" w:lineRule="auto"/>
              <w:rPr>
                <w:rFonts w:cs="Arial"/>
                <w:b/>
                <w:sz w:val="20"/>
                <w:szCs w:val="20"/>
              </w:rPr>
            </w:pPr>
            <w:r w:rsidRPr="008E296F">
              <w:rPr>
                <w:rFonts w:cs="Arial"/>
                <w:b/>
                <w:sz w:val="20"/>
                <w:szCs w:val="20"/>
              </w:rPr>
              <w:lastRenderedPageBreak/>
              <w:t xml:space="preserve">White </w:t>
            </w:r>
            <w:proofErr w:type="spellStart"/>
            <w:r w:rsidRPr="008E296F">
              <w:rPr>
                <w:rFonts w:cs="Arial"/>
                <w:b/>
                <w:sz w:val="20"/>
                <w:szCs w:val="20"/>
              </w:rPr>
              <w:t>Teatfish</w:t>
            </w:r>
            <w:proofErr w:type="spellEnd"/>
            <w:r w:rsidRPr="008E296F">
              <w:rPr>
                <w:rFonts w:cs="Arial"/>
                <w:b/>
                <w:sz w:val="20"/>
                <w:szCs w:val="20"/>
              </w:rPr>
              <w:t xml:space="preserve"> (</w:t>
            </w:r>
            <w:proofErr w:type="spellStart"/>
            <w:r w:rsidRPr="00272B1F">
              <w:rPr>
                <w:rFonts w:cs="Arial"/>
                <w:b/>
                <w:i/>
                <w:iCs/>
                <w:sz w:val="20"/>
                <w:szCs w:val="20"/>
              </w:rPr>
              <w:t>Holothuria</w:t>
            </w:r>
            <w:proofErr w:type="spellEnd"/>
            <w:r w:rsidRPr="00272B1F">
              <w:rPr>
                <w:rFonts w:cs="Arial"/>
                <w:b/>
                <w:i/>
                <w:iCs/>
                <w:sz w:val="20"/>
                <w:szCs w:val="20"/>
              </w:rPr>
              <w:t xml:space="preserve"> </w:t>
            </w:r>
            <w:proofErr w:type="spellStart"/>
            <w:r w:rsidRPr="00272B1F">
              <w:rPr>
                <w:rFonts w:cs="Arial"/>
                <w:b/>
                <w:i/>
                <w:iCs/>
                <w:sz w:val="20"/>
                <w:szCs w:val="20"/>
              </w:rPr>
              <w:t>fuscogilva</w:t>
            </w:r>
            <w:proofErr w:type="spellEnd"/>
            <w:r w:rsidRPr="008E296F">
              <w:rPr>
                <w:rFonts w:cs="Arial"/>
                <w:b/>
                <w:sz w:val="20"/>
                <w:szCs w:val="20"/>
              </w:rPr>
              <w:t>)</w:t>
            </w:r>
          </w:p>
          <w:p w14:paraId="56C95804"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 xml:space="preserve">Australia is a Party to the Convention on International Trade in Endangered Species (CITES). CITES is a binding international agreement, which was ratified by Australia in 1976. The purpose of CITES is to prevent international trade from driving unsustainable population decline in species listed on the Convention’s three appendices. </w:t>
            </w:r>
          </w:p>
          <w:p w14:paraId="05426D78" w14:textId="77777777" w:rsidR="005F5F4B" w:rsidRPr="00826786" w:rsidRDefault="005F5F4B" w:rsidP="005F5F4B">
            <w:pPr>
              <w:spacing w:line="276" w:lineRule="auto"/>
              <w:contextualSpacing/>
              <w:rPr>
                <w:rFonts w:cs="Arial"/>
                <w:bCs/>
                <w:sz w:val="20"/>
                <w:szCs w:val="20"/>
              </w:rPr>
            </w:pPr>
          </w:p>
          <w:p w14:paraId="606E4A2A"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There are three levels of CITES listing:</w:t>
            </w:r>
          </w:p>
          <w:p w14:paraId="02202898" w14:textId="77777777" w:rsidR="005F5F4B" w:rsidRPr="007D604F" w:rsidRDefault="005F5F4B" w:rsidP="005F5F4B">
            <w:pPr>
              <w:pStyle w:val="ListParagraph"/>
              <w:numPr>
                <w:ilvl w:val="0"/>
                <w:numId w:val="23"/>
              </w:numPr>
              <w:autoSpaceDE w:val="0"/>
              <w:autoSpaceDN w:val="0"/>
              <w:adjustRightInd w:val="0"/>
              <w:spacing w:before="0" w:after="0"/>
              <w:contextualSpacing/>
              <w:rPr>
                <w:rFonts w:eastAsiaTheme="minorHAnsi" w:cs="Arial"/>
                <w:sz w:val="20"/>
                <w:szCs w:val="20"/>
              </w:rPr>
            </w:pPr>
            <w:r w:rsidRPr="007D604F">
              <w:rPr>
                <w:rFonts w:eastAsiaTheme="minorHAnsi" w:cs="Arial"/>
                <w:sz w:val="20"/>
                <w:szCs w:val="20"/>
              </w:rPr>
              <w:t xml:space="preserve">Appendix I – for species threatened with extinction. </w:t>
            </w:r>
          </w:p>
          <w:p w14:paraId="26C201F2" w14:textId="77777777" w:rsidR="005F5F4B" w:rsidRPr="007D604F" w:rsidRDefault="005F5F4B" w:rsidP="005F5F4B">
            <w:pPr>
              <w:pStyle w:val="ListParagraph"/>
              <w:numPr>
                <w:ilvl w:val="0"/>
                <w:numId w:val="23"/>
              </w:numPr>
              <w:autoSpaceDE w:val="0"/>
              <w:autoSpaceDN w:val="0"/>
              <w:adjustRightInd w:val="0"/>
              <w:spacing w:before="0" w:after="0"/>
              <w:contextualSpacing/>
              <w:rPr>
                <w:rFonts w:eastAsiaTheme="minorHAnsi" w:cs="Arial"/>
                <w:sz w:val="20"/>
                <w:szCs w:val="20"/>
              </w:rPr>
            </w:pPr>
            <w:r w:rsidRPr="007D604F">
              <w:rPr>
                <w:rFonts w:eastAsiaTheme="minorHAnsi" w:cs="Arial"/>
                <w:sz w:val="20"/>
                <w:szCs w:val="20"/>
              </w:rPr>
              <w:t>Appendix II – for species not currently threatened with extinction, but which may become so if harvest is not carefully controlled. CITES allows some limited international trade of these species under very tight rules and controls. CITES permits are required for all exports of Appendix II species.</w:t>
            </w:r>
          </w:p>
          <w:p w14:paraId="7BD179A1" w14:textId="77777777" w:rsidR="005F5F4B" w:rsidRDefault="005F5F4B" w:rsidP="005F5F4B">
            <w:pPr>
              <w:pStyle w:val="ListParagraph"/>
              <w:numPr>
                <w:ilvl w:val="0"/>
                <w:numId w:val="23"/>
              </w:numPr>
              <w:autoSpaceDE w:val="0"/>
              <w:autoSpaceDN w:val="0"/>
              <w:adjustRightInd w:val="0"/>
              <w:spacing w:before="0" w:after="0"/>
              <w:contextualSpacing/>
              <w:rPr>
                <w:rFonts w:eastAsiaTheme="minorHAnsi" w:cs="Arial"/>
                <w:sz w:val="20"/>
                <w:szCs w:val="20"/>
              </w:rPr>
            </w:pPr>
            <w:r w:rsidRPr="007D604F">
              <w:rPr>
                <w:rFonts w:eastAsiaTheme="minorHAnsi" w:cs="Arial"/>
                <w:sz w:val="20"/>
                <w:szCs w:val="20"/>
              </w:rPr>
              <w:t xml:space="preserve">Appendix III – for species that may be threatened locally within certain countries. </w:t>
            </w:r>
          </w:p>
          <w:p w14:paraId="2E3408BB" w14:textId="77777777" w:rsidR="005F5F4B" w:rsidRPr="00446168" w:rsidRDefault="005F5F4B" w:rsidP="00446168">
            <w:pPr>
              <w:autoSpaceDE w:val="0"/>
              <w:autoSpaceDN w:val="0"/>
              <w:adjustRightInd w:val="0"/>
              <w:spacing w:before="0" w:after="0"/>
              <w:ind w:left="369" w:hanging="369"/>
              <w:rPr>
                <w:rFonts w:eastAsiaTheme="minorHAnsi" w:cs="Arial"/>
                <w:sz w:val="20"/>
                <w:szCs w:val="20"/>
              </w:rPr>
            </w:pPr>
          </w:p>
          <w:p w14:paraId="1D3FAF80" w14:textId="399CCB3B" w:rsidR="005F5F4B" w:rsidRPr="00826786" w:rsidRDefault="005F5F4B" w:rsidP="005F5F4B">
            <w:pPr>
              <w:spacing w:line="276" w:lineRule="auto"/>
              <w:contextualSpacing/>
              <w:rPr>
                <w:rFonts w:cs="Arial"/>
                <w:bCs/>
                <w:sz w:val="20"/>
                <w:szCs w:val="20"/>
              </w:rPr>
            </w:pPr>
            <w:r w:rsidRPr="00826786">
              <w:rPr>
                <w:rFonts w:cs="Arial"/>
                <w:bCs/>
                <w:sz w:val="20"/>
                <w:szCs w:val="20"/>
              </w:rPr>
              <w:t xml:space="preserve">White </w:t>
            </w:r>
            <w:proofErr w:type="spellStart"/>
            <w:r w:rsidRPr="00826786">
              <w:rPr>
                <w:rFonts w:cs="Arial"/>
                <w:bCs/>
                <w:sz w:val="20"/>
                <w:szCs w:val="20"/>
              </w:rPr>
              <w:t>Teatfish</w:t>
            </w:r>
            <w:proofErr w:type="spellEnd"/>
            <w:r w:rsidRPr="00826786">
              <w:rPr>
                <w:rFonts w:cs="Arial"/>
                <w:bCs/>
                <w:sz w:val="20"/>
                <w:szCs w:val="20"/>
              </w:rPr>
              <w:t xml:space="preserve"> is listed on Appendix II of CITES. CITES requires the exporting Party’s Scientific Authority to make a positive non-detriment finding (NDF) prior to export of CITES specimens listed in Appendix I and II. Australia’s CITES Scientific Authority is in the Sustainable Fisheries Section of the Wildlife Trade Office in </w:t>
            </w:r>
            <w:r w:rsidR="00483959">
              <w:rPr>
                <w:rFonts w:cs="Arial"/>
                <w:bCs/>
                <w:sz w:val="20"/>
                <w:szCs w:val="20"/>
              </w:rPr>
              <w:t xml:space="preserve">the </w:t>
            </w:r>
            <w:r w:rsidRPr="00826786">
              <w:rPr>
                <w:rFonts w:cs="Arial"/>
                <w:bCs/>
                <w:sz w:val="20"/>
                <w:szCs w:val="20"/>
              </w:rPr>
              <w:t>D</w:t>
            </w:r>
            <w:r w:rsidR="00483959">
              <w:rPr>
                <w:rFonts w:cs="Arial"/>
                <w:bCs/>
                <w:sz w:val="20"/>
                <w:szCs w:val="20"/>
              </w:rPr>
              <w:t xml:space="preserve">epartment of </w:t>
            </w:r>
            <w:r w:rsidRPr="00826786">
              <w:rPr>
                <w:rFonts w:cs="Arial"/>
                <w:bCs/>
                <w:sz w:val="20"/>
                <w:szCs w:val="20"/>
              </w:rPr>
              <w:t>A</w:t>
            </w:r>
            <w:r w:rsidR="00483959">
              <w:rPr>
                <w:rFonts w:cs="Arial"/>
                <w:bCs/>
                <w:sz w:val="20"/>
                <w:szCs w:val="20"/>
              </w:rPr>
              <w:t xml:space="preserve">griculture, </w:t>
            </w:r>
            <w:proofErr w:type="gramStart"/>
            <w:r w:rsidRPr="00826786">
              <w:rPr>
                <w:rFonts w:cs="Arial"/>
                <w:bCs/>
                <w:sz w:val="20"/>
                <w:szCs w:val="20"/>
              </w:rPr>
              <w:t>W</w:t>
            </w:r>
            <w:r w:rsidR="00483959">
              <w:rPr>
                <w:rFonts w:cs="Arial"/>
                <w:bCs/>
                <w:sz w:val="20"/>
                <w:szCs w:val="20"/>
              </w:rPr>
              <w:t>ater</w:t>
            </w:r>
            <w:proofErr w:type="gramEnd"/>
            <w:r w:rsidR="00483959">
              <w:rPr>
                <w:rFonts w:cs="Arial"/>
                <w:bCs/>
                <w:sz w:val="20"/>
                <w:szCs w:val="20"/>
              </w:rPr>
              <w:t xml:space="preserve"> and the </w:t>
            </w:r>
            <w:r w:rsidRPr="00826786">
              <w:rPr>
                <w:rFonts w:cs="Arial"/>
                <w:bCs/>
                <w:sz w:val="20"/>
                <w:szCs w:val="20"/>
              </w:rPr>
              <w:t>E</w:t>
            </w:r>
            <w:r w:rsidR="00483959">
              <w:rPr>
                <w:rFonts w:cs="Arial"/>
                <w:bCs/>
                <w:sz w:val="20"/>
                <w:szCs w:val="20"/>
              </w:rPr>
              <w:t>nvironment</w:t>
            </w:r>
            <w:r w:rsidRPr="00826786">
              <w:rPr>
                <w:rFonts w:cs="Arial"/>
                <w:bCs/>
                <w:sz w:val="20"/>
                <w:szCs w:val="20"/>
              </w:rPr>
              <w:t>.</w:t>
            </w:r>
          </w:p>
          <w:p w14:paraId="2F3C7281" w14:textId="77777777" w:rsidR="005F5F4B" w:rsidRPr="00826786" w:rsidRDefault="005F5F4B" w:rsidP="005F5F4B">
            <w:pPr>
              <w:spacing w:line="276" w:lineRule="auto"/>
              <w:contextualSpacing/>
              <w:rPr>
                <w:rFonts w:cs="Arial"/>
                <w:bCs/>
                <w:sz w:val="20"/>
                <w:szCs w:val="20"/>
              </w:rPr>
            </w:pPr>
          </w:p>
          <w:p w14:paraId="3D0190C3"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A positive NDF is made when "</w:t>
            </w:r>
            <w:r w:rsidRPr="00826786">
              <w:rPr>
                <w:rFonts w:cs="Arial"/>
                <w:bCs/>
                <w:i/>
                <w:iCs/>
                <w:sz w:val="20"/>
                <w:szCs w:val="20"/>
              </w:rPr>
              <w:t>the sum of all harvests is sustainable in that it does not result in unplanned range reduction, or long-term population decline, or otherwise change the population in a way that might be expected to lead to the species being eligible for inclusion in Appendix I</w:t>
            </w:r>
            <w:r w:rsidRPr="00826786">
              <w:rPr>
                <w:rFonts w:cs="Arial"/>
                <w:bCs/>
                <w:sz w:val="20"/>
                <w:szCs w:val="20"/>
              </w:rPr>
              <w:t xml:space="preserve">". </w:t>
            </w:r>
          </w:p>
          <w:p w14:paraId="001B50C6" w14:textId="77777777" w:rsidR="005F5F4B" w:rsidRPr="00826786" w:rsidRDefault="005F5F4B" w:rsidP="005F5F4B">
            <w:pPr>
              <w:spacing w:line="276" w:lineRule="auto"/>
              <w:contextualSpacing/>
              <w:rPr>
                <w:rFonts w:cs="Arial"/>
                <w:bCs/>
                <w:sz w:val="20"/>
                <w:szCs w:val="20"/>
              </w:rPr>
            </w:pPr>
          </w:p>
          <w:p w14:paraId="32F67DCB"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To ensure that fisheries declared as approved Wildlife Trade Operations (WTO) under the EPBC Act continue to be able to trade internationally in CITES-listed marine species, NDFs need to be based on a level of information that meets international standards, consistent with guidance agreed by resolution by CITES Parties (https://cites.org/sites/default/files/document/E-Res-16-07-R17_0.pdf).</w:t>
            </w:r>
          </w:p>
          <w:p w14:paraId="3544A1A0" w14:textId="77777777" w:rsidR="005F5F4B" w:rsidRPr="00826786" w:rsidRDefault="005F5F4B" w:rsidP="005F5F4B">
            <w:pPr>
              <w:spacing w:line="276" w:lineRule="auto"/>
              <w:contextualSpacing/>
              <w:rPr>
                <w:rFonts w:cs="Arial"/>
                <w:bCs/>
                <w:sz w:val="20"/>
                <w:szCs w:val="20"/>
              </w:rPr>
            </w:pPr>
          </w:p>
          <w:p w14:paraId="24F946ED"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 xml:space="preserve">Consistent with Resolution Conf. 16.7 Rev CoP 17, Australia’s CITES Scientific Authority undertakes a risk-based approach to the information requirements for </w:t>
            </w:r>
            <w:r w:rsidRPr="00826786">
              <w:rPr>
                <w:rFonts w:cs="Arial"/>
                <w:bCs/>
                <w:sz w:val="20"/>
                <w:szCs w:val="20"/>
              </w:rPr>
              <w:lastRenderedPageBreak/>
              <w:t>making NDFs. Under this approach, the level of information required to inform a NDF will vary depending on the biological vulnerability of the species, its global and national status, the risks posed to the species, and the degree of certainty associated with these factors.</w:t>
            </w:r>
          </w:p>
          <w:p w14:paraId="0A22B6BC" w14:textId="77777777" w:rsidR="005F5F4B" w:rsidRPr="00826786" w:rsidRDefault="005F5F4B" w:rsidP="005F5F4B">
            <w:pPr>
              <w:spacing w:line="276" w:lineRule="auto"/>
              <w:contextualSpacing/>
              <w:rPr>
                <w:rFonts w:cs="Arial"/>
                <w:bCs/>
                <w:sz w:val="20"/>
                <w:szCs w:val="20"/>
              </w:rPr>
            </w:pPr>
          </w:p>
          <w:p w14:paraId="70C90C75"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The department notes the positive progress made to better understand the stocks of this species in the fishery, including the design o</w:t>
            </w:r>
            <w:r>
              <w:rPr>
                <w:rFonts w:cs="Arial"/>
                <w:bCs/>
                <w:sz w:val="20"/>
                <w:szCs w:val="20"/>
              </w:rPr>
              <w:t>f</w:t>
            </w:r>
            <w:r w:rsidRPr="00826786">
              <w:rPr>
                <w:rFonts w:cs="Arial"/>
                <w:bCs/>
                <w:sz w:val="20"/>
                <w:szCs w:val="20"/>
              </w:rPr>
              <w:t xml:space="preserve"> a population survey for White </w:t>
            </w:r>
            <w:proofErr w:type="spellStart"/>
            <w:r w:rsidRPr="00826786">
              <w:rPr>
                <w:rFonts w:cs="Arial"/>
                <w:bCs/>
                <w:sz w:val="20"/>
                <w:szCs w:val="20"/>
              </w:rPr>
              <w:t>Teatfish</w:t>
            </w:r>
            <w:proofErr w:type="spellEnd"/>
            <w:r w:rsidRPr="00826786">
              <w:rPr>
                <w:rFonts w:cs="Arial"/>
                <w:bCs/>
                <w:sz w:val="20"/>
                <w:szCs w:val="20"/>
              </w:rPr>
              <w:t xml:space="preserve"> and a modelled stock assessment for the species, all published in 2021. </w:t>
            </w:r>
          </w:p>
          <w:p w14:paraId="6BEFCD40" w14:textId="77777777" w:rsidR="005F5F4B" w:rsidRPr="00826786" w:rsidRDefault="005F5F4B" w:rsidP="005F5F4B">
            <w:pPr>
              <w:spacing w:line="276" w:lineRule="auto"/>
              <w:contextualSpacing/>
              <w:rPr>
                <w:rFonts w:cs="Arial"/>
                <w:bCs/>
                <w:sz w:val="20"/>
                <w:szCs w:val="20"/>
                <w:u w:val="single"/>
              </w:rPr>
            </w:pPr>
          </w:p>
          <w:p w14:paraId="69A20E0D" w14:textId="77777777" w:rsidR="005F5F4B" w:rsidRDefault="005F5F4B" w:rsidP="005F5F4B">
            <w:pPr>
              <w:spacing w:line="276" w:lineRule="auto"/>
              <w:contextualSpacing/>
              <w:rPr>
                <w:rFonts w:cs="Arial"/>
                <w:bCs/>
                <w:sz w:val="20"/>
                <w:szCs w:val="20"/>
              </w:rPr>
            </w:pPr>
            <w:r w:rsidRPr="00826786">
              <w:rPr>
                <w:rFonts w:cs="Arial"/>
                <w:bCs/>
                <w:sz w:val="20"/>
                <w:szCs w:val="20"/>
              </w:rPr>
              <w:t xml:space="preserve">The stock assessment for White </w:t>
            </w:r>
            <w:proofErr w:type="spellStart"/>
            <w:r w:rsidRPr="00826786">
              <w:rPr>
                <w:rFonts w:cs="Arial"/>
                <w:bCs/>
                <w:sz w:val="20"/>
                <w:szCs w:val="20"/>
              </w:rPr>
              <w:t>Teatfish</w:t>
            </w:r>
            <w:proofErr w:type="spellEnd"/>
            <w:r w:rsidRPr="00826786">
              <w:rPr>
                <w:rFonts w:cs="Arial"/>
                <w:bCs/>
                <w:sz w:val="20"/>
                <w:szCs w:val="20"/>
              </w:rPr>
              <w:t xml:space="preserve"> was undertaken as part of meeting the requirements of the previous WTO approval for the fishery. The stock assessment estimated the exploitable biomass for this species as being at 76% of the virgin biomass (virgin biomass presumed by the assessment to be the biomass level in 1995 and estimated from catch rates) (QDAF 2021a). However, the modelled recruitment in the stock assessment appears to continue to decline despite the high modelled biomass level. A continuous decline in recruitment is a sign of concern and may show that something is impairing recruitment, which is difficult to reconcile against an estimated population biomass of around 76%. While recruitment impairment may be external to fishing pressure on the stock, the long-term viability of the species in the GBR and the role fishing pressure might play on this, may need to be further investigated pending a peer</w:t>
            </w:r>
            <w:r>
              <w:rPr>
                <w:rFonts w:cs="Arial"/>
                <w:bCs/>
                <w:sz w:val="20"/>
                <w:szCs w:val="20"/>
              </w:rPr>
              <w:t xml:space="preserve"> </w:t>
            </w:r>
            <w:r w:rsidRPr="00826786">
              <w:rPr>
                <w:rFonts w:cs="Arial"/>
                <w:bCs/>
                <w:sz w:val="20"/>
                <w:szCs w:val="20"/>
              </w:rPr>
              <w:t>review of the stock assessment.</w:t>
            </w:r>
          </w:p>
          <w:p w14:paraId="09020808" w14:textId="77777777" w:rsidR="005F5F4B" w:rsidRDefault="005F5F4B" w:rsidP="005F5F4B">
            <w:pPr>
              <w:spacing w:line="276" w:lineRule="auto"/>
              <w:contextualSpacing/>
              <w:rPr>
                <w:rFonts w:cs="Arial"/>
                <w:bCs/>
                <w:sz w:val="20"/>
                <w:szCs w:val="20"/>
              </w:rPr>
            </w:pPr>
          </w:p>
          <w:p w14:paraId="2DFABF53" w14:textId="77777777" w:rsidR="005F5F4B" w:rsidRDefault="005F5F4B" w:rsidP="005F5F4B">
            <w:pPr>
              <w:spacing w:line="276" w:lineRule="auto"/>
              <w:contextualSpacing/>
              <w:rPr>
                <w:rFonts w:cs="Arial"/>
                <w:bCs/>
                <w:sz w:val="20"/>
                <w:szCs w:val="20"/>
              </w:rPr>
            </w:pPr>
            <w:r>
              <w:rPr>
                <w:rFonts w:cs="Arial"/>
                <w:bCs/>
                <w:sz w:val="20"/>
                <w:szCs w:val="20"/>
              </w:rPr>
              <w:t xml:space="preserve">A </w:t>
            </w:r>
            <w:r w:rsidRPr="00ED0E00">
              <w:rPr>
                <w:rFonts w:cs="Arial"/>
                <w:bCs/>
                <w:sz w:val="20"/>
                <w:szCs w:val="20"/>
              </w:rPr>
              <w:t xml:space="preserve">White </w:t>
            </w:r>
            <w:proofErr w:type="spellStart"/>
            <w:r w:rsidRPr="00ED0E00">
              <w:rPr>
                <w:rFonts w:cs="Arial"/>
                <w:bCs/>
                <w:sz w:val="20"/>
                <w:szCs w:val="20"/>
              </w:rPr>
              <w:t>Teatfish</w:t>
            </w:r>
            <w:proofErr w:type="spellEnd"/>
            <w:r w:rsidRPr="00ED0E00">
              <w:rPr>
                <w:rFonts w:cs="Arial"/>
                <w:bCs/>
                <w:sz w:val="20"/>
                <w:szCs w:val="20"/>
              </w:rPr>
              <w:t xml:space="preserve"> TAC of 127 t (increased to 158 t for 1 season) was</w:t>
            </w:r>
            <w:r>
              <w:rPr>
                <w:rFonts w:cs="Arial"/>
                <w:bCs/>
                <w:sz w:val="20"/>
                <w:szCs w:val="20"/>
              </w:rPr>
              <w:t xml:space="preserve"> </w:t>
            </w:r>
            <w:r w:rsidRPr="00ED0E00">
              <w:rPr>
                <w:rFonts w:cs="Arial"/>
                <w:bCs/>
                <w:sz w:val="20"/>
                <w:szCs w:val="20"/>
              </w:rPr>
              <w:t>introduced in 1999. This quota has been reduced over the years, due mainly to</w:t>
            </w:r>
            <w:r>
              <w:rPr>
                <w:rFonts w:cs="Arial"/>
                <w:bCs/>
                <w:sz w:val="20"/>
                <w:szCs w:val="20"/>
              </w:rPr>
              <w:t xml:space="preserve"> </w:t>
            </w:r>
            <w:r w:rsidRPr="00ED0E00">
              <w:rPr>
                <w:rFonts w:cs="Arial"/>
                <w:bCs/>
                <w:sz w:val="20"/>
                <w:szCs w:val="20"/>
              </w:rPr>
              <w:t>concerns about the sustainability of the catch and the loss of fishing areas through GBRMP zoning, to</w:t>
            </w:r>
            <w:r>
              <w:rPr>
                <w:rFonts w:cs="Arial"/>
                <w:bCs/>
                <w:sz w:val="20"/>
                <w:szCs w:val="20"/>
              </w:rPr>
              <w:t xml:space="preserve"> </w:t>
            </w:r>
            <w:r w:rsidRPr="00ED0E00">
              <w:rPr>
                <w:rFonts w:cs="Arial"/>
                <w:bCs/>
                <w:sz w:val="20"/>
                <w:szCs w:val="20"/>
              </w:rPr>
              <w:t xml:space="preserve">64 t. </w:t>
            </w:r>
            <w:r>
              <w:rPr>
                <w:rFonts w:cs="Arial"/>
                <w:bCs/>
                <w:sz w:val="20"/>
                <w:szCs w:val="20"/>
              </w:rPr>
              <w:t xml:space="preserve">In 2011 the TAC was reduced to 53 t and the TAC currently remains at 53 t. </w:t>
            </w:r>
          </w:p>
          <w:p w14:paraId="078A9146" w14:textId="77777777" w:rsidR="005F5F4B" w:rsidRPr="00826786" w:rsidRDefault="005F5F4B" w:rsidP="005F5F4B">
            <w:pPr>
              <w:spacing w:line="276" w:lineRule="auto"/>
              <w:contextualSpacing/>
              <w:rPr>
                <w:rFonts w:cs="Arial"/>
                <w:bCs/>
                <w:sz w:val="20"/>
                <w:szCs w:val="20"/>
              </w:rPr>
            </w:pPr>
          </w:p>
          <w:p w14:paraId="69F3CDCB"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 xml:space="preserve">The stock assessment also relies on Catch Per Unit Effort data as this is the only information available for the management of harvest for this species at this point. There is currently no fishery independent information available </w:t>
            </w:r>
            <w:proofErr w:type="gramStart"/>
            <w:r w:rsidRPr="00826786">
              <w:rPr>
                <w:rFonts w:cs="Arial"/>
                <w:bCs/>
                <w:sz w:val="20"/>
                <w:szCs w:val="20"/>
              </w:rPr>
              <w:t>in the area of</w:t>
            </w:r>
            <w:proofErr w:type="gramEnd"/>
            <w:r w:rsidRPr="00826786">
              <w:rPr>
                <w:rFonts w:cs="Arial"/>
                <w:bCs/>
                <w:sz w:val="20"/>
                <w:szCs w:val="20"/>
              </w:rPr>
              <w:t xml:space="preserve"> the fishery and no other relevant fishery-independent survey was included in the </w:t>
            </w:r>
            <w:r w:rsidRPr="00826786">
              <w:rPr>
                <w:rFonts w:cs="Arial"/>
                <w:bCs/>
                <w:sz w:val="20"/>
                <w:szCs w:val="20"/>
              </w:rPr>
              <w:lastRenderedPageBreak/>
              <w:t>modelling for this species in the GBR (the Torres Strait and the Coral Sea regions have both had fishery independent surveys undertaken).</w:t>
            </w:r>
          </w:p>
          <w:p w14:paraId="492ADAC2" w14:textId="77777777" w:rsidR="005F5F4B" w:rsidRPr="00826786" w:rsidRDefault="005F5F4B" w:rsidP="005F5F4B">
            <w:pPr>
              <w:spacing w:line="276" w:lineRule="auto"/>
              <w:contextualSpacing/>
              <w:rPr>
                <w:rFonts w:cs="Arial"/>
                <w:bCs/>
                <w:sz w:val="20"/>
                <w:szCs w:val="20"/>
              </w:rPr>
            </w:pPr>
          </w:p>
          <w:p w14:paraId="0C17218A"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 xml:space="preserve">As acknowledged in the stock assessment report, there are known limitations with using Catch Per Unit Effort measures as an index of relative abundance for sea cucumbers due to issues of hyperstability in effort, which could indicate that effort data does not reflect declining abundance of stocks. Further, the observed population decline in the neighbouring Coral Sea region following years of intense exploitation by both legal and illegal harvest (Skewes 2017) creates further uncertainty in relation to the dynamics of this stock.  </w:t>
            </w:r>
          </w:p>
          <w:p w14:paraId="6E6E7589" w14:textId="77777777" w:rsidR="005F5F4B" w:rsidRPr="00826786" w:rsidRDefault="005F5F4B" w:rsidP="005F5F4B">
            <w:pPr>
              <w:spacing w:line="276" w:lineRule="auto"/>
              <w:contextualSpacing/>
              <w:rPr>
                <w:rFonts w:cs="Arial"/>
                <w:bCs/>
                <w:sz w:val="20"/>
                <w:szCs w:val="20"/>
              </w:rPr>
            </w:pPr>
          </w:p>
          <w:p w14:paraId="1E9FF0C6"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 xml:space="preserve">We note that industry has prepared a feasibility study to undertake a fishery-independent survey as required under the previous WTO approval for the fishery with the work possibly being carried out </w:t>
            </w:r>
            <w:proofErr w:type="gramStart"/>
            <w:r w:rsidRPr="00826786">
              <w:rPr>
                <w:rFonts w:cs="Arial"/>
                <w:bCs/>
                <w:sz w:val="20"/>
                <w:szCs w:val="20"/>
              </w:rPr>
              <w:t>in the near future</w:t>
            </w:r>
            <w:proofErr w:type="gramEnd"/>
            <w:r w:rsidRPr="00826786">
              <w:rPr>
                <w:rFonts w:cs="Arial"/>
                <w:bCs/>
                <w:sz w:val="20"/>
                <w:szCs w:val="20"/>
              </w:rPr>
              <w:t>. We further note that the Great Barrier Reef Foundation has commissioned fishery-</w:t>
            </w:r>
            <w:r>
              <w:rPr>
                <w:rFonts w:cs="Arial"/>
                <w:bCs/>
                <w:sz w:val="20"/>
                <w:szCs w:val="20"/>
              </w:rPr>
              <w:t>i</w:t>
            </w:r>
            <w:r w:rsidRPr="00826786">
              <w:rPr>
                <w:rFonts w:cs="Arial"/>
                <w:bCs/>
                <w:sz w:val="20"/>
                <w:szCs w:val="20"/>
              </w:rPr>
              <w:t xml:space="preserve">ndependent surveys of sea cucumbers in the GBR and as such there is an opportunity for collaboration to significantly improve the knowledge of this species in the GBR in the very near future. </w:t>
            </w:r>
          </w:p>
          <w:p w14:paraId="78E493E6" w14:textId="77777777" w:rsidR="005F5F4B" w:rsidRPr="00826786" w:rsidRDefault="005F5F4B" w:rsidP="005F5F4B">
            <w:pPr>
              <w:spacing w:line="276" w:lineRule="auto"/>
              <w:contextualSpacing/>
              <w:rPr>
                <w:rFonts w:cs="Arial"/>
                <w:bCs/>
                <w:sz w:val="20"/>
                <w:szCs w:val="20"/>
              </w:rPr>
            </w:pPr>
          </w:p>
          <w:p w14:paraId="740AD2B1" w14:textId="77777777" w:rsidR="005F5F4B" w:rsidRPr="00826786" w:rsidRDefault="005F5F4B" w:rsidP="005F5F4B">
            <w:pPr>
              <w:spacing w:line="276" w:lineRule="auto"/>
              <w:contextualSpacing/>
              <w:rPr>
                <w:rFonts w:cs="Arial"/>
                <w:bCs/>
                <w:sz w:val="20"/>
                <w:szCs w:val="20"/>
              </w:rPr>
            </w:pPr>
            <w:r w:rsidRPr="00826786">
              <w:rPr>
                <w:rFonts w:cs="Arial"/>
                <w:bCs/>
                <w:sz w:val="20"/>
                <w:szCs w:val="20"/>
              </w:rPr>
              <w:t xml:space="preserve">Expert advice received through the public consultation period associated with this assessment cautioned </w:t>
            </w:r>
            <w:r>
              <w:rPr>
                <w:rFonts w:cs="Arial"/>
                <w:bCs/>
                <w:sz w:val="20"/>
                <w:szCs w:val="20"/>
              </w:rPr>
              <w:t xml:space="preserve">that </w:t>
            </w:r>
            <w:r w:rsidRPr="00826786">
              <w:rPr>
                <w:rFonts w:cs="Arial"/>
                <w:bCs/>
                <w:sz w:val="20"/>
                <w:szCs w:val="20"/>
              </w:rPr>
              <w:t>sea cucumbers</w:t>
            </w:r>
            <w:r>
              <w:rPr>
                <w:rFonts w:cs="Arial"/>
                <w:bCs/>
                <w:sz w:val="20"/>
                <w:szCs w:val="20"/>
              </w:rPr>
              <w:t>’ ability</w:t>
            </w:r>
            <w:r w:rsidRPr="00826786">
              <w:rPr>
                <w:rFonts w:cs="Arial"/>
                <w:bCs/>
                <w:sz w:val="20"/>
                <w:szCs w:val="20"/>
              </w:rPr>
              <w:t xml:space="preserve"> to repopulate an area of depleted stock from other parts of the fishery may be limited. There are significant knowledge gaps surrounding the structure of White </w:t>
            </w:r>
            <w:proofErr w:type="spellStart"/>
            <w:r w:rsidRPr="00826786">
              <w:rPr>
                <w:rFonts w:cs="Arial"/>
                <w:bCs/>
                <w:sz w:val="20"/>
                <w:szCs w:val="20"/>
              </w:rPr>
              <w:t>Teatfish</w:t>
            </w:r>
            <w:proofErr w:type="spellEnd"/>
            <w:r w:rsidRPr="00826786">
              <w:rPr>
                <w:rFonts w:cs="Arial"/>
                <w:bCs/>
                <w:sz w:val="20"/>
                <w:szCs w:val="20"/>
              </w:rPr>
              <w:t xml:space="preserve"> stock in the fishery and while there is limited information on the spatial distribution of harvest, there is evidence to suggest that highly concentrated harvest is occurring despite the RHAs system, which may conceivably be because of natural distribution rather than lack of adherence to the RHAs. There is insufficient information to determine if localised depletion is occurring. However, the MSE required under condition 5 of this WTO will address this concern. The 2014 MSE made a series of recommendation</w:t>
            </w:r>
            <w:r>
              <w:rPr>
                <w:rFonts w:cs="Arial"/>
                <w:bCs/>
                <w:sz w:val="20"/>
                <w:szCs w:val="20"/>
              </w:rPr>
              <w:t>s</w:t>
            </w:r>
            <w:r w:rsidRPr="00826786">
              <w:rPr>
                <w:rFonts w:cs="Arial"/>
                <w:bCs/>
                <w:sz w:val="20"/>
                <w:szCs w:val="20"/>
              </w:rPr>
              <w:t xml:space="preserve"> in relation to the future management of this species. There is no evidence of these recommendations having been followed and consideration of their relevance now will be considered by the MSE under Condition 5.</w:t>
            </w:r>
          </w:p>
          <w:p w14:paraId="7609B5AA" w14:textId="77777777" w:rsidR="005F5F4B" w:rsidRPr="00A7590A" w:rsidRDefault="005F5F4B" w:rsidP="005F5F4B">
            <w:pPr>
              <w:spacing w:before="60" w:after="60" w:line="276" w:lineRule="auto"/>
              <w:contextualSpacing/>
              <w:rPr>
                <w:rFonts w:cs="Arial"/>
                <w:b/>
                <w:sz w:val="20"/>
                <w:szCs w:val="20"/>
                <w:u w:val="single"/>
              </w:rPr>
            </w:pPr>
          </w:p>
        </w:tc>
        <w:tc>
          <w:tcPr>
            <w:tcW w:w="2500" w:type="pct"/>
          </w:tcPr>
          <w:p w14:paraId="7234BDC8" w14:textId="5F03BD49" w:rsidR="005F5F4B" w:rsidRPr="008E296F" w:rsidRDefault="005F5F4B" w:rsidP="005F5F4B">
            <w:pPr>
              <w:keepNext/>
              <w:spacing w:line="252" w:lineRule="auto"/>
              <w:rPr>
                <w:rFonts w:cs="Arial"/>
                <w:b/>
                <w:sz w:val="20"/>
                <w:szCs w:val="20"/>
              </w:rPr>
            </w:pPr>
            <w:r w:rsidRPr="008E296F">
              <w:rPr>
                <w:rFonts w:cs="Arial"/>
                <w:b/>
                <w:sz w:val="20"/>
                <w:szCs w:val="20"/>
              </w:rPr>
              <w:lastRenderedPageBreak/>
              <w:t>Condition 9</w:t>
            </w:r>
          </w:p>
          <w:p w14:paraId="6C618648" w14:textId="77777777" w:rsidR="005F5F4B" w:rsidRPr="00A7590A" w:rsidRDefault="005F5F4B" w:rsidP="005F5F4B">
            <w:pPr>
              <w:rPr>
                <w:rFonts w:cs="Arial"/>
                <w:sz w:val="20"/>
                <w:szCs w:val="20"/>
              </w:rPr>
            </w:pPr>
            <w:r>
              <w:rPr>
                <w:rFonts w:cs="Arial"/>
                <w:sz w:val="20"/>
                <w:szCs w:val="20"/>
              </w:rPr>
              <w:t xml:space="preserve">The </w:t>
            </w:r>
            <w:r w:rsidRPr="00A7590A">
              <w:rPr>
                <w:rFonts w:cs="Arial"/>
                <w:sz w:val="20"/>
                <w:szCs w:val="20"/>
              </w:rPr>
              <w:t xml:space="preserve">Queensland Department of Agriculture and Fisheries </w:t>
            </w:r>
            <w:r>
              <w:rPr>
                <w:rFonts w:cs="Arial"/>
                <w:sz w:val="20"/>
                <w:szCs w:val="20"/>
              </w:rPr>
              <w:t>must</w:t>
            </w:r>
            <w:r w:rsidRPr="00A7590A">
              <w:rPr>
                <w:rFonts w:cs="Arial"/>
                <w:sz w:val="20"/>
                <w:szCs w:val="20"/>
              </w:rPr>
              <w:t xml:space="preserve">: </w:t>
            </w:r>
          </w:p>
          <w:p w14:paraId="74697642" w14:textId="77777777" w:rsidR="005F5F4B" w:rsidRPr="00FE3501" w:rsidRDefault="005F5F4B" w:rsidP="005F5F4B">
            <w:pPr>
              <w:pStyle w:val="ListParagraph"/>
              <w:numPr>
                <w:ilvl w:val="0"/>
                <w:numId w:val="25"/>
              </w:numPr>
              <w:spacing w:line="276" w:lineRule="auto"/>
              <w:contextualSpacing/>
              <w:rPr>
                <w:rFonts w:cs="Arial"/>
                <w:sz w:val="20"/>
                <w:szCs w:val="20"/>
              </w:rPr>
            </w:pPr>
            <w:r w:rsidRPr="00FE3501">
              <w:rPr>
                <w:rFonts w:cs="Arial"/>
                <w:sz w:val="20"/>
                <w:szCs w:val="20"/>
              </w:rPr>
              <w:t xml:space="preserve">Ensure that harvest of White </w:t>
            </w:r>
            <w:proofErr w:type="spellStart"/>
            <w:r w:rsidRPr="00FE3501">
              <w:rPr>
                <w:rFonts w:cs="Arial"/>
                <w:sz w:val="20"/>
                <w:szCs w:val="20"/>
              </w:rPr>
              <w:t>Teatfish</w:t>
            </w:r>
            <w:proofErr w:type="spellEnd"/>
            <w:r w:rsidRPr="00FE3501">
              <w:rPr>
                <w:rFonts w:cs="Arial"/>
                <w:sz w:val="20"/>
                <w:szCs w:val="20"/>
              </w:rPr>
              <w:t xml:space="preserve"> (</w:t>
            </w:r>
            <w:proofErr w:type="spellStart"/>
            <w:r w:rsidRPr="006256A9">
              <w:rPr>
                <w:rFonts w:cs="Arial"/>
                <w:i/>
                <w:iCs/>
                <w:sz w:val="20"/>
                <w:szCs w:val="20"/>
              </w:rPr>
              <w:t>Holothuria</w:t>
            </w:r>
            <w:proofErr w:type="spellEnd"/>
            <w:r w:rsidRPr="006256A9">
              <w:rPr>
                <w:rFonts w:cs="Arial"/>
                <w:i/>
                <w:iCs/>
                <w:sz w:val="20"/>
                <w:szCs w:val="20"/>
              </w:rPr>
              <w:t xml:space="preserve"> </w:t>
            </w:r>
            <w:proofErr w:type="spellStart"/>
            <w:r w:rsidRPr="006256A9">
              <w:rPr>
                <w:rFonts w:cs="Arial"/>
                <w:i/>
                <w:iCs/>
                <w:sz w:val="20"/>
                <w:szCs w:val="20"/>
              </w:rPr>
              <w:t>fuscogilva</w:t>
            </w:r>
            <w:proofErr w:type="spellEnd"/>
            <w:r w:rsidRPr="00FE3501">
              <w:rPr>
                <w:rFonts w:cs="Arial"/>
                <w:sz w:val="20"/>
                <w:szCs w:val="20"/>
              </w:rPr>
              <w:t>) does not exceed 53 t per season.</w:t>
            </w:r>
          </w:p>
          <w:p w14:paraId="6D8B36C3" w14:textId="77777777" w:rsidR="005F5F4B" w:rsidRPr="00A7590A" w:rsidRDefault="005F5F4B" w:rsidP="005F5F4B">
            <w:pPr>
              <w:spacing w:line="252" w:lineRule="auto"/>
              <w:rPr>
                <w:rFonts w:cs="Arial"/>
                <w:b/>
                <w:bCs/>
                <w:sz w:val="20"/>
                <w:szCs w:val="20"/>
              </w:rPr>
            </w:pPr>
          </w:p>
        </w:tc>
      </w:tr>
      <w:tr w:rsidR="005F5F4B" w:rsidRPr="00887241" w14:paraId="5A1CB859" w14:textId="77777777" w:rsidTr="00211477">
        <w:trPr>
          <w:jc w:val="center"/>
        </w:trPr>
        <w:tc>
          <w:tcPr>
            <w:tcW w:w="2500" w:type="pct"/>
          </w:tcPr>
          <w:p w14:paraId="213937C0" w14:textId="77777777" w:rsidR="00DB5B7D" w:rsidRPr="008E296F" w:rsidRDefault="00DB5B7D" w:rsidP="00DB5B7D">
            <w:pPr>
              <w:keepNext/>
              <w:spacing w:line="252" w:lineRule="auto"/>
              <w:rPr>
                <w:rFonts w:cs="Arial"/>
                <w:b/>
                <w:sz w:val="20"/>
                <w:szCs w:val="20"/>
              </w:rPr>
            </w:pPr>
            <w:r w:rsidRPr="008E296F">
              <w:rPr>
                <w:rFonts w:cs="Arial"/>
                <w:b/>
                <w:sz w:val="20"/>
                <w:szCs w:val="20"/>
              </w:rPr>
              <w:lastRenderedPageBreak/>
              <w:t>Harvest from the Coral Sea Marine Park</w:t>
            </w:r>
          </w:p>
          <w:p w14:paraId="2B1C7C18" w14:textId="27B6D3C5" w:rsidR="00DB5B7D" w:rsidRDefault="00DB5B7D" w:rsidP="00DB5B7D">
            <w:pPr>
              <w:spacing w:line="276" w:lineRule="auto"/>
              <w:contextualSpacing/>
              <w:rPr>
                <w:rFonts w:cs="Arial"/>
                <w:bCs/>
                <w:sz w:val="20"/>
                <w:szCs w:val="20"/>
              </w:rPr>
            </w:pPr>
            <w:r>
              <w:rPr>
                <w:rFonts w:cs="Arial"/>
                <w:bCs/>
                <w:sz w:val="20"/>
                <w:szCs w:val="20"/>
              </w:rPr>
              <w:t>T</w:t>
            </w:r>
            <w:r w:rsidRPr="00A7590A">
              <w:rPr>
                <w:rFonts w:cs="Arial"/>
                <w:bCs/>
                <w:sz w:val="20"/>
                <w:szCs w:val="20"/>
              </w:rPr>
              <w:t xml:space="preserve">he fishery operates in areas of the Coral Sea Marine Park including Ashmore and Boot Reefs, Marion Reef and </w:t>
            </w:r>
            <w:proofErr w:type="spellStart"/>
            <w:r w:rsidRPr="00A7590A">
              <w:rPr>
                <w:rFonts w:cs="Arial"/>
                <w:bCs/>
                <w:sz w:val="20"/>
                <w:szCs w:val="20"/>
              </w:rPr>
              <w:t>Saumarez</w:t>
            </w:r>
            <w:proofErr w:type="spellEnd"/>
            <w:r w:rsidRPr="00A7590A">
              <w:rPr>
                <w:rFonts w:cs="Arial"/>
                <w:bCs/>
                <w:sz w:val="20"/>
                <w:szCs w:val="20"/>
              </w:rPr>
              <w:t xml:space="preserve"> Reef. The Coral Sea </w:t>
            </w:r>
            <w:r>
              <w:rPr>
                <w:rFonts w:cs="Arial"/>
                <w:bCs/>
                <w:sz w:val="20"/>
                <w:szCs w:val="20"/>
              </w:rPr>
              <w:t>region</w:t>
            </w:r>
            <w:r w:rsidRPr="00A7590A">
              <w:rPr>
                <w:rFonts w:cs="Arial"/>
                <w:bCs/>
                <w:sz w:val="20"/>
                <w:szCs w:val="20"/>
              </w:rPr>
              <w:t xml:space="preserve"> does not have export approval for White </w:t>
            </w:r>
            <w:proofErr w:type="spellStart"/>
            <w:r w:rsidRPr="00A7590A">
              <w:rPr>
                <w:rFonts w:cs="Arial"/>
                <w:bCs/>
                <w:sz w:val="20"/>
                <w:szCs w:val="20"/>
              </w:rPr>
              <w:t>Teatfish</w:t>
            </w:r>
            <w:proofErr w:type="spellEnd"/>
            <w:r w:rsidRPr="00A7590A">
              <w:rPr>
                <w:rFonts w:cs="Arial"/>
                <w:bCs/>
                <w:sz w:val="20"/>
                <w:szCs w:val="20"/>
              </w:rPr>
              <w:t xml:space="preserve"> due to concerns over depletion of stock and the lack of information to support a sustainable TAC. It is concerning that harvest from the Q</w:t>
            </w:r>
            <w:r w:rsidR="007136B5">
              <w:rPr>
                <w:rFonts w:cs="Arial"/>
                <w:bCs/>
                <w:sz w:val="20"/>
                <w:szCs w:val="20"/>
              </w:rPr>
              <w:t xml:space="preserve">ueensland </w:t>
            </w:r>
            <w:r w:rsidRPr="00A7590A">
              <w:rPr>
                <w:rFonts w:cs="Arial"/>
                <w:bCs/>
                <w:sz w:val="20"/>
                <w:szCs w:val="20"/>
              </w:rPr>
              <w:t>S</w:t>
            </w:r>
            <w:r w:rsidR="007136B5">
              <w:rPr>
                <w:rFonts w:cs="Arial"/>
                <w:bCs/>
                <w:sz w:val="20"/>
                <w:szCs w:val="20"/>
              </w:rPr>
              <w:t xml:space="preserve">ea </w:t>
            </w:r>
            <w:r w:rsidRPr="00A7590A">
              <w:rPr>
                <w:rFonts w:cs="Arial"/>
                <w:bCs/>
                <w:sz w:val="20"/>
                <w:szCs w:val="20"/>
              </w:rPr>
              <w:t>C</w:t>
            </w:r>
            <w:r w:rsidR="007136B5">
              <w:rPr>
                <w:rFonts w:cs="Arial"/>
                <w:bCs/>
                <w:sz w:val="20"/>
                <w:szCs w:val="20"/>
              </w:rPr>
              <w:t xml:space="preserve">ucumber </w:t>
            </w:r>
            <w:r w:rsidRPr="00A7590A">
              <w:rPr>
                <w:rFonts w:cs="Arial"/>
                <w:bCs/>
                <w:sz w:val="20"/>
                <w:szCs w:val="20"/>
              </w:rPr>
              <w:t>F</w:t>
            </w:r>
            <w:r w:rsidR="007136B5">
              <w:rPr>
                <w:rFonts w:cs="Arial"/>
                <w:bCs/>
                <w:sz w:val="20"/>
                <w:szCs w:val="20"/>
              </w:rPr>
              <w:t>ishery (East Coast)</w:t>
            </w:r>
            <w:r w:rsidRPr="00A7590A">
              <w:rPr>
                <w:rFonts w:cs="Arial"/>
                <w:bCs/>
                <w:sz w:val="20"/>
                <w:szCs w:val="20"/>
              </w:rPr>
              <w:t xml:space="preserve"> is </w:t>
            </w:r>
            <w:r>
              <w:rPr>
                <w:rFonts w:cs="Arial"/>
                <w:bCs/>
                <w:sz w:val="20"/>
                <w:szCs w:val="20"/>
              </w:rPr>
              <w:t xml:space="preserve">possibly </w:t>
            </w:r>
            <w:r w:rsidRPr="00A7590A">
              <w:rPr>
                <w:rFonts w:cs="Arial"/>
                <w:bCs/>
                <w:sz w:val="20"/>
                <w:szCs w:val="20"/>
              </w:rPr>
              <w:t xml:space="preserve">occurring from this same stock also in the absence of information to support a sustainable TAC. Of particular concern is the harvest data showing that nearly 10% of the quota for White </w:t>
            </w:r>
            <w:proofErr w:type="spellStart"/>
            <w:r w:rsidRPr="00A7590A">
              <w:rPr>
                <w:rFonts w:cs="Arial"/>
                <w:bCs/>
                <w:sz w:val="20"/>
                <w:szCs w:val="20"/>
              </w:rPr>
              <w:t>Teatfish</w:t>
            </w:r>
            <w:proofErr w:type="spellEnd"/>
            <w:r w:rsidRPr="00A7590A">
              <w:rPr>
                <w:rFonts w:cs="Arial"/>
                <w:bCs/>
                <w:sz w:val="20"/>
                <w:szCs w:val="20"/>
              </w:rPr>
              <w:t xml:space="preserve"> was harvested from Ashmore and Boot Reefs in the 2011</w:t>
            </w:r>
            <w:r>
              <w:rPr>
                <w:rFonts w:cs="Arial"/>
                <w:bCs/>
                <w:sz w:val="20"/>
                <w:szCs w:val="20"/>
              </w:rPr>
              <w:t>–</w:t>
            </w:r>
            <w:r w:rsidRPr="00A7590A">
              <w:rPr>
                <w:rFonts w:cs="Arial"/>
                <w:bCs/>
                <w:sz w:val="20"/>
                <w:szCs w:val="20"/>
              </w:rPr>
              <w:t>12 and 2017</w:t>
            </w:r>
            <w:r>
              <w:rPr>
                <w:rFonts w:cs="Arial"/>
                <w:bCs/>
                <w:sz w:val="20"/>
                <w:szCs w:val="20"/>
              </w:rPr>
              <w:t>–</w:t>
            </w:r>
            <w:r w:rsidRPr="00A7590A">
              <w:rPr>
                <w:rFonts w:cs="Arial"/>
                <w:bCs/>
                <w:sz w:val="20"/>
                <w:szCs w:val="20"/>
              </w:rPr>
              <w:t xml:space="preserve">18 fishing seasons. </w:t>
            </w:r>
            <w:r>
              <w:rPr>
                <w:rFonts w:cs="Arial"/>
                <w:bCs/>
                <w:sz w:val="20"/>
                <w:szCs w:val="20"/>
              </w:rPr>
              <w:t xml:space="preserve">Managers of the Coral Sea Marine Park have expressed concerns about the capacity of individual reefs in the park to sustain the levels of fishing pressure outlined in the Rotational Harvest Arrangements. </w:t>
            </w:r>
            <w:r w:rsidRPr="00A7590A">
              <w:rPr>
                <w:rFonts w:cs="Arial"/>
                <w:bCs/>
                <w:sz w:val="20"/>
                <w:szCs w:val="20"/>
              </w:rPr>
              <w:t>Changes in harvest reporting are required to better understand the proportion of harvest of all species coming from the Coral Sea Marine Park.</w:t>
            </w:r>
          </w:p>
          <w:p w14:paraId="7ED17929" w14:textId="4C859C0B" w:rsidR="00DB5B7D" w:rsidRPr="00A7590A" w:rsidRDefault="00DB5B7D" w:rsidP="00DB5B7D">
            <w:pPr>
              <w:spacing w:line="276" w:lineRule="auto"/>
              <w:contextualSpacing/>
              <w:rPr>
                <w:rFonts w:cs="Arial"/>
                <w:bCs/>
                <w:sz w:val="20"/>
                <w:szCs w:val="20"/>
              </w:rPr>
            </w:pPr>
          </w:p>
          <w:p w14:paraId="45220EEF" w14:textId="77777777" w:rsidR="00DB5B7D" w:rsidRDefault="00DB5B7D" w:rsidP="00DB5B7D">
            <w:pPr>
              <w:spacing w:line="276" w:lineRule="auto"/>
              <w:contextualSpacing/>
              <w:rPr>
                <w:rFonts w:cs="Arial"/>
                <w:bCs/>
                <w:sz w:val="20"/>
                <w:szCs w:val="20"/>
              </w:rPr>
            </w:pPr>
            <w:r>
              <w:rPr>
                <w:rFonts w:cs="Arial"/>
                <w:bCs/>
                <w:sz w:val="20"/>
                <w:szCs w:val="20"/>
              </w:rPr>
              <w:t>Also, c</w:t>
            </w:r>
            <w:r w:rsidRPr="00A7590A">
              <w:rPr>
                <w:rFonts w:cs="Arial"/>
                <w:bCs/>
                <w:sz w:val="20"/>
                <w:szCs w:val="20"/>
              </w:rPr>
              <w:t>hanges to zoning in the Coral Sea Marine Park, in particular Marion Reef, have closed some areas that were previously accessed by the fishery.</w:t>
            </w:r>
            <w:r>
              <w:rPr>
                <w:rFonts w:cs="Arial"/>
                <w:bCs/>
                <w:sz w:val="20"/>
                <w:szCs w:val="20"/>
              </w:rPr>
              <w:t xml:space="preserve"> It is unclear whether management has been adapted to appropriately acknowledge the reduced area open to fishing. </w:t>
            </w:r>
            <w:r w:rsidRPr="00A7590A">
              <w:rPr>
                <w:rFonts w:cs="Arial"/>
                <w:bCs/>
                <w:sz w:val="20"/>
                <w:szCs w:val="20"/>
              </w:rPr>
              <w:t xml:space="preserve"> </w:t>
            </w:r>
          </w:p>
          <w:p w14:paraId="46A3B62C" w14:textId="77777777" w:rsidR="00DB5B7D" w:rsidRDefault="00DB5B7D" w:rsidP="00DB5B7D">
            <w:pPr>
              <w:spacing w:line="276" w:lineRule="auto"/>
              <w:contextualSpacing/>
              <w:rPr>
                <w:rFonts w:cs="Arial"/>
                <w:bCs/>
                <w:sz w:val="20"/>
                <w:szCs w:val="20"/>
              </w:rPr>
            </w:pPr>
          </w:p>
          <w:p w14:paraId="11909D8A" w14:textId="3E6C8EDA" w:rsidR="00DB5B7D" w:rsidRDefault="00DB5B7D" w:rsidP="00DB5B7D">
            <w:pPr>
              <w:spacing w:line="276" w:lineRule="auto"/>
              <w:contextualSpacing/>
              <w:rPr>
                <w:rFonts w:cs="Arial"/>
                <w:bCs/>
                <w:sz w:val="20"/>
                <w:szCs w:val="20"/>
              </w:rPr>
            </w:pPr>
            <w:r>
              <w:rPr>
                <w:rFonts w:cs="Arial"/>
                <w:bCs/>
                <w:sz w:val="20"/>
                <w:szCs w:val="20"/>
              </w:rPr>
              <w:t>A survey by Skews in 2017 reported low densities of W</w:t>
            </w:r>
            <w:r w:rsidRPr="008C6205">
              <w:rPr>
                <w:rFonts w:cs="Arial"/>
                <w:bCs/>
                <w:sz w:val="20"/>
                <w:szCs w:val="20"/>
              </w:rPr>
              <w:t xml:space="preserve">hite </w:t>
            </w:r>
            <w:proofErr w:type="spellStart"/>
            <w:r>
              <w:rPr>
                <w:rFonts w:cs="Arial"/>
                <w:bCs/>
                <w:sz w:val="20"/>
                <w:szCs w:val="20"/>
              </w:rPr>
              <w:t>T</w:t>
            </w:r>
            <w:r w:rsidRPr="008C6205">
              <w:rPr>
                <w:rFonts w:cs="Arial"/>
                <w:bCs/>
                <w:sz w:val="20"/>
                <w:szCs w:val="20"/>
              </w:rPr>
              <w:t>eatfish</w:t>
            </w:r>
            <w:proofErr w:type="spellEnd"/>
            <w:r w:rsidRPr="008C6205">
              <w:rPr>
                <w:rFonts w:cs="Arial"/>
                <w:bCs/>
                <w:sz w:val="20"/>
                <w:szCs w:val="20"/>
              </w:rPr>
              <w:t xml:space="preserve"> throughout the study area</w:t>
            </w:r>
            <w:r>
              <w:rPr>
                <w:rFonts w:cs="Arial"/>
                <w:bCs/>
                <w:sz w:val="20"/>
                <w:szCs w:val="20"/>
              </w:rPr>
              <w:t xml:space="preserve"> of the Coral Sea Marine Park. This species was</w:t>
            </w:r>
            <w:r w:rsidRPr="008C6205">
              <w:rPr>
                <w:rFonts w:cs="Arial"/>
                <w:bCs/>
                <w:sz w:val="20"/>
                <w:szCs w:val="20"/>
              </w:rPr>
              <w:t xml:space="preserve"> particularly scarce on the southern reefs and was not seen at</w:t>
            </w:r>
            <w:r>
              <w:rPr>
                <w:rFonts w:cs="Arial"/>
                <w:bCs/>
                <w:sz w:val="20"/>
                <w:szCs w:val="20"/>
              </w:rPr>
              <w:t xml:space="preserve"> </w:t>
            </w:r>
            <w:r w:rsidRPr="008C6205">
              <w:rPr>
                <w:rFonts w:cs="Arial"/>
                <w:bCs/>
                <w:sz w:val="20"/>
                <w:szCs w:val="20"/>
              </w:rPr>
              <w:t xml:space="preserve">all on </w:t>
            </w:r>
            <w:proofErr w:type="spellStart"/>
            <w:r w:rsidRPr="008C6205">
              <w:rPr>
                <w:rFonts w:cs="Arial"/>
                <w:bCs/>
                <w:sz w:val="20"/>
                <w:szCs w:val="20"/>
              </w:rPr>
              <w:t>Saumarez</w:t>
            </w:r>
            <w:proofErr w:type="spellEnd"/>
            <w:r w:rsidRPr="008C6205">
              <w:rPr>
                <w:rFonts w:cs="Arial"/>
                <w:bCs/>
                <w:sz w:val="20"/>
                <w:szCs w:val="20"/>
              </w:rPr>
              <w:t xml:space="preserve"> Reef or Wreck Reef. </w:t>
            </w:r>
            <w:r w:rsidRPr="004B36A7">
              <w:rPr>
                <w:rFonts w:cs="Arial"/>
                <w:bCs/>
                <w:sz w:val="20"/>
                <w:szCs w:val="20"/>
              </w:rPr>
              <w:t>Th</w:t>
            </w:r>
            <w:r>
              <w:rPr>
                <w:rFonts w:cs="Arial"/>
                <w:bCs/>
                <w:sz w:val="20"/>
                <w:szCs w:val="20"/>
              </w:rPr>
              <w:t>is</w:t>
            </w:r>
            <w:r w:rsidRPr="004B36A7">
              <w:rPr>
                <w:rFonts w:cs="Arial"/>
                <w:bCs/>
                <w:sz w:val="20"/>
                <w:szCs w:val="20"/>
              </w:rPr>
              <w:t xml:space="preserve"> survey </w:t>
            </w:r>
            <w:r>
              <w:rPr>
                <w:rFonts w:cs="Arial"/>
                <w:bCs/>
                <w:sz w:val="20"/>
                <w:szCs w:val="20"/>
              </w:rPr>
              <w:t xml:space="preserve">was </w:t>
            </w:r>
            <w:r w:rsidRPr="004B36A7">
              <w:rPr>
                <w:rFonts w:cs="Arial"/>
                <w:bCs/>
                <w:sz w:val="20"/>
                <w:szCs w:val="20"/>
              </w:rPr>
              <w:t xml:space="preserve">not specifically designed to quantify the abundance or biomass of White </w:t>
            </w:r>
            <w:proofErr w:type="spellStart"/>
            <w:r w:rsidRPr="004B36A7">
              <w:rPr>
                <w:rFonts w:cs="Arial"/>
                <w:bCs/>
                <w:sz w:val="20"/>
                <w:szCs w:val="20"/>
              </w:rPr>
              <w:t>Teatfish</w:t>
            </w:r>
            <w:proofErr w:type="spellEnd"/>
            <w:r w:rsidRPr="004B36A7">
              <w:rPr>
                <w:rFonts w:cs="Arial"/>
                <w:bCs/>
                <w:sz w:val="20"/>
                <w:szCs w:val="20"/>
              </w:rPr>
              <w:t xml:space="preserve">. There have been no other surveys with more targeted methodologies to better understand this region. </w:t>
            </w:r>
            <w:r>
              <w:rPr>
                <w:rFonts w:cs="Arial"/>
                <w:bCs/>
                <w:sz w:val="20"/>
                <w:szCs w:val="20"/>
              </w:rPr>
              <w:t xml:space="preserve">If new information comes to light from White </w:t>
            </w:r>
            <w:proofErr w:type="spellStart"/>
            <w:r>
              <w:rPr>
                <w:rFonts w:cs="Arial"/>
                <w:bCs/>
                <w:sz w:val="20"/>
                <w:szCs w:val="20"/>
              </w:rPr>
              <w:t>Teatfish</w:t>
            </w:r>
            <w:proofErr w:type="spellEnd"/>
            <w:r>
              <w:rPr>
                <w:rFonts w:cs="Arial"/>
                <w:bCs/>
                <w:sz w:val="20"/>
                <w:szCs w:val="20"/>
              </w:rPr>
              <w:t xml:space="preserve"> surveys in the Coral Sea, the Australian CITES Scientific Authority would welcome and opportunity to review that information and assess whether a positive non-detriment detriment finding could be made for harvest of this species in the Coral Sea region.</w:t>
            </w:r>
          </w:p>
          <w:p w14:paraId="65B12958" w14:textId="588C013D" w:rsidR="00D86E71" w:rsidRDefault="00D86E71" w:rsidP="00DB5B7D">
            <w:pPr>
              <w:spacing w:line="276" w:lineRule="auto"/>
              <w:contextualSpacing/>
              <w:rPr>
                <w:rFonts w:cs="Arial"/>
                <w:bCs/>
                <w:sz w:val="20"/>
                <w:szCs w:val="20"/>
              </w:rPr>
            </w:pPr>
          </w:p>
          <w:p w14:paraId="0E186D0F" w14:textId="3AFB6138" w:rsidR="00D86E71" w:rsidRDefault="00D86E71" w:rsidP="00DB5B7D">
            <w:pPr>
              <w:spacing w:line="276" w:lineRule="auto"/>
              <w:contextualSpacing/>
              <w:rPr>
                <w:rFonts w:cs="Arial"/>
                <w:bCs/>
                <w:sz w:val="20"/>
                <w:szCs w:val="20"/>
              </w:rPr>
            </w:pPr>
            <w:r w:rsidRPr="00D86E71">
              <w:rPr>
                <w:rFonts w:cs="Arial"/>
                <w:bCs/>
                <w:sz w:val="20"/>
                <w:szCs w:val="20"/>
              </w:rPr>
              <w:t xml:space="preserve">Questions have also been raised about the level of consultation undertaken with, the traditional owners of the sea country that includes Ashmore and Boot Reefs. The </w:t>
            </w:r>
            <w:r w:rsidRPr="009946C6">
              <w:rPr>
                <w:rFonts w:cs="Arial"/>
                <w:bCs/>
                <w:i/>
                <w:iCs/>
                <w:sz w:val="20"/>
                <w:szCs w:val="20"/>
              </w:rPr>
              <w:t>Guidelines for the Ecologically Sustainable Management of Fisheries</w:t>
            </w:r>
            <w:r w:rsidR="009946C6" w:rsidRPr="009946C6">
              <w:rPr>
                <w:rFonts w:cs="Arial"/>
                <w:bCs/>
                <w:i/>
                <w:iCs/>
                <w:sz w:val="20"/>
                <w:szCs w:val="20"/>
              </w:rPr>
              <w:t xml:space="preserve"> – 2</w:t>
            </w:r>
            <w:r w:rsidR="009946C6" w:rsidRPr="009946C6">
              <w:rPr>
                <w:rFonts w:cs="Arial"/>
                <w:bCs/>
                <w:i/>
                <w:iCs/>
                <w:sz w:val="20"/>
                <w:szCs w:val="20"/>
                <w:vertAlign w:val="superscript"/>
              </w:rPr>
              <w:t>nd</w:t>
            </w:r>
            <w:r w:rsidR="009946C6" w:rsidRPr="009946C6">
              <w:rPr>
                <w:rFonts w:cs="Arial"/>
                <w:bCs/>
                <w:i/>
                <w:iCs/>
                <w:sz w:val="20"/>
                <w:szCs w:val="20"/>
              </w:rPr>
              <w:t xml:space="preserve"> Edition</w:t>
            </w:r>
            <w:r w:rsidRPr="00D86E71">
              <w:rPr>
                <w:rFonts w:cs="Arial"/>
                <w:bCs/>
                <w:sz w:val="20"/>
                <w:szCs w:val="20"/>
              </w:rPr>
              <w:t xml:space="preserve"> assess whether the management regime has been developed through a </w:t>
            </w:r>
            <w:r w:rsidRPr="00D86E71">
              <w:rPr>
                <w:rFonts w:cs="Arial"/>
                <w:bCs/>
                <w:sz w:val="20"/>
                <w:szCs w:val="20"/>
              </w:rPr>
              <w:lastRenderedPageBreak/>
              <w:t>consultative process which includes all interested and affected parties. DAWE notes the need for continual engagement with Indigenous people from the region when management changes are being considered or made. DAWE also notes the working group for this fishery includes a position for an “Indigenous Representative” however this position appears to be vacant.</w:t>
            </w:r>
          </w:p>
          <w:p w14:paraId="72EA70CE" w14:textId="77777777" w:rsidR="005F5F4B" w:rsidRPr="00A7590A" w:rsidRDefault="005F5F4B" w:rsidP="005F5F4B">
            <w:pPr>
              <w:spacing w:before="60" w:after="60" w:line="276" w:lineRule="auto"/>
              <w:contextualSpacing/>
              <w:rPr>
                <w:rFonts w:cs="Arial"/>
                <w:b/>
                <w:sz w:val="20"/>
                <w:szCs w:val="20"/>
                <w:u w:val="single"/>
              </w:rPr>
            </w:pPr>
          </w:p>
        </w:tc>
        <w:tc>
          <w:tcPr>
            <w:tcW w:w="2500" w:type="pct"/>
          </w:tcPr>
          <w:p w14:paraId="635A8225" w14:textId="2D81717D" w:rsidR="00B42C91" w:rsidRPr="008E296F" w:rsidRDefault="00B42C91" w:rsidP="00B42C91">
            <w:pPr>
              <w:keepNext/>
              <w:spacing w:line="252" w:lineRule="auto"/>
              <w:rPr>
                <w:rFonts w:cs="Arial"/>
                <w:b/>
                <w:sz w:val="20"/>
                <w:szCs w:val="20"/>
              </w:rPr>
            </w:pPr>
            <w:r w:rsidRPr="008E296F">
              <w:rPr>
                <w:rFonts w:cs="Arial"/>
                <w:b/>
                <w:sz w:val="20"/>
                <w:szCs w:val="20"/>
              </w:rPr>
              <w:lastRenderedPageBreak/>
              <w:t>Condition 10</w:t>
            </w:r>
          </w:p>
          <w:p w14:paraId="223FAB6C" w14:textId="77777777" w:rsidR="00B42C91" w:rsidRDefault="00B42C91" w:rsidP="00B42C91">
            <w:pPr>
              <w:spacing w:line="276" w:lineRule="auto"/>
              <w:rPr>
                <w:rFonts w:cs="Arial"/>
                <w:sz w:val="20"/>
                <w:szCs w:val="20"/>
              </w:rPr>
            </w:pPr>
            <w:r>
              <w:rPr>
                <w:rFonts w:cs="Arial"/>
                <w:sz w:val="20"/>
                <w:szCs w:val="20"/>
              </w:rPr>
              <w:t xml:space="preserve">The </w:t>
            </w:r>
            <w:r w:rsidRPr="00A7590A">
              <w:rPr>
                <w:rFonts w:cs="Arial"/>
                <w:sz w:val="20"/>
                <w:szCs w:val="20"/>
              </w:rPr>
              <w:t xml:space="preserve">Queensland Department of Agriculture and Fisheries </w:t>
            </w:r>
            <w:r>
              <w:rPr>
                <w:rFonts w:cs="Arial"/>
                <w:sz w:val="20"/>
                <w:szCs w:val="20"/>
              </w:rPr>
              <w:t>must:</w:t>
            </w:r>
          </w:p>
          <w:p w14:paraId="7FA009E0" w14:textId="77777777" w:rsidR="00B42C91" w:rsidRPr="00246F20" w:rsidRDefault="00B42C91" w:rsidP="00B42C91">
            <w:pPr>
              <w:pStyle w:val="ListParagraph"/>
              <w:numPr>
                <w:ilvl w:val="0"/>
                <w:numId w:val="26"/>
              </w:numPr>
              <w:spacing w:line="276" w:lineRule="auto"/>
              <w:contextualSpacing/>
              <w:rPr>
                <w:rFonts w:cs="Arial"/>
                <w:sz w:val="20"/>
                <w:szCs w:val="20"/>
              </w:rPr>
            </w:pPr>
            <w:r>
              <w:rPr>
                <w:rFonts w:cs="Arial"/>
                <w:sz w:val="20"/>
                <w:szCs w:val="20"/>
              </w:rPr>
              <w:t>R</w:t>
            </w:r>
            <w:r w:rsidRPr="00246F20">
              <w:rPr>
                <w:rFonts w:cs="Arial"/>
                <w:sz w:val="20"/>
                <w:szCs w:val="20"/>
              </w:rPr>
              <w:t xml:space="preserve">eport information on the species </w:t>
            </w:r>
            <w:r>
              <w:rPr>
                <w:rFonts w:cs="Arial"/>
                <w:sz w:val="20"/>
                <w:szCs w:val="20"/>
              </w:rPr>
              <w:t>harveste</w:t>
            </w:r>
            <w:r w:rsidRPr="00246F20">
              <w:rPr>
                <w:rFonts w:cs="Arial"/>
                <w:sz w:val="20"/>
                <w:szCs w:val="20"/>
              </w:rPr>
              <w:t xml:space="preserve">d from </w:t>
            </w:r>
            <w:r w:rsidRPr="006256A9">
              <w:rPr>
                <w:rFonts w:cs="Arial"/>
                <w:sz w:val="20"/>
                <w:szCs w:val="20"/>
              </w:rPr>
              <w:t xml:space="preserve">Ashmore and Boot Reefs, Marion Reef and </w:t>
            </w:r>
            <w:proofErr w:type="spellStart"/>
            <w:r w:rsidRPr="006256A9">
              <w:rPr>
                <w:rFonts w:cs="Arial"/>
                <w:sz w:val="20"/>
                <w:szCs w:val="20"/>
              </w:rPr>
              <w:t>Saumarez</w:t>
            </w:r>
            <w:proofErr w:type="spellEnd"/>
            <w:r w:rsidRPr="006256A9">
              <w:rPr>
                <w:rFonts w:cs="Arial"/>
                <w:sz w:val="20"/>
                <w:szCs w:val="20"/>
              </w:rPr>
              <w:t xml:space="preserve"> Reef</w:t>
            </w:r>
            <w:r w:rsidRPr="00246F20">
              <w:rPr>
                <w:rFonts w:cs="Arial"/>
                <w:sz w:val="20"/>
                <w:szCs w:val="20"/>
              </w:rPr>
              <w:t xml:space="preserve"> including species harvested, amount of harvest per species and location </w:t>
            </w:r>
            <w:r>
              <w:rPr>
                <w:rFonts w:cs="Arial"/>
                <w:sz w:val="20"/>
                <w:szCs w:val="20"/>
              </w:rPr>
              <w:t xml:space="preserve">of harvest from the </w:t>
            </w:r>
            <w:r w:rsidRPr="00246F20">
              <w:rPr>
                <w:rFonts w:cs="Arial"/>
                <w:sz w:val="20"/>
                <w:szCs w:val="20"/>
              </w:rPr>
              <w:t>Coral Sea Marine Park</w:t>
            </w:r>
            <w:r>
              <w:rPr>
                <w:rFonts w:cs="Arial"/>
                <w:sz w:val="20"/>
                <w:szCs w:val="20"/>
              </w:rPr>
              <w:t>. This reporting must be done a</w:t>
            </w:r>
            <w:r w:rsidRPr="00246F20">
              <w:rPr>
                <w:rFonts w:cs="Arial"/>
                <w:sz w:val="20"/>
                <w:szCs w:val="20"/>
              </w:rPr>
              <w:t xml:space="preserve">s part of the annual report required under </w:t>
            </w:r>
            <w:r w:rsidRPr="0047421C">
              <w:rPr>
                <w:rFonts w:cs="Arial"/>
                <w:sz w:val="20"/>
                <w:szCs w:val="20"/>
              </w:rPr>
              <w:t>Condition 4</w:t>
            </w:r>
            <w:r>
              <w:rPr>
                <w:rFonts w:cs="Arial"/>
                <w:sz w:val="20"/>
                <w:szCs w:val="20"/>
              </w:rPr>
              <w:t>.</w:t>
            </w:r>
          </w:p>
          <w:p w14:paraId="39A7C6B1" w14:textId="77777777" w:rsidR="00B42C91" w:rsidRPr="00A7590A" w:rsidRDefault="00B42C91" w:rsidP="00B42C91">
            <w:pPr>
              <w:pStyle w:val="ListParagraph"/>
              <w:numPr>
                <w:ilvl w:val="0"/>
                <w:numId w:val="26"/>
              </w:numPr>
              <w:spacing w:line="276" w:lineRule="auto"/>
              <w:contextualSpacing/>
              <w:rPr>
                <w:rFonts w:cs="Arial"/>
                <w:sz w:val="20"/>
                <w:szCs w:val="20"/>
              </w:rPr>
            </w:pPr>
            <w:r w:rsidRPr="00A7590A">
              <w:rPr>
                <w:rFonts w:cs="Arial"/>
                <w:sz w:val="20"/>
                <w:szCs w:val="20"/>
              </w:rPr>
              <w:t xml:space="preserve">Ensure that White </w:t>
            </w:r>
            <w:proofErr w:type="spellStart"/>
            <w:r w:rsidRPr="00A7590A">
              <w:rPr>
                <w:rFonts w:cs="Arial"/>
                <w:sz w:val="20"/>
                <w:szCs w:val="20"/>
              </w:rPr>
              <w:t>Teatfish</w:t>
            </w:r>
            <w:proofErr w:type="spellEnd"/>
            <w:r w:rsidRPr="00A7590A">
              <w:rPr>
                <w:rFonts w:cs="Arial"/>
                <w:sz w:val="20"/>
                <w:szCs w:val="20"/>
              </w:rPr>
              <w:t xml:space="preserve"> (</w:t>
            </w:r>
            <w:proofErr w:type="spellStart"/>
            <w:r w:rsidRPr="006256A9">
              <w:rPr>
                <w:rFonts w:cs="Arial"/>
                <w:i/>
                <w:iCs/>
                <w:sz w:val="20"/>
                <w:szCs w:val="20"/>
              </w:rPr>
              <w:t>Holothuria</w:t>
            </w:r>
            <w:proofErr w:type="spellEnd"/>
            <w:r w:rsidRPr="006256A9">
              <w:rPr>
                <w:rFonts w:cs="Arial"/>
                <w:i/>
                <w:iCs/>
                <w:sz w:val="20"/>
                <w:szCs w:val="20"/>
              </w:rPr>
              <w:t xml:space="preserve"> </w:t>
            </w:r>
            <w:proofErr w:type="spellStart"/>
            <w:r w:rsidRPr="006256A9">
              <w:rPr>
                <w:rFonts w:cs="Arial"/>
                <w:i/>
                <w:iCs/>
                <w:sz w:val="20"/>
                <w:szCs w:val="20"/>
              </w:rPr>
              <w:t>fuscogilva</w:t>
            </w:r>
            <w:proofErr w:type="spellEnd"/>
            <w:r w:rsidRPr="00A7590A">
              <w:rPr>
                <w:rFonts w:cs="Arial"/>
                <w:sz w:val="20"/>
                <w:szCs w:val="20"/>
              </w:rPr>
              <w:t xml:space="preserve">) is </w:t>
            </w:r>
            <w:r>
              <w:rPr>
                <w:rFonts w:cs="Arial"/>
                <w:sz w:val="20"/>
                <w:szCs w:val="20"/>
              </w:rPr>
              <w:t xml:space="preserve">not </w:t>
            </w:r>
            <w:r w:rsidRPr="00A7590A">
              <w:rPr>
                <w:rFonts w:cs="Arial"/>
                <w:sz w:val="20"/>
                <w:szCs w:val="20"/>
              </w:rPr>
              <w:t xml:space="preserve">harvested from the </w:t>
            </w:r>
            <w:r w:rsidRPr="006256A9">
              <w:rPr>
                <w:rFonts w:cs="Arial"/>
                <w:sz w:val="20"/>
                <w:szCs w:val="20"/>
              </w:rPr>
              <w:t xml:space="preserve">Coral Sea Marine Park including Ashmore and Boot Reefs, Marion Reef and </w:t>
            </w:r>
            <w:proofErr w:type="spellStart"/>
            <w:r w:rsidRPr="006256A9">
              <w:rPr>
                <w:rFonts w:cs="Arial"/>
                <w:sz w:val="20"/>
                <w:szCs w:val="20"/>
              </w:rPr>
              <w:t>Saumarez</w:t>
            </w:r>
            <w:proofErr w:type="spellEnd"/>
            <w:r w:rsidRPr="006256A9">
              <w:rPr>
                <w:rFonts w:cs="Arial"/>
                <w:sz w:val="20"/>
                <w:szCs w:val="20"/>
              </w:rPr>
              <w:t xml:space="preserve"> Reef.</w:t>
            </w:r>
          </w:p>
          <w:p w14:paraId="26F6836D" w14:textId="77777777" w:rsidR="005F5F4B" w:rsidRPr="00A7590A" w:rsidRDefault="005F5F4B" w:rsidP="005F5F4B">
            <w:pPr>
              <w:spacing w:line="252" w:lineRule="auto"/>
              <w:rPr>
                <w:rFonts w:cs="Arial"/>
                <w:b/>
                <w:bCs/>
                <w:sz w:val="20"/>
                <w:szCs w:val="20"/>
              </w:rPr>
            </w:pPr>
          </w:p>
        </w:tc>
      </w:tr>
    </w:tbl>
    <w:p w14:paraId="28DD7E45" w14:textId="0DEF3970" w:rsidR="00417DFC" w:rsidRPr="00A23801" w:rsidRDefault="00417DFC" w:rsidP="00417DFC"/>
    <w:p w14:paraId="058987D4" w14:textId="77777777" w:rsidR="00227603" w:rsidRPr="00FC2EBF" w:rsidRDefault="00227603" w:rsidP="00FC2EBF">
      <w:pPr>
        <w:sectPr w:rsidR="00227603" w:rsidRPr="00FC2EBF" w:rsidSect="001955CD">
          <w:footerReference w:type="default" r:id="rId17"/>
          <w:footerReference w:type="first" r:id="rId18"/>
          <w:pgSz w:w="16838" w:h="11906" w:orient="landscape"/>
          <w:pgMar w:top="1021" w:right="1021" w:bottom="1021" w:left="1021" w:header="709" w:footer="709" w:gutter="0"/>
          <w:cols w:space="708"/>
          <w:docGrid w:linePitch="360"/>
        </w:sectPr>
      </w:pPr>
    </w:p>
    <w:p w14:paraId="104F2B01" w14:textId="3F9D803C" w:rsidR="00885298" w:rsidRDefault="0027415B" w:rsidP="00127133">
      <w:pPr>
        <w:pStyle w:val="Heading1"/>
        <w:rPr>
          <w:rFonts w:ascii="Arial" w:hAnsi="Arial"/>
        </w:rPr>
      </w:pPr>
      <w:bookmarkStart w:id="4" w:name="_Toc89208568"/>
      <w:r w:rsidRPr="00433FCA">
        <w:rPr>
          <w:rFonts w:ascii="Arial" w:hAnsi="Arial"/>
        </w:rPr>
        <w:lastRenderedPageBreak/>
        <w:t>Section</w:t>
      </w:r>
      <w:r w:rsidR="0027138D" w:rsidRPr="00433FCA">
        <w:rPr>
          <w:rFonts w:ascii="Arial" w:hAnsi="Arial"/>
        </w:rPr>
        <w:t xml:space="preserve"> </w:t>
      </w:r>
      <w:r w:rsidR="00417DFC">
        <w:rPr>
          <w:rFonts w:ascii="Arial" w:hAnsi="Arial"/>
        </w:rPr>
        <w:t>3</w:t>
      </w:r>
      <w:r w:rsidR="0027138D" w:rsidRPr="00433FCA">
        <w:rPr>
          <w:rFonts w:ascii="Arial" w:hAnsi="Arial"/>
        </w:rPr>
        <w:t xml:space="preserve">: </w:t>
      </w:r>
      <w:r w:rsidRPr="00433FCA">
        <w:rPr>
          <w:rFonts w:ascii="Arial" w:hAnsi="Arial"/>
        </w:rPr>
        <w:t>Detailed Analysis Against the Guidelines</w:t>
      </w:r>
      <w:bookmarkEnd w:id="4"/>
      <w:r w:rsidRPr="00433FCA">
        <w:rPr>
          <w:rFonts w:ascii="Arial" w:hAnsi="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85298" w:rsidRPr="00433FCA" w14:paraId="48EAFFFA" w14:textId="77777777" w:rsidTr="002F0C8B">
        <w:trPr>
          <w:cantSplit/>
        </w:trPr>
        <w:tc>
          <w:tcPr>
            <w:tcW w:w="1500" w:type="pct"/>
            <w:shd w:val="clear" w:color="auto" w:fill="auto"/>
            <w:vAlign w:val="center"/>
          </w:tcPr>
          <w:p w14:paraId="4E4D06C8" w14:textId="77777777" w:rsidR="00885298" w:rsidRDefault="00885298" w:rsidP="00FC2EBF">
            <w:pPr>
              <w:spacing w:before="60" w:after="60" w:line="276" w:lineRule="auto"/>
              <w:contextualSpacing/>
              <w:jc w:val="center"/>
              <w:rPr>
                <w:rFonts w:cs="Arial"/>
                <w:b/>
                <w:sz w:val="20"/>
                <w:szCs w:val="20"/>
              </w:rPr>
            </w:pPr>
            <w:r w:rsidRPr="00433FCA">
              <w:rPr>
                <w:rFonts w:cs="Arial"/>
                <w:sz w:val="20"/>
                <w:szCs w:val="20"/>
                <w:lang w:eastAsia="en-AU"/>
              </w:rPr>
              <w:br w:type="page"/>
            </w:r>
            <w:proofErr w:type="gramStart"/>
            <w:r w:rsidRPr="00433FCA">
              <w:rPr>
                <w:rFonts w:cs="Arial"/>
                <w:b/>
                <w:sz w:val="20"/>
                <w:szCs w:val="20"/>
              </w:rPr>
              <w:t>Guidelines</w:t>
            </w:r>
            <w:proofErr w:type="gramEnd"/>
            <w:r w:rsidR="0027415B" w:rsidRPr="00433FCA">
              <w:rPr>
                <w:rFonts w:cs="Arial"/>
                <w:b/>
                <w:sz w:val="20"/>
                <w:szCs w:val="20"/>
              </w:rPr>
              <w:t xml:space="preserve"> criteria</w:t>
            </w:r>
          </w:p>
          <w:p w14:paraId="48317278" w14:textId="795F3E9E" w:rsidR="00E22A97" w:rsidRPr="00E22A97" w:rsidRDefault="00E22A97" w:rsidP="00FC2EBF">
            <w:pPr>
              <w:spacing w:before="60" w:after="60" w:line="276" w:lineRule="auto"/>
              <w:contextualSpacing/>
              <w:jc w:val="center"/>
              <w:rPr>
                <w:rFonts w:cs="Arial"/>
                <w:bCs/>
                <w:i/>
                <w:iCs/>
                <w:sz w:val="20"/>
                <w:szCs w:val="20"/>
              </w:rPr>
            </w:pPr>
          </w:p>
        </w:tc>
        <w:tc>
          <w:tcPr>
            <w:tcW w:w="3500" w:type="pct"/>
            <w:shd w:val="clear" w:color="auto" w:fill="FFFFFF"/>
            <w:vAlign w:val="center"/>
          </w:tcPr>
          <w:p w14:paraId="2C014CC6" w14:textId="77777777" w:rsidR="00885298" w:rsidRPr="00433FCA" w:rsidRDefault="00885298" w:rsidP="00FC2EBF">
            <w:pPr>
              <w:spacing w:before="60" w:after="60" w:line="276" w:lineRule="auto"/>
              <w:contextualSpacing/>
              <w:jc w:val="center"/>
              <w:rPr>
                <w:rFonts w:cs="Arial"/>
                <w:b/>
                <w:sz w:val="20"/>
                <w:szCs w:val="20"/>
              </w:rPr>
            </w:pPr>
            <w:r w:rsidRPr="00433FCA">
              <w:rPr>
                <w:rFonts w:cs="Arial"/>
                <w:b/>
                <w:sz w:val="20"/>
                <w:szCs w:val="20"/>
              </w:rPr>
              <w:t>Comment</w:t>
            </w:r>
          </w:p>
        </w:tc>
      </w:tr>
      <w:tr w:rsidR="00885298" w:rsidRPr="00433FCA" w14:paraId="734EF4DC" w14:textId="77777777" w:rsidTr="002F0C8B">
        <w:trPr>
          <w:cantSplit/>
        </w:trPr>
        <w:tc>
          <w:tcPr>
            <w:tcW w:w="5000" w:type="pct"/>
            <w:gridSpan w:val="2"/>
            <w:shd w:val="clear" w:color="auto" w:fill="FFFF66"/>
          </w:tcPr>
          <w:p w14:paraId="7A6AEE90" w14:textId="77777777" w:rsidR="00885298" w:rsidRPr="00433FCA" w:rsidRDefault="00885298" w:rsidP="00FC2EBF">
            <w:pPr>
              <w:spacing w:before="60" w:after="60" w:line="276" w:lineRule="auto"/>
              <w:contextualSpacing/>
              <w:rPr>
                <w:rFonts w:cs="Arial"/>
                <w:b/>
                <w:sz w:val="20"/>
                <w:szCs w:val="20"/>
              </w:rPr>
            </w:pPr>
            <w:r w:rsidRPr="00433FCA">
              <w:rPr>
                <w:rFonts w:cs="Arial"/>
                <w:b/>
                <w:sz w:val="20"/>
                <w:szCs w:val="20"/>
              </w:rPr>
              <w:t>THE MANAGEMENT REGIME</w:t>
            </w:r>
          </w:p>
        </w:tc>
      </w:tr>
      <w:tr w:rsidR="00885298" w:rsidRPr="00433FCA" w14:paraId="28AB77EE" w14:textId="77777777" w:rsidTr="002F0C8B">
        <w:trPr>
          <w:cantSplit/>
        </w:trPr>
        <w:tc>
          <w:tcPr>
            <w:tcW w:w="5000" w:type="pct"/>
            <w:gridSpan w:val="2"/>
            <w:shd w:val="clear" w:color="auto" w:fill="FFFF99"/>
          </w:tcPr>
          <w:p w14:paraId="37148127" w14:textId="5428A1AF" w:rsidR="00885298" w:rsidRPr="00433FCA" w:rsidRDefault="00885298" w:rsidP="00FC2EBF">
            <w:pPr>
              <w:spacing w:before="60" w:after="60" w:line="276" w:lineRule="auto"/>
              <w:contextualSpacing/>
              <w:rPr>
                <w:rFonts w:cs="Arial"/>
                <w:b/>
                <w:sz w:val="20"/>
                <w:szCs w:val="20"/>
              </w:rPr>
            </w:pPr>
            <w:r w:rsidRPr="00433FCA">
              <w:rPr>
                <w:rFonts w:cs="Arial"/>
                <w:sz w:val="20"/>
                <w:szCs w:val="20"/>
              </w:rPr>
              <w:t>The management regime does not have to be a formal statutory fishery management plan as such and may include non-statutory management arrangements or management policies and programs. The regime should:</w:t>
            </w:r>
          </w:p>
        </w:tc>
      </w:tr>
      <w:tr w:rsidR="00885298" w:rsidRPr="00433FCA" w14:paraId="72AABFAD" w14:textId="77777777" w:rsidTr="00F52EE9">
        <w:trPr>
          <w:cantSplit/>
        </w:trPr>
        <w:tc>
          <w:tcPr>
            <w:tcW w:w="1500" w:type="pct"/>
            <w:shd w:val="clear" w:color="auto" w:fill="FFC000"/>
          </w:tcPr>
          <w:p w14:paraId="5A32CC79"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Be documented, publicly available and transparent</w:t>
            </w:r>
            <w:r w:rsidR="006B6EF9" w:rsidRPr="00433FCA">
              <w:rPr>
                <w:rFonts w:cs="Arial"/>
                <w:sz w:val="20"/>
                <w:szCs w:val="20"/>
              </w:rPr>
              <w:t>.</w:t>
            </w:r>
          </w:p>
          <w:p w14:paraId="5524B93B" w14:textId="5700D540"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486A956B" w14:textId="6241C923" w:rsidR="003A0264" w:rsidRPr="001644EB" w:rsidRDefault="008E7844" w:rsidP="00627887">
            <w:pPr>
              <w:spacing w:before="60" w:after="60" w:line="276" w:lineRule="auto"/>
              <w:rPr>
                <w:rFonts w:cs="Arial"/>
                <w:b/>
                <w:sz w:val="20"/>
                <w:szCs w:val="20"/>
              </w:rPr>
            </w:pPr>
            <w:r>
              <w:rPr>
                <w:rFonts w:cs="Arial"/>
                <w:b/>
                <w:sz w:val="20"/>
                <w:szCs w:val="20"/>
              </w:rPr>
              <w:t xml:space="preserve">Partially </w:t>
            </w:r>
            <w:r w:rsidR="000662AB">
              <w:rPr>
                <w:rFonts w:cs="Arial"/>
                <w:b/>
                <w:sz w:val="20"/>
                <w:szCs w:val="20"/>
              </w:rPr>
              <w:t>M</w:t>
            </w:r>
            <w:r w:rsidR="003A0264" w:rsidRPr="001644EB">
              <w:rPr>
                <w:rFonts w:cs="Arial"/>
                <w:b/>
                <w:sz w:val="20"/>
                <w:szCs w:val="20"/>
              </w:rPr>
              <w:t>eets</w:t>
            </w:r>
            <w:r w:rsidR="00EC7467">
              <w:rPr>
                <w:rFonts w:cs="Arial"/>
                <w:b/>
                <w:sz w:val="20"/>
                <w:szCs w:val="20"/>
              </w:rPr>
              <w:t xml:space="preserve"> </w:t>
            </w:r>
            <w:r w:rsidR="003A0264" w:rsidRPr="001644EB">
              <w:rPr>
                <w:rFonts w:cs="Arial"/>
                <w:b/>
                <w:sz w:val="20"/>
                <w:szCs w:val="20"/>
              </w:rPr>
              <w:t xml:space="preserve">– </w:t>
            </w:r>
            <w:r w:rsidR="000662AB">
              <w:rPr>
                <w:rFonts w:cs="Arial"/>
                <w:b/>
                <w:sz w:val="20"/>
                <w:szCs w:val="20"/>
              </w:rPr>
              <w:t>Management arrangement</w:t>
            </w:r>
            <w:r w:rsidR="00EC7467">
              <w:rPr>
                <w:rFonts w:cs="Arial"/>
                <w:b/>
                <w:sz w:val="20"/>
                <w:szCs w:val="20"/>
              </w:rPr>
              <w:t>s</w:t>
            </w:r>
            <w:r w:rsidR="000662AB">
              <w:rPr>
                <w:rFonts w:cs="Arial"/>
                <w:b/>
                <w:sz w:val="20"/>
                <w:szCs w:val="20"/>
              </w:rPr>
              <w:t xml:space="preserve"> are</w:t>
            </w:r>
            <w:bookmarkStart w:id="5" w:name="_Hlk38981159"/>
            <w:r w:rsidR="003A0264" w:rsidRPr="001644EB">
              <w:rPr>
                <w:rFonts w:cs="Arial"/>
                <w:b/>
                <w:sz w:val="20"/>
                <w:szCs w:val="20"/>
              </w:rPr>
              <w:t xml:space="preserve"> documented and publicly available</w:t>
            </w:r>
            <w:r>
              <w:rPr>
                <w:rFonts w:cs="Arial"/>
                <w:b/>
                <w:sz w:val="20"/>
                <w:szCs w:val="20"/>
              </w:rPr>
              <w:t>,</w:t>
            </w:r>
            <w:r w:rsidR="00F20ACE">
              <w:rPr>
                <w:rFonts w:cs="Arial"/>
                <w:b/>
                <w:sz w:val="20"/>
                <w:szCs w:val="20"/>
              </w:rPr>
              <w:t xml:space="preserve"> but the </w:t>
            </w:r>
            <w:r w:rsidR="00D14897">
              <w:rPr>
                <w:rFonts w:cs="Arial"/>
                <w:b/>
                <w:sz w:val="20"/>
                <w:szCs w:val="20"/>
              </w:rPr>
              <w:t xml:space="preserve">publicly available annual report </w:t>
            </w:r>
            <w:r w:rsidR="00F20ACE">
              <w:rPr>
                <w:rFonts w:cs="Arial"/>
                <w:b/>
                <w:sz w:val="20"/>
                <w:szCs w:val="20"/>
              </w:rPr>
              <w:t>is</w:t>
            </w:r>
            <w:r w:rsidR="00D14897">
              <w:rPr>
                <w:rFonts w:cs="Arial"/>
                <w:b/>
                <w:sz w:val="20"/>
                <w:szCs w:val="20"/>
              </w:rPr>
              <w:t xml:space="preserve"> not </w:t>
            </w:r>
            <w:r w:rsidR="007A0546">
              <w:rPr>
                <w:rFonts w:cs="Arial"/>
                <w:b/>
                <w:sz w:val="20"/>
                <w:szCs w:val="20"/>
              </w:rPr>
              <w:t>up to date</w:t>
            </w:r>
            <w:r w:rsidR="000662AB">
              <w:rPr>
                <w:rFonts w:cs="Arial"/>
                <w:b/>
                <w:sz w:val="20"/>
                <w:szCs w:val="20"/>
              </w:rPr>
              <w:t>.</w:t>
            </w:r>
          </w:p>
          <w:p w14:paraId="1A1EAC5B" w14:textId="77777777" w:rsidR="00BD662F" w:rsidRPr="001644EB" w:rsidRDefault="003A0264" w:rsidP="00627887">
            <w:pPr>
              <w:spacing w:before="60" w:after="60" w:line="276" w:lineRule="auto"/>
              <w:rPr>
                <w:rFonts w:cs="Arial"/>
                <w:sz w:val="20"/>
                <w:szCs w:val="20"/>
              </w:rPr>
            </w:pPr>
            <w:r w:rsidRPr="001644EB">
              <w:rPr>
                <w:rFonts w:cs="Arial"/>
                <w:sz w:val="20"/>
                <w:szCs w:val="20"/>
              </w:rPr>
              <w:t>The management arrangements for the Queensland Sea Cucumber Fishery (East Coast) are outlined on the QDAF website at</w:t>
            </w:r>
            <w:r w:rsidR="00BD662F" w:rsidRPr="001644EB">
              <w:rPr>
                <w:rFonts w:cs="Arial"/>
                <w:sz w:val="20"/>
                <w:szCs w:val="20"/>
              </w:rPr>
              <w:t>:</w:t>
            </w:r>
          </w:p>
          <w:p w14:paraId="3BF2F600" w14:textId="7E90FC55" w:rsidR="003A0264" w:rsidRPr="001644EB" w:rsidRDefault="008E50D6" w:rsidP="00627887">
            <w:pPr>
              <w:spacing w:before="60" w:after="60" w:line="276" w:lineRule="auto"/>
              <w:rPr>
                <w:rFonts w:cs="Arial"/>
                <w:sz w:val="20"/>
                <w:szCs w:val="20"/>
              </w:rPr>
            </w:pPr>
            <w:hyperlink r:id="rId19" w:history="1">
              <w:r w:rsidR="001644EB" w:rsidRPr="001644EB">
                <w:rPr>
                  <w:rStyle w:val="Hyperlink"/>
                  <w:rFonts w:cs="Arial"/>
                  <w:sz w:val="20"/>
                  <w:szCs w:val="20"/>
                </w:rPr>
                <w:t>https://www.business.qld.gov.au/industries/farms-fishing-forestry/fisheries/fisheries-profiles/commercial-harvest-fisheries/sea-cucumber</w:t>
              </w:r>
            </w:hyperlink>
            <w:r w:rsidR="003A0264" w:rsidRPr="001644EB">
              <w:rPr>
                <w:rFonts w:cs="Arial"/>
                <w:sz w:val="20"/>
                <w:szCs w:val="20"/>
              </w:rPr>
              <w:t xml:space="preserve">. </w:t>
            </w:r>
          </w:p>
          <w:p w14:paraId="72D42674" w14:textId="507232FC" w:rsidR="003A0264" w:rsidRPr="001644EB" w:rsidRDefault="00DF507D" w:rsidP="00627887">
            <w:pPr>
              <w:spacing w:before="60" w:after="60" w:line="276" w:lineRule="auto"/>
              <w:rPr>
                <w:rFonts w:cs="Arial"/>
                <w:sz w:val="20"/>
                <w:szCs w:val="20"/>
              </w:rPr>
            </w:pPr>
            <w:r>
              <w:rPr>
                <w:rFonts w:cs="Arial"/>
                <w:sz w:val="20"/>
                <w:szCs w:val="20"/>
              </w:rPr>
              <w:t>Legal requirements are</w:t>
            </w:r>
            <w:r w:rsidR="003A0264" w:rsidRPr="001644EB">
              <w:rPr>
                <w:rFonts w:cs="Arial"/>
                <w:sz w:val="20"/>
                <w:szCs w:val="20"/>
              </w:rPr>
              <w:t xml:space="preserve"> contained in publicly available legislation: the </w:t>
            </w:r>
            <w:r w:rsidR="00D04BD8" w:rsidRPr="00D04BD8">
              <w:rPr>
                <w:rFonts w:cs="Arial"/>
                <w:i/>
                <w:sz w:val="20"/>
                <w:szCs w:val="20"/>
              </w:rPr>
              <w:t xml:space="preserve">Fisheries Act 1994 </w:t>
            </w:r>
            <w:r w:rsidR="00D04BD8" w:rsidRPr="00D04BD8">
              <w:rPr>
                <w:rFonts w:cs="Arial"/>
                <w:iCs/>
                <w:sz w:val="20"/>
                <w:szCs w:val="20"/>
              </w:rPr>
              <w:t>(Qld)</w:t>
            </w:r>
            <w:r w:rsidR="00D04BD8" w:rsidRPr="00D04BD8">
              <w:rPr>
                <w:rFonts w:cs="Arial"/>
                <w:sz w:val="20"/>
                <w:szCs w:val="20"/>
              </w:rPr>
              <w:t xml:space="preserve">, </w:t>
            </w:r>
            <w:r w:rsidR="00D04BD8" w:rsidRPr="00D04BD8">
              <w:rPr>
                <w:rFonts w:cs="Arial"/>
                <w:iCs/>
                <w:sz w:val="20"/>
                <w:szCs w:val="20"/>
              </w:rPr>
              <w:t>Fisheries (General) Regulation 2019 (Qld), Fisheries (Commercial Fisheries) Regulation 2019 (Qld), Fisheries Declaration 2019 (Qld), Fisheries Quota Declaration 2019 (Qld),</w:t>
            </w:r>
            <w:r w:rsidR="00D04BD8" w:rsidRPr="00D04BD8">
              <w:rPr>
                <w:rFonts w:cs="Arial"/>
                <w:i/>
                <w:sz w:val="20"/>
                <w:szCs w:val="20"/>
              </w:rPr>
              <w:t xml:space="preserve"> </w:t>
            </w:r>
            <w:r w:rsidR="00D04BD8" w:rsidRPr="00D04BD8">
              <w:rPr>
                <w:rFonts w:cs="Arial"/>
                <w:i/>
                <w:iCs/>
                <w:sz w:val="20"/>
                <w:szCs w:val="20"/>
              </w:rPr>
              <w:t xml:space="preserve">Marine Parks Act 2004 </w:t>
            </w:r>
            <w:r w:rsidR="00D04BD8" w:rsidRPr="00D04BD8">
              <w:rPr>
                <w:rFonts w:cs="Arial"/>
                <w:sz w:val="20"/>
                <w:szCs w:val="20"/>
              </w:rPr>
              <w:t>(</w:t>
            </w:r>
            <w:r w:rsidR="00D04BD8" w:rsidRPr="00D04BD8">
              <w:rPr>
                <w:rFonts w:cs="Arial"/>
                <w:iCs/>
                <w:sz w:val="20"/>
                <w:szCs w:val="20"/>
              </w:rPr>
              <w:t>Qld</w:t>
            </w:r>
            <w:r w:rsidR="00D04BD8" w:rsidRPr="00D04BD8">
              <w:rPr>
                <w:rFonts w:cs="Arial"/>
                <w:sz w:val="20"/>
                <w:szCs w:val="20"/>
              </w:rPr>
              <w:t>), Marine Parks Regulations 2019 (</w:t>
            </w:r>
            <w:r w:rsidR="00D04BD8" w:rsidRPr="00D04BD8">
              <w:rPr>
                <w:rFonts w:cs="Arial"/>
                <w:iCs/>
                <w:sz w:val="20"/>
                <w:szCs w:val="20"/>
              </w:rPr>
              <w:t>Qld</w:t>
            </w:r>
            <w:r w:rsidR="00D04BD8" w:rsidRPr="00D04BD8">
              <w:rPr>
                <w:rFonts w:cs="Arial"/>
                <w:sz w:val="20"/>
                <w:szCs w:val="20"/>
              </w:rPr>
              <w:t xml:space="preserve">), </w:t>
            </w:r>
            <w:r w:rsidR="00D04BD8" w:rsidRPr="00D04BD8">
              <w:rPr>
                <w:rFonts w:cs="Arial"/>
                <w:i/>
                <w:iCs/>
                <w:sz w:val="20"/>
                <w:szCs w:val="20"/>
              </w:rPr>
              <w:t>Great Barrier Reef Marine Park Act 1975</w:t>
            </w:r>
            <w:r w:rsidR="00D04BD8" w:rsidRPr="00D04BD8">
              <w:rPr>
                <w:rFonts w:cs="Arial"/>
                <w:sz w:val="20"/>
                <w:szCs w:val="20"/>
              </w:rPr>
              <w:t> (</w:t>
            </w:r>
            <w:proofErr w:type="spellStart"/>
            <w:r w:rsidR="00D04BD8" w:rsidRPr="00D04BD8">
              <w:rPr>
                <w:rFonts w:cs="Arial"/>
                <w:sz w:val="20"/>
                <w:szCs w:val="20"/>
              </w:rPr>
              <w:t>Cth</w:t>
            </w:r>
            <w:proofErr w:type="spellEnd"/>
            <w:r w:rsidR="00D04BD8" w:rsidRPr="00D04BD8">
              <w:rPr>
                <w:rFonts w:cs="Arial"/>
                <w:sz w:val="20"/>
                <w:szCs w:val="20"/>
              </w:rPr>
              <w:t>) and Great Barrier Reef Marine Park Regulations 2019 (</w:t>
            </w:r>
            <w:proofErr w:type="spellStart"/>
            <w:r w:rsidR="00D04BD8" w:rsidRPr="00D04BD8">
              <w:rPr>
                <w:rFonts w:cs="Arial"/>
                <w:sz w:val="20"/>
                <w:szCs w:val="20"/>
              </w:rPr>
              <w:t>Cth</w:t>
            </w:r>
            <w:proofErr w:type="spellEnd"/>
            <w:r w:rsidR="00D04BD8" w:rsidRPr="00D04BD8">
              <w:rPr>
                <w:rFonts w:cs="Arial"/>
                <w:sz w:val="20"/>
                <w:szCs w:val="20"/>
              </w:rPr>
              <w:t>)</w:t>
            </w:r>
            <w:r w:rsidR="00D04BD8" w:rsidRPr="00D04BD8">
              <w:rPr>
                <w:rFonts w:cs="Arial"/>
                <w:iCs/>
                <w:sz w:val="20"/>
                <w:szCs w:val="20"/>
              </w:rPr>
              <w:t>.</w:t>
            </w:r>
            <w:bookmarkEnd w:id="5"/>
            <w:r w:rsidR="003A0264" w:rsidRPr="001644EB">
              <w:rPr>
                <w:rFonts w:cs="Arial"/>
                <w:sz w:val="20"/>
                <w:szCs w:val="20"/>
              </w:rPr>
              <w:t xml:space="preserve"> Permits issued by </w:t>
            </w:r>
            <w:r w:rsidR="00C41518">
              <w:rPr>
                <w:rFonts w:cs="Arial"/>
                <w:sz w:val="20"/>
                <w:szCs w:val="20"/>
              </w:rPr>
              <w:t xml:space="preserve">the </w:t>
            </w:r>
            <w:r w:rsidR="003A0264" w:rsidRPr="001644EB">
              <w:rPr>
                <w:rFonts w:cs="Arial"/>
                <w:sz w:val="20"/>
                <w:szCs w:val="20"/>
              </w:rPr>
              <w:t>Q</w:t>
            </w:r>
            <w:r w:rsidR="00C41518">
              <w:rPr>
                <w:rFonts w:cs="Arial"/>
                <w:sz w:val="20"/>
                <w:szCs w:val="20"/>
              </w:rPr>
              <w:t xml:space="preserve">ueensland </w:t>
            </w:r>
            <w:r w:rsidR="003A0264" w:rsidRPr="001644EB">
              <w:rPr>
                <w:rFonts w:cs="Arial"/>
                <w:sz w:val="20"/>
                <w:szCs w:val="20"/>
              </w:rPr>
              <w:t>D</w:t>
            </w:r>
            <w:r w:rsidR="00C41518">
              <w:rPr>
                <w:rFonts w:cs="Arial"/>
                <w:sz w:val="20"/>
                <w:szCs w:val="20"/>
              </w:rPr>
              <w:t xml:space="preserve">epartment of </w:t>
            </w:r>
            <w:r w:rsidR="003A0264" w:rsidRPr="001644EB">
              <w:rPr>
                <w:rFonts w:cs="Arial"/>
                <w:sz w:val="20"/>
                <w:szCs w:val="20"/>
              </w:rPr>
              <w:t>A</w:t>
            </w:r>
            <w:r w:rsidR="00C41518">
              <w:rPr>
                <w:rFonts w:cs="Arial"/>
                <w:sz w:val="20"/>
                <w:szCs w:val="20"/>
              </w:rPr>
              <w:t xml:space="preserve">griculture and </w:t>
            </w:r>
            <w:r w:rsidR="003A0264" w:rsidRPr="001644EB">
              <w:rPr>
                <w:rFonts w:cs="Arial"/>
                <w:sz w:val="20"/>
                <w:szCs w:val="20"/>
              </w:rPr>
              <w:t>F</w:t>
            </w:r>
            <w:r w:rsidR="00C41518">
              <w:rPr>
                <w:rFonts w:cs="Arial"/>
                <w:sz w:val="20"/>
                <w:szCs w:val="20"/>
              </w:rPr>
              <w:t>isheries (QDAF)</w:t>
            </w:r>
            <w:r w:rsidR="003A0264" w:rsidRPr="001644EB">
              <w:rPr>
                <w:rFonts w:cs="Arial"/>
                <w:sz w:val="20"/>
                <w:szCs w:val="20"/>
              </w:rPr>
              <w:t xml:space="preserve">, and the Great Barrier Reef Marine Park Authority </w:t>
            </w:r>
            <w:r w:rsidR="00C41518">
              <w:rPr>
                <w:rFonts w:cs="Arial"/>
                <w:sz w:val="20"/>
                <w:szCs w:val="20"/>
              </w:rPr>
              <w:t xml:space="preserve">(GBRMPA) </w:t>
            </w:r>
            <w:r w:rsidR="003A0264" w:rsidRPr="001644EB">
              <w:rPr>
                <w:rFonts w:cs="Arial"/>
                <w:sz w:val="20"/>
                <w:szCs w:val="20"/>
              </w:rPr>
              <w:t>afford access to fish in the fishery.</w:t>
            </w:r>
          </w:p>
          <w:p w14:paraId="0C960AC8" w14:textId="03A9C752" w:rsidR="0069289C" w:rsidRPr="00B85AA4" w:rsidRDefault="00BB1BE2" w:rsidP="00627887">
            <w:pPr>
              <w:spacing w:before="60" w:after="60" w:line="276" w:lineRule="auto"/>
              <w:contextualSpacing/>
              <w:rPr>
                <w:rFonts w:cs="Arial"/>
                <w:sz w:val="20"/>
                <w:szCs w:val="20"/>
              </w:rPr>
            </w:pPr>
            <w:r>
              <w:rPr>
                <w:rFonts w:cs="Arial"/>
                <w:sz w:val="20"/>
                <w:szCs w:val="20"/>
              </w:rPr>
              <w:t>A Harvest Strategy for the fishe</w:t>
            </w:r>
            <w:r w:rsidR="00191A46">
              <w:rPr>
                <w:rFonts w:cs="Arial"/>
                <w:sz w:val="20"/>
                <w:szCs w:val="20"/>
              </w:rPr>
              <w:t>ry was implemented on 1 September 2021 and is published on</w:t>
            </w:r>
            <w:r w:rsidR="00C41518">
              <w:rPr>
                <w:rFonts w:cs="Arial"/>
                <w:sz w:val="20"/>
                <w:szCs w:val="20"/>
              </w:rPr>
              <w:t xml:space="preserve">line </w:t>
            </w:r>
            <w:r w:rsidR="00F214C0">
              <w:rPr>
                <w:rFonts w:cs="Arial"/>
                <w:sz w:val="20"/>
                <w:szCs w:val="20"/>
              </w:rPr>
              <w:t xml:space="preserve">(see key links </w:t>
            </w:r>
            <w:r w:rsidR="00831D6F">
              <w:rPr>
                <w:rFonts w:cs="Arial"/>
                <w:sz w:val="20"/>
                <w:szCs w:val="20"/>
              </w:rPr>
              <w:t>at end of this document</w:t>
            </w:r>
            <w:r w:rsidR="00F214C0">
              <w:rPr>
                <w:rFonts w:cs="Arial"/>
                <w:sz w:val="20"/>
                <w:szCs w:val="20"/>
              </w:rPr>
              <w:t>).</w:t>
            </w:r>
            <w:r w:rsidR="00C15E3E">
              <w:rPr>
                <w:rFonts w:cs="Arial"/>
                <w:sz w:val="20"/>
                <w:szCs w:val="20"/>
              </w:rPr>
              <w:t xml:space="preserve"> An Ecological Risk Assessment (ERA) </w:t>
            </w:r>
            <w:r w:rsidR="00DF507D">
              <w:rPr>
                <w:rFonts w:cs="Arial"/>
                <w:sz w:val="20"/>
                <w:szCs w:val="20"/>
              </w:rPr>
              <w:t xml:space="preserve">for the fishery </w:t>
            </w:r>
            <w:r w:rsidR="00C15E3E">
              <w:rPr>
                <w:rFonts w:cs="Arial"/>
                <w:sz w:val="20"/>
                <w:szCs w:val="20"/>
              </w:rPr>
              <w:t xml:space="preserve">and stock assessments for Black </w:t>
            </w:r>
            <w:proofErr w:type="spellStart"/>
            <w:r w:rsidR="00C15E3E">
              <w:rPr>
                <w:rFonts w:cs="Arial"/>
                <w:sz w:val="20"/>
                <w:szCs w:val="20"/>
              </w:rPr>
              <w:t>Teatfish</w:t>
            </w:r>
            <w:proofErr w:type="spellEnd"/>
            <w:r w:rsidR="00C15E3E">
              <w:rPr>
                <w:rFonts w:cs="Arial"/>
                <w:sz w:val="20"/>
                <w:szCs w:val="20"/>
              </w:rPr>
              <w:t xml:space="preserve"> and White </w:t>
            </w:r>
            <w:proofErr w:type="spellStart"/>
            <w:r w:rsidR="00C15E3E">
              <w:rPr>
                <w:rFonts w:cs="Arial"/>
                <w:sz w:val="20"/>
                <w:szCs w:val="20"/>
              </w:rPr>
              <w:t>Teatfish</w:t>
            </w:r>
            <w:proofErr w:type="spellEnd"/>
            <w:r w:rsidR="00C15E3E">
              <w:rPr>
                <w:rFonts w:cs="Arial"/>
                <w:sz w:val="20"/>
                <w:szCs w:val="20"/>
              </w:rPr>
              <w:t xml:space="preserve"> were also recently completed and published on </w:t>
            </w:r>
            <w:r w:rsidR="004809E1">
              <w:rPr>
                <w:rFonts w:cs="Arial"/>
                <w:sz w:val="20"/>
                <w:szCs w:val="20"/>
              </w:rPr>
              <w:t>the Queensland government</w:t>
            </w:r>
            <w:r w:rsidR="003503D2">
              <w:rPr>
                <w:rFonts w:cs="Arial"/>
                <w:sz w:val="20"/>
                <w:szCs w:val="20"/>
              </w:rPr>
              <w:t>’s e-Research Archive (</w:t>
            </w:r>
            <w:r w:rsidR="00831D6F">
              <w:rPr>
                <w:rFonts w:cs="Arial"/>
                <w:sz w:val="20"/>
                <w:szCs w:val="20"/>
              </w:rPr>
              <w:t>see key links at end of this document</w:t>
            </w:r>
            <w:r w:rsidR="00597EC6" w:rsidRPr="00B85AA4">
              <w:rPr>
                <w:rFonts w:cs="Arial"/>
                <w:sz w:val="20"/>
                <w:szCs w:val="20"/>
              </w:rPr>
              <w:t>).</w:t>
            </w:r>
            <w:r w:rsidR="00DF507D">
              <w:rPr>
                <w:rFonts w:cs="Arial"/>
                <w:sz w:val="20"/>
                <w:szCs w:val="20"/>
              </w:rPr>
              <w:t xml:space="preserve"> </w:t>
            </w:r>
          </w:p>
          <w:p w14:paraId="0FEFE1E0" w14:textId="0ADDC98A" w:rsidR="00636969" w:rsidRPr="00C41518" w:rsidRDefault="00DF507D" w:rsidP="00627887">
            <w:pPr>
              <w:spacing w:before="60" w:after="60" w:line="276" w:lineRule="auto"/>
              <w:contextualSpacing/>
              <w:rPr>
                <w:rFonts w:cs="Arial"/>
                <w:sz w:val="20"/>
                <w:szCs w:val="20"/>
              </w:rPr>
            </w:pPr>
            <w:r w:rsidRPr="00B85AA4">
              <w:rPr>
                <w:rFonts w:cs="Arial"/>
                <w:sz w:val="20"/>
                <w:szCs w:val="20"/>
              </w:rPr>
              <w:t xml:space="preserve">Annual reporting is an important aspect of the transparent operation of the fishery. </w:t>
            </w:r>
            <w:r w:rsidR="0047295C" w:rsidRPr="00B85AA4">
              <w:rPr>
                <w:rFonts w:cs="Arial"/>
                <w:sz w:val="20"/>
                <w:szCs w:val="20"/>
              </w:rPr>
              <w:t>Annual reports for the fishery have not been updated since the 2018</w:t>
            </w:r>
            <w:r w:rsidR="007A534C">
              <w:rPr>
                <w:rFonts w:cs="Arial"/>
                <w:sz w:val="20"/>
                <w:szCs w:val="20"/>
              </w:rPr>
              <w:t>–</w:t>
            </w:r>
            <w:r w:rsidR="0047295C" w:rsidRPr="00B85AA4">
              <w:rPr>
                <w:rFonts w:cs="Arial"/>
                <w:sz w:val="20"/>
                <w:szCs w:val="20"/>
              </w:rPr>
              <w:t xml:space="preserve">19 season. Public comments noted the difficulty finding up to date information </w:t>
            </w:r>
            <w:r>
              <w:rPr>
                <w:rFonts w:cs="Arial"/>
                <w:sz w:val="20"/>
                <w:szCs w:val="20"/>
              </w:rPr>
              <w:t xml:space="preserve">on </w:t>
            </w:r>
            <w:r w:rsidR="0047295C" w:rsidRPr="00B85AA4">
              <w:rPr>
                <w:rFonts w:cs="Arial"/>
                <w:sz w:val="20"/>
                <w:szCs w:val="20"/>
              </w:rPr>
              <w:t>the fishery</w:t>
            </w:r>
            <w:r>
              <w:rPr>
                <w:rFonts w:cs="Arial"/>
                <w:sz w:val="20"/>
                <w:szCs w:val="20"/>
              </w:rPr>
              <w:t xml:space="preserve"> as well as information that underpins the management of key target species</w:t>
            </w:r>
            <w:r w:rsidR="0047295C" w:rsidRPr="00B85AA4">
              <w:rPr>
                <w:rFonts w:cs="Arial"/>
                <w:sz w:val="20"/>
                <w:szCs w:val="20"/>
              </w:rPr>
              <w:t xml:space="preserve">. </w:t>
            </w:r>
          </w:p>
          <w:p w14:paraId="28161830" w14:textId="00A22C8C" w:rsidR="005869AD" w:rsidRPr="00E22A97" w:rsidRDefault="005869AD" w:rsidP="00762740">
            <w:pPr>
              <w:spacing w:beforeLines="60" w:before="144" w:afterLines="60" w:after="144" w:line="276" w:lineRule="auto"/>
              <w:contextualSpacing/>
              <w:rPr>
                <w:rFonts w:cs="Arial"/>
                <w:bCs/>
                <w:sz w:val="20"/>
                <w:szCs w:val="20"/>
              </w:rPr>
            </w:pPr>
          </w:p>
        </w:tc>
      </w:tr>
      <w:tr w:rsidR="00885298" w:rsidRPr="00433FCA" w14:paraId="4513BEBB" w14:textId="77777777" w:rsidTr="009417C1">
        <w:trPr>
          <w:cantSplit/>
        </w:trPr>
        <w:tc>
          <w:tcPr>
            <w:tcW w:w="1500" w:type="pct"/>
            <w:shd w:val="clear" w:color="auto" w:fill="FFC000"/>
          </w:tcPr>
          <w:p w14:paraId="69DB1911"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 xml:space="preserve">Be developed through a consultative process providing opportunity to all interested and affected parties, including the </w:t>
            </w:r>
            <w:proofErr w:type="gramStart"/>
            <w:r w:rsidRPr="00433FCA">
              <w:rPr>
                <w:rFonts w:cs="Arial"/>
                <w:sz w:val="20"/>
                <w:szCs w:val="20"/>
              </w:rPr>
              <w:t>general public</w:t>
            </w:r>
            <w:proofErr w:type="gramEnd"/>
            <w:r w:rsidR="006B6EF9" w:rsidRPr="00433FCA">
              <w:rPr>
                <w:rFonts w:cs="Arial"/>
                <w:sz w:val="20"/>
                <w:szCs w:val="20"/>
              </w:rPr>
              <w:t>.</w:t>
            </w:r>
          </w:p>
          <w:p w14:paraId="1B8852AD" w14:textId="345FBAC7"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2CB0D6EA" w14:textId="2808A9B6" w:rsidR="00636969" w:rsidRPr="00F576F8" w:rsidRDefault="00550E21" w:rsidP="00B64E9F">
            <w:pPr>
              <w:spacing w:before="60" w:after="60" w:line="276" w:lineRule="auto"/>
              <w:rPr>
                <w:rFonts w:cs="Arial"/>
                <w:b/>
                <w:sz w:val="20"/>
                <w:szCs w:val="20"/>
              </w:rPr>
            </w:pPr>
            <w:r>
              <w:rPr>
                <w:rFonts w:cs="Arial"/>
                <w:b/>
                <w:sz w:val="20"/>
                <w:szCs w:val="20"/>
              </w:rPr>
              <w:t xml:space="preserve">Partially </w:t>
            </w:r>
            <w:r w:rsidR="00F8472A" w:rsidRPr="00F576F8">
              <w:rPr>
                <w:rFonts w:cs="Arial"/>
                <w:b/>
                <w:sz w:val="20"/>
                <w:szCs w:val="20"/>
              </w:rPr>
              <w:t xml:space="preserve">Meets </w:t>
            </w:r>
            <w:r w:rsidR="00636969" w:rsidRPr="00F576F8">
              <w:rPr>
                <w:rFonts w:cs="Arial"/>
                <w:b/>
                <w:sz w:val="20"/>
                <w:szCs w:val="20"/>
              </w:rPr>
              <w:t>–</w:t>
            </w:r>
            <w:r w:rsidR="00BB1F8F">
              <w:rPr>
                <w:rFonts w:cs="Arial"/>
                <w:b/>
                <w:sz w:val="20"/>
                <w:szCs w:val="20"/>
              </w:rPr>
              <w:t xml:space="preserve"> Consultation has been undertaken with some stakeholders on parts of the management of the fishery.</w:t>
            </w:r>
          </w:p>
          <w:p w14:paraId="1AF735C7" w14:textId="79CE7047" w:rsidR="00A95913" w:rsidRPr="00550E21" w:rsidRDefault="00750A9A" w:rsidP="00B64E9F">
            <w:pPr>
              <w:spacing w:before="60" w:after="60" w:line="276" w:lineRule="auto"/>
              <w:rPr>
                <w:sz w:val="20"/>
                <w:szCs w:val="20"/>
              </w:rPr>
            </w:pPr>
            <w:r w:rsidRPr="00346042">
              <w:rPr>
                <w:sz w:val="20"/>
                <w:szCs w:val="20"/>
              </w:rPr>
              <w:t xml:space="preserve">The management arrangements for the fishery have been developed </w:t>
            </w:r>
            <w:r w:rsidR="00FE718A" w:rsidRPr="00346042">
              <w:rPr>
                <w:sz w:val="20"/>
                <w:szCs w:val="20"/>
              </w:rPr>
              <w:t>in consultation with industry and other stakeholders. Where there have been substantive management change</w:t>
            </w:r>
            <w:r w:rsidR="00312696">
              <w:rPr>
                <w:sz w:val="20"/>
                <w:szCs w:val="20"/>
              </w:rPr>
              <w:t>s</w:t>
            </w:r>
            <w:r w:rsidR="00974D46" w:rsidRPr="00346042">
              <w:rPr>
                <w:sz w:val="20"/>
                <w:szCs w:val="20"/>
              </w:rPr>
              <w:t xml:space="preserve">, such as the introduction of the harvest </w:t>
            </w:r>
            <w:r w:rsidR="00974D46" w:rsidRPr="00550E21">
              <w:rPr>
                <w:sz w:val="20"/>
                <w:szCs w:val="20"/>
              </w:rPr>
              <w:t>strategy for the fishery</w:t>
            </w:r>
            <w:r w:rsidR="00EF4376" w:rsidRPr="00550E21">
              <w:rPr>
                <w:sz w:val="20"/>
                <w:szCs w:val="20"/>
              </w:rPr>
              <w:t xml:space="preserve">, draft documents have been published for public </w:t>
            </w:r>
            <w:r w:rsidR="008611F3">
              <w:rPr>
                <w:sz w:val="20"/>
                <w:szCs w:val="20"/>
              </w:rPr>
              <w:t>consultation</w:t>
            </w:r>
            <w:r w:rsidR="00EF4376" w:rsidRPr="00550E21">
              <w:rPr>
                <w:sz w:val="20"/>
                <w:szCs w:val="20"/>
              </w:rPr>
              <w:t xml:space="preserve">. </w:t>
            </w:r>
          </w:p>
          <w:p w14:paraId="78AD4157" w14:textId="6C77D330" w:rsidR="009417C1" w:rsidRPr="00550E21" w:rsidRDefault="002274FE" w:rsidP="00B64E9F">
            <w:pPr>
              <w:spacing w:before="60" w:after="60" w:line="276" w:lineRule="auto"/>
              <w:rPr>
                <w:sz w:val="20"/>
                <w:szCs w:val="20"/>
              </w:rPr>
            </w:pPr>
            <w:r w:rsidRPr="00550E21">
              <w:rPr>
                <w:sz w:val="20"/>
                <w:szCs w:val="20"/>
              </w:rPr>
              <w:t xml:space="preserve">There is a </w:t>
            </w:r>
            <w:r w:rsidR="002634AB" w:rsidRPr="00550E21">
              <w:rPr>
                <w:sz w:val="20"/>
                <w:szCs w:val="20"/>
              </w:rPr>
              <w:t xml:space="preserve">stakeholder advisory body for the fishery, the </w:t>
            </w:r>
            <w:hyperlink r:id="rId20" w:history="1">
              <w:r w:rsidR="002634AB" w:rsidRPr="00550E21">
                <w:rPr>
                  <w:rStyle w:val="Hyperlink"/>
                  <w:sz w:val="20"/>
                  <w:szCs w:val="20"/>
                </w:rPr>
                <w:t>Queensland Sea Cucumber Working Group</w:t>
              </w:r>
            </w:hyperlink>
            <w:r w:rsidR="000048C6" w:rsidRPr="00550E21">
              <w:rPr>
                <w:rStyle w:val="Hyperlink"/>
                <w:sz w:val="20"/>
                <w:szCs w:val="20"/>
              </w:rPr>
              <w:t>,</w:t>
            </w:r>
            <w:r w:rsidR="000048C6" w:rsidRPr="00550E21">
              <w:rPr>
                <w:sz w:val="20"/>
                <w:szCs w:val="20"/>
              </w:rPr>
              <w:t xml:space="preserve"> which is made up of industry, researchers, representatives from the Great Barrier Reef Marine Park Authority</w:t>
            </w:r>
            <w:r w:rsidR="00F80CA8">
              <w:rPr>
                <w:sz w:val="20"/>
                <w:szCs w:val="20"/>
              </w:rPr>
              <w:t xml:space="preserve"> (GBRMPA)</w:t>
            </w:r>
            <w:r w:rsidR="000048C6" w:rsidRPr="00550E21">
              <w:rPr>
                <w:sz w:val="20"/>
                <w:szCs w:val="20"/>
              </w:rPr>
              <w:t>,</w:t>
            </w:r>
            <w:r w:rsidR="009A5685">
              <w:rPr>
                <w:sz w:val="20"/>
                <w:szCs w:val="20"/>
              </w:rPr>
              <w:t xml:space="preserve"> and</w:t>
            </w:r>
            <w:r w:rsidR="000048C6" w:rsidRPr="00550E21">
              <w:rPr>
                <w:sz w:val="20"/>
                <w:szCs w:val="20"/>
              </w:rPr>
              <w:t xml:space="preserve"> an</w:t>
            </w:r>
            <w:r w:rsidR="008611F3">
              <w:rPr>
                <w:sz w:val="20"/>
                <w:szCs w:val="20"/>
              </w:rPr>
              <w:t xml:space="preserve"> Indigenous representative</w:t>
            </w:r>
            <w:r w:rsidR="009A5685">
              <w:rPr>
                <w:sz w:val="20"/>
                <w:szCs w:val="20"/>
              </w:rPr>
              <w:t xml:space="preserve"> although this position is currently listed as vacant</w:t>
            </w:r>
            <w:r w:rsidR="000048C6" w:rsidRPr="00550E21">
              <w:rPr>
                <w:sz w:val="20"/>
                <w:szCs w:val="20"/>
              </w:rPr>
              <w:t xml:space="preserve">. </w:t>
            </w:r>
            <w:r w:rsidR="00341BE2" w:rsidRPr="00550E21">
              <w:rPr>
                <w:sz w:val="20"/>
                <w:szCs w:val="20"/>
              </w:rPr>
              <w:t xml:space="preserve"> </w:t>
            </w:r>
          </w:p>
          <w:p w14:paraId="254E39FF" w14:textId="6CB5225C" w:rsidR="00C53738" w:rsidRPr="007B1160" w:rsidRDefault="00157EEB">
            <w:pPr>
              <w:spacing w:before="60" w:after="60" w:line="276" w:lineRule="auto"/>
              <w:rPr>
                <w:sz w:val="20"/>
                <w:szCs w:val="20"/>
              </w:rPr>
            </w:pPr>
            <w:r>
              <w:rPr>
                <w:sz w:val="20"/>
                <w:szCs w:val="20"/>
              </w:rPr>
              <w:t>The fishery operates in</w:t>
            </w:r>
            <w:r w:rsidR="008611F3">
              <w:rPr>
                <w:sz w:val="20"/>
                <w:szCs w:val="20"/>
              </w:rPr>
              <w:t xml:space="preserve"> areas including</w:t>
            </w:r>
            <w:r>
              <w:rPr>
                <w:sz w:val="20"/>
                <w:szCs w:val="20"/>
              </w:rPr>
              <w:t xml:space="preserve"> the Great Barrier Reef Marine Park </w:t>
            </w:r>
            <w:r w:rsidR="00A22B76">
              <w:rPr>
                <w:sz w:val="20"/>
                <w:szCs w:val="20"/>
              </w:rPr>
              <w:t xml:space="preserve">and the Coral Sea Marine Park. </w:t>
            </w:r>
            <w:r w:rsidR="00C004C0">
              <w:rPr>
                <w:sz w:val="20"/>
                <w:szCs w:val="20"/>
              </w:rPr>
              <w:t xml:space="preserve">Agencies with responsibilities for managing both marine parks have expressed concern with the management of harvest from their respective marine parks. </w:t>
            </w:r>
          </w:p>
        </w:tc>
      </w:tr>
      <w:tr w:rsidR="00885298" w:rsidRPr="00433FCA" w14:paraId="064DC322" w14:textId="77777777" w:rsidTr="00AF2EEA">
        <w:trPr>
          <w:cantSplit/>
        </w:trPr>
        <w:tc>
          <w:tcPr>
            <w:tcW w:w="1500" w:type="pct"/>
            <w:shd w:val="clear" w:color="auto" w:fill="FFC000"/>
          </w:tcPr>
          <w:p w14:paraId="155D9C96" w14:textId="3A9D7BF0" w:rsidR="00885298" w:rsidRPr="00433FCA" w:rsidRDefault="00885298" w:rsidP="00FC2EBF">
            <w:pPr>
              <w:spacing w:before="60" w:after="60" w:line="276" w:lineRule="auto"/>
              <w:contextualSpacing/>
              <w:rPr>
                <w:rFonts w:cs="Arial"/>
                <w:sz w:val="20"/>
                <w:szCs w:val="20"/>
              </w:rPr>
            </w:pPr>
            <w:r w:rsidRPr="00433FCA">
              <w:rPr>
                <w:rFonts w:cs="Arial"/>
                <w:sz w:val="20"/>
                <w:szCs w:val="20"/>
              </w:rPr>
              <w:t>Ensure that a range of expertise and community interests are involved in individual fishery management committees and during the stock assessment process</w:t>
            </w:r>
            <w:r w:rsidR="006B6EF9" w:rsidRPr="00433FCA">
              <w:rPr>
                <w:rFonts w:cs="Arial"/>
                <w:sz w:val="20"/>
                <w:szCs w:val="20"/>
              </w:rPr>
              <w:t>.</w:t>
            </w:r>
          </w:p>
          <w:p w14:paraId="2188F6A2" w14:textId="1B938CBC"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8B16A83" w14:textId="1A511FB4" w:rsidR="003D5753" w:rsidRPr="00F576F8" w:rsidRDefault="00C004C0" w:rsidP="00B64E9F">
            <w:pPr>
              <w:spacing w:before="60" w:after="60" w:line="276" w:lineRule="auto"/>
              <w:rPr>
                <w:rFonts w:cs="Arial"/>
                <w:b/>
                <w:sz w:val="20"/>
                <w:szCs w:val="20"/>
              </w:rPr>
            </w:pPr>
            <w:r>
              <w:rPr>
                <w:rFonts w:cs="Arial"/>
                <w:b/>
                <w:sz w:val="20"/>
                <w:szCs w:val="20"/>
              </w:rPr>
              <w:t xml:space="preserve">Partially </w:t>
            </w:r>
            <w:r w:rsidR="00124E65">
              <w:rPr>
                <w:rFonts w:cs="Arial"/>
                <w:b/>
                <w:sz w:val="20"/>
                <w:szCs w:val="20"/>
              </w:rPr>
              <w:t>M</w:t>
            </w:r>
            <w:r w:rsidR="00F8472A" w:rsidRPr="00F576F8">
              <w:rPr>
                <w:rFonts w:cs="Arial"/>
                <w:b/>
                <w:sz w:val="20"/>
                <w:szCs w:val="20"/>
              </w:rPr>
              <w:t xml:space="preserve">eets </w:t>
            </w:r>
            <w:r w:rsidR="00636969" w:rsidRPr="00F576F8">
              <w:rPr>
                <w:rFonts w:cs="Arial"/>
                <w:b/>
                <w:sz w:val="20"/>
                <w:szCs w:val="20"/>
              </w:rPr>
              <w:t xml:space="preserve">– </w:t>
            </w:r>
            <w:r w:rsidR="008633D2">
              <w:rPr>
                <w:rFonts w:cs="Arial"/>
                <w:b/>
                <w:sz w:val="20"/>
                <w:szCs w:val="20"/>
              </w:rPr>
              <w:t xml:space="preserve">Stock </w:t>
            </w:r>
            <w:r w:rsidR="00B21377">
              <w:rPr>
                <w:rFonts w:cs="Arial"/>
                <w:b/>
                <w:sz w:val="20"/>
                <w:szCs w:val="20"/>
              </w:rPr>
              <w:t>a</w:t>
            </w:r>
            <w:r w:rsidR="008633D2">
              <w:rPr>
                <w:rFonts w:cs="Arial"/>
                <w:b/>
                <w:sz w:val="20"/>
                <w:szCs w:val="20"/>
              </w:rPr>
              <w:t>ssessments were developed with</w:t>
            </w:r>
            <w:r w:rsidR="00B64E9F">
              <w:rPr>
                <w:rFonts w:cs="Arial"/>
                <w:b/>
                <w:sz w:val="20"/>
                <w:szCs w:val="20"/>
              </w:rPr>
              <w:t>out</w:t>
            </w:r>
            <w:r w:rsidR="008633D2">
              <w:rPr>
                <w:rFonts w:cs="Arial"/>
                <w:b/>
                <w:sz w:val="20"/>
                <w:szCs w:val="20"/>
              </w:rPr>
              <w:t xml:space="preserve"> </w:t>
            </w:r>
            <w:r w:rsidR="008A472A">
              <w:rPr>
                <w:rFonts w:cs="Arial"/>
                <w:b/>
                <w:sz w:val="20"/>
                <w:szCs w:val="20"/>
              </w:rPr>
              <w:t xml:space="preserve">consulting </w:t>
            </w:r>
            <w:r w:rsidR="008633D2">
              <w:rPr>
                <w:rFonts w:cs="Arial"/>
                <w:b/>
                <w:sz w:val="20"/>
                <w:szCs w:val="20"/>
              </w:rPr>
              <w:t>crucial stakeholders</w:t>
            </w:r>
            <w:r w:rsidR="002F4021">
              <w:rPr>
                <w:rFonts w:cs="Arial"/>
                <w:b/>
                <w:sz w:val="20"/>
                <w:szCs w:val="20"/>
              </w:rPr>
              <w:t xml:space="preserve">. </w:t>
            </w:r>
          </w:p>
          <w:p w14:paraId="23617E7C" w14:textId="3785FEB9" w:rsidR="00817A10" w:rsidRDefault="006277B1" w:rsidP="00B64E9F">
            <w:pPr>
              <w:spacing w:before="60" w:after="60" w:line="276" w:lineRule="auto"/>
              <w:rPr>
                <w:rFonts w:cs="Arial"/>
                <w:bCs/>
                <w:sz w:val="20"/>
                <w:szCs w:val="20"/>
              </w:rPr>
            </w:pPr>
            <w:r w:rsidRPr="00925056">
              <w:rPr>
                <w:rFonts w:cs="Arial"/>
                <w:bCs/>
                <w:sz w:val="20"/>
                <w:szCs w:val="20"/>
              </w:rPr>
              <w:t>The fishery engages a range of expert</w:t>
            </w:r>
            <w:r w:rsidR="00873CB8" w:rsidRPr="00925056">
              <w:rPr>
                <w:rFonts w:cs="Arial"/>
                <w:bCs/>
                <w:sz w:val="20"/>
                <w:szCs w:val="20"/>
              </w:rPr>
              <w:t xml:space="preserve">ise and </w:t>
            </w:r>
            <w:r w:rsidR="00B8294B">
              <w:rPr>
                <w:rFonts w:cs="Arial"/>
                <w:bCs/>
                <w:sz w:val="20"/>
                <w:szCs w:val="20"/>
              </w:rPr>
              <w:t>industry</w:t>
            </w:r>
            <w:r w:rsidR="00873CB8" w:rsidRPr="00925056">
              <w:rPr>
                <w:rFonts w:cs="Arial"/>
                <w:bCs/>
                <w:sz w:val="20"/>
                <w:szCs w:val="20"/>
              </w:rPr>
              <w:t xml:space="preserve"> </w:t>
            </w:r>
            <w:r w:rsidR="00B8294B">
              <w:rPr>
                <w:rFonts w:cs="Arial"/>
                <w:bCs/>
                <w:sz w:val="20"/>
                <w:szCs w:val="20"/>
              </w:rPr>
              <w:t>through the fish</w:t>
            </w:r>
            <w:r w:rsidR="001F3D32">
              <w:rPr>
                <w:rFonts w:cs="Arial"/>
                <w:bCs/>
                <w:sz w:val="20"/>
                <w:szCs w:val="20"/>
              </w:rPr>
              <w:t>ery</w:t>
            </w:r>
            <w:r w:rsidR="000662AB" w:rsidRPr="00925056">
              <w:rPr>
                <w:rFonts w:cs="Arial"/>
                <w:bCs/>
                <w:sz w:val="20"/>
                <w:szCs w:val="20"/>
              </w:rPr>
              <w:t xml:space="preserve"> </w:t>
            </w:r>
            <w:r w:rsidR="000662AB" w:rsidRPr="00933F77">
              <w:rPr>
                <w:rFonts w:cs="Arial"/>
                <w:bCs/>
                <w:sz w:val="20"/>
                <w:szCs w:val="20"/>
              </w:rPr>
              <w:t>working group</w:t>
            </w:r>
            <w:r w:rsidR="002157A0">
              <w:rPr>
                <w:rFonts w:cs="Arial"/>
                <w:bCs/>
                <w:sz w:val="20"/>
                <w:szCs w:val="20"/>
              </w:rPr>
              <w:t xml:space="preserve">. The group is </w:t>
            </w:r>
            <w:r w:rsidR="000662AB" w:rsidRPr="00925056">
              <w:rPr>
                <w:rFonts w:cs="Arial"/>
                <w:bCs/>
                <w:sz w:val="20"/>
                <w:szCs w:val="20"/>
              </w:rPr>
              <w:t>made up of</w:t>
            </w:r>
            <w:r w:rsidR="00350622" w:rsidRPr="00925056">
              <w:rPr>
                <w:rFonts w:cs="Arial"/>
                <w:bCs/>
                <w:sz w:val="20"/>
                <w:szCs w:val="20"/>
              </w:rPr>
              <w:t xml:space="preserve"> </w:t>
            </w:r>
            <w:r w:rsidR="00350622" w:rsidRPr="00925056">
              <w:rPr>
                <w:sz w:val="20"/>
                <w:szCs w:val="20"/>
              </w:rPr>
              <w:t xml:space="preserve">fisheries managers, researchers, representatives from the </w:t>
            </w:r>
            <w:r w:rsidR="00C03249">
              <w:rPr>
                <w:sz w:val="20"/>
                <w:szCs w:val="20"/>
              </w:rPr>
              <w:t>GBRMPA</w:t>
            </w:r>
            <w:r w:rsidR="00350622" w:rsidRPr="00925056">
              <w:rPr>
                <w:sz w:val="20"/>
                <w:szCs w:val="20"/>
              </w:rPr>
              <w:t>, industry and</w:t>
            </w:r>
            <w:r w:rsidR="0012117E">
              <w:rPr>
                <w:sz w:val="20"/>
                <w:szCs w:val="20"/>
              </w:rPr>
              <w:t xml:space="preserve"> an indigenous representative (although this position has be</w:t>
            </w:r>
            <w:r w:rsidR="006A27F9">
              <w:rPr>
                <w:sz w:val="20"/>
                <w:szCs w:val="20"/>
              </w:rPr>
              <w:t>en</w:t>
            </w:r>
            <w:r w:rsidR="0012117E">
              <w:rPr>
                <w:sz w:val="20"/>
                <w:szCs w:val="20"/>
              </w:rPr>
              <w:t xml:space="preserve"> marked </w:t>
            </w:r>
            <w:r w:rsidR="00736381">
              <w:rPr>
                <w:sz w:val="20"/>
                <w:szCs w:val="20"/>
              </w:rPr>
              <w:t xml:space="preserve">as </w:t>
            </w:r>
            <w:r w:rsidR="002B07A6">
              <w:rPr>
                <w:sz w:val="20"/>
                <w:szCs w:val="20"/>
              </w:rPr>
              <w:t>vacant</w:t>
            </w:r>
            <w:r w:rsidR="00617FEF">
              <w:rPr>
                <w:sz w:val="20"/>
                <w:szCs w:val="20"/>
              </w:rPr>
              <w:t>)</w:t>
            </w:r>
            <w:r w:rsidR="00350622" w:rsidRPr="00925056">
              <w:rPr>
                <w:sz w:val="20"/>
                <w:szCs w:val="20"/>
              </w:rPr>
              <w:t>.</w:t>
            </w:r>
            <w:r w:rsidR="000662AB" w:rsidRPr="00925056">
              <w:rPr>
                <w:rFonts w:cs="Arial"/>
                <w:bCs/>
                <w:sz w:val="20"/>
                <w:szCs w:val="20"/>
              </w:rPr>
              <w:t xml:space="preserve"> The harvest strategy </w:t>
            </w:r>
            <w:r w:rsidR="006E566A">
              <w:rPr>
                <w:rFonts w:cs="Arial"/>
                <w:bCs/>
                <w:sz w:val="20"/>
                <w:szCs w:val="20"/>
              </w:rPr>
              <w:t xml:space="preserve">and ERA </w:t>
            </w:r>
            <w:r w:rsidR="000662AB" w:rsidRPr="00925056">
              <w:rPr>
                <w:rFonts w:cs="Arial"/>
                <w:bCs/>
                <w:sz w:val="20"/>
                <w:szCs w:val="20"/>
              </w:rPr>
              <w:t>w</w:t>
            </w:r>
            <w:r w:rsidR="006E566A">
              <w:rPr>
                <w:rFonts w:cs="Arial"/>
                <w:bCs/>
                <w:sz w:val="20"/>
                <w:szCs w:val="20"/>
              </w:rPr>
              <w:t>ere</w:t>
            </w:r>
            <w:r w:rsidR="000662AB" w:rsidRPr="00925056">
              <w:rPr>
                <w:rFonts w:cs="Arial"/>
                <w:bCs/>
                <w:sz w:val="20"/>
                <w:szCs w:val="20"/>
              </w:rPr>
              <w:t xml:space="preserve"> developed in conjunction with the working group and</w:t>
            </w:r>
            <w:r w:rsidR="006E566A">
              <w:rPr>
                <w:rFonts w:cs="Arial"/>
                <w:bCs/>
                <w:sz w:val="20"/>
                <w:szCs w:val="20"/>
              </w:rPr>
              <w:t xml:space="preserve"> the harvest strategy was</w:t>
            </w:r>
            <w:r w:rsidR="000662AB" w:rsidRPr="00925056">
              <w:rPr>
                <w:rFonts w:cs="Arial"/>
                <w:bCs/>
                <w:sz w:val="20"/>
                <w:szCs w:val="20"/>
              </w:rPr>
              <w:t xml:space="preserve"> published </w:t>
            </w:r>
            <w:r w:rsidR="00350622" w:rsidRPr="00925056">
              <w:rPr>
                <w:rFonts w:cs="Arial"/>
                <w:bCs/>
                <w:sz w:val="20"/>
                <w:szCs w:val="20"/>
              </w:rPr>
              <w:t xml:space="preserve">online </w:t>
            </w:r>
            <w:r w:rsidR="000662AB" w:rsidRPr="00925056">
              <w:rPr>
                <w:rFonts w:cs="Arial"/>
                <w:bCs/>
                <w:sz w:val="20"/>
                <w:szCs w:val="20"/>
              </w:rPr>
              <w:t xml:space="preserve">for public comment. </w:t>
            </w:r>
          </w:p>
          <w:p w14:paraId="72A3C41F" w14:textId="38C4A32F" w:rsidR="00EB096D" w:rsidRDefault="00936020" w:rsidP="00B64E9F">
            <w:pPr>
              <w:spacing w:before="60" w:after="60" w:line="276" w:lineRule="auto"/>
              <w:rPr>
                <w:rFonts w:cs="Arial"/>
                <w:bCs/>
                <w:sz w:val="20"/>
                <w:szCs w:val="20"/>
              </w:rPr>
            </w:pPr>
            <w:r>
              <w:rPr>
                <w:rFonts w:cs="Arial"/>
                <w:bCs/>
                <w:sz w:val="20"/>
                <w:szCs w:val="20"/>
              </w:rPr>
              <w:t xml:space="preserve">The </w:t>
            </w:r>
            <w:r w:rsidR="00EB096D">
              <w:rPr>
                <w:rFonts w:cs="Arial"/>
                <w:bCs/>
                <w:sz w:val="20"/>
                <w:szCs w:val="20"/>
              </w:rPr>
              <w:t xml:space="preserve">recent stock assessments for Black </w:t>
            </w:r>
            <w:proofErr w:type="spellStart"/>
            <w:r w:rsidR="00EB096D">
              <w:rPr>
                <w:rFonts w:cs="Arial"/>
                <w:bCs/>
                <w:sz w:val="20"/>
                <w:szCs w:val="20"/>
              </w:rPr>
              <w:t>Teatfish</w:t>
            </w:r>
            <w:proofErr w:type="spellEnd"/>
            <w:r w:rsidR="00EB096D">
              <w:rPr>
                <w:rFonts w:cs="Arial"/>
                <w:bCs/>
                <w:sz w:val="20"/>
                <w:szCs w:val="20"/>
              </w:rPr>
              <w:t xml:space="preserve"> and White </w:t>
            </w:r>
            <w:proofErr w:type="spellStart"/>
            <w:r w:rsidR="00EB096D">
              <w:rPr>
                <w:rFonts w:cs="Arial"/>
                <w:bCs/>
                <w:sz w:val="20"/>
                <w:szCs w:val="20"/>
              </w:rPr>
              <w:t>Teatfish</w:t>
            </w:r>
            <w:proofErr w:type="spellEnd"/>
            <w:r w:rsidR="00EB096D">
              <w:rPr>
                <w:rFonts w:cs="Arial"/>
                <w:bCs/>
                <w:sz w:val="20"/>
                <w:szCs w:val="20"/>
              </w:rPr>
              <w:t xml:space="preserve"> </w:t>
            </w:r>
            <w:r w:rsidR="006F72F5">
              <w:rPr>
                <w:rFonts w:cs="Arial"/>
                <w:bCs/>
                <w:sz w:val="20"/>
                <w:szCs w:val="20"/>
              </w:rPr>
              <w:t>were prepared by QDAF without e</w:t>
            </w:r>
            <w:r w:rsidR="006A27F9">
              <w:rPr>
                <w:rFonts w:cs="Arial"/>
                <w:bCs/>
                <w:sz w:val="20"/>
                <w:szCs w:val="20"/>
              </w:rPr>
              <w:t>x</w:t>
            </w:r>
            <w:r w:rsidR="006F72F5">
              <w:rPr>
                <w:rFonts w:cs="Arial"/>
                <w:bCs/>
                <w:sz w:val="20"/>
                <w:szCs w:val="20"/>
              </w:rPr>
              <w:t>ternal consultation and review</w:t>
            </w:r>
            <w:r w:rsidR="00C004C0">
              <w:rPr>
                <w:rFonts w:cs="Arial"/>
                <w:bCs/>
                <w:sz w:val="20"/>
                <w:szCs w:val="20"/>
              </w:rPr>
              <w:t xml:space="preserve">, noting that time constraints applied </w:t>
            </w:r>
            <w:proofErr w:type="gramStart"/>
            <w:r w:rsidR="00C004C0">
              <w:rPr>
                <w:rFonts w:cs="Arial"/>
                <w:bCs/>
                <w:sz w:val="20"/>
                <w:szCs w:val="20"/>
              </w:rPr>
              <w:t>in order to</w:t>
            </w:r>
            <w:proofErr w:type="gramEnd"/>
            <w:r w:rsidR="00C004C0">
              <w:rPr>
                <w:rFonts w:cs="Arial"/>
                <w:bCs/>
                <w:sz w:val="20"/>
                <w:szCs w:val="20"/>
              </w:rPr>
              <w:t xml:space="preserve"> meet conditions of the previous approval for this fishery</w:t>
            </w:r>
            <w:r w:rsidR="006F72F5">
              <w:rPr>
                <w:rFonts w:cs="Arial"/>
                <w:bCs/>
                <w:sz w:val="20"/>
                <w:szCs w:val="20"/>
              </w:rPr>
              <w:t>.</w:t>
            </w:r>
            <w:r w:rsidR="005B0565">
              <w:rPr>
                <w:rFonts w:cs="Arial"/>
                <w:bCs/>
                <w:sz w:val="20"/>
                <w:szCs w:val="20"/>
              </w:rPr>
              <w:t xml:space="preserve"> </w:t>
            </w:r>
            <w:r w:rsidR="006F72F5">
              <w:rPr>
                <w:rFonts w:cs="Arial"/>
                <w:bCs/>
                <w:sz w:val="20"/>
                <w:szCs w:val="20"/>
              </w:rPr>
              <w:t>During</w:t>
            </w:r>
            <w:r w:rsidR="00C03249" w:rsidDel="000129F3">
              <w:rPr>
                <w:rFonts w:cs="Arial"/>
                <w:bCs/>
                <w:sz w:val="20"/>
                <w:szCs w:val="20"/>
              </w:rPr>
              <w:t xml:space="preserve"> the </w:t>
            </w:r>
            <w:r w:rsidR="006F72F5">
              <w:rPr>
                <w:rFonts w:cs="Arial"/>
                <w:bCs/>
                <w:sz w:val="20"/>
                <w:szCs w:val="20"/>
              </w:rPr>
              <w:t xml:space="preserve">public </w:t>
            </w:r>
            <w:r w:rsidR="00F7365A">
              <w:rPr>
                <w:rFonts w:cs="Arial"/>
                <w:bCs/>
                <w:sz w:val="20"/>
                <w:szCs w:val="20"/>
              </w:rPr>
              <w:t>consultation period</w:t>
            </w:r>
            <w:r w:rsidR="006F72F5">
              <w:rPr>
                <w:rFonts w:cs="Arial"/>
                <w:bCs/>
                <w:sz w:val="20"/>
                <w:szCs w:val="20"/>
              </w:rPr>
              <w:t xml:space="preserve"> of this assessment</w:t>
            </w:r>
            <w:r w:rsidR="00D76288">
              <w:rPr>
                <w:rFonts w:cs="Arial"/>
                <w:bCs/>
                <w:sz w:val="20"/>
                <w:szCs w:val="20"/>
              </w:rPr>
              <w:t>,</w:t>
            </w:r>
            <w:r w:rsidR="006F72F5">
              <w:rPr>
                <w:rFonts w:cs="Arial"/>
                <w:bCs/>
                <w:sz w:val="20"/>
                <w:szCs w:val="20"/>
              </w:rPr>
              <w:t xml:space="preserve"> </w:t>
            </w:r>
            <w:proofErr w:type="gramStart"/>
            <w:r w:rsidR="006F72F5">
              <w:rPr>
                <w:rFonts w:cs="Arial"/>
                <w:bCs/>
                <w:sz w:val="20"/>
                <w:szCs w:val="20"/>
              </w:rPr>
              <w:t>a number of</w:t>
            </w:r>
            <w:proofErr w:type="gramEnd"/>
            <w:r w:rsidR="006F72F5">
              <w:rPr>
                <w:rFonts w:cs="Arial"/>
                <w:bCs/>
                <w:sz w:val="20"/>
                <w:szCs w:val="20"/>
              </w:rPr>
              <w:t xml:space="preserve"> </w:t>
            </w:r>
            <w:r w:rsidR="000129F3">
              <w:rPr>
                <w:rFonts w:cs="Arial"/>
                <w:bCs/>
                <w:sz w:val="20"/>
                <w:szCs w:val="20"/>
              </w:rPr>
              <w:t xml:space="preserve">submissions </w:t>
            </w:r>
            <w:r w:rsidR="006F72F5">
              <w:rPr>
                <w:rFonts w:cs="Arial"/>
                <w:bCs/>
                <w:sz w:val="20"/>
                <w:szCs w:val="20"/>
              </w:rPr>
              <w:t xml:space="preserve">were received </w:t>
            </w:r>
            <w:r w:rsidR="0072220D">
              <w:rPr>
                <w:rFonts w:cs="Arial"/>
                <w:bCs/>
                <w:sz w:val="20"/>
                <w:szCs w:val="20"/>
              </w:rPr>
              <w:t>from sea cucumber</w:t>
            </w:r>
            <w:r w:rsidR="000129F3">
              <w:rPr>
                <w:rFonts w:cs="Arial"/>
                <w:bCs/>
                <w:sz w:val="20"/>
                <w:szCs w:val="20"/>
              </w:rPr>
              <w:t xml:space="preserve"> experts</w:t>
            </w:r>
            <w:r w:rsidR="0072220D">
              <w:rPr>
                <w:rFonts w:cs="Arial"/>
                <w:bCs/>
                <w:sz w:val="20"/>
                <w:szCs w:val="20"/>
              </w:rPr>
              <w:t xml:space="preserve"> express</w:t>
            </w:r>
            <w:r w:rsidR="000129F3">
              <w:rPr>
                <w:rFonts w:cs="Arial"/>
                <w:bCs/>
                <w:sz w:val="20"/>
                <w:szCs w:val="20"/>
              </w:rPr>
              <w:t>ing</w:t>
            </w:r>
            <w:r w:rsidR="0072220D">
              <w:rPr>
                <w:rFonts w:cs="Arial"/>
                <w:bCs/>
                <w:sz w:val="20"/>
                <w:szCs w:val="20"/>
              </w:rPr>
              <w:t xml:space="preserve"> concerns about the </w:t>
            </w:r>
            <w:r w:rsidR="000129F3">
              <w:rPr>
                <w:rFonts w:cs="Arial"/>
                <w:bCs/>
                <w:sz w:val="20"/>
                <w:szCs w:val="20"/>
              </w:rPr>
              <w:t>appropriateness</w:t>
            </w:r>
            <w:r w:rsidR="0072220D">
              <w:rPr>
                <w:rFonts w:cs="Arial"/>
                <w:bCs/>
                <w:sz w:val="20"/>
                <w:szCs w:val="20"/>
              </w:rPr>
              <w:t xml:space="preserve"> of </w:t>
            </w:r>
            <w:r w:rsidR="00F83423">
              <w:rPr>
                <w:rFonts w:cs="Arial"/>
                <w:bCs/>
                <w:sz w:val="20"/>
                <w:szCs w:val="20"/>
              </w:rPr>
              <w:t xml:space="preserve">surveys and analysis that support the </w:t>
            </w:r>
            <w:r w:rsidR="000129F3">
              <w:rPr>
                <w:rFonts w:cs="Arial"/>
                <w:bCs/>
                <w:sz w:val="20"/>
                <w:szCs w:val="20"/>
              </w:rPr>
              <w:t xml:space="preserve">current </w:t>
            </w:r>
            <w:r w:rsidR="00F83423">
              <w:rPr>
                <w:rFonts w:cs="Arial"/>
                <w:bCs/>
                <w:sz w:val="20"/>
                <w:szCs w:val="20"/>
              </w:rPr>
              <w:t xml:space="preserve">stock assessments. </w:t>
            </w:r>
          </w:p>
          <w:p w14:paraId="14A7D973" w14:textId="2561D558" w:rsidR="0024182A" w:rsidRPr="00E22A97" w:rsidRDefault="009619C7" w:rsidP="00B64E9F">
            <w:pPr>
              <w:spacing w:before="60" w:after="60" w:line="276" w:lineRule="auto"/>
              <w:rPr>
                <w:rFonts w:cs="Arial"/>
                <w:bCs/>
                <w:sz w:val="20"/>
                <w:szCs w:val="20"/>
              </w:rPr>
            </w:pPr>
            <w:r>
              <w:rPr>
                <w:rFonts w:cs="Arial"/>
                <w:bCs/>
                <w:sz w:val="20"/>
                <w:szCs w:val="20"/>
              </w:rPr>
              <w:t>There are currently no stock assessments for any species in the ‘</w:t>
            </w:r>
            <w:r w:rsidR="00D41CCA">
              <w:rPr>
                <w:rFonts w:cs="Arial"/>
                <w:bCs/>
                <w:sz w:val="20"/>
                <w:szCs w:val="20"/>
              </w:rPr>
              <w:t xml:space="preserve">other sea cucumber’ quota category that makes up </w:t>
            </w:r>
            <w:proofErr w:type="gramStart"/>
            <w:r w:rsidR="00D41CCA">
              <w:rPr>
                <w:rFonts w:cs="Arial"/>
                <w:bCs/>
                <w:sz w:val="20"/>
                <w:szCs w:val="20"/>
              </w:rPr>
              <w:t>the majority of</w:t>
            </w:r>
            <w:proofErr w:type="gramEnd"/>
            <w:r w:rsidR="00D41CCA">
              <w:rPr>
                <w:rFonts w:cs="Arial"/>
                <w:bCs/>
                <w:sz w:val="20"/>
                <w:szCs w:val="20"/>
              </w:rPr>
              <w:t xml:space="preserve"> the fishery by volume. </w:t>
            </w:r>
          </w:p>
        </w:tc>
      </w:tr>
      <w:tr w:rsidR="00885298" w:rsidRPr="00433FCA" w14:paraId="434A9161" w14:textId="77777777" w:rsidTr="00C8243D">
        <w:trPr>
          <w:cantSplit/>
        </w:trPr>
        <w:tc>
          <w:tcPr>
            <w:tcW w:w="1500" w:type="pct"/>
            <w:shd w:val="clear" w:color="auto" w:fill="FFC000"/>
          </w:tcPr>
          <w:p w14:paraId="434CE030"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 xml:space="preserve">Be strategic, containing objectives and performance criteria by which the effectiveness of the management arrangements </w:t>
            </w:r>
            <w:proofErr w:type="gramStart"/>
            <w:r w:rsidRPr="00433FCA">
              <w:rPr>
                <w:rFonts w:cs="Arial"/>
                <w:sz w:val="20"/>
                <w:szCs w:val="20"/>
              </w:rPr>
              <w:t>are</w:t>
            </w:r>
            <w:proofErr w:type="gramEnd"/>
            <w:r w:rsidRPr="00433FCA">
              <w:rPr>
                <w:rFonts w:cs="Arial"/>
                <w:sz w:val="20"/>
                <w:szCs w:val="20"/>
              </w:rPr>
              <w:t xml:space="preserve"> measured</w:t>
            </w:r>
            <w:r w:rsidR="006B6EF9" w:rsidRPr="00433FCA">
              <w:rPr>
                <w:rFonts w:cs="Arial"/>
                <w:sz w:val="20"/>
                <w:szCs w:val="20"/>
              </w:rPr>
              <w:t>.</w:t>
            </w:r>
          </w:p>
          <w:p w14:paraId="7043B0B9" w14:textId="6802F625"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64897839" w14:textId="6FCAB597" w:rsidR="00636969" w:rsidRDefault="00F8472A" w:rsidP="00B64E9F">
            <w:pPr>
              <w:spacing w:before="60" w:after="60" w:line="276" w:lineRule="auto"/>
              <w:rPr>
                <w:rFonts w:cs="Arial"/>
                <w:b/>
                <w:sz w:val="20"/>
                <w:szCs w:val="20"/>
              </w:rPr>
            </w:pPr>
            <w:r w:rsidRPr="002E7088">
              <w:rPr>
                <w:rFonts w:cs="Arial"/>
                <w:b/>
                <w:sz w:val="20"/>
                <w:szCs w:val="20"/>
              </w:rPr>
              <w:t xml:space="preserve">Partially meets </w:t>
            </w:r>
            <w:r w:rsidR="0088202F">
              <w:rPr>
                <w:rFonts w:cs="Arial"/>
                <w:b/>
                <w:sz w:val="20"/>
                <w:szCs w:val="20"/>
              </w:rPr>
              <w:t>–</w:t>
            </w:r>
            <w:r w:rsidR="005869AD" w:rsidRPr="002E7088">
              <w:rPr>
                <w:rFonts w:cs="Arial"/>
                <w:b/>
                <w:sz w:val="20"/>
                <w:szCs w:val="20"/>
              </w:rPr>
              <w:t xml:space="preserve"> Has objectives and performance criteria</w:t>
            </w:r>
            <w:r w:rsidR="00B6343E" w:rsidRPr="002E7088">
              <w:rPr>
                <w:rFonts w:cs="Arial"/>
                <w:b/>
                <w:sz w:val="20"/>
                <w:szCs w:val="20"/>
              </w:rPr>
              <w:t xml:space="preserve"> however th</w:t>
            </w:r>
            <w:r w:rsidR="00E749EB" w:rsidRPr="002E7088">
              <w:rPr>
                <w:rFonts w:cs="Arial"/>
                <w:b/>
                <w:sz w:val="20"/>
                <w:szCs w:val="20"/>
              </w:rPr>
              <w:t>ere is insufficient information on stocks</w:t>
            </w:r>
            <w:r w:rsidR="002E7088" w:rsidRPr="002E7088">
              <w:rPr>
                <w:rFonts w:cs="Arial"/>
                <w:b/>
                <w:sz w:val="20"/>
                <w:szCs w:val="20"/>
              </w:rPr>
              <w:t xml:space="preserve"> for these measures to be effective. </w:t>
            </w:r>
          </w:p>
          <w:p w14:paraId="7E03DAA3" w14:textId="2D7E02B5" w:rsidR="00161486" w:rsidRDefault="00645550" w:rsidP="00B64E9F">
            <w:pPr>
              <w:pStyle w:val="BodyText1"/>
              <w:spacing w:before="60" w:after="60" w:line="276" w:lineRule="auto"/>
              <w:jc w:val="left"/>
              <w:rPr>
                <w:rFonts w:cs="Arial"/>
                <w:bCs/>
                <w:sz w:val="20"/>
              </w:rPr>
            </w:pPr>
            <w:r>
              <w:rPr>
                <w:rFonts w:cs="Arial"/>
                <w:bCs/>
                <w:sz w:val="20"/>
              </w:rPr>
              <w:t xml:space="preserve">Substantial management changes </w:t>
            </w:r>
            <w:r w:rsidR="00E41159">
              <w:rPr>
                <w:rFonts w:cs="Arial"/>
                <w:bCs/>
                <w:sz w:val="20"/>
              </w:rPr>
              <w:t>c</w:t>
            </w:r>
            <w:r>
              <w:rPr>
                <w:rFonts w:cs="Arial"/>
                <w:bCs/>
                <w:sz w:val="20"/>
              </w:rPr>
              <w:t>ommence</w:t>
            </w:r>
            <w:r w:rsidR="00E41159">
              <w:rPr>
                <w:rFonts w:cs="Arial"/>
                <w:bCs/>
                <w:sz w:val="20"/>
              </w:rPr>
              <w:t>d</w:t>
            </w:r>
            <w:r>
              <w:rPr>
                <w:rFonts w:cs="Arial"/>
                <w:bCs/>
                <w:sz w:val="20"/>
              </w:rPr>
              <w:t xml:space="preserve"> in the fishery on 1 S</w:t>
            </w:r>
            <w:r w:rsidR="00D5129A">
              <w:rPr>
                <w:rFonts w:cs="Arial"/>
                <w:bCs/>
                <w:sz w:val="20"/>
              </w:rPr>
              <w:t xml:space="preserve">eptember 2021, with the implementation of the </w:t>
            </w:r>
            <w:proofErr w:type="gramStart"/>
            <w:r w:rsidR="00B64E9F" w:rsidRPr="00B64E9F">
              <w:rPr>
                <w:rFonts w:cs="Arial"/>
                <w:bCs/>
                <w:i/>
                <w:iCs/>
                <w:sz w:val="20"/>
              </w:rPr>
              <w:t>Queensland sea</w:t>
            </w:r>
            <w:proofErr w:type="gramEnd"/>
            <w:r w:rsidR="00B64E9F" w:rsidRPr="00B64E9F">
              <w:rPr>
                <w:rFonts w:cs="Arial"/>
                <w:bCs/>
                <w:i/>
                <w:iCs/>
                <w:sz w:val="20"/>
              </w:rPr>
              <w:t xml:space="preserve"> cucumber fishery harvest strateg</w:t>
            </w:r>
            <w:r w:rsidR="00B64E9F">
              <w:rPr>
                <w:rFonts w:cs="Arial"/>
                <w:bCs/>
                <w:i/>
                <w:iCs/>
                <w:sz w:val="20"/>
              </w:rPr>
              <w:t>y:</w:t>
            </w:r>
            <w:r w:rsidR="00B64E9F" w:rsidRPr="00B64E9F">
              <w:rPr>
                <w:rFonts w:cs="Arial"/>
                <w:bCs/>
                <w:i/>
                <w:iCs/>
                <w:sz w:val="20"/>
              </w:rPr>
              <w:t xml:space="preserve"> 2021-2026</w:t>
            </w:r>
            <w:r w:rsidR="00B64E9F">
              <w:rPr>
                <w:rFonts w:cs="Arial"/>
                <w:bCs/>
                <w:sz w:val="20"/>
              </w:rPr>
              <w:t xml:space="preserve"> (Harvest Strategy)</w:t>
            </w:r>
            <w:r w:rsidR="00D5129A">
              <w:rPr>
                <w:rFonts w:cs="Arial"/>
                <w:bCs/>
                <w:sz w:val="20"/>
              </w:rPr>
              <w:t xml:space="preserve">. </w:t>
            </w:r>
            <w:r w:rsidR="00E87D90">
              <w:rPr>
                <w:rFonts w:cs="Arial"/>
                <w:bCs/>
                <w:sz w:val="20"/>
              </w:rPr>
              <w:t>The</w:t>
            </w:r>
            <w:r w:rsidR="00B64E9F">
              <w:rPr>
                <w:rFonts w:cs="Arial"/>
                <w:bCs/>
                <w:sz w:val="20"/>
              </w:rPr>
              <w:t xml:space="preserve"> Harvest Strategy</w:t>
            </w:r>
            <w:r w:rsidR="00E87D90">
              <w:rPr>
                <w:rFonts w:cs="Arial"/>
                <w:bCs/>
                <w:sz w:val="20"/>
              </w:rPr>
              <w:t xml:space="preserve"> formalised much of the </w:t>
            </w:r>
            <w:r w:rsidR="00944DC5">
              <w:rPr>
                <w:rFonts w:cs="Arial"/>
                <w:bCs/>
                <w:sz w:val="20"/>
              </w:rPr>
              <w:t>management that was in place under the Mo</w:t>
            </w:r>
            <w:r w:rsidR="00E41159">
              <w:rPr>
                <w:rFonts w:cs="Arial"/>
                <w:bCs/>
                <w:sz w:val="20"/>
              </w:rPr>
              <w:t>U</w:t>
            </w:r>
            <w:r w:rsidR="00DD2267">
              <w:rPr>
                <w:rFonts w:cs="Arial"/>
                <w:bCs/>
                <w:sz w:val="20"/>
              </w:rPr>
              <w:t xml:space="preserve"> but</w:t>
            </w:r>
            <w:r w:rsidR="00161486">
              <w:rPr>
                <w:rFonts w:cs="Arial"/>
                <w:bCs/>
                <w:sz w:val="20"/>
              </w:rPr>
              <w:t xml:space="preserve"> some aspects of the former management of the fishery were modified or removed. </w:t>
            </w:r>
          </w:p>
          <w:p w14:paraId="6E0A8315" w14:textId="31B1DD93" w:rsidR="007025C9" w:rsidRDefault="00B83C9B" w:rsidP="007025C9">
            <w:pPr>
              <w:pStyle w:val="BodyText1"/>
              <w:spacing w:before="60" w:after="60" w:line="276" w:lineRule="auto"/>
              <w:jc w:val="left"/>
              <w:rPr>
                <w:rFonts w:cs="Arial"/>
                <w:bCs/>
                <w:sz w:val="20"/>
              </w:rPr>
            </w:pPr>
            <w:r>
              <w:rPr>
                <w:rFonts w:cs="Arial"/>
                <w:bCs/>
                <w:sz w:val="20"/>
              </w:rPr>
              <w:t xml:space="preserve">The </w:t>
            </w:r>
            <w:r w:rsidR="009C4C49">
              <w:rPr>
                <w:rFonts w:cs="Arial"/>
                <w:bCs/>
                <w:sz w:val="20"/>
              </w:rPr>
              <w:t>H</w:t>
            </w:r>
            <w:r>
              <w:rPr>
                <w:rFonts w:cs="Arial"/>
                <w:bCs/>
                <w:sz w:val="20"/>
              </w:rPr>
              <w:t xml:space="preserve">arvest </w:t>
            </w:r>
            <w:r w:rsidR="009C4C49">
              <w:rPr>
                <w:rFonts w:cs="Arial"/>
                <w:bCs/>
                <w:sz w:val="20"/>
              </w:rPr>
              <w:t>S</w:t>
            </w:r>
            <w:r>
              <w:rPr>
                <w:rFonts w:cs="Arial"/>
                <w:bCs/>
                <w:sz w:val="20"/>
              </w:rPr>
              <w:t>trategy outlines a range of</w:t>
            </w:r>
            <w:r w:rsidR="00C04F6E">
              <w:rPr>
                <w:rFonts w:cs="Arial"/>
                <w:bCs/>
                <w:sz w:val="20"/>
              </w:rPr>
              <w:t xml:space="preserve"> performance </w:t>
            </w:r>
            <w:r>
              <w:rPr>
                <w:rFonts w:cs="Arial"/>
                <w:bCs/>
                <w:sz w:val="20"/>
              </w:rPr>
              <w:t>measure</w:t>
            </w:r>
            <w:r w:rsidR="00122BB6">
              <w:rPr>
                <w:rFonts w:cs="Arial"/>
                <w:bCs/>
                <w:sz w:val="20"/>
              </w:rPr>
              <w:t>s</w:t>
            </w:r>
            <w:r>
              <w:rPr>
                <w:rFonts w:cs="Arial"/>
                <w:bCs/>
                <w:sz w:val="20"/>
              </w:rPr>
              <w:t xml:space="preserve"> for </w:t>
            </w:r>
            <w:r w:rsidR="00FB3A79">
              <w:rPr>
                <w:rFonts w:cs="Arial"/>
                <w:bCs/>
                <w:sz w:val="20"/>
              </w:rPr>
              <w:t>the manag</w:t>
            </w:r>
            <w:r w:rsidR="003809BE">
              <w:rPr>
                <w:rFonts w:cs="Arial"/>
                <w:bCs/>
                <w:sz w:val="20"/>
              </w:rPr>
              <w:t xml:space="preserve">ement of </w:t>
            </w:r>
            <w:r w:rsidR="00C04F6E">
              <w:rPr>
                <w:rFonts w:cs="Arial"/>
                <w:bCs/>
                <w:sz w:val="20"/>
              </w:rPr>
              <w:t xml:space="preserve">target stocks, </w:t>
            </w:r>
            <w:r w:rsidR="003809BE">
              <w:rPr>
                <w:rFonts w:cs="Arial"/>
                <w:bCs/>
                <w:sz w:val="20"/>
              </w:rPr>
              <w:t xml:space="preserve">assessment of </w:t>
            </w:r>
            <w:r w:rsidR="00C04F6E">
              <w:rPr>
                <w:rFonts w:cs="Arial"/>
                <w:bCs/>
                <w:sz w:val="20"/>
              </w:rPr>
              <w:t xml:space="preserve">ecological risks and </w:t>
            </w:r>
            <w:r w:rsidR="00B64E9F">
              <w:rPr>
                <w:rFonts w:cs="Arial"/>
                <w:bCs/>
                <w:sz w:val="20"/>
              </w:rPr>
              <w:t xml:space="preserve">consideration of </w:t>
            </w:r>
            <w:r w:rsidR="00C04F6E">
              <w:rPr>
                <w:rFonts w:cs="Arial"/>
                <w:bCs/>
                <w:sz w:val="20"/>
              </w:rPr>
              <w:t>social and</w:t>
            </w:r>
            <w:r w:rsidR="003809BE">
              <w:rPr>
                <w:rFonts w:cs="Arial"/>
                <w:bCs/>
                <w:sz w:val="20"/>
              </w:rPr>
              <w:t xml:space="preserve"> </w:t>
            </w:r>
            <w:r w:rsidR="00C04F6E">
              <w:rPr>
                <w:rFonts w:cs="Arial"/>
                <w:bCs/>
                <w:sz w:val="20"/>
              </w:rPr>
              <w:t xml:space="preserve">economic indicators. </w:t>
            </w:r>
            <w:r w:rsidR="00AC6253">
              <w:rPr>
                <w:rFonts w:cs="Arial"/>
                <w:bCs/>
                <w:sz w:val="20"/>
              </w:rPr>
              <w:t>Target s</w:t>
            </w:r>
            <w:r w:rsidR="008C1CBC">
              <w:rPr>
                <w:rFonts w:cs="Arial"/>
                <w:bCs/>
                <w:sz w:val="20"/>
              </w:rPr>
              <w:t>tock</w:t>
            </w:r>
            <w:r w:rsidR="00DD4065">
              <w:rPr>
                <w:rFonts w:cs="Arial"/>
                <w:bCs/>
                <w:sz w:val="20"/>
              </w:rPr>
              <w:t>s</w:t>
            </w:r>
            <w:r w:rsidR="008C1CBC">
              <w:rPr>
                <w:rFonts w:cs="Arial"/>
                <w:bCs/>
                <w:sz w:val="20"/>
              </w:rPr>
              <w:t xml:space="preserve"> in the fisher</w:t>
            </w:r>
            <w:r w:rsidR="007025C9">
              <w:rPr>
                <w:rFonts w:cs="Arial"/>
                <w:bCs/>
                <w:sz w:val="20"/>
              </w:rPr>
              <w:t>y</w:t>
            </w:r>
            <w:r w:rsidR="008C1CBC">
              <w:rPr>
                <w:rFonts w:cs="Arial"/>
                <w:bCs/>
                <w:sz w:val="20"/>
              </w:rPr>
              <w:t xml:space="preserve"> are categori</w:t>
            </w:r>
            <w:r w:rsidR="00AC6253">
              <w:rPr>
                <w:rFonts w:cs="Arial"/>
                <w:bCs/>
                <w:sz w:val="20"/>
              </w:rPr>
              <w:t>sed</w:t>
            </w:r>
            <w:r w:rsidR="008C1CBC">
              <w:rPr>
                <w:rFonts w:cs="Arial"/>
                <w:bCs/>
                <w:sz w:val="20"/>
              </w:rPr>
              <w:t xml:space="preserve"> into tier 1 and tier 2 species.</w:t>
            </w:r>
            <w:r w:rsidR="00AC6253">
              <w:rPr>
                <w:rFonts w:cs="Arial"/>
                <w:bCs/>
                <w:sz w:val="20"/>
              </w:rPr>
              <w:t xml:space="preserve"> Tier </w:t>
            </w:r>
            <w:r w:rsidR="00C44B81">
              <w:rPr>
                <w:rFonts w:cs="Arial"/>
                <w:bCs/>
                <w:sz w:val="20"/>
              </w:rPr>
              <w:t xml:space="preserve">1 species are Black </w:t>
            </w:r>
            <w:proofErr w:type="spellStart"/>
            <w:r w:rsidR="00C44B81">
              <w:rPr>
                <w:rFonts w:cs="Arial"/>
                <w:bCs/>
                <w:sz w:val="20"/>
              </w:rPr>
              <w:t>Teatfish</w:t>
            </w:r>
            <w:proofErr w:type="spellEnd"/>
            <w:r w:rsidR="00F6012E">
              <w:rPr>
                <w:rFonts w:cs="Arial"/>
                <w:bCs/>
                <w:sz w:val="20"/>
              </w:rPr>
              <w:t xml:space="preserve"> (</w:t>
            </w:r>
            <w:proofErr w:type="spellStart"/>
            <w:r w:rsidR="00F6012E" w:rsidRPr="00F6012E">
              <w:rPr>
                <w:rFonts w:cs="Arial"/>
                <w:bCs/>
                <w:i/>
                <w:iCs/>
                <w:sz w:val="20"/>
              </w:rPr>
              <w:t>Holothuria</w:t>
            </w:r>
            <w:proofErr w:type="spellEnd"/>
            <w:r w:rsidR="00F6012E" w:rsidRPr="00F6012E">
              <w:rPr>
                <w:rFonts w:cs="Arial"/>
                <w:bCs/>
                <w:i/>
                <w:iCs/>
                <w:sz w:val="20"/>
              </w:rPr>
              <w:t xml:space="preserve"> </w:t>
            </w:r>
            <w:proofErr w:type="spellStart"/>
            <w:r w:rsidR="00F6012E" w:rsidRPr="00F6012E">
              <w:rPr>
                <w:rFonts w:cs="Arial"/>
                <w:bCs/>
                <w:i/>
                <w:iCs/>
                <w:sz w:val="20"/>
              </w:rPr>
              <w:t>whitmaei</w:t>
            </w:r>
            <w:proofErr w:type="spellEnd"/>
            <w:r w:rsidR="00F6012E">
              <w:rPr>
                <w:rFonts w:cs="Arial"/>
                <w:bCs/>
                <w:sz w:val="20"/>
              </w:rPr>
              <w:t>)</w:t>
            </w:r>
            <w:r w:rsidR="00C44B81">
              <w:rPr>
                <w:rFonts w:cs="Arial"/>
                <w:bCs/>
                <w:sz w:val="20"/>
              </w:rPr>
              <w:t xml:space="preserve">, White </w:t>
            </w:r>
            <w:proofErr w:type="spellStart"/>
            <w:r w:rsidR="00C44B81">
              <w:rPr>
                <w:rFonts w:cs="Arial"/>
                <w:bCs/>
                <w:sz w:val="20"/>
              </w:rPr>
              <w:t>Teatfish</w:t>
            </w:r>
            <w:proofErr w:type="spellEnd"/>
            <w:r w:rsidR="008E5CD8">
              <w:rPr>
                <w:rFonts w:cs="Arial"/>
                <w:bCs/>
                <w:sz w:val="20"/>
              </w:rPr>
              <w:t xml:space="preserve"> (</w:t>
            </w:r>
            <w:r w:rsidR="008E5CD8">
              <w:rPr>
                <w:rFonts w:cs="Arial"/>
                <w:bCs/>
                <w:i/>
                <w:iCs/>
                <w:sz w:val="20"/>
              </w:rPr>
              <w:t xml:space="preserve">H. </w:t>
            </w:r>
            <w:proofErr w:type="spellStart"/>
            <w:r w:rsidR="008E5CD8" w:rsidRPr="008E5CD8">
              <w:rPr>
                <w:rFonts w:cs="Arial"/>
                <w:bCs/>
                <w:i/>
                <w:iCs/>
                <w:sz w:val="20"/>
              </w:rPr>
              <w:t>fuscogilva</w:t>
            </w:r>
            <w:proofErr w:type="spellEnd"/>
            <w:r w:rsidR="008E5CD8">
              <w:rPr>
                <w:rFonts w:cs="Arial"/>
                <w:bCs/>
                <w:sz w:val="20"/>
              </w:rPr>
              <w:t>)</w:t>
            </w:r>
            <w:r w:rsidR="00C44B81">
              <w:rPr>
                <w:rFonts w:cs="Arial"/>
                <w:bCs/>
                <w:sz w:val="20"/>
              </w:rPr>
              <w:t xml:space="preserve"> and Burrowing Blackfish</w:t>
            </w:r>
            <w:r w:rsidR="008E5CD8">
              <w:rPr>
                <w:rFonts w:cs="Arial"/>
                <w:bCs/>
                <w:sz w:val="20"/>
              </w:rPr>
              <w:t xml:space="preserve"> (</w:t>
            </w:r>
            <w:proofErr w:type="spellStart"/>
            <w:r w:rsidR="004D0BB7" w:rsidRPr="004D0BB7">
              <w:rPr>
                <w:rFonts w:cs="Arial"/>
                <w:bCs/>
                <w:i/>
                <w:iCs/>
                <w:sz w:val="20"/>
              </w:rPr>
              <w:t>Actinopyga</w:t>
            </w:r>
            <w:proofErr w:type="spellEnd"/>
            <w:r w:rsidR="004D0BB7" w:rsidRPr="004D0BB7">
              <w:rPr>
                <w:rFonts w:cs="Arial"/>
                <w:bCs/>
                <w:i/>
                <w:iCs/>
                <w:sz w:val="20"/>
              </w:rPr>
              <w:t xml:space="preserve"> </w:t>
            </w:r>
            <w:proofErr w:type="spellStart"/>
            <w:r w:rsidR="004D0BB7" w:rsidRPr="004D0BB7">
              <w:rPr>
                <w:rFonts w:cs="Arial"/>
                <w:bCs/>
                <w:i/>
                <w:iCs/>
                <w:sz w:val="20"/>
              </w:rPr>
              <w:t>spinea</w:t>
            </w:r>
            <w:proofErr w:type="spellEnd"/>
            <w:r w:rsidR="004D0BB7">
              <w:rPr>
                <w:rFonts w:cs="Arial"/>
                <w:bCs/>
                <w:sz w:val="20"/>
              </w:rPr>
              <w:t>).</w:t>
            </w:r>
            <w:r w:rsidR="00C44B81">
              <w:rPr>
                <w:rFonts w:cs="Arial"/>
                <w:bCs/>
                <w:sz w:val="20"/>
              </w:rPr>
              <w:t xml:space="preserve"> </w:t>
            </w:r>
            <w:r w:rsidR="00774D93">
              <w:rPr>
                <w:rFonts w:cs="Arial"/>
                <w:bCs/>
                <w:sz w:val="20"/>
              </w:rPr>
              <w:t>For these species there is a</w:t>
            </w:r>
            <w:r w:rsidR="009C4C49">
              <w:rPr>
                <w:rFonts w:cs="Arial"/>
                <w:bCs/>
                <w:sz w:val="20"/>
              </w:rPr>
              <w:t xml:space="preserve"> biomass target in place for target stocks set at 60% of unfished biomass. There is also a biomass limit in </w:t>
            </w:r>
            <w:r w:rsidR="008C1CBC">
              <w:rPr>
                <w:rFonts w:cs="Arial"/>
                <w:bCs/>
                <w:sz w:val="20"/>
              </w:rPr>
              <w:t xml:space="preserve">place </w:t>
            </w:r>
            <w:r w:rsidR="009B64B5">
              <w:rPr>
                <w:rFonts w:cs="Arial"/>
                <w:bCs/>
                <w:sz w:val="20"/>
              </w:rPr>
              <w:t>of</w:t>
            </w:r>
            <w:r w:rsidR="009C4C49">
              <w:rPr>
                <w:rFonts w:cs="Arial"/>
                <w:bCs/>
                <w:sz w:val="20"/>
              </w:rPr>
              <w:t xml:space="preserve"> 20% of unfished biomass, which if reached would lead to cessation of harvest. </w:t>
            </w:r>
            <w:r w:rsidR="00D76ADB">
              <w:rPr>
                <w:rFonts w:cs="Arial"/>
                <w:bCs/>
                <w:sz w:val="20"/>
              </w:rPr>
              <w:t>While th</w:t>
            </w:r>
            <w:r w:rsidR="008215D1">
              <w:rPr>
                <w:rFonts w:cs="Arial"/>
                <w:bCs/>
                <w:sz w:val="20"/>
              </w:rPr>
              <w:t>is approach is a</w:t>
            </w:r>
            <w:r w:rsidR="00D76ADB">
              <w:rPr>
                <w:rFonts w:cs="Arial"/>
                <w:bCs/>
                <w:sz w:val="20"/>
              </w:rPr>
              <w:t xml:space="preserve"> p</w:t>
            </w:r>
            <w:r w:rsidR="009C4C49">
              <w:rPr>
                <w:rFonts w:cs="Arial"/>
                <w:bCs/>
                <w:sz w:val="20"/>
              </w:rPr>
              <w:t>ositive improvement in the</w:t>
            </w:r>
            <w:r w:rsidR="00D76ADB">
              <w:rPr>
                <w:rFonts w:cs="Arial"/>
                <w:bCs/>
                <w:sz w:val="20"/>
              </w:rPr>
              <w:t xml:space="preserve"> </w:t>
            </w:r>
            <w:r w:rsidR="00D905C6">
              <w:rPr>
                <w:rFonts w:cs="Arial"/>
                <w:bCs/>
                <w:sz w:val="20"/>
              </w:rPr>
              <w:t>strategic management</w:t>
            </w:r>
            <w:r w:rsidR="009C4C49">
              <w:rPr>
                <w:rFonts w:cs="Arial"/>
                <w:bCs/>
                <w:sz w:val="20"/>
              </w:rPr>
              <w:t xml:space="preserve"> of the fishery</w:t>
            </w:r>
            <w:r w:rsidR="008215D1">
              <w:rPr>
                <w:rFonts w:cs="Arial"/>
                <w:bCs/>
                <w:sz w:val="20"/>
              </w:rPr>
              <w:t xml:space="preserve">, there are concerns about the stock assessments </w:t>
            </w:r>
            <w:r w:rsidR="00641148">
              <w:rPr>
                <w:rFonts w:cs="Arial"/>
                <w:bCs/>
                <w:sz w:val="20"/>
              </w:rPr>
              <w:t xml:space="preserve">used to determine the current biomass of each stock and the appropriateness of the </w:t>
            </w:r>
            <w:r w:rsidR="00815C70">
              <w:rPr>
                <w:rFonts w:cs="Arial"/>
                <w:bCs/>
                <w:sz w:val="20"/>
              </w:rPr>
              <w:t xml:space="preserve">20% biomass limit. </w:t>
            </w:r>
          </w:p>
          <w:p w14:paraId="7859B109" w14:textId="25B5F026" w:rsidR="007025C9" w:rsidRDefault="007025C9" w:rsidP="007025C9">
            <w:pPr>
              <w:pStyle w:val="BodyText1"/>
              <w:spacing w:before="60" w:after="60" w:line="276" w:lineRule="auto"/>
              <w:jc w:val="left"/>
              <w:rPr>
                <w:rFonts w:cs="Arial"/>
                <w:bCs/>
                <w:sz w:val="20"/>
              </w:rPr>
            </w:pPr>
            <w:r>
              <w:rPr>
                <w:rFonts w:cs="Arial"/>
                <w:bCs/>
                <w:sz w:val="20"/>
              </w:rPr>
              <w:t>The biomass target of 60% and biomass limit of 20% of unfished biomass reflect the</w:t>
            </w:r>
            <w:r w:rsidR="00270F17">
              <w:rPr>
                <w:rFonts w:cs="Arial"/>
                <w:bCs/>
                <w:sz w:val="20"/>
              </w:rPr>
              <w:t xml:space="preserve"> default in the</w:t>
            </w:r>
            <w:r>
              <w:rPr>
                <w:rFonts w:cs="Arial"/>
                <w:bCs/>
                <w:sz w:val="20"/>
              </w:rPr>
              <w:t xml:space="preserve"> </w:t>
            </w:r>
            <w:r w:rsidR="00270F17">
              <w:rPr>
                <w:rFonts w:cs="Arial"/>
                <w:bCs/>
                <w:sz w:val="20"/>
              </w:rPr>
              <w:t xml:space="preserve">Queensland and </w:t>
            </w:r>
            <w:r>
              <w:rPr>
                <w:rFonts w:cs="Arial"/>
                <w:bCs/>
                <w:sz w:val="20"/>
              </w:rPr>
              <w:t>Commonwealth Fisheries Harvest Strategy Polic</w:t>
            </w:r>
            <w:r w:rsidR="00270F17">
              <w:rPr>
                <w:rFonts w:cs="Arial"/>
                <w:bCs/>
                <w:sz w:val="20"/>
              </w:rPr>
              <w:t>ies</w:t>
            </w:r>
            <w:r>
              <w:rPr>
                <w:rFonts w:cs="Arial"/>
                <w:bCs/>
                <w:sz w:val="20"/>
              </w:rPr>
              <w:t xml:space="preserve">. </w:t>
            </w:r>
            <w:r w:rsidR="00270F17">
              <w:rPr>
                <w:rFonts w:cs="Arial"/>
                <w:bCs/>
                <w:sz w:val="20"/>
              </w:rPr>
              <w:t xml:space="preserve">However, </w:t>
            </w:r>
            <w:r w:rsidR="008F443B">
              <w:rPr>
                <w:rFonts w:cs="Arial"/>
                <w:bCs/>
                <w:sz w:val="20"/>
              </w:rPr>
              <w:t xml:space="preserve">the </w:t>
            </w:r>
            <w:r w:rsidR="00270F17">
              <w:rPr>
                <w:rFonts w:cs="Arial"/>
                <w:bCs/>
                <w:sz w:val="20"/>
              </w:rPr>
              <w:t>policies</w:t>
            </w:r>
            <w:r>
              <w:rPr>
                <w:rFonts w:cs="Arial"/>
                <w:bCs/>
                <w:sz w:val="20"/>
              </w:rPr>
              <w:t xml:space="preserve"> recognise that an appropriate biomass limit may vary between species due to biological characteristics. </w:t>
            </w:r>
            <w:r w:rsidR="00270F17">
              <w:rPr>
                <w:rFonts w:cs="Arial"/>
                <w:bCs/>
                <w:sz w:val="20"/>
              </w:rPr>
              <w:t>For t</w:t>
            </w:r>
            <w:r>
              <w:rPr>
                <w:rFonts w:cs="Arial"/>
                <w:bCs/>
                <w:sz w:val="20"/>
              </w:rPr>
              <w:t xml:space="preserve">he Torres Strait </w:t>
            </w:r>
            <w:proofErr w:type="spellStart"/>
            <w:r>
              <w:rPr>
                <w:rFonts w:cs="Arial"/>
                <w:bCs/>
                <w:sz w:val="20"/>
              </w:rPr>
              <w:t>Beche</w:t>
            </w:r>
            <w:proofErr w:type="spellEnd"/>
            <w:r>
              <w:rPr>
                <w:rFonts w:cs="Arial"/>
                <w:bCs/>
                <w:sz w:val="20"/>
              </w:rPr>
              <w:t>-de-</w:t>
            </w:r>
            <w:proofErr w:type="spellStart"/>
            <w:r>
              <w:rPr>
                <w:rFonts w:cs="Arial"/>
                <w:bCs/>
                <w:sz w:val="20"/>
              </w:rPr>
              <w:t>mer</w:t>
            </w:r>
            <w:proofErr w:type="spellEnd"/>
            <w:r>
              <w:rPr>
                <w:rFonts w:cs="Arial"/>
                <w:bCs/>
                <w:sz w:val="20"/>
              </w:rPr>
              <w:t xml:space="preserve"> Fishery</w:t>
            </w:r>
            <w:r w:rsidR="00270F17">
              <w:rPr>
                <w:rFonts w:cs="Arial"/>
                <w:bCs/>
                <w:sz w:val="20"/>
              </w:rPr>
              <w:t>,</w:t>
            </w:r>
            <w:r>
              <w:rPr>
                <w:rFonts w:cs="Arial"/>
                <w:bCs/>
                <w:sz w:val="20"/>
              </w:rPr>
              <w:t xml:space="preserve"> </w:t>
            </w:r>
            <w:r w:rsidR="00270F17">
              <w:rPr>
                <w:rFonts w:cs="Arial"/>
                <w:bCs/>
                <w:sz w:val="20"/>
              </w:rPr>
              <w:t xml:space="preserve">the Harvest Strategy </w:t>
            </w:r>
            <w:r>
              <w:rPr>
                <w:rFonts w:cs="Arial"/>
                <w:bCs/>
                <w:sz w:val="20"/>
              </w:rPr>
              <w:t xml:space="preserve">uses a biomass limit of 40% unfished biomass recognising the density dependent reproductive biology of sea cucumbers requires a more precautionary limit. The Torres Strait </w:t>
            </w:r>
            <w:proofErr w:type="spellStart"/>
            <w:r>
              <w:rPr>
                <w:rFonts w:cs="Arial"/>
                <w:bCs/>
                <w:sz w:val="20"/>
              </w:rPr>
              <w:t>Beche</w:t>
            </w:r>
            <w:proofErr w:type="spellEnd"/>
            <w:r>
              <w:rPr>
                <w:rFonts w:cs="Arial"/>
                <w:bCs/>
                <w:sz w:val="20"/>
              </w:rPr>
              <w:t>-de-</w:t>
            </w:r>
            <w:proofErr w:type="spellStart"/>
            <w:r>
              <w:rPr>
                <w:rFonts w:cs="Arial"/>
                <w:bCs/>
                <w:sz w:val="20"/>
              </w:rPr>
              <w:t>mer</w:t>
            </w:r>
            <w:proofErr w:type="spellEnd"/>
            <w:r>
              <w:rPr>
                <w:rFonts w:cs="Arial"/>
                <w:bCs/>
                <w:sz w:val="20"/>
              </w:rPr>
              <w:t xml:space="preserve"> Fishery is managed by the Protected Zone Joint Authority </w:t>
            </w:r>
            <w:r w:rsidR="009A5685">
              <w:rPr>
                <w:rFonts w:cs="Arial"/>
                <w:bCs/>
                <w:sz w:val="20"/>
              </w:rPr>
              <w:t xml:space="preserve">which </w:t>
            </w:r>
            <w:r w:rsidR="00270F17">
              <w:rPr>
                <w:rFonts w:cs="Arial"/>
                <w:bCs/>
                <w:sz w:val="20"/>
              </w:rPr>
              <w:t>comprise</w:t>
            </w:r>
            <w:r>
              <w:rPr>
                <w:rFonts w:cs="Arial"/>
                <w:bCs/>
                <w:sz w:val="20"/>
              </w:rPr>
              <w:t xml:space="preserve">s the Qld </w:t>
            </w:r>
            <w:r w:rsidR="00270F17">
              <w:rPr>
                <w:rFonts w:cs="Arial"/>
                <w:bCs/>
                <w:sz w:val="20"/>
              </w:rPr>
              <w:t xml:space="preserve">and Commonwealth </w:t>
            </w:r>
            <w:r w:rsidR="005B4E2F">
              <w:rPr>
                <w:rFonts w:cs="Arial"/>
                <w:bCs/>
                <w:sz w:val="20"/>
              </w:rPr>
              <w:t>m</w:t>
            </w:r>
            <w:r>
              <w:rPr>
                <w:rFonts w:cs="Arial"/>
                <w:bCs/>
                <w:sz w:val="20"/>
              </w:rPr>
              <w:t>inister</w:t>
            </w:r>
            <w:r w:rsidR="00270F17">
              <w:rPr>
                <w:rFonts w:cs="Arial"/>
                <w:bCs/>
                <w:sz w:val="20"/>
              </w:rPr>
              <w:t>s with responsibility</w:t>
            </w:r>
            <w:r>
              <w:rPr>
                <w:rFonts w:cs="Arial"/>
                <w:bCs/>
                <w:sz w:val="20"/>
              </w:rPr>
              <w:t xml:space="preserve"> for</w:t>
            </w:r>
            <w:r w:rsidDel="00270F17">
              <w:rPr>
                <w:rFonts w:cs="Arial"/>
                <w:bCs/>
                <w:sz w:val="20"/>
              </w:rPr>
              <w:t xml:space="preserve"> </w:t>
            </w:r>
            <w:r w:rsidR="005B4E2F">
              <w:rPr>
                <w:rFonts w:cs="Arial"/>
                <w:bCs/>
                <w:sz w:val="20"/>
              </w:rPr>
              <w:t>f</w:t>
            </w:r>
            <w:r>
              <w:rPr>
                <w:rFonts w:cs="Arial"/>
                <w:bCs/>
                <w:sz w:val="20"/>
              </w:rPr>
              <w:t>isheries</w:t>
            </w:r>
            <w:r w:rsidR="00270F17">
              <w:rPr>
                <w:rFonts w:cs="Arial"/>
                <w:bCs/>
                <w:sz w:val="20"/>
              </w:rPr>
              <w:t xml:space="preserve"> and the Chairperson of the Torres Strait Regional Authority</w:t>
            </w:r>
            <w:r>
              <w:rPr>
                <w:rFonts w:cs="Arial"/>
                <w:bCs/>
                <w:sz w:val="20"/>
              </w:rPr>
              <w:t xml:space="preserve">. It </w:t>
            </w:r>
            <w:r w:rsidR="00DD4065">
              <w:rPr>
                <w:rFonts w:cs="Arial"/>
                <w:bCs/>
                <w:sz w:val="20"/>
              </w:rPr>
              <w:t xml:space="preserve">is </w:t>
            </w:r>
            <w:r>
              <w:rPr>
                <w:rFonts w:cs="Arial"/>
                <w:bCs/>
                <w:sz w:val="20"/>
              </w:rPr>
              <w:t>unclear why the more recently implemented Harvest Strategy in the</w:t>
            </w:r>
            <w:r w:rsidR="00B9451B">
              <w:rPr>
                <w:rFonts w:cs="Arial"/>
                <w:bCs/>
                <w:sz w:val="20"/>
              </w:rPr>
              <w:t xml:space="preserve"> f</w:t>
            </w:r>
            <w:r w:rsidR="00B9451B">
              <w:rPr>
                <w:bCs/>
                <w:sz w:val="20"/>
              </w:rPr>
              <w:t xml:space="preserve">ishery </w:t>
            </w:r>
            <w:r>
              <w:rPr>
                <w:rFonts w:cs="Arial"/>
                <w:bCs/>
                <w:sz w:val="20"/>
              </w:rPr>
              <w:t xml:space="preserve">includes a biomass limit that is less precautionary given these fisheries operate in </w:t>
            </w:r>
            <w:proofErr w:type="gramStart"/>
            <w:r>
              <w:rPr>
                <w:rFonts w:cs="Arial"/>
                <w:bCs/>
                <w:sz w:val="20"/>
              </w:rPr>
              <w:t>close proximity</w:t>
            </w:r>
            <w:proofErr w:type="gramEnd"/>
            <w:r>
              <w:rPr>
                <w:rFonts w:cs="Arial"/>
                <w:bCs/>
                <w:sz w:val="20"/>
              </w:rPr>
              <w:t xml:space="preserve"> and target many of the same species (and potentially the same stocks). </w:t>
            </w:r>
          </w:p>
          <w:p w14:paraId="19E70DDD" w14:textId="77777777" w:rsidR="007025C9" w:rsidRDefault="00815C70" w:rsidP="00B64E9F">
            <w:pPr>
              <w:pStyle w:val="BodyText1"/>
              <w:spacing w:before="60" w:after="60" w:line="276" w:lineRule="auto"/>
              <w:jc w:val="left"/>
              <w:rPr>
                <w:rFonts w:cs="Arial"/>
                <w:bCs/>
                <w:sz w:val="20"/>
              </w:rPr>
            </w:pPr>
            <w:r>
              <w:rPr>
                <w:rFonts w:cs="Arial"/>
                <w:bCs/>
                <w:sz w:val="20"/>
              </w:rPr>
              <w:t xml:space="preserve">Stock assessments have recently been completed </w:t>
            </w:r>
            <w:r w:rsidR="0022174E">
              <w:rPr>
                <w:rFonts w:cs="Arial"/>
                <w:bCs/>
                <w:sz w:val="20"/>
              </w:rPr>
              <w:t xml:space="preserve">for Black </w:t>
            </w:r>
            <w:proofErr w:type="spellStart"/>
            <w:r w:rsidR="0022174E">
              <w:rPr>
                <w:rFonts w:cs="Arial"/>
                <w:bCs/>
                <w:sz w:val="20"/>
              </w:rPr>
              <w:t>Teatfish</w:t>
            </w:r>
            <w:proofErr w:type="spellEnd"/>
            <w:r w:rsidR="0022174E">
              <w:rPr>
                <w:rFonts w:cs="Arial"/>
                <w:bCs/>
                <w:sz w:val="20"/>
              </w:rPr>
              <w:t xml:space="preserve"> and White </w:t>
            </w:r>
            <w:proofErr w:type="spellStart"/>
            <w:r w:rsidR="0022174E">
              <w:rPr>
                <w:rFonts w:cs="Arial"/>
                <w:bCs/>
                <w:sz w:val="20"/>
              </w:rPr>
              <w:t>Teatfish</w:t>
            </w:r>
            <w:proofErr w:type="spellEnd"/>
            <w:r w:rsidR="0022174E">
              <w:rPr>
                <w:rFonts w:cs="Arial"/>
                <w:bCs/>
                <w:sz w:val="20"/>
              </w:rPr>
              <w:t xml:space="preserve">. The stock assessment for White </w:t>
            </w:r>
            <w:proofErr w:type="spellStart"/>
            <w:r w:rsidR="0022174E">
              <w:rPr>
                <w:rFonts w:cs="Arial"/>
                <w:bCs/>
                <w:sz w:val="20"/>
              </w:rPr>
              <w:t>Teatfish</w:t>
            </w:r>
            <w:proofErr w:type="spellEnd"/>
            <w:r w:rsidR="0022174E">
              <w:rPr>
                <w:rFonts w:cs="Arial"/>
                <w:bCs/>
                <w:sz w:val="20"/>
              </w:rPr>
              <w:t xml:space="preserve"> indicated a modelled </w:t>
            </w:r>
            <w:r w:rsidR="00600800">
              <w:rPr>
                <w:rFonts w:cs="Arial"/>
                <w:bCs/>
                <w:sz w:val="20"/>
              </w:rPr>
              <w:t xml:space="preserve">exploitable biomass of </w:t>
            </w:r>
            <w:r w:rsidR="00C72ACC">
              <w:rPr>
                <w:rFonts w:cs="Arial"/>
                <w:bCs/>
                <w:sz w:val="20"/>
              </w:rPr>
              <w:t>76% of unfished levels. Concerns have been raised about the accuracy</w:t>
            </w:r>
            <w:r w:rsidR="00386B09">
              <w:rPr>
                <w:rFonts w:cs="Arial"/>
                <w:bCs/>
                <w:sz w:val="20"/>
              </w:rPr>
              <w:t xml:space="preserve"> of the assessment</w:t>
            </w:r>
            <w:r w:rsidR="00C72ACC">
              <w:rPr>
                <w:rFonts w:cs="Arial"/>
                <w:bCs/>
                <w:sz w:val="20"/>
              </w:rPr>
              <w:t xml:space="preserve"> </w:t>
            </w:r>
            <w:r w:rsidR="00630C9F">
              <w:rPr>
                <w:rFonts w:cs="Arial"/>
                <w:bCs/>
                <w:sz w:val="20"/>
              </w:rPr>
              <w:t xml:space="preserve">as it is based on catch data </w:t>
            </w:r>
            <w:r w:rsidR="00F13D35">
              <w:rPr>
                <w:rFonts w:cs="Arial"/>
                <w:bCs/>
                <w:sz w:val="20"/>
              </w:rPr>
              <w:t xml:space="preserve">rather than survey data. </w:t>
            </w:r>
            <w:r w:rsidR="004C0DEC">
              <w:rPr>
                <w:rFonts w:cs="Arial"/>
                <w:bCs/>
                <w:sz w:val="20"/>
              </w:rPr>
              <w:t xml:space="preserve">There are potential issues </w:t>
            </w:r>
            <w:r w:rsidR="00386B09">
              <w:rPr>
                <w:rFonts w:cs="Arial"/>
                <w:bCs/>
                <w:sz w:val="20"/>
              </w:rPr>
              <w:t>acknowledged</w:t>
            </w:r>
            <w:r w:rsidR="004C0DEC">
              <w:rPr>
                <w:rFonts w:cs="Arial"/>
                <w:bCs/>
                <w:sz w:val="20"/>
              </w:rPr>
              <w:t xml:space="preserve"> in the report of Catch Per Unit Effort </w:t>
            </w:r>
            <w:r w:rsidR="00D863FB">
              <w:rPr>
                <w:rFonts w:cs="Arial"/>
                <w:bCs/>
                <w:sz w:val="20"/>
              </w:rPr>
              <w:t xml:space="preserve">not necessarily reflecting </w:t>
            </w:r>
            <w:r w:rsidR="00386B09">
              <w:rPr>
                <w:rFonts w:cs="Arial"/>
                <w:bCs/>
                <w:sz w:val="20"/>
              </w:rPr>
              <w:t>changes in the abundance of stocks and no surveys</w:t>
            </w:r>
            <w:r w:rsidR="00543BF2">
              <w:rPr>
                <w:rFonts w:cs="Arial"/>
                <w:bCs/>
                <w:sz w:val="20"/>
              </w:rPr>
              <w:t xml:space="preserve"> of White </w:t>
            </w:r>
            <w:proofErr w:type="spellStart"/>
            <w:r w:rsidR="00543BF2">
              <w:rPr>
                <w:rFonts w:cs="Arial"/>
                <w:bCs/>
                <w:sz w:val="20"/>
              </w:rPr>
              <w:t>Teatfish</w:t>
            </w:r>
            <w:proofErr w:type="spellEnd"/>
            <w:r w:rsidR="00386B09">
              <w:rPr>
                <w:rFonts w:cs="Arial"/>
                <w:bCs/>
                <w:sz w:val="20"/>
              </w:rPr>
              <w:t xml:space="preserve"> have been completed </w:t>
            </w:r>
            <w:r w:rsidR="00543BF2">
              <w:rPr>
                <w:rFonts w:cs="Arial"/>
                <w:bCs/>
                <w:sz w:val="20"/>
              </w:rPr>
              <w:t xml:space="preserve">in the fishery. </w:t>
            </w:r>
          </w:p>
          <w:p w14:paraId="68441093" w14:textId="35CF89D2" w:rsidR="007025C9" w:rsidRDefault="007025C9" w:rsidP="00B64E9F">
            <w:pPr>
              <w:pStyle w:val="BodyText1"/>
              <w:spacing w:before="60" w:after="60" w:line="276" w:lineRule="auto"/>
              <w:jc w:val="left"/>
              <w:rPr>
                <w:rFonts w:cs="Arial"/>
                <w:bCs/>
                <w:sz w:val="20"/>
              </w:rPr>
            </w:pPr>
            <w:r>
              <w:rPr>
                <w:rFonts w:cs="Arial"/>
                <w:bCs/>
                <w:sz w:val="20"/>
              </w:rPr>
              <w:t xml:space="preserve">The stock assessment for Black </w:t>
            </w:r>
            <w:proofErr w:type="spellStart"/>
            <w:r>
              <w:rPr>
                <w:rFonts w:cs="Arial"/>
                <w:bCs/>
                <w:sz w:val="20"/>
              </w:rPr>
              <w:t>Teatfish</w:t>
            </w:r>
            <w:proofErr w:type="spellEnd"/>
            <w:r>
              <w:rPr>
                <w:rFonts w:cs="Arial"/>
                <w:bCs/>
                <w:sz w:val="20"/>
              </w:rPr>
              <w:t xml:space="preserve"> indicated the stock is between 40-42% of unfished biomass. Harvest of Black </w:t>
            </w:r>
            <w:proofErr w:type="spellStart"/>
            <w:r>
              <w:rPr>
                <w:rFonts w:cs="Arial"/>
                <w:bCs/>
                <w:sz w:val="20"/>
              </w:rPr>
              <w:t>Teatfish</w:t>
            </w:r>
            <w:proofErr w:type="spellEnd"/>
            <w:r>
              <w:rPr>
                <w:rFonts w:cs="Arial"/>
                <w:bCs/>
                <w:sz w:val="20"/>
              </w:rPr>
              <w:t xml:space="preserve"> resumed in 201</w:t>
            </w:r>
            <w:r w:rsidR="00302AD6">
              <w:rPr>
                <w:rFonts w:cs="Arial"/>
                <w:bCs/>
                <w:sz w:val="20"/>
              </w:rPr>
              <w:t>9</w:t>
            </w:r>
            <w:r>
              <w:rPr>
                <w:rFonts w:cs="Arial"/>
                <w:bCs/>
                <w:sz w:val="20"/>
              </w:rPr>
              <w:t xml:space="preserve"> after </w:t>
            </w:r>
            <w:r w:rsidR="00302AD6">
              <w:rPr>
                <w:rFonts w:cs="Arial"/>
                <w:bCs/>
                <w:sz w:val="20"/>
              </w:rPr>
              <w:t xml:space="preserve">a </w:t>
            </w:r>
            <w:r w:rsidR="00DD4065">
              <w:rPr>
                <w:rFonts w:cs="Arial"/>
                <w:bCs/>
                <w:sz w:val="20"/>
              </w:rPr>
              <w:t>20-year</w:t>
            </w:r>
            <w:r>
              <w:rPr>
                <w:rFonts w:cs="Arial"/>
                <w:bCs/>
                <w:sz w:val="20"/>
              </w:rPr>
              <w:t xml:space="preserve"> closure</w:t>
            </w:r>
            <w:r w:rsidR="00302AD6">
              <w:rPr>
                <w:rFonts w:cs="Arial"/>
                <w:bCs/>
                <w:sz w:val="20"/>
              </w:rPr>
              <w:t xml:space="preserve"> due concerns that the stock was deplete</w:t>
            </w:r>
            <w:r w:rsidR="008B6214">
              <w:rPr>
                <w:rFonts w:cs="Arial"/>
                <w:bCs/>
                <w:sz w:val="20"/>
              </w:rPr>
              <w:t>d</w:t>
            </w:r>
            <w:r>
              <w:rPr>
                <w:rFonts w:cs="Arial"/>
                <w:bCs/>
                <w:sz w:val="20"/>
              </w:rPr>
              <w:t xml:space="preserve">. </w:t>
            </w:r>
            <w:r w:rsidR="00302AD6">
              <w:rPr>
                <w:rFonts w:cs="Arial"/>
                <w:bCs/>
                <w:sz w:val="20"/>
              </w:rPr>
              <w:t xml:space="preserve">There have been multiple surveys </w:t>
            </w:r>
            <w:r w:rsidR="002255B0">
              <w:rPr>
                <w:rFonts w:cs="Arial"/>
                <w:bCs/>
                <w:sz w:val="20"/>
              </w:rPr>
              <w:t xml:space="preserve">including </w:t>
            </w:r>
            <w:r w:rsidR="00302AD6">
              <w:rPr>
                <w:rFonts w:cs="Arial"/>
                <w:bCs/>
                <w:sz w:val="20"/>
              </w:rPr>
              <w:t>in 1999, 2015 and 20</w:t>
            </w:r>
            <w:r w:rsidR="002255B0">
              <w:rPr>
                <w:rFonts w:cs="Arial"/>
                <w:bCs/>
                <w:sz w:val="20"/>
              </w:rPr>
              <w:t>2</w:t>
            </w:r>
            <w:r w:rsidR="00302AD6" w:rsidDel="002255B0">
              <w:rPr>
                <w:rFonts w:cs="Arial"/>
                <w:bCs/>
                <w:sz w:val="20"/>
              </w:rPr>
              <w:t>0</w:t>
            </w:r>
            <w:r w:rsidR="00302AD6">
              <w:rPr>
                <w:rFonts w:cs="Arial"/>
                <w:bCs/>
                <w:sz w:val="20"/>
              </w:rPr>
              <w:t xml:space="preserve"> which have all used different methodologies and surveyed different areas. If the population estimate from 1999 (indicating stocks at 45% unfished biomass) is compared to the stock assessment model (indicating stocks at 40-42% unfished biomass), there is no apparent recover</w:t>
            </w:r>
            <w:r w:rsidR="00C42B4A">
              <w:rPr>
                <w:rFonts w:cs="Arial"/>
                <w:bCs/>
                <w:sz w:val="20"/>
              </w:rPr>
              <w:t>y</w:t>
            </w:r>
            <w:r w:rsidR="00302AD6">
              <w:rPr>
                <w:rFonts w:cs="Arial"/>
                <w:bCs/>
                <w:sz w:val="20"/>
              </w:rPr>
              <w:t xml:space="preserve"> despite 20 years of no fishing. </w:t>
            </w:r>
            <w:r w:rsidR="002255B0">
              <w:rPr>
                <w:rFonts w:cs="Arial"/>
                <w:bCs/>
                <w:sz w:val="20"/>
              </w:rPr>
              <w:t xml:space="preserve">While this comparison may be simplistic as the two estimates relate to different periods and use very different </w:t>
            </w:r>
            <w:r w:rsidR="00AD07B5">
              <w:rPr>
                <w:rFonts w:cs="Arial"/>
                <w:bCs/>
                <w:sz w:val="20"/>
              </w:rPr>
              <w:t>methodolog</w:t>
            </w:r>
            <w:r w:rsidR="00B8392F">
              <w:rPr>
                <w:rFonts w:cs="Arial"/>
                <w:bCs/>
                <w:sz w:val="20"/>
              </w:rPr>
              <w:t>ies</w:t>
            </w:r>
            <w:r w:rsidR="002255B0">
              <w:rPr>
                <w:rFonts w:cs="Arial"/>
                <w:bCs/>
                <w:sz w:val="20"/>
              </w:rPr>
              <w:t xml:space="preserve">, this is the best information available at this </w:t>
            </w:r>
            <w:r w:rsidR="00AD07B5">
              <w:rPr>
                <w:rFonts w:cs="Arial"/>
                <w:bCs/>
                <w:sz w:val="20"/>
              </w:rPr>
              <w:t>time</w:t>
            </w:r>
            <w:r w:rsidR="002255B0">
              <w:rPr>
                <w:rFonts w:cs="Arial"/>
                <w:bCs/>
                <w:sz w:val="20"/>
              </w:rPr>
              <w:t xml:space="preserve">. </w:t>
            </w:r>
            <w:r w:rsidR="00302AD6">
              <w:rPr>
                <w:rFonts w:cs="Arial"/>
                <w:bCs/>
                <w:sz w:val="20"/>
              </w:rPr>
              <w:t xml:space="preserve">This </w:t>
            </w:r>
            <w:r w:rsidR="002255B0">
              <w:rPr>
                <w:rFonts w:cs="Arial"/>
                <w:bCs/>
                <w:sz w:val="20"/>
              </w:rPr>
              <w:t xml:space="preserve">information </w:t>
            </w:r>
            <w:r w:rsidR="002255B0">
              <w:rPr>
                <w:rFonts w:cs="Arial"/>
                <w:bCs/>
                <w:sz w:val="20"/>
              </w:rPr>
              <w:lastRenderedPageBreak/>
              <w:t xml:space="preserve">raises questions about any recovery following the long term </w:t>
            </w:r>
            <w:r w:rsidR="004B350A">
              <w:rPr>
                <w:rFonts w:cs="Arial"/>
                <w:bCs/>
                <w:sz w:val="20"/>
              </w:rPr>
              <w:t xml:space="preserve">Black </w:t>
            </w:r>
            <w:proofErr w:type="spellStart"/>
            <w:r w:rsidR="004B350A">
              <w:rPr>
                <w:rFonts w:cs="Arial"/>
                <w:bCs/>
                <w:sz w:val="20"/>
              </w:rPr>
              <w:t>Teatfish</w:t>
            </w:r>
            <w:proofErr w:type="spellEnd"/>
            <w:r w:rsidR="004B350A">
              <w:rPr>
                <w:rFonts w:cs="Arial"/>
                <w:bCs/>
                <w:sz w:val="20"/>
              </w:rPr>
              <w:t xml:space="preserve"> </w:t>
            </w:r>
            <w:r w:rsidR="002255B0">
              <w:rPr>
                <w:rFonts w:cs="Arial"/>
                <w:bCs/>
                <w:sz w:val="20"/>
              </w:rPr>
              <w:t>closure and may</w:t>
            </w:r>
            <w:r w:rsidR="00302AD6">
              <w:rPr>
                <w:rFonts w:cs="Arial"/>
                <w:bCs/>
                <w:sz w:val="20"/>
              </w:rPr>
              <w:t xml:space="preserve"> indicate that stock</w:t>
            </w:r>
            <w:r w:rsidR="00DD4065">
              <w:rPr>
                <w:rFonts w:cs="Arial"/>
                <w:bCs/>
                <w:sz w:val="20"/>
              </w:rPr>
              <w:t>s</w:t>
            </w:r>
            <w:r w:rsidR="00302AD6">
              <w:rPr>
                <w:rFonts w:cs="Arial"/>
                <w:bCs/>
                <w:sz w:val="20"/>
              </w:rPr>
              <w:t xml:space="preserve"> were depleted to a critical level prior to 1999. While there is considerable uncertainty regarding </w:t>
            </w:r>
            <w:r w:rsidR="00E12C93">
              <w:rPr>
                <w:rFonts w:cs="Arial"/>
                <w:bCs/>
                <w:sz w:val="20"/>
              </w:rPr>
              <w:t xml:space="preserve">survey data inputs there is not enough evidence to support and positive Non-Detriment Finding for Black </w:t>
            </w:r>
            <w:proofErr w:type="spellStart"/>
            <w:r w:rsidR="00E12C93">
              <w:rPr>
                <w:rFonts w:cs="Arial"/>
                <w:bCs/>
                <w:sz w:val="20"/>
              </w:rPr>
              <w:t>Teatfish</w:t>
            </w:r>
            <w:proofErr w:type="spellEnd"/>
            <w:r w:rsidR="00E12C93">
              <w:rPr>
                <w:rFonts w:cs="Arial"/>
                <w:bCs/>
                <w:sz w:val="20"/>
              </w:rPr>
              <w:t xml:space="preserve">. </w:t>
            </w:r>
            <w:r w:rsidR="00873B52">
              <w:rPr>
                <w:rFonts w:cs="Arial"/>
                <w:bCs/>
                <w:sz w:val="20"/>
              </w:rPr>
              <w:t xml:space="preserve">Stock assessment </w:t>
            </w:r>
            <w:r w:rsidR="007E208A">
              <w:rPr>
                <w:rFonts w:cs="Arial"/>
                <w:bCs/>
                <w:sz w:val="20"/>
              </w:rPr>
              <w:t>peer</w:t>
            </w:r>
            <w:r w:rsidR="00623450">
              <w:rPr>
                <w:rFonts w:cs="Arial"/>
                <w:bCs/>
                <w:sz w:val="20"/>
              </w:rPr>
              <w:t>-</w:t>
            </w:r>
            <w:r w:rsidR="00873B52">
              <w:rPr>
                <w:rFonts w:cs="Arial"/>
                <w:bCs/>
                <w:sz w:val="20"/>
              </w:rPr>
              <w:t>reviews and f</w:t>
            </w:r>
            <w:r w:rsidR="00E12C93">
              <w:rPr>
                <w:rFonts w:cs="Arial"/>
                <w:bCs/>
                <w:sz w:val="20"/>
              </w:rPr>
              <w:t>urther surveys providing new data may provide more certain</w:t>
            </w:r>
            <w:r w:rsidR="00873B52">
              <w:rPr>
                <w:rFonts w:cs="Arial"/>
                <w:bCs/>
                <w:sz w:val="20"/>
              </w:rPr>
              <w:t>t</w:t>
            </w:r>
            <w:r w:rsidR="00E12C93">
              <w:rPr>
                <w:rFonts w:cs="Arial"/>
                <w:bCs/>
                <w:sz w:val="20"/>
              </w:rPr>
              <w:t xml:space="preserve">y </w:t>
            </w:r>
            <w:r w:rsidR="00623450">
              <w:rPr>
                <w:rFonts w:cs="Arial"/>
                <w:bCs/>
                <w:sz w:val="20"/>
              </w:rPr>
              <w:t xml:space="preserve">on </w:t>
            </w:r>
            <w:r w:rsidR="00E12C93">
              <w:rPr>
                <w:rFonts w:cs="Arial"/>
                <w:bCs/>
                <w:sz w:val="20"/>
              </w:rPr>
              <w:t>s</w:t>
            </w:r>
            <w:r w:rsidR="00D76288">
              <w:rPr>
                <w:rFonts w:cs="Arial"/>
                <w:bCs/>
                <w:sz w:val="20"/>
              </w:rPr>
              <w:t>t</w:t>
            </w:r>
            <w:r w:rsidR="00E12C93">
              <w:rPr>
                <w:rFonts w:cs="Arial"/>
                <w:bCs/>
                <w:sz w:val="20"/>
              </w:rPr>
              <w:t xml:space="preserve">ock status allowing a decision to be made </w:t>
            </w:r>
            <w:r w:rsidR="008B655A">
              <w:rPr>
                <w:rFonts w:cs="Arial"/>
                <w:bCs/>
                <w:sz w:val="20"/>
              </w:rPr>
              <w:t xml:space="preserve">about potential future harvest of Black </w:t>
            </w:r>
            <w:proofErr w:type="spellStart"/>
            <w:r w:rsidR="008B655A">
              <w:rPr>
                <w:rFonts w:cs="Arial"/>
                <w:bCs/>
                <w:sz w:val="20"/>
              </w:rPr>
              <w:t>Teatfish</w:t>
            </w:r>
            <w:proofErr w:type="spellEnd"/>
            <w:r w:rsidR="00E12C93">
              <w:rPr>
                <w:rFonts w:cs="Arial"/>
                <w:bCs/>
                <w:sz w:val="20"/>
              </w:rPr>
              <w:t xml:space="preserve">. </w:t>
            </w:r>
            <w:r w:rsidR="00302AD6">
              <w:rPr>
                <w:rFonts w:cs="Arial"/>
                <w:bCs/>
                <w:sz w:val="20"/>
              </w:rPr>
              <w:t xml:space="preserve"> </w:t>
            </w:r>
          </w:p>
          <w:p w14:paraId="26697677" w14:textId="163CCF5E" w:rsidR="00815C70" w:rsidRDefault="00543BF2" w:rsidP="00B64E9F">
            <w:pPr>
              <w:pStyle w:val="BodyText1"/>
              <w:spacing w:before="60" w:after="60" w:line="276" w:lineRule="auto"/>
              <w:jc w:val="left"/>
              <w:rPr>
                <w:rFonts w:cs="Arial"/>
                <w:bCs/>
                <w:sz w:val="20"/>
              </w:rPr>
            </w:pPr>
            <w:r>
              <w:rPr>
                <w:rFonts w:cs="Arial"/>
                <w:bCs/>
                <w:sz w:val="20"/>
              </w:rPr>
              <w:t xml:space="preserve">There </w:t>
            </w:r>
            <w:r w:rsidR="002439DF">
              <w:rPr>
                <w:rFonts w:cs="Arial"/>
                <w:bCs/>
                <w:sz w:val="20"/>
              </w:rPr>
              <w:t>is currently no stock assessment in place for Burrowing Blackfish</w:t>
            </w:r>
            <w:r w:rsidR="00625BF6">
              <w:rPr>
                <w:rFonts w:cs="Arial"/>
                <w:bCs/>
                <w:sz w:val="20"/>
              </w:rPr>
              <w:t>, despite this species making up the approximately half the total harvest in the fishery by weight</w:t>
            </w:r>
            <w:r w:rsidR="002439DF">
              <w:rPr>
                <w:rFonts w:cs="Arial"/>
                <w:bCs/>
                <w:sz w:val="20"/>
              </w:rPr>
              <w:t xml:space="preserve">. </w:t>
            </w:r>
            <w:r w:rsidR="00C30302">
              <w:rPr>
                <w:rFonts w:cs="Arial"/>
                <w:bCs/>
                <w:sz w:val="20"/>
              </w:rPr>
              <w:t xml:space="preserve">It is unclear </w:t>
            </w:r>
            <w:r w:rsidR="00D37393">
              <w:rPr>
                <w:rFonts w:cs="Arial"/>
                <w:bCs/>
                <w:sz w:val="20"/>
              </w:rPr>
              <w:t xml:space="preserve">how </w:t>
            </w:r>
            <w:r w:rsidR="00C30302">
              <w:rPr>
                <w:rFonts w:cs="Arial"/>
                <w:bCs/>
                <w:sz w:val="20"/>
              </w:rPr>
              <w:t xml:space="preserve">a </w:t>
            </w:r>
            <w:r w:rsidR="00382C42">
              <w:rPr>
                <w:rFonts w:cs="Arial"/>
                <w:bCs/>
                <w:sz w:val="20"/>
              </w:rPr>
              <w:t>biomass-based</w:t>
            </w:r>
            <w:r w:rsidR="00D37393">
              <w:rPr>
                <w:rFonts w:cs="Arial"/>
                <w:bCs/>
                <w:sz w:val="20"/>
              </w:rPr>
              <w:t xml:space="preserve"> performance </w:t>
            </w:r>
            <w:r w:rsidR="00382C42">
              <w:rPr>
                <w:rFonts w:cs="Arial"/>
                <w:bCs/>
                <w:sz w:val="20"/>
              </w:rPr>
              <w:t xml:space="preserve">measure could effectively be applied to Burrowing Blackfish. </w:t>
            </w:r>
          </w:p>
          <w:p w14:paraId="460F5758" w14:textId="6DA5983E" w:rsidR="004E5812" w:rsidRDefault="004E5812" w:rsidP="00B64E9F">
            <w:pPr>
              <w:pStyle w:val="BodyText1"/>
              <w:spacing w:before="60" w:after="60" w:line="276" w:lineRule="auto"/>
              <w:jc w:val="left"/>
              <w:rPr>
                <w:rFonts w:cs="Arial"/>
                <w:bCs/>
                <w:sz w:val="20"/>
              </w:rPr>
            </w:pPr>
            <w:r>
              <w:rPr>
                <w:rFonts w:cs="Arial"/>
                <w:bCs/>
                <w:sz w:val="20"/>
              </w:rPr>
              <w:t xml:space="preserve">Tier 2 species are managed under species specific </w:t>
            </w:r>
            <w:r w:rsidR="00AD01BE">
              <w:rPr>
                <w:rFonts w:cs="Arial"/>
                <w:bCs/>
                <w:sz w:val="20"/>
              </w:rPr>
              <w:t>Total A</w:t>
            </w:r>
            <w:r w:rsidR="007F55FD">
              <w:rPr>
                <w:rFonts w:cs="Arial"/>
                <w:bCs/>
                <w:sz w:val="20"/>
              </w:rPr>
              <w:t>llowable Catch (</w:t>
            </w:r>
            <w:r>
              <w:rPr>
                <w:rFonts w:cs="Arial"/>
                <w:bCs/>
                <w:sz w:val="20"/>
              </w:rPr>
              <w:t>TAC</w:t>
            </w:r>
            <w:r w:rsidR="007F55FD">
              <w:rPr>
                <w:rFonts w:cs="Arial"/>
                <w:bCs/>
                <w:sz w:val="20"/>
              </w:rPr>
              <w:t>)</w:t>
            </w:r>
            <w:r>
              <w:rPr>
                <w:rFonts w:cs="Arial"/>
                <w:bCs/>
                <w:sz w:val="20"/>
              </w:rPr>
              <w:t xml:space="preserve"> harvest trigger limits. Th</w:t>
            </w:r>
            <w:r w:rsidR="00C80994">
              <w:rPr>
                <w:rFonts w:cs="Arial"/>
                <w:bCs/>
                <w:sz w:val="20"/>
              </w:rPr>
              <w:t xml:space="preserve">ere are no biomass </w:t>
            </w:r>
            <w:r w:rsidR="000438B5">
              <w:rPr>
                <w:rFonts w:cs="Arial"/>
                <w:bCs/>
                <w:sz w:val="20"/>
              </w:rPr>
              <w:t>estimates to confirm whether the</w:t>
            </w:r>
            <w:r w:rsidR="00FC7EAE">
              <w:rPr>
                <w:rFonts w:cs="Arial"/>
                <w:bCs/>
                <w:sz w:val="20"/>
              </w:rPr>
              <w:t>se</w:t>
            </w:r>
            <w:r w:rsidR="000438B5">
              <w:rPr>
                <w:rFonts w:cs="Arial"/>
                <w:bCs/>
                <w:sz w:val="20"/>
              </w:rPr>
              <w:t xml:space="preserve"> TAC</w:t>
            </w:r>
            <w:r w:rsidR="00B1731B">
              <w:rPr>
                <w:rFonts w:cs="Arial"/>
                <w:bCs/>
                <w:sz w:val="20"/>
              </w:rPr>
              <w:t>s</w:t>
            </w:r>
            <w:r w:rsidR="000438B5">
              <w:rPr>
                <w:rFonts w:cs="Arial"/>
                <w:bCs/>
                <w:sz w:val="20"/>
              </w:rPr>
              <w:t xml:space="preserve"> represent sustainable level</w:t>
            </w:r>
            <w:r w:rsidR="00FC7EAE">
              <w:rPr>
                <w:rFonts w:cs="Arial"/>
                <w:bCs/>
                <w:sz w:val="20"/>
              </w:rPr>
              <w:t>s</w:t>
            </w:r>
            <w:r w:rsidR="000438B5">
              <w:rPr>
                <w:rFonts w:cs="Arial"/>
                <w:bCs/>
                <w:sz w:val="20"/>
              </w:rPr>
              <w:t xml:space="preserve"> of harvest. </w:t>
            </w:r>
            <w:r w:rsidR="002323AD">
              <w:rPr>
                <w:rFonts w:cs="Arial"/>
                <w:bCs/>
                <w:sz w:val="20"/>
              </w:rPr>
              <w:t xml:space="preserve">The </w:t>
            </w:r>
            <w:r w:rsidR="00F6327D">
              <w:rPr>
                <w:rFonts w:cs="Arial"/>
                <w:bCs/>
                <w:sz w:val="20"/>
              </w:rPr>
              <w:t xml:space="preserve">Harvest Strategy indicates that stock status, length </w:t>
            </w:r>
            <w:r w:rsidR="00025991">
              <w:rPr>
                <w:rFonts w:cs="Arial"/>
                <w:bCs/>
                <w:sz w:val="20"/>
              </w:rPr>
              <w:t xml:space="preserve">frequency distributions, standardised commercial catch rates and total harvest will </w:t>
            </w:r>
            <w:r w:rsidR="0059374C">
              <w:rPr>
                <w:rFonts w:cs="Arial"/>
                <w:bCs/>
                <w:sz w:val="20"/>
              </w:rPr>
              <w:t xml:space="preserve">also be considered in assessing whether stocks are </w:t>
            </w:r>
            <w:r w:rsidR="008205A9">
              <w:rPr>
                <w:rFonts w:cs="Arial"/>
                <w:bCs/>
                <w:sz w:val="20"/>
              </w:rPr>
              <w:t xml:space="preserve">being managed </w:t>
            </w:r>
            <w:r w:rsidR="0000566E">
              <w:rPr>
                <w:rFonts w:cs="Arial"/>
                <w:bCs/>
                <w:sz w:val="20"/>
              </w:rPr>
              <w:t xml:space="preserve">appropriately. </w:t>
            </w:r>
            <w:r w:rsidR="008F0F3D">
              <w:rPr>
                <w:rFonts w:cs="Arial"/>
                <w:bCs/>
                <w:sz w:val="20"/>
              </w:rPr>
              <w:t>The H</w:t>
            </w:r>
            <w:r w:rsidR="00B072A9">
              <w:rPr>
                <w:rFonts w:cs="Arial"/>
                <w:bCs/>
                <w:sz w:val="20"/>
              </w:rPr>
              <w:t>arvest Strategy mentions that it aims to maintain these species at their target biomass</w:t>
            </w:r>
            <w:r w:rsidR="0007603B">
              <w:rPr>
                <w:rFonts w:cs="Arial"/>
                <w:bCs/>
                <w:sz w:val="20"/>
              </w:rPr>
              <w:t xml:space="preserve"> (maximum economic yield or 60% unfished biomass)</w:t>
            </w:r>
            <w:r w:rsidR="00B072A9">
              <w:rPr>
                <w:rFonts w:cs="Arial"/>
                <w:bCs/>
                <w:sz w:val="20"/>
              </w:rPr>
              <w:t xml:space="preserve"> but </w:t>
            </w:r>
            <w:r w:rsidR="00213380">
              <w:rPr>
                <w:rFonts w:cs="Arial"/>
                <w:bCs/>
                <w:sz w:val="20"/>
              </w:rPr>
              <w:t xml:space="preserve">the reference limits for these species are not linked to </w:t>
            </w:r>
            <w:r w:rsidR="004D3406">
              <w:rPr>
                <w:rFonts w:cs="Arial"/>
                <w:bCs/>
                <w:sz w:val="20"/>
              </w:rPr>
              <w:t>biological indicators such as exploitable biomass.</w:t>
            </w:r>
          </w:p>
          <w:p w14:paraId="02A23833" w14:textId="4C879330" w:rsidR="00C04F6E" w:rsidRDefault="00E41159" w:rsidP="00B64E9F">
            <w:pPr>
              <w:pStyle w:val="BodyText1"/>
              <w:spacing w:before="60" w:after="60" w:line="276" w:lineRule="auto"/>
              <w:jc w:val="left"/>
              <w:rPr>
                <w:rFonts w:cs="Arial"/>
                <w:bCs/>
                <w:sz w:val="20"/>
              </w:rPr>
            </w:pPr>
            <w:r>
              <w:rPr>
                <w:rFonts w:cs="Arial"/>
                <w:bCs/>
                <w:sz w:val="20"/>
              </w:rPr>
              <w:t>The harvest strategy indicates e</w:t>
            </w:r>
            <w:r w:rsidR="00646EFB">
              <w:rPr>
                <w:rFonts w:cs="Arial"/>
                <w:bCs/>
                <w:sz w:val="20"/>
              </w:rPr>
              <w:t>cological risks are identified during ERA</w:t>
            </w:r>
            <w:r w:rsidR="00B21ED6">
              <w:rPr>
                <w:rFonts w:cs="Arial"/>
                <w:bCs/>
                <w:sz w:val="20"/>
              </w:rPr>
              <w:t>s</w:t>
            </w:r>
            <w:r>
              <w:rPr>
                <w:rFonts w:cs="Arial"/>
                <w:bCs/>
                <w:sz w:val="20"/>
              </w:rPr>
              <w:t>. Any</w:t>
            </w:r>
            <w:r w:rsidR="00646EFB">
              <w:rPr>
                <w:rFonts w:cs="Arial"/>
                <w:bCs/>
                <w:sz w:val="20"/>
              </w:rPr>
              <w:t xml:space="preserve"> </w:t>
            </w:r>
            <w:r>
              <w:rPr>
                <w:rFonts w:cs="Arial"/>
                <w:bCs/>
                <w:sz w:val="20"/>
              </w:rPr>
              <w:t>issues identified with elevated risk scores are</w:t>
            </w:r>
            <w:r w:rsidR="00646EFB">
              <w:rPr>
                <w:rFonts w:cs="Arial"/>
                <w:bCs/>
                <w:sz w:val="20"/>
              </w:rPr>
              <w:t xml:space="preserve"> brought forward for review and investigation. </w:t>
            </w:r>
            <w:r>
              <w:rPr>
                <w:rFonts w:cs="Arial"/>
                <w:bCs/>
                <w:sz w:val="20"/>
              </w:rPr>
              <w:t>The</w:t>
            </w:r>
            <w:r w:rsidR="00646EFB">
              <w:rPr>
                <w:rFonts w:cs="Arial"/>
                <w:bCs/>
                <w:sz w:val="20"/>
              </w:rPr>
              <w:t xml:space="preserve"> investigation</w:t>
            </w:r>
            <w:r w:rsidR="00747E7F">
              <w:rPr>
                <w:rFonts w:cs="Arial"/>
                <w:bCs/>
                <w:sz w:val="20"/>
              </w:rPr>
              <w:t>s</w:t>
            </w:r>
            <w:r w:rsidR="00646EFB">
              <w:rPr>
                <w:rFonts w:cs="Arial"/>
                <w:bCs/>
                <w:sz w:val="20"/>
              </w:rPr>
              <w:t xml:space="preserve"> consider the reason for elevated risk and </w:t>
            </w:r>
            <w:r w:rsidR="007F0E9A">
              <w:rPr>
                <w:rFonts w:cs="Arial"/>
                <w:bCs/>
                <w:sz w:val="20"/>
              </w:rPr>
              <w:t xml:space="preserve">may recommend </w:t>
            </w:r>
            <w:r w:rsidR="00646EFB">
              <w:rPr>
                <w:rFonts w:cs="Arial"/>
                <w:bCs/>
                <w:sz w:val="20"/>
              </w:rPr>
              <w:t>appropriate management action to reduce the risk. There is also</w:t>
            </w:r>
            <w:r w:rsidR="009E42EB">
              <w:rPr>
                <w:rFonts w:cs="Arial"/>
                <w:bCs/>
                <w:sz w:val="20"/>
              </w:rPr>
              <w:t xml:space="preserve"> a management </w:t>
            </w:r>
            <w:r w:rsidR="00646EFB">
              <w:rPr>
                <w:rFonts w:cs="Arial"/>
                <w:bCs/>
                <w:sz w:val="20"/>
              </w:rPr>
              <w:t>measure</w:t>
            </w:r>
            <w:r w:rsidR="000F5245">
              <w:rPr>
                <w:rFonts w:cs="Arial"/>
                <w:bCs/>
                <w:sz w:val="20"/>
              </w:rPr>
              <w:t xml:space="preserve"> where</w:t>
            </w:r>
            <w:r w:rsidR="00646EFB">
              <w:rPr>
                <w:rFonts w:cs="Arial"/>
                <w:bCs/>
                <w:sz w:val="20"/>
              </w:rPr>
              <w:t xml:space="preserve">, in the event of a reef </w:t>
            </w:r>
            <w:r w:rsidR="00302A6B">
              <w:rPr>
                <w:rFonts w:cs="Arial"/>
                <w:bCs/>
                <w:sz w:val="20"/>
              </w:rPr>
              <w:t xml:space="preserve">health incident </w:t>
            </w:r>
            <w:r w:rsidR="00184055">
              <w:rPr>
                <w:rFonts w:cs="Arial"/>
                <w:bCs/>
                <w:sz w:val="20"/>
              </w:rPr>
              <w:t>(</w:t>
            </w:r>
            <w:r w:rsidR="005421DD">
              <w:rPr>
                <w:rFonts w:cs="Arial"/>
                <w:bCs/>
                <w:sz w:val="20"/>
              </w:rPr>
              <w:t>coral bleaching, cyclones etc.)</w:t>
            </w:r>
            <w:r w:rsidR="00646EFB">
              <w:rPr>
                <w:rFonts w:cs="Arial"/>
                <w:bCs/>
                <w:sz w:val="20"/>
              </w:rPr>
              <w:t xml:space="preserve">, management action can be put in place following a review led by the Great Barrier Reef Marine Park Authority. </w:t>
            </w:r>
            <w:r w:rsidR="00C310D2">
              <w:rPr>
                <w:rFonts w:cs="Arial"/>
                <w:bCs/>
                <w:sz w:val="20"/>
              </w:rPr>
              <w:t xml:space="preserve">Sea </w:t>
            </w:r>
            <w:r w:rsidR="00DD4065">
              <w:rPr>
                <w:rFonts w:cs="Arial"/>
                <w:bCs/>
                <w:sz w:val="20"/>
              </w:rPr>
              <w:t>cucumbers</w:t>
            </w:r>
            <w:r w:rsidR="00C310D2">
              <w:rPr>
                <w:rFonts w:cs="Arial"/>
                <w:bCs/>
                <w:sz w:val="20"/>
              </w:rPr>
              <w:t xml:space="preserve"> play an </w:t>
            </w:r>
            <w:r w:rsidR="00C310D2" w:rsidRPr="00EB6CFB">
              <w:rPr>
                <w:rFonts w:cs="Arial"/>
                <w:bCs/>
                <w:sz w:val="20"/>
              </w:rPr>
              <w:t>important ecological r</w:t>
            </w:r>
            <w:r w:rsidR="00C310D2" w:rsidRPr="00C310D2">
              <w:rPr>
                <w:rFonts w:cs="Arial"/>
                <w:bCs/>
                <w:sz w:val="20"/>
              </w:rPr>
              <w:t>ole</w:t>
            </w:r>
            <w:r w:rsidR="00E04EC0">
              <w:rPr>
                <w:rFonts w:cs="Arial"/>
                <w:bCs/>
                <w:sz w:val="20"/>
              </w:rPr>
              <w:t xml:space="preserve"> in the greater reef ec</w:t>
            </w:r>
            <w:r w:rsidR="00F9167B">
              <w:rPr>
                <w:rFonts w:cs="Arial"/>
                <w:bCs/>
                <w:sz w:val="20"/>
              </w:rPr>
              <w:t>osystem</w:t>
            </w:r>
            <w:r w:rsidR="00442024">
              <w:rPr>
                <w:rFonts w:cs="Arial"/>
                <w:bCs/>
                <w:sz w:val="20"/>
              </w:rPr>
              <w:t>, cycling nutrient</w:t>
            </w:r>
            <w:r w:rsidR="00B10172">
              <w:rPr>
                <w:rFonts w:cs="Arial"/>
                <w:bCs/>
                <w:sz w:val="20"/>
              </w:rPr>
              <w:t>s</w:t>
            </w:r>
            <w:r w:rsidR="00442024">
              <w:rPr>
                <w:rFonts w:cs="Arial"/>
                <w:bCs/>
                <w:sz w:val="20"/>
              </w:rPr>
              <w:t xml:space="preserve"> and </w:t>
            </w:r>
            <w:r w:rsidR="00CD4F5E">
              <w:rPr>
                <w:rFonts w:cs="Arial"/>
                <w:bCs/>
                <w:sz w:val="20"/>
              </w:rPr>
              <w:t>maintaining</w:t>
            </w:r>
            <w:r w:rsidR="00442024">
              <w:rPr>
                <w:rFonts w:cs="Arial"/>
                <w:bCs/>
                <w:sz w:val="20"/>
              </w:rPr>
              <w:t xml:space="preserve"> the health and productivity of sediment hab</w:t>
            </w:r>
            <w:r w:rsidR="00CD4F5E">
              <w:rPr>
                <w:rFonts w:cs="Arial"/>
                <w:bCs/>
                <w:sz w:val="20"/>
              </w:rPr>
              <w:t xml:space="preserve">itats. </w:t>
            </w:r>
            <w:r w:rsidR="001079A7">
              <w:rPr>
                <w:rFonts w:cs="Arial"/>
                <w:bCs/>
                <w:sz w:val="20"/>
              </w:rPr>
              <w:t>It is concerning that there</w:t>
            </w:r>
            <w:r w:rsidR="00142B3D">
              <w:rPr>
                <w:rFonts w:cs="Arial"/>
                <w:bCs/>
                <w:sz w:val="20"/>
              </w:rPr>
              <w:t xml:space="preserve"> is</w:t>
            </w:r>
            <w:r w:rsidR="00DD4065">
              <w:rPr>
                <w:rFonts w:cs="Arial"/>
                <w:bCs/>
                <w:sz w:val="20"/>
              </w:rPr>
              <w:t xml:space="preserve"> no</w:t>
            </w:r>
            <w:r w:rsidR="00CF1E3B">
              <w:rPr>
                <w:rFonts w:cs="Arial"/>
                <w:bCs/>
                <w:sz w:val="20"/>
              </w:rPr>
              <w:t xml:space="preserve"> process to monitor or detect ecosystem impacts from</w:t>
            </w:r>
            <w:r w:rsidR="00142B3D">
              <w:rPr>
                <w:rFonts w:cs="Arial"/>
                <w:bCs/>
                <w:sz w:val="20"/>
              </w:rPr>
              <w:t xml:space="preserve"> the</w:t>
            </w:r>
            <w:r w:rsidR="00CF1E3B">
              <w:rPr>
                <w:rFonts w:cs="Arial"/>
                <w:bCs/>
                <w:sz w:val="20"/>
              </w:rPr>
              <w:t xml:space="preserve"> remov</w:t>
            </w:r>
            <w:r w:rsidR="00142B3D">
              <w:rPr>
                <w:rFonts w:cs="Arial"/>
                <w:bCs/>
                <w:sz w:val="20"/>
              </w:rPr>
              <w:t>al of</w:t>
            </w:r>
            <w:r w:rsidR="00CF1E3B">
              <w:rPr>
                <w:rFonts w:cs="Arial"/>
                <w:bCs/>
                <w:sz w:val="20"/>
              </w:rPr>
              <w:t xml:space="preserve"> sea cucumbers. </w:t>
            </w:r>
          </w:p>
          <w:p w14:paraId="1DAE5048" w14:textId="7E20F243" w:rsidR="00885298" w:rsidRPr="00E22A97" w:rsidRDefault="00333B63" w:rsidP="00B64E9F">
            <w:pPr>
              <w:pStyle w:val="BodyText1"/>
              <w:spacing w:before="60" w:after="60" w:line="276" w:lineRule="auto"/>
              <w:jc w:val="left"/>
              <w:rPr>
                <w:rFonts w:cs="Arial"/>
                <w:bCs/>
                <w:sz w:val="20"/>
              </w:rPr>
            </w:pPr>
            <w:r>
              <w:rPr>
                <w:rFonts w:cs="Arial"/>
                <w:bCs/>
                <w:sz w:val="20"/>
              </w:rPr>
              <w:t>Social and economic indicators are considered through stated objectives</w:t>
            </w:r>
            <w:r w:rsidR="007F0E9A">
              <w:rPr>
                <w:rFonts w:cs="Arial"/>
                <w:bCs/>
                <w:sz w:val="20"/>
              </w:rPr>
              <w:t xml:space="preserve"> and</w:t>
            </w:r>
            <w:r>
              <w:rPr>
                <w:rFonts w:cs="Arial"/>
                <w:bCs/>
                <w:sz w:val="20"/>
              </w:rPr>
              <w:t xml:space="preserve"> indicators. These centre around maximising the profitability of the commercial harvest sector</w:t>
            </w:r>
            <w:r w:rsidR="007F0E9A">
              <w:rPr>
                <w:rFonts w:cs="Arial"/>
                <w:bCs/>
                <w:sz w:val="20"/>
              </w:rPr>
              <w:t xml:space="preserve"> through managing for maximum economic yield</w:t>
            </w:r>
            <w:r>
              <w:rPr>
                <w:rFonts w:cs="Arial"/>
                <w:bCs/>
                <w:sz w:val="20"/>
              </w:rPr>
              <w:t xml:space="preserve"> and monitoring the broader social and economic benefits of the fishery to the community. </w:t>
            </w:r>
          </w:p>
        </w:tc>
      </w:tr>
      <w:tr w:rsidR="00885298" w:rsidRPr="00433FCA" w14:paraId="73791D4D" w14:textId="77777777" w:rsidTr="007F0E9A">
        <w:trPr>
          <w:cantSplit/>
        </w:trPr>
        <w:tc>
          <w:tcPr>
            <w:tcW w:w="1500" w:type="pct"/>
            <w:shd w:val="clear" w:color="auto" w:fill="FFC000"/>
          </w:tcPr>
          <w:p w14:paraId="77416607"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Be capable of controlling the level of harvest in the fishery using input and/or output controls</w:t>
            </w:r>
            <w:r w:rsidR="006B6EF9" w:rsidRPr="00433FCA">
              <w:rPr>
                <w:rFonts w:cs="Arial"/>
                <w:sz w:val="20"/>
                <w:szCs w:val="20"/>
              </w:rPr>
              <w:t>.</w:t>
            </w:r>
          </w:p>
          <w:p w14:paraId="1EB80B0F" w14:textId="42B1B36D"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65875137" w14:textId="16EE2808" w:rsidR="005869AD" w:rsidRPr="00AF2EEA" w:rsidRDefault="00F8472A" w:rsidP="009B4356">
            <w:pPr>
              <w:spacing w:before="60" w:after="60" w:line="276" w:lineRule="auto"/>
              <w:rPr>
                <w:rFonts w:cs="Arial"/>
                <w:b/>
                <w:sz w:val="20"/>
                <w:szCs w:val="20"/>
              </w:rPr>
            </w:pPr>
            <w:r w:rsidRPr="0007603B">
              <w:rPr>
                <w:rFonts w:cs="Arial"/>
                <w:b/>
                <w:sz w:val="20"/>
                <w:szCs w:val="20"/>
              </w:rPr>
              <w:t>Partially meets</w:t>
            </w:r>
            <w:r w:rsidRPr="00AF2EEA">
              <w:rPr>
                <w:rFonts w:cs="Arial"/>
                <w:b/>
                <w:sz w:val="20"/>
                <w:szCs w:val="20"/>
              </w:rPr>
              <w:t xml:space="preserve"> </w:t>
            </w:r>
            <w:r w:rsidR="00636969" w:rsidRPr="00AF2EEA">
              <w:rPr>
                <w:rFonts w:cs="Arial"/>
                <w:b/>
                <w:sz w:val="20"/>
                <w:szCs w:val="20"/>
              </w:rPr>
              <w:t xml:space="preserve">– </w:t>
            </w:r>
            <w:r w:rsidR="00557127" w:rsidRPr="00AF2EEA">
              <w:rPr>
                <w:rFonts w:cs="Arial"/>
                <w:b/>
                <w:sz w:val="20"/>
                <w:szCs w:val="20"/>
              </w:rPr>
              <w:t>There are input and output control</w:t>
            </w:r>
            <w:r w:rsidR="006E636F">
              <w:rPr>
                <w:rFonts w:cs="Arial"/>
                <w:b/>
                <w:sz w:val="20"/>
                <w:szCs w:val="20"/>
              </w:rPr>
              <w:t>s</w:t>
            </w:r>
            <w:r w:rsidR="00557127" w:rsidRPr="00AF2EEA">
              <w:rPr>
                <w:rFonts w:cs="Arial"/>
                <w:b/>
                <w:sz w:val="20"/>
                <w:szCs w:val="20"/>
              </w:rPr>
              <w:t xml:space="preserve"> in the fishery</w:t>
            </w:r>
            <w:r w:rsidR="00FF345A" w:rsidRPr="00AF2EEA">
              <w:rPr>
                <w:rFonts w:cs="Arial"/>
                <w:b/>
                <w:sz w:val="20"/>
                <w:szCs w:val="20"/>
              </w:rPr>
              <w:t>,</w:t>
            </w:r>
            <w:r w:rsidR="007335FB">
              <w:rPr>
                <w:rFonts w:cs="Arial"/>
                <w:b/>
                <w:sz w:val="20"/>
                <w:szCs w:val="20"/>
              </w:rPr>
              <w:t xml:space="preserve"> but</w:t>
            </w:r>
            <w:r w:rsidR="00D5759E" w:rsidRPr="00AF2EEA">
              <w:rPr>
                <w:rFonts w:cs="Arial"/>
                <w:b/>
                <w:sz w:val="20"/>
                <w:szCs w:val="20"/>
              </w:rPr>
              <w:t xml:space="preserve"> the effectiveness of these measures is uncertain</w:t>
            </w:r>
            <w:r w:rsidR="00FE707B" w:rsidRPr="00AF2EEA">
              <w:rPr>
                <w:rFonts w:cs="Arial"/>
                <w:b/>
                <w:sz w:val="20"/>
                <w:szCs w:val="20"/>
              </w:rPr>
              <w:t xml:space="preserve"> particularly</w:t>
            </w:r>
            <w:r w:rsidR="00D5759E" w:rsidRPr="00AF2EEA">
              <w:rPr>
                <w:rFonts w:cs="Arial"/>
                <w:b/>
                <w:sz w:val="20"/>
                <w:szCs w:val="20"/>
              </w:rPr>
              <w:t xml:space="preserve"> for species</w:t>
            </w:r>
            <w:r w:rsidR="00FE707B" w:rsidRPr="00AF2EEA">
              <w:rPr>
                <w:rFonts w:cs="Arial"/>
                <w:b/>
                <w:sz w:val="20"/>
                <w:szCs w:val="20"/>
              </w:rPr>
              <w:t xml:space="preserve"> without individual quota </w:t>
            </w:r>
            <w:r w:rsidR="000B6C06" w:rsidRPr="00AF2EEA">
              <w:rPr>
                <w:rFonts w:cs="Arial"/>
                <w:b/>
                <w:sz w:val="20"/>
                <w:szCs w:val="20"/>
              </w:rPr>
              <w:t>limits</w:t>
            </w:r>
            <w:r w:rsidR="00D5759E" w:rsidRPr="00AF2EEA">
              <w:rPr>
                <w:rFonts w:cs="Arial"/>
                <w:b/>
                <w:sz w:val="20"/>
                <w:szCs w:val="20"/>
              </w:rPr>
              <w:t>.</w:t>
            </w:r>
            <w:r w:rsidR="007F0E9A" w:rsidRPr="00AF2EEA">
              <w:rPr>
                <w:rFonts w:cs="Arial"/>
                <w:b/>
                <w:sz w:val="20"/>
                <w:szCs w:val="20"/>
              </w:rPr>
              <w:t xml:space="preserve"> </w:t>
            </w:r>
          </w:p>
          <w:p w14:paraId="400AF9F7" w14:textId="276C37D5" w:rsidR="001272CE" w:rsidRDefault="00110317" w:rsidP="009B4356">
            <w:pPr>
              <w:pStyle w:val="BodyText1"/>
              <w:spacing w:before="60" w:after="60" w:line="276" w:lineRule="auto"/>
              <w:jc w:val="left"/>
              <w:rPr>
                <w:rFonts w:cs="Arial"/>
                <w:bCs/>
                <w:sz w:val="20"/>
              </w:rPr>
            </w:pPr>
            <w:r>
              <w:rPr>
                <w:rFonts w:cs="Arial"/>
                <w:bCs/>
                <w:sz w:val="20"/>
              </w:rPr>
              <w:t xml:space="preserve">The fishery is managed with output controls, in the form of legislated quota limits and </w:t>
            </w:r>
            <w:r w:rsidR="009B4356">
              <w:rPr>
                <w:rFonts w:cs="Arial"/>
                <w:bCs/>
                <w:sz w:val="20"/>
              </w:rPr>
              <w:t>species specific Total Allowable Catch (TAC)</w:t>
            </w:r>
            <w:r>
              <w:rPr>
                <w:rFonts w:cs="Arial"/>
                <w:bCs/>
                <w:sz w:val="20"/>
              </w:rPr>
              <w:t>,</w:t>
            </w:r>
            <w:r w:rsidR="00626AAF">
              <w:rPr>
                <w:rFonts w:cs="Arial"/>
                <w:bCs/>
                <w:sz w:val="20"/>
              </w:rPr>
              <w:t xml:space="preserve"> and</w:t>
            </w:r>
            <w:r>
              <w:rPr>
                <w:rFonts w:cs="Arial"/>
                <w:bCs/>
                <w:sz w:val="20"/>
              </w:rPr>
              <w:t xml:space="preserve"> input controls </w:t>
            </w:r>
            <w:r w:rsidR="005A513E">
              <w:rPr>
                <w:rFonts w:cs="Arial"/>
                <w:bCs/>
                <w:sz w:val="20"/>
              </w:rPr>
              <w:t>including</w:t>
            </w:r>
            <w:r>
              <w:rPr>
                <w:rFonts w:cs="Arial"/>
                <w:bCs/>
                <w:sz w:val="20"/>
              </w:rPr>
              <w:t xml:space="preserve"> limited entry</w:t>
            </w:r>
            <w:r w:rsidR="005A513E">
              <w:rPr>
                <w:rFonts w:cs="Arial"/>
                <w:bCs/>
                <w:sz w:val="20"/>
              </w:rPr>
              <w:t xml:space="preserve"> and</w:t>
            </w:r>
            <w:r>
              <w:rPr>
                <w:rFonts w:cs="Arial"/>
                <w:bCs/>
                <w:sz w:val="20"/>
              </w:rPr>
              <w:t xml:space="preserve"> Rotational Harvest Arrangements</w:t>
            </w:r>
            <w:r w:rsidR="00776FF5">
              <w:rPr>
                <w:rFonts w:cs="Arial"/>
                <w:bCs/>
                <w:sz w:val="20"/>
              </w:rPr>
              <w:t xml:space="preserve"> (RHAs)</w:t>
            </w:r>
            <w:r>
              <w:rPr>
                <w:rFonts w:cs="Arial"/>
                <w:bCs/>
                <w:sz w:val="20"/>
              </w:rPr>
              <w:t xml:space="preserve"> which </w:t>
            </w:r>
            <w:r w:rsidR="005A513E">
              <w:rPr>
                <w:rFonts w:cs="Arial"/>
                <w:bCs/>
                <w:sz w:val="20"/>
              </w:rPr>
              <w:t xml:space="preserve">is led by industry and indicates </w:t>
            </w:r>
            <w:r>
              <w:rPr>
                <w:rFonts w:cs="Arial"/>
                <w:bCs/>
                <w:sz w:val="20"/>
              </w:rPr>
              <w:t xml:space="preserve">how much time a fisher can spend </w:t>
            </w:r>
            <w:proofErr w:type="gramStart"/>
            <w:r>
              <w:rPr>
                <w:rFonts w:cs="Arial"/>
                <w:bCs/>
                <w:sz w:val="20"/>
              </w:rPr>
              <w:t>in a given</w:t>
            </w:r>
            <w:proofErr w:type="gramEnd"/>
            <w:r>
              <w:rPr>
                <w:rFonts w:cs="Arial"/>
                <w:bCs/>
                <w:sz w:val="20"/>
              </w:rPr>
              <w:t xml:space="preserve"> zone of the fishery. </w:t>
            </w:r>
          </w:p>
          <w:p w14:paraId="250C7D7A" w14:textId="789D7350" w:rsidR="00AC7DA9" w:rsidRPr="008B4A06" w:rsidRDefault="00AC7DA9" w:rsidP="009B4356">
            <w:pPr>
              <w:spacing w:before="60" w:after="60" w:line="276" w:lineRule="auto"/>
              <w:rPr>
                <w:rFonts w:cs="Arial"/>
                <w:bCs/>
                <w:sz w:val="20"/>
                <w:szCs w:val="20"/>
              </w:rPr>
            </w:pPr>
            <w:r>
              <w:rPr>
                <w:rFonts w:cs="Arial"/>
                <w:bCs/>
                <w:sz w:val="20"/>
                <w:szCs w:val="20"/>
              </w:rPr>
              <w:t xml:space="preserve">There are three legislated quota categories: Black </w:t>
            </w:r>
            <w:proofErr w:type="spellStart"/>
            <w:r>
              <w:rPr>
                <w:rFonts w:cs="Arial"/>
                <w:bCs/>
                <w:sz w:val="20"/>
                <w:szCs w:val="20"/>
              </w:rPr>
              <w:t>Teatfish</w:t>
            </w:r>
            <w:proofErr w:type="spellEnd"/>
            <w:r>
              <w:rPr>
                <w:rFonts w:cs="Arial"/>
                <w:bCs/>
                <w:sz w:val="20"/>
                <w:szCs w:val="20"/>
              </w:rPr>
              <w:t xml:space="preserve"> (30</w:t>
            </w:r>
            <w:r w:rsidR="009A22A9">
              <w:rPr>
                <w:rFonts w:cs="Arial"/>
                <w:bCs/>
                <w:sz w:val="20"/>
                <w:szCs w:val="20"/>
              </w:rPr>
              <w:t xml:space="preserve"> </w:t>
            </w:r>
            <w:r>
              <w:rPr>
                <w:rFonts w:cs="Arial"/>
                <w:bCs/>
                <w:sz w:val="20"/>
                <w:szCs w:val="20"/>
              </w:rPr>
              <w:t xml:space="preserve">t), White </w:t>
            </w:r>
            <w:proofErr w:type="spellStart"/>
            <w:r>
              <w:rPr>
                <w:rFonts w:cs="Arial"/>
                <w:bCs/>
                <w:sz w:val="20"/>
                <w:szCs w:val="20"/>
              </w:rPr>
              <w:t>Teatfish</w:t>
            </w:r>
            <w:proofErr w:type="spellEnd"/>
            <w:r>
              <w:rPr>
                <w:rFonts w:cs="Arial"/>
                <w:bCs/>
                <w:sz w:val="20"/>
                <w:szCs w:val="20"/>
              </w:rPr>
              <w:t xml:space="preserve"> (53</w:t>
            </w:r>
            <w:r w:rsidR="00FD66CA">
              <w:rPr>
                <w:rFonts w:cs="Arial"/>
                <w:bCs/>
                <w:sz w:val="20"/>
                <w:szCs w:val="20"/>
              </w:rPr>
              <w:t xml:space="preserve"> </w:t>
            </w:r>
            <w:r>
              <w:rPr>
                <w:rFonts w:cs="Arial"/>
                <w:bCs/>
                <w:sz w:val="20"/>
                <w:szCs w:val="20"/>
              </w:rPr>
              <w:t xml:space="preserve">t) and </w:t>
            </w:r>
            <w:r w:rsidR="00F81B3F">
              <w:rPr>
                <w:rFonts w:cs="Arial"/>
                <w:bCs/>
                <w:sz w:val="20"/>
                <w:szCs w:val="20"/>
              </w:rPr>
              <w:t>‘</w:t>
            </w:r>
            <w:r w:rsidR="009A22A9">
              <w:rPr>
                <w:rFonts w:cs="Arial"/>
                <w:bCs/>
                <w:sz w:val="20"/>
                <w:szCs w:val="20"/>
              </w:rPr>
              <w:t>o</w:t>
            </w:r>
            <w:r>
              <w:rPr>
                <w:rFonts w:cs="Arial"/>
                <w:bCs/>
                <w:sz w:val="20"/>
                <w:szCs w:val="20"/>
              </w:rPr>
              <w:t xml:space="preserve">ther </w:t>
            </w:r>
            <w:r w:rsidR="009A22A9">
              <w:rPr>
                <w:rFonts w:cs="Arial"/>
                <w:bCs/>
                <w:sz w:val="20"/>
                <w:szCs w:val="20"/>
              </w:rPr>
              <w:t>s</w:t>
            </w:r>
            <w:r>
              <w:rPr>
                <w:rFonts w:cs="Arial"/>
                <w:bCs/>
                <w:sz w:val="20"/>
                <w:szCs w:val="20"/>
              </w:rPr>
              <w:t xml:space="preserve">ea </w:t>
            </w:r>
            <w:r w:rsidR="009A22A9">
              <w:rPr>
                <w:rFonts w:cs="Arial"/>
                <w:bCs/>
                <w:sz w:val="20"/>
                <w:szCs w:val="20"/>
              </w:rPr>
              <w:t>c</w:t>
            </w:r>
            <w:r>
              <w:rPr>
                <w:rFonts w:cs="Arial"/>
                <w:bCs/>
                <w:sz w:val="20"/>
                <w:szCs w:val="20"/>
              </w:rPr>
              <w:t>ucumber</w:t>
            </w:r>
            <w:r w:rsidR="00F81B3F">
              <w:rPr>
                <w:rFonts w:cs="Arial"/>
                <w:bCs/>
                <w:sz w:val="20"/>
                <w:szCs w:val="20"/>
              </w:rPr>
              <w:t>’</w:t>
            </w:r>
            <w:r>
              <w:rPr>
                <w:rFonts w:cs="Arial"/>
                <w:bCs/>
                <w:sz w:val="20"/>
                <w:szCs w:val="20"/>
              </w:rPr>
              <w:t xml:space="preserve"> (308</w:t>
            </w:r>
            <w:r w:rsidR="00FD66CA">
              <w:rPr>
                <w:rFonts w:cs="Arial"/>
                <w:bCs/>
                <w:sz w:val="20"/>
                <w:szCs w:val="20"/>
              </w:rPr>
              <w:t xml:space="preserve"> </w:t>
            </w:r>
            <w:r>
              <w:rPr>
                <w:rFonts w:cs="Arial"/>
                <w:bCs/>
                <w:sz w:val="20"/>
                <w:szCs w:val="20"/>
              </w:rPr>
              <w:t xml:space="preserve">t). The ‘other </w:t>
            </w:r>
            <w:r w:rsidR="00DD4065">
              <w:rPr>
                <w:rFonts w:cs="Arial"/>
                <w:bCs/>
                <w:sz w:val="20"/>
                <w:szCs w:val="20"/>
              </w:rPr>
              <w:t>sea cucumber</w:t>
            </w:r>
            <w:r>
              <w:rPr>
                <w:rFonts w:cs="Arial"/>
                <w:bCs/>
                <w:sz w:val="20"/>
                <w:szCs w:val="20"/>
              </w:rPr>
              <w:t>’ quota category is comprised of more than 20 species</w:t>
            </w:r>
            <w:r w:rsidR="009A22A9">
              <w:rPr>
                <w:rFonts w:cs="Arial"/>
                <w:bCs/>
                <w:sz w:val="20"/>
                <w:szCs w:val="20"/>
              </w:rPr>
              <w:t>.</w:t>
            </w:r>
            <w:r>
              <w:rPr>
                <w:rFonts w:cs="Arial"/>
                <w:bCs/>
                <w:sz w:val="20"/>
                <w:szCs w:val="20"/>
              </w:rPr>
              <w:t xml:space="preserve"> </w:t>
            </w:r>
            <w:r w:rsidR="009A22A9">
              <w:rPr>
                <w:rFonts w:cs="Arial"/>
                <w:bCs/>
                <w:sz w:val="20"/>
                <w:szCs w:val="20"/>
              </w:rPr>
              <w:t>H</w:t>
            </w:r>
            <w:r>
              <w:rPr>
                <w:rFonts w:cs="Arial"/>
                <w:bCs/>
                <w:sz w:val="20"/>
                <w:szCs w:val="20"/>
              </w:rPr>
              <w:t>owever</w:t>
            </w:r>
            <w:r w:rsidR="009A22A9">
              <w:rPr>
                <w:rFonts w:cs="Arial"/>
                <w:bCs/>
                <w:sz w:val="20"/>
                <w:szCs w:val="20"/>
              </w:rPr>
              <w:t>,</w:t>
            </w:r>
            <w:r w:rsidR="00E16650">
              <w:rPr>
                <w:rFonts w:cs="Arial"/>
                <w:bCs/>
                <w:sz w:val="20"/>
                <w:szCs w:val="20"/>
              </w:rPr>
              <w:t xml:space="preserve"> </w:t>
            </w:r>
            <w:r w:rsidR="00C143DE">
              <w:rPr>
                <w:rFonts w:cs="Arial"/>
                <w:bCs/>
                <w:sz w:val="20"/>
                <w:szCs w:val="20"/>
              </w:rPr>
              <w:t xml:space="preserve">Burrowing Blackfish makes up </w:t>
            </w:r>
            <w:proofErr w:type="gramStart"/>
            <w:r w:rsidR="00C143DE">
              <w:rPr>
                <w:rFonts w:cs="Arial"/>
                <w:bCs/>
                <w:sz w:val="20"/>
                <w:szCs w:val="20"/>
              </w:rPr>
              <w:t>the majority of</w:t>
            </w:r>
            <w:proofErr w:type="gramEnd"/>
            <w:r w:rsidR="00C143DE">
              <w:rPr>
                <w:rFonts w:cs="Arial"/>
                <w:bCs/>
                <w:sz w:val="20"/>
                <w:szCs w:val="20"/>
              </w:rPr>
              <w:t xml:space="preserve"> this quota category</w:t>
            </w:r>
            <w:r>
              <w:rPr>
                <w:rFonts w:cs="Arial"/>
                <w:bCs/>
                <w:sz w:val="20"/>
                <w:szCs w:val="20"/>
              </w:rPr>
              <w:t>. The harvest strategy outlines a number of trigger reference levels</w:t>
            </w:r>
            <w:r w:rsidR="009B4356">
              <w:rPr>
                <w:rFonts w:cs="Arial"/>
                <w:bCs/>
                <w:sz w:val="20"/>
                <w:szCs w:val="20"/>
              </w:rPr>
              <w:t xml:space="preserve"> </w:t>
            </w:r>
            <w:r>
              <w:rPr>
                <w:rFonts w:cs="Arial"/>
                <w:bCs/>
                <w:sz w:val="20"/>
                <w:szCs w:val="20"/>
              </w:rPr>
              <w:t xml:space="preserve">for species within this quota </w:t>
            </w:r>
            <w:proofErr w:type="gramStart"/>
            <w:r>
              <w:rPr>
                <w:rFonts w:cs="Arial"/>
                <w:bCs/>
                <w:sz w:val="20"/>
                <w:szCs w:val="20"/>
              </w:rPr>
              <w:t>category</w:t>
            </w:r>
            <w:proofErr w:type="gramEnd"/>
            <w:r>
              <w:rPr>
                <w:rFonts w:cs="Arial"/>
                <w:bCs/>
                <w:sz w:val="20"/>
                <w:szCs w:val="20"/>
              </w:rPr>
              <w:t xml:space="preserve"> </w:t>
            </w:r>
            <w:r w:rsidR="00D201B4">
              <w:rPr>
                <w:rFonts w:cs="Arial"/>
                <w:bCs/>
                <w:sz w:val="20"/>
                <w:szCs w:val="20"/>
              </w:rPr>
              <w:t xml:space="preserve">but </w:t>
            </w:r>
            <w:r>
              <w:rPr>
                <w:rFonts w:cs="Arial"/>
                <w:bCs/>
                <w:sz w:val="20"/>
                <w:szCs w:val="20"/>
              </w:rPr>
              <w:t>these levels are not enforceable</w:t>
            </w:r>
            <w:r w:rsidR="005A513E">
              <w:rPr>
                <w:rFonts w:cs="Arial"/>
                <w:bCs/>
                <w:sz w:val="20"/>
                <w:szCs w:val="20"/>
              </w:rPr>
              <w:t xml:space="preserve"> limits on harvest</w:t>
            </w:r>
            <w:r w:rsidR="00235314">
              <w:rPr>
                <w:rFonts w:cs="Arial"/>
                <w:bCs/>
                <w:sz w:val="20"/>
                <w:szCs w:val="20"/>
              </w:rPr>
              <w:t xml:space="preserve"> (the reference point at which harvest would stop is 20% of the exploitable virgin biomass but no biomass surveys are planned for any of these species)</w:t>
            </w:r>
            <w:r>
              <w:rPr>
                <w:rFonts w:cs="Arial"/>
                <w:bCs/>
                <w:sz w:val="20"/>
                <w:szCs w:val="20"/>
              </w:rPr>
              <w:t xml:space="preserve">. While the industry historically has shown a strong commitment to voluntary compliance, </w:t>
            </w:r>
            <w:r w:rsidR="00235314">
              <w:rPr>
                <w:rFonts w:cs="Arial"/>
                <w:bCs/>
                <w:sz w:val="20"/>
                <w:szCs w:val="20"/>
              </w:rPr>
              <w:t xml:space="preserve">trigger </w:t>
            </w:r>
            <w:r>
              <w:rPr>
                <w:rFonts w:cs="Arial"/>
                <w:bCs/>
                <w:sz w:val="20"/>
                <w:szCs w:val="20"/>
              </w:rPr>
              <w:t>limits in the ‘</w:t>
            </w:r>
            <w:r w:rsidR="004902C7">
              <w:rPr>
                <w:rFonts w:cs="Arial"/>
                <w:bCs/>
                <w:sz w:val="20"/>
                <w:szCs w:val="20"/>
              </w:rPr>
              <w:t>o</w:t>
            </w:r>
            <w:r>
              <w:rPr>
                <w:rFonts w:cs="Arial"/>
                <w:bCs/>
                <w:sz w:val="20"/>
                <w:szCs w:val="20"/>
              </w:rPr>
              <w:t xml:space="preserve">ther </w:t>
            </w:r>
            <w:r w:rsidR="004902C7">
              <w:rPr>
                <w:rFonts w:cs="Arial"/>
                <w:bCs/>
                <w:sz w:val="20"/>
                <w:szCs w:val="20"/>
              </w:rPr>
              <w:t>s</w:t>
            </w:r>
            <w:r>
              <w:rPr>
                <w:rFonts w:cs="Arial"/>
                <w:bCs/>
                <w:sz w:val="20"/>
                <w:szCs w:val="20"/>
              </w:rPr>
              <w:t xml:space="preserve">ea </w:t>
            </w:r>
            <w:r w:rsidR="004902C7">
              <w:rPr>
                <w:rFonts w:cs="Arial"/>
                <w:bCs/>
                <w:sz w:val="20"/>
                <w:szCs w:val="20"/>
              </w:rPr>
              <w:t>c</w:t>
            </w:r>
            <w:r>
              <w:rPr>
                <w:rFonts w:cs="Arial"/>
                <w:bCs/>
                <w:sz w:val="20"/>
                <w:szCs w:val="20"/>
              </w:rPr>
              <w:t>ucumber</w:t>
            </w:r>
            <w:r w:rsidR="00D71ED5">
              <w:rPr>
                <w:rFonts w:cs="Arial"/>
                <w:bCs/>
                <w:sz w:val="20"/>
                <w:szCs w:val="20"/>
              </w:rPr>
              <w:t>’</w:t>
            </w:r>
            <w:r>
              <w:rPr>
                <w:rFonts w:cs="Arial"/>
                <w:bCs/>
                <w:sz w:val="20"/>
                <w:szCs w:val="20"/>
              </w:rPr>
              <w:t xml:space="preserve"> quota category</w:t>
            </w:r>
            <w:r w:rsidR="005967A1">
              <w:rPr>
                <w:rFonts w:cs="Arial"/>
                <w:bCs/>
                <w:sz w:val="20"/>
                <w:szCs w:val="20"/>
              </w:rPr>
              <w:t xml:space="preserve"> are</w:t>
            </w:r>
            <w:r>
              <w:rPr>
                <w:rFonts w:cs="Arial"/>
                <w:bCs/>
                <w:sz w:val="20"/>
                <w:szCs w:val="20"/>
              </w:rPr>
              <w:t xml:space="preserve"> </w:t>
            </w:r>
            <w:r w:rsidR="00235314">
              <w:rPr>
                <w:rFonts w:cs="Arial"/>
                <w:bCs/>
                <w:sz w:val="20"/>
                <w:szCs w:val="20"/>
              </w:rPr>
              <w:t>not l</w:t>
            </w:r>
            <w:r>
              <w:rPr>
                <w:rFonts w:cs="Arial"/>
                <w:bCs/>
                <w:sz w:val="20"/>
                <w:szCs w:val="20"/>
              </w:rPr>
              <w:t>egislated</w:t>
            </w:r>
            <w:r w:rsidR="00235314">
              <w:rPr>
                <w:rFonts w:cs="Arial"/>
                <w:bCs/>
                <w:sz w:val="20"/>
                <w:szCs w:val="20"/>
              </w:rPr>
              <w:t xml:space="preserve"> harvest limits</w:t>
            </w:r>
            <w:r w:rsidR="00B57DF6">
              <w:rPr>
                <w:rFonts w:cs="Arial"/>
                <w:bCs/>
                <w:sz w:val="20"/>
                <w:szCs w:val="20"/>
              </w:rPr>
              <w:t xml:space="preserve">. This </w:t>
            </w:r>
            <w:r w:rsidR="00235314">
              <w:rPr>
                <w:rFonts w:cs="Arial"/>
                <w:bCs/>
                <w:sz w:val="20"/>
                <w:szCs w:val="20"/>
              </w:rPr>
              <w:t>means that</w:t>
            </w:r>
            <w:r w:rsidRPr="00FE707B">
              <w:rPr>
                <w:rFonts w:cs="Arial"/>
                <w:bCs/>
                <w:sz w:val="20"/>
                <w:szCs w:val="20"/>
              </w:rPr>
              <w:t xml:space="preserve">, </w:t>
            </w:r>
            <w:r w:rsidR="009A372F" w:rsidRPr="00FE707B">
              <w:rPr>
                <w:rFonts w:cs="Arial"/>
                <w:bCs/>
                <w:sz w:val="20"/>
                <w:szCs w:val="20"/>
              </w:rPr>
              <w:t>theoretically</w:t>
            </w:r>
            <w:r w:rsidR="00235314">
              <w:rPr>
                <w:rFonts w:cs="Arial"/>
                <w:bCs/>
                <w:sz w:val="20"/>
                <w:szCs w:val="20"/>
              </w:rPr>
              <w:t>,</w:t>
            </w:r>
            <w:r w:rsidR="009A372F" w:rsidRPr="00FE707B">
              <w:rPr>
                <w:rFonts w:cs="Arial"/>
                <w:bCs/>
                <w:sz w:val="20"/>
                <w:szCs w:val="20"/>
              </w:rPr>
              <w:t xml:space="preserve"> </w:t>
            </w:r>
            <w:r w:rsidRPr="00FE707B">
              <w:rPr>
                <w:rFonts w:cs="Arial"/>
                <w:bCs/>
                <w:sz w:val="20"/>
                <w:szCs w:val="20"/>
              </w:rPr>
              <w:t>the entire 308</w:t>
            </w:r>
            <w:r w:rsidR="006B61B8">
              <w:rPr>
                <w:rFonts w:cs="Arial"/>
                <w:bCs/>
                <w:sz w:val="20"/>
                <w:szCs w:val="20"/>
              </w:rPr>
              <w:t xml:space="preserve"> </w:t>
            </w:r>
            <w:r w:rsidRPr="00FE707B">
              <w:rPr>
                <w:rFonts w:cs="Arial"/>
                <w:bCs/>
                <w:sz w:val="20"/>
                <w:szCs w:val="20"/>
              </w:rPr>
              <w:t>t quota could be taken as one species</w:t>
            </w:r>
            <w:r w:rsidR="009B4356">
              <w:rPr>
                <w:rFonts w:cs="Arial"/>
                <w:bCs/>
                <w:sz w:val="20"/>
                <w:szCs w:val="20"/>
              </w:rPr>
              <w:t xml:space="preserve"> in a season</w:t>
            </w:r>
            <w:r w:rsidR="00235314">
              <w:rPr>
                <w:rFonts w:cs="Arial"/>
                <w:bCs/>
                <w:sz w:val="20"/>
                <w:szCs w:val="20"/>
              </w:rPr>
              <w:t xml:space="preserve"> (</w:t>
            </w:r>
            <w:r w:rsidR="00256ACB">
              <w:rPr>
                <w:rFonts w:cs="Arial"/>
                <w:bCs/>
                <w:sz w:val="20"/>
                <w:szCs w:val="20"/>
              </w:rPr>
              <w:t xml:space="preserve">excluding </w:t>
            </w:r>
            <w:r w:rsidR="00235314">
              <w:rPr>
                <w:rFonts w:cs="Arial"/>
                <w:bCs/>
                <w:sz w:val="20"/>
                <w:szCs w:val="20"/>
              </w:rPr>
              <w:t>the three species for which quota is legislated)</w:t>
            </w:r>
            <w:r>
              <w:rPr>
                <w:rFonts w:cs="Arial"/>
                <w:bCs/>
                <w:sz w:val="20"/>
                <w:szCs w:val="20"/>
              </w:rPr>
              <w:t xml:space="preserve">. </w:t>
            </w:r>
          </w:p>
          <w:p w14:paraId="63185744" w14:textId="56D89C85" w:rsidR="005639D5" w:rsidRDefault="00110317" w:rsidP="009B4356">
            <w:pPr>
              <w:pStyle w:val="BodyText1"/>
              <w:spacing w:before="60" w:after="60" w:line="276" w:lineRule="auto"/>
              <w:jc w:val="left"/>
              <w:rPr>
                <w:rFonts w:cs="Arial"/>
                <w:bCs/>
                <w:sz w:val="20"/>
              </w:rPr>
            </w:pPr>
            <w:r>
              <w:rPr>
                <w:rFonts w:cs="Arial"/>
                <w:bCs/>
                <w:sz w:val="20"/>
              </w:rPr>
              <w:t>Under the RHAs the fishery is divided into 158 zones which are open for a</w:t>
            </w:r>
            <w:r w:rsidR="0096169E">
              <w:rPr>
                <w:rFonts w:cs="Arial"/>
                <w:bCs/>
                <w:sz w:val="20"/>
              </w:rPr>
              <w:t>n</w:t>
            </w:r>
            <w:r>
              <w:rPr>
                <w:rFonts w:cs="Arial"/>
                <w:bCs/>
                <w:sz w:val="20"/>
              </w:rPr>
              <w:t xml:space="preserve"> </w:t>
            </w:r>
            <w:r w:rsidR="00DD4065">
              <w:rPr>
                <w:rFonts w:cs="Arial"/>
                <w:bCs/>
                <w:sz w:val="20"/>
              </w:rPr>
              <w:t>18-day</w:t>
            </w:r>
            <w:r w:rsidR="0040724F">
              <w:rPr>
                <w:rFonts w:cs="Arial"/>
                <w:bCs/>
                <w:sz w:val="20"/>
              </w:rPr>
              <w:t xml:space="preserve"> period every </w:t>
            </w:r>
            <w:r>
              <w:rPr>
                <w:rFonts w:cs="Arial"/>
                <w:bCs/>
                <w:sz w:val="20"/>
              </w:rPr>
              <w:t>three-year cycle. A Management Strategy Evaluation (MSE) of RHAs, was conducted in 2014 and found that the RHA system was likely to be effective in reduc</w:t>
            </w:r>
            <w:r w:rsidR="00FF677C">
              <w:rPr>
                <w:rFonts w:cs="Arial"/>
                <w:bCs/>
                <w:sz w:val="20"/>
              </w:rPr>
              <w:t>ing</w:t>
            </w:r>
            <w:r>
              <w:rPr>
                <w:rFonts w:cs="Arial"/>
                <w:bCs/>
                <w:sz w:val="20"/>
              </w:rPr>
              <w:t xml:space="preserve"> the risk of depletion</w:t>
            </w:r>
            <w:r w:rsidR="005639D5">
              <w:rPr>
                <w:rFonts w:cs="Arial"/>
                <w:bCs/>
                <w:sz w:val="20"/>
              </w:rPr>
              <w:t xml:space="preserve"> to a</w:t>
            </w:r>
            <w:r>
              <w:rPr>
                <w:rFonts w:cs="Arial"/>
                <w:bCs/>
                <w:sz w:val="20"/>
              </w:rPr>
              <w:t xml:space="preserve"> low level</w:t>
            </w:r>
            <w:r w:rsidR="0040724F">
              <w:rPr>
                <w:rFonts w:cs="Arial"/>
                <w:bCs/>
                <w:sz w:val="20"/>
              </w:rPr>
              <w:t xml:space="preserve"> </w:t>
            </w:r>
            <w:r w:rsidR="005639D5">
              <w:rPr>
                <w:rFonts w:cs="Arial"/>
                <w:bCs/>
                <w:sz w:val="20"/>
              </w:rPr>
              <w:t>for most</w:t>
            </w:r>
            <w:r w:rsidR="0040724F">
              <w:rPr>
                <w:rFonts w:cs="Arial"/>
                <w:bCs/>
                <w:sz w:val="20"/>
              </w:rPr>
              <w:t xml:space="preserve"> target species</w:t>
            </w:r>
            <w:r>
              <w:rPr>
                <w:rFonts w:cs="Arial"/>
                <w:bCs/>
                <w:sz w:val="20"/>
              </w:rPr>
              <w:t xml:space="preserve">. </w:t>
            </w:r>
            <w:r w:rsidR="00072E4A">
              <w:rPr>
                <w:rFonts w:cs="Arial"/>
                <w:bCs/>
                <w:sz w:val="20"/>
              </w:rPr>
              <w:t>The findings of the MSE</w:t>
            </w:r>
            <w:r w:rsidR="00BD5141">
              <w:rPr>
                <w:rFonts w:cs="Arial"/>
                <w:bCs/>
                <w:sz w:val="20"/>
              </w:rPr>
              <w:t xml:space="preserve"> were based on the management of the fishery in 2014</w:t>
            </w:r>
            <w:r w:rsidR="00C26CD1">
              <w:rPr>
                <w:rFonts w:cs="Arial"/>
                <w:bCs/>
                <w:sz w:val="20"/>
              </w:rPr>
              <w:t>. W</w:t>
            </w:r>
            <w:r w:rsidR="00B737D9">
              <w:rPr>
                <w:rFonts w:cs="Arial"/>
                <w:bCs/>
                <w:sz w:val="20"/>
              </w:rPr>
              <w:t xml:space="preserve">ith the implementation of the </w:t>
            </w:r>
            <w:r w:rsidR="00C26CD1">
              <w:rPr>
                <w:rFonts w:cs="Arial"/>
                <w:bCs/>
                <w:sz w:val="20"/>
              </w:rPr>
              <w:t xml:space="preserve">new </w:t>
            </w:r>
            <w:r w:rsidR="00B737D9">
              <w:rPr>
                <w:rFonts w:cs="Arial"/>
                <w:bCs/>
                <w:sz w:val="20"/>
              </w:rPr>
              <w:t>Harvest Strategy there</w:t>
            </w:r>
            <w:r w:rsidR="00C25B1D">
              <w:rPr>
                <w:rFonts w:cs="Arial"/>
                <w:bCs/>
                <w:sz w:val="20"/>
              </w:rPr>
              <w:t xml:space="preserve"> </w:t>
            </w:r>
            <w:r w:rsidR="00C26CD1">
              <w:rPr>
                <w:rFonts w:cs="Arial"/>
                <w:bCs/>
                <w:sz w:val="20"/>
              </w:rPr>
              <w:t xml:space="preserve">are changes in the </w:t>
            </w:r>
            <w:r w:rsidR="00B23FE5">
              <w:rPr>
                <w:rFonts w:cs="Arial"/>
                <w:bCs/>
                <w:sz w:val="20"/>
              </w:rPr>
              <w:t>management</w:t>
            </w:r>
            <w:r w:rsidR="00C26CD1">
              <w:rPr>
                <w:rFonts w:cs="Arial"/>
                <w:bCs/>
                <w:sz w:val="20"/>
              </w:rPr>
              <w:t xml:space="preserve"> arrangements for </w:t>
            </w:r>
            <w:r w:rsidR="00B23FE5">
              <w:rPr>
                <w:rFonts w:cs="Arial"/>
                <w:bCs/>
                <w:sz w:val="20"/>
              </w:rPr>
              <w:t xml:space="preserve">the fishery </w:t>
            </w:r>
            <w:r w:rsidR="005E5581">
              <w:rPr>
                <w:rFonts w:cs="Arial"/>
                <w:bCs/>
                <w:sz w:val="20"/>
              </w:rPr>
              <w:t>which</w:t>
            </w:r>
            <w:r w:rsidR="00B23FE5">
              <w:rPr>
                <w:rFonts w:cs="Arial"/>
                <w:bCs/>
                <w:sz w:val="20"/>
              </w:rPr>
              <w:t xml:space="preserve"> may have significant implications </w:t>
            </w:r>
            <w:r w:rsidR="001C1315">
              <w:rPr>
                <w:rFonts w:cs="Arial"/>
                <w:bCs/>
                <w:sz w:val="20"/>
              </w:rPr>
              <w:t>for</w:t>
            </w:r>
            <w:r w:rsidR="00B23FE5">
              <w:rPr>
                <w:rFonts w:cs="Arial"/>
                <w:bCs/>
                <w:sz w:val="20"/>
              </w:rPr>
              <w:t xml:space="preserve"> the MSE finding</w:t>
            </w:r>
            <w:r w:rsidR="005E5581">
              <w:rPr>
                <w:rFonts w:cs="Arial"/>
                <w:bCs/>
                <w:sz w:val="20"/>
              </w:rPr>
              <w:t>s</w:t>
            </w:r>
            <w:r w:rsidR="00B23FE5">
              <w:rPr>
                <w:rFonts w:cs="Arial"/>
                <w:bCs/>
                <w:sz w:val="20"/>
              </w:rPr>
              <w:t xml:space="preserve">. </w:t>
            </w:r>
            <w:r w:rsidR="007D798F">
              <w:rPr>
                <w:rFonts w:cs="Arial"/>
                <w:bCs/>
                <w:sz w:val="20"/>
              </w:rPr>
              <w:t>When the MSE was conducted in 2014 fishing effort was restricted to 15 days every three year</w:t>
            </w:r>
            <w:r w:rsidR="00D76288">
              <w:rPr>
                <w:rFonts w:cs="Arial"/>
                <w:bCs/>
                <w:sz w:val="20"/>
              </w:rPr>
              <w:t>s</w:t>
            </w:r>
            <w:r w:rsidR="0096169E">
              <w:rPr>
                <w:rFonts w:cs="Arial"/>
                <w:bCs/>
                <w:sz w:val="20"/>
              </w:rPr>
              <w:t xml:space="preserve">. </w:t>
            </w:r>
            <w:r w:rsidR="009B4356">
              <w:rPr>
                <w:rFonts w:cs="Arial"/>
                <w:bCs/>
                <w:sz w:val="20"/>
              </w:rPr>
              <w:t xml:space="preserve">The Harvest Strategy allows </w:t>
            </w:r>
            <w:r w:rsidR="0096169E">
              <w:rPr>
                <w:rFonts w:cs="Arial"/>
                <w:bCs/>
                <w:sz w:val="20"/>
              </w:rPr>
              <w:t>18 days</w:t>
            </w:r>
            <w:r w:rsidR="00A6001D">
              <w:rPr>
                <w:rFonts w:cs="Arial"/>
                <w:bCs/>
                <w:sz w:val="20"/>
              </w:rPr>
              <w:t xml:space="preserve"> fishing</w:t>
            </w:r>
            <w:r w:rsidR="009B4356">
              <w:rPr>
                <w:rFonts w:cs="Arial"/>
                <w:bCs/>
                <w:sz w:val="20"/>
              </w:rPr>
              <w:t xml:space="preserve"> per rotation zone every 3 years, which </w:t>
            </w:r>
            <w:r w:rsidR="00A6001D">
              <w:rPr>
                <w:rFonts w:cs="Arial"/>
                <w:bCs/>
                <w:sz w:val="20"/>
              </w:rPr>
              <w:t xml:space="preserve">could represent a </w:t>
            </w:r>
            <w:r w:rsidR="00394998">
              <w:rPr>
                <w:rFonts w:cs="Arial"/>
                <w:bCs/>
                <w:sz w:val="20"/>
              </w:rPr>
              <w:t xml:space="preserve">near </w:t>
            </w:r>
            <w:r w:rsidR="00A6001D">
              <w:rPr>
                <w:rFonts w:cs="Arial"/>
                <w:bCs/>
                <w:sz w:val="20"/>
              </w:rPr>
              <w:t xml:space="preserve">20% increase in harvest effort. </w:t>
            </w:r>
            <w:r w:rsidR="00B737D9">
              <w:rPr>
                <w:rFonts w:cs="Arial"/>
                <w:bCs/>
                <w:sz w:val="20"/>
              </w:rPr>
              <w:t>The</w:t>
            </w:r>
            <w:r w:rsidR="005E5581">
              <w:rPr>
                <w:rFonts w:cs="Arial"/>
                <w:bCs/>
                <w:sz w:val="20"/>
              </w:rPr>
              <w:t xml:space="preserve"> </w:t>
            </w:r>
            <w:r w:rsidR="00D275AE">
              <w:rPr>
                <w:rFonts w:cs="Arial"/>
                <w:bCs/>
                <w:sz w:val="20"/>
              </w:rPr>
              <w:t>minimum size limit for each species was factored into the</w:t>
            </w:r>
            <w:r w:rsidR="00412E05">
              <w:rPr>
                <w:rFonts w:cs="Arial"/>
                <w:bCs/>
                <w:sz w:val="20"/>
              </w:rPr>
              <w:t xml:space="preserve"> MSE modelling. </w:t>
            </w:r>
            <w:r w:rsidR="006458B8">
              <w:rPr>
                <w:rFonts w:cs="Arial"/>
                <w:bCs/>
                <w:sz w:val="20"/>
              </w:rPr>
              <w:t>Minimum size limits are</w:t>
            </w:r>
            <w:r w:rsidR="00412E05">
              <w:rPr>
                <w:rFonts w:cs="Arial"/>
                <w:bCs/>
                <w:sz w:val="20"/>
              </w:rPr>
              <w:t xml:space="preserve"> currently not enforced o</w:t>
            </w:r>
            <w:r w:rsidR="009B4356">
              <w:rPr>
                <w:rFonts w:cs="Arial"/>
                <w:bCs/>
                <w:sz w:val="20"/>
              </w:rPr>
              <w:t>r</w:t>
            </w:r>
            <w:r w:rsidR="00412E05">
              <w:rPr>
                <w:rFonts w:cs="Arial"/>
                <w:bCs/>
                <w:sz w:val="20"/>
              </w:rPr>
              <w:t xml:space="preserve"> built into the formal management arrangements in the fishery. </w:t>
            </w:r>
          </w:p>
          <w:p w14:paraId="0FD82E69" w14:textId="37CA23EF" w:rsidR="006740C9" w:rsidRPr="00E22A97" w:rsidRDefault="0052148E" w:rsidP="009B4356">
            <w:pPr>
              <w:pStyle w:val="BodyText1"/>
              <w:spacing w:before="60" w:after="60" w:line="276" w:lineRule="auto"/>
              <w:jc w:val="left"/>
              <w:rPr>
                <w:rFonts w:cs="Arial"/>
                <w:bCs/>
                <w:sz w:val="20"/>
              </w:rPr>
            </w:pPr>
            <w:r>
              <w:rPr>
                <w:rFonts w:cs="Arial"/>
                <w:bCs/>
                <w:sz w:val="20"/>
              </w:rPr>
              <w:t xml:space="preserve">The MSE also noted that </w:t>
            </w:r>
            <w:r w:rsidR="002617E6">
              <w:rPr>
                <w:rFonts w:cs="Arial"/>
                <w:bCs/>
                <w:sz w:val="20"/>
              </w:rPr>
              <w:t xml:space="preserve">risk of depletion increases if </w:t>
            </w:r>
            <w:r w:rsidR="00043EDA">
              <w:rPr>
                <w:rFonts w:cs="Arial"/>
                <w:bCs/>
                <w:sz w:val="20"/>
              </w:rPr>
              <w:t>harvest effort i</w:t>
            </w:r>
            <w:r w:rsidR="009B4356">
              <w:rPr>
                <w:rFonts w:cs="Arial"/>
                <w:bCs/>
                <w:sz w:val="20"/>
              </w:rPr>
              <w:t>s</w:t>
            </w:r>
            <w:r w:rsidR="00043EDA">
              <w:rPr>
                <w:rFonts w:cs="Arial"/>
                <w:bCs/>
                <w:sz w:val="20"/>
              </w:rPr>
              <w:t xml:space="preserve"> not evenly distributed throughout the fisher</w:t>
            </w:r>
            <w:r w:rsidR="00D00E6C">
              <w:rPr>
                <w:rFonts w:cs="Arial"/>
                <w:bCs/>
                <w:sz w:val="20"/>
              </w:rPr>
              <w:t>y</w:t>
            </w:r>
            <w:r w:rsidR="00043EDA">
              <w:rPr>
                <w:rFonts w:cs="Arial"/>
                <w:bCs/>
                <w:sz w:val="20"/>
              </w:rPr>
              <w:t xml:space="preserve"> </w:t>
            </w:r>
            <w:r w:rsidR="00D00E6C">
              <w:rPr>
                <w:rFonts w:cs="Arial"/>
                <w:bCs/>
                <w:sz w:val="20"/>
              </w:rPr>
              <w:t>despite operating in accordance with</w:t>
            </w:r>
            <w:r w:rsidR="00043EDA">
              <w:rPr>
                <w:rFonts w:cs="Arial"/>
                <w:bCs/>
                <w:sz w:val="20"/>
              </w:rPr>
              <w:t xml:space="preserve"> the RHAs. </w:t>
            </w:r>
            <w:r w:rsidR="00A95E66">
              <w:rPr>
                <w:rFonts w:cs="Arial"/>
                <w:bCs/>
                <w:sz w:val="20"/>
              </w:rPr>
              <w:t>S</w:t>
            </w:r>
            <w:r w:rsidR="005A4B0A">
              <w:rPr>
                <w:rFonts w:cs="Arial"/>
                <w:bCs/>
                <w:sz w:val="20"/>
              </w:rPr>
              <w:t xml:space="preserve">patial harvest patterns have emerged showing that 80% of </w:t>
            </w:r>
            <w:r w:rsidR="0088675F">
              <w:rPr>
                <w:rFonts w:cs="Arial"/>
                <w:bCs/>
                <w:sz w:val="20"/>
              </w:rPr>
              <w:t xml:space="preserve">recent </w:t>
            </w:r>
            <w:r w:rsidR="005A4B0A">
              <w:rPr>
                <w:rFonts w:cs="Arial"/>
                <w:bCs/>
                <w:sz w:val="20"/>
              </w:rPr>
              <w:t xml:space="preserve">harvest </w:t>
            </w:r>
            <w:r w:rsidR="008C1560">
              <w:rPr>
                <w:rFonts w:cs="Arial"/>
                <w:bCs/>
                <w:sz w:val="20"/>
              </w:rPr>
              <w:t xml:space="preserve">of White </w:t>
            </w:r>
            <w:proofErr w:type="spellStart"/>
            <w:r w:rsidR="008C1560">
              <w:rPr>
                <w:rFonts w:cs="Arial"/>
                <w:bCs/>
                <w:sz w:val="20"/>
              </w:rPr>
              <w:t>Teatfish</w:t>
            </w:r>
            <w:proofErr w:type="spellEnd"/>
            <w:r w:rsidR="008C1560">
              <w:rPr>
                <w:rFonts w:cs="Arial"/>
                <w:bCs/>
                <w:sz w:val="20"/>
              </w:rPr>
              <w:t xml:space="preserve"> </w:t>
            </w:r>
            <w:r w:rsidR="0088675F">
              <w:rPr>
                <w:rFonts w:cs="Arial"/>
                <w:bCs/>
                <w:sz w:val="20"/>
              </w:rPr>
              <w:t xml:space="preserve">has </w:t>
            </w:r>
            <w:r w:rsidR="00107624">
              <w:rPr>
                <w:rFonts w:cs="Arial"/>
                <w:bCs/>
                <w:sz w:val="20"/>
              </w:rPr>
              <w:t>occur</w:t>
            </w:r>
            <w:r w:rsidR="00E32313">
              <w:rPr>
                <w:rFonts w:cs="Arial"/>
                <w:bCs/>
                <w:sz w:val="20"/>
              </w:rPr>
              <w:t>r</w:t>
            </w:r>
            <w:r w:rsidR="00107624">
              <w:rPr>
                <w:rFonts w:cs="Arial"/>
                <w:bCs/>
                <w:sz w:val="20"/>
              </w:rPr>
              <w:t xml:space="preserve">ed in just 34 of 158 </w:t>
            </w:r>
            <w:r w:rsidR="00E32313">
              <w:rPr>
                <w:rFonts w:cs="Arial"/>
                <w:bCs/>
                <w:sz w:val="20"/>
              </w:rPr>
              <w:t>zones. Further</w:t>
            </w:r>
            <w:r w:rsidR="00FD213D">
              <w:rPr>
                <w:rFonts w:cs="Arial"/>
                <w:bCs/>
                <w:sz w:val="20"/>
              </w:rPr>
              <w:t>,</w:t>
            </w:r>
            <w:r w:rsidR="00E32313">
              <w:rPr>
                <w:rFonts w:cs="Arial"/>
                <w:bCs/>
                <w:sz w:val="20"/>
              </w:rPr>
              <w:t xml:space="preserve"> nearly 25% of </w:t>
            </w:r>
            <w:r w:rsidR="00B14997">
              <w:rPr>
                <w:rFonts w:cs="Arial"/>
                <w:bCs/>
                <w:sz w:val="20"/>
              </w:rPr>
              <w:t xml:space="preserve">harvest </w:t>
            </w:r>
            <w:r w:rsidR="004A6E1A">
              <w:rPr>
                <w:rFonts w:cs="Arial"/>
                <w:bCs/>
                <w:sz w:val="20"/>
              </w:rPr>
              <w:t>of this species occurred in just one harvest zone.</w:t>
            </w:r>
            <w:r w:rsidR="00C807A2">
              <w:rPr>
                <w:rFonts w:cs="Arial"/>
                <w:bCs/>
                <w:sz w:val="20"/>
              </w:rPr>
              <w:t xml:space="preserve"> It is not clear whether a </w:t>
            </w:r>
            <w:r w:rsidR="00DD4065">
              <w:rPr>
                <w:rFonts w:cs="Arial"/>
                <w:bCs/>
                <w:sz w:val="20"/>
              </w:rPr>
              <w:t>three-year</w:t>
            </w:r>
            <w:r w:rsidR="00C807A2">
              <w:rPr>
                <w:rFonts w:cs="Arial"/>
                <w:bCs/>
                <w:sz w:val="20"/>
              </w:rPr>
              <w:t xml:space="preserve"> rotation would allow sufficient time for stocks to re</w:t>
            </w:r>
            <w:r w:rsidR="00087782">
              <w:rPr>
                <w:rFonts w:cs="Arial"/>
                <w:bCs/>
                <w:sz w:val="20"/>
              </w:rPr>
              <w:t xml:space="preserve">cover </w:t>
            </w:r>
            <w:r w:rsidR="004C676A">
              <w:rPr>
                <w:rFonts w:cs="Arial"/>
                <w:bCs/>
                <w:sz w:val="20"/>
              </w:rPr>
              <w:t xml:space="preserve">under this </w:t>
            </w:r>
            <w:r w:rsidR="006C6120">
              <w:rPr>
                <w:rFonts w:cs="Arial"/>
                <w:bCs/>
                <w:sz w:val="20"/>
              </w:rPr>
              <w:t>harvest</w:t>
            </w:r>
            <w:r w:rsidR="00D00E6C">
              <w:rPr>
                <w:rFonts w:cs="Arial"/>
                <w:bCs/>
                <w:sz w:val="20"/>
              </w:rPr>
              <w:t xml:space="preserve"> concentration</w:t>
            </w:r>
            <w:r w:rsidR="006C6120">
              <w:rPr>
                <w:rFonts w:cs="Arial"/>
                <w:bCs/>
                <w:sz w:val="20"/>
              </w:rPr>
              <w:t xml:space="preserve">. </w:t>
            </w:r>
            <w:r w:rsidR="00CC2BCB">
              <w:rPr>
                <w:rFonts w:cs="Arial"/>
                <w:bCs/>
                <w:sz w:val="20"/>
              </w:rPr>
              <w:t xml:space="preserve">Spatial harvest data is not regularly reported in this fishery, the </w:t>
            </w:r>
            <w:r w:rsidR="00056227">
              <w:rPr>
                <w:rFonts w:cs="Arial"/>
                <w:bCs/>
                <w:sz w:val="20"/>
              </w:rPr>
              <w:t xml:space="preserve">information on the spatial harvest of White </w:t>
            </w:r>
            <w:proofErr w:type="spellStart"/>
            <w:r w:rsidR="00056227">
              <w:rPr>
                <w:rFonts w:cs="Arial"/>
                <w:bCs/>
                <w:sz w:val="20"/>
              </w:rPr>
              <w:t>Teatfish</w:t>
            </w:r>
            <w:proofErr w:type="spellEnd"/>
            <w:r w:rsidR="00056227">
              <w:rPr>
                <w:rFonts w:cs="Arial"/>
                <w:bCs/>
                <w:sz w:val="20"/>
              </w:rPr>
              <w:t xml:space="preserve"> only came to light though the p</w:t>
            </w:r>
            <w:r w:rsidR="000061E7">
              <w:rPr>
                <w:rFonts w:cs="Arial"/>
                <w:bCs/>
                <w:sz w:val="20"/>
              </w:rPr>
              <w:t>ublication of the report on the feasibility of undertaking</w:t>
            </w:r>
            <w:r w:rsidR="00052187">
              <w:rPr>
                <w:rFonts w:cs="Arial"/>
                <w:bCs/>
                <w:sz w:val="20"/>
              </w:rPr>
              <w:t xml:space="preserve"> a</w:t>
            </w:r>
            <w:r w:rsidR="000061E7">
              <w:rPr>
                <w:rFonts w:cs="Arial"/>
                <w:bCs/>
                <w:sz w:val="20"/>
              </w:rPr>
              <w:t xml:space="preserve"> biomass survey for this species. It is therefore unknown whether </w:t>
            </w:r>
            <w:r w:rsidR="00534D73">
              <w:rPr>
                <w:rFonts w:cs="Arial"/>
                <w:bCs/>
                <w:sz w:val="20"/>
              </w:rPr>
              <w:t xml:space="preserve">equally concerning spatial harvest trends are occurring for other species in the fishery. </w:t>
            </w:r>
          </w:p>
        </w:tc>
      </w:tr>
      <w:tr w:rsidR="00885298" w:rsidRPr="00433FCA" w14:paraId="1E480671" w14:textId="77777777" w:rsidTr="00897D3B">
        <w:trPr>
          <w:cantSplit/>
        </w:trPr>
        <w:tc>
          <w:tcPr>
            <w:tcW w:w="1500" w:type="pct"/>
            <w:shd w:val="clear" w:color="auto" w:fill="FFC000"/>
          </w:tcPr>
          <w:p w14:paraId="22F41D85"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Contain the means of enforcing critical aspects of the management arrangements</w:t>
            </w:r>
            <w:r w:rsidR="006B6EF9" w:rsidRPr="00433FCA">
              <w:rPr>
                <w:rFonts w:cs="Arial"/>
                <w:sz w:val="20"/>
                <w:szCs w:val="20"/>
              </w:rPr>
              <w:t>.</w:t>
            </w:r>
          </w:p>
          <w:p w14:paraId="086604CB" w14:textId="2B986CD8"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1B9CB587" w14:textId="5662BDBC" w:rsidR="005869AD" w:rsidRPr="00E22A97" w:rsidRDefault="005869AD" w:rsidP="00D00E6C">
            <w:pPr>
              <w:spacing w:before="60" w:after="60" w:line="276" w:lineRule="auto"/>
              <w:rPr>
                <w:rFonts w:cs="Arial"/>
                <w:bCs/>
                <w:i/>
                <w:sz w:val="20"/>
                <w:szCs w:val="20"/>
              </w:rPr>
            </w:pPr>
            <w:r w:rsidRPr="00F34AB6">
              <w:rPr>
                <w:rFonts w:cs="Arial"/>
                <w:b/>
                <w:sz w:val="20"/>
                <w:szCs w:val="20"/>
              </w:rPr>
              <w:t>Partially meets</w:t>
            </w:r>
            <w:r w:rsidRPr="00E22A97">
              <w:rPr>
                <w:rFonts w:cs="Arial"/>
                <w:bCs/>
                <w:sz w:val="20"/>
                <w:szCs w:val="20"/>
              </w:rPr>
              <w:t xml:space="preserve"> </w:t>
            </w:r>
            <w:r w:rsidR="00636969" w:rsidRPr="00FA1BF3">
              <w:rPr>
                <w:rFonts w:cs="Arial"/>
                <w:b/>
                <w:sz w:val="20"/>
                <w:szCs w:val="20"/>
              </w:rPr>
              <w:t>–</w:t>
            </w:r>
            <w:r w:rsidRPr="00FA1BF3">
              <w:rPr>
                <w:rFonts w:cs="Arial"/>
                <w:b/>
                <w:sz w:val="20"/>
                <w:szCs w:val="20"/>
              </w:rPr>
              <w:t xml:space="preserve"> </w:t>
            </w:r>
            <w:r w:rsidR="00E34D08" w:rsidRPr="00FA1BF3">
              <w:rPr>
                <w:rFonts w:cs="Arial"/>
                <w:b/>
                <w:sz w:val="20"/>
                <w:szCs w:val="20"/>
              </w:rPr>
              <w:t xml:space="preserve">The fishery includes enforceable quota limits </w:t>
            </w:r>
            <w:r w:rsidR="00BA0A28" w:rsidRPr="00FA1BF3">
              <w:rPr>
                <w:rFonts w:cs="Arial"/>
                <w:b/>
                <w:sz w:val="20"/>
                <w:szCs w:val="20"/>
              </w:rPr>
              <w:t xml:space="preserve">for some </w:t>
            </w:r>
            <w:proofErr w:type="gramStart"/>
            <w:r w:rsidR="00BA0A28" w:rsidRPr="00FA1BF3">
              <w:rPr>
                <w:rFonts w:cs="Arial"/>
                <w:b/>
                <w:sz w:val="20"/>
                <w:szCs w:val="20"/>
              </w:rPr>
              <w:t>species</w:t>
            </w:r>
            <w:proofErr w:type="gramEnd"/>
            <w:r w:rsidR="00863297" w:rsidRPr="00FA1BF3">
              <w:rPr>
                <w:rFonts w:cs="Arial"/>
                <w:b/>
                <w:sz w:val="20"/>
                <w:szCs w:val="20"/>
              </w:rPr>
              <w:t xml:space="preserve"> but</w:t>
            </w:r>
            <w:r w:rsidR="00BA0A28" w:rsidRPr="00FA1BF3">
              <w:rPr>
                <w:rFonts w:cs="Arial"/>
                <w:b/>
                <w:sz w:val="20"/>
                <w:szCs w:val="20"/>
              </w:rPr>
              <w:t xml:space="preserve"> the largest </w:t>
            </w:r>
            <w:r w:rsidR="00863297" w:rsidRPr="00FA1BF3">
              <w:rPr>
                <w:rFonts w:cs="Arial"/>
                <w:b/>
                <w:sz w:val="20"/>
                <w:szCs w:val="20"/>
              </w:rPr>
              <w:t>component of the fishery is managed by species limits which are not enforceable.</w:t>
            </w:r>
            <w:r w:rsidR="00863297">
              <w:rPr>
                <w:rFonts w:cs="Arial"/>
                <w:bCs/>
                <w:sz w:val="20"/>
                <w:szCs w:val="20"/>
              </w:rPr>
              <w:t xml:space="preserve"> </w:t>
            </w:r>
          </w:p>
          <w:p w14:paraId="291C523D" w14:textId="4565BC03" w:rsidR="002A5CEB" w:rsidRDefault="00D200CA" w:rsidP="00D00E6C">
            <w:pPr>
              <w:spacing w:before="60" w:after="60" w:line="276" w:lineRule="auto"/>
              <w:rPr>
                <w:rFonts w:cs="Arial"/>
                <w:bCs/>
                <w:sz w:val="20"/>
                <w:szCs w:val="20"/>
              </w:rPr>
            </w:pPr>
            <w:r>
              <w:rPr>
                <w:rFonts w:cs="Arial"/>
                <w:bCs/>
                <w:sz w:val="20"/>
                <w:szCs w:val="20"/>
              </w:rPr>
              <w:t>The fishery included three q</w:t>
            </w:r>
            <w:r w:rsidR="00FA726F">
              <w:rPr>
                <w:rFonts w:cs="Arial"/>
                <w:bCs/>
                <w:sz w:val="20"/>
                <w:szCs w:val="20"/>
              </w:rPr>
              <w:t xml:space="preserve">uota categories </w:t>
            </w:r>
            <w:r w:rsidR="00977938">
              <w:rPr>
                <w:rFonts w:cs="Arial"/>
                <w:bCs/>
                <w:sz w:val="20"/>
                <w:szCs w:val="20"/>
              </w:rPr>
              <w:t xml:space="preserve">which constitute </w:t>
            </w:r>
            <w:r w:rsidR="00571E81">
              <w:rPr>
                <w:rFonts w:cs="Arial"/>
                <w:bCs/>
                <w:sz w:val="20"/>
                <w:szCs w:val="20"/>
              </w:rPr>
              <w:t xml:space="preserve">clearly enforceable management </w:t>
            </w:r>
            <w:r w:rsidR="0047049E">
              <w:rPr>
                <w:rFonts w:cs="Arial"/>
                <w:bCs/>
                <w:sz w:val="20"/>
                <w:szCs w:val="20"/>
              </w:rPr>
              <w:t xml:space="preserve">arrangements. </w:t>
            </w:r>
            <w:r w:rsidR="00336773">
              <w:rPr>
                <w:rFonts w:cs="Arial"/>
                <w:bCs/>
                <w:sz w:val="20"/>
                <w:szCs w:val="20"/>
              </w:rPr>
              <w:t>Quota categories are</w:t>
            </w:r>
            <w:r w:rsidR="002A5CEB">
              <w:rPr>
                <w:rFonts w:cs="Arial"/>
                <w:bCs/>
                <w:sz w:val="20"/>
                <w:szCs w:val="20"/>
              </w:rPr>
              <w:t>:</w:t>
            </w:r>
          </w:p>
          <w:p w14:paraId="5CC934F3" w14:textId="0C995D82" w:rsidR="002A5CEB" w:rsidRDefault="0047049E" w:rsidP="00D00E6C">
            <w:pPr>
              <w:pStyle w:val="ListParagraph"/>
              <w:numPr>
                <w:ilvl w:val="0"/>
                <w:numId w:val="15"/>
              </w:numPr>
              <w:spacing w:before="60" w:after="60" w:line="276" w:lineRule="auto"/>
              <w:rPr>
                <w:rFonts w:cs="Arial"/>
                <w:bCs/>
                <w:sz w:val="20"/>
                <w:szCs w:val="20"/>
              </w:rPr>
            </w:pPr>
            <w:r w:rsidRPr="002A5CEB">
              <w:rPr>
                <w:rFonts w:cs="Arial"/>
                <w:bCs/>
                <w:sz w:val="20"/>
                <w:szCs w:val="20"/>
              </w:rPr>
              <w:t xml:space="preserve">Black </w:t>
            </w:r>
            <w:proofErr w:type="spellStart"/>
            <w:r w:rsidRPr="002A5CEB">
              <w:rPr>
                <w:rFonts w:cs="Arial"/>
                <w:bCs/>
                <w:sz w:val="20"/>
                <w:szCs w:val="20"/>
              </w:rPr>
              <w:t>Teatfish</w:t>
            </w:r>
            <w:proofErr w:type="spellEnd"/>
            <w:r w:rsidRPr="002A5CEB">
              <w:rPr>
                <w:rFonts w:cs="Arial"/>
                <w:bCs/>
                <w:sz w:val="20"/>
                <w:szCs w:val="20"/>
              </w:rPr>
              <w:t xml:space="preserve"> </w:t>
            </w:r>
            <w:r w:rsidR="00E85E2D">
              <w:rPr>
                <w:rFonts w:cs="Arial"/>
                <w:bCs/>
                <w:sz w:val="20"/>
                <w:szCs w:val="20"/>
              </w:rPr>
              <w:t>–</w:t>
            </w:r>
            <w:r w:rsidR="002A5CEB">
              <w:rPr>
                <w:rFonts w:cs="Arial"/>
                <w:bCs/>
                <w:sz w:val="20"/>
                <w:szCs w:val="20"/>
              </w:rPr>
              <w:t xml:space="preserve"> </w:t>
            </w:r>
            <w:r w:rsidRPr="002A5CEB">
              <w:rPr>
                <w:rFonts w:cs="Arial"/>
                <w:bCs/>
                <w:sz w:val="20"/>
                <w:szCs w:val="20"/>
              </w:rPr>
              <w:t>30</w:t>
            </w:r>
            <w:r w:rsidR="00E85E2D">
              <w:rPr>
                <w:rFonts w:cs="Arial"/>
                <w:bCs/>
                <w:sz w:val="20"/>
                <w:szCs w:val="20"/>
              </w:rPr>
              <w:t xml:space="preserve"> </w:t>
            </w:r>
            <w:r w:rsidRPr="002A5CEB">
              <w:rPr>
                <w:rFonts w:cs="Arial"/>
                <w:bCs/>
                <w:sz w:val="20"/>
                <w:szCs w:val="20"/>
              </w:rPr>
              <w:t>t</w:t>
            </w:r>
          </w:p>
          <w:p w14:paraId="7F80A0A4" w14:textId="3D6F09AF" w:rsidR="002A5CEB" w:rsidRDefault="0047049E" w:rsidP="00D00E6C">
            <w:pPr>
              <w:pStyle w:val="ListParagraph"/>
              <w:numPr>
                <w:ilvl w:val="0"/>
                <w:numId w:val="15"/>
              </w:numPr>
              <w:spacing w:before="60" w:after="60" w:line="276" w:lineRule="auto"/>
              <w:rPr>
                <w:rFonts w:cs="Arial"/>
                <w:bCs/>
                <w:sz w:val="20"/>
                <w:szCs w:val="20"/>
              </w:rPr>
            </w:pPr>
            <w:r w:rsidRPr="002A5CEB">
              <w:rPr>
                <w:rFonts w:cs="Arial"/>
                <w:bCs/>
                <w:sz w:val="20"/>
                <w:szCs w:val="20"/>
              </w:rPr>
              <w:t xml:space="preserve">White </w:t>
            </w:r>
            <w:proofErr w:type="spellStart"/>
            <w:r w:rsidRPr="002A5CEB">
              <w:rPr>
                <w:rFonts w:cs="Arial"/>
                <w:bCs/>
                <w:sz w:val="20"/>
                <w:szCs w:val="20"/>
              </w:rPr>
              <w:t>Teatfish</w:t>
            </w:r>
            <w:proofErr w:type="spellEnd"/>
            <w:r w:rsidRPr="002A5CEB">
              <w:rPr>
                <w:rFonts w:cs="Arial"/>
                <w:bCs/>
                <w:sz w:val="20"/>
                <w:szCs w:val="20"/>
              </w:rPr>
              <w:t xml:space="preserve"> </w:t>
            </w:r>
            <w:r w:rsidR="00E85E2D">
              <w:rPr>
                <w:rFonts w:cs="Arial"/>
                <w:bCs/>
                <w:sz w:val="20"/>
                <w:szCs w:val="20"/>
              </w:rPr>
              <w:t>–</w:t>
            </w:r>
            <w:r w:rsidR="002A5CEB">
              <w:rPr>
                <w:rFonts w:cs="Arial"/>
                <w:bCs/>
                <w:sz w:val="20"/>
                <w:szCs w:val="20"/>
              </w:rPr>
              <w:t xml:space="preserve"> </w:t>
            </w:r>
            <w:r w:rsidRPr="002A5CEB">
              <w:rPr>
                <w:rFonts w:cs="Arial"/>
                <w:bCs/>
                <w:sz w:val="20"/>
                <w:szCs w:val="20"/>
              </w:rPr>
              <w:t>53</w:t>
            </w:r>
            <w:r w:rsidR="00E85E2D">
              <w:rPr>
                <w:rFonts w:cs="Arial"/>
                <w:bCs/>
                <w:sz w:val="20"/>
                <w:szCs w:val="20"/>
              </w:rPr>
              <w:t xml:space="preserve"> </w:t>
            </w:r>
            <w:r w:rsidRPr="002A5CEB">
              <w:rPr>
                <w:rFonts w:cs="Arial"/>
                <w:bCs/>
                <w:sz w:val="20"/>
                <w:szCs w:val="20"/>
              </w:rPr>
              <w:t>t</w:t>
            </w:r>
          </w:p>
          <w:p w14:paraId="6B07C6DC" w14:textId="17F05293" w:rsidR="00131CCB" w:rsidRDefault="0064383E" w:rsidP="00D00E6C">
            <w:pPr>
              <w:pStyle w:val="ListParagraph"/>
              <w:numPr>
                <w:ilvl w:val="0"/>
                <w:numId w:val="15"/>
              </w:numPr>
              <w:spacing w:before="60" w:after="60" w:line="276" w:lineRule="auto"/>
              <w:rPr>
                <w:rFonts w:cs="Arial"/>
                <w:bCs/>
                <w:sz w:val="20"/>
                <w:szCs w:val="20"/>
              </w:rPr>
            </w:pPr>
            <w:r>
              <w:rPr>
                <w:rFonts w:cs="Arial"/>
                <w:bCs/>
                <w:sz w:val="20"/>
                <w:szCs w:val="20"/>
              </w:rPr>
              <w:t>o</w:t>
            </w:r>
            <w:r w:rsidR="0047049E" w:rsidRPr="002A5CEB">
              <w:rPr>
                <w:rFonts w:cs="Arial"/>
                <w:bCs/>
                <w:sz w:val="20"/>
                <w:szCs w:val="20"/>
              </w:rPr>
              <w:t xml:space="preserve">ther </w:t>
            </w:r>
            <w:r>
              <w:rPr>
                <w:rFonts w:cs="Arial"/>
                <w:bCs/>
                <w:sz w:val="20"/>
                <w:szCs w:val="20"/>
              </w:rPr>
              <w:t>s</w:t>
            </w:r>
            <w:r w:rsidR="0047049E" w:rsidRPr="002A5CEB">
              <w:rPr>
                <w:rFonts w:cs="Arial"/>
                <w:bCs/>
                <w:sz w:val="20"/>
                <w:szCs w:val="20"/>
              </w:rPr>
              <w:t xml:space="preserve">ea </w:t>
            </w:r>
            <w:r>
              <w:rPr>
                <w:rFonts w:cs="Arial"/>
                <w:bCs/>
                <w:sz w:val="20"/>
                <w:szCs w:val="20"/>
              </w:rPr>
              <w:t>c</w:t>
            </w:r>
            <w:r w:rsidR="0047049E" w:rsidRPr="002A5CEB">
              <w:rPr>
                <w:rFonts w:cs="Arial"/>
                <w:bCs/>
                <w:sz w:val="20"/>
                <w:szCs w:val="20"/>
              </w:rPr>
              <w:t>ucumber</w:t>
            </w:r>
            <w:r w:rsidR="00AE14BA">
              <w:rPr>
                <w:rFonts w:cs="Arial"/>
                <w:bCs/>
                <w:sz w:val="20"/>
                <w:szCs w:val="20"/>
              </w:rPr>
              <w:t xml:space="preserve"> </w:t>
            </w:r>
            <w:r w:rsidR="00E85E2D">
              <w:rPr>
                <w:rFonts w:cs="Arial"/>
                <w:bCs/>
                <w:sz w:val="20"/>
                <w:szCs w:val="20"/>
              </w:rPr>
              <w:t>–</w:t>
            </w:r>
            <w:r w:rsidR="0047049E" w:rsidRPr="002A5CEB">
              <w:rPr>
                <w:rFonts w:cs="Arial"/>
                <w:bCs/>
                <w:sz w:val="20"/>
                <w:szCs w:val="20"/>
              </w:rPr>
              <w:t xml:space="preserve"> 308</w:t>
            </w:r>
            <w:r w:rsidR="00E85E2D">
              <w:rPr>
                <w:rFonts w:cs="Arial"/>
                <w:bCs/>
                <w:sz w:val="20"/>
                <w:szCs w:val="20"/>
              </w:rPr>
              <w:t xml:space="preserve"> </w:t>
            </w:r>
            <w:r w:rsidR="0047049E" w:rsidRPr="002A5CEB">
              <w:rPr>
                <w:rFonts w:cs="Arial"/>
                <w:bCs/>
                <w:sz w:val="20"/>
                <w:szCs w:val="20"/>
              </w:rPr>
              <w:t xml:space="preserve">t. </w:t>
            </w:r>
          </w:p>
          <w:p w14:paraId="5E6EC2B8" w14:textId="082BF4AD" w:rsidR="004C1448" w:rsidRPr="004C1448" w:rsidRDefault="004C1448" w:rsidP="00D00E6C">
            <w:pPr>
              <w:spacing w:before="60" w:after="60" w:line="276" w:lineRule="auto"/>
              <w:rPr>
                <w:rFonts w:cs="Arial"/>
                <w:bCs/>
                <w:sz w:val="20"/>
                <w:szCs w:val="20"/>
              </w:rPr>
            </w:pPr>
            <w:r>
              <w:rPr>
                <w:rFonts w:cs="Arial"/>
                <w:bCs/>
                <w:sz w:val="20"/>
                <w:szCs w:val="20"/>
              </w:rPr>
              <w:t xml:space="preserve">Fishers </w:t>
            </w:r>
            <w:r w:rsidR="0064383E">
              <w:rPr>
                <w:rFonts w:cs="Arial"/>
                <w:bCs/>
                <w:sz w:val="20"/>
                <w:szCs w:val="20"/>
              </w:rPr>
              <w:t>must</w:t>
            </w:r>
            <w:r>
              <w:rPr>
                <w:rFonts w:cs="Arial"/>
                <w:bCs/>
                <w:sz w:val="20"/>
                <w:szCs w:val="20"/>
              </w:rPr>
              <w:t xml:space="preserve"> </w:t>
            </w:r>
            <w:r w:rsidR="0018550C">
              <w:rPr>
                <w:rFonts w:cs="Arial"/>
                <w:bCs/>
                <w:sz w:val="20"/>
                <w:szCs w:val="20"/>
              </w:rPr>
              <w:t xml:space="preserve">submit trip and landing notifications as well as report catch of all species. </w:t>
            </w:r>
            <w:r w:rsidR="0018550C" w:rsidRPr="009D494C">
              <w:rPr>
                <w:rFonts w:cs="Arial"/>
                <w:bCs/>
                <w:sz w:val="20"/>
                <w:szCs w:val="20"/>
              </w:rPr>
              <w:t>All catch must be landed to authorised fish receivers (‘</w:t>
            </w:r>
            <w:proofErr w:type="spellStart"/>
            <w:r w:rsidR="0018550C" w:rsidRPr="009D494C">
              <w:rPr>
                <w:rFonts w:cs="Arial"/>
                <w:bCs/>
                <w:sz w:val="20"/>
                <w:szCs w:val="20"/>
              </w:rPr>
              <w:t>Beche</w:t>
            </w:r>
            <w:proofErr w:type="spellEnd"/>
            <w:r w:rsidR="0018550C" w:rsidRPr="009D494C">
              <w:rPr>
                <w:rFonts w:cs="Arial"/>
                <w:bCs/>
                <w:sz w:val="20"/>
                <w:szCs w:val="20"/>
              </w:rPr>
              <w:t>-de-</w:t>
            </w:r>
            <w:proofErr w:type="spellStart"/>
            <w:r w:rsidR="0018550C" w:rsidRPr="009D494C">
              <w:rPr>
                <w:rFonts w:cs="Arial"/>
                <w:bCs/>
                <w:sz w:val="20"/>
                <w:szCs w:val="20"/>
              </w:rPr>
              <w:t>mer</w:t>
            </w:r>
            <w:proofErr w:type="spellEnd"/>
            <w:r w:rsidR="0018550C" w:rsidRPr="009D494C">
              <w:rPr>
                <w:rFonts w:cs="Arial"/>
                <w:bCs/>
                <w:sz w:val="20"/>
                <w:szCs w:val="20"/>
              </w:rPr>
              <w:t xml:space="preserve"> Buyers’), who verify landed catch</w:t>
            </w:r>
            <w:r w:rsidR="009D7335">
              <w:rPr>
                <w:rFonts w:cs="Arial"/>
                <w:bCs/>
                <w:sz w:val="20"/>
                <w:szCs w:val="20"/>
              </w:rPr>
              <w:t xml:space="preserve"> </w:t>
            </w:r>
            <w:r w:rsidR="0018550C" w:rsidRPr="009D494C">
              <w:rPr>
                <w:rFonts w:cs="Arial"/>
                <w:bCs/>
                <w:sz w:val="20"/>
                <w:szCs w:val="20"/>
              </w:rPr>
              <w:t>weights and report their data independently to QDAF</w:t>
            </w:r>
          </w:p>
          <w:p w14:paraId="0A4DE2D2" w14:textId="74132D1E" w:rsidR="00A22DBC" w:rsidRDefault="004125F4" w:rsidP="00D00E6C">
            <w:pPr>
              <w:spacing w:before="60" w:after="60" w:line="276" w:lineRule="auto"/>
              <w:rPr>
                <w:rFonts w:cs="Arial"/>
                <w:bCs/>
                <w:sz w:val="20"/>
                <w:szCs w:val="20"/>
              </w:rPr>
            </w:pPr>
            <w:r>
              <w:rPr>
                <w:rFonts w:cs="Arial"/>
                <w:bCs/>
                <w:sz w:val="20"/>
                <w:szCs w:val="20"/>
              </w:rPr>
              <w:t>The ‘</w:t>
            </w:r>
            <w:r w:rsidR="0098522D">
              <w:rPr>
                <w:rFonts w:cs="Arial"/>
                <w:bCs/>
                <w:sz w:val="20"/>
                <w:szCs w:val="20"/>
              </w:rPr>
              <w:t>o</w:t>
            </w:r>
            <w:r>
              <w:rPr>
                <w:rFonts w:cs="Arial"/>
                <w:bCs/>
                <w:sz w:val="20"/>
                <w:szCs w:val="20"/>
              </w:rPr>
              <w:t xml:space="preserve">ther </w:t>
            </w:r>
            <w:r w:rsidR="00D00E6C">
              <w:rPr>
                <w:rFonts w:cs="Arial"/>
                <w:bCs/>
                <w:sz w:val="20"/>
                <w:szCs w:val="20"/>
              </w:rPr>
              <w:t>s</w:t>
            </w:r>
            <w:r>
              <w:rPr>
                <w:rFonts w:cs="Arial"/>
                <w:bCs/>
                <w:sz w:val="20"/>
                <w:szCs w:val="20"/>
              </w:rPr>
              <w:t xml:space="preserve">ea </w:t>
            </w:r>
            <w:r w:rsidR="00D00E6C">
              <w:rPr>
                <w:rFonts w:cs="Arial"/>
                <w:bCs/>
                <w:sz w:val="20"/>
                <w:szCs w:val="20"/>
              </w:rPr>
              <w:t>c</w:t>
            </w:r>
            <w:r>
              <w:rPr>
                <w:rFonts w:cs="Arial"/>
                <w:bCs/>
                <w:sz w:val="20"/>
                <w:szCs w:val="20"/>
              </w:rPr>
              <w:t xml:space="preserve">ucumber’ quota category includes multiple species </w:t>
            </w:r>
            <w:r w:rsidR="00FD79B3">
              <w:rPr>
                <w:rFonts w:cs="Arial"/>
                <w:bCs/>
                <w:sz w:val="20"/>
                <w:szCs w:val="20"/>
              </w:rPr>
              <w:t xml:space="preserve">with individual harvest reference limits. These limits are </w:t>
            </w:r>
            <w:r w:rsidR="005E66D4">
              <w:rPr>
                <w:rFonts w:cs="Arial"/>
                <w:bCs/>
                <w:sz w:val="20"/>
                <w:szCs w:val="20"/>
              </w:rPr>
              <w:t xml:space="preserve">not hard limits that would result in a cessation of fishing for that species, rather, if reached a management response would be triggered. </w:t>
            </w:r>
            <w:r w:rsidR="00A22DBC">
              <w:rPr>
                <w:rFonts w:cs="Arial"/>
                <w:bCs/>
                <w:sz w:val="20"/>
                <w:szCs w:val="20"/>
              </w:rPr>
              <w:t xml:space="preserve">Burrowing </w:t>
            </w:r>
            <w:r w:rsidR="00A56945">
              <w:rPr>
                <w:rFonts w:cs="Arial"/>
                <w:bCs/>
                <w:sz w:val="20"/>
                <w:szCs w:val="20"/>
              </w:rPr>
              <w:t>B</w:t>
            </w:r>
            <w:r w:rsidR="00A22DBC">
              <w:rPr>
                <w:rFonts w:cs="Arial"/>
                <w:bCs/>
                <w:sz w:val="20"/>
                <w:szCs w:val="20"/>
              </w:rPr>
              <w:t xml:space="preserve">lackfish </w:t>
            </w:r>
            <w:r w:rsidR="00A56945">
              <w:rPr>
                <w:rFonts w:cs="Arial"/>
                <w:bCs/>
                <w:sz w:val="20"/>
                <w:szCs w:val="20"/>
              </w:rPr>
              <w:t xml:space="preserve">is listed as a </w:t>
            </w:r>
            <w:r w:rsidR="00A22DBC">
              <w:rPr>
                <w:rFonts w:cs="Arial"/>
                <w:bCs/>
                <w:sz w:val="20"/>
                <w:szCs w:val="20"/>
              </w:rPr>
              <w:t>Tier 1 species</w:t>
            </w:r>
            <w:r w:rsidR="00A56945">
              <w:rPr>
                <w:rFonts w:cs="Arial"/>
                <w:bCs/>
                <w:sz w:val="20"/>
                <w:szCs w:val="20"/>
              </w:rPr>
              <w:t xml:space="preserve"> in the Harvest Strategy but</w:t>
            </w:r>
            <w:r w:rsidR="00A22DBC">
              <w:rPr>
                <w:rFonts w:cs="Arial"/>
                <w:bCs/>
                <w:sz w:val="20"/>
                <w:szCs w:val="20"/>
              </w:rPr>
              <w:t xml:space="preserve"> is managed in the</w:t>
            </w:r>
            <w:r w:rsidR="00A56945">
              <w:rPr>
                <w:rFonts w:cs="Arial"/>
                <w:bCs/>
                <w:sz w:val="20"/>
                <w:szCs w:val="20"/>
              </w:rPr>
              <w:t xml:space="preserve"> </w:t>
            </w:r>
            <w:proofErr w:type="gramStart"/>
            <w:r w:rsidR="00A56945">
              <w:rPr>
                <w:rFonts w:cs="Arial"/>
                <w:bCs/>
                <w:sz w:val="20"/>
                <w:szCs w:val="20"/>
              </w:rPr>
              <w:t>30</w:t>
            </w:r>
            <w:r w:rsidR="004B7B06">
              <w:rPr>
                <w:rFonts w:cs="Arial"/>
                <w:bCs/>
                <w:sz w:val="20"/>
                <w:szCs w:val="20"/>
              </w:rPr>
              <w:t>8</w:t>
            </w:r>
            <w:r w:rsidR="00727FF3">
              <w:rPr>
                <w:rFonts w:cs="Arial"/>
                <w:bCs/>
                <w:sz w:val="20"/>
                <w:szCs w:val="20"/>
              </w:rPr>
              <w:t xml:space="preserve"> </w:t>
            </w:r>
            <w:r w:rsidR="004B7B06">
              <w:rPr>
                <w:rFonts w:cs="Arial"/>
                <w:bCs/>
                <w:sz w:val="20"/>
                <w:szCs w:val="20"/>
              </w:rPr>
              <w:t>t</w:t>
            </w:r>
            <w:proofErr w:type="gramEnd"/>
            <w:r w:rsidR="00A22DBC">
              <w:rPr>
                <w:rFonts w:cs="Arial"/>
                <w:bCs/>
                <w:sz w:val="20"/>
                <w:szCs w:val="20"/>
              </w:rPr>
              <w:t xml:space="preserve"> basket quota </w:t>
            </w:r>
            <w:r w:rsidR="00A56945">
              <w:rPr>
                <w:rFonts w:cs="Arial"/>
                <w:bCs/>
                <w:sz w:val="20"/>
                <w:szCs w:val="20"/>
              </w:rPr>
              <w:t>‘</w:t>
            </w:r>
            <w:r w:rsidR="00727FF3">
              <w:rPr>
                <w:rFonts w:cs="Arial"/>
                <w:bCs/>
                <w:sz w:val="20"/>
                <w:szCs w:val="20"/>
              </w:rPr>
              <w:t>o</w:t>
            </w:r>
            <w:r w:rsidR="00A56945">
              <w:rPr>
                <w:rFonts w:cs="Arial"/>
                <w:bCs/>
                <w:sz w:val="20"/>
                <w:szCs w:val="20"/>
              </w:rPr>
              <w:t xml:space="preserve">ther </w:t>
            </w:r>
            <w:r w:rsidR="00727FF3">
              <w:rPr>
                <w:rFonts w:cs="Arial"/>
                <w:bCs/>
                <w:sz w:val="20"/>
                <w:szCs w:val="20"/>
              </w:rPr>
              <w:t>s</w:t>
            </w:r>
            <w:r w:rsidR="00A56945">
              <w:rPr>
                <w:rFonts w:cs="Arial"/>
                <w:bCs/>
                <w:sz w:val="20"/>
                <w:szCs w:val="20"/>
              </w:rPr>
              <w:t xml:space="preserve">ea </w:t>
            </w:r>
            <w:r w:rsidR="00727FF3">
              <w:rPr>
                <w:rFonts w:cs="Arial"/>
                <w:bCs/>
                <w:sz w:val="20"/>
                <w:szCs w:val="20"/>
              </w:rPr>
              <w:t>c</w:t>
            </w:r>
            <w:r w:rsidR="00A56945">
              <w:rPr>
                <w:rFonts w:cs="Arial"/>
                <w:bCs/>
                <w:sz w:val="20"/>
                <w:szCs w:val="20"/>
              </w:rPr>
              <w:t>ucumbers’</w:t>
            </w:r>
            <w:r w:rsidR="004B7B06">
              <w:rPr>
                <w:rFonts w:cs="Arial"/>
                <w:bCs/>
                <w:sz w:val="20"/>
                <w:szCs w:val="20"/>
              </w:rPr>
              <w:t>. It is not clear how</w:t>
            </w:r>
            <w:r w:rsidR="006A0081">
              <w:rPr>
                <w:rFonts w:cs="Arial"/>
                <w:bCs/>
                <w:sz w:val="20"/>
                <w:szCs w:val="20"/>
              </w:rPr>
              <w:t xml:space="preserve"> effectively</w:t>
            </w:r>
            <w:r w:rsidR="004B7B06">
              <w:rPr>
                <w:rFonts w:cs="Arial"/>
                <w:bCs/>
                <w:sz w:val="20"/>
                <w:szCs w:val="20"/>
              </w:rPr>
              <w:t xml:space="preserve"> the 60% </w:t>
            </w:r>
            <w:r w:rsidR="006A0081">
              <w:rPr>
                <w:rFonts w:cs="Arial"/>
                <w:bCs/>
                <w:sz w:val="20"/>
                <w:szCs w:val="20"/>
              </w:rPr>
              <w:t>biomass target no</w:t>
            </w:r>
            <w:r w:rsidR="0007603B">
              <w:rPr>
                <w:rFonts w:cs="Arial"/>
                <w:bCs/>
                <w:sz w:val="20"/>
                <w:szCs w:val="20"/>
              </w:rPr>
              <w:t>r the</w:t>
            </w:r>
            <w:r w:rsidR="006A0081">
              <w:rPr>
                <w:rFonts w:cs="Arial"/>
                <w:bCs/>
                <w:sz w:val="20"/>
                <w:szCs w:val="20"/>
              </w:rPr>
              <w:t xml:space="preserve"> 20% biomass limit can be managed or </w:t>
            </w:r>
            <w:r w:rsidR="00991D8F">
              <w:rPr>
                <w:rFonts w:cs="Arial"/>
                <w:bCs/>
                <w:sz w:val="20"/>
                <w:szCs w:val="20"/>
              </w:rPr>
              <w:t>enforced while this species is managed in the ‘</w:t>
            </w:r>
            <w:r w:rsidR="00CF7236">
              <w:rPr>
                <w:rFonts w:cs="Arial"/>
                <w:bCs/>
                <w:sz w:val="20"/>
                <w:szCs w:val="20"/>
              </w:rPr>
              <w:t>o</w:t>
            </w:r>
            <w:r w:rsidR="00991D8F">
              <w:rPr>
                <w:rFonts w:cs="Arial"/>
                <w:bCs/>
                <w:sz w:val="20"/>
                <w:szCs w:val="20"/>
              </w:rPr>
              <w:t xml:space="preserve">ther </w:t>
            </w:r>
            <w:r w:rsidR="00CF7236">
              <w:rPr>
                <w:rFonts w:cs="Arial"/>
                <w:bCs/>
                <w:sz w:val="20"/>
                <w:szCs w:val="20"/>
              </w:rPr>
              <w:t>s</w:t>
            </w:r>
            <w:r w:rsidR="00991D8F">
              <w:rPr>
                <w:rFonts w:cs="Arial"/>
                <w:bCs/>
                <w:sz w:val="20"/>
                <w:szCs w:val="20"/>
              </w:rPr>
              <w:t xml:space="preserve">ea </w:t>
            </w:r>
            <w:r w:rsidR="00CF7236">
              <w:rPr>
                <w:rFonts w:cs="Arial"/>
                <w:bCs/>
                <w:sz w:val="20"/>
                <w:szCs w:val="20"/>
              </w:rPr>
              <w:t>c</w:t>
            </w:r>
            <w:r w:rsidR="00991D8F">
              <w:rPr>
                <w:rFonts w:cs="Arial"/>
                <w:bCs/>
                <w:sz w:val="20"/>
                <w:szCs w:val="20"/>
              </w:rPr>
              <w:t xml:space="preserve">ucumber’ quota category. </w:t>
            </w:r>
          </w:p>
          <w:p w14:paraId="2DCC3E5D" w14:textId="1A5EBDB7" w:rsidR="00A22DBC" w:rsidRDefault="00A22DBC" w:rsidP="00D00E6C">
            <w:pPr>
              <w:spacing w:before="60" w:after="60" w:line="276" w:lineRule="auto"/>
              <w:rPr>
                <w:rFonts w:cs="Arial"/>
                <w:bCs/>
                <w:sz w:val="20"/>
                <w:szCs w:val="20"/>
              </w:rPr>
            </w:pPr>
            <w:r>
              <w:rPr>
                <w:rFonts w:cs="Arial"/>
                <w:bCs/>
                <w:sz w:val="20"/>
                <w:szCs w:val="20"/>
              </w:rPr>
              <w:t>RHAs were previously</w:t>
            </w:r>
            <w:r w:rsidR="00E84C43">
              <w:rPr>
                <w:rFonts w:cs="Arial"/>
                <w:bCs/>
                <w:sz w:val="20"/>
                <w:szCs w:val="20"/>
              </w:rPr>
              <w:t xml:space="preserve"> a</w:t>
            </w:r>
            <w:r>
              <w:rPr>
                <w:rFonts w:cs="Arial"/>
                <w:bCs/>
                <w:sz w:val="20"/>
                <w:szCs w:val="20"/>
              </w:rPr>
              <w:t xml:space="preserve"> voluntary management arrangement under the MoU. </w:t>
            </w:r>
            <w:r w:rsidR="00977938">
              <w:rPr>
                <w:rFonts w:cs="Arial"/>
                <w:bCs/>
                <w:sz w:val="20"/>
                <w:szCs w:val="20"/>
              </w:rPr>
              <w:t>T</w:t>
            </w:r>
            <w:r>
              <w:rPr>
                <w:rFonts w:cs="Arial"/>
                <w:bCs/>
                <w:sz w:val="20"/>
                <w:szCs w:val="20"/>
              </w:rPr>
              <w:t xml:space="preserve">he </w:t>
            </w:r>
            <w:r w:rsidR="00CE238C">
              <w:rPr>
                <w:rFonts w:cs="Arial"/>
                <w:bCs/>
                <w:sz w:val="20"/>
                <w:szCs w:val="20"/>
              </w:rPr>
              <w:t>Harvest Strategy</w:t>
            </w:r>
            <w:r w:rsidR="00977938">
              <w:rPr>
                <w:rFonts w:cs="Arial"/>
                <w:bCs/>
                <w:sz w:val="20"/>
                <w:szCs w:val="20"/>
              </w:rPr>
              <w:t xml:space="preserve"> implemented on 1 September 2021 has formalised the RHAs in the management of the fishery. </w:t>
            </w:r>
            <w:r w:rsidR="00122845">
              <w:rPr>
                <w:rFonts w:cs="Arial"/>
                <w:bCs/>
                <w:sz w:val="20"/>
                <w:szCs w:val="20"/>
              </w:rPr>
              <w:t xml:space="preserve">The fishery </w:t>
            </w:r>
            <w:r w:rsidR="00186F07">
              <w:rPr>
                <w:rFonts w:cs="Arial"/>
                <w:bCs/>
                <w:sz w:val="20"/>
                <w:szCs w:val="20"/>
              </w:rPr>
              <w:t xml:space="preserve">relies on the RHAs as a management strategy to minimise risk </w:t>
            </w:r>
            <w:r w:rsidR="00163220">
              <w:rPr>
                <w:rFonts w:cs="Arial"/>
                <w:bCs/>
                <w:sz w:val="20"/>
                <w:szCs w:val="20"/>
              </w:rPr>
              <w:t xml:space="preserve">of overfishing species which </w:t>
            </w:r>
            <w:r w:rsidR="00F9589B">
              <w:rPr>
                <w:rFonts w:cs="Arial"/>
                <w:bCs/>
                <w:sz w:val="20"/>
                <w:szCs w:val="20"/>
              </w:rPr>
              <w:t xml:space="preserve">have not </w:t>
            </w:r>
            <w:r w:rsidR="00D151B8">
              <w:rPr>
                <w:rFonts w:cs="Arial"/>
                <w:bCs/>
                <w:sz w:val="20"/>
                <w:szCs w:val="20"/>
              </w:rPr>
              <w:t>been</w:t>
            </w:r>
            <w:r w:rsidR="00F9589B">
              <w:rPr>
                <w:rFonts w:cs="Arial"/>
                <w:bCs/>
                <w:sz w:val="20"/>
                <w:szCs w:val="20"/>
              </w:rPr>
              <w:t xml:space="preserve"> considered in a stock assessment </w:t>
            </w:r>
            <w:r w:rsidR="00D00E6C">
              <w:rPr>
                <w:rFonts w:cs="Arial"/>
                <w:bCs/>
                <w:sz w:val="20"/>
                <w:szCs w:val="20"/>
              </w:rPr>
              <w:t>(</w:t>
            </w:r>
            <w:proofErr w:type="gramStart"/>
            <w:r w:rsidR="00F9589B">
              <w:rPr>
                <w:rFonts w:cs="Arial"/>
                <w:bCs/>
                <w:sz w:val="20"/>
                <w:szCs w:val="20"/>
              </w:rPr>
              <w:t>the majority of</w:t>
            </w:r>
            <w:proofErr w:type="gramEnd"/>
            <w:r w:rsidR="00F9589B">
              <w:rPr>
                <w:rFonts w:cs="Arial"/>
                <w:bCs/>
                <w:sz w:val="20"/>
                <w:szCs w:val="20"/>
              </w:rPr>
              <w:t xml:space="preserve"> species taken in the fishery</w:t>
            </w:r>
            <w:r w:rsidR="00D00E6C">
              <w:rPr>
                <w:rFonts w:cs="Arial"/>
                <w:bCs/>
                <w:sz w:val="20"/>
                <w:szCs w:val="20"/>
              </w:rPr>
              <w:t>)</w:t>
            </w:r>
            <w:r w:rsidR="00F9589B">
              <w:rPr>
                <w:rFonts w:cs="Arial"/>
                <w:bCs/>
                <w:sz w:val="20"/>
                <w:szCs w:val="20"/>
              </w:rPr>
              <w:t xml:space="preserve">. </w:t>
            </w:r>
            <w:r w:rsidR="00D27836">
              <w:rPr>
                <w:rFonts w:cs="Arial"/>
                <w:bCs/>
                <w:sz w:val="20"/>
                <w:szCs w:val="20"/>
              </w:rPr>
              <w:t>Despite being a critical aspect of the management of the fishery</w:t>
            </w:r>
            <w:r w:rsidR="00A55BD3">
              <w:rPr>
                <w:rFonts w:cs="Arial"/>
                <w:bCs/>
                <w:sz w:val="20"/>
                <w:szCs w:val="20"/>
              </w:rPr>
              <w:t>, RH</w:t>
            </w:r>
            <w:r w:rsidR="00BE104D">
              <w:rPr>
                <w:rFonts w:cs="Arial"/>
                <w:bCs/>
                <w:sz w:val="20"/>
                <w:szCs w:val="20"/>
              </w:rPr>
              <w:t>A</w:t>
            </w:r>
            <w:r w:rsidR="00A55BD3">
              <w:rPr>
                <w:rFonts w:cs="Arial"/>
                <w:bCs/>
                <w:sz w:val="20"/>
                <w:szCs w:val="20"/>
              </w:rPr>
              <w:t xml:space="preserve"> arrangements have changed over the </w:t>
            </w:r>
            <w:proofErr w:type="gramStart"/>
            <w:r w:rsidR="00A55BD3">
              <w:rPr>
                <w:rFonts w:cs="Arial"/>
                <w:bCs/>
                <w:sz w:val="20"/>
                <w:szCs w:val="20"/>
              </w:rPr>
              <w:t>years</w:t>
            </w:r>
            <w:proofErr w:type="gramEnd"/>
            <w:r w:rsidR="00A55BD3">
              <w:rPr>
                <w:rFonts w:cs="Arial"/>
                <w:bCs/>
                <w:sz w:val="20"/>
                <w:szCs w:val="20"/>
              </w:rPr>
              <w:t xml:space="preserve"> and</w:t>
            </w:r>
            <w:r w:rsidR="00D27836">
              <w:rPr>
                <w:rFonts w:cs="Arial"/>
                <w:bCs/>
                <w:sz w:val="20"/>
                <w:szCs w:val="20"/>
              </w:rPr>
              <w:t xml:space="preserve"> it is not clear how the RHAs are enforced. </w:t>
            </w:r>
            <w:r w:rsidR="004F41FA">
              <w:rPr>
                <w:rFonts w:cs="Arial"/>
                <w:bCs/>
                <w:sz w:val="20"/>
                <w:szCs w:val="20"/>
              </w:rPr>
              <w:t>QDAF ha</w:t>
            </w:r>
            <w:r w:rsidR="004C2790">
              <w:rPr>
                <w:rFonts w:cs="Arial"/>
                <w:bCs/>
                <w:sz w:val="20"/>
                <w:szCs w:val="20"/>
              </w:rPr>
              <w:t>s</w:t>
            </w:r>
            <w:r w:rsidR="004F41FA">
              <w:rPr>
                <w:rFonts w:cs="Arial"/>
                <w:bCs/>
                <w:sz w:val="20"/>
                <w:szCs w:val="20"/>
              </w:rPr>
              <w:t xml:space="preserve"> indicated that VMS was historically used to </w:t>
            </w:r>
            <w:r w:rsidR="00D151B8">
              <w:rPr>
                <w:rFonts w:cs="Arial"/>
                <w:bCs/>
                <w:sz w:val="20"/>
                <w:szCs w:val="20"/>
              </w:rPr>
              <w:t xml:space="preserve">validate compliance </w:t>
            </w:r>
            <w:r w:rsidR="004C2790">
              <w:rPr>
                <w:rFonts w:cs="Arial"/>
                <w:bCs/>
                <w:sz w:val="20"/>
                <w:szCs w:val="20"/>
              </w:rPr>
              <w:t>with</w:t>
            </w:r>
            <w:r w:rsidR="00D151B8">
              <w:rPr>
                <w:rFonts w:cs="Arial"/>
                <w:bCs/>
                <w:sz w:val="20"/>
                <w:szCs w:val="20"/>
              </w:rPr>
              <w:t xml:space="preserve"> the RHAs</w:t>
            </w:r>
            <w:r w:rsidR="00A55BD3">
              <w:rPr>
                <w:rFonts w:cs="Arial"/>
                <w:bCs/>
                <w:sz w:val="20"/>
                <w:szCs w:val="20"/>
              </w:rPr>
              <w:t>.</w:t>
            </w:r>
          </w:p>
          <w:p w14:paraId="66A20B1C" w14:textId="52C98B49" w:rsidR="004711F5" w:rsidRDefault="00A45EB9" w:rsidP="00D00E6C">
            <w:pPr>
              <w:spacing w:before="60" w:after="60" w:line="276" w:lineRule="auto"/>
              <w:rPr>
                <w:rFonts w:cs="Arial"/>
                <w:bCs/>
                <w:sz w:val="20"/>
                <w:szCs w:val="20"/>
              </w:rPr>
            </w:pPr>
            <w:r>
              <w:rPr>
                <w:rFonts w:cs="Arial"/>
                <w:bCs/>
                <w:sz w:val="20"/>
                <w:szCs w:val="20"/>
              </w:rPr>
              <w:t>The 2014 MSE</w:t>
            </w:r>
            <w:r w:rsidR="007D3030">
              <w:rPr>
                <w:rFonts w:cs="Arial"/>
                <w:bCs/>
                <w:sz w:val="20"/>
                <w:szCs w:val="20"/>
              </w:rPr>
              <w:t>,</w:t>
            </w:r>
            <w:r>
              <w:rPr>
                <w:rFonts w:cs="Arial"/>
                <w:bCs/>
                <w:sz w:val="20"/>
                <w:szCs w:val="20"/>
              </w:rPr>
              <w:t xml:space="preserve"> which </w:t>
            </w:r>
            <w:r w:rsidR="00B0370F">
              <w:rPr>
                <w:rFonts w:cs="Arial"/>
                <w:bCs/>
                <w:sz w:val="20"/>
                <w:szCs w:val="20"/>
              </w:rPr>
              <w:t>indicated the effectiveness of the RHAs in reducing risk of overfishing</w:t>
            </w:r>
            <w:r w:rsidR="00402C72">
              <w:rPr>
                <w:rFonts w:cs="Arial"/>
                <w:bCs/>
                <w:sz w:val="20"/>
                <w:szCs w:val="20"/>
              </w:rPr>
              <w:t>,</w:t>
            </w:r>
            <w:r w:rsidR="00B0370F">
              <w:rPr>
                <w:rFonts w:cs="Arial"/>
                <w:bCs/>
                <w:sz w:val="20"/>
                <w:szCs w:val="20"/>
              </w:rPr>
              <w:t xml:space="preserve"> </w:t>
            </w:r>
            <w:r w:rsidR="003C21CB">
              <w:rPr>
                <w:rFonts w:cs="Arial"/>
                <w:bCs/>
                <w:sz w:val="20"/>
                <w:szCs w:val="20"/>
              </w:rPr>
              <w:t>was undertake when there was a minimum size limit in plac</w:t>
            </w:r>
            <w:r w:rsidR="00DE1B2F">
              <w:rPr>
                <w:rFonts w:cs="Arial"/>
                <w:bCs/>
                <w:sz w:val="20"/>
                <w:szCs w:val="20"/>
              </w:rPr>
              <w:t>e</w:t>
            </w:r>
            <w:r w:rsidR="00213DB8">
              <w:rPr>
                <w:rFonts w:cs="Arial"/>
                <w:bCs/>
                <w:sz w:val="20"/>
                <w:szCs w:val="20"/>
              </w:rPr>
              <w:t xml:space="preserve"> for each species</w:t>
            </w:r>
            <w:r w:rsidR="00402C72">
              <w:rPr>
                <w:rFonts w:cs="Arial"/>
                <w:bCs/>
                <w:sz w:val="20"/>
                <w:szCs w:val="20"/>
              </w:rPr>
              <w:t xml:space="preserve"> harvested in the fishery</w:t>
            </w:r>
            <w:r w:rsidR="00213DB8">
              <w:rPr>
                <w:rFonts w:cs="Arial"/>
                <w:bCs/>
                <w:sz w:val="20"/>
                <w:szCs w:val="20"/>
              </w:rPr>
              <w:t xml:space="preserve">. </w:t>
            </w:r>
            <w:r w:rsidR="001B0082">
              <w:rPr>
                <w:rFonts w:cs="Arial"/>
                <w:bCs/>
                <w:sz w:val="20"/>
                <w:szCs w:val="20"/>
              </w:rPr>
              <w:t>Updates to the management of the fishery under the Harvest Strategy no longer include minimum size limit</w:t>
            </w:r>
            <w:r w:rsidR="00433A67">
              <w:rPr>
                <w:rFonts w:cs="Arial"/>
                <w:bCs/>
                <w:sz w:val="20"/>
                <w:szCs w:val="20"/>
              </w:rPr>
              <w:t>s</w:t>
            </w:r>
            <w:r w:rsidR="001B0082">
              <w:rPr>
                <w:rFonts w:cs="Arial"/>
                <w:bCs/>
                <w:sz w:val="20"/>
                <w:szCs w:val="20"/>
              </w:rPr>
              <w:t>.</w:t>
            </w:r>
            <w:r w:rsidR="00767842">
              <w:rPr>
                <w:rFonts w:cs="Arial"/>
                <w:bCs/>
                <w:sz w:val="20"/>
                <w:szCs w:val="20"/>
              </w:rPr>
              <w:t xml:space="preserve"> QDAF has indicated that </w:t>
            </w:r>
            <w:r w:rsidR="00A87F14">
              <w:rPr>
                <w:rFonts w:cs="Arial"/>
                <w:bCs/>
                <w:sz w:val="20"/>
                <w:szCs w:val="20"/>
              </w:rPr>
              <w:t xml:space="preserve">this is due sea cucumber’s size plasticity making a minimum size limit </w:t>
            </w:r>
            <w:r w:rsidR="000D6DCF">
              <w:rPr>
                <w:rFonts w:cs="Arial"/>
                <w:bCs/>
                <w:sz w:val="20"/>
                <w:szCs w:val="20"/>
              </w:rPr>
              <w:t>im</w:t>
            </w:r>
            <w:r w:rsidR="00A87F14">
              <w:rPr>
                <w:rFonts w:cs="Arial"/>
                <w:bCs/>
                <w:sz w:val="20"/>
                <w:szCs w:val="20"/>
              </w:rPr>
              <w:t>possible to enforced</w:t>
            </w:r>
            <w:r w:rsidR="00131AA1">
              <w:rPr>
                <w:rFonts w:cs="Arial"/>
                <w:bCs/>
                <w:sz w:val="20"/>
                <w:szCs w:val="20"/>
              </w:rPr>
              <w:t xml:space="preserve">. </w:t>
            </w:r>
          </w:p>
          <w:p w14:paraId="378C13B2" w14:textId="42A67C48" w:rsidR="008F45D5" w:rsidRDefault="008F45D5" w:rsidP="008F45D5">
            <w:pPr>
              <w:spacing w:before="60" w:after="60" w:line="276" w:lineRule="auto"/>
              <w:rPr>
                <w:rFonts w:cs="Arial"/>
                <w:bCs/>
                <w:sz w:val="20"/>
                <w:szCs w:val="20"/>
              </w:rPr>
            </w:pPr>
            <w:r>
              <w:rPr>
                <w:rFonts w:cs="Arial"/>
                <w:bCs/>
                <w:sz w:val="20"/>
                <w:szCs w:val="20"/>
              </w:rPr>
              <w:t>As detailed in Purcell 2010, a</w:t>
            </w:r>
            <w:r w:rsidRPr="00463CD1">
              <w:rPr>
                <w:rFonts w:cs="Arial"/>
                <w:bCs/>
                <w:sz w:val="20"/>
                <w:szCs w:val="20"/>
              </w:rPr>
              <w:t xml:space="preserve"> principal use of size limits in sea cucumber fisheries is to protect juveniles and recently</w:t>
            </w:r>
            <w:r>
              <w:rPr>
                <w:rFonts w:cs="Arial"/>
                <w:bCs/>
                <w:sz w:val="20"/>
                <w:szCs w:val="20"/>
              </w:rPr>
              <w:t xml:space="preserve"> </w:t>
            </w:r>
            <w:r w:rsidRPr="00463CD1">
              <w:rPr>
                <w:rFonts w:cs="Arial"/>
                <w:bCs/>
                <w:sz w:val="20"/>
                <w:szCs w:val="20"/>
              </w:rPr>
              <w:t>matured adults to allow individuals one or more seasons to spawn before they can be</w:t>
            </w:r>
            <w:r>
              <w:rPr>
                <w:rFonts w:cs="Arial"/>
                <w:bCs/>
                <w:sz w:val="20"/>
                <w:szCs w:val="20"/>
              </w:rPr>
              <w:t xml:space="preserve"> </w:t>
            </w:r>
            <w:r w:rsidRPr="00463CD1">
              <w:rPr>
                <w:rFonts w:cs="Arial"/>
                <w:bCs/>
                <w:sz w:val="20"/>
                <w:szCs w:val="20"/>
              </w:rPr>
              <w:t>fished. Minimum size limits must therefore have</w:t>
            </w:r>
            <w:r>
              <w:rPr>
                <w:rFonts w:cs="Arial"/>
                <w:bCs/>
                <w:sz w:val="20"/>
                <w:szCs w:val="20"/>
              </w:rPr>
              <w:t xml:space="preserve"> </w:t>
            </w:r>
            <w:r w:rsidRPr="00463CD1">
              <w:rPr>
                <w:rFonts w:cs="Arial"/>
                <w:bCs/>
                <w:sz w:val="20"/>
                <w:szCs w:val="20"/>
              </w:rPr>
              <w:t>some biological basis corresponding to size at which individuals first become mature</w:t>
            </w:r>
            <w:r>
              <w:rPr>
                <w:rFonts w:cs="Arial"/>
                <w:bCs/>
                <w:sz w:val="20"/>
                <w:szCs w:val="20"/>
              </w:rPr>
              <w:t xml:space="preserve"> </w:t>
            </w:r>
            <w:r w:rsidRPr="00463CD1">
              <w:rPr>
                <w:rFonts w:cs="Arial"/>
                <w:bCs/>
                <w:sz w:val="20"/>
                <w:szCs w:val="20"/>
              </w:rPr>
              <w:t xml:space="preserve">plus some additional </w:t>
            </w:r>
            <w:proofErr w:type="gramStart"/>
            <w:r w:rsidRPr="00463CD1">
              <w:rPr>
                <w:rFonts w:cs="Arial"/>
                <w:bCs/>
                <w:sz w:val="20"/>
                <w:szCs w:val="20"/>
              </w:rPr>
              <w:t>buffer</w:t>
            </w:r>
            <w:proofErr w:type="gramEnd"/>
            <w:r w:rsidRPr="00463CD1">
              <w:rPr>
                <w:rFonts w:cs="Arial"/>
                <w:bCs/>
                <w:sz w:val="20"/>
                <w:szCs w:val="20"/>
              </w:rPr>
              <w:t xml:space="preserve"> so they have time to contribute to spawning.</w:t>
            </w:r>
            <w:r>
              <w:rPr>
                <w:rFonts w:cs="Arial"/>
                <w:bCs/>
                <w:sz w:val="20"/>
                <w:szCs w:val="20"/>
              </w:rPr>
              <w:t xml:space="preserve"> </w:t>
            </w:r>
            <w:r w:rsidRPr="00463CD1">
              <w:rPr>
                <w:rFonts w:cs="Arial"/>
                <w:bCs/>
                <w:sz w:val="20"/>
                <w:szCs w:val="20"/>
              </w:rPr>
              <w:t xml:space="preserve">Fisheries managers may also want to set minimum size limits on (dried) </w:t>
            </w:r>
            <w:proofErr w:type="spellStart"/>
            <w:r w:rsidRPr="00463CD1">
              <w:rPr>
                <w:rFonts w:cs="Arial"/>
                <w:bCs/>
                <w:sz w:val="20"/>
                <w:szCs w:val="20"/>
              </w:rPr>
              <w:t>beche</w:t>
            </w:r>
            <w:proofErr w:type="spellEnd"/>
            <w:r w:rsidRPr="00463CD1">
              <w:rPr>
                <w:rFonts w:cs="Arial"/>
                <w:bCs/>
                <w:sz w:val="20"/>
                <w:szCs w:val="20"/>
              </w:rPr>
              <w:t>-de</w:t>
            </w:r>
            <w:r w:rsidR="00FA446D">
              <w:rPr>
                <w:rFonts w:cs="Arial"/>
                <w:bCs/>
                <w:sz w:val="20"/>
                <w:szCs w:val="20"/>
              </w:rPr>
              <w:t>-</w:t>
            </w:r>
            <w:proofErr w:type="spellStart"/>
            <w:r w:rsidRPr="00463CD1">
              <w:rPr>
                <w:rFonts w:cs="Arial"/>
                <w:bCs/>
                <w:sz w:val="20"/>
                <w:szCs w:val="20"/>
              </w:rPr>
              <w:t>mer</w:t>
            </w:r>
            <w:proofErr w:type="spellEnd"/>
            <w:r w:rsidRPr="00463CD1">
              <w:rPr>
                <w:rFonts w:cs="Arial"/>
                <w:bCs/>
                <w:sz w:val="20"/>
                <w:szCs w:val="20"/>
              </w:rPr>
              <w:t xml:space="preserve"> of different species, so that fishers and processors can maximise the export income</w:t>
            </w:r>
            <w:r>
              <w:rPr>
                <w:rFonts w:cs="Arial"/>
                <w:bCs/>
                <w:sz w:val="20"/>
                <w:szCs w:val="20"/>
              </w:rPr>
              <w:t xml:space="preserve"> </w:t>
            </w:r>
            <w:r w:rsidRPr="00463CD1">
              <w:rPr>
                <w:rFonts w:cs="Arial"/>
                <w:bCs/>
                <w:sz w:val="20"/>
                <w:szCs w:val="20"/>
              </w:rPr>
              <w:t xml:space="preserve">for </w:t>
            </w:r>
            <w:proofErr w:type="gramStart"/>
            <w:r w:rsidRPr="00463CD1">
              <w:rPr>
                <w:rFonts w:cs="Arial"/>
                <w:bCs/>
                <w:sz w:val="20"/>
                <w:szCs w:val="20"/>
              </w:rPr>
              <w:t>each individual</w:t>
            </w:r>
            <w:proofErr w:type="gramEnd"/>
            <w:r w:rsidRPr="00463CD1">
              <w:rPr>
                <w:rFonts w:cs="Arial"/>
                <w:bCs/>
                <w:sz w:val="20"/>
                <w:szCs w:val="20"/>
              </w:rPr>
              <w:t xml:space="preserve"> removed from the stock. Large sea cucumbers are generally placed</w:t>
            </w:r>
            <w:r>
              <w:rPr>
                <w:rFonts w:cs="Arial"/>
                <w:bCs/>
                <w:sz w:val="20"/>
                <w:szCs w:val="20"/>
              </w:rPr>
              <w:t xml:space="preserve"> </w:t>
            </w:r>
            <w:r w:rsidRPr="00463CD1">
              <w:rPr>
                <w:rFonts w:cs="Arial"/>
                <w:bCs/>
                <w:sz w:val="20"/>
                <w:szCs w:val="20"/>
              </w:rPr>
              <w:t>in a higher grade for export and fetch higher prices</w:t>
            </w:r>
            <w:r>
              <w:rPr>
                <w:rFonts w:cs="Arial"/>
                <w:bCs/>
                <w:sz w:val="20"/>
                <w:szCs w:val="20"/>
              </w:rPr>
              <w:t xml:space="preserve">. </w:t>
            </w:r>
          </w:p>
          <w:p w14:paraId="67CD815A" w14:textId="37CD0B83" w:rsidR="00040161" w:rsidRDefault="00040161" w:rsidP="00040161">
            <w:pPr>
              <w:spacing w:before="60" w:after="60" w:line="276" w:lineRule="auto"/>
              <w:rPr>
                <w:rFonts w:cs="Arial"/>
                <w:bCs/>
                <w:sz w:val="20"/>
                <w:szCs w:val="20"/>
              </w:rPr>
            </w:pPr>
            <w:r w:rsidRPr="000D6DCF">
              <w:rPr>
                <w:rFonts w:cs="Arial"/>
                <w:bCs/>
                <w:sz w:val="20"/>
                <w:szCs w:val="20"/>
              </w:rPr>
              <w:lastRenderedPageBreak/>
              <w:t xml:space="preserve">Conditions </w:t>
            </w:r>
            <w:r w:rsidR="000D6DCF" w:rsidRPr="000D6DCF">
              <w:rPr>
                <w:rFonts w:cs="Arial"/>
                <w:bCs/>
                <w:sz w:val="20"/>
                <w:szCs w:val="20"/>
              </w:rPr>
              <w:t>6</w:t>
            </w:r>
            <w:r w:rsidRPr="000D6DCF">
              <w:rPr>
                <w:rFonts w:cs="Arial"/>
                <w:bCs/>
                <w:sz w:val="20"/>
                <w:szCs w:val="20"/>
              </w:rPr>
              <w:t xml:space="preserve"> </w:t>
            </w:r>
            <w:r w:rsidRPr="00D00E6C">
              <w:rPr>
                <w:rFonts w:cs="Arial"/>
                <w:bCs/>
                <w:sz w:val="20"/>
                <w:szCs w:val="20"/>
              </w:rPr>
              <w:t xml:space="preserve">has been put in place </w:t>
            </w:r>
            <w:r>
              <w:rPr>
                <w:rFonts w:cs="Arial"/>
                <w:bCs/>
                <w:sz w:val="20"/>
                <w:szCs w:val="20"/>
              </w:rPr>
              <w:t xml:space="preserve">and </w:t>
            </w:r>
            <w:r w:rsidRPr="00D00E6C">
              <w:rPr>
                <w:rFonts w:cs="Arial"/>
                <w:bCs/>
                <w:sz w:val="20"/>
                <w:szCs w:val="20"/>
              </w:rPr>
              <w:t>requires</w:t>
            </w:r>
            <w:r>
              <w:rPr>
                <w:rFonts w:cs="Arial"/>
                <w:bCs/>
                <w:sz w:val="20"/>
                <w:szCs w:val="20"/>
              </w:rPr>
              <w:t xml:space="preserve"> an investigation of meaningful and implementable minimum size limits. </w:t>
            </w:r>
          </w:p>
          <w:p w14:paraId="44E84912" w14:textId="3D1B1756" w:rsidR="00885298" w:rsidRPr="00E22A97" w:rsidRDefault="00885298" w:rsidP="00D00E6C">
            <w:pPr>
              <w:spacing w:before="60" w:after="60" w:line="276" w:lineRule="auto"/>
              <w:rPr>
                <w:rFonts w:cs="Arial"/>
                <w:bCs/>
                <w:sz w:val="20"/>
                <w:szCs w:val="20"/>
              </w:rPr>
            </w:pPr>
          </w:p>
        </w:tc>
      </w:tr>
      <w:tr w:rsidR="00885298" w:rsidRPr="00433FCA" w14:paraId="050DB205" w14:textId="77777777" w:rsidTr="003965A3">
        <w:trPr>
          <w:cantSplit/>
        </w:trPr>
        <w:tc>
          <w:tcPr>
            <w:tcW w:w="1500" w:type="pct"/>
            <w:shd w:val="clear" w:color="auto" w:fill="92D050"/>
          </w:tcPr>
          <w:p w14:paraId="0A1D3E47"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 xml:space="preserve">Provide for the periodic review of the performance of the fishery management arrangements and the management strategies, </w:t>
            </w:r>
            <w:proofErr w:type="gramStart"/>
            <w:r w:rsidRPr="00433FCA">
              <w:rPr>
                <w:rFonts w:cs="Arial"/>
                <w:sz w:val="20"/>
                <w:szCs w:val="20"/>
              </w:rPr>
              <w:t>objectives</w:t>
            </w:r>
            <w:proofErr w:type="gramEnd"/>
            <w:r w:rsidRPr="00433FCA">
              <w:rPr>
                <w:rFonts w:cs="Arial"/>
                <w:sz w:val="20"/>
                <w:szCs w:val="20"/>
              </w:rPr>
              <w:t xml:space="preserve"> and criteria</w:t>
            </w:r>
            <w:r w:rsidR="006B6EF9" w:rsidRPr="00433FCA">
              <w:rPr>
                <w:rFonts w:cs="Arial"/>
                <w:sz w:val="20"/>
                <w:szCs w:val="20"/>
              </w:rPr>
              <w:t>.</w:t>
            </w:r>
          </w:p>
          <w:p w14:paraId="4C2BDACB" w14:textId="0F524F03"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47B160A0" w14:textId="3A874D93" w:rsidR="005869AD" w:rsidRPr="000354AD" w:rsidRDefault="00F8472A" w:rsidP="00D00E6C">
            <w:pPr>
              <w:spacing w:before="60" w:after="60" w:line="276" w:lineRule="auto"/>
              <w:contextualSpacing/>
              <w:rPr>
                <w:rFonts w:cs="Arial"/>
                <w:bCs/>
                <w:sz w:val="20"/>
                <w:szCs w:val="20"/>
              </w:rPr>
            </w:pPr>
            <w:r w:rsidRPr="000354AD">
              <w:rPr>
                <w:rFonts w:cs="Arial"/>
                <w:b/>
                <w:sz w:val="20"/>
                <w:szCs w:val="20"/>
              </w:rPr>
              <w:t>Meets</w:t>
            </w:r>
            <w:r w:rsidRPr="000354AD">
              <w:rPr>
                <w:rFonts w:cs="Arial"/>
                <w:bCs/>
                <w:sz w:val="20"/>
                <w:szCs w:val="20"/>
              </w:rPr>
              <w:t xml:space="preserve"> </w:t>
            </w:r>
            <w:r w:rsidR="005869AD" w:rsidRPr="00FA1BF3">
              <w:rPr>
                <w:rFonts w:cs="Arial"/>
                <w:b/>
                <w:sz w:val="20"/>
                <w:szCs w:val="20"/>
              </w:rPr>
              <w:t>– Regular performance reviews</w:t>
            </w:r>
            <w:r w:rsidR="003A5934">
              <w:rPr>
                <w:rFonts w:cs="Arial"/>
                <w:b/>
                <w:sz w:val="20"/>
                <w:szCs w:val="20"/>
              </w:rPr>
              <w:t xml:space="preserve"> are</w:t>
            </w:r>
            <w:r w:rsidR="005869AD" w:rsidRPr="00FA1BF3">
              <w:rPr>
                <w:rFonts w:cs="Arial"/>
                <w:b/>
                <w:sz w:val="20"/>
                <w:szCs w:val="20"/>
              </w:rPr>
              <w:t xml:space="preserve"> built into management</w:t>
            </w:r>
            <w:r w:rsidR="003A5934">
              <w:rPr>
                <w:rFonts w:cs="Arial"/>
                <w:b/>
                <w:sz w:val="20"/>
                <w:szCs w:val="20"/>
              </w:rPr>
              <w:t>.</w:t>
            </w:r>
          </w:p>
          <w:p w14:paraId="77E4866C" w14:textId="44308426" w:rsidR="00D5721A" w:rsidRDefault="00A81CEE" w:rsidP="00D00E6C">
            <w:pPr>
              <w:spacing w:before="60" w:after="60" w:line="276" w:lineRule="auto"/>
              <w:rPr>
                <w:rFonts w:cs="Arial"/>
                <w:bCs/>
                <w:sz w:val="20"/>
                <w:szCs w:val="20"/>
              </w:rPr>
            </w:pPr>
            <w:r>
              <w:rPr>
                <w:rFonts w:cs="Arial"/>
                <w:bCs/>
                <w:sz w:val="20"/>
                <w:szCs w:val="20"/>
              </w:rPr>
              <w:t xml:space="preserve">The implementation of a Harvest Strategy for the fishery represents a significant update on the management of the fishery. The harvest strategy </w:t>
            </w:r>
            <w:r w:rsidR="00F53351">
              <w:rPr>
                <w:rFonts w:cs="Arial"/>
                <w:bCs/>
                <w:sz w:val="20"/>
                <w:szCs w:val="20"/>
              </w:rPr>
              <w:t xml:space="preserve">has been developed to manage the fishery </w:t>
            </w:r>
            <w:r>
              <w:rPr>
                <w:rFonts w:cs="Arial"/>
                <w:bCs/>
                <w:sz w:val="20"/>
                <w:szCs w:val="20"/>
              </w:rPr>
              <w:t>until 2026</w:t>
            </w:r>
            <w:r w:rsidR="00F53351">
              <w:rPr>
                <w:rFonts w:cs="Arial"/>
                <w:bCs/>
                <w:sz w:val="20"/>
                <w:szCs w:val="20"/>
              </w:rPr>
              <w:t xml:space="preserve">, after which point </w:t>
            </w:r>
            <w:r w:rsidR="003B74D4">
              <w:rPr>
                <w:rFonts w:cs="Arial"/>
                <w:bCs/>
                <w:sz w:val="20"/>
                <w:szCs w:val="20"/>
              </w:rPr>
              <w:t>it will be reviewed</w:t>
            </w:r>
            <w:r w:rsidR="00910644">
              <w:rPr>
                <w:rFonts w:cs="Arial"/>
                <w:bCs/>
                <w:sz w:val="20"/>
                <w:szCs w:val="20"/>
              </w:rPr>
              <w:t xml:space="preserve">. </w:t>
            </w:r>
            <w:r w:rsidR="00DE6583">
              <w:rPr>
                <w:rFonts w:cs="Arial"/>
                <w:bCs/>
                <w:sz w:val="20"/>
                <w:szCs w:val="20"/>
              </w:rPr>
              <w:t xml:space="preserve">There </w:t>
            </w:r>
            <w:r w:rsidR="00DD4065">
              <w:rPr>
                <w:rFonts w:cs="Arial"/>
                <w:bCs/>
                <w:sz w:val="20"/>
                <w:szCs w:val="20"/>
              </w:rPr>
              <w:t>are</w:t>
            </w:r>
            <w:r w:rsidR="00DE6583">
              <w:rPr>
                <w:rFonts w:cs="Arial"/>
                <w:bCs/>
                <w:sz w:val="20"/>
                <w:szCs w:val="20"/>
              </w:rPr>
              <w:t xml:space="preserve"> also provisions in the harvest strategy to allow for earl</w:t>
            </w:r>
            <w:r w:rsidR="00FF5183">
              <w:rPr>
                <w:rFonts w:cs="Arial"/>
                <w:bCs/>
                <w:sz w:val="20"/>
                <w:szCs w:val="20"/>
              </w:rPr>
              <w:t>ier review u</w:t>
            </w:r>
            <w:r w:rsidR="00D5721A">
              <w:rPr>
                <w:rFonts w:cs="Arial"/>
                <w:bCs/>
                <w:sz w:val="20"/>
                <w:szCs w:val="20"/>
              </w:rPr>
              <w:t>nder the following circumstances:</w:t>
            </w:r>
          </w:p>
          <w:p w14:paraId="19722D07" w14:textId="7FDCD4F1" w:rsidR="00D5721A" w:rsidRDefault="00D5721A" w:rsidP="00D00E6C">
            <w:pPr>
              <w:pStyle w:val="ListParagraph"/>
              <w:numPr>
                <w:ilvl w:val="0"/>
                <w:numId w:val="16"/>
              </w:numPr>
              <w:spacing w:before="60" w:after="60" w:line="276" w:lineRule="auto"/>
              <w:rPr>
                <w:rFonts w:cs="Arial"/>
                <w:bCs/>
                <w:sz w:val="20"/>
                <w:szCs w:val="20"/>
              </w:rPr>
            </w:pPr>
            <w:r>
              <w:rPr>
                <w:rFonts w:cs="Arial"/>
                <w:bCs/>
                <w:sz w:val="20"/>
                <w:szCs w:val="20"/>
              </w:rPr>
              <w:t>New information t</w:t>
            </w:r>
            <w:r w:rsidR="00A23C6E">
              <w:rPr>
                <w:rFonts w:cs="Arial"/>
                <w:bCs/>
                <w:sz w:val="20"/>
                <w:szCs w:val="20"/>
              </w:rPr>
              <w:t xml:space="preserve">hat substantially changes the status of the fishery, leading to improved estimates of indicators </w:t>
            </w:r>
            <w:r w:rsidR="00351AB4">
              <w:rPr>
                <w:rFonts w:cs="Arial"/>
                <w:bCs/>
                <w:sz w:val="20"/>
                <w:szCs w:val="20"/>
              </w:rPr>
              <w:t>relative to reference points</w:t>
            </w:r>
            <w:r w:rsidR="00082C2E">
              <w:rPr>
                <w:rFonts w:cs="Arial"/>
                <w:bCs/>
                <w:sz w:val="20"/>
                <w:szCs w:val="20"/>
              </w:rPr>
              <w:t>.</w:t>
            </w:r>
          </w:p>
          <w:p w14:paraId="6FB1D761" w14:textId="5E472585" w:rsidR="00351AB4" w:rsidRDefault="00351AB4" w:rsidP="00D00E6C">
            <w:pPr>
              <w:pStyle w:val="ListParagraph"/>
              <w:numPr>
                <w:ilvl w:val="0"/>
                <w:numId w:val="16"/>
              </w:numPr>
              <w:spacing w:before="60" w:after="60" w:line="276" w:lineRule="auto"/>
              <w:rPr>
                <w:rFonts w:cs="Arial"/>
                <w:bCs/>
                <w:sz w:val="20"/>
                <w:szCs w:val="20"/>
              </w:rPr>
            </w:pPr>
            <w:r>
              <w:rPr>
                <w:rFonts w:cs="Arial"/>
                <w:bCs/>
                <w:sz w:val="20"/>
                <w:szCs w:val="20"/>
              </w:rPr>
              <w:t xml:space="preserve">Drivers </w:t>
            </w:r>
            <w:r w:rsidR="002F788C">
              <w:rPr>
                <w:rFonts w:cs="Arial"/>
                <w:bCs/>
                <w:sz w:val="20"/>
                <w:szCs w:val="20"/>
              </w:rPr>
              <w:t xml:space="preserve">external to the management of the fishery </w:t>
            </w:r>
            <w:r w:rsidR="00B53689">
              <w:rPr>
                <w:rFonts w:cs="Arial"/>
                <w:bCs/>
                <w:sz w:val="20"/>
                <w:szCs w:val="20"/>
              </w:rPr>
              <w:t>increase</w:t>
            </w:r>
            <w:r w:rsidR="002F788C">
              <w:rPr>
                <w:rFonts w:cs="Arial"/>
                <w:bCs/>
                <w:sz w:val="20"/>
                <w:szCs w:val="20"/>
              </w:rPr>
              <w:t xml:space="preserve"> the risk to fish stock/s</w:t>
            </w:r>
            <w:r w:rsidR="00082C2E">
              <w:rPr>
                <w:rFonts w:cs="Arial"/>
                <w:bCs/>
                <w:sz w:val="20"/>
                <w:szCs w:val="20"/>
              </w:rPr>
              <w:t>.</w:t>
            </w:r>
          </w:p>
          <w:p w14:paraId="177AD25C" w14:textId="059F115B" w:rsidR="002F788C" w:rsidRDefault="00DD2B5C" w:rsidP="00D00E6C">
            <w:pPr>
              <w:pStyle w:val="ListParagraph"/>
              <w:numPr>
                <w:ilvl w:val="0"/>
                <w:numId w:val="16"/>
              </w:numPr>
              <w:spacing w:before="60" w:after="60" w:line="276" w:lineRule="auto"/>
              <w:rPr>
                <w:rFonts w:cs="Arial"/>
                <w:bCs/>
                <w:sz w:val="20"/>
                <w:szCs w:val="20"/>
              </w:rPr>
            </w:pPr>
            <w:r>
              <w:rPr>
                <w:rFonts w:cs="Arial"/>
                <w:bCs/>
                <w:sz w:val="20"/>
                <w:szCs w:val="20"/>
              </w:rPr>
              <w:t xml:space="preserve">It is clear the harvest strategy is not working </w:t>
            </w:r>
            <w:proofErr w:type="gramStart"/>
            <w:r>
              <w:rPr>
                <w:rFonts w:cs="Arial"/>
                <w:bCs/>
                <w:sz w:val="20"/>
                <w:szCs w:val="20"/>
              </w:rPr>
              <w:t>effectively</w:t>
            </w:r>
            <w:proofErr w:type="gramEnd"/>
            <w:r>
              <w:rPr>
                <w:rFonts w:cs="Arial"/>
                <w:bCs/>
                <w:sz w:val="20"/>
                <w:szCs w:val="20"/>
              </w:rPr>
              <w:t xml:space="preserve"> and the intent</w:t>
            </w:r>
            <w:r w:rsidR="00B53689">
              <w:rPr>
                <w:rFonts w:cs="Arial"/>
                <w:bCs/>
                <w:sz w:val="20"/>
                <w:szCs w:val="20"/>
              </w:rPr>
              <w:t xml:space="preserve"> of the </w:t>
            </w:r>
            <w:r w:rsidR="00B53689">
              <w:rPr>
                <w:rFonts w:cs="Arial"/>
                <w:bCs/>
                <w:i/>
                <w:iCs/>
                <w:sz w:val="20"/>
                <w:szCs w:val="20"/>
              </w:rPr>
              <w:t xml:space="preserve">Queensland Harvest Strategy Policy </w:t>
            </w:r>
            <w:r w:rsidR="00B53689">
              <w:rPr>
                <w:rFonts w:cs="Arial"/>
                <w:bCs/>
                <w:sz w:val="20"/>
                <w:szCs w:val="20"/>
              </w:rPr>
              <w:t>is not being met.</w:t>
            </w:r>
          </w:p>
          <w:p w14:paraId="03870B6E" w14:textId="0F53592F" w:rsidR="00B53689" w:rsidRDefault="00724BCF" w:rsidP="00D00E6C">
            <w:pPr>
              <w:spacing w:before="60" w:after="60" w:line="276" w:lineRule="auto"/>
              <w:rPr>
                <w:rFonts w:cs="Arial"/>
                <w:bCs/>
                <w:sz w:val="20"/>
                <w:szCs w:val="20"/>
              </w:rPr>
            </w:pPr>
            <w:r>
              <w:rPr>
                <w:rFonts w:cs="Arial"/>
                <w:bCs/>
                <w:sz w:val="20"/>
                <w:szCs w:val="20"/>
              </w:rPr>
              <w:t xml:space="preserve">The harvest strategy also includes a </w:t>
            </w:r>
            <w:r w:rsidR="00AF4452">
              <w:rPr>
                <w:rFonts w:cs="Arial"/>
                <w:bCs/>
                <w:sz w:val="20"/>
                <w:szCs w:val="20"/>
              </w:rPr>
              <w:t xml:space="preserve">schedule of performance monitoring, </w:t>
            </w:r>
            <w:proofErr w:type="gramStart"/>
            <w:r w:rsidR="00AF4452">
              <w:rPr>
                <w:rFonts w:cs="Arial"/>
                <w:bCs/>
                <w:sz w:val="20"/>
                <w:szCs w:val="20"/>
              </w:rPr>
              <w:t>assessment</w:t>
            </w:r>
            <w:proofErr w:type="gramEnd"/>
            <w:r w:rsidR="00AF4452">
              <w:rPr>
                <w:rFonts w:cs="Arial"/>
                <w:bCs/>
                <w:sz w:val="20"/>
                <w:szCs w:val="20"/>
              </w:rPr>
              <w:t xml:space="preserve"> and review. </w:t>
            </w:r>
            <w:r w:rsidR="000C6D62">
              <w:rPr>
                <w:rFonts w:cs="Arial"/>
                <w:bCs/>
                <w:sz w:val="20"/>
                <w:szCs w:val="20"/>
              </w:rPr>
              <w:t xml:space="preserve">This </w:t>
            </w:r>
            <w:r w:rsidR="001C0152">
              <w:rPr>
                <w:rFonts w:cs="Arial"/>
                <w:bCs/>
                <w:sz w:val="20"/>
                <w:szCs w:val="20"/>
              </w:rPr>
              <w:t>outlines time frames for regular monitoring and review of catch and effort data</w:t>
            </w:r>
            <w:r w:rsidR="005F5989">
              <w:rPr>
                <w:rFonts w:cs="Arial"/>
                <w:bCs/>
                <w:sz w:val="20"/>
                <w:szCs w:val="20"/>
              </w:rPr>
              <w:t xml:space="preserve">, </w:t>
            </w:r>
            <w:r w:rsidR="00B00A66">
              <w:rPr>
                <w:rFonts w:cs="Arial"/>
                <w:bCs/>
                <w:sz w:val="20"/>
                <w:szCs w:val="20"/>
              </w:rPr>
              <w:t>reviews of TAC</w:t>
            </w:r>
            <w:r w:rsidR="00193FDA">
              <w:rPr>
                <w:rFonts w:cs="Arial"/>
                <w:bCs/>
                <w:sz w:val="20"/>
                <w:szCs w:val="20"/>
              </w:rPr>
              <w:t>s</w:t>
            </w:r>
            <w:r w:rsidR="00CD0FB4">
              <w:rPr>
                <w:rFonts w:cs="Arial"/>
                <w:bCs/>
                <w:sz w:val="20"/>
                <w:szCs w:val="20"/>
              </w:rPr>
              <w:t>,</w:t>
            </w:r>
            <w:r w:rsidR="001C0152">
              <w:rPr>
                <w:rFonts w:cs="Arial"/>
                <w:bCs/>
                <w:sz w:val="20"/>
                <w:szCs w:val="20"/>
              </w:rPr>
              <w:t xml:space="preserve"> </w:t>
            </w:r>
            <w:r w:rsidR="007838CE">
              <w:rPr>
                <w:rFonts w:cs="Arial"/>
                <w:bCs/>
                <w:sz w:val="20"/>
                <w:szCs w:val="20"/>
              </w:rPr>
              <w:t>and</w:t>
            </w:r>
            <w:r w:rsidR="0087272F">
              <w:rPr>
                <w:rFonts w:cs="Arial"/>
                <w:bCs/>
                <w:sz w:val="20"/>
                <w:szCs w:val="20"/>
              </w:rPr>
              <w:t xml:space="preserve"> </w:t>
            </w:r>
            <w:r w:rsidR="00036DA7">
              <w:rPr>
                <w:rFonts w:cs="Arial"/>
                <w:bCs/>
                <w:sz w:val="20"/>
                <w:szCs w:val="20"/>
              </w:rPr>
              <w:t>stock assessment</w:t>
            </w:r>
            <w:r w:rsidR="001C50F7">
              <w:rPr>
                <w:rFonts w:cs="Arial"/>
                <w:bCs/>
                <w:sz w:val="20"/>
                <w:szCs w:val="20"/>
              </w:rPr>
              <w:t>s</w:t>
            </w:r>
            <w:r w:rsidR="00036DA7">
              <w:rPr>
                <w:rFonts w:cs="Arial"/>
                <w:bCs/>
                <w:sz w:val="20"/>
                <w:szCs w:val="20"/>
              </w:rPr>
              <w:t xml:space="preserve"> and biomass surveys. </w:t>
            </w:r>
          </w:p>
          <w:p w14:paraId="18F272D0" w14:textId="46A8002F" w:rsidR="00D124D6" w:rsidRDefault="000A688E" w:rsidP="00D00E6C">
            <w:pPr>
              <w:spacing w:before="60" w:after="60" w:line="276" w:lineRule="auto"/>
              <w:rPr>
                <w:rFonts w:cs="Arial"/>
                <w:bCs/>
                <w:sz w:val="20"/>
                <w:szCs w:val="20"/>
              </w:rPr>
            </w:pPr>
            <w:r>
              <w:rPr>
                <w:rFonts w:cs="Arial"/>
                <w:bCs/>
                <w:sz w:val="20"/>
                <w:szCs w:val="20"/>
              </w:rPr>
              <w:t xml:space="preserve">Biomass based management of tier 1 species </w:t>
            </w:r>
            <w:r w:rsidR="00BB37B6">
              <w:rPr>
                <w:rFonts w:cs="Arial"/>
                <w:bCs/>
                <w:sz w:val="20"/>
                <w:szCs w:val="20"/>
              </w:rPr>
              <w:t xml:space="preserve">requires a stock assessment to determine whether </w:t>
            </w:r>
            <w:r w:rsidR="00A00FB6">
              <w:rPr>
                <w:rFonts w:cs="Arial"/>
                <w:bCs/>
                <w:sz w:val="20"/>
                <w:szCs w:val="20"/>
              </w:rPr>
              <w:t>harvest level</w:t>
            </w:r>
            <w:r w:rsidR="00DD4065">
              <w:rPr>
                <w:rFonts w:cs="Arial"/>
                <w:bCs/>
                <w:sz w:val="20"/>
                <w:szCs w:val="20"/>
              </w:rPr>
              <w:t>s</w:t>
            </w:r>
            <w:r w:rsidR="00A00FB6">
              <w:rPr>
                <w:rFonts w:cs="Arial"/>
                <w:bCs/>
                <w:sz w:val="20"/>
                <w:szCs w:val="20"/>
              </w:rPr>
              <w:t xml:space="preserve"> are appropriate. </w:t>
            </w:r>
            <w:r w:rsidR="00DE394B">
              <w:rPr>
                <w:rFonts w:cs="Arial"/>
                <w:bCs/>
                <w:sz w:val="20"/>
                <w:szCs w:val="20"/>
              </w:rPr>
              <w:t xml:space="preserve">Stock assessments of </w:t>
            </w:r>
            <w:r w:rsidR="007B03AC">
              <w:rPr>
                <w:rFonts w:cs="Arial"/>
                <w:bCs/>
                <w:sz w:val="20"/>
                <w:szCs w:val="20"/>
              </w:rPr>
              <w:t>B</w:t>
            </w:r>
            <w:r w:rsidR="00DE394B">
              <w:rPr>
                <w:rFonts w:cs="Arial"/>
                <w:bCs/>
                <w:sz w:val="20"/>
                <w:szCs w:val="20"/>
              </w:rPr>
              <w:t>lack</w:t>
            </w:r>
            <w:r w:rsidR="00CD0FB4">
              <w:rPr>
                <w:rFonts w:cs="Arial"/>
                <w:bCs/>
                <w:sz w:val="20"/>
                <w:szCs w:val="20"/>
              </w:rPr>
              <w:t xml:space="preserve"> </w:t>
            </w:r>
            <w:proofErr w:type="spellStart"/>
            <w:r w:rsidR="00CD0FB4">
              <w:rPr>
                <w:rFonts w:cs="Arial"/>
                <w:bCs/>
                <w:sz w:val="20"/>
                <w:szCs w:val="20"/>
              </w:rPr>
              <w:t>Teatfish</w:t>
            </w:r>
            <w:proofErr w:type="spellEnd"/>
            <w:r w:rsidR="00DE394B">
              <w:rPr>
                <w:rFonts w:cs="Arial"/>
                <w:bCs/>
                <w:sz w:val="20"/>
                <w:szCs w:val="20"/>
              </w:rPr>
              <w:t xml:space="preserve"> and </w:t>
            </w:r>
            <w:r w:rsidR="007B03AC">
              <w:rPr>
                <w:rFonts w:cs="Arial"/>
                <w:bCs/>
                <w:sz w:val="20"/>
                <w:szCs w:val="20"/>
              </w:rPr>
              <w:t>W</w:t>
            </w:r>
            <w:r w:rsidR="00DE394B">
              <w:rPr>
                <w:rFonts w:cs="Arial"/>
                <w:bCs/>
                <w:sz w:val="20"/>
                <w:szCs w:val="20"/>
              </w:rPr>
              <w:t xml:space="preserve">hite </w:t>
            </w:r>
            <w:proofErr w:type="spellStart"/>
            <w:r w:rsidR="007B03AC">
              <w:rPr>
                <w:rFonts w:cs="Arial"/>
                <w:bCs/>
                <w:sz w:val="20"/>
                <w:szCs w:val="20"/>
              </w:rPr>
              <w:t>Teatfish</w:t>
            </w:r>
            <w:proofErr w:type="spellEnd"/>
            <w:r w:rsidR="007B03AC">
              <w:rPr>
                <w:rFonts w:cs="Arial"/>
                <w:bCs/>
                <w:sz w:val="20"/>
                <w:szCs w:val="20"/>
              </w:rPr>
              <w:t xml:space="preserve"> were a condition of the 2020 WTO</w:t>
            </w:r>
            <w:r w:rsidR="00CD0FB4">
              <w:rPr>
                <w:rFonts w:cs="Arial"/>
                <w:bCs/>
                <w:sz w:val="20"/>
                <w:szCs w:val="20"/>
              </w:rPr>
              <w:t>.</w:t>
            </w:r>
            <w:r w:rsidR="007B03AC">
              <w:rPr>
                <w:rFonts w:cs="Arial"/>
                <w:bCs/>
                <w:sz w:val="20"/>
                <w:szCs w:val="20"/>
              </w:rPr>
              <w:t xml:space="preserve"> </w:t>
            </w:r>
            <w:r w:rsidR="00CD0FB4">
              <w:rPr>
                <w:rFonts w:cs="Arial"/>
                <w:bCs/>
                <w:sz w:val="20"/>
                <w:szCs w:val="20"/>
              </w:rPr>
              <w:t>H</w:t>
            </w:r>
            <w:r w:rsidR="00D124D6">
              <w:rPr>
                <w:rFonts w:cs="Arial"/>
                <w:bCs/>
                <w:sz w:val="20"/>
                <w:szCs w:val="20"/>
              </w:rPr>
              <w:t>owever</w:t>
            </w:r>
            <w:r w:rsidR="00CD0FB4">
              <w:rPr>
                <w:rFonts w:cs="Arial"/>
                <w:bCs/>
                <w:sz w:val="20"/>
                <w:szCs w:val="20"/>
              </w:rPr>
              <w:t>,</w:t>
            </w:r>
            <w:r w:rsidR="00D124D6">
              <w:rPr>
                <w:rFonts w:cs="Arial"/>
                <w:bCs/>
                <w:sz w:val="20"/>
                <w:szCs w:val="20"/>
              </w:rPr>
              <w:t xml:space="preserve"> there is no stock assessment in place for Burrowing Blackfish</w:t>
            </w:r>
            <w:r w:rsidR="00975C36">
              <w:rPr>
                <w:rFonts w:cs="Arial"/>
                <w:bCs/>
                <w:sz w:val="20"/>
                <w:szCs w:val="20"/>
              </w:rPr>
              <w:t>. While there is a harvest reference limit for the species it is not clearly linked to a biomass level of the stock</w:t>
            </w:r>
            <w:r w:rsidR="00975C36" w:rsidRPr="000D6DCF">
              <w:rPr>
                <w:rFonts w:cs="Arial"/>
                <w:bCs/>
                <w:sz w:val="20"/>
                <w:szCs w:val="20"/>
              </w:rPr>
              <w:t>.</w:t>
            </w:r>
            <w:r w:rsidR="00D124D6" w:rsidRPr="000D6DCF">
              <w:rPr>
                <w:rFonts w:cs="Arial"/>
                <w:bCs/>
                <w:sz w:val="20"/>
                <w:szCs w:val="20"/>
              </w:rPr>
              <w:t xml:space="preserve"> </w:t>
            </w:r>
            <w:r w:rsidR="002A2517" w:rsidRPr="000D6DCF">
              <w:rPr>
                <w:rFonts w:cs="Arial"/>
                <w:bCs/>
                <w:sz w:val="20"/>
                <w:szCs w:val="20"/>
              </w:rPr>
              <w:t xml:space="preserve">Condition </w:t>
            </w:r>
            <w:r w:rsidR="00D00E6C" w:rsidRPr="000D6DCF">
              <w:rPr>
                <w:rFonts w:cs="Arial"/>
                <w:bCs/>
                <w:sz w:val="20"/>
                <w:szCs w:val="20"/>
              </w:rPr>
              <w:t>7</w:t>
            </w:r>
            <w:r w:rsidR="002A2517" w:rsidRPr="000D6DCF">
              <w:rPr>
                <w:rFonts w:cs="Arial"/>
                <w:bCs/>
                <w:sz w:val="20"/>
                <w:szCs w:val="20"/>
              </w:rPr>
              <w:t xml:space="preserve"> requires a stock assessment for Burrowing Blackfish by</w:t>
            </w:r>
            <w:r w:rsidR="00D00E6C" w:rsidRPr="000D6DCF">
              <w:rPr>
                <w:rFonts w:cs="Arial"/>
                <w:bCs/>
                <w:sz w:val="20"/>
                <w:szCs w:val="20"/>
              </w:rPr>
              <w:t xml:space="preserve"> the beginning of the 202</w:t>
            </w:r>
            <w:r w:rsidR="000D6DCF" w:rsidRPr="000D6DCF">
              <w:rPr>
                <w:rFonts w:cs="Arial"/>
                <w:bCs/>
                <w:sz w:val="20"/>
                <w:szCs w:val="20"/>
              </w:rPr>
              <w:t>4</w:t>
            </w:r>
            <w:r w:rsidR="005E2D4A">
              <w:rPr>
                <w:rFonts w:cs="Arial"/>
                <w:bCs/>
                <w:sz w:val="20"/>
                <w:szCs w:val="20"/>
              </w:rPr>
              <w:t>–</w:t>
            </w:r>
            <w:r w:rsidR="00D00E6C" w:rsidRPr="000D6DCF">
              <w:rPr>
                <w:rFonts w:cs="Arial"/>
                <w:bCs/>
                <w:sz w:val="20"/>
                <w:szCs w:val="20"/>
              </w:rPr>
              <w:t>2</w:t>
            </w:r>
            <w:r w:rsidR="000D6DCF" w:rsidRPr="000D6DCF">
              <w:rPr>
                <w:rFonts w:cs="Arial"/>
                <w:bCs/>
                <w:sz w:val="20"/>
                <w:szCs w:val="20"/>
              </w:rPr>
              <w:t>5</w:t>
            </w:r>
            <w:r w:rsidR="00D00E6C" w:rsidRPr="000D6DCF">
              <w:rPr>
                <w:rFonts w:cs="Arial"/>
                <w:bCs/>
                <w:sz w:val="20"/>
                <w:szCs w:val="20"/>
              </w:rPr>
              <w:t xml:space="preserve"> fishing</w:t>
            </w:r>
            <w:r w:rsidR="00D00E6C">
              <w:rPr>
                <w:rFonts w:cs="Arial"/>
                <w:bCs/>
                <w:sz w:val="20"/>
                <w:szCs w:val="20"/>
              </w:rPr>
              <w:t xml:space="preserve"> season</w:t>
            </w:r>
            <w:r w:rsidR="000D6DCF">
              <w:rPr>
                <w:rFonts w:cs="Arial"/>
                <w:bCs/>
                <w:sz w:val="20"/>
                <w:szCs w:val="20"/>
              </w:rPr>
              <w:t>.</w:t>
            </w:r>
            <w:r w:rsidR="00DE30CA">
              <w:rPr>
                <w:rFonts w:cs="Arial"/>
                <w:bCs/>
                <w:sz w:val="20"/>
                <w:szCs w:val="20"/>
              </w:rPr>
              <w:t xml:space="preserve"> Condition 8 </w:t>
            </w:r>
            <w:r w:rsidR="005E2D4A">
              <w:rPr>
                <w:rFonts w:cs="Arial"/>
                <w:bCs/>
                <w:sz w:val="20"/>
                <w:szCs w:val="20"/>
              </w:rPr>
              <w:t>requires</w:t>
            </w:r>
            <w:r w:rsidR="00DE30CA">
              <w:rPr>
                <w:rFonts w:cs="Arial"/>
                <w:bCs/>
                <w:sz w:val="20"/>
                <w:szCs w:val="20"/>
              </w:rPr>
              <w:t xml:space="preserve"> stock assessments for two tie</w:t>
            </w:r>
            <w:r w:rsidR="005E2D4A">
              <w:rPr>
                <w:rFonts w:cs="Arial"/>
                <w:bCs/>
                <w:sz w:val="20"/>
                <w:szCs w:val="20"/>
              </w:rPr>
              <w:t>r</w:t>
            </w:r>
            <w:r w:rsidR="00DE30CA">
              <w:rPr>
                <w:rFonts w:cs="Arial"/>
                <w:bCs/>
                <w:sz w:val="20"/>
                <w:szCs w:val="20"/>
              </w:rPr>
              <w:t xml:space="preserve"> 2 species, </w:t>
            </w:r>
            <w:r w:rsidR="005E2D4A">
              <w:rPr>
                <w:rFonts w:cs="Arial"/>
                <w:bCs/>
                <w:sz w:val="20"/>
                <w:szCs w:val="20"/>
              </w:rPr>
              <w:t xml:space="preserve">the </w:t>
            </w:r>
            <w:proofErr w:type="spellStart"/>
            <w:r w:rsidR="00DE30CA">
              <w:rPr>
                <w:rFonts w:cs="Arial"/>
                <w:bCs/>
                <w:sz w:val="20"/>
                <w:szCs w:val="20"/>
              </w:rPr>
              <w:t>Curryfish</w:t>
            </w:r>
            <w:proofErr w:type="spellEnd"/>
            <w:r w:rsidR="00DE30CA">
              <w:rPr>
                <w:rFonts w:cs="Arial"/>
                <w:bCs/>
                <w:sz w:val="20"/>
                <w:szCs w:val="20"/>
              </w:rPr>
              <w:t xml:space="preserve"> species group and </w:t>
            </w:r>
            <w:r w:rsidR="004B5F5E">
              <w:rPr>
                <w:rFonts w:cs="Arial"/>
                <w:bCs/>
                <w:sz w:val="20"/>
                <w:szCs w:val="20"/>
              </w:rPr>
              <w:t>Prickly Redfish</w:t>
            </w:r>
            <w:r w:rsidR="00DE30CA">
              <w:rPr>
                <w:rFonts w:cs="Arial"/>
                <w:bCs/>
                <w:sz w:val="20"/>
                <w:szCs w:val="20"/>
              </w:rPr>
              <w:t>, stock assessments are to be based on information that includes fishery independent surveys.</w:t>
            </w:r>
          </w:p>
          <w:p w14:paraId="38969CE4" w14:textId="477D6D44" w:rsidR="00885298" w:rsidRPr="00E22A97" w:rsidRDefault="00885298" w:rsidP="00D00E6C">
            <w:pPr>
              <w:spacing w:before="60" w:after="60" w:line="276" w:lineRule="auto"/>
              <w:contextualSpacing/>
              <w:rPr>
                <w:rFonts w:cs="Arial"/>
                <w:bCs/>
                <w:sz w:val="20"/>
                <w:szCs w:val="20"/>
              </w:rPr>
            </w:pPr>
          </w:p>
        </w:tc>
      </w:tr>
      <w:tr w:rsidR="00885298" w:rsidRPr="00433FCA" w14:paraId="7F16FB15" w14:textId="77777777" w:rsidTr="00E23712">
        <w:trPr>
          <w:cantSplit/>
        </w:trPr>
        <w:tc>
          <w:tcPr>
            <w:tcW w:w="1500" w:type="pct"/>
            <w:shd w:val="clear" w:color="auto" w:fill="FFC000"/>
          </w:tcPr>
          <w:p w14:paraId="1EEADDCC"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 xml:space="preserve">Be capable of assessing, monitoring and avoiding, remedying or mitigating any adverse impacts on the wider marine ecosystem in which the target species </w:t>
            </w:r>
            <w:proofErr w:type="gramStart"/>
            <w:r w:rsidRPr="00433FCA">
              <w:rPr>
                <w:rFonts w:cs="Arial"/>
                <w:sz w:val="20"/>
                <w:szCs w:val="20"/>
              </w:rPr>
              <w:t>lives</w:t>
            </w:r>
            <w:proofErr w:type="gramEnd"/>
            <w:r w:rsidRPr="00433FCA">
              <w:rPr>
                <w:rFonts w:cs="Arial"/>
                <w:sz w:val="20"/>
                <w:szCs w:val="20"/>
              </w:rPr>
              <w:t xml:space="preserve"> and the fishery operates</w:t>
            </w:r>
            <w:r w:rsidR="006B6EF9" w:rsidRPr="00433FCA">
              <w:rPr>
                <w:rFonts w:cs="Arial"/>
                <w:sz w:val="20"/>
                <w:szCs w:val="20"/>
              </w:rPr>
              <w:t>.</w:t>
            </w:r>
          </w:p>
          <w:p w14:paraId="79731F76" w14:textId="63F0A939"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062BCDF" w14:textId="2A39C5CC" w:rsidR="005869AD" w:rsidRPr="00FA1BF3" w:rsidRDefault="00F8472A" w:rsidP="00762740">
            <w:pPr>
              <w:spacing w:beforeLines="60" w:before="144" w:afterLines="60" w:after="144" w:line="276" w:lineRule="auto"/>
              <w:contextualSpacing/>
              <w:rPr>
                <w:rFonts w:cs="Arial"/>
                <w:b/>
                <w:sz w:val="20"/>
                <w:szCs w:val="20"/>
              </w:rPr>
            </w:pPr>
            <w:r w:rsidRPr="00F34AB6">
              <w:rPr>
                <w:rFonts w:cs="Arial"/>
                <w:b/>
                <w:sz w:val="20"/>
                <w:szCs w:val="20"/>
              </w:rPr>
              <w:t>Partially meets</w:t>
            </w:r>
            <w:r w:rsidRPr="00E22A97">
              <w:rPr>
                <w:rFonts w:cs="Arial"/>
                <w:bCs/>
                <w:sz w:val="20"/>
                <w:szCs w:val="20"/>
              </w:rPr>
              <w:t xml:space="preserve"> </w:t>
            </w:r>
            <w:r w:rsidR="005869AD" w:rsidRPr="00FA1BF3">
              <w:rPr>
                <w:rFonts w:cs="Arial"/>
                <w:b/>
                <w:sz w:val="20"/>
                <w:szCs w:val="20"/>
              </w:rPr>
              <w:t xml:space="preserve">– Limited capability to manage impacts </w:t>
            </w:r>
            <w:r w:rsidR="00DE30CA" w:rsidRPr="00FA1BF3">
              <w:rPr>
                <w:rFonts w:cs="Arial"/>
                <w:b/>
                <w:sz w:val="20"/>
                <w:szCs w:val="20"/>
              </w:rPr>
              <w:t xml:space="preserve">of the removal of sea cucumber species </w:t>
            </w:r>
            <w:r w:rsidR="005869AD" w:rsidRPr="00FA1BF3">
              <w:rPr>
                <w:rFonts w:cs="Arial"/>
                <w:b/>
                <w:sz w:val="20"/>
                <w:szCs w:val="20"/>
              </w:rPr>
              <w:t>on wider marine ecosystem</w:t>
            </w:r>
            <w:r w:rsidR="00BB5D07">
              <w:rPr>
                <w:rFonts w:cs="Arial"/>
                <w:b/>
                <w:sz w:val="20"/>
                <w:szCs w:val="20"/>
              </w:rPr>
              <w:t>.</w:t>
            </w:r>
          </w:p>
          <w:p w14:paraId="68966231" w14:textId="258CBC9A" w:rsidR="00EE687C" w:rsidRDefault="00B6710F" w:rsidP="00D00E6C">
            <w:pPr>
              <w:pStyle w:val="BodyText1"/>
              <w:spacing w:beforeLines="60" w:before="144" w:afterLines="60" w:after="144" w:line="276" w:lineRule="auto"/>
              <w:jc w:val="left"/>
              <w:rPr>
                <w:rFonts w:cs="Arial"/>
                <w:bCs/>
                <w:sz w:val="20"/>
              </w:rPr>
            </w:pPr>
            <w:r>
              <w:rPr>
                <w:rFonts w:cs="Arial"/>
                <w:bCs/>
                <w:sz w:val="20"/>
              </w:rPr>
              <w:t>A</w:t>
            </w:r>
            <w:r w:rsidR="00C55A8E">
              <w:rPr>
                <w:rFonts w:cs="Arial"/>
                <w:bCs/>
                <w:sz w:val="20"/>
              </w:rPr>
              <w:t xml:space="preserve"> Level 1</w:t>
            </w:r>
            <w:r>
              <w:rPr>
                <w:rFonts w:cs="Arial"/>
                <w:bCs/>
                <w:sz w:val="20"/>
              </w:rPr>
              <w:t xml:space="preserve"> ERA has been conducted for the fishery </w:t>
            </w:r>
            <w:r w:rsidR="00E747F1">
              <w:rPr>
                <w:rFonts w:cs="Arial"/>
                <w:bCs/>
                <w:sz w:val="20"/>
              </w:rPr>
              <w:t>which considered risks to the wider marine environment</w:t>
            </w:r>
            <w:r w:rsidR="00BA0F56">
              <w:rPr>
                <w:rFonts w:cs="Arial"/>
                <w:bCs/>
                <w:sz w:val="20"/>
              </w:rPr>
              <w:t xml:space="preserve">. </w:t>
            </w:r>
            <w:r w:rsidR="003A7070">
              <w:rPr>
                <w:rFonts w:cs="Arial"/>
                <w:bCs/>
                <w:sz w:val="20"/>
              </w:rPr>
              <w:t>Risks</w:t>
            </w:r>
            <w:r w:rsidR="00175723">
              <w:rPr>
                <w:rFonts w:cs="Arial"/>
                <w:bCs/>
                <w:sz w:val="20"/>
              </w:rPr>
              <w:t xml:space="preserve"> to marine </w:t>
            </w:r>
            <w:r w:rsidR="00AC359F">
              <w:rPr>
                <w:rFonts w:cs="Arial"/>
                <w:bCs/>
                <w:sz w:val="20"/>
              </w:rPr>
              <w:t>habitats</w:t>
            </w:r>
            <w:r w:rsidR="00175723">
              <w:rPr>
                <w:rFonts w:cs="Arial"/>
                <w:bCs/>
                <w:sz w:val="20"/>
              </w:rPr>
              <w:t xml:space="preserve"> and ecosystem processes were assessed as low and low/intermediate and not pro</w:t>
            </w:r>
            <w:r w:rsidR="00AC359F">
              <w:rPr>
                <w:rFonts w:cs="Arial"/>
                <w:bCs/>
                <w:sz w:val="20"/>
              </w:rPr>
              <w:t xml:space="preserve">gressed to a further </w:t>
            </w:r>
            <w:proofErr w:type="gramStart"/>
            <w:r w:rsidR="005C1B2C">
              <w:rPr>
                <w:rFonts w:cs="Arial"/>
                <w:bCs/>
                <w:sz w:val="20"/>
              </w:rPr>
              <w:t>higher</w:t>
            </w:r>
            <w:r w:rsidR="00B87560">
              <w:rPr>
                <w:rFonts w:cs="Arial"/>
                <w:bCs/>
                <w:sz w:val="20"/>
              </w:rPr>
              <w:t xml:space="preserve"> </w:t>
            </w:r>
            <w:r w:rsidR="005C1B2C">
              <w:rPr>
                <w:rFonts w:cs="Arial"/>
                <w:bCs/>
                <w:sz w:val="20"/>
              </w:rPr>
              <w:t>level</w:t>
            </w:r>
            <w:proofErr w:type="gramEnd"/>
            <w:r w:rsidR="00AC359F">
              <w:rPr>
                <w:rFonts w:cs="Arial"/>
                <w:bCs/>
                <w:sz w:val="20"/>
              </w:rPr>
              <w:t xml:space="preserve"> ERA. </w:t>
            </w:r>
          </w:p>
          <w:p w14:paraId="72D75F6C" w14:textId="050842F3" w:rsidR="00F42B69" w:rsidRDefault="00F42B69" w:rsidP="00D00E6C">
            <w:pPr>
              <w:pStyle w:val="BodyText1"/>
              <w:spacing w:beforeLines="60" w:before="144" w:afterLines="60" w:after="144" w:line="276" w:lineRule="auto"/>
              <w:jc w:val="left"/>
              <w:rPr>
                <w:rFonts w:cs="Arial"/>
                <w:bCs/>
                <w:sz w:val="20"/>
              </w:rPr>
            </w:pPr>
            <w:r>
              <w:rPr>
                <w:rFonts w:cs="Arial"/>
                <w:bCs/>
                <w:sz w:val="20"/>
              </w:rPr>
              <w:t>Th</w:t>
            </w:r>
            <w:r w:rsidR="002A1DF2">
              <w:rPr>
                <w:rFonts w:cs="Arial"/>
                <w:bCs/>
                <w:sz w:val="20"/>
              </w:rPr>
              <w:t xml:space="preserve">e ERA acknowledges the </w:t>
            </w:r>
            <w:r w:rsidR="006B4733">
              <w:rPr>
                <w:rFonts w:cs="Arial"/>
                <w:bCs/>
                <w:sz w:val="20"/>
              </w:rPr>
              <w:t xml:space="preserve">key role of sea </w:t>
            </w:r>
            <w:r w:rsidR="00891837">
              <w:rPr>
                <w:rFonts w:cs="Arial"/>
                <w:bCs/>
                <w:sz w:val="20"/>
              </w:rPr>
              <w:t>cucumbers</w:t>
            </w:r>
            <w:r w:rsidR="006B4733">
              <w:rPr>
                <w:rFonts w:cs="Arial"/>
                <w:bCs/>
                <w:sz w:val="20"/>
              </w:rPr>
              <w:t xml:space="preserve"> </w:t>
            </w:r>
            <w:r w:rsidR="00891837">
              <w:rPr>
                <w:rFonts w:cs="Arial"/>
                <w:bCs/>
                <w:sz w:val="20"/>
              </w:rPr>
              <w:t xml:space="preserve">play in benthic ecosystems. </w:t>
            </w:r>
            <w:r w:rsidR="00850976">
              <w:rPr>
                <w:rFonts w:cs="Arial"/>
                <w:bCs/>
                <w:sz w:val="20"/>
              </w:rPr>
              <w:t>Despite</w:t>
            </w:r>
            <w:r w:rsidR="00850976" w:rsidDel="00DE30CA">
              <w:rPr>
                <w:rFonts w:cs="Arial"/>
                <w:bCs/>
                <w:sz w:val="20"/>
              </w:rPr>
              <w:t xml:space="preserve"> </w:t>
            </w:r>
            <w:r w:rsidR="00F658E8">
              <w:rPr>
                <w:rFonts w:cs="Arial"/>
                <w:bCs/>
                <w:sz w:val="20"/>
              </w:rPr>
              <w:t>acknowledg</w:t>
            </w:r>
            <w:r w:rsidR="00DE30CA">
              <w:rPr>
                <w:rFonts w:cs="Arial"/>
                <w:bCs/>
                <w:sz w:val="20"/>
              </w:rPr>
              <w:t>ing this</w:t>
            </w:r>
            <w:r w:rsidR="00955744">
              <w:rPr>
                <w:rFonts w:cs="Arial"/>
                <w:bCs/>
                <w:sz w:val="20"/>
              </w:rPr>
              <w:t>,</w:t>
            </w:r>
            <w:r w:rsidR="00F658E8">
              <w:rPr>
                <w:rFonts w:cs="Arial"/>
                <w:bCs/>
                <w:sz w:val="20"/>
              </w:rPr>
              <w:t xml:space="preserve"> the management o</w:t>
            </w:r>
            <w:r w:rsidR="00955744">
              <w:rPr>
                <w:rFonts w:cs="Arial"/>
                <w:bCs/>
                <w:sz w:val="20"/>
              </w:rPr>
              <w:t xml:space="preserve">f the fishery does not identify any </w:t>
            </w:r>
            <w:r w:rsidR="005F1F9F">
              <w:rPr>
                <w:rFonts w:cs="Arial"/>
                <w:bCs/>
                <w:sz w:val="20"/>
              </w:rPr>
              <w:t>indicat</w:t>
            </w:r>
            <w:r w:rsidR="00955744">
              <w:rPr>
                <w:rFonts w:cs="Arial"/>
                <w:bCs/>
                <w:sz w:val="20"/>
              </w:rPr>
              <w:t>ors</w:t>
            </w:r>
            <w:r w:rsidR="005F1F9F">
              <w:rPr>
                <w:rFonts w:cs="Arial"/>
                <w:bCs/>
                <w:sz w:val="20"/>
              </w:rPr>
              <w:t xml:space="preserve"> which could be used to monitor </w:t>
            </w:r>
            <w:r w:rsidR="009D78BC">
              <w:rPr>
                <w:rFonts w:cs="Arial"/>
                <w:bCs/>
                <w:sz w:val="20"/>
              </w:rPr>
              <w:t xml:space="preserve">potential </w:t>
            </w:r>
            <w:r w:rsidR="00955744">
              <w:rPr>
                <w:rFonts w:cs="Arial"/>
                <w:bCs/>
                <w:sz w:val="20"/>
              </w:rPr>
              <w:t xml:space="preserve">ecosystem </w:t>
            </w:r>
            <w:r w:rsidR="009D78BC">
              <w:rPr>
                <w:rFonts w:cs="Arial"/>
                <w:bCs/>
                <w:sz w:val="20"/>
              </w:rPr>
              <w:t>impacts</w:t>
            </w:r>
            <w:r w:rsidR="00DE30CA">
              <w:rPr>
                <w:rFonts w:cs="Arial"/>
                <w:bCs/>
                <w:sz w:val="20"/>
              </w:rPr>
              <w:t xml:space="preserve"> form the removal of sea cucumbers from the reef by this fishery</w:t>
            </w:r>
            <w:r w:rsidR="00955744">
              <w:rPr>
                <w:rFonts w:cs="Arial"/>
                <w:bCs/>
                <w:sz w:val="20"/>
              </w:rPr>
              <w:t xml:space="preserve">. The management </w:t>
            </w:r>
            <w:r w:rsidR="00B94C00">
              <w:rPr>
                <w:rFonts w:cs="Arial"/>
                <w:bCs/>
                <w:sz w:val="20"/>
              </w:rPr>
              <w:t xml:space="preserve">arrangements </w:t>
            </w:r>
            <w:r w:rsidR="00955744">
              <w:rPr>
                <w:rFonts w:cs="Arial"/>
                <w:bCs/>
                <w:sz w:val="20"/>
              </w:rPr>
              <w:t xml:space="preserve">assume that harvest </w:t>
            </w:r>
            <w:r w:rsidR="00B55106">
              <w:rPr>
                <w:rFonts w:cs="Arial"/>
                <w:bCs/>
                <w:sz w:val="20"/>
              </w:rPr>
              <w:t>limits</w:t>
            </w:r>
            <w:r w:rsidR="0019623C">
              <w:rPr>
                <w:rFonts w:cs="Arial"/>
                <w:bCs/>
                <w:sz w:val="20"/>
              </w:rPr>
              <w:t xml:space="preserve"> in the fishery would mitigate</w:t>
            </w:r>
            <w:r w:rsidR="00F1569A">
              <w:rPr>
                <w:rFonts w:cs="Arial"/>
                <w:bCs/>
                <w:sz w:val="20"/>
              </w:rPr>
              <w:t xml:space="preserve"> impacts on the wider ecosystem. </w:t>
            </w:r>
            <w:r w:rsidR="00317D5C">
              <w:rPr>
                <w:rFonts w:cs="Arial"/>
                <w:bCs/>
                <w:sz w:val="20"/>
              </w:rPr>
              <w:t xml:space="preserve">The validity of this assumption is unclear given many of these harvest </w:t>
            </w:r>
            <w:r w:rsidR="00B94C00">
              <w:rPr>
                <w:rFonts w:cs="Arial"/>
                <w:bCs/>
                <w:sz w:val="20"/>
              </w:rPr>
              <w:t xml:space="preserve">limits </w:t>
            </w:r>
            <w:r w:rsidR="00317D5C">
              <w:rPr>
                <w:rFonts w:cs="Arial"/>
                <w:bCs/>
                <w:sz w:val="20"/>
              </w:rPr>
              <w:t xml:space="preserve">are not </w:t>
            </w:r>
            <w:r w:rsidR="002377CF">
              <w:rPr>
                <w:rFonts w:cs="Arial"/>
                <w:bCs/>
                <w:sz w:val="20"/>
              </w:rPr>
              <w:t xml:space="preserve">based on biomass surveys and stocks have not been assessed for many species. </w:t>
            </w:r>
          </w:p>
          <w:p w14:paraId="4EB133A4" w14:textId="1B323003" w:rsidR="00885298" w:rsidRPr="00E22A97" w:rsidRDefault="002377CF" w:rsidP="00D00E6C">
            <w:pPr>
              <w:pStyle w:val="BodyText1"/>
              <w:spacing w:beforeLines="60" w:before="144" w:afterLines="60" w:after="144" w:line="276" w:lineRule="auto"/>
              <w:jc w:val="left"/>
              <w:rPr>
                <w:rFonts w:cs="Arial"/>
                <w:bCs/>
                <w:sz w:val="20"/>
              </w:rPr>
            </w:pPr>
            <w:r>
              <w:rPr>
                <w:rFonts w:cs="Arial"/>
                <w:bCs/>
                <w:sz w:val="20"/>
              </w:rPr>
              <w:t xml:space="preserve">Of particular concern is the potential impact of Burrowing Blackfish </w:t>
            </w:r>
            <w:r w:rsidR="009D51A1">
              <w:rPr>
                <w:rFonts w:cs="Arial"/>
                <w:bCs/>
                <w:sz w:val="20"/>
              </w:rPr>
              <w:t>harvest. This species makes up approximately half the volume of harvest in the fishery and only occurs in</w:t>
            </w:r>
            <w:r w:rsidR="00A420C3">
              <w:rPr>
                <w:rFonts w:cs="Arial"/>
                <w:bCs/>
                <w:sz w:val="20"/>
              </w:rPr>
              <w:t xml:space="preserve"> restricted </w:t>
            </w:r>
            <w:r w:rsidR="007D72F0">
              <w:rPr>
                <w:rFonts w:cs="Arial"/>
                <w:bCs/>
                <w:sz w:val="20"/>
              </w:rPr>
              <w:t xml:space="preserve">areas. Public comments have raised concerns </w:t>
            </w:r>
            <w:r w:rsidR="005773D0">
              <w:rPr>
                <w:rFonts w:cs="Arial"/>
                <w:bCs/>
                <w:sz w:val="20"/>
              </w:rPr>
              <w:t xml:space="preserve">about </w:t>
            </w:r>
            <w:r w:rsidR="003F5B8A">
              <w:rPr>
                <w:rFonts w:cs="Arial"/>
                <w:bCs/>
                <w:sz w:val="20"/>
              </w:rPr>
              <w:t>the level of harvest</w:t>
            </w:r>
            <w:r w:rsidR="00D54FB6">
              <w:rPr>
                <w:rFonts w:cs="Arial"/>
                <w:bCs/>
                <w:sz w:val="20"/>
              </w:rPr>
              <w:t xml:space="preserve">, indicating they </w:t>
            </w:r>
            <w:r w:rsidR="00DE30CA">
              <w:rPr>
                <w:rFonts w:cs="Arial"/>
                <w:bCs/>
                <w:sz w:val="20"/>
              </w:rPr>
              <w:t xml:space="preserve">may </w:t>
            </w:r>
            <w:r w:rsidR="003F5B8A">
              <w:rPr>
                <w:rFonts w:cs="Arial"/>
                <w:bCs/>
                <w:sz w:val="20"/>
              </w:rPr>
              <w:t>already have impact</w:t>
            </w:r>
            <w:r w:rsidR="00DE30CA">
              <w:rPr>
                <w:rFonts w:cs="Arial"/>
                <w:bCs/>
                <w:sz w:val="20"/>
              </w:rPr>
              <w:t>ed</w:t>
            </w:r>
            <w:r w:rsidR="003F5B8A">
              <w:rPr>
                <w:rFonts w:cs="Arial"/>
                <w:bCs/>
                <w:sz w:val="20"/>
              </w:rPr>
              <w:t xml:space="preserve"> on the sed</w:t>
            </w:r>
            <w:r w:rsidR="00D20AF7">
              <w:rPr>
                <w:rFonts w:cs="Arial"/>
                <w:bCs/>
                <w:sz w:val="20"/>
              </w:rPr>
              <w:t xml:space="preserve">iment ecosystems </w:t>
            </w:r>
            <w:r w:rsidR="0053163B">
              <w:rPr>
                <w:rFonts w:cs="Arial"/>
                <w:bCs/>
                <w:sz w:val="20"/>
              </w:rPr>
              <w:t xml:space="preserve">that Burrowing Blackfish </w:t>
            </w:r>
            <w:r w:rsidR="00D20AF7">
              <w:rPr>
                <w:rFonts w:cs="Arial"/>
                <w:bCs/>
                <w:sz w:val="20"/>
              </w:rPr>
              <w:t>inhabits.</w:t>
            </w:r>
            <w:r w:rsidR="003F5B8A">
              <w:rPr>
                <w:rFonts w:cs="Arial"/>
                <w:bCs/>
                <w:sz w:val="20"/>
              </w:rPr>
              <w:t xml:space="preserve"> </w:t>
            </w:r>
            <w:r w:rsidR="00DE30CA">
              <w:rPr>
                <w:rFonts w:cs="Arial"/>
                <w:bCs/>
                <w:sz w:val="20"/>
              </w:rPr>
              <w:t>Condition 7 of this assessment is aimed at gaining a better understanding of the population status for this species.</w:t>
            </w:r>
          </w:p>
        </w:tc>
      </w:tr>
      <w:tr w:rsidR="00885298" w:rsidRPr="00433FCA" w14:paraId="257A30C9" w14:textId="77777777" w:rsidTr="002F0C8B">
        <w:trPr>
          <w:cantSplit/>
        </w:trPr>
        <w:tc>
          <w:tcPr>
            <w:tcW w:w="1500" w:type="pct"/>
            <w:shd w:val="clear" w:color="auto" w:fill="auto"/>
          </w:tcPr>
          <w:p w14:paraId="334B90D6"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Requires compliance with relevant threat abatement plans, recovery plans, the National Policy on Fisheries Bycatch, and bycatch action strategies developed under the policy</w:t>
            </w:r>
            <w:r w:rsidR="006B6EF9" w:rsidRPr="00433FCA">
              <w:rPr>
                <w:rFonts w:cs="Arial"/>
                <w:sz w:val="20"/>
                <w:szCs w:val="20"/>
              </w:rPr>
              <w:t>.</w:t>
            </w:r>
          </w:p>
          <w:p w14:paraId="2FAB5309" w14:textId="0F6B3941"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7ACEA47E" w14:textId="72BFFF6B" w:rsidR="00636969" w:rsidRDefault="00D00E6C" w:rsidP="00762740">
            <w:pPr>
              <w:spacing w:beforeLines="60" w:before="144" w:afterLines="60" w:after="144" w:line="276" w:lineRule="auto"/>
              <w:contextualSpacing/>
              <w:rPr>
                <w:rFonts w:cs="Arial"/>
                <w:b/>
                <w:bCs/>
                <w:sz w:val="20"/>
                <w:szCs w:val="20"/>
              </w:rPr>
            </w:pPr>
            <w:r>
              <w:rPr>
                <w:rFonts w:cs="Arial"/>
                <w:b/>
                <w:bCs/>
                <w:sz w:val="20"/>
                <w:szCs w:val="20"/>
              </w:rPr>
              <w:t>Not Applicable</w:t>
            </w:r>
          </w:p>
          <w:p w14:paraId="4AB6A9FA" w14:textId="259101B5" w:rsidR="00D00E6C" w:rsidRPr="00D00E6C" w:rsidRDefault="00D00E6C" w:rsidP="00762740">
            <w:pPr>
              <w:spacing w:beforeLines="60" w:before="144" w:afterLines="60" w:after="144" w:line="276" w:lineRule="auto"/>
              <w:contextualSpacing/>
              <w:rPr>
                <w:rFonts w:cs="Arial"/>
                <w:sz w:val="20"/>
                <w:szCs w:val="20"/>
              </w:rPr>
            </w:pPr>
            <w:r>
              <w:rPr>
                <w:rFonts w:cs="Arial"/>
                <w:sz w:val="20"/>
                <w:szCs w:val="20"/>
              </w:rPr>
              <w:t xml:space="preserve">No stocks are </w:t>
            </w:r>
            <w:r w:rsidR="000D6DCF">
              <w:rPr>
                <w:rFonts w:cs="Arial"/>
                <w:sz w:val="20"/>
                <w:szCs w:val="20"/>
              </w:rPr>
              <w:t>required</w:t>
            </w:r>
            <w:r>
              <w:rPr>
                <w:rFonts w:cs="Arial"/>
                <w:sz w:val="20"/>
                <w:szCs w:val="20"/>
              </w:rPr>
              <w:t xml:space="preserve"> to comply with threat abatement plans, recovery plans of bycatch strategies.</w:t>
            </w:r>
          </w:p>
          <w:p w14:paraId="5E4F5B9B" w14:textId="569D258B" w:rsidR="00885298" w:rsidRPr="00433FCA" w:rsidRDefault="00885298" w:rsidP="00762740">
            <w:pPr>
              <w:spacing w:beforeLines="60" w:before="144" w:afterLines="60" w:after="144" w:line="276" w:lineRule="auto"/>
              <w:contextualSpacing/>
              <w:rPr>
                <w:rFonts w:cs="Arial"/>
                <w:sz w:val="20"/>
                <w:szCs w:val="20"/>
              </w:rPr>
            </w:pPr>
          </w:p>
        </w:tc>
      </w:tr>
      <w:tr w:rsidR="00885298" w:rsidRPr="00433FCA" w14:paraId="4C167BCF" w14:textId="77777777" w:rsidTr="002F0C8B">
        <w:trPr>
          <w:cantSplit/>
        </w:trPr>
        <w:tc>
          <w:tcPr>
            <w:tcW w:w="5000" w:type="pct"/>
            <w:gridSpan w:val="2"/>
            <w:shd w:val="clear" w:color="auto" w:fill="92CDDC"/>
          </w:tcPr>
          <w:p w14:paraId="5BAE62F0" w14:textId="77777777" w:rsidR="00885298" w:rsidRPr="00433FCA" w:rsidRDefault="00885298" w:rsidP="00762740">
            <w:pPr>
              <w:keepNext/>
              <w:autoSpaceDE w:val="0"/>
              <w:autoSpaceDN w:val="0"/>
              <w:adjustRightInd w:val="0"/>
              <w:spacing w:beforeLines="60" w:before="144" w:afterLines="60" w:after="144" w:line="276" w:lineRule="auto"/>
              <w:contextualSpacing/>
              <w:rPr>
                <w:rFonts w:cs="Arial"/>
                <w:b/>
                <w:bCs/>
                <w:sz w:val="20"/>
                <w:szCs w:val="20"/>
              </w:rPr>
            </w:pPr>
            <w:r w:rsidRPr="00433FCA">
              <w:rPr>
                <w:rFonts w:cs="Arial"/>
                <w:b/>
                <w:bCs/>
                <w:sz w:val="20"/>
                <w:szCs w:val="20"/>
              </w:rPr>
              <w:lastRenderedPageBreak/>
              <w:t xml:space="preserve">PRINCIPLE 1 - </w:t>
            </w:r>
            <w:r w:rsidRPr="00433FCA">
              <w:rPr>
                <w:rFonts w:cs="Arial"/>
                <w:sz w:val="20"/>
                <w:szCs w:val="20"/>
              </w:rPr>
              <w:t>A fishery must be conducted in a manner that does not lead to over-fishing, or for those stocks that are over-fished, the fishery must be conducted such that there is a high degree of probability the stock(s) will recover</w:t>
            </w:r>
            <w:r w:rsidRPr="00433FCA">
              <w:rPr>
                <w:rFonts w:cs="Arial"/>
                <w:b/>
                <w:bCs/>
                <w:sz w:val="20"/>
                <w:szCs w:val="20"/>
              </w:rPr>
              <w:t xml:space="preserve">. </w:t>
            </w:r>
          </w:p>
        </w:tc>
      </w:tr>
      <w:tr w:rsidR="00885298" w:rsidRPr="00433FCA" w14:paraId="1B4867E2" w14:textId="77777777" w:rsidTr="002F0C8B">
        <w:trPr>
          <w:cantSplit/>
        </w:trPr>
        <w:tc>
          <w:tcPr>
            <w:tcW w:w="5000" w:type="pct"/>
            <w:gridSpan w:val="2"/>
            <w:shd w:val="clear" w:color="auto" w:fill="B6DDE8"/>
          </w:tcPr>
          <w:p w14:paraId="1598A040" w14:textId="0115D611" w:rsidR="00885298" w:rsidRPr="00433FCA" w:rsidRDefault="00885298" w:rsidP="00762740">
            <w:pPr>
              <w:keepNext/>
              <w:spacing w:beforeLines="60" w:before="144" w:afterLines="60" w:after="144" w:line="276" w:lineRule="auto"/>
              <w:contextualSpacing/>
              <w:rPr>
                <w:rFonts w:cs="Arial"/>
                <w:b/>
                <w:bCs/>
                <w:sz w:val="20"/>
                <w:szCs w:val="20"/>
              </w:rPr>
            </w:pPr>
            <w:r w:rsidRPr="00433FCA">
              <w:rPr>
                <w:rFonts w:cs="Arial"/>
                <w:b/>
                <w:bCs/>
                <w:sz w:val="20"/>
                <w:szCs w:val="20"/>
              </w:rPr>
              <w:t xml:space="preserve">Objective 1 - </w:t>
            </w:r>
            <w:r w:rsidRPr="00433FCA">
              <w:rPr>
                <w:rFonts w:cs="Arial"/>
                <w:sz w:val="20"/>
                <w:szCs w:val="20"/>
              </w:rPr>
              <w:t>The fishery shall be conducted at catch levels that maintain ecologically viable stock levels at an agreed point or range, with ac</w:t>
            </w:r>
            <w:r w:rsidR="006B6EF9" w:rsidRPr="00433FCA">
              <w:rPr>
                <w:rFonts w:cs="Arial"/>
                <w:sz w:val="20"/>
                <w:szCs w:val="20"/>
              </w:rPr>
              <w:t>ceptable levels of probability.</w:t>
            </w:r>
          </w:p>
        </w:tc>
      </w:tr>
      <w:tr w:rsidR="00885298" w:rsidRPr="00433FCA" w14:paraId="1CCDF312" w14:textId="77777777" w:rsidTr="002F0C8B">
        <w:trPr>
          <w:cantSplit/>
        </w:trPr>
        <w:tc>
          <w:tcPr>
            <w:tcW w:w="5000" w:type="pct"/>
            <w:gridSpan w:val="2"/>
            <w:shd w:val="clear" w:color="auto" w:fill="DAEEF3"/>
          </w:tcPr>
          <w:p w14:paraId="43C5F828" w14:textId="77777777" w:rsidR="00885298" w:rsidRPr="00433FCA" w:rsidRDefault="00885298" w:rsidP="00762740">
            <w:pPr>
              <w:keepNext/>
              <w:spacing w:beforeLines="60" w:before="144" w:afterLines="60" w:after="144" w:line="276" w:lineRule="auto"/>
              <w:contextualSpacing/>
              <w:rPr>
                <w:rFonts w:cs="Arial"/>
                <w:b/>
                <w:bCs/>
                <w:i/>
                <w:iCs/>
                <w:sz w:val="20"/>
                <w:szCs w:val="20"/>
              </w:rPr>
            </w:pPr>
            <w:r w:rsidRPr="00433FCA">
              <w:rPr>
                <w:rFonts w:cs="Arial"/>
                <w:b/>
                <w:bCs/>
                <w:i/>
                <w:iCs/>
                <w:sz w:val="20"/>
                <w:szCs w:val="20"/>
              </w:rPr>
              <w:t xml:space="preserve">Information requirements </w:t>
            </w:r>
          </w:p>
        </w:tc>
      </w:tr>
      <w:tr w:rsidR="00885298" w:rsidRPr="00433FCA" w14:paraId="40E94611" w14:textId="77777777" w:rsidTr="00C86757">
        <w:trPr>
          <w:cantSplit/>
        </w:trPr>
        <w:tc>
          <w:tcPr>
            <w:tcW w:w="1500" w:type="pct"/>
            <w:shd w:val="clear" w:color="auto" w:fill="FFC000"/>
          </w:tcPr>
          <w:p w14:paraId="144AC722" w14:textId="626FE5E9" w:rsidR="00A0129B"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1.1.1 </w:t>
            </w:r>
            <w:r w:rsidRPr="00433FCA">
              <w:rPr>
                <w:rFonts w:cs="Arial"/>
                <w:sz w:val="20"/>
                <w:szCs w:val="20"/>
              </w:rPr>
              <w:t>There is a reliable information collection system in place appropriate to the scale of the fishery. The level of data collection should be based upon an appropriate mix of fishery independent and dep</w:t>
            </w:r>
            <w:r w:rsidR="006B6EF9" w:rsidRPr="00433FCA">
              <w:rPr>
                <w:rFonts w:cs="Arial"/>
                <w:sz w:val="20"/>
                <w:szCs w:val="20"/>
              </w:rPr>
              <w:t>endent research and monitoring.</w:t>
            </w:r>
          </w:p>
          <w:p w14:paraId="31C44E87" w14:textId="67073DC3" w:rsidR="00A0129B" w:rsidRPr="00433FCA" w:rsidRDefault="00A0129B" w:rsidP="00FC2EBF">
            <w:pPr>
              <w:spacing w:before="60" w:after="60" w:line="276" w:lineRule="auto"/>
              <w:contextualSpacing/>
              <w:rPr>
                <w:rFonts w:cs="Arial"/>
                <w:sz w:val="20"/>
                <w:szCs w:val="20"/>
              </w:rPr>
            </w:pPr>
          </w:p>
        </w:tc>
        <w:tc>
          <w:tcPr>
            <w:tcW w:w="3500" w:type="pct"/>
            <w:shd w:val="clear" w:color="auto" w:fill="auto"/>
          </w:tcPr>
          <w:p w14:paraId="27876F50" w14:textId="4296D6E6" w:rsidR="005869AD" w:rsidRPr="00433FCA" w:rsidRDefault="00F8472A" w:rsidP="00762740">
            <w:pPr>
              <w:spacing w:beforeLines="60" w:before="144" w:afterLines="60" w:after="144" w:line="276" w:lineRule="auto"/>
              <w:contextualSpacing/>
              <w:rPr>
                <w:rFonts w:cs="Arial"/>
                <w:b/>
                <w:sz w:val="20"/>
                <w:szCs w:val="20"/>
              </w:rPr>
            </w:pPr>
            <w:r w:rsidRPr="008B14FF">
              <w:rPr>
                <w:rFonts w:cs="Arial"/>
                <w:b/>
                <w:sz w:val="20"/>
                <w:szCs w:val="20"/>
              </w:rPr>
              <w:t xml:space="preserve">Partially meets </w:t>
            </w:r>
            <w:r w:rsidR="005869AD" w:rsidRPr="008B14FF">
              <w:rPr>
                <w:rFonts w:cs="Arial"/>
                <w:b/>
                <w:sz w:val="20"/>
                <w:szCs w:val="20"/>
              </w:rPr>
              <w:t>–</w:t>
            </w:r>
            <w:r w:rsidR="005869AD" w:rsidRPr="00433FCA">
              <w:rPr>
                <w:rFonts w:cs="Arial"/>
                <w:b/>
                <w:sz w:val="20"/>
                <w:szCs w:val="20"/>
              </w:rPr>
              <w:t xml:space="preserve"> </w:t>
            </w:r>
            <w:r w:rsidR="008B7D1D">
              <w:rPr>
                <w:rFonts w:cs="Arial"/>
                <w:b/>
                <w:sz w:val="20"/>
                <w:szCs w:val="20"/>
              </w:rPr>
              <w:t>There is l</w:t>
            </w:r>
            <w:r w:rsidR="005869AD" w:rsidRPr="00FA1BF3">
              <w:rPr>
                <w:rFonts w:cs="Arial"/>
                <w:b/>
                <w:sz w:val="20"/>
                <w:szCs w:val="20"/>
              </w:rPr>
              <w:t>og</w:t>
            </w:r>
            <w:r w:rsidR="000308E7" w:rsidRPr="00FA1BF3">
              <w:rPr>
                <w:rFonts w:cs="Arial"/>
                <w:b/>
                <w:sz w:val="20"/>
                <w:szCs w:val="20"/>
              </w:rPr>
              <w:t>book reporting</w:t>
            </w:r>
            <w:r w:rsidR="005869AD" w:rsidRPr="00FA1BF3">
              <w:rPr>
                <w:rFonts w:cs="Arial"/>
                <w:b/>
                <w:sz w:val="20"/>
                <w:szCs w:val="20"/>
              </w:rPr>
              <w:t xml:space="preserve"> </w:t>
            </w:r>
            <w:r w:rsidR="00177911" w:rsidRPr="00FA1BF3">
              <w:rPr>
                <w:rFonts w:cs="Arial"/>
                <w:b/>
                <w:sz w:val="20"/>
                <w:szCs w:val="20"/>
              </w:rPr>
              <w:t>and sporadic industry-led surveys are undertaken in the fishery</w:t>
            </w:r>
            <w:r w:rsidR="00D33E30">
              <w:rPr>
                <w:rFonts w:cs="Arial"/>
                <w:b/>
                <w:sz w:val="20"/>
                <w:szCs w:val="20"/>
              </w:rPr>
              <w:t xml:space="preserve">. </w:t>
            </w:r>
            <w:r w:rsidR="00FB4F7D">
              <w:rPr>
                <w:rFonts w:cs="Arial"/>
                <w:b/>
                <w:sz w:val="20"/>
                <w:szCs w:val="20"/>
              </w:rPr>
              <w:t xml:space="preserve">There is no </w:t>
            </w:r>
            <w:r w:rsidR="00065C67" w:rsidRPr="00FA1BF3">
              <w:rPr>
                <w:rFonts w:cs="Arial"/>
                <w:b/>
                <w:sz w:val="20"/>
                <w:szCs w:val="20"/>
              </w:rPr>
              <w:t>independent verification</w:t>
            </w:r>
            <w:r w:rsidR="00FB4F7D">
              <w:rPr>
                <w:rFonts w:cs="Arial"/>
                <w:b/>
                <w:sz w:val="20"/>
                <w:szCs w:val="20"/>
              </w:rPr>
              <w:t xml:space="preserve"> </w:t>
            </w:r>
            <w:r w:rsidR="001E4E17">
              <w:rPr>
                <w:rFonts w:cs="Arial"/>
                <w:b/>
                <w:sz w:val="20"/>
                <w:szCs w:val="20"/>
              </w:rPr>
              <w:t xml:space="preserve">of fishery data </w:t>
            </w:r>
            <w:r w:rsidR="00177911" w:rsidRPr="00FA1BF3">
              <w:rPr>
                <w:rFonts w:cs="Arial"/>
                <w:b/>
                <w:sz w:val="20"/>
                <w:szCs w:val="20"/>
              </w:rPr>
              <w:t xml:space="preserve">and </w:t>
            </w:r>
            <w:r w:rsidR="001E4E17">
              <w:rPr>
                <w:rFonts w:cs="Arial"/>
                <w:b/>
                <w:sz w:val="20"/>
                <w:szCs w:val="20"/>
              </w:rPr>
              <w:t>no</w:t>
            </w:r>
            <w:r w:rsidR="00177911" w:rsidRPr="00FA1BF3">
              <w:rPr>
                <w:rFonts w:cs="Arial"/>
                <w:b/>
                <w:sz w:val="20"/>
                <w:szCs w:val="20"/>
              </w:rPr>
              <w:t xml:space="preserve"> research and monitoring plan</w:t>
            </w:r>
            <w:r w:rsidR="001E4E17">
              <w:rPr>
                <w:rFonts w:cs="Arial"/>
                <w:b/>
                <w:sz w:val="20"/>
                <w:szCs w:val="20"/>
              </w:rPr>
              <w:t>.</w:t>
            </w:r>
            <w:r w:rsidR="008B7D1D">
              <w:rPr>
                <w:rFonts w:cs="Arial"/>
                <w:b/>
                <w:sz w:val="20"/>
                <w:szCs w:val="20"/>
              </w:rPr>
              <w:t xml:space="preserve"> </w:t>
            </w:r>
            <w:r w:rsidR="006F5351">
              <w:rPr>
                <w:rFonts w:cs="Arial"/>
                <w:b/>
                <w:sz w:val="20"/>
                <w:szCs w:val="20"/>
              </w:rPr>
              <w:t>However,</w:t>
            </w:r>
            <w:r w:rsidR="00483B10">
              <w:rPr>
                <w:rFonts w:cs="Arial"/>
                <w:b/>
                <w:sz w:val="20"/>
                <w:szCs w:val="20"/>
              </w:rPr>
              <w:t xml:space="preserve"> a</w:t>
            </w:r>
            <w:r w:rsidR="00177911" w:rsidRPr="00FA1BF3">
              <w:rPr>
                <w:rFonts w:cs="Arial"/>
                <w:b/>
                <w:sz w:val="20"/>
                <w:szCs w:val="20"/>
              </w:rPr>
              <w:t xml:space="preserve"> trigger system is outlined in the new harvest strategy for the fishery</w:t>
            </w:r>
            <w:r w:rsidR="005869AD" w:rsidRPr="00FA1BF3">
              <w:rPr>
                <w:rFonts w:cs="Arial"/>
                <w:b/>
                <w:sz w:val="20"/>
                <w:szCs w:val="20"/>
              </w:rPr>
              <w:t>.</w:t>
            </w:r>
          </w:p>
          <w:p w14:paraId="7FCAC011" w14:textId="0D41E36C" w:rsidR="008D73CD" w:rsidRDefault="008D73CD" w:rsidP="00762740">
            <w:pPr>
              <w:spacing w:beforeLines="60" w:before="144" w:afterLines="60" w:after="144" w:line="276" w:lineRule="auto"/>
              <w:contextualSpacing/>
              <w:rPr>
                <w:rFonts w:cs="Arial"/>
                <w:b/>
                <w:sz w:val="20"/>
                <w:szCs w:val="20"/>
              </w:rPr>
            </w:pPr>
          </w:p>
          <w:p w14:paraId="3E1306F9" w14:textId="59A4A41F" w:rsidR="008C685B" w:rsidRDefault="00A326EA" w:rsidP="009F5486">
            <w:pPr>
              <w:spacing w:beforeLines="60" w:before="144" w:afterLines="60" w:after="144" w:line="276" w:lineRule="auto"/>
              <w:rPr>
                <w:rFonts w:cs="Arial"/>
                <w:bCs/>
                <w:sz w:val="20"/>
                <w:szCs w:val="20"/>
              </w:rPr>
            </w:pPr>
            <w:r>
              <w:rPr>
                <w:rFonts w:cs="Arial"/>
                <w:bCs/>
                <w:sz w:val="20"/>
                <w:szCs w:val="20"/>
              </w:rPr>
              <w:t xml:space="preserve">The fishery has </w:t>
            </w:r>
            <w:r w:rsidR="00CC3939">
              <w:rPr>
                <w:rFonts w:cs="Arial"/>
                <w:bCs/>
                <w:sz w:val="20"/>
                <w:szCs w:val="20"/>
              </w:rPr>
              <w:t xml:space="preserve">mandatory </w:t>
            </w:r>
            <w:r w:rsidR="004A65BD">
              <w:rPr>
                <w:rFonts w:cs="Arial"/>
                <w:bCs/>
                <w:sz w:val="20"/>
                <w:szCs w:val="20"/>
              </w:rPr>
              <w:t>logbook</w:t>
            </w:r>
            <w:r w:rsidR="00CC3939">
              <w:rPr>
                <w:rFonts w:cs="Arial"/>
                <w:bCs/>
                <w:sz w:val="20"/>
                <w:szCs w:val="20"/>
              </w:rPr>
              <w:t xml:space="preserve"> reporting of catch and effort. </w:t>
            </w:r>
            <w:r w:rsidR="00087BD4">
              <w:rPr>
                <w:rFonts w:cs="Arial"/>
                <w:bCs/>
                <w:sz w:val="20"/>
                <w:szCs w:val="20"/>
              </w:rPr>
              <w:t>Fisher</w:t>
            </w:r>
            <w:r w:rsidR="00684B90">
              <w:rPr>
                <w:rFonts w:cs="Arial"/>
                <w:bCs/>
                <w:sz w:val="20"/>
                <w:szCs w:val="20"/>
              </w:rPr>
              <w:t>s are required to give prior notice of</w:t>
            </w:r>
            <w:r w:rsidR="00E37ADA">
              <w:rPr>
                <w:rFonts w:cs="Arial"/>
                <w:bCs/>
                <w:sz w:val="20"/>
                <w:szCs w:val="20"/>
              </w:rPr>
              <w:t xml:space="preserve"> where they intend to land their catch as well as complete the </w:t>
            </w:r>
            <w:r w:rsidR="004A65BD">
              <w:rPr>
                <w:rFonts w:cs="Arial"/>
                <w:bCs/>
                <w:sz w:val="20"/>
                <w:szCs w:val="20"/>
              </w:rPr>
              <w:t>logbook</w:t>
            </w:r>
            <w:r w:rsidR="00E37ADA">
              <w:rPr>
                <w:rFonts w:cs="Arial"/>
                <w:bCs/>
                <w:sz w:val="20"/>
                <w:szCs w:val="20"/>
              </w:rPr>
              <w:t xml:space="preserve"> entry prior to </w:t>
            </w:r>
            <w:r w:rsidR="004A65BD">
              <w:rPr>
                <w:rFonts w:cs="Arial"/>
                <w:bCs/>
                <w:sz w:val="20"/>
                <w:szCs w:val="20"/>
              </w:rPr>
              <w:t xml:space="preserve">unloading. Logbooks </w:t>
            </w:r>
            <w:proofErr w:type="gramStart"/>
            <w:r w:rsidR="004A65BD">
              <w:rPr>
                <w:rFonts w:cs="Arial"/>
                <w:bCs/>
                <w:sz w:val="20"/>
                <w:szCs w:val="20"/>
              </w:rPr>
              <w:t>report</w:t>
            </w:r>
            <w:proofErr w:type="gramEnd"/>
            <w:r w:rsidR="004A65BD">
              <w:rPr>
                <w:rFonts w:cs="Arial"/>
                <w:bCs/>
                <w:sz w:val="20"/>
                <w:szCs w:val="20"/>
              </w:rPr>
              <w:t xml:space="preserve"> catch to species level</w:t>
            </w:r>
            <w:r w:rsidR="00274867">
              <w:rPr>
                <w:rFonts w:cs="Arial"/>
                <w:bCs/>
                <w:sz w:val="20"/>
                <w:szCs w:val="20"/>
              </w:rPr>
              <w:t xml:space="preserve"> for all species</w:t>
            </w:r>
            <w:r w:rsidR="008C685B">
              <w:rPr>
                <w:rFonts w:cs="Arial"/>
                <w:bCs/>
                <w:sz w:val="20"/>
                <w:szCs w:val="20"/>
              </w:rPr>
              <w:t>,</w:t>
            </w:r>
            <w:r w:rsidR="00881C1F">
              <w:rPr>
                <w:rFonts w:cs="Arial"/>
                <w:bCs/>
                <w:sz w:val="20"/>
                <w:szCs w:val="20"/>
              </w:rPr>
              <w:t xml:space="preserve"> with the exception of </w:t>
            </w:r>
            <w:proofErr w:type="spellStart"/>
            <w:r w:rsidR="00C62202">
              <w:rPr>
                <w:rFonts w:cs="Arial"/>
                <w:bCs/>
                <w:sz w:val="20"/>
                <w:szCs w:val="20"/>
              </w:rPr>
              <w:t>Curryfish</w:t>
            </w:r>
            <w:proofErr w:type="spellEnd"/>
            <w:r w:rsidR="00C62202">
              <w:rPr>
                <w:rFonts w:cs="Arial"/>
                <w:bCs/>
                <w:sz w:val="20"/>
                <w:szCs w:val="20"/>
              </w:rPr>
              <w:t>.</w:t>
            </w:r>
            <w:r w:rsidR="008C685B">
              <w:rPr>
                <w:rFonts w:cs="Arial"/>
                <w:bCs/>
                <w:sz w:val="20"/>
                <w:szCs w:val="20"/>
              </w:rPr>
              <w:t xml:space="preserve"> </w:t>
            </w:r>
            <w:r w:rsidR="00473569">
              <w:rPr>
                <w:rFonts w:cs="Arial"/>
                <w:bCs/>
                <w:sz w:val="20"/>
                <w:szCs w:val="20"/>
              </w:rPr>
              <w:t xml:space="preserve">Conditions 7 and 8 include requirements to undertake stock assessments that are based on all available data, including survey data. </w:t>
            </w:r>
            <w:r w:rsidR="008C685B" w:rsidRPr="000D6DCF">
              <w:rPr>
                <w:rFonts w:cs="Arial"/>
                <w:bCs/>
                <w:sz w:val="20"/>
                <w:szCs w:val="20"/>
              </w:rPr>
              <w:t xml:space="preserve">Condition </w:t>
            </w:r>
            <w:r w:rsidR="009F5486" w:rsidRPr="000D6DCF">
              <w:rPr>
                <w:rFonts w:cs="Arial"/>
                <w:bCs/>
                <w:sz w:val="20"/>
                <w:szCs w:val="20"/>
              </w:rPr>
              <w:t>8</w:t>
            </w:r>
            <w:r w:rsidR="008C685B">
              <w:rPr>
                <w:rFonts w:cs="Arial"/>
                <w:bCs/>
                <w:sz w:val="20"/>
                <w:szCs w:val="20"/>
              </w:rPr>
              <w:t xml:space="preserve"> requires species specific reporting for </w:t>
            </w:r>
            <w:proofErr w:type="spellStart"/>
            <w:r w:rsidR="008C685B">
              <w:rPr>
                <w:rFonts w:cs="Arial"/>
                <w:bCs/>
                <w:sz w:val="20"/>
                <w:szCs w:val="20"/>
              </w:rPr>
              <w:t>Curryfish</w:t>
            </w:r>
            <w:proofErr w:type="spellEnd"/>
            <w:r w:rsidR="008C685B">
              <w:rPr>
                <w:rFonts w:cs="Arial"/>
                <w:bCs/>
                <w:sz w:val="20"/>
                <w:szCs w:val="20"/>
              </w:rPr>
              <w:t>.</w:t>
            </w:r>
          </w:p>
          <w:p w14:paraId="46E23427" w14:textId="5A3B45BB" w:rsidR="000308E7" w:rsidRDefault="008C685B" w:rsidP="009F5486">
            <w:pPr>
              <w:spacing w:beforeLines="60" w:before="144" w:afterLines="60" w:after="144" w:line="276" w:lineRule="auto"/>
              <w:rPr>
                <w:rFonts w:cs="Arial"/>
                <w:bCs/>
                <w:sz w:val="20"/>
                <w:szCs w:val="20"/>
              </w:rPr>
            </w:pPr>
            <w:r>
              <w:rPr>
                <w:rFonts w:cs="Arial"/>
                <w:bCs/>
                <w:sz w:val="20"/>
                <w:szCs w:val="20"/>
              </w:rPr>
              <w:t xml:space="preserve">The fishery has a strong history of </w:t>
            </w:r>
            <w:r w:rsidR="0039666E">
              <w:rPr>
                <w:rFonts w:cs="Arial"/>
                <w:bCs/>
                <w:sz w:val="20"/>
                <w:szCs w:val="20"/>
              </w:rPr>
              <w:t xml:space="preserve">industry led initiatives </w:t>
            </w:r>
            <w:r w:rsidR="00177911">
              <w:rPr>
                <w:rFonts w:cs="Arial"/>
                <w:bCs/>
                <w:sz w:val="20"/>
                <w:szCs w:val="20"/>
              </w:rPr>
              <w:t xml:space="preserve">such as surveys </w:t>
            </w:r>
            <w:r w:rsidR="0039666E">
              <w:rPr>
                <w:rFonts w:cs="Arial"/>
                <w:bCs/>
                <w:sz w:val="20"/>
                <w:szCs w:val="20"/>
              </w:rPr>
              <w:t xml:space="preserve">and voluntary </w:t>
            </w:r>
            <w:r w:rsidR="00177911">
              <w:rPr>
                <w:rFonts w:cs="Arial"/>
                <w:bCs/>
                <w:sz w:val="20"/>
                <w:szCs w:val="20"/>
              </w:rPr>
              <w:t>management measures</w:t>
            </w:r>
            <w:r w:rsidR="004626B4">
              <w:rPr>
                <w:rFonts w:cs="Arial"/>
                <w:bCs/>
                <w:sz w:val="20"/>
                <w:szCs w:val="20"/>
              </w:rPr>
              <w:t>.</w:t>
            </w:r>
            <w:r w:rsidR="00177911">
              <w:rPr>
                <w:rFonts w:cs="Arial"/>
                <w:bCs/>
                <w:sz w:val="20"/>
                <w:szCs w:val="20"/>
              </w:rPr>
              <w:t xml:space="preserve"> </w:t>
            </w:r>
            <w:r w:rsidR="004626B4">
              <w:rPr>
                <w:rFonts w:cs="Arial"/>
                <w:bCs/>
                <w:sz w:val="20"/>
                <w:szCs w:val="20"/>
              </w:rPr>
              <w:t>H</w:t>
            </w:r>
            <w:r w:rsidR="0039666E">
              <w:rPr>
                <w:rFonts w:cs="Arial"/>
                <w:bCs/>
                <w:sz w:val="20"/>
                <w:szCs w:val="20"/>
              </w:rPr>
              <w:t>owever</w:t>
            </w:r>
            <w:r w:rsidR="004626B4">
              <w:rPr>
                <w:rFonts w:cs="Arial"/>
                <w:bCs/>
                <w:sz w:val="20"/>
                <w:szCs w:val="20"/>
              </w:rPr>
              <w:t>,</w:t>
            </w:r>
            <w:r w:rsidR="0039666E">
              <w:rPr>
                <w:rFonts w:cs="Arial"/>
                <w:bCs/>
                <w:sz w:val="20"/>
                <w:szCs w:val="20"/>
              </w:rPr>
              <w:t xml:space="preserve"> there has been no independent observer coverage to verify </w:t>
            </w:r>
            <w:r w:rsidR="006A3035">
              <w:rPr>
                <w:rFonts w:cs="Arial"/>
                <w:bCs/>
                <w:sz w:val="20"/>
                <w:szCs w:val="20"/>
              </w:rPr>
              <w:t xml:space="preserve">catch </w:t>
            </w:r>
            <w:r w:rsidR="003C4765">
              <w:rPr>
                <w:rFonts w:cs="Arial"/>
                <w:bCs/>
                <w:sz w:val="20"/>
                <w:szCs w:val="20"/>
              </w:rPr>
              <w:t>reporting</w:t>
            </w:r>
            <w:r w:rsidR="006A3035">
              <w:rPr>
                <w:rFonts w:cs="Arial"/>
                <w:bCs/>
                <w:sz w:val="20"/>
                <w:szCs w:val="20"/>
              </w:rPr>
              <w:t>.</w:t>
            </w:r>
            <w:r w:rsidR="002D38C8">
              <w:rPr>
                <w:rFonts w:cs="Arial"/>
                <w:bCs/>
                <w:sz w:val="20"/>
                <w:szCs w:val="20"/>
              </w:rPr>
              <w:t xml:space="preserve"> The industry reports zero </w:t>
            </w:r>
            <w:r w:rsidR="0030400E">
              <w:rPr>
                <w:rFonts w:cs="Arial"/>
                <w:bCs/>
                <w:sz w:val="20"/>
                <w:szCs w:val="20"/>
              </w:rPr>
              <w:t>wastage or discards but processing occurs at sea and so verification of this</w:t>
            </w:r>
            <w:r w:rsidR="00177911">
              <w:rPr>
                <w:rFonts w:cs="Arial"/>
                <w:bCs/>
                <w:sz w:val="20"/>
                <w:szCs w:val="20"/>
              </w:rPr>
              <w:t xml:space="preserve"> information</w:t>
            </w:r>
            <w:r w:rsidR="0030400E" w:rsidDel="00177911">
              <w:rPr>
                <w:rFonts w:cs="Arial"/>
                <w:bCs/>
                <w:sz w:val="20"/>
                <w:szCs w:val="20"/>
              </w:rPr>
              <w:t xml:space="preserve"> </w:t>
            </w:r>
            <w:r w:rsidR="0030400E">
              <w:rPr>
                <w:rFonts w:cs="Arial"/>
                <w:bCs/>
                <w:sz w:val="20"/>
                <w:szCs w:val="20"/>
              </w:rPr>
              <w:t xml:space="preserve">is not currently possible. </w:t>
            </w:r>
          </w:p>
          <w:p w14:paraId="4D7948C3" w14:textId="0472E5B0" w:rsidR="00885298" w:rsidRPr="000308E7" w:rsidRDefault="00C86757" w:rsidP="009F5486">
            <w:pPr>
              <w:spacing w:beforeLines="60" w:before="144" w:afterLines="60" w:after="144" w:line="276" w:lineRule="auto"/>
              <w:rPr>
                <w:rFonts w:cs="Arial"/>
                <w:bCs/>
                <w:sz w:val="20"/>
                <w:szCs w:val="20"/>
              </w:rPr>
            </w:pPr>
            <w:r>
              <w:rPr>
                <w:rFonts w:cs="Arial"/>
                <w:bCs/>
                <w:sz w:val="20"/>
                <w:szCs w:val="20"/>
              </w:rPr>
              <w:t xml:space="preserve"> </w:t>
            </w:r>
          </w:p>
        </w:tc>
      </w:tr>
      <w:tr w:rsidR="00885298" w:rsidRPr="00433FCA" w14:paraId="24E6F4E0" w14:textId="77777777" w:rsidTr="002F0C8B">
        <w:trPr>
          <w:cantSplit/>
        </w:trPr>
        <w:tc>
          <w:tcPr>
            <w:tcW w:w="5000" w:type="pct"/>
            <w:gridSpan w:val="2"/>
            <w:shd w:val="clear" w:color="auto" w:fill="DAEEF3"/>
          </w:tcPr>
          <w:p w14:paraId="5031E339" w14:textId="77777777" w:rsidR="00885298" w:rsidRPr="00433FCA" w:rsidRDefault="00885298" w:rsidP="00153190">
            <w:pPr>
              <w:keepNext/>
              <w:spacing w:beforeLines="60" w:before="144" w:afterLines="60" w:after="144" w:line="276" w:lineRule="auto"/>
              <w:contextualSpacing/>
              <w:rPr>
                <w:rFonts w:cs="Arial"/>
                <w:b/>
                <w:bCs/>
                <w:i/>
                <w:iCs/>
                <w:sz w:val="20"/>
                <w:szCs w:val="20"/>
              </w:rPr>
            </w:pPr>
            <w:r w:rsidRPr="00433FCA">
              <w:rPr>
                <w:rFonts w:cs="Arial"/>
                <w:b/>
                <w:bCs/>
                <w:i/>
                <w:iCs/>
                <w:sz w:val="20"/>
                <w:szCs w:val="20"/>
              </w:rPr>
              <w:lastRenderedPageBreak/>
              <w:t xml:space="preserve">Assessment </w:t>
            </w:r>
          </w:p>
        </w:tc>
      </w:tr>
      <w:tr w:rsidR="00885298" w:rsidRPr="00433FCA" w14:paraId="4FB3EA8F" w14:textId="77777777" w:rsidTr="009D4A61">
        <w:trPr>
          <w:cantSplit/>
        </w:trPr>
        <w:tc>
          <w:tcPr>
            <w:tcW w:w="1500" w:type="pct"/>
            <w:shd w:val="clear" w:color="auto" w:fill="FFC000"/>
          </w:tcPr>
          <w:p w14:paraId="2096A75F" w14:textId="3AF925FD"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1.1.2 </w:t>
            </w:r>
            <w:r w:rsidRPr="00433FCA">
              <w:rPr>
                <w:rFonts w:cs="Arial"/>
                <w:sz w:val="20"/>
                <w:szCs w:val="20"/>
              </w:rPr>
              <w:t>There is a robust assessment of the dynamics and status of the species/fishery and periodic review of the process and the data collected. Assessment should include a process to identify any reduction in biological diversity and/or reproductive capacity. Review should take place at regular intervals</w:t>
            </w:r>
            <w:r w:rsidR="006B6EF9" w:rsidRPr="00433FCA">
              <w:rPr>
                <w:rFonts w:cs="Arial"/>
                <w:sz w:val="20"/>
                <w:szCs w:val="20"/>
              </w:rPr>
              <w:t xml:space="preserve"> but at least every three years.</w:t>
            </w:r>
          </w:p>
          <w:p w14:paraId="619918D7" w14:textId="4E9ECF2E"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42DD93FD" w14:textId="426FB937" w:rsidR="005869AD" w:rsidRDefault="00F8472A" w:rsidP="00762740">
            <w:pPr>
              <w:spacing w:beforeLines="60" w:before="144" w:afterLines="60" w:after="144" w:line="276" w:lineRule="auto"/>
              <w:contextualSpacing/>
              <w:rPr>
                <w:rFonts w:cs="Arial"/>
                <w:bCs/>
                <w:sz w:val="20"/>
                <w:szCs w:val="20"/>
              </w:rPr>
            </w:pPr>
            <w:r w:rsidRPr="000A618F">
              <w:rPr>
                <w:rFonts w:cs="Arial"/>
                <w:b/>
                <w:sz w:val="20"/>
                <w:szCs w:val="20"/>
              </w:rPr>
              <w:t xml:space="preserve">Partially meets </w:t>
            </w:r>
            <w:r w:rsidR="005869AD" w:rsidRPr="000A618F">
              <w:rPr>
                <w:rFonts w:cs="Arial"/>
                <w:b/>
                <w:sz w:val="20"/>
                <w:szCs w:val="20"/>
              </w:rPr>
              <w:t xml:space="preserve">– </w:t>
            </w:r>
            <w:r w:rsidR="00C74B33" w:rsidRPr="00FA1BF3">
              <w:rPr>
                <w:rFonts w:cs="Arial"/>
                <w:b/>
                <w:sz w:val="20"/>
                <w:szCs w:val="20"/>
              </w:rPr>
              <w:t xml:space="preserve">Stock assessments </w:t>
            </w:r>
            <w:r w:rsidR="00C844DB">
              <w:rPr>
                <w:rFonts w:cs="Arial"/>
                <w:b/>
                <w:sz w:val="20"/>
                <w:szCs w:val="20"/>
              </w:rPr>
              <w:t xml:space="preserve">are </w:t>
            </w:r>
            <w:r w:rsidR="00A20C4D" w:rsidRPr="00FA1BF3">
              <w:rPr>
                <w:rFonts w:cs="Arial"/>
                <w:b/>
                <w:sz w:val="20"/>
                <w:szCs w:val="20"/>
              </w:rPr>
              <w:t xml:space="preserve">prepared from </w:t>
            </w:r>
            <w:r w:rsidR="00C6517B" w:rsidRPr="00FA1BF3">
              <w:rPr>
                <w:rFonts w:cs="Arial"/>
                <w:b/>
                <w:sz w:val="20"/>
                <w:szCs w:val="20"/>
              </w:rPr>
              <w:t>some species in the fishery</w:t>
            </w:r>
            <w:r w:rsidR="00C74B33" w:rsidRPr="00FA1BF3">
              <w:rPr>
                <w:rFonts w:cs="Arial"/>
                <w:b/>
                <w:sz w:val="20"/>
                <w:szCs w:val="20"/>
              </w:rPr>
              <w:t>.</w:t>
            </w:r>
          </w:p>
          <w:p w14:paraId="32AA8FD3" w14:textId="7CCEF6F5" w:rsidR="00C6517B" w:rsidRDefault="00A20C4D" w:rsidP="009F5486">
            <w:pPr>
              <w:spacing w:beforeLines="60" w:before="144" w:afterLines="60" w:after="144" w:line="276" w:lineRule="auto"/>
              <w:rPr>
                <w:rFonts w:cs="Arial"/>
                <w:sz w:val="20"/>
                <w:szCs w:val="20"/>
              </w:rPr>
            </w:pPr>
            <w:r>
              <w:rPr>
                <w:rFonts w:cs="Arial"/>
                <w:sz w:val="20"/>
                <w:szCs w:val="20"/>
              </w:rPr>
              <w:t>Stock assessments have been prepared for</w:t>
            </w:r>
            <w:r w:rsidR="0021149C">
              <w:rPr>
                <w:rFonts w:cs="Arial"/>
                <w:sz w:val="20"/>
                <w:szCs w:val="20"/>
              </w:rPr>
              <w:t xml:space="preserve"> two of the tier 1 species</w:t>
            </w:r>
            <w:r w:rsidR="00D327BE">
              <w:rPr>
                <w:rFonts w:cs="Arial"/>
                <w:sz w:val="20"/>
                <w:szCs w:val="20"/>
              </w:rPr>
              <w:t xml:space="preserve"> listed in the Harvest Strategy</w:t>
            </w:r>
            <w:r>
              <w:rPr>
                <w:rFonts w:cs="Arial"/>
                <w:sz w:val="20"/>
                <w:szCs w:val="20"/>
              </w:rPr>
              <w:t xml:space="preserve"> </w:t>
            </w:r>
            <w:r w:rsidR="00D327BE">
              <w:rPr>
                <w:rFonts w:cs="Arial"/>
                <w:sz w:val="20"/>
                <w:szCs w:val="20"/>
              </w:rPr>
              <w:t>(</w:t>
            </w:r>
            <w:r>
              <w:rPr>
                <w:rFonts w:cs="Arial"/>
                <w:sz w:val="20"/>
                <w:szCs w:val="20"/>
              </w:rPr>
              <w:t xml:space="preserve">Black </w:t>
            </w:r>
            <w:proofErr w:type="spellStart"/>
            <w:r>
              <w:rPr>
                <w:rFonts w:cs="Arial"/>
                <w:sz w:val="20"/>
                <w:szCs w:val="20"/>
              </w:rPr>
              <w:t>Teatfish</w:t>
            </w:r>
            <w:proofErr w:type="spellEnd"/>
            <w:r>
              <w:rPr>
                <w:rFonts w:cs="Arial"/>
                <w:sz w:val="20"/>
                <w:szCs w:val="20"/>
              </w:rPr>
              <w:t xml:space="preserve"> and White </w:t>
            </w:r>
            <w:proofErr w:type="spellStart"/>
            <w:r>
              <w:rPr>
                <w:rFonts w:cs="Arial"/>
                <w:sz w:val="20"/>
                <w:szCs w:val="20"/>
              </w:rPr>
              <w:t>Teatfish</w:t>
            </w:r>
            <w:proofErr w:type="spellEnd"/>
            <w:r w:rsidR="00D327BE">
              <w:rPr>
                <w:rFonts w:cs="Arial"/>
                <w:sz w:val="20"/>
                <w:szCs w:val="20"/>
              </w:rPr>
              <w:t>)</w:t>
            </w:r>
            <w:r>
              <w:rPr>
                <w:rFonts w:cs="Arial"/>
                <w:sz w:val="20"/>
                <w:szCs w:val="20"/>
              </w:rPr>
              <w:t>.</w:t>
            </w:r>
            <w:r w:rsidR="00C6517B">
              <w:rPr>
                <w:rFonts w:cs="Arial"/>
                <w:sz w:val="20"/>
                <w:szCs w:val="20"/>
              </w:rPr>
              <w:t xml:space="preserve"> Despite </w:t>
            </w:r>
            <w:r w:rsidR="0021149C">
              <w:rPr>
                <w:rFonts w:cs="Arial"/>
                <w:sz w:val="20"/>
                <w:szCs w:val="20"/>
              </w:rPr>
              <w:t xml:space="preserve">also </w:t>
            </w:r>
            <w:r w:rsidR="00C6517B">
              <w:rPr>
                <w:rFonts w:cs="Arial"/>
                <w:sz w:val="20"/>
                <w:szCs w:val="20"/>
              </w:rPr>
              <w:t>being</w:t>
            </w:r>
            <w:r w:rsidR="0021149C">
              <w:rPr>
                <w:rFonts w:cs="Arial"/>
                <w:sz w:val="20"/>
                <w:szCs w:val="20"/>
              </w:rPr>
              <w:t xml:space="preserve"> a tier 1 species </w:t>
            </w:r>
            <w:r w:rsidR="00FE5EA0">
              <w:rPr>
                <w:rFonts w:cs="Arial"/>
                <w:sz w:val="20"/>
                <w:szCs w:val="20"/>
              </w:rPr>
              <w:t>and</w:t>
            </w:r>
            <w:r w:rsidR="00C6517B">
              <w:rPr>
                <w:rFonts w:cs="Arial"/>
                <w:sz w:val="20"/>
                <w:szCs w:val="20"/>
              </w:rPr>
              <w:t xml:space="preserve"> managed with </w:t>
            </w:r>
            <w:r w:rsidR="0021149C">
              <w:rPr>
                <w:rFonts w:cs="Arial"/>
                <w:sz w:val="20"/>
                <w:szCs w:val="20"/>
              </w:rPr>
              <w:t>a biomass target and limit</w:t>
            </w:r>
            <w:r w:rsidR="00FE5EA0">
              <w:rPr>
                <w:rFonts w:cs="Arial"/>
                <w:sz w:val="20"/>
                <w:szCs w:val="20"/>
              </w:rPr>
              <w:t>,</w:t>
            </w:r>
            <w:r w:rsidR="0021149C">
              <w:rPr>
                <w:rFonts w:cs="Arial"/>
                <w:sz w:val="20"/>
                <w:szCs w:val="20"/>
              </w:rPr>
              <w:t xml:space="preserve"> there is no stock assessment for</w:t>
            </w:r>
            <w:r w:rsidR="00FE5EA0">
              <w:rPr>
                <w:rFonts w:cs="Arial"/>
                <w:sz w:val="20"/>
                <w:szCs w:val="20"/>
              </w:rPr>
              <w:t xml:space="preserve"> Burrowing Blackfish. None of the tier 2 species have undergone a stock assessment</w:t>
            </w:r>
            <w:r w:rsidR="00F5523F">
              <w:rPr>
                <w:rFonts w:cs="Arial"/>
                <w:sz w:val="20"/>
                <w:szCs w:val="20"/>
              </w:rPr>
              <w:t xml:space="preserve">. These are </w:t>
            </w:r>
            <w:r w:rsidR="00FE5EA0">
              <w:rPr>
                <w:rFonts w:cs="Arial"/>
                <w:sz w:val="20"/>
                <w:szCs w:val="20"/>
              </w:rPr>
              <w:t xml:space="preserve">instead managed by </w:t>
            </w:r>
            <w:r w:rsidR="00D327BE">
              <w:rPr>
                <w:rFonts w:cs="Arial"/>
                <w:sz w:val="20"/>
                <w:szCs w:val="20"/>
              </w:rPr>
              <w:t xml:space="preserve">individual species TAC limits. </w:t>
            </w:r>
            <w:r w:rsidR="008D628E">
              <w:rPr>
                <w:rFonts w:cs="Arial"/>
                <w:sz w:val="20"/>
                <w:szCs w:val="20"/>
              </w:rPr>
              <w:t xml:space="preserve">These limits are not based on </w:t>
            </w:r>
            <w:r w:rsidR="00F72D94">
              <w:rPr>
                <w:rFonts w:cs="Arial"/>
                <w:sz w:val="20"/>
                <w:szCs w:val="20"/>
              </w:rPr>
              <w:t xml:space="preserve">biological data. </w:t>
            </w:r>
          </w:p>
          <w:p w14:paraId="6DBC7CFB" w14:textId="2C50A011" w:rsidR="00F72D94" w:rsidRDefault="00F72D94" w:rsidP="009F5486">
            <w:pPr>
              <w:spacing w:beforeLines="60" w:before="144" w:afterLines="60" w:after="144" w:line="276" w:lineRule="auto"/>
              <w:rPr>
                <w:rFonts w:cs="Arial"/>
                <w:sz w:val="20"/>
                <w:szCs w:val="20"/>
              </w:rPr>
            </w:pPr>
            <w:r>
              <w:rPr>
                <w:rFonts w:cs="Arial"/>
                <w:sz w:val="20"/>
                <w:szCs w:val="20"/>
              </w:rPr>
              <w:t>There are concerns about the stock assessment</w:t>
            </w:r>
            <w:r w:rsidR="00881474">
              <w:rPr>
                <w:rFonts w:cs="Arial"/>
                <w:sz w:val="20"/>
                <w:szCs w:val="20"/>
              </w:rPr>
              <w:t>s</w:t>
            </w:r>
            <w:r>
              <w:rPr>
                <w:rFonts w:cs="Arial"/>
                <w:sz w:val="20"/>
                <w:szCs w:val="20"/>
              </w:rPr>
              <w:t xml:space="preserve"> for Black </w:t>
            </w:r>
            <w:proofErr w:type="spellStart"/>
            <w:r>
              <w:rPr>
                <w:rFonts w:cs="Arial"/>
                <w:sz w:val="20"/>
                <w:szCs w:val="20"/>
              </w:rPr>
              <w:t>Teatfish</w:t>
            </w:r>
            <w:proofErr w:type="spellEnd"/>
            <w:r>
              <w:rPr>
                <w:rFonts w:cs="Arial"/>
                <w:sz w:val="20"/>
                <w:szCs w:val="20"/>
              </w:rPr>
              <w:t xml:space="preserve"> and White </w:t>
            </w:r>
            <w:proofErr w:type="spellStart"/>
            <w:r>
              <w:rPr>
                <w:rFonts w:cs="Arial"/>
                <w:sz w:val="20"/>
                <w:szCs w:val="20"/>
              </w:rPr>
              <w:t>Teatfish</w:t>
            </w:r>
            <w:proofErr w:type="spellEnd"/>
            <w:r>
              <w:rPr>
                <w:rFonts w:cs="Arial"/>
                <w:sz w:val="20"/>
                <w:szCs w:val="20"/>
              </w:rPr>
              <w:t xml:space="preserve">. </w:t>
            </w:r>
            <w:r w:rsidR="000C344D">
              <w:rPr>
                <w:rFonts w:cs="Arial"/>
                <w:sz w:val="20"/>
                <w:szCs w:val="20"/>
              </w:rPr>
              <w:t xml:space="preserve">The stock assessment for </w:t>
            </w:r>
            <w:r w:rsidR="009F5486">
              <w:rPr>
                <w:rFonts w:cs="Arial"/>
                <w:sz w:val="20"/>
                <w:szCs w:val="20"/>
              </w:rPr>
              <w:t>B</w:t>
            </w:r>
            <w:r w:rsidR="000C344D">
              <w:rPr>
                <w:rFonts w:cs="Arial"/>
                <w:sz w:val="20"/>
                <w:szCs w:val="20"/>
              </w:rPr>
              <w:t xml:space="preserve">lack </w:t>
            </w:r>
            <w:proofErr w:type="spellStart"/>
            <w:r w:rsidR="009F5486">
              <w:rPr>
                <w:rFonts w:cs="Arial"/>
                <w:sz w:val="20"/>
                <w:szCs w:val="20"/>
              </w:rPr>
              <w:t>T</w:t>
            </w:r>
            <w:r w:rsidR="000C344D">
              <w:rPr>
                <w:rFonts w:cs="Arial"/>
                <w:sz w:val="20"/>
                <w:szCs w:val="20"/>
              </w:rPr>
              <w:t>eatfish</w:t>
            </w:r>
            <w:proofErr w:type="spellEnd"/>
            <w:r w:rsidR="000C344D">
              <w:rPr>
                <w:rFonts w:cs="Arial"/>
                <w:sz w:val="20"/>
                <w:szCs w:val="20"/>
              </w:rPr>
              <w:t xml:space="preserve"> is based on a combination of CPUE data and survey information. </w:t>
            </w:r>
            <w:r w:rsidR="00FD1444">
              <w:rPr>
                <w:rFonts w:cs="Arial"/>
                <w:sz w:val="20"/>
                <w:szCs w:val="20"/>
              </w:rPr>
              <w:t xml:space="preserve">There are concerns about </w:t>
            </w:r>
            <w:r w:rsidR="0099550F">
              <w:rPr>
                <w:rFonts w:cs="Arial"/>
                <w:sz w:val="20"/>
                <w:szCs w:val="20"/>
              </w:rPr>
              <w:t xml:space="preserve">the interpretation of survey data for Black </w:t>
            </w:r>
            <w:proofErr w:type="spellStart"/>
            <w:r w:rsidR="0099550F">
              <w:rPr>
                <w:rFonts w:cs="Arial"/>
                <w:sz w:val="20"/>
                <w:szCs w:val="20"/>
              </w:rPr>
              <w:t>Teatfish</w:t>
            </w:r>
            <w:proofErr w:type="spellEnd"/>
            <w:r w:rsidR="0099550F">
              <w:rPr>
                <w:rFonts w:cs="Arial"/>
                <w:sz w:val="20"/>
                <w:szCs w:val="20"/>
              </w:rPr>
              <w:t xml:space="preserve"> and whether it is representative of stocks across the reef. </w:t>
            </w:r>
            <w:r w:rsidR="00F90854">
              <w:rPr>
                <w:rFonts w:cs="Arial"/>
                <w:sz w:val="20"/>
                <w:szCs w:val="20"/>
              </w:rPr>
              <w:t xml:space="preserve">There was considerable variability </w:t>
            </w:r>
            <w:r w:rsidR="00EF3612">
              <w:rPr>
                <w:rFonts w:cs="Arial"/>
                <w:sz w:val="20"/>
                <w:szCs w:val="20"/>
              </w:rPr>
              <w:t xml:space="preserve">within and </w:t>
            </w:r>
            <w:r w:rsidR="00F90854">
              <w:rPr>
                <w:rFonts w:cs="Arial"/>
                <w:sz w:val="20"/>
                <w:szCs w:val="20"/>
              </w:rPr>
              <w:t>between survey location</w:t>
            </w:r>
            <w:r w:rsidR="00881474">
              <w:rPr>
                <w:rFonts w:cs="Arial"/>
                <w:sz w:val="20"/>
                <w:szCs w:val="20"/>
              </w:rPr>
              <w:t>s</w:t>
            </w:r>
            <w:r w:rsidR="00F90854">
              <w:rPr>
                <w:rFonts w:cs="Arial"/>
                <w:sz w:val="20"/>
                <w:szCs w:val="20"/>
              </w:rPr>
              <w:t xml:space="preserve"> </w:t>
            </w:r>
            <w:r w:rsidR="00EF3612">
              <w:rPr>
                <w:rFonts w:cs="Arial"/>
                <w:sz w:val="20"/>
                <w:szCs w:val="20"/>
              </w:rPr>
              <w:t>leading to</w:t>
            </w:r>
            <w:r w:rsidR="00F90854">
              <w:rPr>
                <w:rFonts w:cs="Arial"/>
                <w:sz w:val="20"/>
                <w:szCs w:val="20"/>
              </w:rPr>
              <w:t xml:space="preserve"> </w:t>
            </w:r>
            <w:r w:rsidR="00980BE7">
              <w:rPr>
                <w:rFonts w:cs="Arial"/>
                <w:sz w:val="20"/>
                <w:szCs w:val="20"/>
              </w:rPr>
              <w:t xml:space="preserve">very high standard deviation in </w:t>
            </w:r>
            <w:r w:rsidR="00F96372">
              <w:rPr>
                <w:rFonts w:cs="Arial"/>
                <w:sz w:val="20"/>
                <w:szCs w:val="20"/>
              </w:rPr>
              <w:t>estimates of average density. The recent stock assessment indic</w:t>
            </w:r>
            <w:r w:rsidR="00EF3612">
              <w:rPr>
                <w:rFonts w:cs="Arial"/>
                <w:sz w:val="20"/>
                <w:szCs w:val="20"/>
              </w:rPr>
              <w:t>a</w:t>
            </w:r>
            <w:r w:rsidR="00F96372">
              <w:rPr>
                <w:rFonts w:cs="Arial"/>
                <w:sz w:val="20"/>
                <w:szCs w:val="20"/>
              </w:rPr>
              <w:t>ted that stock</w:t>
            </w:r>
            <w:r w:rsidR="00DD4065">
              <w:rPr>
                <w:rFonts w:cs="Arial"/>
                <w:sz w:val="20"/>
                <w:szCs w:val="20"/>
              </w:rPr>
              <w:t>s</w:t>
            </w:r>
            <w:r w:rsidR="00F96372">
              <w:rPr>
                <w:rFonts w:cs="Arial"/>
                <w:sz w:val="20"/>
                <w:szCs w:val="20"/>
              </w:rPr>
              <w:t xml:space="preserve"> were at </w:t>
            </w:r>
            <w:r w:rsidR="00125726">
              <w:rPr>
                <w:rFonts w:cs="Arial"/>
                <w:sz w:val="20"/>
                <w:szCs w:val="20"/>
              </w:rPr>
              <w:t xml:space="preserve">40-42% of unfished biomass. Previous work undertaken </w:t>
            </w:r>
            <w:r w:rsidR="002A7E74">
              <w:rPr>
                <w:rFonts w:cs="Arial"/>
                <w:sz w:val="20"/>
                <w:szCs w:val="20"/>
              </w:rPr>
              <w:t xml:space="preserve">when the TAC for Black </w:t>
            </w:r>
            <w:proofErr w:type="spellStart"/>
            <w:r w:rsidR="002A7E74">
              <w:rPr>
                <w:rFonts w:cs="Arial"/>
                <w:sz w:val="20"/>
                <w:szCs w:val="20"/>
              </w:rPr>
              <w:t>Teatfish</w:t>
            </w:r>
            <w:proofErr w:type="spellEnd"/>
            <w:r w:rsidR="002A7E74">
              <w:rPr>
                <w:rFonts w:cs="Arial"/>
                <w:sz w:val="20"/>
                <w:szCs w:val="20"/>
              </w:rPr>
              <w:t xml:space="preserve"> was reduced to </w:t>
            </w:r>
            <w:r w:rsidR="00E6210B">
              <w:rPr>
                <w:rFonts w:cs="Arial"/>
                <w:sz w:val="20"/>
                <w:szCs w:val="20"/>
              </w:rPr>
              <w:t xml:space="preserve">zero, </w:t>
            </w:r>
            <w:r w:rsidR="00E6210B" w:rsidRPr="009F5486">
              <w:rPr>
                <w:rFonts w:cs="Arial"/>
                <w:sz w:val="20"/>
                <w:szCs w:val="20"/>
              </w:rPr>
              <w:t>estimated stock</w:t>
            </w:r>
            <w:r w:rsidR="00EF3612" w:rsidRPr="009F5486">
              <w:rPr>
                <w:rFonts w:cs="Arial"/>
                <w:sz w:val="20"/>
                <w:szCs w:val="20"/>
              </w:rPr>
              <w:t>s</w:t>
            </w:r>
            <w:r w:rsidR="00E6210B" w:rsidRPr="009F5486">
              <w:rPr>
                <w:rFonts w:cs="Arial"/>
                <w:sz w:val="20"/>
                <w:szCs w:val="20"/>
              </w:rPr>
              <w:t xml:space="preserve"> to be around 4</w:t>
            </w:r>
            <w:r w:rsidR="002F5677" w:rsidRPr="009F5486">
              <w:rPr>
                <w:rFonts w:cs="Arial"/>
                <w:sz w:val="20"/>
                <w:szCs w:val="20"/>
              </w:rPr>
              <w:t>5% unfished biomass</w:t>
            </w:r>
            <w:r w:rsidR="002F5677">
              <w:rPr>
                <w:rFonts w:cs="Arial"/>
                <w:sz w:val="20"/>
                <w:szCs w:val="20"/>
              </w:rPr>
              <w:t>. Survey</w:t>
            </w:r>
            <w:r w:rsidR="00700EA9">
              <w:rPr>
                <w:rFonts w:cs="Arial"/>
                <w:sz w:val="20"/>
                <w:szCs w:val="20"/>
              </w:rPr>
              <w:t xml:space="preserve"> location and methodology is not comparable</w:t>
            </w:r>
            <w:r w:rsidR="005733B1">
              <w:rPr>
                <w:rFonts w:cs="Arial"/>
                <w:sz w:val="20"/>
                <w:szCs w:val="20"/>
              </w:rPr>
              <w:t xml:space="preserve"> between historic and more recent surveys</w:t>
            </w:r>
            <w:r w:rsidR="00881474">
              <w:rPr>
                <w:rFonts w:cs="Arial"/>
                <w:sz w:val="20"/>
                <w:szCs w:val="20"/>
              </w:rPr>
              <w:t>. H</w:t>
            </w:r>
            <w:r w:rsidR="005733B1">
              <w:rPr>
                <w:rFonts w:cs="Arial"/>
                <w:sz w:val="20"/>
                <w:szCs w:val="20"/>
              </w:rPr>
              <w:t>owever</w:t>
            </w:r>
            <w:r w:rsidR="00881474">
              <w:rPr>
                <w:rFonts w:cs="Arial"/>
                <w:sz w:val="20"/>
                <w:szCs w:val="20"/>
              </w:rPr>
              <w:t>,</w:t>
            </w:r>
            <w:r w:rsidR="00700EA9">
              <w:rPr>
                <w:rFonts w:cs="Arial"/>
                <w:sz w:val="20"/>
                <w:szCs w:val="20"/>
              </w:rPr>
              <w:t xml:space="preserve"> there is no </w:t>
            </w:r>
            <w:r w:rsidR="009C5D1F">
              <w:rPr>
                <w:rFonts w:cs="Arial"/>
                <w:sz w:val="20"/>
                <w:szCs w:val="20"/>
              </w:rPr>
              <w:t>conclusive</w:t>
            </w:r>
            <w:r w:rsidR="00700EA9">
              <w:rPr>
                <w:rFonts w:cs="Arial"/>
                <w:sz w:val="20"/>
                <w:szCs w:val="20"/>
              </w:rPr>
              <w:t xml:space="preserve"> evidence showing stock recover despite </w:t>
            </w:r>
            <w:r w:rsidR="00906313">
              <w:rPr>
                <w:rFonts w:cs="Arial"/>
                <w:sz w:val="20"/>
                <w:szCs w:val="20"/>
              </w:rPr>
              <w:t xml:space="preserve">nearly 20 years of no harvest. </w:t>
            </w:r>
          </w:p>
          <w:p w14:paraId="5ECF3F15" w14:textId="4B66F587" w:rsidR="00F43F52" w:rsidRPr="00433FCA" w:rsidRDefault="003A1BB1" w:rsidP="009F5486">
            <w:pPr>
              <w:spacing w:beforeLines="60" w:before="144" w:afterLines="60" w:after="144" w:line="276" w:lineRule="auto"/>
              <w:rPr>
                <w:rFonts w:cs="Arial"/>
                <w:sz w:val="20"/>
                <w:szCs w:val="20"/>
              </w:rPr>
            </w:pPr>
            <w:r>
              <w:rPr>
                <w:rFonts w:cs="Arial"/>
                <w:sz w:val="20"/>
                <w:szCs w:val="20"/>
              </w:rPr>
              <w:t xml:space="preserve">The stock assessment for White </w:t>
            </w:r>
            <w:proofErr w:type="spellStart"/>
            <w:r>
              <w:rPr>
                <w:rFonts w:cs="Arial"/>
                <w:sz w:val="20"/>
                <w:szCs w:val="20"/>
              </w:rPr>
              <w:t>Teatfish</w:t>
            </w:r>
            <w:proofErr w:type="spellEnd"/>
            <w:r>
              <w:rPr>
                <w:rFonts w:cs="Arial"/>
                <w:sz w:val="20"/>
                <w:szCs w:val="20"/>
              </w:rPr>
              <w:t xml:space="preserve"> indicated the </w:t>
            </w:r>
            <w:r w:rsidR="00C43114">
              <w:rPr>
                <w:rFonts w:cs="Arial"/>
                <w:sz w:val="20"/>
                <w:szCs w:val="20"/>
              </w:rPr>
              <w:t xml:space="preserve">current stock </w:t>
            </w:r>
            <w:r w:rsidR="007A76C2">
              <w:rPr>
                <w:rFonts w:cs="Arial"/>
                <w:sz w:val="20"/>
                <w:szCs w:val="20"/>
              </w:rPr>
              <w:t>is at</w:t>
            </w:r>
            <w:r w:rsidR="00C43114">
              <w:rPr>
                <w:rFonts w:cs="Arial"/>
                <w:sz w:val="20"/>
                <w:szCs w:val="20"/>
              </w:rPr>
              <w:t xml:space="preserve"> 76-78% of the unfished biomass. The </w:t>
            </w:r>
            <w:r w:rsidR="001D5032">
              <w:rPr>
                <w:rFonts w:cs="Arial"/>
                <w:sz w:val="20"/>
                <w:szCs w:val="20"/>
              </w:rPr>
              <w:t>stock assessment i</w:t>
            </w:r>
            <w:r w:rsidR="00A06483">
              <w:rPr>
                <w:rFonts w:cs="Arial"/>
                <w:sz w:val="20"/>
                <w:szCs w:val="20"/>
              </w:rPr>
              <w:t>s</w:t>
            </w:r>
            <w:r w:rsidR="001D5032">
              <w:rPr>
                <w:rFonts w:cs="Arial"/>
                <w:sz w:val="20"/>
                <w:szCs w:val="20"/>
              </w:rPr>
              <w:t xml:space="preserve"> based on </w:t>
            </w:r>
            <w:r w:rsidR="00B25906">
              <w:rPr>
                <w:rFonts w:cs="Arial"/>
                <w:sz w:val="20"/>
                <w:szCs w:val="20"/>
              </w:rPr>
              <w:t xml:space="preserve">CPUE data from </w:t>
            </w:r>
            <w:r w:rsidR="00A06483">
              <w:rPr>
                <w:rFonts w:cs="Arial"/>
                <w:sz w:val="20"/>
                <w:szCs w:val="20"/>
              </w:rPr>
              <w:t xml:space="preserve">logbooks, as no biomass surveys have been conducted. </w:t>
            </w:r>
            <w:r w:rsidR="00625281">
              <w:rPr>
                <w:rFonts w:cs="Arial"/>
                <w:sz w:val="20"/>
                <w:szCs w:val="20"/>
              </w:rPr>
              <w:t>There are concerns</w:t>
            </w:r>
            <w:r w:rsidR="00625281" w:rsidDel="00916A75">
              <w:rPr>
                <w:rFonts w:cs="Arial"/>
                <w:sz w:val="20"/>
                <w:szCs w:val="20"/>
              </w:rPr>
              <w:t xml:space="preserve"> </w:t>
            </w:r>
            <w:r w:rsidR="00625281">
              <w:rPr>
                <w:rFonts w:cs="Arial"/>
                <w:sz w:val="20"/>
                <w:szCs w:val="20"/>
              </w:rPr>
              <w:t>the stock assessment didn’t adequately account for hyperstability of CPUE</w:t>
            </w:r>
            <w:r w:rsidR="004846F3">
              <w:rPr>
                <w:rFonts w:cs="Arial"/>
                <w:sz w:val="20"/>
                <w:szCs w:val="20"/>
              </w:rPr>
              <w:t xml:space="preserve">. The species is </w:t>
            </w:r>
            <w:r w:rsidR="004C1307">
              <w:rPr>
                <w:rFonts w:cs="Arial"/>
                <w:sz w:val="20"/>
                <w:szCs w:val="20"/>
              </w:rPr>
              <w:t>sedentary</w:t>
            </w:r>
            <w:r w:rsidR="0051376D">
              <w:rPr>
                <w:rFonts w:cs="Arial"/>
                <w:sz w:val="20"/>
                <w:szCs w:val="20"/>
              </w:rPr>
              <w:t xml:space="preserve"> and highly vulnerable to hand harvesting</w:t>
            </w:r>
            <w:r w:rsidR="00565F2E">
              <w:rPr>
                <w:rFonts w:cs="Arial"/>
                <w:sz w:val="20"/>
                <w:szCs w:val="20"/>
              </w:rPr>
              <w:t>.</w:t>
            </w:r>
            <w:r w:rsidR="002665A9">
              <w:rPr>
                <w:rFonts w:cs="Arial"/>
                <w:sz w:val="20"/>
                <w:szCs w:val="20"/>
              </w:rPr>
              <w:t xml:space="preserve"> </w:t>
            </w:r>
            <w:r w:rsidR="00565F2E">
              <w:rPr>
                <w:rFonts w:cs="Arial"/>
                <w:sz w:val="20"/>
                <w:szCs w:val="20"/>
              </w:rPr>
              <w:t>F</w:t>
            </w:r>
            <w:r w:rsidR="00FB42FD">
              <w:rPr>
                <w:rFonts w:cs="Arial"/>
                <w:sz w:val="20"/>
                <w:szCs w:val="20"/>
              </w:rPr>
              <w:t xml:space="preserve">ishers could rapidly identify whether there are </w:t>
            </w:r>
            <w:proofErr w:type="gramStart"/>
            <w:r w:rsidR="00CA6764">
              <w:rPr>
                <w:rFonts w:cs="Arial"/>
                <w:sz w:val="20"/>
                <w:szCs w:val="20"/>
              </w:rPr>
              <w:t>sufficient</w:t>
            </w:r>
            <w:r w:rsidR="00ED71CE">
              <w:rPr>
                <w:rFonts w:cs="Arial"/>
                <w:sz w:val="20"/>
                <w:szCs w:val="20"/>
              </w:rPr>
              <w:t xml:space="preserve"> numbers of</w:t>
            </w:r>
            <w:proofErr w:type="gramEnd"/>
            <w:r w:rsidR="00ED71CE">
              <w:rPr>
                <w:rFonts w:cs="Arial"/>
                <w:sz w:val="20"/>
                <w:szCs w:val="20"/>
              </w:rPr>
              <w:t xml:space="preserve"> White </w:t>
            </w:r>
            <w:proofErr w:type="spellStart"/>
            <w:r w:rsidR="00ED71CE">
              <w:rPr>
                <w:rFonts w:cs="Arial"/>
                <w:sz w:val="20"/>
                <w:szCs w:val="20"/>
              </w:rPr>
              <w:t>Teatfish</w:t>
            </w:r>
            <w:proofErr w:type="spellEnd"/>
            <w:r w:rsidR="00ED71CE">
              <w:rPr>
                <w:rFonts w:cs="Arial"/>
                <w:sz w:val="20"/>
                <w:szCs w:val="20"/>
              </w:rPr>
              <w:t xml:space="preserve"> </w:t>
            </w:r>
            <w:r w:rsidR="00CA6764">
              <w:rPr>
                <w:rFonts w:cs="Arial"/>
                <w:sz w:val="20"/>
                <w:szCs w:val="20"/>
              </w:rPr>
              <w:t xml:space="preserve">at a site before spending </w:t>
            </w:r>
            <w:r w:rsidR="009672BE">
              <w:rPr>
                <w:rFonts w:cs="Arial"/>
                <w:sz w:val="20"/>
                <w:szCs w:val="20"/>
              </w:rPr>
              <w:t xml:space="preserve">time fishing. </w:t>
            </w:r>
            <w:r w:rsidR="000F40DB">
              <w:rPr>
                <w:rFonts w:cs="Arial"/>
                <w:sz w:val="20"/>
                <w:szCs w:val="20"/>
              </w:rPr>
              <w:t>Therefore,</w:t>
            </w:r>
            <w:r w:rsidR="00E629EC">
              <w:rPr>
                <w:rFonts w:cs="Arial"/>
                <w:sz w:val="20"/>
                <w:szCs w:val="20"/>
              </w:rPr>
              <w:t xml:space="preserve"> the assumption </w:t>
            </w:r>
            <w:r w:rsidR="003550D4">
              <w:rPr>
                <w:rFonts w:cs="Arial"/>
                <w:sz w:val="20"/>
                <w:szCs w:val="20"/>
              </w:rPr>
              <w:t>that catch rate</w:t>
            </w:r>
            <w:r w:rsidR="000F40DB">
              <w:rPr>
                <w:rFonts w:cs="Arial"/>
                <w:sz w:val="20"/>
                <w:szCs w:val="20"/>
              </w:rPr>
              <w:t>s</w:t>
            </w:r>
            <w:r w:rsidR="003550D4">
              <w:rPr>
                <w:rFonts w:cs="Arial"/>
                <w:sz w:val="20"/>
                <w:szCs w:val="20"/>
              </w:rPr>
              <w:t xml:space="preserve"> are a clear indication of abundance may warrant further consideration. </w:t>
            </w:r>
            <w:r w:rsidR="004C1307">
              <w:rPr>
                <w:rFonts w:cs="Arial"/>
                <w:sz w:val="20"/>
                <w:szCs w:val="20"/>
              </w:rPr>
              <w:t xml:space="preserve">Comments from expert scientists also indicated that there is </w:t>
            </w:r>
            <w:r w:rsidR="00DD02BD">
              <w:rPr>
                <w:rFonts w:cs="Arial"/>
                <w:sz w:val="20"/>
                <w:szCs w:val="20"/>
              </w:rPr>
              <w:t xml:space="preserve">uncertainty </w:t>
            </w:r>
            <w:r w:rsidR="00BD0757">
              <w:rPr>
                <w:rFonts w:cs="Arial"/>
                <w:sz w:val="20"/>
                <w:szCs w:val="20"/>
              </w:rPr>
              <w:t>in the b</w:t>
            </w:r>
            <w:r w:rsidR="00464139">
              <w:rPr>
                <w:rFonts w:cs="Arial"/>
                <w:sz w:val="20"/>
                <w:szCs w:val="20"/>
              </w:rPr>
              <w:t xml:space="preserve">iological understanding </w:t>
            </w:r>
            <w:r w:rsidR="00681AE6">
              <w:rPr>
                <w:rFonts w:cs="Arial"/>
                <w:sz w:val="20"/>
                <w:szCs w:val="20"/>
              </w:rPr>
              <w:t xml:space="preserve">of White </w:t>
            </w:r>
            <w:proofErr w:type="spellStart"/>
            <w:r w:rsidR="00681AE6">
              <w:rPr>
                <w:rFonts w:cs="Arial"/>
                <w:sz w:val="20"/>
                <w:szCs w:val="20"/>
              </w:rPr>
              <w:t>Teatfish</w:t>
            </w:r>
            <w:proofErr w:type="spellEnd"/>
            <w:r w:rsidR="00681AE6">
              <w:rPr>
                <w:rFonts w:cs="Arial"/>
                <w:sz w:val="20"/>
                <w:szCs w:val="20"/>
              </w:rPr>
              <w:t xml:space="preserve"> </w:t>
            </w:r>
            <w:r w:rsidR="009D7740">
              <w:rPr>
                <w:rFonts w:cs="Arial"/>
                <w:sz w:val="20"/>
                <w:szCs w:val="20"/>
              </w:rPr>
              <w:t xml:space="preserve">(e.g., </w:t>
            </w:r>
            <w:r w:rsidR="00681AE6">
              <w:rPr>
                <w:rFonts w:cs="Arial"/>
                <w:sz w:val="20"/>
                <w:szCs w:val="20"/>
              </w:rPr>
              <w:t>growth rates,</w:t>
            </w:r>
            <w:r w:rsidR="002F7C30">
              <w:rPr>
                <w:rFonts w:cs="Arial"/>
                <w:sz w:val="20"/>
                <w:szCs w:val="20"/>
              </w:rPr>
              <w:t xml:space="preserve"> size</w:t>
            </w:r>
            <w:r w:rsidR="00681AE6">
              <w:rPr>
                <w:rFonts w:cs="Arial"/>
                <w:sz w:val="20"/>
                <w:szCs w:val="20"/>
              </w:rPr>
              <w:t xml:space="preserve"> a</w:t>
            </w:r>
            <w:r w:rsidR="009D7740">
              <w:rPr>
                <w:rFonts w:cs="Arial"/>
                <w:sz w:val="20"/>
                <w:szCs w:val="20"/>
              </w:rPr>
              <w:t>t</w:t>
            </w:r>
            <w:r w:rsidR="00681AE6">
              <w:rPr>
                <w:rFonts w:cs="Arial"/>
                <w:sz w:val="20"/>
                <w:szCs w:val="20"/>
              </w:rPr>
              <w:t xml:space="preserve"> maturit</w:t>
            </w:r>
            <w:r w:rsidR="009D7740">
              <w:rPr>
                <w:rFonts w:cs="Arial"/>
                <w:sz w:val="20"/>
                <w:szCs w:val="20"/>
              </w:rPr>
              <w:t>y)</w:t>
            </w:r>
            <w:r w:rsidR="00E94059">
              <w:rPr>
                <w:rFonts w:cs="Arial"/>
                <w:sz w:val="20"/>
                <w:szCs w:val="20"/>
              </w:rPr>
              <w:t xml:space="preserve">. </w:t>
            </w:r>
            <w:r w:rsidR="00AE36DB">
              <w:rPr>
                <w:rFonts w:cs="Arial"/>
                <w:sz w:val="20"/>
                <w:szCs w:val="20"/>
              </w:rPr>
              <w:t xml:space="preserve">The </w:t>
            </w:r>
            <w:r w:rsidR="000758C7">
              <w:rPr>
                <w:rFonts w:cs="Arial"/>
                <w:sz w:val="20"/>
                <w:szCs w:val="20"/>
              </w:rPr>
              <w:t>accura</w:t>
            </w:r>
            <w:r w:rsidR="00AE36DB">
              <w:rPr>
                <w:rFonts w:cs="Arial"/>
                <w:sz w:val="20"/>
                <w:szCs w:val="20"/>
              </w:rPr>
              <w:t>cy of</w:t>
            </w:r>
            <w:r w:rsidR="000758C7">
              <w:rPr>
                <w:rFonts w:cs="Arial"/>
                <w:sz w:val="20"/>
                <w:szCs w:val="20"/>
              </w:rPr>
              <w:t xml:space="preserve"> data used in the stock</w:t>
            </w:r>
            <w:r w:rsidR="00E94059">
              <w:rPr>
                <w:rFonts w:cs="Arial"/>
                <w:sz w:val="20"/>
                <w:szCs w:val="20"/>
              </w:rPr>
              <w:t xml:space="preserve"> </w:t>
            </w:r>
            <w:r w:rsidR="00AE36DB">
              <w:rPr>
                <w:rFonts w:cs="Arial"/>
                <w:sz w:val="20"/>
                <w:szCs w:val="20"/>
              </w:rPr>
              <w:t xml:space="preserve">assessment </w:t>
            </w:r>
            <w:r w:rsidR="00C057EF">
              <w:rPr>
                <w:rFonts w:cs="Arial"/>
                <w:sz w:val="20"/>
                <w:szCs w:val="20"/>
              </w:rPr>
              <w:t xml:space="preserve">model </w:t>
            </w:r>
            <w:r w:rsidR="008270BD">
              <w:rPr>
                <w:rFonts w:cs="Arial"/>
                <w:sz w:val="20"/>
                <w:szCs w:val="20"/>
              </w:rPr>
              <w:t>may also warrant further consideration.</w:t>
            </w:r>
            <w:r w:rsidR="00E1196C">
              <w:rPr>
                <w:rFonts w:cs="Arial"/>
                <w:sz w:val="20"/>
                <w:szCs w:val="20"/>
              </w:rPr>
              <w:t xml:space="preserve"> </w:t>
            </w:r>
          </w:p>
        </w:tc>
      </w:tr>
      <w:tr w:rsidR="00885298" w:rsidRPr="00433FCA" w14:paraId="554D6C9D" w14:textId="77777777" w:rsidTr="00E069A5">
        <w:trPr>
          <w:cantSplit/>
          <w:trHeight w:val="854"/>
        </w:trPr>
        <w:tc>
          <w:tcPr>
            <w:tcW w:w="1500" w:type="pct"/>
            <w:shd w:val="clear" w:color="auto" w:fill="FFC000"/>
          </w:tcPr>
          <w:p w14:paraId="4E9F9AB0" w14:textId="77777777" w:rsidR="00885298" w:rsidRPr="00433FCA" w:rsidRDefault="00885298" w:rsidP="00FC2EBF">
            <w:pPr>
              <w:spacing w:before="60" w:after="60" w:line="276" w:lineRule="auto"/>
              <w:contextualSpacing/>
              <w:rPr>
                <w:rFonts w:cs="Arial"/>
                <w:i/>
                <w:iCs/>
                <w:sz w:val="20"/>
                <w:szCs w:val="20"/>
              </w:rPr>
            </w:pPr>
            <w:r w:rsidRPr="00433FCA">
              <w:rPr>
                <w:rFonts w:cs="Arial"/>
                <w:b/>
                <w:bCs/>
                <w:i/>
                <w:iCs/>
                <w:sz w:val="20"/>
                <w:szCs w:val="20"/>
              </w:rPr>
              <w:lastRenderedPageBreak/>
              <w:t xml:space="preserve">1.1.3 </w:t>
            </w:r>
            <w:r w:rsidRPr="00433FCA">
              <w:rPr>
                <w:rFonts w:cs="Arial"/>
                <w:sz w:val="20"/>
                <w:szCs w:val="20"/>
              </w:rPr>
              <w:t>The distribution and spatial structure of the stock(s) has been established and factored into management responses</w:t>
            </w:r>
            <w:r w:rsidR="006B6EF9" w:rsidRPr="00433FCA">
              <w:rPr>
                <w:rFonts w:cs="Arial"/>
                <w:i/>
                <w:iCs/>
                <w:sz w:val="20"/>
                <w:szCs w:val="20"/>
              </w:rPr>
              <w:t>.</w:t>
            </w:r>
          </w:p>
          <w:p w14:paraId="0D80A14A" w14:textId="315FCA83" w:rsidR="004649FA" w:rsidRPr="00433FCA" w:rsidRDefault="004649FA" w:rsidP="00FC2EBF">
            <w:pPr>
              <w:spacing w:before="60" w:after="60" w:line="276" w:lineRule="auto"/>
              <w:contextualSpacing/>
              <w:rPr>
                <w:rFonts w:cs="Arial"/>
                <w:i/>
                <w:iCs/>
                <w:sz w:val="20"/>
                <w:szCs w:val="20"/>
              </w:rPr>
            </w:pPr>
          </w:p>
        </w:tc>
        <w:tc>
          <w:tcPr>
            <w:tcW w:w="3500" w:type="pct"/>
            <w:shd w:val="clear" w:color="auto" w:fill="auto"/>
          </w:tcPr>
          <w:p w14:paraId="0FD5DF8A" w14:textId="69382777" w:rsidR="005869AD" w:rsidRPr="00FA1BF3" w:rsidRDefault="005869AD" w:rsidP="00762740">
            <w:pPr>
              <w:spacing w:beforeLines="60" w:before="144" w:afterLines="60" w:after="144" w:line="276" w:lineRule="auto"/>
              <w:contextualSpacing/>
              <w:rPr>
                <w:rFonts w:cs="Arial"/>
                <w:b/>
                <w:sz w:val="20"/>
                <w:szCs w:val="20"/>
              </w:rPr>
            </w:pPr>
            <w:r w:rsidRPr="0096478E">
              <w:rPr>
                <w:rFonts w:cs="Arial"/>
                <w:b/>
                <w:sz w:val="20"/>
                <w:szCs w:val="20"/>
              </w:rPr>
              <w:t xml:space="preserve">Partially meets – </w:t>
            </w:r>
            <w:r w:rsidR="00C74B33" w:rsidRPr="00FA1BF3">
              <w:rPr>
                <w:rFonts w:cs="Arial"/>
                <w:b/>
                <w:sz w:val="20"/>
                <w:szCs w:val="20"/>
              </w:rPr>
              <w:t>S</w:t>
            </w:r>
            <w:r w:rsidR="009C5D1F" w:rsidRPr="00FA1BF3">
              <w:rPr>
                <w:rFonts w:cs="Arial"/>
                <w:b/>
                <w:sz w:val="20"/>
                <w:szCs w:val="20"/>
              </w:rPr>
              <w:t>ome s</w:t>
            </w:r>
            <w:r w:rsidR="00C74B33" w:rsidRPr="00FA1BF3">
              <w:rPr>
                <w:rFonts w:cs="Arial"/>
                <w:b/>
                <w:sz w:val="20"/>
                <w:szCs w:val="20"/>
              </w:rPr>
              <w:t xml:space="preserve">patial information is collected </w:t>
            </w:r>
            <w:r w:rsidR="009C5D1F" w:rsidRPr="00FA1BF3">
              <w:rPr>
                <w:rFonts w:cs="Arial"/>
                <w:b/>
                <w:sz w:val="20"/>
                <w:szCs w:val="20"/>
              </w:rPr>
              <w:t xml:space="preserve">but spatial structure of stocks has not been established. </w:t>
            </w:r>
            <w:r w:rsidR="00104006">
              <w:rPr>
                <w:rFonts w:cs="Arial"/>
                <w:b/>
                <w:sz w:val="20"/>
                <w:szCs w:val="20"/>
              </w:rPr>
              <w:t>The i</w:t>
            </w:r>
            <w:r w:rsidR="009C5D1F" w:rsidRPr="00FA1BF3">
              <w:rPr>
                <w:rFonts w:cs="Arial"/>
                <w:b/>
                <w:sz w:val="20"/>
                <w:szCs w:val="20"/>
              </w:rPr>
              <w:t>nformation</w:t>
            </w:r>
            <w:r w:rsidR="00104006">
              <w:rPr>
                <w:rFonts w:cs="Arial"/>
                <w:b/>
                <w:sz w:val="20"/>
                <w:szCs w:val="20"/>
              </w:rPr>
              <w:t xml:space="preserve"> that has been </w:t>
            </w:r>
            <w:r w:rsidR="009C5D1F" w:rsidRPr="00FA1BF3">
              <w:rPr>
                <w:rFonts w:cs="Arial"/>
                <w:b/>
                <w:sz w:val="20"/>
                <w:szCs w:val="20"/>
              </w:rPr>
              <w:t>collected is</w:t>
            </w:r>
            <w:r w:rsidR="00131DF6" w:rsidRPr="00FA1BF3">
              <w:rPr>
                <w:rFonts w:cs="Arial"/>
                <w:b/>
                <w:sz w:val="20"/>
                <w:szCs w:val="20"/>
              </w:rPr>
              <w:t xml:space="preserve"> used in stock assessment</w:t>
            </w:r>
            <w:r w:rsidR="00104006">
              <w:rPr>
                <w:rFonts w:cs="Arial"/>
                <w:b/>
                <w:sz w:val="20"/>
                <w:szCs w:val="20"/>
              </w:rPr>
              <w:t>s</w:t>
            </w:r>
            <w:r w:rsidR="00423545" w:rsidRPr="00FA1BF3">
              <w:rPr>
                <w:rFonts w:cs="Arial"/>
                <w:b/>
                <w:sz w:val="20"/>
                <w:szCs w:val="20"/>
              </w:rPr>
              <w:t xml:space="preserve"> </w:t>
            </w:r>
            <w:r w:rsidR="00916A75" w:rsidRPr="00FA1BF3">
              <w:rPr>
                <w:rFonts w:cs="Arial"/>
                <w:b/>
                <w:sz w:val="20"/>
                <w:szCs w:val="20"/>
              </w:rPr>
              <w:t xml:space="preserve">and </w:t>
            </w:r>
            <w:r w:rsidR="00104006">
              <w:rPr>
                <w:rFonts w:cs="Arial"/>
                <w:b/>
                <w:sz w:val="20"/>
                <w:szCs w:val="20"/>
              </w:rPr>
              <w:t xml:space="preserve">for </w:t>
            </w:r>
            <w:r w:rsidR="00423545" w:rsidRPr="00FA1BF3">
              <w:rPr>
                <w:rFonts w:cs="Arial"/>
                <w:b/>
                <w:sz w:val="20"/>
                <w:szCs w:val="20"/>
              </w:rPr>
              <w:t>management</w:t>
            </w:r>
            <w:r w:rsidR="00C74B33" w:rsidRPr="00FA1BF3">
              <w:rPr>
                <w:rFonts w:cs="Arial"/>
                <w:b/>
                <w:sz w:val="20"/>
                <w:szCs w:val="20"/>
              </w:rPr>
              <w:t>.</w:t>
            </w:r>
          </w:p>
          <w:p w14:paraId="429034C3" w14:textId="5D6FE4C3" w:rsidR="00BC6883" w:rsidRPr="00FA1BF3" w:rsidRDefault="00BC6883" w:rsidP="00762740">
            <w:pPr>
              <w:spacing w:beforeLines="60" w:before="144" w:afterLines="60" w:after="144" w:line="276" w:lineRule="auto"/>
              <w:contextualSpacing/>
              <w:rPr>
                <w:rFonts w:cs="Arial"/>
                <w:b/>
                <w:sz w:val="20"/>
                <w:szCs w:val="20"/>
              </w:rPr>
            </w:pPr>
          </w:p>
          <w:p w14:paraId="44A7022A" w14:textId="14BD598C" w:rsidR="00B9265D" w:rsidRDefault="00423545" w:rsidP="00C3119D">
            <w:pPr>
              <w:spacing w:beforeLines="60" w:before="144" w:afterLines="60" w:after="144" w:line="276" w:lineRule="auto"/>
              <w:rPr>
                <w:rFonts w:cs="Arial"/>
                <w:sz w:val="20"/>
                <w:szCs w:val="20"/>
              </w:rPr>
            </w:pPr>
            <w:r>
              <w:rPr>
                <w:rFonts w:cs="Arial"/>
                <w:sz w:val="20"/>
                <w:szCs w:val="20"/>
              </w:rPr>
              <w:t>Logbook</w:t>
            </w:r>
            <w:r w:rsidR="00B9265D">
              <w:rPr>
                <w:rFonts w:cs="Arial"/>
                <w:sz w:val="20"/>
                <w:szCs w:val="20"/>
              </w:rPr>
              <w:t xml:space="preserve"> reporting includes spatial information</w:t>
            </w:r>
            <w:r w:rsidR="00F2419E">
              <w:rPr>
                <w:rFonts w:cs="Arial"/>
                <w:sz w:val="20"/>
                <w:szCs w:val="20"/>
              </w:rPr>
              <w:t xml:space="preserve"> on which rotational </w:t>
            </w:r>
            <w:r w:rsidR="00B9586B">
              <w:rPr>
                <w:rFonts w:cs="Arial"/>
                <w:sz w:val="20"/>
                <w:szCs w:val="20"/>
              </w:rPr>
              <w:t>zone</w:t>
            </w:r>
            <w:r w:rsidR="00F5417E">
              <w:rPr>
                <w:rFonts w:cs="Arial"/>
                <w:sz w:val="20"/>
                <w:szCs w:val="20"/>
              </w:rPr>
              <w:t>s</w:t>
            </w:r>
            <w:r w:rsidR="00785527">
              <w:rPr>
                <w:rFonts w:cs="Arial"/>
                <w:sz w:val="20"/>
                <w:szCs w:val="20"/>
              </w:rPr>
              <w:t xml:space="preserve"> are</w:t>
            </w:r>
            <w:r w:rsidR="00B9586B">
              <w:rPr>
                <w:rFonts w:cs="Arial"/>
                <w:sz w:val="20"/>
                <w:szCs w:val="20"/>
              </w:rPr>
              <w:t xml:space="preserve"> fished and there is a Vessel Monitoring System</w:t>
            </w:r>
            <w:r w:rsidR="00C3119D">
              <w:rPr>
                <w:rFonts w:cs="Arial"/>
                <w:sz w:val="20"/>
                <w:szCs w:val="20"/>
              </w:rPr>
              <w:t xml:space="preserve"> (VMS)</w:t>
            </w:r>
            <w:r w:rsidR="00B9586B">
              <w:rPr>
                <w:rFonts w:cs="Arial"/>
                <w:sz w:val="20"/>
                <w:szCs w:val="20"/>
              </w:rPr>
              <w:t xml:space="preserve"> in place in the fishery. </w:t>
            </w:r>
            <w:r w:rsidR="002D2748">
              <w:rPr>
                <w:rFonts w:cs="Arial"/>
                <w:sz w:val="20"/>
                <w:szCs w:val="20"/>
              </w:rPr>
              <w:t xml:space="preserve">This information is primarily used for understanding compliance </w:t>
            </w:r>
            <w:r w:rsidR="00AA0762">
              <w:rPr>
                <w:rFonts w:cs="Arial"/>
                <w:sz w:val="20"/>
                <w:szCs w:val="20"/>
              </w:rPr>
              <w:t xml:space="preserve">and </w:t>
            </w:r>
            <w:r w:rsidR="00C3119D">
              <w:rPr>
                <w:rFonts w:cs="Arial"/>
                <w:sz w:val="20"/>
                <w:szCs w:val="20"/>
              </w:rPr>
              <w:t>there is limited evidence of VMS data being used to</w:t>
            </w:r>
            <w:r w:rsidR="00AA0762">
              <w:rPr>
                <w:rFonts w:cs="Arial"/>
                <w:sz w:val="20"/>
                <w:szCs w:val="20"/>
              </w:rPr>
              <w:t xml:space="preserve"> </w:t>
            </w:r>
            <w:r w:rsidR="00C3119D">
              <w:rPr>
                <w:rFonts w:cs="Arial"/>
                <w:sz w:val="20"/>
                <w:szCs w:val="20"/>
              </w:rPr>
              <w:t>understand finer scale spatial harvest patterns which</w:t>
            </w:r>
            <w:r w:rsidR="00785527">
              <w:rPr>
                <w:rFonts w:cs="Arial"/>
                <w:sz w:val="20"/>
                <w:szCs w:val="20"/>
              </w:rPr>
              <w:t xml:space="preserve"> could</w:t>
            </w:r>
            <w:r w:rsidR="00C3119D">
              <w:rPr>
                <w:rFonts w:cs="Arial"/>
                <w:sz w:val="20"/>
                <w:szCs w:val="20"/>
              </w:rPr>
              <w:t xml:space="preserve"> offer insights into the stock structure</w:t>
            </w:r>
            <w:r w:rsidR="00AA0762">
              <w:rPr>
                <w:rFonts w:cs="Arial"/>
                <w:sz w:val="20"/>
                <w:szCs w:val="20"/>
              </w:rPr>
              <w:t xml:space="preserve">. </w:t>
            </w:r>
          </w:p>
          <w:p w14:paraId="325329F1" w14:textId="2D80DC62" w:rsidR="00D63C21" w:rsidRDefault="00F04461" w:rsidP="00C3119D">
            <w:pPr>
              <w:spacing w:beforeLines="60" w:before="144" w:afterLines="60" w:after="144" w:line="276" w:lineRule="auto"/>
              <w:rPr>
                <w:rFonts w:cs="Arial"/>
                <w:sz w:val="20"/>
                <w:szCs w:val="20"/>
              </w:rPr>
            </w:pPr>
            <w:r>
              <w:rPr>
                <w:rFonts w:cs="Arial"/>
                <w:sz w:val="20"/>
                <w:szCs w:val="20"/>
              </w:rPr>
              <w:t xml:space="preserve">There is considerable uncertainty regarding the stock status and spatial structure of Black </w:t>
            </w:r>
            <w:proofErr w:type="spellStart"/>
            <w:r>
              <w:rPr>
                <w:rFonts w:cs="Arial"/>
                <w:sz w:val="20"/>
                <w:szCs w:val="20"/>
              </w:rPr>
              <w:t>Teatfish</w:t>
            </w:r>
            <w:proofErr w:type="spellEnd"/>
            <w:r>
              <w:rPr>
                <w:rFonts w:cs="Arial"/>
                <w:sz w:val="20"/>
                <w:szCs w:val="20"/>
              </w:rPr>
              <w:t xml:space="preserve"> in the fishery. </w:t>
            </w:r>
            <w:r w:rsidR="00AD0650">
              <w:rPr>
                <w:rFonts w:cs="Arial"/>
                <w:sz w:val="20"/>
                <w:szCs w:val="20"/>
              </w:rPr>
              <w:t xml:space="preserve">Surveys for Black </w:t>
            </w:r>
            <w:proofErr w:type="spellStart"/>
            <w:r w:rsidR="00AD0650">
              <w:rPr>
                <w:rFonts w:cs="Arial"/>
                <w:sz w:val="20"/>
                <w:szCs w:val="20"/>
              </w:rPr>
              <w:t>Teatfish</w:t>
            </w:r>
            <w:proofErr w:type="spellEnd"/>
            <w:r w:rsidR="00AD0650">
              <w:rPr>
                <w:rFonts w:cs="Arial"/>
                <w:sz w:val="20"/>
                <w:szCs w:val="20"/>
              </w:rPr>
              <w:t xml:space="preserve"> have occurred in </w:t>
            </w:r>
            <w:r w:rsidR="00AE17CD">
              <w:rPr>
                <w:rFonts w:cs="Arial"/>
                <w:sz w:val="20"/>
                <w:szCs w:val="20"/>
              </w:rPr>
              <w:t>1999, 201</w:t>
            </w:r>
            <w:r w:rsidR="00F7395B">
              <w:rPr>
                <w:rFonts w:cs="Arial"/>
                <w:sz w:val="20"/>
                <w:szCs w:val="20"/>
              </w:rPr>
              <w:t>5</w:t>
            </w:r>
            <w:r w:rsidR="00AE17CD">
              <w:rPr>
                <w:rFonts w:cs="Arial"/>
                <w:sz w:val="20"/>
                <w:szCs w:val="20"/>
              </w:rPr>
              <w:t xml:space="preserve"> and 2021</w:t>
            </w:r>
            <w:r w:rsidR="00C209E1">
              <w:rPr>
                <w:rFonts w:cs="Arial"/>
                <w:sz w:val="20"/>
                <w:szCs w:val="20"/>
              </w:rPr>
              <w:t>. H</w:t>
            </w:r>
            <w:r w:rsidR="00E33143">
              <w:rPr>
                <w:rFonts w:cs="Arial"/>
                <w:sz w:val="20"/>
                <w:szCs w:val="20"/>
              </w:rPr>
              <w:t>owever</w:t>
            </w:r>
            <w:r w:rsidR="00C209E1">
              <w:rPr>
                <w:rFonts w:cs="Arial"/>
                <w:sz w:val="20"/>
                <w:szCs w:val="20"/>
              </w:rPr>
              <w:t>,</w:t>
            </w:r>
            <w:r w:rsidR="00E33143">
              <w:rPr>
                <w:rFonts w:cs="Arial"/>
                <w:sz w:val="20"/>
                <w:szCs w:val="20"/>
              </w:rPr>
              <w:t xml:space="preserve"> surveys occu</w:t>
            </w:r>
            <w:r w:rsidR="001A6252">
              <w:rPr>
                <w:rFonts w:cs="Arial"/>
                <w:sz w:val="20"/>
                <w:szCs w:val="20"/>
              </w:rPr>
              <w:t xml:space="preserve">rred in different </w:t>
            </w:r>
            <w:r w:rsidR="001A6252" w:rsidRPr="001A6252">
              <w:rPr>
                <w:rFonts w:cs="Arial"/>
                <w:sz w:val="20"/>
                <w:szCs w:val="20"/>
              </w:rPr>
              <w:t xml:space="preserve">areas on each </w:t>
            </w:r>
            <w:r w:rsidR="00C3119D" w:rsidRPr="001A6252">
              <w:rPr>
                <w:rFonts w:cs="Arial"/>
                <w:sz w:val="20"/>
                <w:szCs w:val="20"/>
              </w:rPr>
              <w:t>occasion and</w:t>
            </w:r>
            <w:r w:rsidR="001A6252" w:rsidRPr="001A6252">
              <w:rPr>
                <w:rFonts w:cs="Arial"/>
                <w:sz w:val="20"/>
                <w:szCs w:val="20"/>
              </w:rPr>
              <w:t xml:space="preserve"> did not use consistent methodology. As a result, comparisons through time are difficult to make</w:t>
            </w:r>
            <w:r w:rsidR="0008086B">
              <w:rPr>
                <w:rFonts w:cs="Arial"/>
                <w:sz w:val="20"/>
                <w:szCs w:val="20"/>
              </w:rPr>
              <w:t>.</w:t>
            </w:r>
            <w:r w:rsidR="00AE17CD">
              <w:rPr>
                <w:rFonts w:cs="Arial"/>
                <w:sz w:val="20"/>
                <w:szCs w:val="20"/>
              </w:rPr>
              <w:t xml:space="preserve"> </w:t>
            </w:r>
            <w:r w:rsidR="0008086B">
              <w:rPr>
                <w:rFonts w:cs="Arial"/>
                <w:sz w:val="20"/>
                <w:szCs w:val="20"/>
              </w:rPr>
              <w:t>T</w:t>
            </w:r>
            <w:r w:rsidR="00C61CE3" w:rsidRPr="0007573C">
              <w:rPr>
                <w:rFonts w:cs="Arial"/>
                <w:sz w:val="20"/>
                <w:szCs w:val="20"/>
              </w:rPr>
              <w:t>he most recent survey from 202</w:t>
            </w:r>
            <w:r w:rsidR="00262B6E" w:rsidRPr="0007573C">
              <w:rPr>
                <w:rFonts w:cs="Arial"/>
                <w:sz w:val="20"/>
                <w:szCs w:val="20"/>
              </w:rPr>
              <w:t>1</w:t>
            </w:r>
            <w:r w:rsidR="00C61CE3" w:rsidRPr="0007573C">
              <w:rPr>
                <w:rFonts w:cs="Arial"/>
                <w:sz w:val="20"/>
                <w:szCs w:val="20"/>
              </w:rPr>
              <w:t xml:space="preserve"> was used </w:t>
            </w:r>
            <w:r w:rsidR="000D1A1F" w:rsidRPr="0007573C">
              <w:rPr>
                <w:rFonts w:cs="Arial"/>
                <w:sz w:val="20"/>
                <w:szCs w:val="20"/>
              </w:rPr>
              <w:t>as a data input for the stock assessment model</w:t>
            </w:r>
            <w:r w:rsidR="00342647" w:rsidRPr="0007573C">
              <w:rPr>
                <w:rFonts w:cs="Arial"/>
                <w:sz w:val="20"/>
                <w:szCs w:val="20"/>
              </w:rPr>
              <w:t xml:space="preserve">. </w:t>
            </w:r>
            <w:r w:rsidR="00BF3E82" w:rsidRPr="0007573C">
              <w:rPr>
                <w:rFonts w:cs="Arial"/>
                <w:sz w:val="20"/>
                <w:szCs w:val="20"/>
              </w:rPr>
              <w:t xml:space="preserve">This </w:t>
            </w:r>
            <w:r w:rsidR="00F852BC" w:rsidRPr="0007573C">
              <w:rPr>
                <w:rFonts w:cs="Arial"/>
                <w:sz w:val="20"/>
                <w:szCs w:val="20"/>
              </w:rPr>
              <w:t>survey was undertaken in the southern part of the fishery in the area that was formerly known as ‘Zone 2’</w:t>
            </w:r>
            <w:r w:rsidR="00262B6E" w:rsidRPr="0007573C">
              <w:rPr>
                <w:rFonts w:cs="Arial"/>
                <w:sz w:val="20"/>
                <w:szCs w:val="20"/>
              </w:rPr>
              <w:t xml:space="preserve"> (</w:t>
            </w:r>
            <w:r w:rsidR="0007573C" w:rsidRPr="0007573C">
              <w:rPr>
                <w:rFonts w:cs="Arial"/>
                <w:sz w:val="20"/>
                <w:szCs w:val="20"/>
              </w:rPr>
              <w:t xml:space="preserve">Koopman and </w:t>
            </w:r>
            <w:proofErr w:type="spellStart"/>
            <w:r w:rsidR="0007573C" w:rsidRPr="0007573C">
              <w:rPr>
                <w:rFonts w:cs="Arial"/>
                <w:sz w:val="20"/>
                <w:szCs w:val="20"/>
              </w:rPr>
              <w:t>Knuckey</w:t>
            </w:r>
            <w:proofErr w:type="spellEnd"/>
            <w:r w:rsidR="0007573C" w:rsidRPr="0007573C">
              <w:rPr>
                <w:rFonts w:cs="Arial"/>
                <w:sz w:val="20"/>
                <w:szCs w:val="20"/>
              </w:rPr>
              <w:t xml:space="preserve"> 2021).</w:t>
            </w:r>
            <w:r w:rsidR="00F852BC" w:rsidRPr="0007573C">
              <w:rPr>
                <w:rFonts w:cs="Arial"/>
                <w:sz w:val="20"/>
                <w:szCs w:val="20"/>
              </w:rPr>
              <w:t xml:space="preserve"> </w:t>
            </w:r>
            <w:r w:rsidR="00D63C21">
              <w:rPr>
                <w:rFonts w:cs="Arial"/>
                <w:sz w:val="20"/>
                <w:szCs w:val="20"/>
              </w:rPr>
              <w:t xml:space="preserve">The survey covered a limited area of </w:t>
            </w:r>
            <w:r w:rsidR="00527B63">
              <w:rPr>
                <w:rFonts w:cs="Arial"/>
                <w:sz w:val="20"/>
                <w:szCs w:val="20"/>
              </w:rPr>
              <w:t>26</w:t>
            </w:r>
            <w:r w:rsidR="00D63C21">
              <w:rPr>
                <w:rFonts w:cs="Arial"/>
                <w:sz w:val="20"/>
                <w:szCs w:val="20"/>
              </w:rPr>
              <w:t xml:space="preserve"> reefs and showed </w:t>
            </w:r>
            <w:r w:rsidR="00F73980">
              <w:rPr>
                <w:rFonts w:cs="Arial"/>
                <w:sz w:val="20"/>
                <w:szCs w:val="20"/>
              </w:rPr>
              <w:t xml:space="preserve">high variability in </w:t>
            </w:r>
            <w:r w:rsidR="00FE38EA">
              <w:rPr>
                <w:rFonts w:cs="Arial"/>
                <w:sz w:val="20"/>
                <w:szCs w:val="20"/>
              </w:rPr>
              <w:t>stock density</w:t>
            </w:r>
            <w:r w:rsidR="00F73980">
              <w:rPr>
                <w:rFonts w:cs="Arial"/>
                <w:sz w:val="20"/>
                <w:szCs w:val="20"/>
              </w:rPr>
              <w:t xml:space="preserve">. CPUE data was also used extensively in the stock assessment. </w:t>
            </w:r>
          </w:p>
          <w:p w14:paraId="6EE61652" w14:textId="3D5F4554" w:rsidR="000A3374" w:rsidRDefault="00963AE6" w:rsidP="00C3119D">
            <w:pPr>
              <w:spacing w:beforeLines="60" w:before="144" w:afterLines="60" w:after="144" w:line="276" w:lineRule="auto"/>
              <w:rPr>
                <w:rFonts w:cs="Arial"/>
                <w:sz w:val="20"/>
                <w:szCs w:val="20"/>
              </w:rPr>
            </w:pPr>
            <w:r>
              <w:rPr>
                <w:rFonts w:cs="Arial"/>
                <w:sz w:val="20"/>
                <w:szCs w:val="20"/>
              </w:rPr>
              <w:t>The surveys f</w:t>
            </w:r>
            <w:r w:rsidR="001D3F6D">
              <w:rPr>
                <w:rFonts w:cs="Arial"/>
                <w:sz w:val="20"/>
                <w:szCs w:val="20"/>
              </w:rPr>
              <w:t>rom both</w:t>
            </w:r>
            <w:r>
              <w:rPr>
                <w:rFonts w:cs="Arial"/>
                <w:sz w:val="20"/>
                <w:szCs w:val="20"/>
              </w:rPr>
              <w:t xml:space="preserve"> 1999</w:t>
            </w:r>
            <w:r w:rsidR="001D3F6D">
              <w:rPr>
                <w:rFonts w:cs="Arial"/>
                <w:sz w:val="20"/>
                <w:szCs w:val="20"/>
              </w:rPr>
              <w:t xml:space="preserve"> and 201</w:t>
            </w:r>
            <w:r w:rsidR="00F7395B">
              <w:rPr>
                <w:rFonts w:cs="Arial"/>
                <w:sz w:val="20"/>
                <w:szCs w:val="20"/>
              </w:rPr>
              <w:t>5</w:t>
            </w:r>
            <w:r w:rsidR="001D3F6D">
              <w:rPr>
                <w:rFonts w:cs="Arial"/>
                <w:sz w:val="20"/>
                <w:szCs w:val="20"/>
              </w:rPr>
              <w:t xml:space="preserve"> both occurred in the norther area of the fishery</w:t>
            </w:r>
            <w:r>
              <w:rPr>
                <w:rFonts w:cs="Arial"/>
                <w:sz w:val="20"/>
                <w:szCs w:val="20"/>
              </w:rPr>
              <w:t xml:space="preserve"> </w:t>
            </w:r>
            <w:r w:rsidR="00AD4D47" w:rsidRPr="0007573C">
              <w:rPr>
                <w:rFonts w:cs="Arial"/>
                <w:sz w:val="20"/>
                <w:szCs w:val="20"/>
              </w:rPr>
              <w:t>(</w:t>
            </w:r>
            <w:proofErr w:type="spellStart"/>
            <w:r w:rsidR="00335BBB">
              <w:rPr>
                <w:rFonts w:cs="Arial"/>
                <w:sz w:val="20"/>
                <w:szCs w:val="20"/>
              </w:rPr>
              <w:t>Benzie</w:t>
            </w:r>
            <w:proofErr w:type="spellEnd"/>
            <w:r w:rsidR="00335BBB">
              <w:rPr>
                <w:rFonts w:cs="Arial"/>
                <w:sz w:val="20"/>
                <w:szCs w:val="20"/>
              </w:rPr>
              <w:t xml:space="preserve"> and </w:t>
            </w:r>
            <w:proofErr w:type="spellStart"/>
            <w:r w:rsidR="00335BBB">
              <w:rPr>
                <w:rFonts w:cs="Arial"/>
                <w:sz w:val="20"/>
                <w:szCs w:val="20"/>
              </w:rPr>
              <w:t>U</w:t>
            </w:r>
            <w:r w:rsidR="005E7D60">
              <w:rPr>
                <w:rFonts w:cs="Arial"/>
                <w:sz w:val="20"/>
                <w:szCs w:val="20"/>
              </w:rPr>
              <w:t>thicke</w:t>
            </w:r>
            <w:proofErr w:type="spellEnd"/>
            <w:r w:rsidR="005E7D60">
              <w:rPr>
                <w:rFonts w:cs="Arial"/>
                <w:sz w:val="20"/>
                <w:szCs w:val="20"/>
              </w:rPr>
              <w:t xml:space="preserve"> 2003, </w:t>
            </w:r>
            <w:proofErr w:type="spellStart"/>
            <w:r w:rsidR="00AD4D47" w:rsidRPr="0007573C">
              <w:rPr>
                <w:rFonts w:cs="Arial"/>
                <w:sz w:val="20"/>
                <w:szCs w:val="20"/>
              </w:rPr>
              <w:t>Knuckey</w:t>
            </w:r>
            <w:proofErr w:type="spellEnd"/>
            <w:r w:rsidR="00AD4D47" w:rsidRPr="0007573C">
              <w:rPr>
                <w:rFonts w:cs="Arial"/>
                <w:sz w:val="20"/>
                <w:szCs w:val="20"/>
              </w:rPr>
              <w:t xml:space="preserve"> and Koopman 2016)</w:t>
            </w:r>
            <w:r w:rsidR="0007573C">
              <w:rPr>
                <w:rFonts w:cs="Arial"/>
                <w:sz w:val="20"/>
                <w:szCs w:val="20"/>
              </w:rPr>
              <w:t>.</w:t>
            </w:r>
            <w:r w:rsidR="0008086B">
              <w:rPr>
                <w:rFonts w:cs="Arial"/>
                <w:sz w:val="20"/>
                <w:szCs w:val="20"/>
              </w:rPr>
              <w:t xml:space="preserve"> </w:t>
            </w:r>
            <w:r w:rsidR="00207E98" w:rsidRPr="00207E98">
              <w:rPr>
                <w:rFonts w:cs="Arial"/>
                <w:sz w:val="20"/>
                <w:szCs w:val="20"/>
              </w:rPr>
              <w:t>In 1999, densities in fished areas (in the northern zone) were about 25% of those in protected areas. Overall stock biomass was estimated to be 45% of unfished biomass</w:t>
            </w:r>
            <w:r w:rsidR="00207E98">
              <w:rPr>
                <w:rFonts w:cs="Arial"/>
                <w:sz w:val="20"/>
                <w:szCs w:val="20"/>
              </w:rPr>
              <w:t>.</w:t>
            </w:r>
            <w:r w:rsidR="00CE066A">
              <w:t xml:space="preserve"> </w:t>
            </w:r>
            <w:r w:rsidR="00CE066A" w:rsidRPr="00CE066A">
              <w:rPr>
                <w:rFonts w:cs="Arial"/>
                <w:sz w:val="20"/>
                <w:szCs w:val="20"/>
              </w:rPr>
              <w:t>The 2015 survey used different methodology and primarily sampled different areas from 1999. Only eight survey sites overlapped with earlier research that prompted the fishery’s closure. Only four reefs showed increases in B</w:t>
            </w:r>
            <w:r w:rsidR="008B0EF4">
              <w:rPr>
                <w:rFonts w:cs="Arial"/>
                <w:sz w:val="20"/>
                <w:szCs w:val="20"/>
              </w:rPr>
              <w:t xml:space="preserve">lack </w:t>
            </w:r>
            <w:proofErr w:type="spellStart"/>
            <w:r w:rsidR="008B0EF4">
              <w:rPr>
                <w:rFonts w:cs="Arial"/>
                <w:sz w:val="20"/>
                <w:szCs w:val="20"/>
              </w:rPr>
              <w:t>Teatfish</w:t>
            </w:r>
            <w:proofErr w:type="spellEnd"/>
            <w:r w:rsidR="008B0EF4">
              <w:rPr>
                <w:rFonts w:cs="Arial"/>
                <w:sz w:val="20"/>
                <w:szCs w:val="20"/>
              </w:rPr>
              <w:t xml:space="preserve"> </w:t>
            </w:r>
            <w:r w:rsidR="00CE066A" w:rsidRPr="00CE066A">
              <w:rPr>
                <w:rFonts w:cs="Arial"/>
                <w:sz w:val="20"/>
                <w:szCs w:val="20"/>
              </w:rPr>
              <w:t>densities, two remained similar, and two declined</w:t>
            </w:r>
            <w:r w:rsidR="00916A75">
              <w:rPr>
                <w:rFonts w:cs="Arial"/>
                <w:sz w:val="20"/>
                <w:szCs w:val="20"/>
              </w:rPr>
              <w:t>,</w:t>
            </w:r>
            <w:r w:rsidR="00CE066A" w:rsidRPr="00CE066A" w:rsidDel="00916A75">
              <w:rPr>
                <w:rFonts w:cs="Arial"/>
                <w:sz w:val="20"/>
                <w:szCs w:val="20"/>
              </w:rPr>
              <w:t xml:space="preserve"> </w:t>
            </w:r>
            <w:r w:rsidR="00CE066A" w:rsidRPr="00CE066A">
              <w:rPr>
                <w:rFonts w:cs="Arial"/>
                <w:sz w:val="20"/>
                <w:szCs w:val="20"/>
              </w:rPr>
              <w:t>one by 63%.</w:t>
            </w:r>
            <w:r w:rsidR="00CE066A">
              <w:t xml:space="preserve"> </w:t>
            </w:r>
            <w:r w:rsidR="00CE066A" w:rsidRPr="00CE066A">
              <w:rPr>
                <w:rFonts w:cs="Arial"/>
                <w:sz w:val="20"/>
                <w:szCs w:val="20"/>
              </w:rPr>
              <w:t>The 2015 survey took place in the northern zone and was used as rational for opening the whole fishery</w:t>
            </w:r>
            <w:r w:rsidR="00916A75">
              <w:rPr>
                <w:rFonts w:cs="Arial"/>
                <w:sz w:val="20"/>
                <w:szCs w:val="20"/>
              </w:rPr>
              <w:t>,</w:t>
            </w:r>
            <w:r w:rsidR="00CE066A" w:rsidRPr="00CE066A" w:rsidDel="00916A75">
              <w:rPr>
                <w:rFonts w:cs="Arial"/>
                <w:sz w:val="20"/>
                <w:szCs w:val="20"/>
              </w:rPr>
              <w:t xml:space="preserve"> </w:t>
            </w:r>
            <w:r w:rsidR="00CE066A" w:rsidRPr="00CE066A">
              <w:rPr>
                <w:rFonts w:cs="Arial"/>
                <w:sz w:val="20"/>
                <w:szCs w:val="20"/>
              </w:rPr>
              <w:t>including the southern zone which was not previously fished</w:t>
            </w:r>
            <w:r w:rsidR="00D46875">
              <w:rPr>
                <w:rFonts w:cs="Arial"/>
                <w:sz w:val="20"/>
                <w:szCs w:val="20"/>
              </w:rPr>
              <w:t xml:space="preserve">. </w:t>
            </w:r>
          </w:p>
          <w:p w14:paraId="6C3165B2" w14:textId="447B4350" w:rsidR="0084748A" w:rsidRDefault="0084748A" w:rsidP="00C3119D">
            <w:pPr>
              <w:spacing w:beforeLines="60" w:before="144" w:afterLines="60" w:after="144" w:line="276" w:lineRule="auto"/>
              <w:rPr>
                <w:rFonts w:cs="Arial"/>
                <w:sz w:val="20"/>
                <w:szCs w:val="20"/>
              </w:rPr>
            </w:pPr>
            <w:r>
              <w:rPr>
                <w:rFonts w:cs="Arial"/>
                <w:sz w:val="20"/>
                <w:szCs w:val="20"/>
              </w:rPr>
              <w:t>There have also been surveys for Burrowing Blackfis</w:t>
            </w:r>
            <w:r w:rsidR="00F40D14">
              <w:rPr>
                <w:rFonts w:cs="Arial"/>
                <w:sz w:val="20"/>
                <w:szCs w:val="20"/>
              </w:rPr>
              <w:t>h</w:t>
            </w:r>
            <w:r w:rsidR="00FE4022">
              <w:rPr>
                <w:rFonts w:cs="Arial"/>
                <w:sz w:val="20"/>
                <w:szCs w:val="20"/>
              </w:rPr>
              <w:t xml:space="preserve"> within the declared Burrowing Blackfish Z</w:t>
            </w:r>
            <w:r w:rsidR="00351CAE">
              <w:rPr>
                <w:rFonts w:cs="Arial"/>
                <w:sz w:val="20"/>
                <w:szCs w:val="20"/>
              </w:rPr>
              <w:t>ones (BFZ). There is currently no stock assessment for Burrowing Blackfish and the distribution of the</w:t>
            </w:r>
            <w:r w:rsidR="00220FC0">
              <w:rPr>
                <w:rFonts w:cs="Arial"/>
                <w:sz w:val="20"/>
                <w:szCs w:val="20"/>
              </w:rPr>
              <w:t xml:space="preserve"> species is not well known. Burrowing Blackfish </w:t>
            </w:r>
            <w:r w:rsidR="00A342F5">
              <w:rPr>
                <w:rFonts w:cs="Arial"/>
                <w:sz w:val="20"/>
                <w:szCs w:val="20"/>
              </w:rPr>
              <w:t>is</w:t>
            </w:r>
            <w:r w:rsidR="00220FC0">
              <w:rPr>
                <w:rFonts w:cs="Arial"/>
                <w:sz w:val="20"/>
                <w:szCs w:val="20"/>
              </w:rPr>
              <w:t xml:space="preserve"> only known to occur at </w:t>
            </w:r>
            <w:r w:rsidR="008D24D0">
              <w:rPr>
                <w:rFonts w:cs="Arial"/>
                <w:sz w:val="20"/>
                <w:szCs w:val="20"/>
              </w:rPr>
              <w:t>commercially viable densities in the three BFZ</w:t>
            </w:r>
            <w:r w:rsidR="000F3F20">
              <w:rPr>
                <w:rFonts w:cs="Arial"/>
                <w:sz w:val="20"/>
                <w:szCs w:val="20"/>
              </w:rPr>
              <w:t>s,</w:t>
            </w:r>
            <w:r w:rsidR="00587EB9">
              <w:rPr>
                <w:rFonts w:cs="Arial"/>
                <w:sz w:val="20"/>
                <w:szCs w:val="20"/>
              </w:rPr>
              <w:t xml:space="preserve"> at Liz</w:t>
            </w:r>
            <w:r w:rsidR="00643827">
              <w:rPr>
                <w:rFonts w:cs="Arial"/>
                <w:sz w:val="20"/>
                <w:szCs w:val="20"/>
              </w:rPr>
              <w:t>ard,</w:t>
            </w:r>
            <w:r w:rsidR="00140D21">
              <w:rPr>
                <w:rFonts w:cs="Arial"/>
                <w:sz w:val="20"/>
                <w:szCs w:val="20"/>
              </w:rPr>
              <w:t xml:space="preserve"> </w:t>
            </w:r>
            <w:proofErr w:type="gramStart"/>
            <w:r w:rsidR="00140D21">
              <w:rPr>
                <w:rFonts w:cs="Arial"/>
                <w:sz w:val="20"/>
                <w:szCs w:val="20"/>
              </w:rPr>
              <w:t>Gould</w:t>
            </w:r>
            <w:proofErr w:type="gramEnd"/>
            <w:r w:rsidR="00140D21">
              <w:rPr>
                <w:rFonts w:cs="Arial"/>
                <w:sz w:val="20"/>
                <w:szCs w:val="20"/>
              </w:rPr>
              <w:t xml:space="preserve"> and</w:t>
            </w:r>
            <w:r w:rsidR="00643827">
              <w:rPr>
                <w:rFonts w:cs="Arial"/>
                <w:sz w:val="20"/>
                <w:szCs w:val="20"/>
              </w:rPr>
              <w:t xml:space="preserve"> Bunker reefs</w:t>
            </w:r>
            <w:r w:rsidR="008D24D0">
              <w:rPr>
                <w:rFonts w:cs="Arial"/>
                <w:sz w:val="20"/>
                <w:szCs w:val="20"/>
              </w:rPr>
              <w:t xml:space="preserve">. </w:t>
            </w:r>
            <w:r w:rsidR="00140D21">
              <w:rPr>
                <w:rFonts w:cs="Arial"/>
                <w:sz w:val="20"/>
                <w:szCs w:val="20"/>
              </w:rPr>
              <w:t xml:space="preserve">The uncertainty </w:t>
            </w:r>
            <w:r w:rsidR="00C00DDF">
              <w:rPr>
                <w:rFonts w:cs="Arial"/>
                <w:sz w:val="20"/>
                <w:szCs w:val="20"/>
              </w:rPr>
              <w:t>regarding the distribution of Burrowing Blackfish presents</w:t>
            </w:r>
            <w:r w:rsidR="00917E53">
              <w:rPr>
                <w:rFonts w:cs="Arial"/>
                <w:sz w:val="20"/>
                <w:szCs w:val="20"/>
              </w:rPr>
              <w:t xml:space="preserve"> challenges </w:t>
            </w:r>
            <w:r w:rsidR="00EC70F0">
              <w:rPr>
                <w:rFonts w:cs="Arial"/>
                <w:sz w:val="20"/>
                <w:szCs w:val="20"/>
              </w:rPr>
              <w:t>to monitoring the impacts of fishery on the stock as there</w:t>
            </w:r>
            <w:r w:rsidR="002507AA">
              <w:rPr>
                <w:rFonts w:cs="Arial"/>
                <w:sz w:val="20"/>
                <w:szCs w:val="20"/>
              </w:rPr>
              <w:t xml:space="preserve"> are</w:t>
            </w:r>
            <w:r w:rsidR="00EC70F0">
              <w:rPr>
                <w:rFonts w:cs="Arial"/>
                <w:sz w:val="20"/>
                <w:szCs w:val="20"/>
              </w:rPr>
              <w:t xml:space="preserve"> no known areas of habitat for Burrowing Blackfish outside </w:t>
            </w:r>
            <w:r w:rsidR="00BC2438">
              <w:rPr>
                <w:rFonts w:cs="Arial"/>
                <w:sz w:val="20"/>
                <w:szCs w:val="20"/>
              </w:rPr>
              <w:t>the BFZ</w:t>
            </w:r>
            <w:r w:rsidR="002507AA">
              <w:rPr>
                <w:rFonts w:cs="Arial"/>
                <w:sz w:val="20"/>
                <w:szCs w:val="20"/>
              </w:rPr>
              <w:t>s</w:t>
            </w:r>
            <w:r w:rsidR="00BC2438">
              <w:rPr>
                <w:rFonts w:cs="Arial"/>
                <w:sz w:val="20"/>
                <w:szCs w:val="20"/>
              </w:rPr>
              <w:t xml:space="preserve">. </w:t>
            </w:r>
          </w:p>
          <w:p w14:paraId="2F01E183" w14:textId="0C7B21E3" w:rsidR="00094BFD" w:rsidRDefault="00BC2438" w:rsidP="00C3119D">
            <w:pPr>
              <w:spacing w:beforeLines="60" w:before="144" w:afterLines="60" w:after="144" w:line="276" w:lineRule="auto"/>
              <w:rPr>
                <w:rFonts w:cs="Arial"/>
                <w:sz w:val="20"/>
                <w:szCs w:val="20"/>
              </w:rPr>
            </w:pPr>
            <w:r>
              <w:rPr>
                <w:rFonts w:cs="Arial"/>
                <w:sz w:val="20"/>
                <w:szCs w:val="20"/>
              </w:rPr>
              <w:t>Spatial distribution and s</w:t>
            </w:r>
            <w:r w:rsidR="00DA2CF6">
              <w:rPr>
                <w:rFonts w:cs="Arial"/>
                <w:sz w:val="20"/>
                <w:szCs w:val="20"/>
              </w:rPr>
              <w:t>tock structure is unknow</w:t>
            </w:r>
            <w:r w:rsidR="00525C2F">
              <w:rPr>
                <w:rFonts w:cs="Arial"/>
                <w:sz w:val="20"/>
                <w:szCs w:val="20"/>
              </w:rPr>
              <w:t>n</w:t>
            </w:r>
            <w:r w:rsidR="00DA2CF6">
              <w:rPr>
                <w:rFonts w:cs="Arial"/>
                <w:sz w:val="20"/>
                <w:szCs w:val="20"/>
              </w:rPr>
              <w:t xml:space="preserve"> for </w:t>
            </w:r>
            <w:r w:rsidR="009C5D1F">
              <w:rPr>
                <w:rFonts w:cs="Arial"/>
                <w:sz w:val="20"/>
                <w:szCs w:val="20"/>
              </w:rPr>
              <w:t>species harvested in this fishery</w:t>
            </w:r>
            <w:r w:rsidR="00DA2CF6">
              <w:rPr>
                <w:rFonts w:cs="Arial"/>
                <w:sz w:val="20"/>
                <w:szCs w:val="20"/>
              </w:rPr>
              <w:t xml:space="preserve">. </w:t>
            </w:r>
            <w:r w:rsidR="00063EA7">
              <w:rPr>
                <w:rFonts w:cs="Arial"/>
                <w:sz w:val="20"/>
                <w:szCs w:val="20"/>
              </w:rPr>
              <w:t xml:space="preserve">Management under the RHA was found by the 2014 </w:t>
            </w:r>
            <w:r w:rsidR="00130C66">
              <w:rPr>
                <w:rFonts w:cs="Arial"/>
                <w:sz w:val="20"/>
                <w:szCs w:val="20"/>
              </w:rPr>
              <w:t xml:space="preserve">MSE </w:t>
            </w:r>
            <w:r w:rsidR="00BB2164">
              <w:rPr>
                <w:rFonts w:cs="Arial"/>
                <w:sz w:val="20"/>
                <w:szCs w:val="20"/>
              </w:rPr>
              <w:t xml:space="preserve">(Skewes et al 2014) </w:t>
            </w:r>
            <w:r w:rsidR="003F52DC">
              <w:rPr>
                <w:rFonts w:cs="Arial"/>
                <w:sz w:val="20"/>
                <w:szCs w:val="20"/>
              </w:rPr>
              <w:t xml:space="preserve">to have reduce the risk of depletion of target species. The MSE </w:t>
            </w:r>
            <w:r w:rsidR="004008F1">
              <w:rPr>
                <w:rFonts w:cs="Arial"/>
                <w:sz w:val="20"/>
                <w:szCs w:val="20"/>
              </w:rPr>
              <w:t>indicated that if single rotational zones experience sustained high levels of harvest the effectiveness of the RHA</w:t>
            </w:r>
            <w:r w:rsidR="00A02D01">
              <w:rPr>
                <w:rFonts w:cs="Arial"/>
                <w:sz w:val="20"/>
                <w:szCs w:val="20"/>
              </w:rPr>
              <w:t xml:space="preserve">s would be diminished. The recently published </w:t>
            </w:r>
            <w:r w:rsidR="00423FC9">
              <w:rPr>
                <w:rFonts w:cs="Arial"/>
                <w:sz w:val="20"/>
                <w:szCs w:val="20"/>
              </w:rPr>
              <w:t xml:space="preserve">feasibility study for biomass surveys for White </w:t>
            </w:r>
            <w:proofErr w:type="spellStart"/>
            <w:r w:rsidR="00423FC9">
              <w:rPr>
                <w:rFonts w:cs="Arial"/>
                <w:sz w:val="20"/>
                <w:szCs w:val="20"/>
              </w:rPr>
              <w:t>Teatfish</w:t>
            </w:r>
            <w:proofErr w:type="spellEnd"/>
            <w:r w:rsidR="00423FC9">
              <w:rPr>
                <w:rFonts w:cs="Arial"/>
                <w:sz w:val="20"/>
                <w:szCs w:val="20"/>
              </w:rPr>
              <w:t xml:space="preserve"> indicated th</w:t>
            </w:r>
            <w:r w:rsidR="001F3C56">
              <w:rPr>
                <w:rFonts w:cs="Arial"/>
                <w:sz w:val="20"/>
                <w:szCs w:val="20"/>
              </w:rPr>
              <w:t>at</w:t>
            </w:r>
            <w:r w:rsidR="00423FC9">
              <w:rPr>
                <w:rFonts w:cs="Arial"/>
                <w:sz w:val="20"/>
                <w:szCs w:val="20"/>
              </w:rPr>
              <w:t xml:space="preserve"> </w:t>
            </w:r>
            <w:r w:rsidR="00027C2B">
              <w:rPr>
                <w:rFonts w:cs="Arial"/>
                <w:sz w:val="20"/>
                <w:szCs w:val="20"/>
              </w:rPr>
              <w:t xml:space="preserve">80% of harvest </w:t>
            </w:r>
            <w:r w:rsidR="006505E1">
              <w:rPr>
                <w:rFonts w:cs="Arial"/>
                <w:sz w:val="20"/>
                <w:szCs w:val="20"/>
              </w:rPr>
              <w:t xml:space="preserve">occurred in just </w:t>
            </w:r>
            <w:r w:rsidR="00F9494D">
              <w:rPr>
                <w:rFonts w:cs="Arial"/>
                <w:sz w:val="20"/>
                <w:szCs w:val="20"/>
              </w:rPr>
              <w:t>35 of 158 rotational zones.</w:t>
            </w:r>
            <w:r w:rsidR="00217306">
              <w:rPr>
                <w:rFonts w:cs="Arial"/>
                <w:sz w:val="20"/>
                <w:szCs w:val="20"/>
              </w:rPr>
              <w:t xml:space="preserve"> It is unclear what impact this harvest trend may hav</w:t>
            </w:r>
            <w:r w:rsidR="00D85004">
              <w:rPr>
                <w:rFonts w:cs="Arial"/>
                <w:sz w:val="20"/>
                <w:szCs w:val="20"/>
              </w:rPr>
              <w:t>e</w:t>
            </w:r>
            <w:r w:rsidR="00217306">
              <w:rPr>
                <w:rFonts w:cs="Arial"/>
                <w:sz w:val="20"/>
                <w:szCs w:val="20"/>
              </w:rPr>
              <w:t xml:space="preserve"> </w:t>
            </w:r>
            <w:r w:rsidR="00B956C4">
              <w:rPr>
                <w:rFonts w:cs="Arial"/>
                <w:sz w:val="20"/>
                <w:szCs w:val="20"/>
              </w:rPr>
              <w:t>on the distribution and structure of stock</w:t>
            </w:r>
            <w:r w:rsidR="00094BFD">
              <w:rPr>
                <w:rFonts w:cs="Arial"/>
                <w:sz w:val="20"/>
                <w:szCs w:val="20"/>
              </w:rPr>
              <w:t xml:space="preserve">. </w:t>
            </w:r>
          </w:p>
          <w:p w14:paraId="416DD1D8" w14:textId="251CE6D6" w:rsidR="0084748A" w:rsidRDefault="00094BFD" w:rsidP="00C3119D">
            <w:pPr>
              <w:spacing w:beforeLines="60" w:before="144" w:afterLines="60" w:after="144" w:line="276" w:lineRule="auto"/>
              <w:rPr>
                <w:rFonts w:cs="Arial"/>
                <w:sz w:val="20"/>
                <w:szCs w:val="20"/>
              </w:rPr>
            </w:pPr>
            <w:r>
              <w:rPr>
                <w:rFonts w:cs="Arial"/>
                <w:sz w:val="20"/>
                <w:szCs w:val="20"/>
              </w:rPr>
              <w:lastRenderedPageBreak/>
              <w:t xml:space="preserve">Similar analysis of spatial harvest information </w:t>
            </w:r>
            <w:r w:rsidR="0096478E">
              <w:rPr>
                <w:rFonts w:cs="Arial"/>
                <w:sz w:val="20"/>
                <w:szCs w:val="20"/>
              </w:rPr>
              <w:t>has</w:t>
            </w:r>
            <w:r>
              <w:rPr>
                <w:rFonts w:cs="Arial"/>
                <w:sz w:val="20"/>
                <w:szCs w:val="20"/>
              </w:rPr>
              <w:t xml:space="preserve"> not been undertaken for other species in the fishery and it is unclear to what exten</w:t>
            </w:r>
            <w:r w:rsidR="0096478E">
              <w:rPr>
                <w:rFonts w:cs="Arial"/>
                <w:sz w:val="20"/>
                <w:szCs w:val="20"/>
              </w:rPr>
              <w:t xml:space="preserve">t harvest may be concentrated in a subset of rotational zones. </w:t>
            </w:r>
          </w:p>
          <w:p w14:paraId="602A640F" w14:textId="6C2E3904" w:rsidR="00885298" w:rsidRPr="00433FCA" w:rsidRDefault="00885298" w:rsidP="00762740">
            <w:pPr>
              <w:spacing w:beforeLines="60" w:before="144" w:afterLines="60" w:after="144" w:line="276" w:lineRule="auto"/>
              <w:contextualSpacing/>
              <w:rPr>
                <w:rFonts w:cs="Arial"/>
                <w:b/>
                <w:sz w:val="20"/>
                <w:szCs w:val="20"/>
              </w:rPr>
            </w:pPr>
          </w:p>
        </w:tc>
      </w:tr>
      <w:tr w:rsidR="00885298" w:rsidRPr="00433FCA" w14:paraId="3F52708C" w14:textId="77777777" w:rsidTr="00F900BE">
        <w:trPr>
          <w:cantSplit/>
        </w:trPr>
        <w:tc>
          <w:tcPr>
            <w:tcW w:w="1500" w:type="pct"/>
            <w:shd w:val="clear" w:color="auto" w:fill="FFC000"/>
          </w:tcPr>
          <w:p w14:paraId="5BFE2E19" w14:textId="77777777"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lastRenderedPageBreak/>
              <w:t xml:space="preserve">1.1.4 </w:t>
            </w:r>
            <w:r w:rsidRPr="00433FCA">
              <w:rPr>
                <w:rFonts w:cs="Arial"/>
                <w:sz w:val="20"/>
                <w:szCs w:val="20"/>
              </w:rPr>
              <w:t>There are reliable estimates of all removals, including commercial (landings and discards), recreational and indigenous, from the fished stock. These estimates have been factored into stock assessments a</w:t>
            </w:r>
            <w:r w:rsidR="006B6EF9" w:rsidRPr="00433FCA">
              <w:rPr>
                <w:rFonts w:cs="Arial"/>
                <w:sz w:val="20"/>
                <w:szCs w:val="20"/>
              </w:rPr>
              <w:t>nd target species catch levels.</w:t>
            </w:r>
          </w:p>
          <w:p w14:paraId="150B44F6" w14:textId="33DE543E"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264CCC1E" w14:textId="0447CC6E" w:rsidR="00C74B33" w:rsidRPr="006B014E" w:rsidRDefault="005869AD" w:rsidP="005A1AB0">
            <w:pPr>
              <w:spacing w:beforeLines="60" w:before="144" w:afterLines="60" w:after="144" w:line="276" w:lineRule="auto"/>
              <w:contextualSpacing/>
              <w:rPr>
                <w:rFonts w:cs="Arial"/>
                <w:b/>
                <w:sz w:val="20"/>
                <w:szCs w:val="20"/>
              </w:rPr>
            </w:pPr>
            <w:r w:rsidRPr="006B014E">
              <w:rPr>
                <w:rFonts w:cs="Arial"/>
                <w:b/>
                <w:sz w:val="20"/>
                <w:szCs w:val="20"/>
              </w:rPr>
              <w:t xml:space="preserve">Partially meets – </w:t>
            </w:r>
            <w:r w:rsidR="009C5D1F">
              <w:rPr>
                <w:rFonts w:cs="Arial"/>
                <w:b/>
                <w:sz w:val="20"/>
                <w:szCs w:val="20"/>
              </w:rPr>
              <w:t>E</w:t>
            </w:r>
            <w:r w:rsidR="006B014E">
              <w:rPr>
                <w:rFonts w:cs="Arial"/>
                <w:b/>
                <w:sz w:val="20"/>
                <w:szCs w:val="20"/>
              </w:rPr>
              <w:t xml:space="preserve">stimates of commercial landings </w:t>
            </w:r>
            <w:r w:rsidR="009C5D1F">
              <w:rPr>
                <w:rFonts w:cs="Arial"/>
                <w:b/>
                <w:sz w:val="20"/>
                <w:szCs w:val="20"/>
              </w:rPr>
              <w:t xml:space="preserve">are available </w:t>
            </w:r>
            <w:r w:rsidR="006B014E">
              <w:rPr>
                <w:rFonts w:cs="Arial"/>
                <w:b/>
                <w:sz w:val="20"/>
                <w:szCs w:val="20"/>
              </w:rPr>
              <w:t>but</w:t>
            </w:r>
            <w:r w:rsidR="004E2E49">
              <w:rPr>
                <w:rFonts w:cs="Arial"/>
                <w:b/>
                <w:sz w:val="20"/>
                <w:szCs w:val="20"/>
              </w:rPr>
              <w:t xml:space="preserve"> there is </w:t>
            </w:r>
            <w:r w:rsidR="009C5D1F">
              <w:rPr>
                <w:rFonts w:cs="Arial"/>
                <w:b/>
                <w:sz w:val="20"/>
                <w:szCs w:val="20"/>
              </w:rPr>
              <w:t>no</w:t>
            </w:r>
            <w:r w:rsidR="006B014E">
              <w:rPr>
                <w:rFonts w:cs="Arial"/>
                <w:b/>
                <w:sz w:val="20"/>
                <w:szCs w:val="20"/>
              </w:rPr>
              <w:t xml:space="preserve"> information on </w:t>
            </w:r>
            <w:r w:rsidR="009C5D1F">
              <w:rPr>
                <w:rFonts w:cs="Arial"/>
                <w:b/>
                <w:sz w:val="20"/>
                <w:szCs w:val="20"/>
              </w:rPr>
              <w:t xml:space="preserve">discards (or wastage from processing at sea), </w:t>
            </w:r>
            <w:r w:rsidR="006B014E">
              <w:rPr>
                <w:rFonts w:cs="Arial"/>
                <w:b/>
                <w:sz w:val="20"/>
                <w:szCs w:val="20"/>
              </w:rPr>
              <w:t>recreational or indigenous harvest</w:t>
            </w:r>
            <w:r w:rsidR="004E2E49">
              <w:rPr>
                <w:rFonts w:cs="Arial"/>
                <w:b/>
                <w:sz w:val="20"/>
                <w:szCs w:val="20"/>
              </w:rPr>
              <w:t>.</w:t>
            </w:r>
          </w:p>
          <w:p w14:paraId="3183953D" w14:textId="6E685AA1" w:rsidR="006B014E" w:rsidRDefault="003B2B46" w:rsidP="005A1AB0">
            <w:pPr>
              <w:spacing w:beforeLines="60" w:before="144" w:afterLines="60" w:after="144" w:line="276" w:lineRule="auto"/>
              <w:rPr>
                <w:rFonts w:cs="Arial"/>
                <w:sz w:val="20"/>
                <w:szCs w:val="20"/>
                <w:lang w:eastAsia="en-AU"/>
              </w:rPr>
            </w:pPr>
            <w:r>
              <w:rPr>
                <w:rFonts w:cs="Arial"/>
                <w:sz w:val="20"/>
                <w:szCs w:val="20"/>
                <w:lang w:eastAsia="en-AU"/>
              </w:rPr>
              <w:t xml:space="preserve">There is compulsory logbook reporting of catch and effort for </w:t>
            </w:r>
            <w:r w:rsidR="00AA130A">
              <w:rPr>
                <w:rFonts w:cs="Arial"/>
                <w:sz w:val="20"/>
                <w:szCs w:val="20"/>
                <w:lang w:eastAsia="en-AU"/>
              </w:rPr>
              <w:t>most</w:t>
            </w:r>
            <w:r>
              <w:rPr>
                <w:rFonts w:cs="Arial"/>
                <w:sz w:val="20"/>
                <w:szCs w:val="20"/>
                <w:lang w:eastAsia="en-AU"/>
              </w:rPr>
              <w:t xml:space="preserve"> species in the fishery. </w:t>
            </w:r>
            <w:r w:rsidR="00042846">
              <w:rPr>
                <w:rFonts w:cs="Arial"/>
                <w:sz w:val="20"/>
                <w:szCs w:val="20"/>
                <w:lang w:eastAsia="en-AU"/>
              </w:rPr>
              <w:t>While there is no independent observer program</w:t>
            </w:r>
            <w:r w:rsidR="00080300">
              <w:rPr>
                <w:rFonts w:cs="Arial"/>
                <w:sz w:val="20"/>
                <w:szCs w:val="20"/>
                <w:lang w:eastAsia="en-AU"/>
              </w:rPr>
              <w:t xml:space="preserve">, fishers are </w:t>
            </w:r>
            <w:r w:rsidR="00B31836">
              <w:rPr>
                <w:rFonts w:cs="Arial"/>
                <w:sz w:val="20"/>
                <w:szCs w:val="20"/>
                <w:lang w:eastAsia="en-AU"/>
              </w:rPr>
              <w:t>required</w:t>
            </w:r>
            <w:r w:rsidR="00080300">
              <w:rPr>
                <w:rFonts w:cs="Arial"/>
                <w:sz w:val="20"/>
                <w:szCs w:val="20"/>
                <w:lang w:eastAsia="en-AU"/>
              </w:rPr>
              <w:t xml:space="preserve"> to notify QDAF in advance of landing their catch to allow for inspection.</w:t>
            </w:r>
          </w:p>
          <w:p w14:paraId="3F34B88C" w14:textId="07F416F2" w:rsidR="00A07E26" w:rsidRDefault="00A07E26" w:rsidP="005A1AB0">
            <w:pPr>
              <w:spacing w:beforeLines="60" w:before="144" w:afterLines="60" w:after="144" w:line="276" w:lineRule="auto"/>
              <w:rPr>
                <w:rFonts w:cs="Arial"/>
                <w:sz w:val="20"/>
                <w:szCs w:val="20"/>
              </w:rPr>
            </w:pPr>
            <w:r w:rsidRPr="00A7590A">
              <w:rPr>
                <w:rFonts w:cs="Arial"/>
                <w:sz w:val="20"/>
                <w:szCs w:val="20"/>
              </w:rPr>
              <w:t xml:space="preserve">There are two species of </w:t>
            </w:r>
            <w:proofErr w:type="spellStart"/>
            <w:r w:rsidRPr="00A7590A">
              <w:rPr>
                <w:rFonts w:cs="Arial"/>
                <w:sz w:val="20"/>
                <w:szCs w:val="20"/>
              </w:rPr>
              <w:t>Curryfish</w:t>
            </w:r>
            <w:proofErr w:type="spellEnd"/>
            <w:r w:rsidRPr="00A7590A">
              <w:rPr>
                <w:rFonts w:cs="Arial"/>
                <w:sz w:val="20"/>
                <w:szCs w:val="20"/>
              </w:rPr>
              <w:t xml:space="preserve"> harvested in the fishery: </w:t>
            </w:r>
            <w:proofErr w:type="spellStart"/>
            <w:r w:rsidRPr="00A7590A">
              <w:rPr>
                <w:rFonts w:cs="Arial"/>
                <w:i/>
                <w:iCs/>
                <w:sz w:val="20"/>
                <w:szCs w:val="20"/>
              </w:rPr>
              <w:t>Stichopus</w:t>
            </w:r>
            <w:proofErr w:type="spellEnd"/>
            <w:r w:rsidRPr="00A7590A">
              <w:rPr>
                <w:rFonts w:cs="Arial"/>
                <w:i/>
                <w:iCs/>
                <w:sz w:val="20"/>
                <w:szCs w:val="20"/>
              </w:rPr>
              <w:t xml:space="preserve"> </w:t>
            </w:r>
            <w:proofErr w:type="spellStart"/>
            <w:r w:rsidRPr="00A7590A">
              <w:rPr>
                <w:rFonts w:cs="Arial"/>
                <w:i/>
                <w:iCs/>
                <w:sz w:val="20"/>
                <w:szCs w:val="20"/>
              </w:rPr>
              <w:t>herrmanni</w:t>
            </w:r>
            <w:proofErr w:type="spellEnd"/>
            <w:r w:rsidRPr="00A7590A">
              <w:rPr>
                <w:rFonts w:cs="Arial"/>
                <w:sz w:val="20"/>
                <w:szCs w:val="20"/>
              </w:rPr>
              <w:t xml:space="preserve"> and </w:t>
            </w:r>
            <w:r w:rsidRPr="00A7590A">
              <w:rPr>
                <w:rFonts w:cs="Arial"/>
                <w:i/>
                <w:iCs/>
                <w:sz w:val="20"/>
                <w:szCs w:val="20"/>
              </w:rPr>
              <w:t>S. vastus</w:t>
            </w:r>
            <w:r w:rsidRPr="00A7590A">
              <w:rPr>
                <w:rFonts w:cs="Arial"/>
                <w:sz w:val="20"/>
                <w:szCs w:val="20"/>
              </w:rPr>
              <w:t xml:space="preserve">. </w:t>
            </w:r>
            <w:r w:rsidR="00144B94">
              <w:rPr>
                <w:rFonts w:cs="Arial"/>
                <w:sz w:val="20"/>
                <w:szCs w:val="20"/>
              </w:rPr>
              <w:t xml:space="preserve">The </w:t>
            </w:r>
            <w:r w:rsidRPr="00A7590A">
              <w:rPr>
                <w:rFonts w:cs="Arial"/>
                <w:sz w:val="20"/>
                <w:szCs w:val="20"/>
              </w:rPr>
              <w:t>Harvest Strategy</w:t>
            </w:r>
            <w:r w:rsidR="00144B94">
              <w:rPr>
                <w:rFonts w:cs="Arial"/>
                <w:sz w:val="20"/>
                <w:szCs w:val="20"/>
              </w:rPr>
              <w:t xml:space="preserve"> includes</w:t>
            </w:r>
            <w:r w:rsidR="00B32499">
              <w:rPr>
                <w:rFonts w:cs="Arial"/>
                <w:sz w:val="20"/>
                <w:szCs w:val="20"/>
              </w:rPr>
              <w:t xml:space="preserve"> </w:t>
            </w:r>
            <w:r w:rsidR="00144B94">
              <w:rPr>
                <w:rFonts w:cs="Arial"/>
                <w:sz w:val="20"/>
                <w:szCs w:val="20"/>
              </w:rPr>
              <w:t>TAC</w:t>
            </w:r>
            <w:r w:rsidR="00D94142">
              <w:rPr>
                <w:rFonts w:cs="Arial"/>
                <w:sz w:val="20"/>
                <w:szCs w:val="20"/>
              </w:rPr>
              <w:t xml:space="preserve"> </w:t>
            </w:r>
            <w:r w:rsidR="00F26A30">
              <w:rPr>
                <w:rFonts w:cs="Arial"/>
                <w:sz w:val="20"/>
                <w:szCs w:val="20"/>
              </w:rPr>
              <w:t>reference limits</w:t>
            </w:r>
            <w:r w:rsidR="00144B94">
              <w:rPr>
                <w:rFonts w:cs="Arial"/>
                <w:sz w:val="20"/>
                <w:szCs w:val="20"/>
              </w:rPr>
              <w:t xml:space="preserve"> for each species, </w:t>
            </w:r>
            <w:r w:rsidR="008546A0">
              <w:rPr>
                <w:rFonts w:cs="Arial"/>
                <w:sz w:val="20"/>
                <w:szCs w:val="20"/>
              </w:rPr>
              <w:t xml:space="preserve">25 t for </w:t>
            </w:r>
            <w:r w:rsidR="00144B94" w:rsidRPr="00A7590A">
              <w:rPr>
                <w:rFonts w:cs="Arial"/>
                <w:i/>
                <w:iCs/>
                <w:sz w:val="20"/>
                <w:szCs w:val="20"/>
              </w:rPr>
              <w:t>S. vastus</w:t>
            </w:r>
            <w:r w:rsidR="00B54A21">
              <w:rPr>
                <w:rFonts w:cs="Arial"/>
                <w:sz w:val="20"/>
                <w:szCs w:val="20"/>
              </w:rPr>
              <w:t xml:space="preserve"> and</w:t>
            </w:r>
            <w:r w:rsidR="008546A0">
              <w:rPr>
                <w:rFonts w:cs="Arial"/>
                <w:sz w:val="20"/>
                <w:szCs w:val="20"/>
              </w:rPr>
              <w:t xml:space="preserve"> 50 t for </w:t>
            </w:r>
            <w:r w:rsidR="00144B94" w:rsidRPr="00A7590A">
              <w:rPr>
                <w:rFonts w:cs="Arial"/>
                <w:i/>
                <w:iCs/>
                <w:sz w:val="20"/>
                <w:szCs w:val="20"/>
              </w:rPr>
              <w:t xml:space="preserve">S. </w:t>
            </w:r>
            <w:proofErr w:type="spellStart"/>
            <w:r w:rsidR="00144B94" w:rsidRPr="00A7590A">
              <w:rPr>
                <w:rFonts w:cs="Arial"/>
                <w:i/>
                <w:iCs/>
                <w:sz w:val="20"/>
                <w:szCs w:val="20"/>
              </w:rPr>
              <w:t>herrmanni</w:t>
            </w:r>
            <w:proofErr w:type="spellEnd"/>
            <w:r w:rsidR="00144B94" w:rsidRPr="00A7590A">
              <w:rPr>
                <w:rFonts w:cs="Arial"/>
                <w:sz w:val="20"/>
                <w:szCs w:val="20"/>
              </w:rPr>
              <w:t>.</w:t>
            </w:r>
            <w:r w:rsidR="00D94142">
              <w:rPr>
                <w:rFonts w:cs="Arial"/>
                <w:sz w:val="20"/>
                <w:szCs w:val="20"/>
              </w:rPr>
              <w:t xml:space="preserve"> R</w:t>
            </w:r>
            <w:r w:rsidRPr="00A7590A">
              <w:rPr>
                <w:rFonts w:cs="Arial"/>
                <w:sz w:val="20"/>
                <w:szCs w:val="20"/>
              </w:rPr>
              <w:t>ecent logbook reporting does not differentiate the species</w:t>
            </w:r>
            <w:r>
              <w:rPr>
                <w:rFonts w:cs="Arial"/>
                <w:sz w:val="20"/>
                <w:szCs w:val="20"/>
              </w:rPr>
              <w:t xml:space="preserve"> making those reference </w:t>
            </w:r>
            <w:r w:rsidR="00F26A30">
              <w:rPr>
                <w:rFonts w:cs="Arial"/>
                <w:sz w:val="20"/>
                <w:szCs w:val="20"/>
              </w:rPr>
              <w:t>limits</w:t>
            </w:r>
            <w:r>
              <w:rPr>
                <w:rFonts w:cs="Arial"/>
                <w:sz w:val="20"/>
                <w:szCs w:val="20"/>
              </w:rPr>
              <w:t xml:space="preserve"> less meaningful</w:t>
            </w:r>
            <w:r w:rsidRPr="00A7590A">
              <w:rPr>
                <w:rFonts w:cs="Arial"/>
                <w:sz w:val="20"/>
                <w:szCs w:val="20"/>
              </w:rPr>
              <w:t xml:space="preserve">. </w:t>
            </w:r>
            <w:r>
              <w:rPr>
                <w:rFonts w:cs="Arial"/>
                <w:sz w:val="20"/>
                <w:szCs w:val="20"/>
              </w:rPr>
              <w:t xml:space="preserve">Expert advice received </w:t>
            </w:r>
            <w:r w:rsidR="00064980">
              <w:rPr>
                <w:rFonts w:cs="Arial"/>
                <w:sz w:val="20"/>
                <w:szCs w:val="20"/>
              </w:rPr>
              <w:t>by</w:t>
            </w:r>
            <w:r>
              <w:rPr>
                <w:rFonts w:cs="Arial"/>
                <w:sz w:val="20"/>
                <w:szCs w:val="20"/>
              </w:rPr>
              <w:t xml:space="preserve"> the department</w:t>
            </w:r>
            <w:r w:rsidR="004B5F5E">
              <w:rPr>
                <w:rFonts w:cs="Arial"/>
                <w:sz w:val="20"/>
                <w:szCs w:val="20"/>
              </w:rPr>
              <w:t xml:space="preserve"> </w:t>
            </w:r>
            <w:r w:rsidRPr="00A7590A">
              <w:rPr>
                <w:rFonts w:cs="Arial"/>
                <w:sz w:val="20"/>
                <w:szCs w:val="20"/>
              </w:rPr>
              <w:t>noted a third species (</w:t>
            </w:r>
            <w:r w:rsidRPr="00A7590A">
              <w:rPr>
                <w:rFonts w:cs="Arial"/>
                <w:i/>
                <w:iCs/>
                <w:sz w:val="20"/>
                <w:szCs w:val="20"/>
              </w:rPr>
              <w:t>S. ocellatus</w:t>
            </w:r>
            <w:r w:rsidRPr="00A7590A">
              <w:rPr>
                <w:rFonts w:cs="Arial"/>
                <w:sz w:val="20"/>
                <w:szCs w:val="20"/>
              </w:rPr>
              <w:t>) that occurs in the fishery and may</w:t>
            </w:r>
            <w:r w:rsidR="00F26A30">
              <w:rPr>
                <w:rFonts w:cs="Arial"/>
                <w:sz w:val="20"/>
                <w:szCs w:val="20"/>
              </w:rPr>
              <w:t xml:space="preserve"> already</w:t>
            </w:r>
            <w:r w:rsidRPr="00A7590A">
              <w:rPr>
                <w:rFonts w:cs="Arial"/>
                <w:sz w:val="20"/>
                <w:szCs w:val="20"/>
              </w:rPr>
              <w:t xml:space="preserve"> be harvested </w:t>
            </w:r>
            <w:r>
              <w:rPr>
                <w:rFonts w:cs="Arial"/>
                <w:sz w:val="20"/>
                <w:szCs w:val="20"/>
              </w:rPr>
              <w:t xml:space="preserve">but </w:t>
            </w:r>
            <w:r w:rsidR="00F26A30">
              <w:rPr>
                <w:rFonts w:cs="Arial"/>
                <w:sz w:val="20"/>
                <w:szCs w:val="20"/>
              </w:rPr>
              <w:t>in unknown volumes</w:t>
            </w:r>
            <w:r w:rsidR="00884304">
              <w:rPr>
                <w:rFonts w:cs="Arial"/>
                <w:sz w:val="20"/>
                <w:szCs w:val="20"/>
              </w:rPr>
              <w:t xml:space="preserve"> due to the lack of </w:t>
            </w:r>
            <w:r w:rsidR="00A676B4">
              <w:rPr>
                <w:rFonts w:cs="Arial"/>
                <w:sz w:val="20"/>
                <w:szCs w:val="20"/>
              </w:rPr>
              <w:t>species-specific</w:t>
            </w:r>
            <w:r w:rsidR="00884304">
              <w:rPr>
                <w:rFonts w:cs="Arial"/>
                <w:sz w:val="20"/>
                <w:szCs w:val="20"/>
              </w:rPr>
              <w:t xml:space="preserve"> reporting for this species group</w:t>
            </w:r>
            <w:r w:rsidRPr="00A7590A">
              <w:rPr>
                <w:rFonts w:cs="Arial"/>
                <w:sz w:val="20"/>
                <w:szCs w:val="20"/>
              </w:rPr>
              <w:t>.</w:t>
            </w:r>
            <w:r w:rsidR="00064980" w:rsidRPr="00916A75">
              <w:rPr>
                <w:rFonts w:cs="Arial"/>
                <w:sz w:val="20"/>
                <w:szCs w:val="20"/>
              </w:rPr>
              <w:t xml:space="preserve"> </w:t>
            </w:r>
            <w:proofErr w:type="spellStart"/>
            <w:r w:rsidR="00064980" w:rsidRPr="00916A75">
              <w:rPr>
                <w:rFonts w:cs="Arial"/>
                <w:sz w:val="20"/>
                <w:szCs w:val="20"/>
              </w:rPr>
              <w:t>Cu</w:t>
            </w:r>
            <w:r w:rsidR="00064980" w:rsidRPr="00064980">
              <w:rPr>
                <w:rFonts w:cs="Arial"/>
                <w:sz w:val="20"/>
                <w:szCs w:val="20"/>
              </w:rPr>
              <w:t>rryfish</w:t>
            </w:r>
            <w:proofErr w:type="spellEnd"/>
            <w:r w:rsidR="00064980" w:rsidRPr="00064980">
              <w:rPr>
                <w:rFonts w:cs="Arial"/>
                <w:sz w:val="20"/>
                <w:szCs w:val="20"/>
              </w:rPr>
              <w:t xml:space="preserve"> catches increased rapidly at an average annual pace of 200% from 2007</w:t>
            </w:r>
            <w:r w:rsidR="002923D9">
              <w:rPr>
                <w:rFonts w:cs="Arial"/>
                <w:sz w:val="20"/>
                <w:szCs w:val="20"/>
              </w:rPr>
              <w:t xml:space="preserve"> to 20</w:t>
            </w:r>
            <w:r w:rsidR="00064980" w:rsidRPr="00064980">
              <w:rPr>
                <w:rFonts w:cs="Arial"/>
                <w:sz w:val="20"/>
                <w:szCs w:val="20"/>
              </w:rPr>
              <w:t>11. Th</w:t>
            </w:r>
            <w:r w:rsidR="002923D9">
              <w:rPr>
                <w:rFonts w:cs="Arial"/>
                <w:sz w:val="20"/>
                <w:szCs w:val="20"/>
              </w:rPr>
              <w:t>ese increases</w:t>
            </w:r>
            <w:r w:rsidR="00064980" w:rsidRPr="00064980">
              <w:rPr>
                <w:rFonts w:cs="Arial"/>
                <w:sz w:val="20"/>
                <w:szCs w:val="20"/>
              </w:rPr>
              <w:t xml:space="preserve"> occurred in the absence of baseline studies</w:t>
            </w:r>
            <w:r w:rsidR="004033D8">
              <w:rPr>
                <w:rFonts w:cs="Arial"/>
                <w:sz w:val="20"/>
                <w:szCs w:val="20"/>
              </w:rPr>
              <w:t xml:space="preserve">, </w:t>
            </w:r>
            <w:r w:rsidR="00064980" w:rsidRPr="00064980">
              <w:rPr>
                <w:rFonts w:cs="Arial"/>
                <w:sz w:val="20"/>
                <w:szCs w:val="20"/>
              </w:rPr>
              <w:t xml:space="preserve">independent resource assessments, </w:t>
            </w:r>
            <w:r w:rsidR="0039759E">
              <w:rPr>
                <w:rFonts w:cs="Arial"/>
                <w:sz w:val="20"/>
                <w:szCs w:val="20"/>
              </w:rPr>
              <w:t xml:space="preserve">or </w:t>
            </w:r>
            <w:r w:rsidR="002C0B30">
              <w:rPr>
                <w:rFonts w:cs="Arial"/>
                <w:sz w:val="20"/>
                <w:szCs w:val="20"/>
              </w:rPr>
              <w:t xml:space="preserve">other </w:t>
            </w:r>
            <w:r w:rsidR="00064980" w:rsidRPr="00064980">
              <w:rPr>
                <w:rFonts w:cs="Arial"/>
                <w:sz w:val="20"/>
                <w:szCs w:val="20"/>
              </w:rPr>
              <w:t>information required to determine fishery impacts</w:t>
            </w:r>
            <w:r w:rsidR="00064980">
              <w:rPr>
                <w:rFonts w:cs="Arial"/>
                <w:sz w:val="20"/>
                <w:szCs w:val="20"/>
              </w:rPr>
              <w:t xml:space="preserve"> (Eriksson, 2015)</w:t>
            </w:r>
            <w:r w:rsidR="00064980" w:rsidRPr="00064980">
              <w:rPr>
                <w:rFonts w:cs="Arial"/>
                <w:sz w:val="20"/>
                <w:szCs w:val="20"/>
              </w:rPr>
              <w:t>.</w:t>
            </w:r>
          </w:p>
          <w:p w14:paraId="2A30031D" w14:textId="68E9EDCF" w:rsidR="00840837" w:rsidRDefault="0077302B" w:rsidP="005A1AB0">
            <w:pPr>
              <w:spacing w:beforeLines="60" w:before="144" w:afterLines="60" w:after="144" w:line="276" w:lineRule="auto"/>
              <w:rPr>
                <w:rFonts w:cs="Arial"/>
                <w:sz w:val="20"/>
                <w:szCs w:val="20"/>
                <w:lang w:eastAsia="en-AU"/>
              </w:rPr>
            </w:pPr>
            <w:r>
              <w:rPr>
                <w:rFonts w:cs="Arial"/>
                <w:sz w:val="20"/>
                <w:szCs w:val="20"/>
                <w:lang w:eastAsia="en-AU"/>
              </w:rPr>
              <w:t xml:space="preserve">The level of recreational harvest of sea cucumbers is </w:t>
            </w:r>
            <w:r w:rsidR="00064980">
              <w:rPr>
                <w:rFonts w:cs="Arial"/>
                <w:sz w:val="20"/>
                <w:szCs w:val="20"/>
                <w:lang w:eastAsia="en-AU"/>
              </w:rPr>
              <w:t>expected to be low as most harvest of th</w:t>
            </w:r>
            <w:r w:rsidR="00857233">
              <w:rPr>
                <w:rFonts w:cs="Arial"/>
                <w:sz w:val="20"/>
                <w:szCs w:val="20"/>
                <w:lang w:eastAsia="en-AU"/>
              </w:rPr>
              <w:t>ese</w:t>
            </w:r>
            <w:r w:rsidR="00064980">
              <w:rPr>
                <w:rFonts w:cs="Arial"/>
                <w:sz w:val="20"/>
                <w:szCs w:val="20"/>
                <w:lang w:eastAsia="en-AU"/>
              </w:rPr>
              <w:t xml:space="preserve"> species </w:t>
            </w:r>
            <w:proofErr w:type="gramStart"/>
            <w:r w:rsidR="00064980">
              <w:rPr>
                <w:rFonts w:cs="Arial"/>
                <w:sz w:val="20"/>
                <w:szCs w:val="20"/>
                <w:lang w:eastAsia="en-AU"/>
              </w:rPr>
              <w:t>are</w:t>
            </w:r>
            <w:proofErr w:type="gramEnd"/>
            <w:r w:rsidR="00064980">
              <w:rPr>
                <w:rFonts w:cs="Arial"/>
                <w:sz w:val="20"/>
                <w:szCs w:val="20"/>
                <w:lang w:eastAsia="en-AU"/>
              </w:rPr>
              <w:t xml:space="preserve"> aimed at the export market</w:t>
            </w:r>
            <w:r>
              <w:rPr>
                <w:rFonts w:cs="Arial"/>
                <w:sz w:val="20"/>
                <w:szCs w:val="20"/>
                <w:lang w:eastAsia="en-AU"/>
              </w:rPr>
              <w:t>.</w:t>
            </w:r>
            <w:r w:rsidR="00CA603D">
              <w:rPr>
                <w:rFonts w:cs="Arial"/>
                <w:sz w:val="20"/>
                <w:szCs w:val="20"/>
                <w:lang w:eastAsia="en-AU"/>
              </w:rPr>
              <w:t xml:space="preserve"> The ERA indicates recreational harvest is calculated from </w:t>
            </w:r>
            <w:r w:rsidR="00A95019">
              <w:rPr>
                <w:rFonts w:cs="Arial"/>
                <w:sz w:val="20"/>
                <w:szCs w:val="20"/>
                <w:lang w:eastAsia="en-AU"/>
              </w:rPr>
              <w:t>“</w:t>
            </w:r>
            <w:r w:rsidR="003C34ED">
              <w:rPr>
                <w:rFonts w:cs="Arial"/>
                <w:sz w:val="20"/>
                <w:szCs w:val="20"/>
                <w:lang w:eastAsia="en-AU"/>
              </w:rPr>
              <w:t xml:space="preserve">infrequent </w:t>
            </w:r>
            <w:r w:rsidR="00A95019">
              <w:rPr>
                <w:rFonts w:cs="Arial"/>
                <w:sz w:val="20"/>
                <w:szCs w:val="20"/>
                <w:lang w:eastAsia="en-AU"/>
              </w:rPr>
              <w:t xml:space="preserve">voluntary fisher surveys” and surveys </w:t>
            </w:r>
            <w:r w:rsidR="008E61CB">
              <w:rPr>
                <w:rFonts w:cs="Arial"/>
                <w:sz w:val="20"/>
                <w:szCs w:val="20"/>
                <w:lang w:eastAsia="en-AU"/>
              </w:rPr>
              <w:t xml:space="preserve">since 2009 have not </w:t>
            </w:r>
            <w:r w:rsidR="009E54DB">
              <w:rPr>
                <w:rFonts w:cs="Arial"/>
                <w:sz w:val="20"/>
                <w:szCs w:val="20"/>
                <w:lang w:eastAsia="en-AU"/>
              </w:rPr>
              <w:t>included</w:t>
            </w:r>
            <w:r w:rsidR="00741EE1">
              <w:rPr>
                <w:rFonts w:cs="Arial"/>
                <w:sz w:val="20"/>
                <w:szCs w:val="20"/>
                <w:lang w:eastAsia="en-AU"/>
              </w:rPr>
              <w:t xml:space="preserve"> </w:t>
            </w:r>
            <w:r w:rsidR="00F93E5A">
              <w:rPr>
                <w:rFonts w:cs="Arial"/>
                <w:sz w:val="20"/>
                <w:szCs w:val="20"/>
                <w:lang w:eastAsia="en-AU"/>
              </w:rPr>
              <w:t>recreational harvest of sea cucumbers.</w:t>
            </w:r>
            <w:r w:rsidR="00517D90">
              <w:rPr>
                <w:rFonts w:cs="Arial"/>
                <w:sz w:val="20"/>
                <w:szCs w:val="20"/>
                <w:lang w:eastAsia="en-AU"/>
              </w:rPr>
              <w:t xml:space="preserve"> </w:t>
            </w:r>
            <w:r w:rsidR="00741EE1">
              <w:rPr>
                <w:rFonts w:cs="Arial"/>
                <w:sz w:val="20"/>
                <w:szCs w:val="20"/>
                <w:lang w:eastAsia="en-AU"/>
              </w:rPr>
              <w:t>However, t</w:t>
            </w:r>
            <w:r w:rsidR="00B31836">
              <w:rPr>
                <w:rFonts w:cs="Arial"/>
                <w:sz w:val="20"/>
                <w:szCs w:val="20"/>
                <w:lang w:eastAsia="en-AU"/>
              </w:rPr>
              <w:t xml:space="preserve">here are limits in place on the harvest of sea cucumbers </w:t>
            </w:r>
            <w:r w:rsidR="00D73AEE">
              <w:rPr>
                <w:rFonts w:cs="Arial"/>
                <w:sz w:val="20"/>
                <w:szCs w:val="20"/>
                <w:lang w:eastAsia="en-AU"/>
              </w:rPr>
              <w:t>by recreational fishers</w:t>
            </w:r>
            <w:r w:rsidR="00840837">
              <w:rPr>
                <w:rFonts w:cs="Arial"/>
                <w:sz w:val="20"/>
                <w:szCs w:val="20"/>
                <w:lang w:eastAsia="en-AU"/>
              </w:rPr>
              <w:t xml:space="preserve"> including</w:t>
            </w:r>
            <w:r w:rsidR="00741EE1">
              <w:rPr>
                <w:rFonts w:cs="Arial"/>
                <w:sz w:val="20"/>
                <w:szCs w:val="20"/>
                <w:lang w:eastAsia="en-AU"/>
              </w:rPr>
              <w:t>:</w:t>
            </w:r>
          </w:p>
          <w:p w14:paraId="0DAD368D" w14:textId="390BADB8" w:rsidR="00840837" w:rsidRDefault="00411068" w:rsidP="005A1AB0">
            <w:pPr>
              <w:pStyle w:val="ListParagraph"/>
              <w:numPr>
                <w:ilvl w:val="0"/>
                <w:numId w:val="13"/>
              </w:numPr>
              <w:spacing w:beforeLines="60" w:before="144" w:afterLines="60" w:after="144" w:line="276" w:lineRule="auto"/>
              <w:rPr>
                <w:rFonts w:cs="Arial"/>
                <w:sz w:val="20"/>
                <w:szCs w:val="20"/>
                <w:lang w:eastAsia="en-AU"/>
              </w:rPr>
            </w:pPr>
            <w:r w:rsidRPr="00840837">
              <w:rPr>
                <w:rFonts w:cs="Arial"/>
                <w:sz w:val="20"/>
                <w:szCs w:val="20"/>
                <w:lang w:eastAsia="en-AU"/>
              </w:rPr>
              <w:t>Q</w:t>
            </w:r>
            <w:r w:rsidR="00741EE1">
              <w:rPr>
                <w:rFonts w:cs="Arial"/>
                <w:sz w:val="20"/>
                <w:szCs w:val="20"/>
                <w:lang w:eastAsia="en-AU"/>
              </w:rPr>
              <w:t>ld</w:t>
            </w:r>
            <w:r w:rsidRPr="00840837">
              <w:rPr>
                <w:rFonts w:cs="Arial"/>
                <w:sz w:val="20"/>
                <w:szCs w:val="20"/>
                <w:lang w:eastAsia="en-AU"/>
              </w:rPr>
              <w:t xml:space="preserve"> waters south from </w:t>
            </w:r>
            <w:r w:rsidR="004B627B" w:rsidRPr="00840837">
              <w:rPr>
                <w:rFonts w:cs="Arial"/>
                <w:sz w:val="20"/>
                <w:szCs w:val="20"/>
                <w:lang w:eastAsia="en-AU"/>
              </w:rPr>
              <w:t xml:space="preserve">Bowen </w:t>
            </w:r>
            <w:r w:rsidR="009D1DDF">
              <w:rPr>
                <w:rFonts w:cs="Arial"/>
                <w:sz w:val="20"/>
                <w:szCs w:val="20"/>
                <w:lang w:eastAsia="en-AU"/>
              </w:rPr>
              <w:t>are</w:t>
            </w:r>
            <w:r w:rsidR="004B627B" w:rsidRPr="00840837">
              <w:rPr>
                <w:rFonts w:cs="Arial"/>
                <w:sz w:val="20"/>
                <w:szCs w:val="20"/>
                <w:lang w:eastAsia="en-AU"/>
              </w:rPr>
              <w:t xml:space="preserve"> closed to recreational harvest.</w:t>
            </w:r>
            <w:r w:rsidR="006E40E8" w:rsidRPr="00840837">
              <w:rPr>
                <w:rFonts w:cs="Arial"/>
                <w:sz w:val="20"/>
                <w:szCs w:val="20"/>
                <w:lang w:eastAsia="en-AU"/>
              </w:rPr>
              <w:t xml:space="preserve"> </w:t>
            </w:r>
          </w:p>
          <w:p w14:paraId="4B17EC7C" w14:textId="19D2BE4D" w:rsidR="00B31836" w:rsidRDefault="00A8245E" w:rsidP="005A1AB0">
            <w:pPr>
              <w:pStyle w:val="ListParagraph"/>
              <w:numPr>
                <w:ilvl w:val="0"/>
                <w:numId w:val="13"/>
              </w:numPr>
              <w:spacing w:beforeLines="60" w:before="144" w:afterLines="60" w:after="144" w:line="276" w:lineRule="auto"/>
              <w:rPr>
                <w:rFonts w:cs="Arial"/>
                <w:sz w:val="20"/>
                <w:szCs w:val="20"/>
                <w:lang w:eastAsia="en-AU"/>
              </w:rPr>
            </w:pPr>
            <w:r>
              <w:rPr>
                <w:rFonts w:cs="Arial"/>
                <w:sz w:val="20"/>
                <w:szCs w:val="20"/>
                <w:lang w:eastAsia="en-AU"/>
              </w:rPr>
              <w:t>G</w:t>
            </w:r>
            <w:r w:rsidR="006E40E8" w:rsidRPr="00840837">
              <w:rPr>
                <w:rFonts w:cs="Arial"/>
                <w:sz w:val="20"/>
                <w:szCs w:val="20"/>
                <w:lang w:eastAsia="en-AU"/>
              </w:rPr>
              <w:t>ear restriction</w:t>
            </w:r>
            <w:r>
              <w:rPr>
                <w:rFonts w:cs="Arial"/>
                <w:sz w:val="20"/>
                <w:szCs w:val="20"/>
                <w:lang w:eastAsia="en-AU"/>
              </w:rPr>
              <w:t>s</w:t>
            </w:r>
            <w:r w:rsidR="006E40E8" w:rsidRPr="00840837">
              <w:rPr>
                <w:rFonts w:cs="Arial"/>
                <w:sz w:val="20"/>
                <w:szCs w:val="20"/>
                <w:lang w:eastAsia="en-AU"/>
              </w:rPr>
              <w:t xml:space="preserve"> limit the use of </w:t>
            </w:r>
            <w:r w:rsidR="00840837" w:rsidRPr="00840837">
              <w:rPr>
                <w:rFonts w:cs="Arial"/>
                <w:sz w:val="20"/>
                <w:szCs w:val="20"/>
                <w:lang w:eastAsia="en-AU"/>
              </w:rPr>
              <w:t xml:space="preserve">underwater breathing apparatus. </w:t>
            </w:r>
            <w:r w:rsidR="004B627B" w:rsidRPr="00840837">
              <w:rPr>
                <w:rFonts w:cs="Arial"/>
                <w:sz w:val="20"/>
                <w:szCs w:val="20"/>
                <w:lang w:eastAsia="en-AU"/>
              </w:rPr>
              <w:t xml:space="preserve"> </w:t>
            </w:r>
          </w:p>
          <w:p w14:paraId="5E30A89E" w14:textId="1014313B" w:rsidR="000B6BD4" w:rsidRDefault="000B6BD4" w:rsidP="005A1AB0">
            <w:pPr>
              <w:pStyle w:val="ListParagraph"/>
              <w:numPr>
                <w:ilvl w:val="0"/>
                <w:numId w:val="13"/>
              </w:numPr>
              <w:spacing w:beforeLines="60" w:before="144" w:afterLines="60" w:after="144" w:line="276" w:lineRule="auto"/>
              <w:rPr>
                <w:rFonts w:cs="Arial"/>
                <w:sz w:val="20"/>
                <w:szCs w:val="20"/>
                <w:lang w:eastAsia="en-AU"/>
              </w:rPr>
            </w:pPr>
            <w:r>
              <w:rPr>
                <w:rFonts w:cs="Arial"/>
                <w:sz w:val="20"/>
                <w:szCs w:val="20"/>
                <w:lang w:eastAsia="en-AU"/>
              </w:rPr>
              <w:t>Possession limits of 5 individuals (10 per boat)</w:t>
            </w:r>
            <w:r w:rsidR="009D1DDF">
              <w:rPr>
                <w:rFonts w:cs="Arial"/>
                <w:sz w:val="20"/>
                <w:szCs w:val="20"/>
                <w:lang w:eastAsia="en-AU"/>
              </w:rPr>
              <w:t>.</w:t>
            </w:r>
          </w:p>
          <w:p w14:paraId="0C2F407A" w14:textId="41A821DA" w:rsidR="00D610DE" w:rsidRDefault="00503651" w:rsidP="005A1AB0">
            <w:pPr>
              <w:pStyle w:val="ListParagraph"/>
              <w:numPr>
                <w:ilvl w:val="0"/>
                <w:numId w:val="13"/>
              </w:numPr>
              <w:spacing w:beforeLines="60" w:before="144" w:afterLines="60" w:after="144" w:line="276" w:lineRule="auto"/>
              <w:rPr>
                <w:rFonts w:cs="Arial"/>
                <w:sz w:val="20"/>
                <w:szCs w:val="20"/>
                <w:lang w:eastAsia="en-AU"/>
              </w:rPr>
            </w:pPr>
            <w:r>
              <w:rPr>
                <w:rFonts w:cs="Arial"/>
                <w:sz w:val="20"/>
                <w:szCs w:val="20"/>
                <w:lang w:eastAsia="en-AU"/>
              </w:rPr>
              <w:t xml:space="preserve">Black </w:t>
            </w:r>
            <w:proofErr w:type="spellStart"/>
            <w:r w:rsidR="009D1DDF">
              <w:rPr>
                <w:rFonts w:cs="Arial"/>
                <w:sz w:val="20"/>
                <w:szCs w:val="20"/>
                <w:lang w:eastAsia="en-AU"/>
              </w:rPr>
              <w:t>T</w:t>
            </w:r>
            <w:r>
              <w:rPr>
                <w:rFonts w:cs="Arial"/>
                <w:sz w:val="20"/>
                <w:szCs w:val="20"/>
                <w:lang w:eastAsia="en-AU"/>
              </w:rPr>
              <w:t>eatfish</w:t>
            </w:r>
            <w:proofErr w:type="spellEnd"/>
            <w:r>
              <w:rPr>
                <w:rFonts w:cs="Arial"/>
                <w:sz w:val="20"/>
                <w:szCs w:val="20"/>
                <w:lang w:eastAsia="en-AU"/>
              </w:rPr>
              <w:t xml:space="preserve"> and </w:t>
            </w:r>
            <w:r w:rsidR="009D1DDF">
              <w:rPr>
                <w:rFonts w:cs="Arial"/>
                <w:sz w:val="20"/>
                <w:szCs w:val="20"/>
                <w:lang w:eastAsia="en-AU"/>
              </w:rPr>
              <w:t>W</w:t>
            </w:r>
            <w:r>
              <w:rPr>
                <w:rFonts w:cs="Arial"/>
                <w:sz w:val="20"/>
                <w:szCs w:val="20"/>
                <w:lang w:eastAsia="en-AU"/>
              </w:rPr>
              <w:t xml:space="preserve">hite </w:t>
            </w:r>
            <w:proofErr w:type="spellStart"/>
            <w:r w:rsidR="009D1DDF">
              <w:rPr>
                <w:rFonts w:cs="Arial"/>
                <w:sz w:val="20"/>
                <w:szCs w:val="20"/>
                <w:lang w:eastAsia="en-AU"/>
              </w:rPr>
              <w:t>T</w:t>
            </w:r>
            <w:r>
              <w:rPr>
                <w:rFonts w:cs="Arial"/>
                <w:sz w:val="20"/>
                <w:szCs w:val="20"/>
                <w:lang w:eastAsia="en-AU"/>
              </w:rPr>
              <w:t>eatfish</w:t>
            </w:r>
            <w:proofErr w:type="spellEnd"/>
            <w:r>
              <w:rPr>
                <w:rFonts w:cs="Arial"/>
                <w:sz w:val="20"/>
                <w:szCs w:val="20"/>
                <w:lang w:eastAsia="en-AU"/>
              </w:rPr>
              <w:t xml:space="preserve"> are no-take species</w:t>
            </w:r>
            <w:r w:rsidR="00900977">
              <w:rPr>
                <w:rFonts w:cs="Arial"/>
                <w:sz w:val="20"/>
                <w:szCs w:val="20"/>
                <w:lang w:eastAsia="en-AU"/>
              </w:rPr>
              <w:t>.</w:t>
            </w:r>
          </w:p>
          <w:p w14:paraId="646AE753" w14:textId="52D9311B" w:rsidR="00840837" w:rsidRDefault="00D610DE" w:rsidP="005A1AB0">
            <w:pPr>
              <w:spacing w:beforeLines="60" w:before="144" w:afterLines="60" w:after="144" w:line="276" w:lineRule="auto"/>
              <w:rPr>
                <w:rFonts w:cs="Arial"/>
                <w:sz w:val="20"/>
                <w:szCs w:val="20"/>
                <w:lang w:eastAsia="en-AU"/>
              </w:rPr>
            </w:pPr>
            <w:r>
              <w:rPr>
                <w:rFonts w:cs="Arial"/>
                <w:sz w:val="20"/>
                <w:szCs w:val="20"/>
                <w:lang w:eastAsia="en-AU"/>
              </w:rPr>
              <w:t>While there is insufficient information to quantify recreational harvest</w:t>
            </w:r>
            <w:r w:rsidR="001376C7">
              <w:rPr>
                <w:rFonts w:cs="Arial"/>
                <w:sz w:val="20"/>
                <w:szCs w:val="20"/>
                <w:lang w:eastAsia="en-AU"/>
              </w:rPr>
              <w:t xml:space="preserve">, </w:t>
            </w:r>
            <w:r w:rsidR="00E2442E">
              <w:rPr>
                <w:rFonts w:cs="Arial"/>
                <w:sz w:val="20"/>
                <w:szCs w:val="20"/>
                <w:lang w:eastAsia="en-AU"/>
              </w:rPr>
              <w:t>the above</w:t>
            </w:r>
            <w:r w:rsidR="001376C7">
              <w:rPr>
                <w:rFonts w:cs="Arial"/>
                <w:sz w:val="20"/>
                <w:szCs w:val="20"/>
                <w:lang w:eastAsia="en-AU"/>
              </w:rPr>
              <w:t xml:space="preserve"> restriction</w:t>
            </w:r>
            <w:r w:rsidR="00E2442E">
              <w:rPr>
                <w:rFonts w:cs="Arial"/>
                <w:sz w:val="20"/>
                <w:szCs w:val="20"/>
                <w:lang w:eastAsia="en-AU"/>
              </w:rPr>
              <w:t xml:space="preserve">s are likely to ensure it is </w:t>
            </w:r>
            <w:r w:rsidR="001376C7">
              <w:rPr>
                <w:rFonts w:cs="Arial"/>
                <w:sz w:val="20"/>
                <w:szCs w:val="20"/>
                <w:lang w:eastAsia="en-AU"/>
              </w:rPr>
              <w:t xml:space="preserve">small </w:t>
            </w:r>
            <w:r w:rsidR="0036297E">
              <w:rPr>
                <w:rFonts w:cs="Arial"/>
                <w:sz w:val="20"/>
                <w:szCs w:val="20"/>
                <w:lang w:eastAsia="en-AU"/>
              </w:rPr>
              <w:t>compared with t</w:t>
            </w:r>
            <w:r w:rsidR="001376C7">
              <w:rPr>
                <w:rFonts w:cs="Arial"/>
                <w:sz w:val="20"/>
                <w:szCs w:val="20"/>
                <w:lang w:eastAsia="en-AU"/>
              </w:rPr>
              <w:t xml:space="preserve">he commercial sector. </w:t>
            </w:r>
          </w:p>
          <w:p w14:paraId="7647E613" w14:textId="50DAEDFB" w:rsidR="00885298" w:rsidRPr="00433FCA" w:rsidRDefault="00E2794A" w:rsidP="005A1AB0">
            <w:pPr>
              <w:spacing w:beforeLines="60" w:before="144" w:afterLines="60" w:after="144" w:line="276" w:lineRule="auto"/>
              <w:rPr>
                <w:rFonts w:cs="Arial"/>
                <w:sz w:val="20"/>
                <w:szCs w:val="20"/>
                <w:lang w:eastAsia="en-AU"/>
              </w:rPr>
            </w:pPr>
            <w:r>
              <w:rPr>
                <w:rFonts w:cs="Arial"/>
                <w:sz w:val="20"/>
                <w:szCs w:val="20"/>
                <w:lang w:eastAsia="en-AU"/>
              </w:rPr>
              <w:t xml:space="preserve">Indigenous harvest of sea cucumber species has not been calculated. </w:t>
            </w:r>
          </w:p>
        </w:tc>
      </w:tr>
      <w:tr w:rsidR="00885298" w:rsidRPr="00433FCA" w14:paraId="4048E040" w14:textId="77777777" w:rsidTr="00DA00BD">
        <w:trPr>
          <w:cantSplit/>
        </w:trPr>
        <w:tc>
          <w:tcPr>
            <w:tcW w:w="1500" w:type="pct"/>
            <w:shd w:val="clear" w:color="auto" w:fill="FFC000"/>
          </w:tcPr>
          <w:p w14:paraId="413B5EF5" w14:textId="77777777"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lastRenderedPageBreak/>
              <w:t xml:space="preserve">1.1.5 </w:t>
            </w:r>
            <w:r w:rsidRPr="00433FCA">
              <w:rPr>
                <w:rFonts w:cs="Arial"/>
                <w:sz w:val="20"/>
                <w:szCs w:val="20"/>
              </w:rPr>
              <w:t>There is a sound estimate of the potential productivity of the fished stock/s and the prop</w:t>
            </w:r>
            <w:r w:rsidR="006B6EF9" w:rsidRPr="00433FCA">
              <w:rPr>
                <w:rFonts w:cs="Arial"/>
                <w:sz w:val="20"/>
                <w:szCs w:val="20"/>
              </w:rPr>
              <w:t>ortion that could be harvested.</w:t>
            </w:r>
          </w:p>
          <w:p w14:paraId="1E766E2B" w14:textId="5EB12E47"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34E340CA" w14:textId="25DD568E" w:rsidR="005869AD" w:rsidRDefault="005869AD" w:rsidP="00762740">
            <w:pPr>
              <w:spacing w:beforeLines="60" w:before="144" w:afterLines="60" w:after="144" w:line="276" w:lineRule="auto"/>
              <w:contextualSpacing/>
              <w:rPr>
                <w:rFonts w:cs="Arial"/>
                <w:b/>
                <w:sz w:val="20"/>
                <w:szCs w:val="20"/>
              </w:rPr>
            </w:pPr>
            <w:r w:rsidRPr="00633F61">
              <w:rPr>
                <w:rFonts w:cs="Arial"/>
                <w:b/>
                <w:sz w:val="20"/>
                <w:szCs w:val="20"/>
              </w:rPr>
              <w:t xml:space="preserve">Partially meets </w:t>
            </w:r>
            <w:r w:rsidRPr="00FA1BF3">
              <w:rPr>
                <w:rFonts w:cs="Arial"/>
                <w:b/>
                <w:sz w:val="20"/>
                <w:szCs w:val="20"/>
              </w:rPr>
              <w:t xml:space="preserve">– </w:t>
            </w:r>
            <w:r w:rsidR="000973A1" w:rsidRPr="00FA1BF3">
              <w:rPr>
                <w:rFonts w:cs="Arial"/>
                <w:b/>
                <w:sz w:val="20"/>
                <w:szCs w:val="20"/>
              </w:rPr>
              <w:t xml:space="preserve">Stock assessment models have been prepared for </w:t>
            </w:r>
            <w:r w:rsidR="008C6396" w:rsidRPr="00FA1BF3">
              <w:rPr>
                <w:rFonts w:cs="Arial"/>
                <w:b/>
                <w:sz w:val="20"/>
                <w:szCs w:val="20"/>
              </w:rPr>
              <w:t>two of the tier 1 species</w:t>
            </w:r>
            <w:r w:rsidR="004F6CC7" w:rsidRPr="00FA1BF3">
              <w:rPr>
                <w:rFonts w:cs="Arial"/>
                <w:b/>
                <w:sz w:val="20"/>
                <w:szCs w:val="20"/>
              </w:rPr>
              <w:t>,</w:t>
            </w:r>
            <w:r w:rsidR="000973A1" w:rsidRPr="00FA1BF3">
              <w:rPr>
                <w:rFonts w:cs="Arial"/>
                <w:b/>
                <w:sz w:val="20"/>
                <w:szCs w:val="20"/>
              </w:rPr>
              <w:t xml:space="preserve"> </w:t>
            </w:r>
            <w:r w:rsidR="004F6CC7" w:rsidRPr="00FA1BF3">
              <w:rPr>
                <w:rFonts w:cs="Arial"/>
                <w:b/>
                <w:sz w:val="20"/>
                <w:szCs w:val="20"/>
              </w:rPr>
              <w:t>p</w:t>
            </w:r>
            <w:r w:rsidR="00C74B33" w:rsidRPr="00FA1BF3">
              <w:rPr>
                <w:rFonts w:cs="Arial"/>
                <w:b/>
                <w:sz w:val="20"/>
                <w:szCs w:val="20"/>
              </w:rPr>
              <w:t>roductivity is currently estimated</w:t>
            </w:r>
            <w:r w:rsidR="004F6CC7" w:rsidRPr="00FA1BF3">
              <w:rPr>
                <w:rFonts w:cs="Arial"/>
                <w:b/>
                <w:sz w:val="20"/>
                <w:szCs w:val="20"/>
              </w:rPr>
              <w:t xml:space="preserve"> for other species</w:t>
            </w:r>
            <w:r w:rsidR="00C74B33" w:rsidRPr="00FA1BF3">
              <w:rPr>
                <w:rFonts w:cs="Arial"/>
                <w:b/>
                <w:sz w:val="20"/>
                <w:szCs w:val="20"/>
              </w:rPr>
              <w:t>.</w:t>
            </w:r>
            <w:r w:rsidR="00C74B33" w:rsidRPr="00433FCA">
              <w:rPr>
                <w:rFonts w:cs="Arial"/>
                <w:b/>
                <w:sz w:val="20"/>
                <w:szCs w:val="20"/>
              </w:rPr>
              <w:t xml:space="preserve"> </w:t>
            </w:r>
          </w:p>
          <w:p w14:paraId="22DC1804" w14:textId="1A2F99AE" w:rsidR="00907CEE" w:rsidRDefault="00486340" w:rsidP="005A1AB0">
            <w:pPr>
              <w:spacing w:beforeLines="60" w:before="144" w:afterLines="60" w:after="144" w:line="276" w:lineRule="auto"/>
              <w:rPr>
                <w:rFonts w:cs="Arial"/>
                <w:bCs/>
                <w:sz w:val="20"/>
                <w:szCs w:val="20"/>
              </w:rPr>
            </w:pPr>
            <w:r>
              <w:rPr>
                <w:rFonts w:cs="Arial"/>
                <w:bCs/>
                <w:sz w:val="20"/>
                <w:szCs w:val="20"/>
              </w:rPr>
              <w:t xml:space="preserve">Stock assessment models have been prepared for </w:t>
            </w:r>
            <w:r w:rsidR="00C555DE">
              <w:rPr>
                <w:rFonts w:cs="Arial"/>
                <w:bCs/>
                <w:sz w:val="20"/>
                <w:szCs w:val="20"/>
              </w:rPr>
              <w:t xml:space="preserve">Black </w:t>
            </w:r>
            <w:proofErr w:type="spellStart"/>
            <w:r w:rsidR="00C555DE">
              <w:rPr>
                <w:rFonts w:cs="Arial"/>
                <w:bCs/>
                <w:sz w:val="20"/>
                <w:szCs w:val="20"/>
              </w:rPr>
              <w:t>Teatfish</w:t>
            </w:r>
            <w:proofErr w:type="spellEnd"/>
            <w:r w:rsidR="00C555DE">
              <w:rPr>
                <w:rFonts w:cs="Arial"/>
                <w:bCs/>
                <w:sz w:val="20"/>
                <w:szCs w:val="20"/>
              </w:rPr>
              <w:t xml:space="preserve"> and White </w:t>
            </w:r>
            <w:proofErr w:type="spellStart"/>
            <w:r w:rsidR="00C555DE">
              <w:rPr>
                <w:rFonts w:cs="Arial"/>
                <w:bCs/>
                <w:sz w:val="20"/>
                <w:szCs w:val="20"/>
              </w:rPr>
              <w:t>Teatfish</w:t>
            </w:r>
            <w:proofErr w:type="spellEnd"/>
            <w:r w:rsidR="00C555DE">
              <w:rPr>
                <w:rFonts w:cs="Arial"/>
                <w:bCs/>
                <w:sz w:val="20"/>
                <w:szCs w:val="20"/>
              </w:rPr>
              <w:t xml:space="preserve">. </w:t>
            </w:r>
            <w:r w:rsidR="00B5150B">
              <w:rPr>
                <w:rFonts w:cs="Arial"/>
                <w:bCs/>
                <w:sz w:val="20"/>
                <w:szCs w:val="20"/>
              </w:rPr>
              <w:t>The</w:t>
            </w:r>
            <w:r w:rsidR="00680BE6">
              <w:rPr>
                <w:rFonts w:cs="Arial"/>
                <w:bCs/>
                <w:sz w:val="20"/>
                <w:szCs w:val="20"/>
              </w:rPr>
              <w:t>y</w:t>
            </w:r>
            <w:r w:rsidR="00E30F86">
              <w:rPr>
                <w:rFonts w:cs="Arial"/>
                <w:bCs/>
                <w:sz w:val="20"/>
                <w:szCs w:val="20"/>
              </w:rPr>
              <w:t xml:space="preserve"> have modelled </w:t>
            </w:r>
            <w:r w:rsidR="00CB2F57">
              <w:rPr>
                <w:rFonts w:cs="Arial"/>
                <w:bCs/>
                <w:sz w:val="20"/>
                <w:szCs w:val="20"/>
              </w:rPr>
              <w:t>population dynamic</w:t>
            </w:r>
            <w:r w:rsidR="00473C5F">
              <w:rPr>
                <w:rFonts w:cs="Arial"/>
                <w:bCs/>
                <w:sz w:val="20"/>
                <w:szCs w:val="20"/>
              </w:rPr>
              <w:t xml:space="preserve">s, </w:t>
            </w:r>
            <w:proofErr w:type="gramStart"/>
            <w:r w:rsidR="00473C5F">
              <w:rPr>
                <w:rFonts w:cs="Arial"/>
                <w:bCs/>
                <w:sz w:val="20"/>
                <w:szCs w:val="20"/>
              </w:rPr>
              <w:t>growth</w:t>
            </w:r>
            <w:proofErr w:type="gramEnd"/>
            <w:r w:rsidR="00CB2F57">
              <w:rPr>
                <w:rFonts w:cs="Arial"/>
                <w:bCs/>
                <w:sz w:val="20"/>
                <w:szCs w:val="20"/>
              </w:rPr>
              <w:t xml:space="preserve"> and recruitment</w:t>
            </w:r>
            <w:r w:rsidR="00473C5F">
              <w:rPr>
                <w:rFonts w:cs="Arial"/>
                <w:bCs/>
                <w:sz w:val="20"/>
                <w:szCs w:val="20"/>
              </w:rPr>
              <w:t xml:space="preserve">. </w:t>
            </w:r>
            <w:r w:rsidR="00680BE6">
              <w:rPr>
                <w:rFonts w:cs="Arial"/>
                <w:bCs/>
                <w:sz w:val="20"/>
                <w:szCs w:val="20"/>
              </w:rPr>
              <w:t>S</w:t>
            </w:r>
            <w:r w:rsidR="00D15E75">
              <w:rPr>
                <w:rFonts w:cs="Arial"/>
                <w:bCs/>
                <w:sz w:val="20"/>
                <w:szCs w:val="20"/>
              </w:rPr>
              <w:t>cientific experts</w:t>
            </w:r>
            <w:r w:rsidR="001E69B8">
              <w:rPr>
                <w:rFonts w:cs="Arial"/>
                <w:bCs/>
                <w:sz w:val="20"/>
                <w:szCs w:val="20"/>
              </w:rPr>
              <w:t xml:space="preserve"> and </w:t>
            </w:r>
            <w:r w:rsidR="00546902">
              <w:rPr>
                <w:rFonts w:cs="Arial"/>
                <w:bCs/>
                <w:sz w:val="20"/>
                <w:szCs w:val="20"/>
              </w:rPr>
              <w:t>government authorities</w:t>
            </w:r>
            <w:r w:rsidR="001E69B8">
              <w:rPr>
                <w:rFonts w:cs="Arial"/>
                <w:bCs/>
                <w:sz w:val="20"/>
                <w:szCs w:val="20"/>
              </w:rPr>
              <w:t xml:space="preserve"> have raised concerns </w:t>
            </w:r>
            <w:r w:rsidR="00DC272E">
              <w:rPr>
                <w:rFonts w:cs="Arial"/>
                <w:bCs/>
                <w:sz w:val="20"/>
                <w:szCs w:val="20"/>
              </w:rPr>
              <w:t xml:space="preserve">about the accuracy of </w:t>
            </w:r>
            <w:r w:rsidR="00F83DEC">
              <w:rPr>
                <w:rFonts w:cs="Arial"/>
                <w:bCs/>
                <w:sz w:val="20"/>
                <w:szCs w:val="20"/>
              </w:rPr>
              <w:t xml:space="preserve">biological parameters </w:t>
            </w:r>
            <w:r w:rsidR="00DC272E">
              <w:rPr>
                <w:rFonts w:cs="Arial"/>
                <w:bCs/>
                <w:sz w:val="20"/>
                <w:szCs w:val="20"/>
              </w:rPr>
              <w:t xml:space="preserve">in the </w:t>
            </w:r>
            <w:r w:rsidR="00F83DEC">
              <w:rPr>
                <w:rFonts w:cs="Arial"/>
                <w:bCs/>
                <w:sz w:val="20"/>
                <w:szCs w:val="20"/>
              </w:rPr>
              <w:t xml:space="preserve">models </w:t>
            </w:r>
            <w:r w:rsidR="00DC272E">
              <w:rPr>
                <w:rFonts w:cs="Arial"/>
                <w:bCs/>
                <w:sz w:val="20"/>
                <w:szCs w:val="20"/>
              </w:rPr>
              <w:t xml:space="preserve">suggesting the </w:t>
            </w:r>
            <w:r w:rsidR="000B1A7E">
              <w:rPr>
                <w:rFonts w:cs="Arial"/>
                <w:bCs/>
                <w:sz w:val="20"/>
                <w:szCs w:val="20"/>
              </w:rPr>
              <w:t>species may be much slower growing and later maturing that previously though.</w:t>
            </w:r>
          </w:p>
          <w:p w14:paraId="0E646DC0" w14:textId="6E72778F" w:rsidR="00B27406" w:rsidRDefault="00216C08" w:rsidP="00B27406">
            <w:pPr>
              <w:keepNext/>
              <w:spacing w:line="252" w:lineRule="auto"/>
              <w:rPr>
                <w:rFonts w:cs="Arial"/>
                <w:bCs/>
                <w:sz w:val="20"/>
                <w:szCs w:val="20"/>
              </w:rPr>
            </w:pPr>
            <w:r>
              <w:rPr>
                <w:rFonts w:cs="Arial"/>
                <w:bCs/>
                <w:sz w:val="20"/>
                <w:szCs w:val="20"/>
              </w:rPr>
              <w:t>The</w:t>
            </w:r>
            <w:r w:rsidR="00B27406">
              <w:rPr>
                <w:rFonts w:cs="Arial"/>
                <w:bCs/>
                <w:sz w:val="20"/>
                <w:szCs w:val="20"/>
              </w:rPr>
              <w:t xml:space="preserve"> stock assessment</w:t>
            </w:r>
            <w:r>
              <w:rPr>
                <w:rFonts w:cs="Arial"/>
                <w:bCs/>
                <w:sz w:val="20"/>
                <w:szCs w:val="20"/>
              </w:rPr>
              <w:t xml:space="preserve"> reports</w:t>
            </w:r>
            <w:r w:rsidR="00B27406">
              <w:rPr>
                <w:rFonts w:cs="Arial"/>
                <w:bCs/>
                <w:sz w:val="20"/>
                <w:szCs w:val="20"/>
              </w:rPr>
              <w:t xml:space="preserve"> </w:t>
            </w:r>
            <w:r w:rsidR="00D82D1E">
              <w:rPr>
                <w:rFonts w:cs="Arial"/>
                <w:bCs/>
                <w:sz w:val="20"/>
                <w:szCs w:val="20"/>
              </w:rPr>
              <w:t>n</w:t>
            </w:r>
            <w:r w:rsidR="00B27406">
              <w:rPr>
                <w:rFonts w:cs="Arial"/>
                <w:bCs/>
                <w:sz w:val="20"/>
                <w:szCs w:val="20"/>
              </w:rPr>
              <w:t xml:space="preserve">ote several key assumptions and limitations which may affect accuracy of outputs. The biological parameters used </w:t>
            </w:r>
            <w:r w:rsidR="00BF7824">
              <w:rPr>
                <w:rFonts w:cs="Arial"/>
                <w:bCs/>
                <w:sz w:val="20"/>
                <w:szCs w:val="20"/>
              </w:rPr>
              <w:t xml:space="preserve">in </w:t>
            </w:r>
            <w:r w:rsidR="00B27406">
              <w:rPr>
                <w:rFonts w:cs="Arial"/>
                <w:bCs/>
                <w:sz w:val="20"/>
                <w:szCs w:val="20"/>
              </w:rPr>
              <w:t xml:space="preserve">the stock assessment models are based on information that </w:t>
            </w:r>
            <w:r w:rsidR="00D82D1E">
              <w:rPr>
                <w:rFonts w:cs="Arial"/>
                <w:bCs/>
                <w:sz w:val="20"/>
                <w:szCs w:val="20"/>
              </w:rPr>
              <w:t xml:space="preserve">the author </w:t>
            </w:r>
            <w:r w:rsidR="00B27406">
              <w:rPr>
                <w:rFonts w:cs="Arial"/>
                <w:bCs/>
                <w:sz w:val="20"/>
                <w:szCs w:val="20"/>
              </w:rPr>
              <w:t xml:space="preserve">considered </w:t>
            </w:r>
            <w:r w:rsidR="00ED4E87">
              <w:rPr>
                <w:rFonts w:cs="Arial"/>
                <w:bCs/>
                <w:sz w:val="20"/>
                <w:szCs w:val="20"/>
              </w:rPr>
              <w:t xml:space="preserve">to be </w:t>
            </w:r>
            <w:r w:rsidR="00D82D1E">
              <w:rPr>
                <w:rFonts w:cs="Arial"/>
                <w:bCs/>
                <w:sz w:val="20"/>
                <w:szCs w:val="20"/>
              </w:rPr>
              <w:t>‘</w:t>
            </w:r>
            <w:r w:rsidR="00B27406">
              <w:rPr>
                <w:rFonts w:cs="Arial"/>
                <w:bCs/>
                <w:sz w:val="20"/>
                <w:szCs w:val="20"/>
              </w:rPr>
              <w:t>decades old</w:t>
            </w:r>
            <w:r w:rsidR="00D82D1E">
              <w:rPr>
                <w:rFonts w:cs="Arial"/>
                <w:bCs/>
                <w:sz w:val="20"/>
                <w:szCs w:val="20"/>
              </w:rPr>
              <w:t>’</w:t>
            </w:r>
            <w:r w:rsidR="00B27406">
              <w:rPr>
                <w:rFonts w:cs="Arial"/>
                <w:bCs/>
                <w:sz w:val="20"/>
                <w:szCs w:val="20"/>
              </w:rPr>
              <w:t>. Information such as growth, mortality, size at maturity are important comp</w:t>
            </w:r>
            <w:r w:rsidR="004B5F5E">
              <w:rPr>
                <w:rFonts w:cs="Arial"/>
                <w:bCs/>
                <w:sz w:val="20"/>
                <w:szCs w:val="20"/>
              </w:rPr>
              <w:t xml:space="preserve">onents </w:t>
            </w:r>
            <w:r w:rsidR="00B27406">
              <w:rPr>
                <w:rFonts w:cs="Arial"/>
                <w:bCs/>
                <w:sz w:val="20"/>
                <w:szCs w:val="20"/>
              </w:rPr>
              <w:t>of the stock assessment. A review of this information may highlight more up to date science which could improve the accuracy of the stock assessment.</w:t>
            </w:r>
          </w:p>
          <w:p w14:paraId="3DD32961" w14:textId="1C62CAE7" w:rsidR="00B27406" w:rsidRDefault="00B27406" w:rsidP="00B27406">
            <w:pPr>
              <w:keepNext/>
              <w:spacing w:line="252" w:lineRule="auto"/>
              <w:rPr>
                <w:rFonts w:cs="Arial"/>
                <w:bCs/>
                <w:sz w:val="20"/>
                <w:szCs w:val="20"/>
              </w:rPr>
            </w:pPr>
            <w:r>
              <w:rPr>
                <w:rFonts w:cs="Arial"/>
                <w:bCs/>
                <w:sz w:val="20"/>
                <w:szCs w:val="20"/>
              </w:rPr>
              <w:t>The stock assessment</w:t>
            </w:r>
            <w:r w:rsidR="00BF2EE8">
              <w:rPr>
                <w:rFonts w:cs="Arial"/>
                <w:bCs/>
                <w:sz w:val="20"/>
                <w:szCs w:val="20"/>
              </w:rPr>
              <w:t>s</w:t>
            </w:r>
            <w:r>
              <w:rPr>
                <w:rFonts w:cs="Arial"/>
                <w:bCs/>
                <w:sz w:val="20"/>
                <w:szCs w:val="20"/>
              </w:rPr>
              <w:t xml:space="preserve"> also assum</w:t>
            </w:r>
            <w:r w:rsidR="00E6254A">
              <w:rPr>
                <w:rFonts w:cs="Arial"/>
                <w:bCs/>
                <w:sz w:val="20"/>
                <w:szCs w:val="20"/>
              </w:rPr>
              <w:t>e</w:t>
            </w:r>
            <w:r>
              <w:rPr>
                <w:rFonts w:cs="Arial"/>
                <w:bCs/>
                <w:sz w:val="20"/>
                <w:szCs w:val="20"/>
              </w:rPr>
              <w:t xml:space="preserve"> stocks protected in the green zones of the Great Barrier Reef Marine Park support higher recruitment in areas open to fishing. The stock assessments indicate this assumption ‘may warrant further investigation’. The extent </w:t>
            </w:r>
            <w:r w:rsidR="00410087">
              <w:rPr>
                <w:rFonts w:cs="Arial"/>
                <w:bCs/>
                <w:sz w:val="20"/>
                <w:szCs w:val="20"/>
              </w:rPr>
              <w:t xml:space="preserve">that </w:t>
            </w:r>
            <w:r>
              <w:rPr>
                <w:rFonts w:cs="Arial"/>
                <w:bCs/>
                <w:sz w:val="20"/>
                <w:szCs w:val="20"/>
              </w:rPr>
              <w:t>sea cucumber stocks function as a single population or sub-populations is uncertain and further review of this assumption may further improve the accuracy of stock assessment</w:t>
            </w:r>
            <w:r w:rsidR="00AB1151">
              <w:rPr>
                <w:rFonts w:cs="Arial"/>
                <w:bCs/>
                <w:sz w:val="20"/>
                <w:szCs w:val="20"/>
              </w:rPr>
              <w:t>s</w:t>
            </w:r>
            <w:r>
              <w:rPr>
                <w:rFonts w:cs="Arial"/>
                <w:bCs/>
                <w:sz w:val="20"/>
                <w:szCs w:val="20"/>
              </w:rPr>
              <w:t xml:space="preserve">. </w:t>
            </w:r>
          </w:p>
          <w:p w14:paraId="68E744C7" w14:textId="0CEB45BD" w:rsidR="00B27406" w:rsidRDefault="00B27406" w:rsidP="00B27406">
            <w:pPr>
              <w:keepNext/>
              <w:spacing w:line="252" w:lineRule="auto"/>
              <w:rPr>
                <w:rFonts w:cs="Arial"/>
                <w:bCs/>
                <w:sz w:val="20"/>
                <w:szCs w:val="20"/>
              </w:rPr>
            </w:pPr>
            <w:r>
              <w:rPr>
                <w:rFonts w:cs="Arial"/>
                <w:bCs/>
                <w:sz w:val="20"/>
                <w:szCs w:val="20"/>
              </w:rPr>
              <w:t xml:space="preserve">The </w:t>
            </w:r>
            <w:r w:rsidR="0095509B">
              <w:rPr>
                <w:rFonts w:cs="Arial"/>
                <w:bCs/>
                <w:sz w:val="20"/>
                <w:szCs w:val="20"/>
              </w:rPr>
              <w:t xml:space="preserve">White </w:t>
            </w:r>
            <w:proofErr w:type="spellStart"/>
            <w:r w:rsidR="0095509B">
              <w:rPr>
                <w:rFonts w:cs="Arial"/>
                <w:bCs/>
                <w:sz w:val="20"/>
                <w:szCs w:val="20"/>
              </w:rPr>
              <w:t>Teatfish</w:t>
            </w:r>
            <w:proofErr w:type="spellEnd"/>
            <w:r w:rsidR="0095509B">
              <w:rPr>
                <w:rFonts w:cs="Arial"/>
                <w:bCs/>
                <w:sz w:val="20"/>
                <w:szCs w:val="20"/>
              </w:rPr>
              <w:t xml:space="preserve"> stock assessment </w:t>
            </w:r>
            <w:r w:rsidR="00AB1151">
              <w:rPr>
                <w:rFonts w:cs="Arial"/>
                <w:bCs/>
                <w:sz w:val="20"/>
                <w:szCs w:val="20"/>
              </w:rPr>
              <w:t>report note</w:t>
            </w:r>
            <w:r w:rsidR="0095509B">
              <w:rPr>
                <w:rFonts w:cs="Arial"/>
                <w:bCs/>
                <w:sz w:val="20"/>
                <w:szCs w:val="20"/>
              </w:rPr>
              <w:t>s</w:t>
            </w:r>
            <w:r>
              <w:rPr>
                <w:rFonts w:cs="Arial"/>
                <w:bCs/>
                <w:sz w:val="20"/>
                <w:szCs w:val="20"/>
              </w:rPr>
              <w:t xml:space="preserve"> that sea cucumbers are sedentary species highly vulnerable to hand harvest fishing</w:t>
            </w:r>
            <w:r w:rsidR="00A36A42">
              <w:rPr>
                <w:rFonts w:cs="Arial"/>
                <w:bCs/>
                <w:sz w:val="20"/>
                <w:szCs w:val="20"/>
              </w:rPr>
              <w:t xml:space="preserve">. It </w:t>
            </w:r>
            <w:r>
              <w:rPr>
                <w:rFonts w:cs="Arial"/>
                <w:bCs/>
                <w:sz w:val="20"/>
                <w:szCs w:val="20"/>
              </w:rPr>
              <w:t>highlights the possibility</w:t>
            </w:r>
            <w:r w:rsidR="00BC2E21">
              <w:rPr>
                <w:rFonts w:cs="Arial"/>
                <w:bCs/>
                <w:sz w:val="20"/>
                <w:szCs w:val="20"/>
              </w:rPr>
              <w:t xml:space="preserve"> of</w:t>
            </w:r>
            <w:r>
              <w:rPr>
                <w:rFonts w:cs="Arial"/>
                <w:bCs/>
                <w:sz w:val="20"/>
                <w:szCs w:val="20"/>
              </w:rPr>
              <w:t xml:space="preserve"> hyperstability </w:t>
            </w:r>
            <w:r w:rsidR="00BC2E21">
              <w:rPr>
                <w:rFonts w:cs="Arial"/>
                <w:bCs/>
                <w:sz w:val="20"/>
                <w:szCs w:val="20"/>
              </w:rPr>
              <w:t>‘</w:t>
            </w:r>
            <w:r>
              <w:rPr>
                <w:rFonts w:cs="Arial"/>
                <w:bCs/>
                <w:sz w:val="20"/>
                <w:szCs w:val="20"/>
              </w:rPr>
              <w:t>masking trending in abundance</w:t>
            </w:r>
            <w:r w:rsidR="00BC2E21">
              <w:rPr>
                <w:rFonts w:cs="Arial"/>
                <w:bCs/>
                <w:sz w:val="20"/>
                <w:szCs w:val="20"/>
              </w:rPr>
              <w:t>’</w:t>
            </w:r>
            <w:r>
              <w:rPr>
                <w:rFonts w:cs="Arial"/>
                <w:bCs/>
                <w:sz w:val="20"/>
                <w:szCs w:val="20"/>
              </w:rPr>
              <w:t>. The stock assessment</w:t>
            </w:r>
            <w:r w:rsidR="00BC2E21">
              <w:rPr>
                <w:rFonts w:cs="Arial"/>
                <w:bCs/>
                <w:sz w:val="20"/>
                <w:szCs w:val="20"/>
              </w:rPr>
              <w:t xml:space="preserve"> report</w:t>
            </w:r>
            <w:r>
              <w:rPr>
                <w:rFonts w:cs="Arial"/>
                <w:bCs/>
                <w:sz w:val="20"/>
                <w:szCs w:val="20"/>
              </w:rPr>
              <w:t xml:space="preserve"> does not </w:t>
            </w:r>
            <w:r w:rsidR="00FA7110">
              <w:rPr>
                <w:rFonts w:cs="Arial"/>
                <w:bCs/>
                <w:sz w:val="20"/>
                <w:szCs w:val="20"/>
              </w:rPr>
              <w:t xml:space="preserve">describe </w:t>
            </w:r>
            <w:r>
              <w:rPr>
                <w:rFonts w:cs="Arial"/>
                <w:bCs/>
                <w:sz w:val="20"/>
                <w:szCs w:val="20"/>
              </w:rPr>
              <w:t xml:space="preserve">how hyperstability has </w:t>
            </w:r>
            <w:r w:rsidR="00A36A42">
              <w:rPr>
                <w:rFonts w:cs="Arial"/>
                <w:bCs/>
                <w:sz w:val="20"/>
                <w:szCs w:val="20"/>
              </w:rPr>
              <w:t xml:space="preserve">been </w:t>
            </w:r>
            <w:r>
              <w:rPr>
                <w:rFonts w:cs="Arial"/>
                <w:bCs/>
                <w:sz w:val="20"/>
                <w:szCs w:val="20"/>
              </w:rPr>
              <w:t>controlled</w:t>
            </w:r>
            <w:r w:rsidR="00A36A42">
              <w:rPr>
                <w:rFonts w:cs="Arial"/>
                <w:bCs/>
                <w:sz w:val="20"/>
                <w:szCs w:val="20"/>
              </w:rPr>
              <w:t xml:space="preserve">, or if it has been controlled, </w:t>
            </w:r>
            <w:r>
              <w:rPr>
                <w:rFonts w:cs="Arial"/>
                <w:bCs/>
                <w:sz w:val="20"/>
                <w:szCs w:val="20"/>
              </w:rPr>
              <w:t xml:space="preserve">in </w:t>
            </w:r>
            <w:r w:rsidR="00A87F0A">
              <w:rPr>
                <w:rFonts w:cs="Arial"/>
                <w:bCs/>
                <w:sz w:val="20"/>
                <w:szCs w:val="20"/>
              </w:rPr>
              <w:t>the assessment</w:t>
            </w:r>
            <w:r>
              <w:rPr>
                <w:rFonts w:cs="Arial"/>
                <w:bCs/>
                <w:sz w:val="20"/>
                <w:szCs w:val="20"/>
              </w:rPr>
              <w:t xml:space="preserve">. </w:t>
            </w:r>
            <w:r w:rsidR="00451797">
              <w:rPr>
                <w:rFonts w:cs="Arial"/>
                <w:bCs/>
                <w:sz w:val="20"/>
                <w:szCs w:val="20"/>
              </w:rPr>
              <w:t>The s</w:t>
            </w:r>
            <w:r>
              <w:rPr>
                <w:rFonts w:cs="Arial"/>
                <w:bCs/>
                <w:sz w:val="20"/>
                <w:szCs w:val="20"/>
              </w:rPr>
              <w:t xml:space="preserve">tock assessment should </w:t>
            </w:r>
            <w:r w:rsidR="005D7288">
              <w:rPr>
                <w:rFonts w:cs="Arial"/>
                <w:bCs/>
                <w:sz w:val="20"/>
                <w:szCs w:val="20"/>
              </w:rPr>
              <w:t xml:space="preserve">be </w:t>
            </w:r>
            <w:r w:rsidR="00451797">
              <w:rPr>
                <w:rFonts w:cs="Arial"/>
                <w:bCs/>
                <w:sz w:val="20"/>
                <w:szCs w:val="20"/>
              </w:rPr>
              <w:t xml:space="preserve">reviewed </w:t>
            </w:r>
            <w:r>
              <w:rPr>
                <w:rFonts w:cs="Arial"/>
                <w:bCs/>
                <w:sz w:val="20"/>
                <w:szCs w:val="20"/>
              </w:rPr>
              <w:t xml:space="preserve">to better understand the potential impacts of hyperstability </w:t>
            </w:r>
            <w:r w:rsidR="00451797">
              <w:rPr>
                <w:rFonts w:cs="Arial"/>
                <w:bCs/>
                <w:sz w:val="20"/>
                <w:szCs w:val="20"/>
              </w:rPr>
              <w:t xml:space="preserve">on </w:t>
            </w:r>
            <w:r>
              <w:rPr>
                <w:rFonts w:cs="Arial"/>
                <w:bCs/>
                <w:sz w:val="20"/>
                <w:szCs w:val="20"/>
              </w:rPr>
              <w:t>modelled outputs.</w:t>
            </w:r>
          </w:p>
          <w:p w14:paraId="18AD0295" w14:textId="7CF25E44" w:rsidR="00885298" w:rsidRPr="005A1AB0" w:rsidRDefault="00B27406" w:rsidP="00762740">
            <w:pPr>
              <w:spacing w:beforeLines="60" w:before="144" w:afterLines="60" w:after="144" w:line="276" w:lineRule="auto"/>
              <w:rPr>
                <w:rFonts w:cs="Arial"/>
                <w:bCs/>
                <w:sz w:val="20"/>
                <w:szCs w:val="20"/>
              </w:rPr>
            </w:pPr>
            <w:r>
              <w:rPr>
                <w:rFonts w:cs="Arial"/>
                <w:bCs/>
                <w:sz w:val="20"/>
                <w:szCs w:val="20"/>
              </w:rPr>
              <w:t xml:space="preserve">Considerable uncertainties </w:t>
            </w:r>
            <w:r w:rsidR="000C58BE">
              <w:rPr>
                <w:rFonts w:cs="Arial"/>
                <w:bCs/>
                <w:sz w:val="20"/>
                <w:szCs w:val="20"/>
              </w:rPr>
              <w:t xml:space="preserve">about </w:t>
            </w:r>
            <w:r>
              <w:rPr>
                <w:rFonts w:cs="Arial"/>
                <w:bCs/>
                <w:sz w:val="20"/>
                <w:szCs w:val="20"/>
              </w:rPr>
              <w:t xml:space="preserve">historic fishing effort and what constitutes virgin biomass </w:t>
            </w:r>
            <w:r w:rsidR="000C58BE">
              <w:rPr>
                <w:rFonts w:cs="Arial"/>
                <w:bCs/>
                <w:sz w:val="20"/>
                <w:szCs w:val="20"/>
              </w:rPr>
              <w:t>were</w:t>
            </w:r>
            <w:r>
              <w:rPr>
                <w:rFonts w:cs="Arial"/>
                <w:bCs/>
                <w:sz w:val="20"/>
                <w:szCs w:val="20"/>
              </w:rPr>
              <w:t xml:space="preserve"> highlighted, particularly </w:t>
            </w:r>
            <w:r w:rsidR="00A2644F">
              <w:rPr>
                <w:rFonts w:cs="Arial"/>
                <w:bCs/>
                <w:sz w:val="20"/>
                <w:szCs w:val="20"/>
              </w:rPr>
              <w:t>for</w:t>
            </w:r>
            <w:r>
              <w:rPr>
                <w:rFonts w:cs="Arial"/>
                <w:bCs/>
                <w:sz w:val="20"/>
                <w:szCs w:val="20"/>
              </w:rPr>
              <w:t xml:space="preserve"> Black </w:t>
            </w:r>
            <w:proofErr w:type="spellStart"/>
            <w:r>
              <w:rPr>
                <w:rFonts w:cs="Arial"/>
                <w:bCs/>
                <w:sz w:val="20"/>
                <w:szCs w:val="20"/>
              </w:rPr>
              <w:t>Teatfish</w:t>
            </w:r>
            <w:proofErr w:type="spellEnd"/>
            <w:r>
              <w:rPr>
                <w:rFonts w:cs="Arial"/>
                <w:bCs/>
                <w:sz w:val="20"/>
                <w:szCs w:val="20"/>
              </w:rPr>
              <w:t xml:space="preserve">. This </w:t>
            </w:r>
            <w:r w:rsidR="0015690A">
              <w:rPr>
                <w:rFonts w:cs="Arial"/>
                <w:bCs/>
                <w:sz w:val="20"/>
                <w:szCs w:val="20"/>
              </w:rPr>
              <w:t xml:space="preserve">is </w:t>
            </w:r>
            <w:r>
              <w:rPr>
                <w:rFonts w:cs="Arial"/>
                <w:bCs/>
                <w:sz w:val="20"/>
                <w:szCs w:val="20"/>
              </w:rPr>
              <w:t xml:space="preserve">compounded by issues with biomass survey data which may not be comparable through time, due to differing survey methods. Further, historic fishing pressure </w:t>
            </w:r>
            <w:r w:rsidR="00B2690F">
              <w:rPr>
                <w:rFonts w:cs="Arial"/>
                <w:bCs/>
                <w:sz w:val="20"/>
                <w:szCs w:val="20"/>
              </w:rPr>
              <w:t>could have</w:t>
            </w:r>
            <w:r w:rsidR="0002533C">
              <w:rPr>
                <w:rFonts w:cs="Arial"/>
                <w:bCs/>
                <w:sz w:val="20"/>
                <w:szCs w:val="20"/>
              </w:rPr>
              <w:t xml:space="preserve"> potentially</w:t>
            </w:r>
            <w:r>
              <w:rPr>
                <w:rFonts w:cs="Arial"/>
                <w:bCs/>
                <w:sz w:val="20"/>
                <w:szCs w:val="20"/>
              </w:rPr>
              <w:t xml:space="preserve"> depleted stocks to </w:t>
            </w:r>
            <w:r w:rsidR="00027E0A">
              <w:rPr>
                <w:rFonts w:cs="Arial"/>
                <w:bCs/>
                <w:sz w:val="20"/>
                <w:szCs w:val="20"/>
              </w:rPr>
              <w:t>the</w:t>
            </w:r>
            <w:r>
              <w:rPr>
                <w:rFonts w:cs="Arial"/>
                <w:bCs/>
                <w:sz w:val="20"/>
                <w:szCs w:val="20"/>
              </w:rPr>
              <w:t xml:space="preserve"> point where </w:t>
            </w:r>
            <w:r w:rsidR="00B2690F">
              <w:rPr>
                <w:rFonts w:cs="Arial"/>
                <w:bCs/>
                <w:sz w:val="20"/>
                <w:szCs w:val="20"/>
              </w:rPr>
              <w:t xml:space="preserve">reproductive </w:t>
            </w:r>
            <w:r>
              <w:rPr>
                <w:rFonts w:cs="Arial"/>
                <w:bCs/>
                <w:sz w:val="20"/>
                <w:szCs w:val="20"/>
              </w:rPr>
              <w:t xml:space="preserve">success and </w:t>
            </w:r>
            <w:r w:rsidR="00B2690F">
              <w:rPr>
                <w:rFonts w:cs="Arial"/>
                <w:bCs/>
                <w:sz w:val="20"/>
                <w:szCs w:val="20"/>
              </w:rPr>
              <w:t>stock recovery i</w:t>
            </w:r>
            <w:r>
              <w:rPr>
                <w:rFonts w:cs="Arial"/>
                <w:bCs/>
                <w:sz w:val="20"/>
                <w:szCs w:val="20"/>
              </w:rPr>
              <w:t xml:space="preserve">s compromised. </w:t>
            </w:r>
            <w:r w:rsidR="00855F1C">
              <w:rPr>
                <w:rFonts w:cs="Arial"/>
                <w:bCs/>
                <w:sz w:val="20"/>
                <w:szCs w:val="20"/>
              </w:rPr>
              <w:t>Burrowing Blackfish makes up a</w:t>
            </w:r>
            <w:r w:rsidR="00152DC0">
              <w:rPr>
                <w:rFonts w:cs="Arial"/>
                <w:bCs/>
                <w:sz w:val="20"/>
                <w:szCs w:val="20"/>
              </w:rPr>
              <w:t>pproximately half of the fishery by we</w:t>
            </w:r>
            <w:r w:rsidR="00855F1C">
              <w:rPr>
                <w:rFonts w:cs="Arial"/>
                <w:bCs/>
                <w:sz w:val="20"/>
                <w:szCs w:val="20"/>
              </w:rPr>
              <w:t xml:space="preserve">ight. </w:t>
            </w:r>
            <w:r w:rsidR="00362AFA">
              <w:rPr>
                <w:rFonts w:cs="Arial"/>
                <w:bCs/>
                <w:sz w:val="20"/>
                <w:szCs w:val="20"/>
              </w:rPr>
              <w:t xml:space="preserve">The 2014 MSE </w:t>
            </w:r>
            <w:r w:rsidR="00F82DF9">
              <w:rPr>
                <w:rFonts w:cs="Arial"/>
                <w:bCs/>
                <w:sz w:val="20"/>
                <w:szCs w:val="20"/>
              </w:rPr>
              <w:t xml:space="preserve">indicated that Burrowing </w:t>
            </w:r>
            <w:r w:rsidR="00027E0A">
              <w:rPr>
                <w:rFonts w:cs="Arial"/>
                <w:bCs/>
                <w:sz w:val="20"/>
                <w:szCs w:val="20"/>
              </w:rPr>
              <w:t>B</w:t>
            </w:r>
            <w:r w:rsidR="00F82DF9">
              <w:rPr>
                <w:rFonts w:cs="Arial"/>
                <w:bCs/>
                <w:sz w:val="20"/>
                <w:szCs w:val="20"/>
              </w:rPr>
              <w:t>lackfish was at the highest risk of depletion of all species in the fishery due to i</w:t>
            </w:r>
            <w:r w:rsidR="00A75AAE">
              <w:rPr>
                <w:rFonts w:cs="Arial"/>
                <w:bCs/>
                <w:sz w:val="20"/>
                <w:szCs w:val="20"/>
              </w:rPr>
              <w:t xml:space="preserve">ts restricted distribution and relatively high fishing </w:t>
            </w:r>
            <w:r w:rsidR="00AC7FA1">
              <w:rPr>
                <w:rFonts w:cs="Arial"/>
                <w:bCs/>
                <w:sz w:val="20"/>
                <w:szCs w:val="20"/>
              </w:rPr>
              <w:t xml:space="preserve">mortality </w:t>
            </w:r>
            <w:r w:rsidR="00A75AAE">
              <w:rPr>
                <w:rFonts w:cs="Arial"/>
                <w:bCs/>
                <w:sz w:val="20"/>
                <w:szCs w:val="20"/>
              </w:rPr>
              <w:t>as well as being managed outside of the RHAs</w:t>
            </w:r>
            <w:r w:rsidR="00A62943">
              <w:rPr>
                <w:rFonts w:cs="Arial"/>
                <w:bCs/>
                <w:sz w:val="20"/>
                <w:szCs w:val="20"/>
              </w:rPr>
              <w:t xml:space="preserve"> in declared BFZs which are open to continual harvest. Burrowing Blackfish is the only tier 1 species </w:t>
            </w:r>
            <w:r w:rsidR="004A15B7">
              <w:rPr>
                <w:rFonts w:cs="Arial"/>
                <w:bCs/>
                <w:sz w:val="20"/>
                <w:szCs w:val="20"/>
              </w:rPr>
              <w:t xml:space="preserve">with no </w:t>
            </w:r>
            <w:r w:rsidR="00F25355">
              <w:rPr>
                <w:rFonts w:cs="Arial"/>
                <w:bCs/>
                <w:sz w:val="20"/>
                <w:szCs w:val="20"/>
              </w:rPr>
              <w:t>stock assessment</w:t>
            </w:r>
            <w:r w:rsidR="004A15B7">
              <w:rPr>
                <w:rFonts w:cs="Arial"/>
                <w:bCs/>
                <w:sz w:val="20"/>
                <w:szCs w:val="20"/>
              </w:rPr>
              <w:t>.</w:t>
            </w:r>
            <w:r w:rsidR="00A62943">
              <w:rPr>
                <w:rFonts w:cs="Arial"/>
                <w:bCs/>
                <w:sz w:val="20"/>
                <w:szCs w:val="20"/>
              </w:rPr>
              <w:t xml:space="preserve"> </w:t>
            </w:r>
            <w:r w:rsidR="00F25355">
              <w:rPr>
                <w:rFonts w:cs="Arial"/>
                <w:bCs/>
                <w:sz w:val="20"/>
                <w:szCs w:val="20"/>
              </w:rPr>
              <w:t xml:space="preserve">In addition to undertaking a stock assessment, </w:t>
            </w:r>
            <w:r w:rsidR="00D845E8">
              <w:rPr>
                <w:rFonts w:cs="Arial"/>
                <w:bCs/>
                <w:sz w:val="20"/>
                <w:szCs w:val="20"/>
              </w:rPr>
              <w:t xml:space="preserve">collecting </w:t>
            </w:r>
            <w:r w:rsidR="00F24531" w:rsidRPr="00F24531">
              <w:rPr>
                <w:rFonts w:cs="Arial"/>
                <w:bCs/>
                <w:sz w:val="20"/>
                <w:szCs w:val="20"/>
              </w:rPr>
              <w:t>distribution and density data from unfished areas</w:t>
            </w:r>
            <w:r w:rsidR="007E3094">
              <w:rPr>
                <w:rFonts w:cs="Arial"/>
                <w:bCs/>
                <w:sz w:val="20"/>
                <w:szCs w:val="20"/>
              </w:rPr>
              <w:t xml:space="preserve"> w</w:t>
            </w:r>
            <w:r w:rsidR="00F24531" w:rsidRPr="00F24531">
              <w:rPr>
                <w:rFonts w:cs="Arial"/>
                <w:bCs/>
                <w:sz w:val="20"/>
                <w:szCs w:val="20"/>
              </w:rPr>
              <w:t xml:space="preserve">ould improve </w:t>
            </w:r>
            <w:r w:rsidR="00702EF8">
              <w:rPr>
                <w:rFonts w:cs="Arial"/>
                <w:bCs/>
                <w:sz w:val="20"/>
                <w:szCs w:val="20"/>
              </w:rPr>
              <w:t xml:space="preserve">knowledge </w:t>
            </w:r>
            <w:r w:rsidR="002C7FB3">
              <w:rPr>
                <w:rFonts w:cs="Arial"/>
                <w:bCs/>
                <w:sz w:val="20"/>
                <w:szCs w:val="20"/>
              </w:rPr>
              <w:t>about the po</w:t>
            </w:r>
            <w:r w:rsidR="00702EF8">
              <w:rPr>
                <w:rFonts w:cs="Arial"/>
                <w:bCs/>
                <w:sz w:val="20"/>
                <w:szCs w:val="20"/>
              </w:rPr>
              <w:t>tential productivity of this species</w:t>
            </w:r>
            <w:r w:rsidR="00F24531" w:rsidRPr="00F24531">
              <w:rPr>
                <w:rFonts w:cs="Arial"/>
                <w:bCs/>
                <w:sz w:val="20"/>
                <w:szCs w:val="20"/>
              </w:rPr>
              <w:t>.</w:t>
            </w:r>
          </w:p>
        </w:tc>
      </w:tr>
      <w:tr w:rsidR="00867590" w:rsidRPr="00433FCA" w14:paraId="56D2C7E4" w14:textId="77777777" w:rsidTr="002F0C8B">
        <w:trPr>
          <w:cantSplit/>
        </w:trPr>
        <w:tc>
          <w:tcPr>
            <w:tcW w:w="5000" w:type="pct"/>
            <w:gridSpan w:val="2"/>
            <w:shd w:val="clear" w:color="auto" w:fill="DAEEF3"/>
          </w:tcPr>
          <w:p w14:paraId="7D91A0CD" w14:textId="77777777" w:rsidR="00867590" w:rsidRPr="00433FCA" w:rsidRDefault="00867590" w:rsidP="000E3CD0">
            <w:pPr>
              <w:keepNext/>
              <w:spacing w:beforeLines="60" w:before="144" w:afterLines="60" w:after="144" w:line="276" w:lineRule="auto"/>
              <w:contextualSpacing/>
              <w:rPr>
                <w:rFonts w:cs="Arial"/>
                <w:b/>
                <w:bCs/>
                <w:i/>
                <w:iCs/>
                <w:sz w:val="20"/>
                <w:szCs w:val="20"/>
              </w:rPr>
            </w:pPr>
            <w:r w:rsidRPr="00433FCA">
              <w:rPr>
                <w:rFonts w:cs="Arial"/>
                <w:b/>
                <w:bCs/>
                <w:i/>
                <w:iCs/>
                <w:sz w:val="20"/>
                <w:szCs w:val="20"/>
              </w:rPr>
              <w:lastRenderedPageBreak/>
              <w:t xml:space="preserve">Management responses </w:t>
            </w:r>
          </w:p>
        </w:tc>
      </w:tr>
      <w:tr w:rsidR="00867590" w:rsidRPr="00433FCA" w14:paraId="51F6B96C" w14:textId="77777777" w:rsidTr="000E0F5D">
        <w:trPr>
          <w:cantSplit/>
        </w:trPr>
        <w:tc>
          <w:tcPr>
            <w:tcW w:w="1500" w:type="pct"/>
            <w:shd w:val="clear" w:color="auto" w:fill="FFC000"/>
          </w:tcPr>
          <w:p w14:paraId="1DB6A9BC"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1.1.6 </w:t>
            </w:r>
            <w:r w:rsidRPr="00433FCA">
              <w:rPr>
                <w:rFonts w:cs="Arial"/>
                <w:sz w:val="20"/>
                <w:szCs w:val="20"/>
              </w:rPr>
              <w:t>There are reference points (target and/or limit), that trigger management actions including a biological bottom line and/or a catch or effort upper limit beyond which the stock should not be</w:t>
            </w:r>
            <w:r w:rsidR="006B6EF9" w:rsidRPr="00433FCA">
              <w:rPr>
                <w:rFonts w:cs="Arial"/>
                <w:sz w:val="20"/>
                <w:szCs w:val="20"/>
              </w:rPr>
              <w:t xml:space="preserve"> taken.</w:t>
            </w:r>
          </w:p>
          <w:p w14:paraId="37D19E12" w14:textId="5DA7B9DC"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5B8427A1" w14:textId="0B536A10" w:rsidR="005869AD" w:rsidRPr="00FA1BF3" w:rsidRDefault="005869AD" w:rsidP="00FA242F">
            <w:pPr>
              <w:spacing w:beforeLines="60" w:before="144" w:afterLines="60" w:after="144" w:line="276" w:lineRule="auto"/>
              <w:contextualSpacing/>
              <w:rPr>
                <w:rFonts w:cs="Arial"/>
                <w:b/>
                <w:sz w:val="20"/>
                <w:szCs w:val="20"/>
              </w:rPr>
            </w:pPr>
            <w:r w:rsidRPr="00633F61">
              <w:rPr>
                <w:rFonts w:cs="Arial"/>
                <w:b/>
                <w:sz w:val="20"/>
                <w:szCs w:val="20"/>
              </w:rPr>
              <w:t xml:space="preserve">Partially meets – </w:t>
            </w:r>
            <w:r w:rsidR="00C74B33" w:rsidRPr="00FA1BF3">
              <w:rPr>
                <w:rFonts w:cs="Arial"/>
                <w:b/>
                <w:sz w:val="20"/>
                <w:szCs w:val="20"/>
              </w:rPr>
              <w:t>Reference points</w:t>
            </w:r>
            <w:r w:rsidR="00930D97">
              <w:rPr>
                <w:rFonts w:cs="Arial"/>
                <w:b/>
                <w:sz w:val="20"/>
                <w:szCs w:val="20"/>
              </w:rPr>
              <w:t xml:space="preserve"> are</w:t>
            </w:r>
            <w:r w:rsidR="00FA242F" w:rsidRPr="00FA1BF3">
              <w:rPr>
                <w:rFonts w:cs="Arial"/>
                <w:b/>
                <w:sz w:val="20"/>
                <w:szCs w:val="20"/>
              </w:rPr>
              <w:t xml:space="preserve"> in place</w:t>
            </w:r>
            <w:r w:rsidR="00C74B33" w:rsidRPr="00FA1BF3">
              <w:rPr>
                <w:rFonts w:cs="Arial"/>
                <w:b/>
                <w:sz w:val="20"/>
                <w:szCs w:val="20"/>
              </w:rPr>
              <w:t xml:space="preserve"> </w:t>
            </w:r>
            <w:r w:rsidR="00633F61" w:rsidRPr="00FA1BF3">
              <w:rPr>
                <w:rFonts w:cs="Arial"/>
                <w:b/>
                <w:sz w:val="20"/>
                <w:szCs w:val="20"/>
              </w:rPr>
              <w:t>for some species in the fishery</w:t>
            </w:r>
            <w:r w:rsidR="00797688">
              <w:rPr>
                <w:rFonts w:cs="Arial"/>
                <w:b/>
                <w:sz w:val="20"/>
                <w:szCs w:val="20"/>
              </w:rPr>
              <w:t>. However, the</w:t>
            </w:r>
            <w:r w:rsidR="00633F61" w:rsidRPr="00FA1BF3">
              <w:rPr>
                <w:rFonts w:cs="Arial"/>
                <w:b/>
                <w:sz w:val="20"/>
                <w:szCs w:val="20"/>
              </w:rPr>
              <w:t xml:space="preserve"> </w:t>
            </w:r>
            <w:r w:rsidR="00797688">
              <w:rPr>
                <w:rFonts w:cs="Arial"/>
                <w:b/>
                <w:sz w:val="20"/>
                <w:szCs w:val="20"/>
              </w:rPr>
              <w:t xml:space="preserve">biomass </w:t>
            </w:r>
            <w:r w:rsidR="00633F61" w:rsidRPr="00FA1BF3">
              <w:rPr>
                <w:rFonts w:cs="Arial"/>
                <w:b/>
                <w:sz w:val="20"/>
                <w:szCs w:val="20"/>
              </w:rPr>
              <w:t>limit</w:t>
            </w:r>
            <w:r w:rsidR="00797688">
              <w:rPr>
                <w:rFonts w:cs="Arial"/>
                <w:b/>
                <w:sz w:val="20"/>
                <w:szCs w:val="20"/>
              </w:rPr>
              <w:t xml:space="preserve"> reference point</w:t>
            </w:r>
            <w:r w:rsidR="00633F61" w:rsidRPr="00FA1BF3">
              <w:rPr>
                <w:rFonts w:cs="Arial"/>
                <w:b/>
                <w:sz w:val="20"/>
                <w:szCs w:val="20"/>
              </w:rPr>
              <w:t xml:space="preserve"> may be inappropriate for sea cucumbers</w:t>
            </w:r>
            <w:r w:rsidR="00C74B33" w:rsidRPr="00FA1BF3">
              <w:rPr>
                <w:rFonts w:cs="Arial"/>
                <w:b/>
                <w:sz w:val="20"/>
                <w:szCs w:val="20"/>
              </w:rPr>
              <w:t>.</w:t>
            </w:r>
          </w:p>
          <w:p w14:paraId="0FA5B0D5" w14:textId="49DF9F42" w:rsidR="00F87C83" w:rsidRDefault="00D97884" w:rsidP="00FA242F">
            <w:pPr>
              <w:spacing w:beforeLines="60" w:before="144" w:afterLines="60" w:after="144" w:line="276" w:lineRule="auto"/>
              <w:rPr>
                <w:rFonts w:cs="Arial"/>
                <w:sz w:val="20"/>
                <w:szCs w:val="20"/>
              </w:rPr>
            </w:pPr>
            <w:r>
              <w:rPr>
                <w:rFonts w:cs="Arial"/>
                <w:sz w:val="20"/>
                <w:szCs w:val="20"/>
              </w:rPr>
              <w:t xml:space="preserve">Sea cucumber species are </w:t>
            </w:r>
            <w:r w:rsidR="00C85FC9">
              <w:rPr>
                <w:rFonts w:cs="Arial"/>
                <w:sz w:val="20"/>
                <w:szCs w:val="20"/>
              </w:rPr>
              <w:t xml:space="preserve">highly vulnerable to overfishing and are </w:t>
            </w:r>
            <w:r w:rsidR="0035453D">
              <w:rPr>
                <w:rFonts w:cs="Arial"/>
                <w:sz w:val="20"/>
                <w:szCs w:val="20"/>
              </w:rPr>
              <w:t>known</w:t>
            </w:r>
            <w:r w:rsidR="00C85FC9">
              <w:rPr>
                <w:rFonts w:cs="Arial"/>
                <w:sz w:val="20"/>
                <w:szCs w:val="20"/>
              </w:rPr>
              <w:t xml:space="preserve"> to have density dependent spawning success. </w:t>
            </w:r>
            <w:r w:rsidR="00E24D40">
              <w:rPr>
                <w:rFonts w:cs="Arial"/>
                <w:sz w:val="20"/>
                <w:szCs w:val="20"/>
              </w:rPr>
              <w:t>Overfish</w:t>
            </w:r>
            <w:r w:rsidR="00AB70A9">
              <w:rPr>
                <w:rFonts w:cs="Arial"/>
                <w:sz w:val="20"/>
                <w:szCs w:val="20"/>
              </w:rPr>
              <w:t>ing</w:t>
            </w:r>
            <w:r w:rsidR="00E24D40">
              <w:rPr>
                <w:rFonts w:cs="Arial"/>
                <w:sz w:val="20"/>
                <w:szCs w:val="20"/>
              </w:rPr>
              <w:t xml:space="preserve"> can reduce stocks below a threshold where </w:t>
            </w:r>
            <w:r w:rsidR="00723531">
              <w:rPr>
                <w:rFonts w:cs="Arial"/>
                <w:sz w:val="20"/>
                <w:szCs w:val="20"/>
              </w:rPr>
              <w:t>recover</w:t>
            </w:r>
            <w:r w:rsidR="000D4333">
              <w:rPr>
                <w:rFonts w:cs="Arial"/>
                <w:sz w:val="20"/>
                <w:szCs w:val="20"/>
              </w:rPr>
              <w:t>y</w:t>
            </w:r>
            <w:r w:rsidR="00723531">
              <w:rPr>
                <w:rFonts w:cs="Arial"/>
                <w:sz w:val="20"/>
                <w:szCs w:val="20"/>
              </w:rPr>
              <w:t xml:space="preserve"> becomes</w:t>
            </w:r>
            <w:r w:rsidR="000D4333">
              <w:rPr>
                <w:rFonts w:cs="Arial"/>
                <w:sz w:val="20"/>
                <w:szCs w:val="20"/>
              </w:rPr>
              <w:t xml:space="preserve"> extremely slow or</w:t>
            </w:r>
            <w:r w:rsidR="00723531">
              <w:rPr>
                <w:rFonts w:cs="Arial"/>
                <w:sz w:val="20"/>
                <w:szCs w:val="20"/>
              </w:rPr>
              <w:t xml:space="preserve"> </w:t>
            </w:r>
            <w:r w:rsidR="006C422A">
              <w:rPr>
                <w:rFonts w:cs="Arial"/>
                <w:sz w:val="20"/>
                <w:szCs w:val="20"/>
              </w:rPr>
              <w:t xml:space="preserve">impossible. </w:t>
            </w:r>
            <w:r w:rsidR="002C0E95">
              <w:rPr>
                <w:rFonts w:cs="Arial"/>
                <w:sz w:val="20"/>
                <w:szCs w:val="20"/>
              </w:rPr>
              <w:t>The</w:t>
            </w:r>
            <w:r w:rsidR="000D4333">
              <w:rPr>
                <w:rFonts w:cs="Arial"/>
                <w:sz w:val="20"/>
                <w:szCs w:val="20"/>
              </w:rPr>
              <w:t xml:space="preserve"> harvest strategy for this fishery included </w:t>
            </w:r>
            <w:r w:rsidR="004A0CEC">
              <w:rPr>
                <w:rFonts w:cs="Arial"/>
                <w:sz w:val="20"/>
                <w:szCs w:val="20"/>
              </w:rPr>
              <w:t xml:space="preserve">a target </w:t>
            </w:r>
            <w:r w:rsidR="000D4333">
              <w:rPr>
                <w:rFonts w:cs="Arial"/>
                <w:sz w:val="20"/>
                <w:szCs w:val="20"/>
              </w:rPr>
              <w:t>reference point</w:t>
            </w:r>
            <w:r w:rsidR="004A0CEC">
              <w:rPr>
                <w:rFonts w:cs="Arial"/>
                <w:sz w:val="20"/>
                <w:szCs w:val="20"/>
              </w:rPr>
              <w:t xml:space="preserve"> of 60% </w:t>
            </w:r>
            <w:r w:rsidR="002C0E95">
              <w:rPr>
                <w:rFonts w:cs="Arial"/>
                <w:sz w:val="20"/>
                <w:szCs w:val="20"/>
              </w:rPr>
              <w:t>and limit</w:t>
            </w:r>
            <w:r w:rsidR="005F2726">
              <w:rPr>
                <w:rFonts w:cs="Arial"/>
                <w:sz w:val="20"/>
                <w:szCs w:val="20"/>
              </w:rPr>
              <w:t xml:space="preserve"> </w:t>
            </w:r>
            <w:r w:rsidR="002C0E95">
              <w:rPr>
                <w:rFonts w:cs="Arial"/>
                <w:sz w:val="20"/>
                <w:szCs w:val="20"/>
              </w:rPr>
              <w:t xml:space="preserve">reference point of </w:t>
            </w:r>
            <w:r w:rsidR="005F2726">
              <w:rPr>
                <w:rFonts w:cs="Arial"/>
                <w:sz w:val="20"/>
                <w:szCs w:val="20"/>
              </w:rPr>
              <w:t xml:space="preserve">20% </w:t>
            </w:r>
            <w:r w:rsidR="003409B4">
              <w:rPr>
                <w:rFonts w:cs="Arial"/>
                <w:sz w:val="20"/>
                <w:szCs w:val="20"/>
              </w:rPr>
              <w:t>of unfished biomass</w:t>
            </w:r>
            <w:r w:rsidR="004A0CEC">
              <w:rPr>
                <w:rFonts w:cs="Arial"/>
                <w:sz w:val="20"/>
                <w:szCs w:val="20"/>
              </w:rPr>
              <w:t>.</w:t>
            </w:r>
            <w:r w:rsidR="008E15D0">
              <w:rPr>
                <w:rFonts w:cs="Arial"/>
                <w:sz w:val="20"/>
                <w:szCs w:val="20"/>
              </w:rPr>
              <w:t xml:space="preserve"> </w:t>
            </w:r>
            <w:r w:rsidR="0077027D">
              <w:rPr>
                <w:rFonts w:cs="Arial"/>
                <w:sz w:val="20"/>
                <w:szCs w:val="20"/>
              </w:rPr>
              <w:t>T</w:t>
            </w:r>
            <w:r w:rsidR="008E15D0">
              <w:rPr>
                <w:rFonts w:cs="Arial"/>
                <w:sz w:val="20"/>
                <w:szCs w:val="20"/>
              </w:rPr>
              <w:t>he Commonwealth</w:t>
            </w:r>
            <w:r w:rsidR="00F83520">
              <w:rPr>
                <w:rFonts w:cs="Arial"/>
                <w:sz w:val="20"/>
                <w:szCs w:val="20"/>
              </w:rPr>
              <w:t xml:space="preserve"> Fisheries</w:t>
            </w:r>
            <w:r w:rsidR="008E15D0">
              <w:rPr>
                <w:rFonts w:cs="Arial"/>
                <w:sz w:val="20"/>
                <w:szCs w:val="20"/>
              </w:rPr>
              <w:t xml:space="preserve"> Harvest St</w:t>
            </w:r>
            <w:r w:rsidR="00F83520">
              <w:rPr>
                <w:rFonts w:cs="Arial"/>
                <w:sz w:val="20"/>
                <w:szCs w:val="20"/>
              </w:rPr>
              <w:t>rategy Policy</w:t>
            </w:r>
            <w:r w:rsidR="007C6822">
              <w:rPr>
                <w:rFonts w:cs="Arial"/>
                <w:sz w:val="20"/>
                <w:szCs w:val="20"/>
              </w:rPr>
              <w:t>, recommends:</w:t>
            </w:r>
          </w:p>
          <w:p w14:paraId="10ADE8A3" w14:textId="38FCA9E9" w:rsidR="007B5FFD" w:rsidRDefault="007C6822" w:rsidP="00FA242F">
            <w:pPr>
              <w:spacing w:beforeLines="60" w:before="144" w:afterLines="60" w:after="144" w:line="276" w:lineRule="auto"/>
              <w:rPr>
                <w:rFonts w:cs="Arial"/>
                <w:sz w:val="20"/>
                <w:szCs w:val="20"/>
              </w:rPr>
            </w:pPr>
            <w:r>
              <w:rPr>
                <w:rFonts w:cs="Arial"/>
                <w:sz w:val="20"/>
                <w:szCs w:val="20"/>
              </w:rPr>
              <w:t>“</w:t>
            </w:r>
            <w:r w:rsidR="007B5FFD" w:rsidRPr="00A01FD1">
              <w:rPr>
                <w:rFonts w:cs="Arial"/>
                <w:i/>
                <w:iCs/>
                <w:sz w:val="20"/>
                <w:szCs w:val="20"/>
              </w:rPr>
              <w:t>Where information to support selection of a stock-specific limit reference point is not available, a proxy of 0.2 times unfished biomass should be used. In all cases, the species’ role in the proper functioning of the marine ecosystem should be considered and the limit reference point must be no less than 0.2 times unfished biomass.</w:t>
            </w:r>
            <w:r>
              <w:rPr>
                <w:rFonts w:cs="Arial"/>
                <w:sz w:val="20"/>
                <w:szCs w:val="20"/>
              </w:rPr>
              <w:t>”</w:t>
            </w:r>
            <w:r w:rsidR="007F48A5">
              <w:rPr>
                <w:rFonts w:cs="Arial"/>
                <w:sz w:val="20"/>
                <w:szCs w:val="20"/>
              </w:rPr>
              <w:t xml:space="preserve"> (DAWR 2018)</w:t>
            </w:r>
          </w:p>
          <w:p w14:paraId="7AA151D8" w14:textId="74C1ECE8" w:rsidR="000E0F5D" w:rsidRDefault="000E0F5D" w:rsidP="00FA242F">
            <w:pPr>
              <w:spacing w:beforeLines="60" w:before="144" w:afterLines="60" w:after="144" w:line="276" w:lineRule="auto"/>
              <w:rPr>
                <w:rFonts w:cs="Arial"/>
                <w:sz w:val="20"/>
                <w:szCs w:val="20"/>
              </w:rPr>
            </w:pPr>
            <w:r>
              <w:rPr>
                <w:rFonts w:cs="Arial"/>
                <w:sz w:val="20"/>
                <w:szCs w:val="20"/>
              </w:rPr>
              <w:t xml:space="preserve">The </w:t>
            </w:r>
            <w:r w:rsidR="00DD4065">
              <w:rPr>
                <w:rFonts w:cs="Arial"/>
                <w:sz w:val="20"/>
                <w:szCs w:val="20"/>
              </w:rPr>
              <w:t>Torres</w:t>
            </w:r>
            <w:r>
              <w:rPr>
                <w:rFonts w:cs="Arial"/>
                <w:sz w:val="20"/>
                <w:szCs w:val="20"/>
              </w:rPr>
              <w:t xml:space="preserve"> Strait </w:t>
            </w:r>
            <w:proofErr w:type="spellStart"/>
            <w:r>
              <w:rPr>
                <w:rFonts w:cs="Arial"/>
                <w:sz w:val="20"/>
                <w:szCs w:val="20"/>
              </w:rPr>
              <w:t>Beche</w:t>
            </w:r>
            <w:proofErr w:type="spellEnd"/>
            <w:r>
              <w:rPr>
                <w:rFonts w:cs="Arial"/>
                <w:sz w:val="20"/>
                <w:szCs w:val="20"/>
              </w:rPr>
              <w:t>-de-</w:t>
            </w:r>
            <w:proofErr w:type="spellStart"/>
            <w:r>
              <w:rPr>
                <w:rFonts w:cs="Arial"/>
                <w:sz w:val="20"/>
                <w:szCs w:val="20"/>
              </w:rPr>
              <w:t>mer</w:t>
            </w:r>
            <w:proofErr w:type="spellEnd"/>
            <w:r>
              <w:rPr>
                <w:rFonts w:cs="Arial"/>
                <w:sz w:val="20"/>
                <w:szCs w:val="20"/>
              </w:rPr>
              <w:t xml:space="preserve"> Fishery</w:t>
            </w:r>
            <w:r w:rsidR="00EF41E0">
              <w:rPr>
                <w:rFonts w:cs="Arial"/>
                <w:sz w:val="20"/>
                <w:szCs w:val="20"/>
              </w:rPr>
              <w:t>, which QDAF is part of the joint manage</w:t>
            </w:r>
            <w:r w:rsidR="00FA242F">
              <w:rPr>
                <w:rFonts w:cs="Arial"/>
                <w:sz w:val="20"/>
                <w:szCs w:val="20"/>
              </w:rPr>
              <w:t>ment</w:t>
            </w:r>
            <w:r w:rsidR="00A40692">
              <w:rPr>
                <w:rFonts w:cs="Arial"/>
                <w:sz w:val="20"/>
                <w:szCs w:val="20"/>
              </w:rPr>
              <w:t xml:space="preserve">, </w:t>
            </w:r>
            <w:r w:rsidR="007F48A5">
              <w:rPr>
                <w:rFonts w:cs="Arial"/>
                <w:sz w:val="20"/>
                <w:szCs w:val="20"/>
              </w:rPr>
              <w:t xml:space="preserve">uses a limit reference point of 40% </w:t>
            </w:r>
            <w:r w:rsidR="009A1A8D">
              <w:rPr>
                <w:rFonts w:cs="Arial"/>
                <w:sz w:val="20"/>
                <w:szCs w:val="20"/>
              </w:rPr>
              <w:t xml:space="preserve">noting the need </w:t>
            </w:r>
            <w:r w:rsidR="00B86207">
              <w:rPr>
                <w:rFonts w:cs="Arial"/>
                <w:sz w:val="20"/>
                <w:szCs w:val="20"/>
              </w:rPr>
              <w:t xml:space="preserve">for </w:t>
            </w:r>
            <w:r w:rsidR="009A1A8D">
              <w:rPr>
                <w:rFonts w:cs="Arial"/>
                <w:sz w:val="20"/>
                <w:szCs w:val="20"/>
              </w:rPr>
              <w:t xml:space="preserve">a more precautionary approach </w:t>
            </w:r>
            <w:r w:rsidR="00FA242F">
              <w:rPr>
                <w:rFonts w:cs="Arial"/>
                <w:sz w:val="20"/>
                <w:szCs w:val="20"/>
              </w:rPr>
              <w:t>for</w:t>
            </w:r>
            <w:r w:rsidR="009A1A8D">
              <w:rPr>
                <w:rFonts w:cs="Arial"/>
                <w:sz w:val="20"/>
                <w:szCs w:val="20"/>
              </w:rPr>
              <w:t xml:space="preserve"> managing</w:t>
            </w:r>
            <w:r w:rsidR="005A3DD5">
              <w:rPr>
                <w:rFonts w:cs="Arial"/>
                <w:sz w:val="20"/>
                <w:szCs w:val="20"/>
              </w:rPr>
              <w:t xml:space="preserve"> sea cucumbers due to </w:t>
            </w:r>
            <w:r w:rsidR="00DA2196">
              <w:rPr>
                <w:rFonts w:cs="Arial"/>
                <w:sz w:val="20"/>
                <w:szCs w:val="20"/>
              </w:rPr>
              <w:t>density dependent spawning</w:t>
            </w:r>
            <w:r w:rsidR="00972798">
              <w:rPr>
                <w:rFonts w:cs="Arial"/>
                <w:sz w:val="20"/>
                <w:szCs w:val="20"/>
              </w:rPr>
              <w:t xml:space="preserve"> success</w:t>
            </w:r>
            <w:r w:rsidR="00DA2196">
              <w:rPr>
                <w:rFonts w:cs="Arial"/>
                <w:sz w:val="20"/>
                <w:szCs w:val="20"/>
              </w:rPr>
              <w:t xml:space="preserve"> and vulnerability to fishing</w:t>
            </w:r>
            <w:r w:rsidR="00F87C83">
              <w:rPr>
                <w:rFonts w:cs="Arial"/>
                <w:sz w:val="20"/>
                <w:szCs w:val="20"/>
              </w:rPr>
              <w:t xml:space="preserve">. The </w:t>
            </w:r>
            <w:r w:rsidR="00DC0CC2">
              <w:rPr>
                <w:rFonts w:cs="Arial"/>
                <w:sz w:val="20"/>
                <w:szCs w:val="20"/>
              </w:rPr>
              <w:t>Torres Strait fishery harvest</w:t>
            </w:r>
            <w:r w:rsidR="00972798">
              <w:rPr>
                <w:rFonts w:cs="Arial"/>
                <w:sz w:val="20"/>
                <w:szCs w:val="20"/>
              </w:rPr>
              <w:t>s</w:t>
            </w:r>
            <w:r w:rsidR="00DC0CC2">
              <w:rPr>
                <w:rFonts w:cs="Arial"/>
                <w:sz w:val="20"/>
                <w:szCs w:val="20"/>
              </w:rPr>
              <w:t xml:space="preserve"> many of the same species and may share stocks with the </w:t>
            </w:r>
            <w:r w:rsidR="009E311E">
              <w:rPr>
                <w:rFonts w:cs="Arial"/>
                <w:sz w:val="20"/>
                <w:szCs w:val="20"/>
              </w:rPr>
              <w:t>fishery</w:t>
            </w:r>
            <w:r w:rsidR="005A1937">
              <w:rPr>
                <w:rFonts w:cs="Arial"/>
                <w:sz w:val="20"/>
                <w:szCs w:val="20"/>
              </w:rPr>
              <w:t>. There is no evidence to suggest that</w:t>
            </w:r>
            <w:r w:rsidR="00712FFC">
              <w:rPr>
                <w:rFonts w:cs="Arial"/>
                <w:sz w:val="20"/>
                <w:szCs w:val="20"/>
              </w:rPr>
              <w:t xml:space="preserve"> stocks</w:t>
            </w:r>
            <w:r w:rsidR="009E311E">
              <w:rPr>
                <w:rFonts w:cs="Arial"/>
                <w:sz w:val="20"/>
                <w:szCs w:val="20"/>
              </w:rPr>
              <w:t xml:space="preserve"> in t</w:t>
            </w:r>
            <w:r w:rsidR="00A847E0">
              <w:rPr>
                <w:rFonts w:cs="Arial"/>
                <w:sz w:val="20"/>
                <w:szCs w:val="20"/>
              </w:rPr>
              <w:t>his</w:t>
            </w:r>
            <w:r w:rsidR="009E311E">
              <w:rPr>
                <w:rFonts w:cs="Arial"/>
                <w:sz w:val="20"/>
                <w:szCs w:val="20"/>
              </w:rPr>
              <w:t xml:space="preserve"> fishery a</w:t>
            </w:r>
            <w:r w:rsidR="00712FFC">
              <w:rPr>
                <w:rFonts w:cs="Arial"/>
                <w:sz w:val="20"/>
                <w:szCs w:val="20"/>
              </w:rPr>
              <w:t>re less vulnerable to fishing or why a 20</w:t>
            </w:r>
            <w:r w:rsidR="002A4E0E">
              <w:rPr>
                <w:rFonts w:cs="Arial"/>
                <w:sz w:val="20"/>
                <w:szCs w:val="20"/>
              </w:rPr>
              <w:t>% limit reference point is more appropriate</w:t>
            </w:r>
            <w:r w:rsidR="005131A2">
              <w:rPr>
                <w:rFonts w:cs="Arial"/>
                <w:sz w:val="20"/>
                <w:szCs w:val="20"/>
              </w:rPr>
              <w:t xml:space="preserve"> in th</w:t>
            </w:r>
            <w:r w:rsidR="009E311E">
              <w:rPr>
                <w:rFonts w:cs="Arial"/>
                <w:sz w:val="20"/>
                <w:szCs w:val="20"/>
              </w:rPr>
              <w:t xml:space="preserve">is </w:t>
            </w:r>
            <w:r w:rsidR="00A847E0">
              <w:rPr>
                <w:rFonts w:cs="Arial"/>
                <w:sz w:val="20"/>
                <w:szCs w:val="20"/>
              </w:rPr>
              <w:t>fishery</w:t>
            </w:r>
            <w:r w:rsidR="009E311E">
              <w:rPr>
                <w:rFonts w:cs="Arial"/>
                <w:sz w:val="20"/>
                <w:szCs w:val="20"/>
              </w:rPr>
              <w:t>.</w:t>
            </w:r>
            <w:r w:rsidR="002A4E0E">
              <w:rPr>
                <w:rFonts w:cs="Arial"/>
                <w:sz w:val="20"/>
                <w:szCs w:val="20"/>
              </w:rPr>
              <w:t xml:space="preserve"> </w:t>
            </w:r>
          </w:p>
          <w:p w14:paraId="325A6C3A" w14:textId="7B28A01E" w:rsidR="00867590" w:rsidRPr="00433FCA" w:rsidRDefault="00BF0D9A" w:rsidP="00FA242F">
            <w:pPr>
              <w:spacing w:beforeLines="60" w:before="144" w:afterLines="60" w:after="144" w:line="276" w:lineRule="auto"/>
              <w:rPr>
                <w:rFonts w:cs="Arial"/>
                <w:sz w:val="20"/>
                <w:szCs w:val="20"/>
              </w:rPr>
            </w:pPr>
            <w:r>
              <w:rPr>
                <w:rFonts w:cs="Arial"/>
                <w:sz w:val="20"/>
                <w:szCs w:val="20"/>
              </w:rPr>
              <w:t xml:space="preserve">Tied 2 species are managed be individual </w:t>
            </w:r>
            <w:r w:rsidR="004D32C7">
              <w:rPr>
                <w:rFonts w:cs="Arial"/>
                <w:sz w:val="20"/>
                <w:szCs w:val="20"/>
              </w:rPr>
              <w:t xml:space="preserve">TAC reference limits. The harvest strategy includes a decision rule whereby </w:t>
            </w:r>
            <w:r w:rsidR="00F2427E">
              <w:rPr>
                <w:rFonts w:cs="Arial"/>
                <w:sz w:val="20"/>
                <w:szCs w:val="20"/>
              </w:rPr>
              <w:t>if the TAC limit for a species is reached the</w:t>
            </w:r>
            <w:r w:rsidR="005C6C6A">
              <w:rPr>
                <w:rFonts w:cs="Arial"/>
                <w:sz w:val="20"/>
                <w:szCs w:val="20"/>
              </w:rPr>
              <w:t xml:space="preserve">n a review of the TAC will be </w:t>
            </w:r>
            <w:r w:rsidR="009E18A4">
              <w:rPr>
                <w:rFonts w:cs="Arial"/>
                <w:sz w:val="20"/>
                <w:szCs w:val="20"/>
              </w:rPr>
              <w:t xml:space="preserve">triggered to determine the appropriate level of fishing to </w:t>
            </w:r>
            <w:r w:rsidR="00062834">
              <w:rPr>
                <w:rFonts w:cs="Arial"/>
                <w:sz w:val="20"/>
                <w:szCs w:val="20"/>
              </w:rPr>
              <w:t>achieve a 60% biomass target</w:t>
            </w:r>
            <w:r w:rsidR="00761348">
              <w:rPr>
                <w:rFonts w:cs="Arial"/>
                <w:sz w:val="20"/>
                <w:szCs w:val="20"/>
              </w:rPr>
              <w:t>.</w:t>
            </w:r>
            <w:r w:rsidR="000253F5">
              <w:rPr>
                <w:rFonts w:cs="Arial"/>
                <w:sz w:val="20"/>
                <w:szCs w:val="20"/>
              </w:rPr>
              <w:t xml:space="preserve"> </w:t>
            </w:r>
            <w:r w:rsidR="00C9447D">
              <w:rPr>
                <w:rFonts w:cs="Arial"/>
                <w:sz w:val="20"/>
                <w:szCs w:val="20"/>
              </w:rPr>
              <w:t xml:space="preserve">The department understands </w:t>
            </w:r>
            <w:r w:rsidR="00B0176F">
              <w:rPr>
                <w:rFonts w:cs="Arial"/>
                <w:sz w:val="20"/>
                <w:szCs w:val="20"/>
              </w:rPr>
              <w:t>this review would be undertaken</w:t>
            </w:r>
            <w:r w:rsidR="006820ED">
              <w:rPr>
                <w:rFonts w:cs="Arial"/>
                <w:sz w:val="20"/>
                <w:szCs w:val="20"/>
              </w:rPr>
              <w:t xml:space="preserve"> in conjunction with</w:t>
            </w:r>
            <w:r w:rsidR="00B0176F">
              <w:rPr>
                <w:rFonts w:cs="Arial"/>
                <w:sz w:val="20"/>
                <w:szCs w:val="20"/>
              </w:rPr>
              <w:t xml:space="preserve"> the fishery working group</w:t>
            </w:r>
            <w:r w:rsidR="0002798D">
              <w:rPr>
                <w:rFonts w:cs="Arial"/>
                <w:sz w:val="20"/>
                <w:szCs w:val="20"/>
              </w:rPr>
              <w:t xml:space="preserve">. </w:t>
            </w:r>
          </w:p>
        </w:tc>
      </w:tr>
      <w:tr w:rsidR="00867590" w:rsidRPr="00433FCA" w14:paraId="31A6BE89" w14:textId="77777777" w:rsidTr="002E5E60">
        <w:trPr>
          <w:cantSplit/>
        </w:trPr>
        <w:tc>
          <w:tcPr>
            <w:tcW w:w="1500" w:type="pct"/>
            <w:shd w:val="clear" w:color="auto" w:fill="FFC000"/>
          </w:tcPr>
          <w:p w14:paraId="039A44C7"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1.1.7 </w:t>
            </w:r>
            <w:r w:rsidRPr="00433FCA">
              <w:rPr>
                <w:rFonts w:cs="Arial"/>
                <w:sz w:val="20"/>
                <w:szCs w:val="20"/>
              </w:rPr>
              <w:t xml:space="preserve">There are management strategies in place capable of controlling the level of take. </w:t>
            </w:r>
          </w:p>
          <w:p w14:paraId="4CC54A7F" w14:textId="4F8715F5"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3771487C" w14:textId="78AE63B5" w:rsidR="005869AD" w:rsidRPr="00433FCA" w:rsidRDefault="005869AD" w:rsidP="00FA242F">
            <w:pPr>
              <w:spacing w:beforeLines="60" w:before="144" w:afterLines="60" w:after="144" w:line="276" w:lineRule="auto"/>
              <w:contextualSpacing/>
              <w:rPr>
                <w:rFonts w:cs="Arial"/>
                <w:b/>
                <w:sz w:val="20"/>
                <w:szCs w:val="20"/>
              </w:rPr>
            </w:pPr>
            <w:r w:rsidRPr="00F61806">
              <w:rPr>
                <w:rFonts w:cs="Arial"/>
                <w:b/>
                <w:sz w:val="20"/>
                <w:szCs w:val="20"/>
              </w:rPr>
              <w:t xml:space="preserve">Partially meets </w:t>
            </w:r>
            <w:r w:rsidRPr="00BD71E1">
              <w:rPr>
                <w:rFonts w:cs="Arial"/>
                <w:b/>
                <w:sz w:val="20"/>
                <w:szCs w:val="20"/>
              </w:rPr>
              <w:t xml:space="preserve">– </w:t>
            </w:r>
            <w:r w:rsidR="00A43C69" w:rsidRPr="00FA1BF3">
              <w:rPr>
                <w:rFonts w:cs="Arial"/>
                <w:b/>
                <w:sz w:val="20"/>
                <w:szCs w:val="20"/>
              </w:rPr>
              <w:t xml:space="preserve">Quota limits </w:t>
            </w:r>
            <w:r w:rsidR="00A661C9">
              <w:rPr>
                <w:rFonts w:cs="Arial"/>
                <w:b/>
                <w:sz w:val="20"/>
                <w:szCs w:val="20"/>
              </w:rPr>
              <w:t xml:space="preserve">are in place for </w:t>
            </w:r>
            <w:r w:rsidR="0019577F">
              <w:rPr>
                <w:rFonts w:cs="Arial"/>
                <w:b/>
                <w:sz w:val="20"/>
                <w:szCs w:val="20"/>
              </w:rPr>
              <w:t>target species</w:t>
            </w:r>
            <w:r w:rsidR="00A43C69" w:rsidRPr="00FA1BF3">
              <w:rPr>
                <w:rFonts w:cs="Arial"/>
                <w:b/>
                <w:sz w:val="20"/>
                <w:szCs w:val="20"/>
              </w:rPr>
              <w:t>,</w:t>
            </w:r>
            <w:r w:rsidR="00A92617" w:rsidRPr="00FA1BF3">
              <w:rPr>
                <w:rFonts w:cs="Arial"/>
                <w:b/>
                <w:sz w:val="20"/>
                <w:szCs w:val="20"/>
              </w:rPr>
              <w:t xml:space="preserve"> noting the fishery has a </w:t>
            </w:r>
            <w:r w:rsidR="0019577F">
              <w:rPr>
                <w:rFonts w:cs="Arial"/>
                <w:b/>
                <w:sz w:val="20"/>
                <w:szCs w:val="20"/>
              </w:rPr>
              <w:t>‘</w:t>
            </w:r>
            <w:r w:rsidR="00A92617" w:rsidRPr="00FA1BF3">
              <w:rPr>
                <w:rFonts w:cs="Arial"/>
                <w:b/>
                <w:sz w:val="20"/>
                <w:szCs w:val="20"/>
              </w:rPr>
              <w:t>basket</w:t>
            </w:r>
            <w:r w:rsidR="0019577F">
              <w:rPr>
                <w:rFonts w:cs="Arial"/>
                <w:b/>
                <w:sz w:val="20"/>
                <w:szCs w:val="20"/>
              </w:rPr>
              <w:t>’</w:t>
            </w:r>
            <w:r w:rsidR="00A92617" w:rsidRPr="00FA1BF3">
              <w:rPr>
                <w:rFonts w:cs="Arial"/>
                <w:b/>
                <w:sz w:val="20"/>
                <w:szCs w:val="20"/>
              </w:rPr>
              <w:t xml:space="preserve"> allowable take for several species.</w:t>
            </w:r>
            <w:r w:rsidR="00A43C69" w:rsidRPr="00FA1BF3">
              <w:rPr>
                <w:rFonts w:cs="Arial"/>
                <w:b/>
                <w:sz w:val="20"/>
                <w:szCs w:val="20"/>
              </w:rPr>
              <w:t xml:space="preserve"> RHAs </w:t>
            </w:r>
            <w:r w:rsidR="00A92617" w:rsidRPr="00FA1BF3">
              <w:rPr>
                <w:rFonts w:cs="Arial"/>
                <w:b/>
                <w:sz w:val="20"/>
                <w:szCs w:val="20"/>
              </w:rPr>
              <w:t xml:space="preserve">are </w:t>
            </w:r>
            <w:r w:rsidR="00A43C69" w:rsidRPr="00FA1BF3">
              <w:rPr>
                <w:rFonts w:cs="Arial"/>
                <w:b/>
                <w:sz w:val="20"/>
                <w:szCs w:val="20"/>
              </w:rPr>
              <w:t>in place but not actively monitored</w:t>
            </w:r>
            <w:r w:rsidR="00C74B33" w:rsidRPr="00FA1BF3">
              <w:rPr>
                <w:rFonts w:cs="Arial"/>
                <w:b/>
                <w:sz w:val="20"/>
                <w:szCs w:val="20"/>
              </w:rPr>
              <w:t>.</w:t>
            </w:r>
          </w:p>
          <w:p w14:paraId="7E9BD73A" w14:textId="3604006E" w:rsidR="006820ED" w:rsidRDefault="006820ED" w:rsidP="00FA242F">
            <w:pPr>
              <w:spacing w:beforeLines="60" w:before="144" w:afterLines="60" w:after="144" w:line="276" w:lineRule="auto"/>
              <w:rPr>
                <w:rFonts w:cs="Arial"/>
                <w:sz w:val="20"/>
                <w:szCs w:val="20"/>
              </w:rPr>
            </w:pPr>
            <w:r>
              <w:rPr>
                <w:rFonts w:cs="Arial"/>
                <w:sz w:val="20"/>
                <w:szCs w:val="20"/>
              </w:rPr>
              <w:t xml:space="preserve">There are quota limits for </w:t>
            </w:r>
            <w:r w:rsidR="000747D0">
              <w:rPr>
                <w:rFonts w:cs="Arial"/>
                <w:sz w:val="20"/>
                <w:szCs w:val="20"/>
              </w:rPr>
              <w:t xml:space="preserve">Burrowing Blackfish, </w:t>
            </w:r>
            <w:r>
              <w:rPr>
                <w:rFonts w:cs="Arial"/>
                <w:sz w:val="20"/>
                <w:szCs w:val="20"/>
              </w:rPr>
              <w:t xml:space="preserve">Black </w:t>
            </w:r>
            <w:proofErr w:type="spellStart"/>
            <w:r>
              <w:rPr>
                <w:rFonts w:cs="Arial"/>
                <w:sz w:val="20"/>
                <w:szCs w:val="20"/>
              </w:rPr>
              <w:t>Teatfish</w:t>
            </w:r>
            <w:proofErr w:type="spellEnd"/>
            <w:r>
              <w:rPr>
                <w:rFonts w:cs="Arial"/>
                <w:sz w:val="20"/>
                <w:szCs w:val="20"/>
              </w:rPr>
              <w:t xml:space="preserve"> and White </w:t>
            </w:r>
            <w:proofErr w:type="spellStart"/>
            <w:r>
              <w:rPr>
                <w:rFonts w:cs="Arial"/>
                <w:sz w:val="20"/>
                <w:szCs w:val="20"/>
              </w:rPr>
              <w:t>Teatfish</w:t>
            </w:r>
            <w:proofErr w:type="spellEnd"/>
            <w:r>
              <w:rPr>
                <w:rFonts w:cs="Arial"/>
                <w:sz w:val="20"/>
                <w:szCs w:val="20"/>
              </w:rPr>
              <w:t xml:space="preserve">, as well as ‘other sea cucumber’. </w:t>
            </w:r>
            <w:r w:rsidR="0088470F">
              <w:rPr>
                <w:rFonts w:cs="Arial"/>
                <w:sz w:val="20"/>
                <w:szCs w:val="20"/>
              </w:rPr>
              <w:t>The ‘other sea cucumber</w:t>
            </w:r>
            <w:r w:rsidR="00A34175">
              <w:rPr>
                <w:rFonts w:cs="Arial"/>
                <w:sz w:val="20"/>
                <w:szCs w:val="20"/>
              </w:rPr>
              <w:t xml:space="preserve">’ </w:t>
            </w:r>
            <w:r w:rsidR="00E43C7D">
              <w:rPr>
                <w:rFonts w:cs="Arial"/>
                <w:sz w:val="20"/>
                <w:szCs w:val="20"/>
              </w:rPr>
              <w:t>basket quota is divided</w:t>
            </w:r>
            <w:r w:rsidR="000747D0">
              <w:rPr>
                <w:rFonts w:cs="Arial"/>
                <w:sz w:val="20"/>
                <w:szCs w:val="20"/>
              </w:rPr>
              <w:t xml:space="preserve"> into</w:t>
            </w:r>
            <w:r w:rsidR="00E43C7D">
              <w:rPr>
                <w:rFonts w:cs="Arial"/>
                <w:sz w:val="20"/>
                <w:szCs w:val="20"/>
              </w:rPr>
              <w:t xml:space="preserve"> </w:t>
            </w:r>
            <w:r w:rsidR="00A5428B">
              <w:rPr>
                <w:rFonts w:cs="Arial"/>
                <w:sz w:val="20"/>
                <w:szCs w:val="20"/>
              </w:rPr>
              <w:t>species-specific</w:t>
            </w:r>
            <w:r w:rsidR="00713D76">
              <w:rPr>
                <w:rFonts w:cs="Arial"/>
                <w:sz w:val="20"/>
                <w:szCs w:val="20"/>
              </w:rPr>
              <w:t xml:space="preserve"> </w:t>
            </w:r>
            <w:r w:rsidR="000747D0">
              <w:rPr>
                <w:rFonts w:cs="Arial"/>
                <w:sz w:val="20"/>
                <w:szCs w:val="20"/>
              </w:rPr>
              <w:t>trigger limits</w:t>
            </w:r>
            <w:r w:rsidR="00713D76">
              <w:rPr>
                <w:rFonts w:cs="Arial"/>
                <w:sz w:val="20"/>
                <w:szCs w:val="20"/>
              </w:rPr>
              <w:t xml:space="preserve"> for most species.</w:t>
            </w:r>
            <w:r w:rsidR="00AE484F">
              <w:rPr>
                <w:rFonts w:cs="Arial"/>
                <w:sz w:val="20"/>
                <w:szCs w:val="20"/>
              </w:rPr>
              <w:t xml:space="preserve"> While quota limits </w:t>
            </w:r>
            <w:r w:rsidR="00704909">
              <w:rPr>
                <w:rFonts w:cs="Arial"/>
                <w:sz w:val="20"/>
                <w:szCs w:val="20"/>
              </w:rPr>
              <w:t>are enforceable</w:t>
            </w:r>
            <w:r w:rsidR="001D75FC">
              <w:rPr>
                <w:rFonts w:cs="Arial"/>
                <w:sz w:val="20"/>
                <w:szCs w:val="20"/>
              </w:rPr>
              <w:t>,</w:t>
            </w:r>
            <w:r w:rsidR="00704909">
              <w:rPr>
                <w:rFonts w:cs="Arial"/>
                <w:sz w:val="20"/>
                <w:szCs w:val="20"/>
              </w:rPr>
              <w:t xml:space="preserve"> </w:t>
            </w:r>
            <w:r w:rsidR="000747D0">
              <w:rPr>
                <w:rFonts w:cs="Arial"/>
                <w:sz w:val="20"/>
                <w:szCs w:val="20"/>
              </w:rPr>
              <w:t>trigger</w:t>
            </w:r>
            <w:r w:rsidR="00704909">
              <w:rPr>
                <w:rFonts w:cs="Arial"/>
                <w:sz w:val="20"/>
                <w:szCs w:val="20"/>
              </w:rPr>
              <w:t xml:space="preserve"> limits under the </w:t>
            </w:r>
            <w:r w:rsidR="00C54023">
              <w:rPr>
                <w:rFonts w:cs="Arial"/>
                <w:sz w:val="20"/>
                <w:szCs w:val="20"/>
              </w:rPr>
              <w:t xml:space="preserve">‘other sea cucumbers’ do not represent firm limits </w:t>
            </w:r>
            <w:r w:rsidR="00A77023">
              <w:rPr>
                <w:rFonts w:cs="Arial"/>
                <w:sz w:val="20"/>
                <w:szCs w:val="20"/>
              </w:rPr>
              <w:t>for stopping fishing</w:t>
            </w:r>
            <w:r w:rsidR="00811A23">
              <w:rPr>
                <w:rFonts w:cs="Arial"/>
                <w:sz w:val="20"/>
                <w:szCs w:val="20"/>
              </w:rPr>
              <w:t>.</w:t>
            </w:r>
          </w:p>
          <w:p w14:paraId="0F14F279" w14:textId="7DCBB20C" w:rsidR="00867590" w:rsidRPr="00433FCA" w:rsidRDefault="00A1771C" w:rsidP="00762740">
            <w:pPr>
              <w:spacing w:beforeLines="60" w:before="144" w:afterLines="60" w:after="144" w:line="276" w:lineRule="auto"/>
              <w:rPr>
                <w:rFonts w:cs="Arial"/>
                <w:sz w:val="20"/>
                <w:szCs w:val="20"/>
              </w:rPr>
            </w:pPr>
            <w:r>
              <w:rPr>
                <w:rFonts w:cs="Arial"/>
                <w:sz w:val="20"/>
                <w:szCs w:val="20"/>
              </w:rPr>
              <w:t xml:space="preserve">For species </w:t>
            </w:r>
            <w:r w:rsidR="002B4883">
              <w:rPr>
                <w:rFonts w:cs="Arial"/>
                <w:sz w:val="20"/>
                <w:szCs w:val="20"/>
              </w:rPr>
              <w:t xml:space="preserve">without </w:t>
            </w:r>
            <w:r w:rsidR="001B13D7">
              <w:rPr>
                <w:rFonts w:cs="Arial"/>
                <w:sz w:val="20"/>
                <w:szCs w:val="20"/>
              </w:rPr>
              <w:t>stock assessment</w:t>
            </w:r>
            <w:r w:rsidR="002B4883">
              <w:rPr>
                <w:rFonts w:cs="Arial"/>
                <w:sz w:val="20"/>
                <w:szCs w:val="20"/>
              </w:rPr>
              <w:t>s to inform</w:t>
            </w:r>
            <w:r w:rsidR="001B13D7">
              <w:rPr>
                <w:rFonts w:cs="Arial"/>
                <w:sz w:val="20"/>
                <w:szCs w:val="20"/>
              </w:rPr>
              <w:t xml:space="preserve"> management, </w:t>
            </w:r>
            <w:r w:rsidR="00543EB2">
              <w:rPr>
                <w:rFonts w:cs="Arial"/>
                <w:sz w:val="20"/>
                <w:szCs w:val="20"/>
              </w:rPr>
              <w:t>the</w:t>
            </w:r>
            <w:r>
              <w:rPr>
                <w:rFonts w:cs="Arial"/>
                <w:sz w:val="20"/>
                <w:szCs w:val="20"/>
              </w:rPr>
              <w:t xml:space="preserve"> </w:t>
            </w:r>
            <w:r w:rsidR="00A2649C">
              <w:rPr>
                <w:rFonts w:cs="Arial"/>
                <w:sz w:val="20"/>
                <w:szCs w:val="20"/>
              </w:rPr>
              <w:t>RHA</w:t>
            </w:r>
            <w:r w:rsidR="006A41A1">
              <w:rPr>
                <w:rFonts w:cs="Arial"/>
                <w:sz w:val="20"/>
                <w:szCs w:val="20"/>
              </w:rPr>
              <w:t>s</w:t>
            </w:r>
            <w:r w:rsidR="00543EB2">
              <w:rPr>
                <w:rFonts w:cs="Arial"/>
                <w:sz w:val="20"/>
                <w:szCs w:val="20"/>
              </w:rPr>
              <w:t xml:space="preserve"> </w:t>
            </w:r>
            <w:r w:rsidR="008B6A5E">
              <w:rPr>
                <w:rFonts w:cs="Arial"/>
                <w:sz w:val="20"/>
                <w:szCs w:val="20"/>
              </w:rPr>
              <w:t xml:space="preserve">help </w:t>
            </w:r>
            <w:r w:rsidR="00543EB2">
              <w:rPr>
                <w:rFonts w:cs="Arial"/>
                <w:sz w:val="20"/>
                <w:szCs w:val="20"/>
              </w:rPr>
              <w:t xml:space="preserve">protect against </w:t>
            </w:r>
            <w:r w:rsidR="00EE77A0">
              <w:rPr>
                <w:rFonts w:cs="Arial"/>
                <w:sz w:val="20"/>
                <w:szCs w:val="20"/>
              </w:rPr>
              <w:t>depletion</w:t>
            </w:r>
            <w:r w:rsidR="00543EB2">
              <w:rPr>
                <w:rFonts w:cs="Arial"/>
                <w:sz w:val="20"/>
                <w:szCs w:val="20"/>
              </w:rPr>
              <w:t xml:space="preserve">. </w:t>
            </w:r>
            <w:r w:rsidR="00A122AB">
              <w:rPr>
                <w:rFonts w:cs="Arial"/>
                <w:sz w:val="20"/>
                <w:szCs w:val="20"/>
              </w:rPr>
              <w:t>T</w:t>
            </w:r>
            <w:r w:rsidR="006A41A1">
              <w:rPr>
                <w:rFonts w:cs="Arial"/>
                <w:sz w:val="20"/>
                <w:szCs w:val="20"/>
              </w:rPr>
              <w:t xml:space="preserve">he RHAs were originally an </w:t>
            </w:r>
            <w:r w:rsidR="0069623B">
              <w:rPr>
                <w:rFonts w:cs="Arial"/>
                <w:sz w:val="20"/>
                <w:szCs w:val="20"/>
              </w:rPr>
              <w:t xml:space="preserve">industry initiative and historic monitoring of </w:t>
            </w:r>
            <w:r w:rsidR="00A122AB">
              <w:rPr>
                <w:rFonts w:cs="Arial"/>
                <w:sz w:val="20"/>
                <w:szCs w:val="20"/>
              </w:rPr>
              <w:t>VMS data</w:t>
            </w:r>
            <w:r w:rsidR="0069623B">
              <w:rPr>
                <w:rFonts w:cs="Arial"/>
                <w:sz w:val="20"/>
                <w:szCs w:val="20"/>
              </w:rPr>
              <w:t xml:space="preserve"> indicated </w:t>
            </w:r>
            <w:r w:rsidR="00A122AB">
              <w:rPr>
                <w:rFonts w:cs="Arial"/>
                <w:sz w:val="20"/>
                <w:szCs w:val="20"/>
              </w:rPr>
              <w:t xml:space="preserve">a high degree of compliance. </w:t>
            </w:r>
            <w:r w:rsidR="00E414BA">
              <w:rPr>
                <w:rFonts w:cs="Arial"/>
                <w:sz w:val="20"/>
                <w:szCs w:val="20"/>
              </w:rPr>
              <w:t xml:space="preserve">QDAF </w:t>
            </w:r>
            <w:r w:rsidR="000A40C6">
              <w:rPr>
                <w:rFonts w:cs="Arial"/>
                <w:sz w:val="20"/>
                <w:szCs w:val="20"/>
              </w:rPr>
              <w:t>has</w:t>
            </w:r>
            <w:r w:rsidR="00E414BA">
              <w:rPr>
                <w:rFonts w:cs="Arial"/>
                <w:sz w:val="20"/>
                <w:szCs w:val="20"/>
              </w:rPr>
              <w:t xml:space="preserve"> confirmed there isn’t currently a formal program in place to review VMS</w:t>
            </w:r>
            <w:r w:rsidR="00A43C69">
              <w:rPr>
                <w:rFonts w:cs="Arial"/>
                <w:sz w:val="20"/>
                <w:szCs w:val="20"/>
              </w:rPr>
              <w:t xml:space="preserve"> data</w:t>
            </w:r>
            <w:r w:rsidR="00E414BA">
              <w:rPr>
                <w:rFonts w:cs="Arial"/>
                <w:sz w:val="20"/>
                <w:szCs w:val="20"/>
              </w:rPr>
              <w:t xml:space="preserve"> to </w:t>
            </w:r>
            <w:r w:rsidR="00A43C69">
              <w:rPr>
                <w:rFonts w:cs="Arial"/>
                <w:sz w:val="20"/>
                <w:szCs w:val="20"/>
              </w:rPr>
              <w:t>ensure the fishery is adhering to</w:t>
            </w:r>
            <w:r w:rsidR="000A40C6">
              <w:rPr>
                <w:rFonts w:cs="Arial"/>
                <w:sz w:val="20"/>
                <w:szCs w:val="20"/>
              </w:rPr>
              <w:t xml:space="preserve"> the</w:t>
            </w:r>
            <w:r w:rsidR="00A43C69">
              <w:rPr>
                <w:rFonts w:cs="Arial"/>
                <w:sz w:val="20"/>
                <w:szCs w:val="20"/>
              </w:rPr>
              <w:t xml:space="preserve"> </w:t>
            </w:r>
            <w:r w:rsidR="00743AC4">
              <w:rPr>
                <w:rFonts w:cs="Arial"/>
                <w:sz w:val="20"/>
                <w:szCs w:val="20"/>
              </w:rPr>
              <w:t>time</w:t>
            </w:r>
            <w:r w:rsidR="003D6242">
              <w:rPr>
                <w:rFonts w:cs="Arial"/>
                <w:sz w:val="20"/>
                <w:szCs w:val="20"/>
              </w:rPr>
              <w:t xml:space="preserve"> limits</w:t>
            </w:r>
            <w:r w:rsidR="00743AC4">
              <w:rPr>
                <w:rFonts w:cs="Arial"/>
                <w:sz w:val="20"/>
                <w:szCs w:val="20"/>
              </w:rPr>
              <w:t xml:space="preserve"> and spatial </w:t>
            </w:r>
            <w:r w:rsidR="003D6242">
              <w:rPr>
                <w:rFonts w:cs="Arial"/>
                <w:sz w:val="20"/>
                <w:szCs w:val="20"/>
              </w:rPr>
              <w:t>restriction</w:t>
            </w:r>
            <w:r w:rsidR="000A40C6">
              <w:rPr>
                <w:rFonts w:cs="Arial"/>
                <w:sz w:val="20"/>
                <w:szCs w:val="20"/>
              </w:rPr>
              <w:t>s</w:t>
            </w:r>
            <w:r w:rsidR="003D6242">
              <w:rPr>
                <w:rFonts w:cs="Arial"/>
                <w:sz w:val="20"/>
                <w:szCs w:val="20"/>
              </w:rPr>
              <w:t xml:space="preserve"> outlined in the RHAs.</w:t>
            </w:r>
          </w:p>
        </w:tc>
      </w:tr>
      <w:tr w:rsidR="00867590" w:rsidRPr="00433FCA" w14:paraId="2457E862" w14:textId="77777777" w:rsidTr="00AF2EEA">
        <w:trPr>
          <w:cantSplit/>
        </w:trPr>
        <w:tc>
          <w:tcPr>
            <w:tcW w:w="1500" w:type="pct"/>
            <w:shd w:val="clear" w:color="auto" w:fill="FFC000"/>
          </w:tcPr>
          <w:p w14:paraId="504D319A"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lastRenderedPageBreak/>
              <w:t xml:space="preserve">1.1.8 </w:t>
            </w:r>
            <w:r w:rsidRPr="00433FCA">
              <w:rPr>
                <w:rFonts w:cs="Arial"/>
                <w:sz w:val="20"/>
                <w:szCs w:val="20"/>
              </w:rPr>
              <w:t xml:space="preserve">Fishing is conducted in a manner that does not threaten stocks of </w:t>
            </w:r>
            <w:proofErr w:type="spellStart"/>
            <w:r w:rsidRPr="00433FCA">
              <w:rPr>
                <w:rFonts w:cs="Arial"/>
                <w:sz w:val="20"/>
                <w:szCs w:val="20"/>
              </w:rPr>
              <w:t>byproduct</w:t>
            </w:r>
            <w:proofErr w:type="spellEnd"/>
            <w:r w:rsidRPr="00433FCA">
              <w:rPr>
                <w:rFonts w:cs="Arial"/>
                <w:sz w:val="20"/>
                <w:szCs w:val="20"/>
              </w:rPr>
              <w:t xml:space="preserve"> species.</w:t>
            </w:r>
          </w:p>
          <w:p w14:paraId="4099D757" w14:textId="438F01D5"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02274167" w14:textId="75DD1F55" w:rsidR="00C74B33" w:rsidRPr="00433FCA" w:rsidRDefault="00575E51" w:rsidP="00762740">
            <w:pPr>
              <w:spacing w:beforeLines="60" w:before="144" w:afterLines="60" w:after="144" w:line="276" w:lineRule="auto"/>
              <w:contextualSpacing/>
              <w:rPr>
                <w:rFonts w:cs="Arial"/>
                <w:b/>
                <w:sz w:val="20"/>
                <w:szCs w:val="20"/>
              </w:rPr>
            </w:pPr>
            <w:r>
              <w:rPr>
                <w:rFonts w:cs="Arial"/>
                <w:b/>
                <w:sz w:val="20"/>
                <w:szCs w:val="20"/>
              </w:rPr>
              <w:t xml:space="preserve">Partially </w:t>
            </w:r>
            <w:r w:rsidR="005869AD" w:rsidRPr="00D633C4">
              <w:rPr>
                <w:rFonts w:cs="Arial"/>
                <w:b/>
                <w:sz w:val="20"/>
                <w:szCs w:val="20"/>
              </w:rPr>
              <w:t xml:space="preserve">Meets – </w:t>
            </w:r>
            <w:r w:rsidRPr="00136598">
              <w:rPr>
                <w:rFonts w:cs="Arial"/>
                <w:b/>
                <w:sz w:val="20"/>
                <w:szCs w:val="20"/>
              </w:rPr>
              <w:t xml:space="preserve">Quota limits </w:t>
            </w:r>
            <w:r w:rsidR="00136598">
              <w:rPr>
                <w:rFonts w:cs="Arial"/>
                <w:b/>
                <w:sz w:val="20"/>
                <w:szCs w:val="20"/>
              </w:rPr>
              <w:t xml:space="preserve">are in place </w:t>
            </w:r>
            <w:r w:rsidRPr="00136598">
              <w:rPr>
                <w:rFonts w:cs="Arial"/>
                <w:b/>
                <w:sz w:val="20"/>
                <w:szCs w:val="20"/>
              </w:rPr>
              <w:t>for target species,</w:t>
            </w:r>
            <w:r w:rsidR="009C00CC">
              <w:rPr>
                <w:rFonts w:cs="Arial"/>
                <w:b/>
                <w:sz w:val="20"/>
                <w:szCs w:val="20"/>
              </w:rPr>
              <w:t xml:space="preserve"> noting </w:t>
            </w:r>
            <w:r w:rsidRPr="00136598">
              <w:rPr>
                <w:rFonts w:cs="Arial"/>
                <w:b/>
                <w:sz w:val="20"/>
                <w:szCs w:val="20"/>
              </w:rPr>
              <w:t xml:space="preserve">the fishery has a </w:t>
            </w:r>
            <w:r w:rsidR="009C00CC">
              <w:rPr>
                <w:rFonts w:cs="Arial"/>
                <w:b/>
                <w:sz w:val="20"/>
                <w:szCs w:val="20"/>
              </w:rPr>
              <w:t>‘</w:t>
            </w:r>
            <w:r w:rsidRPr="00136598">
              <w:rPr>
                <w:rFonts w:cs="Arial"/>
                <w:b/>
                <w:sz w:val="20"/>
                <w:szCs w:val="20"/>
              </w:rPr>
              <w:t>basket</w:t>
            </w:r>
            <w:r w:rsidR="009C00CC">
              <w:rPr>
                <w:rFonts w:cs="Arial"/>
                <w:b/>
                <w:sz w:val="20"/>
                <w:szCs w:val="20"/>
              </w:rPr>
              <w:t>’</w:t>
            </w:r>
            <w:r w:rsidRPr="00136598">
              <w:rPr>
                <w:rFonts w:cs="Arial"/>
                <w:b/>
                <w:sz w:val="20"/>
                <w:szCs w:val="20"/>
              </w:rPr>
              <w:t xml:space="preserve"> allowable take for several species.</w:t>
            </w:r>
          </w:p>
          <w:p w14:paraId="7A844100" w14:textId="3112509D" w:rsidR="00575E51" w:rsidRDefault="00575E51" w:rsidP="00575E51">
            <w:pPr>
              <w:spacing w:beforeLines="60" w:before="144" w:afterLines="60" w:after="144" w:line="276" w:lineRule="auto"/>
              <w:rPr>
                <w:rFonts w:cs="Arial"/>
                <w:sz w:val="20"/>
                <w:szCs w:val="20"/>
              </w:rPr>
            </w:pPr>
            <w:r>
              <w:rPr>
                <w:rFonts w:cs="Arial"/>
                <w:sz w:val="20"/>
                <w:szCs w:val="20"/>
              </w:rPr>
              <w:t xml:space="preserve">There are quota limits for Burrowing Blackfish, Black </w:t>
            </w:r>
            <w:proofErr w:type="spellStart"/>
            <w:r>
              <w:rPr>
                <w:rFonts w:cs="Arial"/>
                <w:sz w:val="20"/>
                <w:szCs w:val="20"/>
              </w:rPr>
              <w:t>Teatfish</w:t>
            </w:r>
            <w:proofErr w:type="spellEnd"/>
            <w:r>
              <w:rPr>
                <w:rFonts w:cs="Arial"/>
                <w:sz w:val="20"/>
                <w:szCs w:val="20"/>
              </w:rPr>
              <w:t xml:space="preserve"> and White </w:t>
            </w:r>
            <w:proofErr w:type="spellStart"/>
            <w:r>
              <w:rPr>
                <w:rFonts w:cs="Arial"/>
                <w:sz w:val="20"/>
                <w:szCs w:val="20"/>
              </w:rPr>
              <w:t>Teatfish</w:t>
            </w:r>
            <w:proofErr w:type="spellEnd"/>
            <w:r>
              <w:rPr>
                <w:rFonts w:cs="Arial"/>
                <w:sz w:val="20"/>
                <w:szCs w:val="20"/>
              </w:rPr>
              <w:t xml:space="preserve">, as well as ‘other sea cucumber’. The ‘other sea cucumber’ basket quota is divided into species-specific trigger limits for most species. While quota limits are enforceable, trigger limits under the ‘other sea cucumbers’ do not represent firm limits </w:t>
            </w:r>
            <w:r w:rsidR="000B6A55">
              <w:rPr>
                <w:rFonts w:cs="Arial"/>
                <w:sz w:val="20"/>
                <w:szCs w:val="20"/>
              </w:rPr>
              <w:t>for stopping fishing</w:t>
            </w:r>
            <w:r>
              <w:rPr>
                <w:rFonts w:cs="Arial"/>
                <w:sz w:val="20"/>
                <w:szCs w:val="20"/>
              </w:rPr>
              <w:t>.</w:t>
            </w:r>
          </w:p>
          <w:p w14:paraId="30F78FE4" w14:textId="5D709642" w:rsidR="0037773A" w:rsidRPr="00433FCA" w:rsidRDefault="00575E51" w:rsidP="00762740">
            <w:pPr>
              <w:spacing w:beforeLines="60" w:before="144" w:afterLines="60" w:after="144" w:line="276" w:lineRule="auto"/>
              <w:contextualSpacing/>
              <w:rPr>
                <w:rFonts w:cs="Arial"/>
                <w:sz w:val="20"/>
                <w:szCs w:val="20"/>
              </w:rPr>
            </w:pPr>
            <w:r>
              <w:rPr>
                <w:rFonts w:cs="Arial"/>
                <w:sz w:val="20"/>
                <w:szCs w:val="20"/>
              </w:rPr>
              <w:t xml:space="preserve">For species </w:t>
            </w:r>
            <w:r w:rsidR="00C830DA">
              <w:rPr>
                <w:rFonts w:cs="Arial"/>
                <w:sz w:val="20"/>
                <w:szCs w:val="20"/>
              </w:rPr>
              <w:t xml:space="preserve">without </w:t>
            </w:r>
            <w:r>
              <w:rPr>
                <w:rFonts w:cs="Arial"/>
                <w:sz w:val="20"/>
                <w:szCs w:val="20"/>
              </w:rPr>
              <w:t>stock assessment</w:t>
            </w:r>
            <w:r w:rsidR="00C830DA">
              <w:rPr>
                <w:rFonts w:cs="Arial"/>
                <w:sz w:val="20"/>
                <w:szCs w:val="20"/>
              </w:rPr>
              <w:t>s</w:t>
            </w:r>
            <w:r>
              <w:rPr>
                <w:rFonts w:cs="Arial"/>
                <w:sz w:val="20"/>
                <w:szCs w:val="20"/>
              </w:rPr>
              <w:t xml:space="preserve"> </w:t>
            </w:r>
            <w:r w:rsidR="00C830DA">
              <w:rPr>
                <w:rFonts w:cs="Arial"/>
                <w:sz w:val="20"/>
                <w:szCs w:val="20"/>
              </w:rPr>
              <w:t xml:space="preserve">to inform </w:t>
            </w:r>
            <w:r>
              <w:rPr>
                <w:rFonts w:cs="Arial"/>
                <w:sz w:val="20"/>
                <w:szCs w:val="20"/>
              </w:rPr>
              <w:t xml:space="preserve">management, the RHAs </w:t>
            </w:r>
            <w:r w:rsidR="00C830DA">
              <w:rPr>
                <w:rFonts w:cs="Arial"/>
                <w:sz w:val="20"/>
                <w:szCs w:val="20"/>
              </w:rPr>
              <w:t>help</w:t>
            </w:r>
            <w:r>
              <w:rPr>
                <w:rFonts w:cs="Arial"/>
                <w:sz w:val="20"/>
                <w:szCs w:val="20"/>
              </w:rPr>
              <w:t xml:space="preserve"> protect against depleti</w:t>
            </w:r>
            <w:r w:rsidR="007726BC">
              <w:rPr>
                <w:rFonts w:cs="Arial"/>
                <w:sz w:val="20"/>
                <w:szCs w:val="20"/>
              </w:rPr>
              <w:t>on</w:t>
            </w:r>
            <w:r>
              <w:rPr>
                <w:rFonts w:cs="Arial"/>
                <w:sz w:val="20"/>
                <w:szCs w:val="20"/>
              </w:rPr>
              <w:t>. The RHAs were originally an industry initiative and historic monitoring of VMS data indicated a high degree of compliance. QDAF h</w:t>
            </w:r>
            <w:r w:rsidR="00DA73F3">
              <w:rPr>
                <w:rFonts w:cs="Arial"/>
                <w:sz w:val="20"/>
                <w:szCs w:val="20"/>
              </w:rPr>
              <w:t>as</w:t>
            </w:r>
            <w:r>
              <w:rPr>
                <w:rFonts w:cs="Arial"/>
                <w:sz w:val="20"/>
                <w:szCs w:val="20"/>
              </w:rPr>
              <w:t xml:space="preserve"> confirmed there isn’t currently a formal program in place to review VMS data to ensure the fishery is adhering to time limits and spatial restriction</w:t>
            </w:r>
            <w:r w:rsidR="00DF4E00">
              <w:rPr>
                <w:rFonts w:cs="Arial"/>
                <w:sz w:val="20"/>
                <w:szCs w:val="20"/>
              </w:rPr>
              <w:t>s</w:t>
            </w:r>
            <w:r>
              <w:rPr>
                <w:rFonts w:cs="Arial"/>
                <w:sz w:val="20"/>
                <w:szCs w:val="20"/>
              </w:rPr>
              <w:t xml:space="preserve"> outlined in the RHAs.</w:t>
            </w:r>
          </w:p>
        </w:tc>
      </w:tr>
      <w:tr w:rsidR="00867590" w:rsidRPr="00433FCA" w14:paraId="2961A6DF" w14:textId="77777777" w:rsidTr="002F0C8B">
        <w:trPr>
          <w:cantSplit/>
        </w:trPr>
        <w:tc>
          <w:tcPr>
            <w:tcW w:w="5000" w:type="pct"/>
            <w:gridSpan w:val="2"/>
            <w:shd w:val="clear" w:color="auto" w:fill="DAEEF3"/>
          </w:tcPr>
          <w:p w14:paraId="27314CF2" w14:textId="00D8E667" w:rsidR="00867590" w:rsidRPr="00433FCA" w:rsidRDefault="00867590" w:rsidP="00762740">
            <w:pPr>
              <w:spacing w:beforeLines="60" w:before="144" w:afterLines="60" w:after="144" w:line="276" w:lineRule="auto"/>
              <w:contextualSpacing/>
              <w:rPr>
                <w:rFonts w:cs="Arial"/>
                <w:sz w:val="20"/>
                <w:szCs w:val="20"/>
              </w:rPr>
            </w:pPr>
            <w:r w:rsidRPr="00433FCA">
              <w:rPr>
                <w:rFonts w:cs="Arial"/>
                <w:sz w:val="20"/>
                <w:szCs w:val="20"/>
              </w:rPr>
              <w:t xml:space="preserve">(Guidelines 1.1.1 to 1.1.7 should be applied to </w:t>
            </w:r>
            <w:proofErr w:type="spellStart"/>
            <w:r w:rsidRPr="00433FCA">
              <w:rPr>
                <w:rFonts w:cs="Arial"/>
                <w:sz w:val="20"/>
                <w:szCs w:val="20"/>
              </w:rPr>
              <w:t>byproduct</w:t>
            </w:r>
            <w:proofErr w:type="spellEnd"/>
            <w:r w:rsidRPr="00433FCA">
              <w:rPr>
                <w:rFonts w:cs="Arial"/>
                <w:sz w:val="20"/>
                <w:szCs w:val="20"/>
              </w:rPr>
              <w:t xml:space="preserve"> species to an appropriate level) </w:t>
            </w:r>
          </w:p>
        </w:tc>
      </w:tr>
      <w:tr w:rsidR="005B1724" w:rsidRPr="00433FCA" w14:paraId="4222D52C" w14:textId="77777777" w:rsidTr="00AF2EEA">
        <w:trPr>
          <w:cantSplit/>
        </w:trPr>
        <w:tc>
          <w:tcPr>
            <w:tcW w:w="1500" w:type="pct"/>
            <w:shd w:val="clear" w:color="auto" w:fill="FFC000"/>
          </w:tcPr>
          <w:p w14:paraId="3C74BA56"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1.1.9 </w:t>
            </w:r>
            <w:r w:rsidRPr="00433FCA">
              <w:rPr>
                <w:rFonts w:cs="Arial"/>
                <w:sz w:val="20"/>
                <w:szCs w:val="20"/>
              </w:rPr>
              <w:t>The management response, considering uncertainties in the assessment and precautionary management actions, has a high chance of achieving the objective.</w:t>
            </w:r>
          </w:p>
          <w:p w14:paraId="4861A5F6" w14:textId="288FFA1C"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1BC20FF4" w14:textId="2F686F78" w:rsidR="005B1724" w:rsidRPr="00FA1BF3" w:rsidRDefault="005B1724" w:rsidP="005B1724">
            <w:pPr>
              <w:spacing w:beforeLines="60" w:before="144" w:afterLines="60" w:after="144" w:line="276" w:lineRule="auto"/>
              <w:contextualSpacing/>
              <w:rPr>
                <w:rFonts w:cs="Arial"/>
                <w:b/>
                <w:sz w:val="20"/>
                <w:szCs w:val="20"/>
              </w:rPr>
            </w:pPr>
            <w:r>
              <w:rPr>
                <w:rFonts w:cs="Arial"/>
                <w:b/>
                <w:sz w:val="20"/>
                <w:szCs w:val="20"/>
              </w:rPr>
              <w:t xml:space="preserve">Partially </w:t>
            </w:r>
            <w:r w:rsidRPr="00D633C4">
              <w:rPr>
                <w:rFonts w:cs="Arial"/>
                <w:b/>
                <w:sz w:val="20"/>
                <w:szCs w:val="20"/>
              </w:rPr>
              <w:t xml:space="preserve">Meets </w:t>
            </w:r>
            <w:r w:rsidRPr="00FA1BF3">
              <w:rPr>
                <w:rFonts w:cs="Arial"/>
                <w:b/>
                <w:sz w:val="20"/>
                <w:szCs w:val="20"/>
              </w:rPr>
              <w:t>– Quota limits for target species are in place,</w:t>
            </w:r>
            <w:r w:rsidR="00DF4E00">
              <w:rPr>
                <w:rFonts w:cs="Arial"/>
                <w:b/>
                <w:sz w:val="20"/>
                <w:szCs w:val="20"/>
              </w:rPr>
              <w:t xml:space="preserve"> noting</w:t>
            </w:r>
            <w:r w:rsidRPr="00FA1BF3">
              <w:rPr>
                <w:rFonts w:cs="Arial"/>
                <w:b/>
                <w:sz w:val="20"/>
                <w:szCs w:val="20"/>
              </w:rPr>
              <w:t xml:space="preserve"> the fishery has a </w:t>
            </w:r>
            <w:r w:rsidR="00DF4E00">
              <w:rPr>
                <w:rFonts w:cs="Arial"/>
                <w:b/>
                <w:sz w:val="20"/>
                <w:szCs w:val="20"/>
              </w:rPr>
              <w:t>‘</w:t>
            </w:r>
            <w:r w:rsidRPr="00FA1BF3">
              <w:rPr>
                <w:rFonts w:cs="Arial"/>
                <w:b/>
                <w:sz w:val="20"/>
                <w:szCs w:val="20"/>
              </w:rPr>
              <w:t>basket</w:t>
            </w:r>
            <w:r w:rsidR="00DF4E00">
              <w:rPr>
                <w:rFonts w:cs="Arial"/>
                <w:b/>
                <w:sz w:val="20"/>
                <w:szCs w:val="20"/>
              </w:rPr>
              <w:t>’</w:t>
            </w:r>
            <w:r w:rsidRPr="00FA1BF3">
              <w:rPr>
                <w:rFonts w:cs="Arial"/>
                <w:b/>
                <w:sz w:val="20"/>
                <w:szCs w:val="20"/>
              </w:rPr>
              <w:t xml:space="preserve"> allowable take for several species.</w:t>
            </w:r>
          </w:p>
          <w:p w14:paraId="11795DCB" w14:textId="3AA2A3D9" w:rsidR="005B1724" w:rsidRDefault="005B1724" w:rsidP="005B1724">
            <w:pPr>
              <w:spacing w:beforeLines="60" w:before="144" w:afterLines="60" w:after="144" w:line="276" w:lineRule="auto"/>
              <w:rPr>
                <w:rFonts w:cs="Arial"/>
                <w:sz w:val="20"/>
                <w:szCs w:val="20"/>
              </w:rPr>
            </w:pPr>
            <w:r>
              <w:rPr>
                <w:rFonts w:cs="Arial"/>
                <w:sz w:val="20"/>
                <w:szCs w:val="20"/>
              </w:rPr>
              <w:t xml:space="preserve">There are quota limits for Burrowing Blackfish, Black </w:t>
            </w:r>
            <w:proofErr w:type="spellStart"/>
            <w:r>
              <w:rPr>
                <w:rFonts w:cs="Arial"/>
                <w:sz w:val="20"/>
                <w:szCs w:val="20"/>
              </w:rPr>
              <w:t>Teatfish</w:t>
            </w:r>
            <w:proofErr w:type="spellEnd"/>
            <w:r>
              <w:rPr>
                <w:rFonts w:cs="Arial"/>
                <w:sz w:val="20"/>
                <w:szCs w:val="20"/>
              </w:rPr>
              <w:t xml:space="preserve"> and White </w:t>
            </w:r>
            <w:proofErr w:type="spellStart"/>
            <w:r>
              <w:rPr>
                <w:rFonts w:cs="Arial"/>
                <w:sz w:val="20"/>
                <w:szCs w:val="20"/>
              </w:rPr>
              <w:t>Teatfish</w:t>
            </w:r>
            <w:proofErr w:type="spellEnd"/>
            <w:r>
              <w:rPr>
                <w:rFonts w:cs="Arial"/>
                <w:sz w:val="20"/>
                <w:szCs w:val="20"/>
              </w:rPr>
              <w:t xml:space="preserve">, as well as ‘other sea cucumber’. The ‘other sea cucumber’ basket quota is divided into species-specific trigger limits for most species. While quota limits are enforceable, trigger limits under the ‘other sea cucumbers’ do not represent firm limits </w:t>
            </w:r>
            <w:r w:rsidR="002C6338">
              <w:rPr>
                <w:rFonts w:cs="Arial"/>
                <w:sz w:val="20"/>
                <w:szCs w:val="20"/>
              </w:rPr>
              <w:t>for stopping fishing</w:t>
            </w:r>
            <w:r>
              <w:rPr>
                <w:rFonts w:cs="Arial"/>
                <w:sz w:val="20"/>
                <w:szCs w:val="20"/>
              </w:rPr>
              <w:t>.</w:t>
            </w:r>
          </w:p>
          <w:p w14:paraId="6EC2CC41" w14:textId="43413B37" w:rsidR="005B1724" w:rsidRPr="00D633C4" w:rsidRDefault="005B1724" w:rsidP="005B1724">
            <w:pPr>
              <w:spacing w:beforeLines="60" w:before="144" w:afterLines="60" w:after="144" w:line="276" w:lineRule="auto"/>
              <w:contextualSpacing/>
              <w:rPr>
                <w:rFonts w:cs="Arial"/>
                <w:sz w:val="20"/>
                <w:szCs w:val="20"/>
              </w:rPr>
            </w:pPr>
            <w:r>
              <w:rPr>
                <w:rFonts w:cs="Arial"/>
                <w:sz w:val="20"/>
                <w:szCs w:val="20"/>
              </w:rPr>
              <w:t xml:space="preserve">For species </w:t>
            </w:r>
            <w:r w:rsidR="00DF4E00">
              <w:rPr>
                <w:rFonts w:cs="Arial"/>
                <w:sz w:val="20"/>
                <w:szCs w:val="20"/>
              </w:rPr>
              <w:t xml:space="preserve">without </w:t>
            </w:r>
            <w:r>
              <w:rPr>
                <w:rFonts w:cs="Arial"/>
                <w:sz w:val="20"/>
                <w:szCs w:val="20"/>
              </w:rPr>
              <w:t>stock assessment</w:t>
            </w:r>
            <w:r w:rsidR="00DF4E00">
              <w:rPr>
                <w:rFonts w:cs="Arial"/>
                <w:sz w:val="20"/>
                <w:szCs w:val="20"/>
              </w:rPr>
              <w:t>s to inform</w:t>
            </w:r>
            <w:r>
              <w:rPr>
                <w:rFonts w:cs="Arial"/>
                <w:sz w:val="20"/>
                <w:szCs w:val="20"/>
              </w:rPr>
              <w:t xml:space="preserve"> management, the RHAs </w:t>
            </w:r>
            <w:r w:rsidR="00DF4E00">
              <w:rPr>
                <w:rFonts w:cs="Arial"/>
                <w:sz w:val="20"/>
                <w:szCs w:val="20"/>
              </w:rPr>
              <w:t>help</w:t>
            </w:r>
            <w:r>
              <w:rPr>
                <w:rFonts w:cs="Arial"/>
                <w:sz w:val="20"/>
                <w:szCs w:val="20"/>
              </w:rPr>
              <w:t xml:space="preserve"> protect against depleti</w:t>
            </w:r>
            <w:r w:rsidR="00625777">
              <w:rPr>
                <w:rFonts w:cs="Arial"/>
                <w:sz w:val="20"/>
                <w:szCs w:val="20"/>
              </w:rPr>
              <w:t>o</w:t>
            </w:r>
            <w:r>
              <w:rPr>
                <w:rFonts w:cs="Arial"/>
                <w:sz w:val="20"/>
                <w:szCs w:val="20"/>
              </w:rPr>
              <w:t>n. The RHAs were originally an industry initiative and historic monitoring of VMS data indicated a high degree of compliance. QDAF h</w:t>
            </w:r>
            <w:r w:rsidR="00DF4E00">
              <w:rPr>
                <w:rFonts w:cs="Arial"/>
                <w:sz w:val="20"/>
                <w:szCs w:val="20"/>
              </w:rPr>
              <w:t>as</w:t>
            </w:r>
            <w:r>
              <w:rPr>
                <w:rFonts w:cs="Arial"/>
                <w:sz w:val="20"/>
                <w:szCs w:val="20"/>
              </w:rPr>
              <w:t xml:space="preserve"> confirmed there isn’t currently a formal program in place to review VMS data to ensure the fishery is adhering to time limits and spatial restriction</w:t>
            </w:r>
            <w:r w:rsidR="00DF4E00">
              <w:rPr>
                <w:rFonts w:cs="Arial"/>
                <w:sz w:val="20"/>
                <w:szCs w:val="20"/>
              </w:rPr>
              <w:t>s</w:t>
            </w:r>
            <w:r>
              <w:rPr>
                <w:rFonts w:cs="Arial"/>
                <w:sz w:val="20"/>
                <w:szCs w:val="20"/>
              </w:rPr>
              <w:t xml:space="preserve"> outlined in the RHAs.</w:t>
            </w:r>
          </w:p>
        </w:tc>
      </w:tr>
      <w:tr w:rsidR="005B1724" w:rsidRPr="00433FCA" w14:paraId="5014C200" w14:textId="77777777" w:rsidTr="002F0C8B">
        <w:trPr>
          <w:cantSplit/>
        </w:trPr>
        <w:tc>
          <w:tcPr>
            <w:tcW w:w="5000" w:type="pct"/>
            <w:gridSpan w:val="2"/>
            <w:shd w:val="clear" w:color="auto" w:fill="DAEEF3"/>
          </w:tcPr>
          <w:p w14:paraId="4D58C0B1" w14:textId="77777777" w:rsidR="005B1724" w:rsidRPr="00433FCA" w:rsidRDefault="005B1724" w:rsidP="005B1724">
            <w:pPr>
              <w:spacing w:beforeLines="60" w:before="144" w:afterLines="60" w:after="144" w:line="276" w:lineRule="auto"/>
              <w:contextualSpacing/>
              <w:rPr>
                <w:rFonts w:cs="Arial"/>
                <w:b/>
                <w:bCs/>
                <w:sz w:val="20"/>
                <w:szCs w:val="20"/>
              </w:rPr>
            </w:pPr>
            <w:r w:rsidRPr="00433FCA">
              <w:rPr>
                <w:rFonts w:cs="Arial"/>
                <w:b/>
                <w:bCs/>
                <w:sz w:val="20"/>
                <w:szCs w:val="20"/>
              </w:rPr>
              <w:t>If overfished, go to Objective 2:</w:t>
            </w:r>
          </w:p>
          <w:p w14:paraId="60E5199F" w14:textId="77777777" w:rsidR="005B1724" w:rsidRPr="00433FCA" w:rsidRDefault="005B1724" w:rsidP="005B1724">
            <w:pPr>
              <w:spacing w:beforeLines="60" w:before="144" w:afterLines="60" w:after="144" w:line="276" w:lineRule="auto"/>
              <w:contextualSpacing/>
              <w:rPr>
                <w:rFonts w:cs="Arial"/>
                <w:b/>
                <w:bCs/>
                <w:sz w:val="20"/>
                <w:szCs w:val="20"/>
              </w:rPr>
            </w:pPr>
            <w:r w:rsidRPr="00433FCA">
              <w:rPr>
                <w:rFonts w:cs="Arial"/>
                <w:b/>
                <w:bCs/>
                <w:sz w:val="20"/>
                <w:szCs w:val="20"/>
              </w:rPr>
              <w:t>If not overfished, go to PRINCIPLE 2:</w:t>
            </w:r>
          </w:p>
        </w:tc>
      </w:tr>
      <w:tr w:rsidR="005B1724" w:rsidRPr="00433FCA" w14:paraId="4A7FBAAA" w14:textId="77777777" w:rsidTr="002F0C8B">
        <w:trPr>
          <w:cantSplit/>
        </w:trPr>
        <w:tc>
          <w:tcPr>
            <w:tcW w:w="5000" w:type="pct"/>
            <w:gridSpan w:val="2"/>
            <w:shd w:val="clear" w:color="auto" w:fill="B6DDE8"/>
          </w:tcPr>
          <w:p w14:paraId="476360A7" w14:textId="77777777" w:rsidR="005B1724" w:rsidRPr="00433FCA" w:rsidRDefault="005B1724" w:rsidP="005B1724">
            <w:pPr>
              <w:spacing w:beforeLines="60" w:before="144" w:afterLines="60" w:after="144" w:line="276" w:lineRule="auto"/>
              <w:contextualSpacing/>
              <w:rPr>
                <w:rFonts w:cs="Arial"/>
                <w:b/>
                <w:bCs/>
                <w:sz w:val="20"/>
                <w:szCs w:val="20"/>
              </w:rPr>
            </w:pPr>
            <w:r w:rsidRPr="00433FCA">
              <w:rPr>
                <w:rFonts w:cs="Arial"/>
                <w:b/>
                <w:bCs/>
                <w:sz w:val="20"/>
                <w:szCs w:val="20"/>
              </w:rPr>
              <w:t xml:space="preserve">Objective 2 - </w:t>
            </w:r>
            <w:r w:rsidRPr="00433FCA">
              <w:rPr>
                <w:rFonts w:cs="Arial"/>
                <w:sz w:val="20"/>
                <w:szCs w:val="20"/>
              </w:rPr>
              <w:t xml:space="preserve">Where the fished stock(s) are below a defined reference point, the fishery will be managed to promote recovery to ecologically viable stock levels within nominated timeframes. </w:t>
            </w:r>
          </w:p>
        </w:tc>
      </w:tr>
      <w:tr w:rsidR="005B1724" w:rsidRPr="00433FCA" w14:paraId="36CC6979" w14:textId="77777777" w:rsidTr="002F0C8B">
        <w:trPr>
          <w:cantSplit/>
        </w:trPr>
        <w:tc>
          <w:tcPr>
            <w:tcW w:w="5000" w:type="pct"/>
            <w:gridSpan w:val="2"/>
            <w:shd w:val="clear" w:color="auto" w:fill="DAEEF3"/>
          </w:tcPr>
          <w:p w14:paraId="2128D6FD" w14:textId="77777777" w:rsidR="005B1724" w:rsidRPr="00433FCA" w:rsidRDefault="005B1724" w:rsidP="005B1724">
            <w:pPr>
              <w:spacing w:beforeLines="60" w:before="144" w:afterLines="60" w:after="144" w:line="276" w:lineRule="auto"/>
              <w:contextualSpacing/>
              <w:rPr>
                <w:rFonts w:cs="Arial"/>
                <w:b/>
                <w:bCs/>
                <w:i/>
                <w:iCs/>
                <w:sz w:val="20"/>
                <w:szCs w:val="20"/>
              </w:rPr>
            </w:pPr>
            <w:r w:rsidRPr="00433FCA">
              <w:rPr>
                <w:rFonts w:cs="Arial"/>
                <w:b/>
                <w:bCs/>
                <w:i/>
                <w:iCs/>
                <w:sz w:val="20"/>
                <w:szCs w:val="20"/>
              </w:rPr>
              <w:t xml:space="preserve">Management responses </w:t>
            </w:r>
          </w:p>
        </w:tc>
      </w:tr>
      <w:tr w:rsidR="005B1724" w:rsidRPr="00433FCA" w14:paraId="51B761D2" w14:textId="77777777" w:rsidTr="002F0C8B">
        <w:trPr>
          <w:cantSplit/>
        </w:trPr>
        <w:tc>
          <w:tcPr>
            <w:tcW w:w="1500" w:type="pct"/>
            <w:tcBorders>
              <w:bottom w:val="single" w:sz="4" w:space="0" w:color="auto"/>
            </w:tcBorders>
          </w:tcPr>
          <w:p w14:paraId="651D4377"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1.2.1 </w:t>
            </w:r>
            <w:r w:rsidRPr="00433FCA">
              <w:rPr>
                <w:rFonts w:cs="Arial"/>
                <w:sz w:val="20"/>
                <w:szCs w:val="20"/>
              </w:rPr>
              <w:t xml:space="preserve">A precautionary recovery strategy is in place specifying management actions, or staged management responses, which are linked to reference points. The recovery strategy should apply until the stock </w:t>
            </w:r>
            <w:proofErr w:type="gramStart"/>
            <w:r w:rsidRPr="00433FCA">
              <w:rPr>
                <w:rFonts w:cs="Arial"/>
                <w:sz w:val="20"/>
                <w:szCs w:val="20"/>
              </w:rPr>
              <w:t>recovers, and</w:t>
            </w:r>
            <w:proofErr w:type="gramEnd"/>
            <w:r w:rsidRPr="00433FCA">
              <w:rPr>
                <w:rFonts w:cs="Arial"/>
                <w:sz w:val="20"/>
                <w:szCs w:val="20"/>
              </w:rPr>
              <w:t xml:space="preserve"> should aim for recovery within a specific time period appropriate to the biology of the stock.</w:t>
            </w:r>
          </w:p>
          <w:p w14:paraId="5553280C" w14:textId="07B2BC96" w:rsidR="005B1724" w:rsidRPr="00433FCA" w:rsidRDefault="005B1724" w:rsidP="005B1724">
            <w:pPr>
              <w:spacing w:before="60" w:after="60" w:line="276" w:lineRule="auto"/>
              <w:contextualSpacing/>
              <w:rPr>
                <w:rFonts w:cs="Arial"/>
                <w:sz w:val="20"/>
                <w:szCs w:val="20"/>
              </w:rPr>
            </w:pPr>
          </w:p>
        </w:tc>
        <w:tc>
          <w:tcPr>
            <w:tcW w:w="3500" w:type="pct"/>
            <w:tcBorders>
              <w:bottom w:val="single" w:sz="4" w:space="0" w:color="auto"/>
            </w:tcBorders>
            <w:shd w:val="clear" w:color="auto" w:fill="auto"/>
          </w:tcPr>
          <w:p w14:paraId="710EA73B" w14:textId="0A163352" w:rsidR="005B1724" w:rsidRDefault="005B1724" w:rsidP="005B1724">
            <w:pPr>
              <w:spacing w:beforeLines="60" w:before="144" w:afterLines="60" w:after="144" w:line="276" w:lineRule="auto"/>
              <w:contextualSpacing/>
              <w:rPr>
                <w:rFonts w:cs="Arial"/>
                <w:sz w:val="20"/>
                <w:szCs w:val="20"/>
              </w:rPr>
            </w:pPr>
            <w:r>
              <w:rPr>
                <w:rFonts w:cs="Arial"/>
                <w:sz w:val="20"/>
                <w:szCs w:val="20"/>
              </w:rPr>
              <w:t>Not applicable</w:t>
            </w:r>
            <w:r w:rsidR="001C77DB">
              <w:rPr>
                <w:rFonts w:cs="Arial"/>
                <w:sz w:val="20"/>
                <w:szCs w:val="20"/>
              </w:rPr>
              <w:t>.</w:t>
            </w:r>
          </w:p>
          <w:p w14:paraId="67780ADA" w14:textId="4FEB1F22"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No stocks are identified as overfished requiring a recovery strategy</w:t>
            </w:r>
            <w:r w:rsidR="001C77DB">
              <w:rPr>
                <w:rFonts w:cs="Arial"/>
                <w:sz w:val="20"/>
                <w:szCs w:val="20"/>
              </w:rPr>
              <w:t>.</w:t>
            </w:r>
            <w:r>
              <w:rPr>
                <w:rFonts w:cs="Arial"/>
                <w:sz w:val="20"/>
                <w:szCs w:val="20"/>
              </w:rPr>
              <w:t xml:space="preserve"> </w:t>
            </w:r>
          </w:p>
          <w:p w14:paraId="170C6625" w14:textId="03453A98"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6B177681" w14:textId="77777777" w:rsidTr="002F0C8B">
        <w:trPr>
          <w:cantSplit/>
        </w:trPr>
        <w:tc>
          <w:tcPr>
            <w:tcW w:w="1500" w:type="pct"/>
            <w:tcBorders>
              <w:bottom w:val="single" w:sz="4" w:space="0" w:color="auto"/>
            </w:tcBorders>
          </w:tcPr>
          <w:p w14:paraId="2EB21E59" w14:textId="1FDD234C"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lastRenderedPageBreak/>
              <w:t xml:space="preserve">1.2.2 </w:t>
            </w:r>
            <w:r w:rsidRPr="00433FCA">
              <w:rPr>
                <w:rFonts w:cs="Arial"/>
                <w:sz w:val="20"/>
                <w:szCs w:val="20"/>
              </w:rPr>
              <w:t>If the stock is estimated as being at or below the biological and/or effort bottom line, management responses such as a zero targeted catch, temporary fishery closure or a ‘whole of fishery’ effort or quota reduction are implemented.</w:t>
            </w:r>
          </w:p>
          <w:p w14:paraId="7B9BD7E1" w14:textId="4501EE70" w:rsidR="005B1724" w:rsidRPr="00433FCA" w:rsidRDefault="005B1724" w:rsidP="005B1724">
            <w:pPr>
              <w:spacing w:before="60" w:after="60" w:line="276" w:lineRule="auto"/>
              <w:contextualSpacing/>
              <w:rPr>
                <w:rFonts w:cs="Arial"/>
                <w:sz w:val="20"/>
                <w:szCs w:val="20"/>
              </w:rPr>
            </w:pPr>
          </w:p>
        </w:tc>
        <w:tc>
          <w:tcPr>
            <w:tcW w:w="3500" w:type="pct"/>
            <w:tcBorders>
              <w:bottom w:val="single" w:sz="4" w:space="0" w:color="auto"/>
            </w:tcBorders>
            <w:shd w:val="clear" w:color="auto" w:fill="auto"/>
          </w:tcPr>
          <w:p w14:paraId="1809780B" w14:textId="019FE59E" w:rsidR="005B1724" w:rsidRDefault="005B1724" w:rsidP="005B1724">
            <w:pPr>
              <w:spacing w:beforeLines="60" w:before="144" w:afterLines="60" w:after="144" w:line="276" w:lineRule="auto"/>
              <w:contextualSpacing/>
              <w:rPr>
                <w:rFonts w:cs="Arial"/>
                <w:sz w:val="20"/>
                <w:szCs w:val="20"/>
              </w:rPr>
            </w:pPr>
            <w:r>
              <w:rPr>
                <w:rFonts w:cs="Arial"/>
                <w:sz w:val="20"/>
                <w:szCs w:val="20"/>
              </w:rPr>
              <w:t>Not applicable</w:t>
            </w:r>
            <w:r w:rsidR="00FA0AF9">
              <w:rPr>
                <w:rFonts w:cs="Arial"/>
                <w:sz w:val="20"/>
                <w:szCs w:val="20"/>
              </w:rPr>
              <w:t>.</w:t>
            </w:r>
          </w:p>
          <w:p w14:paraId="6EA52745" w14:textId="526360B9"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 xml:space="preserve">No stocks are identified as overfished requiring a recovery strategy. For tier 1 species there is a biomass limit in place to stop fishing if the stock is reduced to 20% of unfished biomass and target limit set at 60% unfished biomass. </w:t>
            </w:r>
          </w:p>
          <w:p w14:paraId="24B5BCC4" w14:textId="78FBEC7C"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79CFA58D" w14:textId="77777777" w:rsidTr="002F0C8B">
        <w:trPr>
          <w:cantSplit/>
        </w:trPr>
        <w:tc>
          <w:tcPr>
            <w:tcW w:w="5000" w:type="pct"/>
            <w:gridSpan w:val="2"/>
            <w:tcBorders>
              <w:top w:val="single" w:sz="4" w:space="0" w:color="auto"/>
            </w:tcBorders>
            <w:shd w:val="clear" w:color="auto" w:fill="B2A1C7"/>
          </w:tcPr>
          <w:p w14:paraId="315DE2B9" w14:textId="23160CA3" w:rsidR="005B1724" w:rsidRPr="00433FCA" w:rsidRDefault="005B1724" w:rsidP="005B1724">
            <w:pPr>
              <w:autoSpaceDE w:val="0"/>
              <w:autoSpaceDN w:val="0"/>
              <w:adjustRightInd w:val="0"/>
              <w:spacing w:beforeLines="60" w:before="144" w:afterLines="60" w:after="144" w:line="276" w:lineRule="auto"/>
              <w:contextualSpacing/>
              <w:rPr>
                <w:rFonts w:cs="Arial"/>
                <w:sz w:val="20"/>
                <w:szCs w:val="20"/>
              </w:rPr>
            </w:pPr>
            <w:r w:rsidRPr="00433FCA">
              <w:rPr>
                <w:rFonts w:cs="Arial"/>
                <w:b/>
                <w:bCs/>
                <w:sz w:val="20"/>
                <w:szCs w:val="20"/>
              </w:rPr>
              <w:t xml:space="preserve">PRINCIPLE 2 - </w:t>
            </w:r>
            <w:r w:rsidRPr="00433FCA">
              <w:rPr>
                <w:rFonts w:cs="Arial"/>
                <w:sz w:val="20"/>
                <w:szCs w:val="20"/>
              </w:rPr>
              <w:t xml:space="preserve">Fishing operations should be managed to minimise their impact on the structure, productivity, </w:t>
            </w:r>
            <w:proofErr w:type="gramStart"/>
            <w:r w:rsidRPr="00433FCA">
              <w:rPr>
                <w:rFonts w:cs="Arial"/>
                <w:sz w:val="20"/>
                <w:szCs w:val="20"/>
              </w:rPr>
              <w:t>function</w:t>
            </w:r>
            <w:proofErr w:type="gramEnd"/>
            <w:r w:rsidRPr="00433FCA">
              <w:rPr>
                <w:rFonts w:cs="Arial"/>
                <w:sz w:val="20"/>
                <w:szCs w:val="20"/>
              </w:rPr>
              <w:t xml:space="preserve"> and biological diversity of the ecosystem.</w:t>
            </w:r>
          </w:p>
        </w:tc>
      </w:tr>
      <w:tr w:rsidR="005B1724" w:rsidRPr="00433FCA" w14:paraId="5D87684C" w14:textId="77777777" w:rsidTr="002F0C8B">
        <w:trPr>
          <w:cantSplit/>
        </w:trPr>
        <w:tc>
          <w:tcPr>
            <w:tcW w:w="5000" w:type="pct"/>
            <w:gridSpan w:val="2"/>
            <w:shd w:val="clear" w:color="auto" w:fill="CCC0D9"/>
          </w:tcPr>
          <w:p w14:paraId="1117EA62" w14:textId="58F055E1" w:rsidR="005B1724" w:rsidRPr="00433FCA" w:rsidRDefault="005B1724" w:rsidP="005B1724">
            <w:pPr>
              <w:autoSpaceDE w:val="0"/>
              <w:autoSpaceDN w:val="0"/>
              <w:adjustRightInd w:val="0"/>
              <w:spacing w:beforeLines="60" w:before="144" w:afterLines="60" w:after="144" w:line="276" w:lineRule="auto"/>
              <w:contextualSpacing/>
              <w:rPr>
                <w:rFonts w:cs="Arial"/>
                <w:sz w:val="20"/>
                <w:szCs w:val="20"/>
              </w:rPr>
            </w:pPr>
            <w:r w:rsidRPr="00433FCA">
              <w:rPr>
                <w:rFonts w:cs="Arial"/>
                <w:b/>
                <w:bCs/>
                <w:sz w:val="20"/>
                <w:szCs w:val="20"/>
              </w:rPr>
              <w:t xml:space="preserve">Objective 1 - </w:t>
            </w:r>
            <w:r w:rsidRPr="00433FCA">
              <w:rPr>
                <w:rFonts w:cs="Arial"/>
                <w:sz w:val="20"/>
                <w:szCs w:val="20"/>
              </w:rPr>
              <w:t>The fishery is conducted in a manner that does not threaten bycatch species.</w:t>
            </w:r>
          </w:p>
        </w:tc>
      </w:tr>
      <w:tr w:rsidR="005B1724" w:rsidRPr="00433FCA" w14:paraId="0E8276E1" w14:textId="77777777" w:rsidTr="002F0C8B">
        <w:trPr>
          <w:cantSplit/>
        </w:trPr>
        <w:tc>
          <w:tcPr>
            <w:tcW w:w="5000" w:type="pct"/>
            <w:gridSpan w:val="2"/>
            <w:shd w:val="clear" w:color="auto" w:fill="E5DFEC"/>
          </w:tcPr>
          <w:p w14:paraId="2EB91C61" w14:textId="77777777" w:rsidR="005B1724" w:rsidRPr="00433FCA" w:rsidRDefault="005B1724" w:rsidP="005B1724">
            <w:pPr>
              <w:spacing w:beforeLines="60" w:before="144" w:afterLines="60" w:after="144" w:line="276" w:lineRule="auto"/>
              <w:contextualSpacing/>
              <w:rPr>
                <w:rFonts w:cs="Arial"/>
                <w:b/>
                <w:bCs/>
                <w:i/>
                <w:iCs/>
                <w:sz w:val="20"/>
                <w:szCs w:val="20"/>
              </w:rPr>
            </w:pPr>
            <w:r w:rsidRPr="00433FCA">
              <w:rPr>
                <w:rFonts w:cs="Arial"/>
                <w:b/>
                <w:bCs/>
                <w:i/>
                <w:iCs/>
                <w:sz w:val="20"/>
                <w:szCs w:val="20"/>
              </w:rPr>
              <w:t>Information requirements</w:t>
            </w:r>
          </w:p>
        </w:tc>
      </w:tr>
      <w:tr w:rsidR="005B1724" w:rsidRPr="00433FCA" w14:paraId="5E08C7C1" w14:textId="77777777" w:rsidTr="002F0C8B">
        <w:trPr>
          <w:cantSplit/>
        </w:trPr>
        <w:tc>
          <w:tcPr>
            <w:tcW w:w="1500" w:type="pct"/>
          </w:tcPr>
          <w:p w14:paraId="02430850"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2.1.1 </w:t>
            </w:r>
            <w:r w:rsidRPr="00433FCA">
              <w:rPr>
                <w:rFonts w:cs="Arial"/>
                <w:sz w:val="20"/>
                <w:szCs w:val="20"/>
              </w:rPr>
              <w:t>Reliable information, appropriate to the scale of the fishery, is collected on the composition and abundance of bycatch.</w:t>
            </w:r>
          </w:p>
          <w:p w14:paraId="1F0D0CE5" w14:textId="47D691DD"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1289E2CD" w14:textId="32CA5678" w:rsidR="005B1724" w:rsidRDefault="005B1724" w:rsidP="005B1724">
            <w:pPr>
              <w:spacing w:beforeLines="60" w:before="144" w:afterLines="60" w:after="144" w:line="276" w:lineRule="auto"/>
              <w:contextualSpacing/>
              <w:rPr>
                <w:rFonts w:cs="Arial"/>
                <w:sz w:val="20"/>
                <w:szCs w:val="20"/>
              </w:rPr>
            </w:pPr>
            <w:r>
              <w:rPr>
                <w:rFonts w:cs="Arial"/>
                <w:sz w:val="20"/>
                <w:szCs w:val="20"/>
              </w:rPr>
              <w:t>Not Applicable</w:t>
            </w:r>
            <w:r w:rsidR="00662CDF">
              <w:rPr>
                <w:rFonts w:cs="Arial"/>
                <w:sz w:val="20"/>
                <w:szCs w:val="20"/>
              </w:rPr>
              <w:t>.</w:t>
            </w:r>
          </w:p>
          <w:p w14:paraId="27D9072D" w14:textId="0B6D6BA4"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Fishing is highly targeted hand collection. Bycatch is unlikely to occur.</w:t>
            </w:r>
          </w:p>
          <w:p w14:paraId="2508CF63" w14:textId="7C8811A0"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5A548CAF" w14:textId="77777777" w:rsidTr="002F0C8B">
        <w:trPr>
          <w:cantSplit/>
        </w:trPr>
        <w:tc>
          <w:tcPr>
            <w:tcW w:w="5000" w:type="pct"/>
            <w:gridSpan w:val="2"/>
            <w:shd w:val="clear" w:color="auto" w:fill="E5DFEC"/>
          </w:tcPr>
          <w:p w14:paraId="569CD998" w14:textId="072C4A7D" w:rsidR="005B1724" w:rsidRPr="00433FCA" w:rsidRDefault="005B1724" w:rsidP="005B1724">
            <w:pPr>
              <w:spacing w:beforeLines="60" w:before="144" w:afterLines="60" w:after="144" w:line="276" w:lineRule="auto"/>
              <w:contextualSpacing/>
              <w:rPr>
                <w:rFonts w:cs="Arial"/>
                <w:b/>
                <w:bCs/>
                <w:i/>
                <w:iCs/>
                <w:sz w:val="20"/>
                <w:szCs w:val="20"/>
              </w:rPr>
            </w:pPr>
            <w:r w:rsidRPr="00433FCA">
              <w:rPr>
                <w:rFonts w:cs="Arial"/>
                <w:b/>
                <w:bCs/>
                <w:i/>
                <w:iCs/>
                <w:sz w:val="20"/>
                <w:szCs w:val="20"/>
              </w:rPr>
              <w:t xml:space="preserve">Assessment </w:t>
            </w:r>
          </w:p>
        </w:tc>
      </w:tr>
      <w:tr w:rsidR="005B1724" w:rsidRPr="00433FCA" w14:paraId="1D967E4E" w14:textId="77777777" w:rsidTr="002F0C8B">
        <w:trPr>
          <w:cantSplit/>
        </w:trPr>
        <w:tc>
          <w:tcPr>
            <w:tcW w:w="1500" w:type="pct"/>
          </w:tcPr>
          <w:p w14:paraId="60A29F94"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2.1.2 </w:t>
            </w:r>
            <w:r w:rsidRPr="00433FCA">
              <w:rPr>
                <w:rFonts w:cs="Arial"/>
                <w:sz w:val="20"/>
                <w:szCs w:val="20"/>
              </w:rPr>
              <w:t>There is a risk analysis of the bycatch with respect to its vulnerability to fishing.</w:t>
            </w:r>
          </w:p>
          <w:p w14:paraId="14903CA2" w14:textId="405C7162"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5DF79362" w14:textId="1763F6E3" w:rsidR="005B1724" w:rsidRDefault="005B1724" w:rsidP="005B1724">
            <w:pPr>
              <w:spacing w:beforeLines="60" w:before="144" w:afterLines="60" w:after="144" w:line="276" w:lineRule="auto"/>
              <w:contextualSpacing/>
              <w:rPr>
                <w:rFonts w:cs="Arial"/>
                <w:sz w:val="20"/>
                <w:szCs w:val="20"/>
              </w:rPr>
            </w:pPr>
            <w:r>
              <w:rPr>
                <w:rFonts w:cs="Arial"/>
                <w:sz w:val="20"/>
                <w:szCs w:val="20"/>
              </w:rPr>
              <w:t>Not Applicable</w:t>
            </w:r>
            <w:r w:rsidR="00662CDF">
              <w:rPr>
                <w:rFonts w:cs="Arial"/>
                <w:sz w:val="20"/>
                <w:szCs w:val="20"/>
              </w:rPr>
              <w:t>.</w:t>
            </w:r>
          </w:p>
          <w:p w14:paraId="0926709D" w14:textId="5974E641"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Fishing is highly targeted hand collection. Bycatch is unlikely to occur.</w:t>
            </w:r>
          </w:p>
          <w:p w14:paraId="685B9CAD" w14:textId="3598957D"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6992A61D" w14:textId="77777777" w:rsidTr="002F0C8B">
        <w:trPr>
          <w:cantSplit/>
        </w:trPr>
        <w:tc>
          <w:tcPr>
            <w:tcW w:w="5000" w:type="pct"/>
            <w:gridSpan w:val="2"/>
            <w:shd w:val="clear" w:color="auto" w:fill="E5DFEC"/>
          </w:tcPr>
          <w:p w14:paraId="31782791" w14:textId="77777777" w:rsidR="005B1724" w:rsidRPr="00433FCA" w:rsidRDefault="005B1724" w:rsidP="005B1724">
            <w:pPr>
              <w:spacing w:beforeLines="60" w:before="144" w:afterLines="60" w:after="144" w:line="276" w:lineRule="auto"/>
              <w:contextualSpacing/>
              <w:rPr>
                <w:rFonts w:cs="Arial"/>
                <w:b/>
                <w:bCs/>
                <w:i/>
                <w:iCs/>
                <w:sz w:val="20"/>
                <w:szCs w:val="20"/>
              </w:rPr>
            </w:pPr>
            <w:r w:rsidRPr="00433FCA">
              <w:rPr>
                <w:rFonts w:cs="Arial"/>
                <w:b/>
                <w:bCs/>
                <w:i/>
                <w:iCs/>
                <w:sz w:val="20"/>
                <w:szCs w:val="20"/>
              </w:rPr>
              <w:t>Management responses</w:t>
            </w:r>
          </w:p>
        </w:tc>
      </w:tr>
      <w:tr w:rsidR="005B1724" w:rsidRPr="00433FCA" w14:paraId="6D4F0012" w14:textId="77777777" w:rsidTr="002F0C8B">
        <w:trPr>
          <w:cantSplit/>
        </w:trPr>
        <w:tc>
          <w:tcPr>
            <w:tcW w:w="1500" w:type="pct"/>
          </w:tcPr>
          <w:p w14:paraId="2932E34B"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2.1.3 </w:t>
            </w:r>
            <w:r w:rsidRPr="00433FCA">
              <w:rPr>
                <w:rFonts w:cs="Arial"/>
                <w:sz w:val="20"/>
                <w:szCs w:val="20"/>
              </w:rPr>
              <w:t xml:space="preserve">Measures are in place to avoid capture and mortality of bycatch species unless it is determined that the level of catch is sustainable (except in relation to endangered, </w:t>
            </w:r>
            <w:proofErr w:type="gramStart"/>
            <w:r w:rsidRPr="00433FCA">
              <w:rPr>
                <w:rFonts w:cs="Arial"/>
                <w:sz w:val="20"/>
                <w:szCs w:val="20"/>
              </w:rPr>
              <w:t>threatened</w:t>
            </w:r>
            <w:proofErr w:type="gramEnd"/>
            <w:r w:rsidRPr="00433FCA">
              <w:rPr>
                <w:rFonts w:cs="Arial"/>
                <w:sz w:val="20"/>
                <w:szCs w:val="20"/>
              </w:rPr>
              <w:t xml:space="preserve"> or protected species). Steps must be taken to develop suitable technology if none is available.</w:t>
            </w:r>
          </w:p>
          <w:p w14:paraId="01AF2695" w14:textId="00C53DF4"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5C3CC054" w14:textId="67BF16F7" w:rsidR="005B1724" w:rsidRDefault="005B1724" w:rsidP="005B1724">
            <w:pPr>
              <w:spacing w:beforeLines="60" w:before="144" w:afterLines="60" w:after="144" w:line="276" w:lineRule="auto"/>
              <w:contextualSpacing/>
              <w:rPr>
                <w:rFonts w:cs="Arial"/>
                <w:sz w:val="20"/>
                <w:szCs w:val="20"/>
              </w:rPr>
            </w:pPr>
            <w:r>
              <w:rPr>
                <w:rFonts w:cs="Arial"/>
                <w:sz w:val="20"/>
                <w:szCs w:val="20"/>
              </w:rPr>
              <w:t>Not Applicable</w:t>
            </w:r>
            <w:r w:rsidR="000B5314">
              <w:rPr>
                <w:rFonts w:cs="Arial"/>
                <w:sz w:val="20"/>
                <w:szCs w:val="20"/>
              </w:rPr>
              <w:t>.</w:t>
            </w:r>
          </w:p>
          <w:p w14:paraId="03E17AF5" w14:textId="77777777"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Fishing is highly targeted hand collection. Bycatch is unlikely to occur.</w:t>
            </w:r>
          </w:p>
          <w:p w14:paraId="2F29AFEE" w14:textId="5B20B644"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5C320E4B" w14:textId="77777777" w:rsidTr="002F0C8B">
        <w:trPr>
          <w:cantSplit/>
        </w:trPr>
        <w:tc>
          <w:tcPr>
            <w:tcW w:w="1500" w:type="pct"/>
          </w:tcPr>
          <w:p w14:paraId="3EED2BF3"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2.1.4 </w:t>
            </w:r>
            <w:r w:rsidRPr="00433FCA">
              <w:rPr>
                <w:rFonts w:cs="Arial"/>
                <w:sz w:val="20"/>
                <w:szCs w:val="20"/>
              </w:rPr>
              <w:t xml:space="preserve">An indicator group of bycatch species is monitored. </w:t>
            </w:r>
          </w:p>
          <w:p w14:paraId="67507739" w14:textId="18BD4048"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6855E68F" w14:textId="28E0DDBF" w:rsidR="005B1724" w:rsidRDefault="005B1724" w:rsidP="005B1724">
            <w:pPr>
              <w:spacing w:beforeLines="60" w:before="144" w:afterLines="60" w:after="144" w:line="276" w:lineRule="auto"/>
              <w:contextualSpacing/>
              <w:rPr>
                <w:rFonts w:cs="Arial"/>
                <w:sz w:val="20"/>
                <w:szCs w:val="20"/>
              </w:rPr>
            </w:pPr>
            <w:r>
              <w:rPr>
                <w:rFonts w:cs="Arial"/>
                <w:sz w:val="20"/>
                <w:szCs w:val="20"/>
              </w:rPr>
              <w:t>Not Applicable</w:t>
            </w:r>
            <w:r w:rsidR="000B5314">
              <w:rPr>
                <w:rFonts w:cs="Arial"/>
                <w:sz w:val="20"/>
                <w:szCs w:val="20"/>
              </w:rPr>
              <w:t>.</w:t>
            </w:r>
          </w:p>
          <w:p w14:paraId="427ADBA2" w14:textId="65599876"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Fishing is highly targeted hand collection. Bycatch is unlikely to occur.</w:t>
            </w:r>
          </w:p>
          <w:p w14:paraId="71A1832B" w14:textId="0AA5E726"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3677D1E6" w14:textId="77777777" w:rsidTr="002F0C8B">
        <w:trPr>
          <w:cantSplit/>
        </w:trPr>
        <w:tc>
          <w:tcPr>
            <w:tcW w:w="1500" w:type="pct"/>
          </w:tcPr>
          <w:p w14:paraId="2BBBF1A7" w14:textId="77777777" w:rsidR="005B1724" w:rsidRPr="00433FCA" w:rsidRDefault="005B1724" w:rsidP="005B1724">
            <w:pPr>
              <w:spacing w:before="60" w:after="60" w:line="276" w:lineRule="auto"/>
              <w:contextualSpacing/>
              <w:rPr>
                <w:rFonts w:cs="Arial"/>
                <w:i/>
                <w:iCs/>
                <w:sz w:val="20"/>
                <w:szCs w:val="20"/>
              </w:rPr>
            </w:pPr>
            <w:r w:rsidRPr="00433FCA">
              <w:rPr>
                <w:rFonts w:cs="Arial"/>
                <w:b/>
                <w:bCs/>
                <w:i/>
                <w:iCs/>
                <w:sz w:val="20"/>
                <w:szCs w:val="20"/>
              </w:rPr>
              <w:t xml:space="preserve">2.1.5 </w:t>
            </w:r>
            <w:r w:rsidRPr="00433FCA">
              <w:rPr>
                <w:rFonts w:cs="Arial"/>
                <w:sz w:val="20"/>
                <w:szCs w:val="20"/>
              </w:rPr>
              <w:t>There are decision rules that trigger additional management measures when there are significant perturbations in the indicator species numbers</w:t>
            </w:r>
            <w:r w:rsidRPr="00433FCA">
              <w:rPr>
                <w:rFonts w:cs="Arial"/>
                <w:i/>
                <w:iCs/>
                <w:sz w:val="20"/>
                <w:szCs w:val="20"/>
              </w:rPr>
              <w:t xml:space="preserve">. </w:t>
            </w:r>
          </w:p>
          <w:p w14:paraId="075B2EE3" w14:textId="59BE1E26" w:rsidR="005B1724" w:rsidRPr="00433FCA" w:rsidRDefault="005B1724" w:rsidP="005B1724">
            <w:pPr>
              <w:spacing w:before="60" w:after="60" w:line="276" w:lineRule="auto"/>
              <w:contextualSpacing/>
              <w:rPr>
                <w:rFonts w:cs="Arial"/>
                <w:b/>
                <w:bCs/>
                <w:i/>
                <w:iCs/>
                <w:sz w:val="20"/>
                <w:szCs w:val="20"/>
              </w:rPr>
            </w:pPr>
          </w:p>
        </w:tc>
        <w:tc>
          <w:tcPr>
            <w:tcW w:w="3500" w:type="pct"/>
            <w:shd w:val="clear" w:color="auto" w:fill="auto"/>
          </w:tcPr>
          <w:p w14:paraId="6488EEB5" w14:textId="55A79DF6" w:rsidR="005B1724" w:rsidRDefault="005B1724" w:rsidP="005B1724">
            <w:pPr>
              <w:spacing w:beforeLines="60" w:before="144" w:afterLines="60" w:after="144" w:line="276" w:lineRule="auto"/>
              <w:contextualSpacing/>
              <w:rPr>
                <w:rFonts w:cs="Arial"/>
                <w:sz w:val="20"/>
                <w:szCs w:val="20"/>
              </w:rPr>
            </w:pPr>
            <w:r>
              <w:rPr>
                <w:rFonts w:cs="Arial"/>
                <w:sz w:val="20"/>
                <w:szCs w:val="20"/>
              </w:rPr>
              <w:t>Not Applicable</w:t>
            </w:r>
            <w:r w:rsidR="000B5314">
              <w:rPr>
                <w:rFonts w:cs="Arial"/>
                <w:sz w:val="20"/>
                <w:szCs w:val="20"/>
              </w:rPr>
              <w:t>.</w:t>
            </w:r>
          </w:p>
          <w:p w14:paraId="6F193450" w14:textId="17DAEB65"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Fishing is highly targeted hand collection. Bycatch is unlikely to occur.</w:t>
            </w:r>
          </w:p>
          <w:p w14:paraId="54B81E86" w14:textId="2DA6A144"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31CCE05E" w14:textId="77777777" w:rsidTr="002F0C8B">
        <w:trPr>
          <w:cantSplit/>
        </w:trPr>
        <w:tc>
          <w:tcPr>
            <w:tcW w:w="1500" w:type="pct"/>
          </w:tcPr>
          <w:p w14:paraId="64326E7B"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lastRenderedPageBreak/>
              <w:t xml:space="preserve">2.1.6 </w:t>
            </w:r>
            <w:r w:rsidRPr="00433FCA">
              <w:rPr>
                <w:rFonts w:cs="Arial"/>
                <w:sz w:val="20"/>
                <w:szCs w:val="20"/>
              </w:rPr>
              <w:t>The management response, considering uncertainties in the assessment and precautionary management actions, has a high chance of achieving the objective.</w:t>
            </w:r>
          </w:p>
          <w:p w14:paraId="2DBC2884" w14:textId="77777777" w:rsidR="005B1724" w:rsidRPr="00433FCA" w:rsidRDefault="005B1724" w:rsidP="005B1724">
            <w:pPr>
              <w:spacing w:before="60" w:after="60" w:line="276" w:lineRule="auto"/>
              <w:contextualSpacing/>
              <w:rPr>
                <w:rFonts w:cs="Arial"/>
                <w:b/>
                <w:bCs/>
                <w:i/>
                <w:iCs/>
                <w:sz w:val="20"/>
                <w:szCs w:val="20"/>
              </w:rPr>
            </w:pPr>
          </w:p>
        </w:tc>
        <w:tc>
          <w:tcPr>
            <w:tcW w:w="3500" w:type="pct"/>
            <w:shd w:val="clear" w:color="auto" w:fill="auto"/>
          </w:tcPr>
          <w:p w14:paraId="375248DA" w14:textId="1A63BB57" w:rsidR="005B1724" w:rsidRDefault="005B1724" w:rsidP="005B1724">
            <w:pPr>
              <w:spacing w:beforeLines="60" w:before="144" w:afterLines="60" w:after="144" w:line="276" w:lineRule="auto"/>
              <w:contextualSpacing/>
              <w:rPr>
                <w:rFonts w:cs="Arial"/>
                <w:sz w:val="20"/>
                <w:szCs w:val="20"/>
              </w:rPr>
            </w:pPr>
            <w:r>
              <w:rPr>
                <w:rFonts w:cs="Arial"/>
                <w:sz w:val="20"/>
                <w:szCs w:val="20"/>
              </w:rPr>
              <w:t>Not Applicable</w:t>
            </w:r>
            <w:r w:rsidR="000B5314">
              <w:rPr>
                <w:rFonts w:cs="Arial"/>
                <w:sz w:val="20"/>
                <w:szCs w:val="20"/>
              </w:rPr>
              <w:t>.</w:t>
            </w:r>
          </w:p>
          <w:p w14:paraId="6AC1AAA2" w14:textId="77777777"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Fishing is highly targeted hand collection. Bycatch is unlikely to occur.</w:t>
            </w:r>
          </w:p>
          <w:p w14:paraId="76BC5319" w14:textId="453E8554" w:rsidR="005B1724" w:rsidRPr="00A23DB6" w:rsidRDefault="005B1724" w:rsidP="005B1724">
            <w:pPr>
              <w:spacing w:beforeLines="60" w:before="144" w:afterLines="60" w:after="144" w:line="276" w:lineRule="auto"/>
              <w:contextualSpacing/>
              <w:rPr>
                <w:rFonts w:cs="Arial"/>
                <w:sz w:val="20"/>
                <w:szCs w:val="20"/>
              </w:rPr>
            </w:pPr>
          </w:p>
        </w:tc>
      </w:tr>
      <w:tr w:rsidR="005B1724" w:rsidRPr="00433FCA" w14:paraId="6B7593D3" w14:textId="77777777" w:rsidTr="002F0C8B">
        <w:trPr>
          <w:cantSplit/>
        </w:trPr>
        <w:tc>
          <w:tcPr>
            <w:tcW w:w="5000" w:type="pct"/>
            <w:gridSpan w:val="2"/>
            <w:shd w:val="clear" w:color="auto" w:fill="CCC0D9"/>
          </w:tcPr>
          <w:p w14:paraId="1BC83A69" w14:textId="77777777" w:rsidR="005B1724" w:rsidRPr="00433FCA" w:rsidRDefault="005B1724" w:rsidP="005B1724">
            <w:pPr>
              <w:spacing w:beforeLines="60" w:before="144" w:afterLines="60" w:after="144" w:line="276" w:lineRule="auto"/>
              <w:contextualSpacing/>
              <w:rPr>
                <w:rFonts w:cs="Arial"/>
                <w:b/>
                <w:bCs/>
                <w:sz w:val="20"/>
                <w:szCs w:val="20"/>
              </w:rPr>
            </w:pPr>
            <w:r w:rsidRPr="00433FCA">
              <w:rPr>
                <w:rFonts w:cs="Arial"/>
                <w:b/>
                <w:bCs/>
                <w:sz w:val="20"/>
                <w:szCs w:val="20"/>
              </w:rPr>
              <w:t xml:space="preserve">Objective 2 - </w:t>
            </w:r>
            <w:r w:rsidRPr="00433FCA">
              <w:rPr>
                <w:rFonts w:cs="Arial"/>
                <w:sz w:val="20"/>
                <w:szCs w:val="20"/>
              </w:rPr>
              <w:t xml:space="preserve">The fishery is conducted in a manner that avoids mortality of, or injuries to, endangered, </w:t>
            </w:r>
            <w:proofErr w:type="gramStart"/>
            <w:r w:rsidRPr="00433FCA">
              <w:rPr>
                <w:rFonts w:cs="Arial"/>
                <w:sz w:val="20"/>
                <w:szCs w:val="20"/>
              </w:rPr>
              <w:t>threatened</w:t>
            </w:r>
            <w:proofErr w:type="gramEnd"/>
            <w:r w:rsidRPr="00433FCA">
              <w:rPr>
                <w:rFonts w:cs="Arial"/>
                <w:sz w:val="20"/>
                <w:szCs w:val="20"/>
              </w:rPr>
              <w:t xml:space="preserve"> or protected species and avoids or minimises impacts on threatened ecological communities.</w:t>
            </w:r>
          </w:p>
        </w:tc>
      </w:tr>
      <w:tr w:rsidR="005B1724" w:rsidRPr="00433FCA" w14:paraId="73413938" w14:textId="77777777" w:rsidTr="002F0C8B">
        <w:trPr>
          <w:cantSplit/>
        </w:trPr>
        <w:tc>
          <w:tcPr>
            <w:tcW w:w="5000" w:type="pct"/>
            <w:gridSpan w:val="2"/>
            <w:shd w:val="clear" w:color="auto" w:fill="E5DFEC"/>
          </w:tcPr>
          <w:p w14:paraId="18B50303" w14:textId="7DA083A9" w:rsidR="005B1724" w:rsidRPr="00433FCA" w:rsidRDefault="005B1724" w:rsidP="005B1724">
            <w:pPr>
              <w:spacing w:beforeLines="60" w:before="144" w:afterLines="60" w:after="144" w:line="276" w:lineRule="auto"/>
              <w:contextualSpacing/>
              <w:rPr>
                <w:rFonts w:cs="Arial"/>
                <w:sz w:val="20"/>
                <w:szCs w:val="20"/>
              </w:rPr>
            </w:pPr>
            <w:r w:rsidRPr="00433FCA">
              <w:rPr>
                <w:rFonts w:cs="Arial"/>
                <w:b/>
                <w:bCs/>
                <w:i/>
                <w:iCs/>
                <w:sz w:val="20"/>
                <w:szCs w:val="20"/>
              </w:rPr>
              <w:t xml:space="preserve">Information requirements </w:t>
            </w:r>
          </w:p>
        </w:tc>
      </w:tr>
      <w:tr w:rsidR="005B1724" w:rsidRPr="00433FCA" w14:paraId="6761C457" w14:textId="77777777" w:rsidTr="00C22F5C">
        <w:trPr>
          <w:cantSplit/>
        </w:trPr>
        <w:tc>
          <w:tcPr>
            <w:tcW w:w="1500" w:type="pct"/>
            <w:shd w:val="clear" w:color="auto" w:fill="92D050"/>
          </w:tcPr>
          <w:p w14:paraId="7DC54437"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2.2.1 </w:t>
            </w:r>
            <w:r w:rsidRPr="00433FCA">
              <w:rPr>
                <w:rFonts w:cs="Arial"/>
                <w:sz w:val="20"/>
                <w:szCs w:val="20"/>
              </w:rPr>
              <w:t xml:space="preserve">Reliable information is collected on the interaction with endangered, </w:t>
            </w:r>
            <w:proofErr w:type="gramStart"/>
            <w:r w:rsidRPr="00433FCA">
              <w:rPr>
                <w:rFonts w:cs="Arial"/>
                <w:sz w:val="20"/>
                <w:szCs w:val="20"/>
              </w:rPr>
              <w:t>threatened</w:t>
            </w:r>
            <w:proofErr w:type="gramEnd"/>
            <w:r w:rsidRPr="00433FCA">
              <w:rPr>
                <w:rFonts w:cs="Arial"/>
                <w:sz w:val="20"/>
                <w:szCs w:val="20"/>
              </w:rPr>
              <w:t xml:space="preserve"> or protected species and threatened ecological communities. </w:t>
            </w:r>
          </w:p>
          <w:p w14:paraId="46BCF310" w14:textId="15F34B79"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37319CA9" w14:textId="3A5B22BA" w:rsidR="005B1724" w:rsidRPr="00FA1BF3" w:rsidRDefault="005B1724" w:rsidP="005B1724">
            <w:pPr>
              <w:spacing w:beforeLines="60" w:before="144" w:afterLines="60" w:after="144" w:line="276" w:lineRule="auto"/>
              <w:contextualSpacing/>
              <w:rPr>
                <w:rFonts w:cs="Arial"/>
                <w:b/>
                <w:sz w:val="20"/>
                <w:szCs w:val="20"/>
              </w:rPr>
            </w:pPr>
            <w:r w:rsidRPr="00586296">
              <w:rPr>
                <w:rFonts w:cs="Arial"/>
                <w:b/>
                <w:sz w:val="20"/>
                <w:szCs w:val="20"/>
              </w:rPr>
              <w:t xml:space="preserve">Meets – </w:t>
            </w:r>
            <w:r w:rsidRPr="00FA1BF3">
              <w:rPr>
                <w:rFonts w:cs="Arial"/>
                <w:b/>
                <w:sz w:val="20"/>
                <w:szCs w:val="20"/>
              </w:rPr>
              <w:t xml:space="preserve">Up-to-date logbooks </w:t>
            </w:r>
            <w:r w:rsidR="0081570B">
              <w:rPr>
                <w:rFonts w:cs="Arial"/>
                <w:b/>
                <w:sz w:val="20"/>
                <w:szCs w:val="20"/>
              </w:rPr>
              <w:t xml:space="preserve">are required </w:t>
            </w:r>
            <w:r w:rsidRPr="00FA1BF3">
              <w:rPr>
                <w:rFonts w:cs="Arial"/>
                <w:b/>
                <w:sz w:val="20"/>
                <w:szCs w:val="20"/>
              </w:rPr>
              <w:t xml:space="preserve">which include records of interactions with endangered, </w:t>
            </w:r>
            <w:proofErr w:type="gramStart"/>
            <w:r w:rsidRPr="00FA1BF3">
              <w:rPr>
                <w:rFonts w:cs="Arial"/>
                <w:b/>
                <w:sz w:val="20"/>
                <w:szCs w:val="20"/>
              </w:rPr>
              <w:t>threatened</w:t>
            </w:r>
            <w:proofErr w:type="gramEnd"/>
            <w:r w:rsidRPr="00FA1BF3">
              <w:rPr>
                <w:rFonts w:cs="Arial"/>
                <w:b/>
                <w:sz w:val="20"/>
                <w:szCs w:val="20"/>
              </w:rPr>
              <w:t xml:space="preserve"> or protected species. </w:t>
            </w:r>
          </w:p>
          <w:p w14:paraId="1EFD0349" w14:textId="4739E2E8" w:rsidR="005B1724" w:rsidRDefault="005B1724" w:rsidP="005B1724">
            <w:pPr>
              <w:spacing w:beforeLines="60" w:before="144" w:afterLines="60" w:after="144" w:line="276" w:lineRule="auto"/>
              <w:contextualSpacing/>
              <w:rPr>
                <w:rFonts w:cs="Arial"/>
                <w:sz w:val="20"/>
                <w:szCs w:val="20"/>
              </w:rPr>
            </w:pPr>
            <w:r>
              <w:rPr>
                <w:rFonts w:cs="Arial"/>
                <w:sz w:val="20"/>
                <w:szCs w:val="20"/>
              </w:rPr>
              <w:t xml:space="preserve">Interactions with </w:t>
            </w:r>
            <w:r w:rsidR="00491E50">
              <w:rPr>
                <w:rFonts w:cs="Arial"/>
                <w:sz w:val="20"/>
                <w:szCs w:val="20"/>
              </w:rPr>
              <w:t xml:space="preserve">endangered, </w:t>
            </w:r>
            <w:proofErr w:type="gramStart"/>
            <w:r w:rsidR="00491E50">
              <w:rPr>
                <w:rFonts w:cs="Arial"/>
                <w:sz w:val="20"/>
                <w:szCs w:val="20"/>
              </w:rPr>
              <w:t>threatened</w:t>
            </w:r>
            <w:proofErr w:type="gramEnd"/>
            <w:r w:rsidR="00491E50">
              <w:rPr>
                <w:rFonts w:cs="Arial"/>
                <w:sz w:val="20"/>
                <w:szCs w:val="20"/>
              </w:rPr>
              <w:t xml:space="preserve"> and protected </w:t>
            </w:r>
            <w:r>
              <w:rPr>
                <w:rFonts w:cs="Arial"/>
                <w:sz w:val="20"/>
                <w:szCs w:val="20"/>
              </w:rPr>
              <w:t xml:space="preserve">species </w:t>
            </w:r>
            <w:r w:rsidR="00491E50">
              <w:rPr>
                <w:rFonts w:cs="Arial"/>
                <w:sz w:val="20"/>
                <w:szCs w:val="20"/>
              </w:rPr>
              <w:t xml:space="preserve">must be </w:t>
            </w:r>
            <w:r>
              <w:rPr>
                <w:rFonts w:cs="Arial"/>
                <w:sz w:val="20"/>
                <w:szCs w:val="20"/>
              </w:rPr>
              <w:t>report</w:t>
            </w:r>
            <w:r w:rsidR="00491E50">
              <w:rPr>
                <w:rFonts w:cs="Arial"/>
                <w:sz w:val="20"/>
                <w:szCs w:val="20"/>
              </w:rPr>
              <w:t>ed</w:t>
            </w:r>
            <w:r>
              <w:rPr>
                <w:rFonts w:cs="Arial"/>
                <w:sz w:val="20"/>
                <w:szCs w:val="20"/>
              </w:rPr>
              <w:t xml:space="preserve"> in logbooks. Due to the highly selective nature of the harvest, the risk of interactions with</w:t>
            </w:r>
            <w:r w:rsidR="00491E50">
              <w:rPr>
                <w:rFonts w:cs="Arial"/>
                <w:sz w:val="20"/>
                <w:szCs w:val="20"/>
              </w:rPr>
              <w:t xml:space="preserve"> these </w:t>
            </w:r>
            <w:r>
              <w:rPr>
                <w:rFonts w:cs="Arial"/>
                <w:sz w:val="20"/>
                <w:szCs w:val="20"/>
              </w:rPr>
              <w:t>species is likely to be low and limited to interaction such as vessel strike while in transit. While interactions are unlikely, there is no program of independent observer coverage in the fishery.</w:t>
            </w:r>
          </w:p>
          <w:p w14:paraId="703CCBC2" w14:textId="6B73D452"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16757C75" w14:textId="77777777" w:rsidTr="002F0C8B">
        <w:trPr>
          <w:cantSplit/>
        </w:trPr>
        <w:tc>
          <w:tcPr>
            <w:tcW w:w="5000" w:type="pct"/>
            <w:gridSpan w:val="2"/>
            <w:shd w:val="clear" w:color="auto" w:fill="E5DFEC"/>
          </w:tcPr>
          <w:p w14:paraId="71DF16AA" w14:textId="77777777" w:rsidR="005B1724" w:rsidRPr="00433FCA" w:rsidRDefault="005B1724" w:rsidP="005B1724">
            <w:pPr>
              <w:spacing w:beforeLines="60" w:before="144" w:afterLines="60" w:after="144" w:line="276" w:lineRule="auto"/>
              <w:contextualSpacing/>
              <w:rPr>
                <w:rFonts w:cs="Arial"/>
                <w:b/>
                <w:bCs/>
                <w:i/>
                <w:iCs/>
                <w:sz w:val="20"/>
                <w:szCs w:val="20"/>
              </w:rPr>
            </w:pPr>
            <w:r w:rsidRPr="00433FCA">
              <w:rPr>
                <w:rFonts w:cs="Arial"/>
                <w:b/>
                <w:bCs/>
                <w:i/>
                <w:iCs/>
                <w:sz w:val="20"/>
                <w:szCs w:val="20"/>
              </w:rPr>
              <w:t xml:space="preserve">Assessments </w:t>
            </w:r>
          </w:p>
        </w:tc>
      </w:tr>
      <w:tr w:rsidR="005B1724" w:rsidRPr="00433FCA" w14:paraId="6A013180" w14:textId="77777777" w:rsidTr="00D15402">
        <w:trPr>
          <w:cantSplit/>
        </w:trPr>
        <w:tc>
          <w:tcPr>
            <w:tcW w:w="1500" w:type="pct"/>
            <w:shd w:val="clear" w:color="auto" w:fill="92D050"/>
          </w:tcPr>
          <w:p w14:paraId="13D6E287"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2.2.2 </w:t>
            </w:r>
            <w:r w:rsidRPr="00433FCA">
              <w:rPr>
                <w:rFonts w:cs="Arial"/>
                <w:sz w:val="20"/>
                <w:szCs w:val="20"/>
              </w:rPr>
              <w:t xml:space="preserve">There is an assessment of the impact of the fishery on endangered, </w:t>
            </w:r>
            <w:proofErr w:type="gramStart"/>
            <w:r w:rsidRPr="00433FCA">
              <w:rPr>
                <w:rFonts w:cs="Arial"/>
                <w:sz w:val="20"/>
                <w:szCs w:val="20"/>
              </w:rPr>
              <w:t>threatened</w:t>
            </w:r>
            <w:proofErr w:type="gramEnd"/>
            <w:r w:rsidRPr="00433FCA">
              <w:rPr>
                <w:rFonts w:cs="Arial"/>
                <w:sz w:val="20"/>
                <w:szCs w:val="20"/>
              </w:rPr>
              <w:t xml:space="preserve"> or protected species. </w:t>
            </w:r>
          </w:p>
          <w:p w14:paraId="58AE0C55" w14:textId="35FAFDF9"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78C01D80" w14:textId="4D32378D" w:rsidR="005B1724" w:rsidRPr="00FA1BF3" w:rsidRDefault="005B1724" w:rsidP="005B1724">
            <w:pPr>
              <w:spacing w:beforeLines="60" w:before="144" w:afterLines="60" w:after="144" w:line="276" w:lineRule="auto"/>
              <w:contextualSpacing/>
              <w:rPr>
                <w:rFonts w:cs="Arial"/>
                <w:b/>
                <w:sz w:val="20"/>
                <w:szCs w:val="20"/>
              </w:rPr>
            </w:pPr>
            <w:r w:rsidRPr="00FA1BF3">
              <w:rPr>
                <w:rFonts w:cs="Arial"/>
                <w:b/>
                <w:sz w:val="20"/>
                <w:szCs w:val="20"/>
              </w:rPr>
              <w:t xml:space="preserve">Meets – There is an assessment of the fishery’s impact </w:t>
            </w:r>
            <w:r w:rsidR="00C545E1">
              <w:rPr>
                <w:rFonts w:cs="Arial"/>
                <w:b/>
                <w:sz w:val="20"/>
                <w:szCs w:val="20"/>
              </w:rPr>
              <w:t>on</w:t>
            </w:r>
            <w:r w:rsidRPr="00FA1BF3">
              <w:rPr>
                <w:rFonts w:cs="Arial"/>
                <w:b/>
                <w:sz w:val="20"/>
                <w:szCs w:val="20"/>
              </w:rPr>
              <w:t xml:space="preserve"> </w:t>
            </w:r>
            <w:r w:rsidR="00C545E1">
              <w:rPr>
                <w:rFonts w:cs="Arial"/>
                <w:b/>
                <w:sz w:val="20"/>
                <w:szCs w:val="20"/>
              </w:rPr>
              <w:t xml:space="preserve">endangered, </w:t>
            </w:r>
            <w:proofErr w:type="gramStart"/>
            <w:r w:rsidR="00C545E1">
              <w:rPr>
                <w:rFonts w:cs="Arial"/>
                <w:b/>
                <w:sz w:val="20"/>
                <w:szCs w:val="20"/>
              </w:rPr>
              <w:t>threatened</w:t>
            </w:r>
            <w:proofErr w:type="gramEnd"/>
            <w:r w:rsidR="00C545E1">
              <w:rPr>
                <w:rFonts w:cs="Arial"/>
                <w:b/>
                <w:sz w:val="20"/>
                <w:szCs w:val="20"/>
              </w:rPr>
              <w:t xml:space="preserve"> and protected </w:t>
            </w:r>
            <w:r w:rsidRPr="00FA1BF3">
              <w:rPr>
                <w:rFonts w:cs="Arial"/>
                <w:b/>
                <w:sz w:val="20"/>
                <w:szCs w:val="20"/>
              </w:rPr>
              <w:t>species</w:t>
            </w:r>
            <w:r w:rsidR="00C545E1">
              <w:rPr>
                <w:rFonts w:cs="Arial"/>
                <w:b/>
                <w:sz w:val="20"/>
                <w:szCs w:val="20"/>
              </w:rPr>
              <w:t>.</w:t>
            </w:r>
            <w:r w:rsidRPr="00FA1BF3">
              <w:rPr>
                <w:rFonts w:cs="Arial"/>
                <w:b/>
                <w:sz w:val="20"/>
                <w:szCs w:val="20"/>
              </w:rPr>
              <w:t xml:space="preserve"> </w:t>
            </w:r>
          </w:p>
          <w:p w14:paraId="2B338996" w14:textId="47986016" w:rsidR="005B1724" w:rsidRDefault="005B1724" w:rsidP="005B1724">
            <w:pPr>
              <w:spacing w:beforeLines="60" w:before="144" w:afterLines="60" w:after="144" w:line="276" w:lineRule="auto"/>
              <w:contextualSpacing/>
              <w:rPr>
                <w:rFonts w:cs="Arial"/>
                <w:sz w:val="20"/>
                <w:szCs w:val="20"/>
              </w:rPr>
            </w:pPr>
            <w:r>
              <w:rPr>
                <w:rFonts w:cs="Arial"/>
                <w:sz w:val="20"/>
                <w:szCs w:val="20"/>
              </w:rPr>
              <w:t>There is an</w:t>
            </w:r>
            <w:r w:rsidR="00C545E1">
              <w:rPr>
                <w:rFonts w:cs="Arial"/>
                <w:sz w:val="20"/>
                <w:szCs w:val="20"/>
              </w:rPr>
              <w:t xml:space="preserve"> ecological risk assessment (</w:t>
            </w:r>
            <w:r>
              <w:rPr>
                <w:rFonts w:cs="Arial"/>
                <w:sz w:val="20"/>
                <w:szCs w:val="20"/>
              </w:rPr>
              <w:t>ERA</w:t>
            </w:r>
            <w:r w:rsidR="00C545E1">
              <w:rPr>
                <w:rFonts w:cs="Arial"/>
                <w:sz w:val="20"/>
                <w:szCs w:val="20"/>
              </w:rPr>
              <w:t>)</w:t>
            </w:r>
            <w:r>
              <w:rPr>
                <w:rFonts w:cs="Arial"/>
                <w:sz w:val="20"/>
                <w:szCs w:val="20"/>
              </w:rPr>
              <w:t xml:space="preserve"> for the fishery which assessed the risk to </w:t>
            </w:r>
            <w:r w:rsidRPr="00586296">
              <w:rPr>
                <w:rFonts w:cs="Arial"/>
                <w:bCs/>
                <w:sz w:val="20"/>
                <w:szCs w:val="20"/>
              </w:rPr>
              <w:t xml:space="preserve">endangered, </w:t>
            </w:r>
            <w:proofErr w:type="gramStart"/>
            <w:r w:rsidRPr="00586296">
              <w:rPr>
                <w:rFonts w:cs="Arial"/>
                <w:bCs/>
                <w:sz w:val="20"/>
                <w:szCs w:val="20"/>
              </w:rPr>
              <w:t>threatened</w:t>
            </w:r>
            <w:proofErr w:type="gramEnd"/>
            <w:r w:rsidRPr="00586296">
              <w:rPr>
                <w:rFonts w:cs="Arial"/>
                <w:bCs/>
                <w:sz w:val="20"/>
                <w:szCs w:val="20"/>
              </w:rPr>
              <w:t xml:space="preserve"> </w:t>
            </w:r>
            <w:r w:rsidR="00D51A02">
              <w:rPr>
                <w:rFonts w:cs="Arial"/>
                <w:bCs/>
                <w:sz w:val="20"/>
                <w:szCs w:val="20"/>
              </w:rPr>
              <w:t>and</w:t>
            </w:r>
            <w:r w:rsidRPr="00586296">
              <w:rPr>
                <w:rFonts w:cs="Arial"/>
                <w:bCs/>
                <w:sz w:val="20"/>
                <w:szCs w:val="20"/>
              </w:rPr>
              <w:t xml:space="preserve"> protected species</w:t>
            </w:r>
            <w:r>
              <w:rPr>
                <w:rFonts w:cs="Arial"/>
                <w:bCs/>
                <w:sz w:val="20"/>
                <w:szCs w:val="20"/>
              </w:rPr>
              <w:t xml:space="preserve"> as negligible to low</w:t>
            </w:r>
            <w:r>
              <w:rPr>
                <w:rFonts w:cs="Arial"/>
                <w:sz w:val="20"/>
                <w:szCs w:val="20"/>
              </w:rPr>
              <w:t>.</w:t>
            </w:r>
          </w:p>
          <w:p w14:paraId="543E02E0" w14:textId="2C8952A0"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7BA4A993" w14:textId="77777777" w:rsidTr="002F0C8B">
        <w:trPr>
          <w:cantSplit/>
        </w:trPr>
        <w:tc>
          <w:tcPr>
            <w:tcW w:w="1500" w:type="pct"/>
          </w:tcPr>
          <w:p w14:paraId="35BD01ED"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2.2.3 </w:t>
            </w:r>
            <w:r w:rsidRPr="00433FCA">
              <w:rPr>
                <w:rFonts w:cs="Arial"/>
                <w:sz w:val="20"/>
                <w:szCs w:val="20"/>
              </w:rPr>
              <w:t xml:space="preserve">There is an assessment of the impact of the fishery on threatened ecological communities. </w:t>
            </w:r>
          </w:p>
          <w:p w14:paraId="65593620" w14:textId="18ECB72B"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22A29B95" w14:textId="3BAAF712" w:rsidR="005B1724" w:rsidRDefault="005B1724" w:rsidP="005B1724">
            <w:pPr>
              <w:spacing w:beforeLines="60" w:before="144" w:afterLines="60" w:after="144" w:line="276" w:lineRule="auto"/>
              <w:contextualSpacing/>
              <w:rPr>
                <w:rFonts w:cs="Arial"/>
                <w:bCs/>
                <w:sz w:val="20"/>
                <w:szCs w:val="20"/>
              </w:rPr>
            </w:pPr>
            <w:r>
              <w:rPr>
                <w:rFonts w:cs="Arial"/>
                <w:bCs/>
                <w:sz w:val="20"/>
                <w:szCs w:val="20"/>
              </w:rPr>
              <w:t>Not Applicable</w:t>
            </w:r>
            <w:r w:rsidR="00D51A02">
              <w:rPr>
                <w:rFonts w:cs="Arial"/>
                <w:bCs/>
                <w:sz w:val="20"/>
                <w:szCs w:val="20"/>
              </w:rPr>
              <w:t>.</w:t>
            </w:r>
            <w:r>
              <w:rPr>
                <w:rFonts w:cs="Arial"/>
                <w:bCs/>
                <w:sz w:val="20"/>
                <w:szCs w:val="20"/>
              </w:rPr>
              <w:t xml:space="preserve"> </w:t>
            </w:r>
          </w:p>
          <w:p w14:paraId="58EF5E57" w14:textId="62F1CF40" w:rsidR="005B1724" w:rsidRPr="00433FCA" w:rsidRDefault="005B1724" w:rsidP="005B1724">
            <w:pPr>
              <w:spacing w:beforeLines="60" w:before="144" w:afterLines="60" w:after="144" w:line="276" w:lineRule="auto"/>
              <w:contextualSpacing/>
              <w:rPr>
                <w:rFonts w:cs="Arial"/>
                <w:sz w:val="20"/>
                <w:szCs w:val="20"/>
              </w:rPr>
            </w:pPr>
            <w:r>
              <w:rPr>
                <w:rFonts w:cs="Arial"/>
                <w:bCs/>
                <w:sz w:val="20"/>
                <w:szCs w:val="20"/>
              </w:rPr>
              <w:t xml:space="preserve">There are no threatened ecological communities within the area of the fishery. </w:t>
            </w:r>
          </w:p>
          <w:p w14:paraId="4AA6CA1D" w14:textId="7203155B"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670EFB61" w14:textId="77777777" w:rsidTr="002F0C8B">
        <w:trPr>
          <w:cantSplit/>
        </w:trPr>
        <w:tc>
          <w:tcPr>
            <w:tcW w:w="5000" w:type="pct"/>
            <w:gridSpan w:val="2"/>
            <w:shd w:val="clear" w:color="auto" w:fill="E5DFEC"/>
          </w:tcPr>
          <w:p w14:paraId="770A73F2" w14:textId="77777777" w:rsidR="005B1724" w:rsidRPr="00433FCA" w:rsidRDefault="005B1724" w:rsidP="005B1724">
            <w:pPr>
              <w:spacing w:beforeLines="60" w:before="144" w:afterLines="60" w:after="144" w:line="276" w:lineRule="auto"/>
              <w:contextualSpacing/>
              <w:rPr>
                <w:rFonts w:cs="Arial"/>
                <w:b/>
                <w:bCs/>
                <w:i/>
                <w:iCs/>
                <w:sz w:val="20"/>
                <w:szCs w:val="20"/>
              </w:rPr>
            </w:pPr>
            <w:r w:rsidRPr="00433FCA">
              <w:rPr>
                <w:rFonts w:cs="Arial"/>
                <w:b/>
                <w:bCs/>
                <w:i/>
                <w:iCs/>
                <w:sz w:val="20"/>
                <w:szCs w:val="20"/>
              </w:rPr>
              <w:t xml:space="preserve">Management responses </w:t>
            </w:r>
          </w:p>
        </w:tc>
      </w:tr>
      <w:tr w:rsidR="005B1724" w:rsidRPr="00433FCA" w14:paraId="754A20A5" w14:textId="77777777" w:rsidTr="00E606BE">
        <w:trPr>
          <w:cantSplit/>
        </w:trPr>
        <w:tc>
          <w:tcPr>
            <w:tcW w:w="1500" w:type="pct"/>
            <w:shd w:val="clear" w:color="auto" w:fill="92D050"/>
          </w:tcPr>
          <w:p w14:paraId="2EFFB35F"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2.2.4 </w:t>
            </w:r>
            <w:r w:rsidRPr="00433FCA">
              <w:rPr>
                <w:rFonts w:cs="Arial"/>
                <w:sz w:val="20"/>
                <w:szCs w:val="20"/>
              </w:rPr>
              <w:t xml:space="preserve">There are measures in place to avoid capture and/or mortality of endangered, </w:t>
            </w:r>
            <w:proofErr w:type="gramStart"/>
            <w:r w:rsidRPr="00433FCA">
              <w:rPr>
                <w:rFonts w:cs="Arial"/>
                <w:sz w:val="20"/>
                <w:szCs w:val="20"/>
              </w:rPr>
              <w:t>threatened</w:t>
            </w:r>
            <w:proofErr w:type="gramEnd"/>
            <w:r w:rsidRPr="00433FCA">
              <w:rPr>
                <w:rFonts w:cs="Arial"/>
                <w:sz w:val="20"/>
                <w:szCs w:val="20"/>
              </w:rPr>
              <w:t xml:space="preserve"> or protected species. </w:t>
            </w:r>
          </w:p>
          <w:p w14:paraId="477B7043" w14:textId="23F8E0CD"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2F83D2F9" w14:textId="2F7D41FA" w:rsidR="005B1724" w:rsidRPr="00433FCA" w:rsidRDefault="005B1724" w:rsidP="005B1724">
            <w:pPr>
              <w:spacing w:beforeLines="60" w:before="144" w:afterLines="60" w:after="144" w:line="276" w:lineRule="auto"/>
              <w:contextualSpacing/>
              <w:rPr>
                <w:rFonts w:cs="Arial"/>
                <w:b/>
                <w:sz w:val="20"/>
                <w:szCs w:val="20"/>
              </w:rPr>
            </w:pPr>
            <w:r w:rsidRPr="00E606BE">
              <w:rPr>
                <w:rFonts w:cs="Arial"/>
                <w:b/>
                <w:sz w:val="20"/>
                <w:szCs w:val="20"/>
              </w:rPr>
              <w:t xml:space="preserve">Meets – </w:t>
            </w:r>
            <w:r w:rsidR="00D51A02">
              <w:rPr>
                <w:rFonts w:cs="Arial"/>
                <w:b/>
                <w:sz w:val="20"/>
                <w:szCs w:val="20"/>
              </w:rPr>
              <w:t>There is a m</w:t>
            </w:r>
            <w:r w:rsidRPr="00FA1BF3">
              <w:rPr>
                <w:rFonts w:cs="Arial"/>
                <w:b/>
                <w:sz w:val="20"/>
                <w:szCs w:val="20"/>
              </w:rPr>
              <w:t>itigation strategy in place to avoid interactions with protected species.</w:t>
            </w:r>
            <w:r w:rsidRPr="00433FCA">
              <w:rPr>
                <w:rFonts w:cs="Arial"/>
                <w:b/>
                <w:sz w:val="20"/>
                <w:szCs w:val="20"/>
              </w:rPr>
              <w:t xml:space="preserve"> </w:t>
            </w:r>
          </w:p>
          <w:p w14:paraId="6ED0F8C8" w14:textId="3CF61887"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 xml:space="preserve">Fishers are required to report </w:t>
            </w:r>
            <w:r w:rsidRPr="00586296">
              <w:rPr>
                <w:rFonts w:cs="Arial"/>
                <w:bCs/>
                <w:sz w:val="20"/>
                <w:szCs w:val="20"/>
              </w:rPr>
              <w:t xml:space="preserve">endangered, </w:t>
            </w:r>
            <w:proofErr w:type="gramStart"/>
            <w:r w:rsidRPr="00586296">
              <w:rPr>
                <w:rFonts w:cs="Arial"/>
                <w:bCs/>
                <w:sz w:val="20"/>
                <w:szCs w:val="20"/>
              </w:rPr>
              <w:t>threatened</w:t>
            </w:r>
            <w:proofErr w:type="gramEnd"/>
            <w:r w:rsidRPr="00586296">
              <w:rPr>
                <w:rFonts w:cs="Arial"/>
                <w:bCs/>
                <w:sz w:val="20"/>
                <w:szCs w:val="20"/>
              </w:rPr>
              <w:t xml:space="preserve"> or protected species</w:t>
            </w:r>
            <w:r>
              <w:rPr>
                <w:rFonts w:cs="Arial"/>
                <w:sz w:val="20"/>
                <w:szCs w:val="20"/>
              </w:rPr>
              <w:t xml:space="preserve"> interactions in logbooks. The fishery employs highly selective fishing practices and the risk of</w:t>
            </w:r>
            <w:r w:rsidR="00E445AC">
              <w:rPr>
                <w:rFonts w:cs="Arial"/>
                <w:sz w:val="20"/>
                <w:szCs w:val="20"/>
              </w:rPr>
              <w:t xml:space="preserve"> these </w:t>
            </w:r>
            <w:r>
              <w:rPr>
                <w:rFonts w:cs="Arial"/>
                <w:sz w:val="20"/>
                <w:szCs w:val="20"/>
              </w:rPr>
              <w:t>species being captured or killed is minimal. Reporting interactions is considered an adequate measur</w:t>
            </w:r>
            <w:r w:rsidR="00E445AC">
              <w:rPr>
                <w:rFonts w:cs="Arial"/>
                <w:sz w:val="20"/>
                <w:szCs w:val="20"/>
              </w:rPr>
              <w:t>e here</w:t>
            </w:r>
            <w:r>
              <w:rPr>
                <w:rFonts w:cs="Arial"/>
                <w:sz w:val="20"/>
                <w:szCs w:val="20"/>
              </w:rPr>
              <w:t xml:space="preserve">. </w:t>
            </w:r>
          </w:p>
          <w:p w14:paraId="21953CCC" w14:textId="61E4F805"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23325650" w14:textId="77777777" w:rsidTr="002F0C8B">
        <w:trPr>
          <w:cantSplit/>
        </w:trPr>
        <w:tc>
          <w:tcPr>
            <w:tcW w:w="1500" w:type="pct"/>
          </w:tcPr>
          <w:p w14:paraId="229107EC"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2.2.5 </w:t>
            </w:r>
            <w:r w:rsidRPr="00433FCA">
              <w:rPr>
                <w:rFonts w:cs="Arial"/>
                <w:sz w:val="20"/>
                <w:szCs w:val="20"/>
              </w:rPr>
              <w:t xml:space="preserve">There are measures in place to avoid impact on threatened ecological communities. </w:t>
            </w:r>
          </w:p>
          <w:p w14:paraId="3E2B3DBF" w14:textId="235D2D5F"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008EB527" w14:textId="580DC0FC" w:rsidR="005B1724" w:rsidRDefault="005B1724" w:rsidP="005B1724">
            <w:pPr>
              <w:spacing w:beforeLines="60" w:before="144" w:afterLines="60" w:after="144" w:line="276" w:lineRule="auto"/>
              <w:contextualSpacing/>
              <w:rPr>
                <w:rFonts w:cs="Arial"/>
                <w:bCs/>
                <w:sz w:val="20"/>
                <w:szCs w:val="20"/>
              </w:rPr>
            </w:pPr>
            <w:r>
              <w:rPr>
                <w:rFonts w:cs="Arial"/>
                <w:bCs/>
                <w:sz w:val="20"/>
                <w:szCs w:val="20"/>
              </w:rPr>
              <w:t>Not Applicable</w:t>
            </w:r>
            <w:r w:rsidR="00787E05">
              <w:rPr>
                <w:rFonts w:cs="Arial"/>
                <w:bCs/>
                <w:sz w:val="20"/>
                <w:szCs w:val="20"/>
              </w:rPr>
              <w:t>.</w:t>
            </w:r>
            <w:r>
              <w:rPr>
                <w:rFonts w:cs="Arial"/>
                <w:bCs/>
                <w:sz w:val="20"/>
                <w:szCs w:val="20"/>
              </w:rPr>
              <w:t xml:space="preserve"> </w:t>
            </w:r>
          </w:p>
          <w:p w14:paraId="7DC8430D" w14:textId="77777777" w:rsidR="005B1724" w:rsidRPr="009B1187" w:rsidRDefault="005B1724" w:rsidP="005B1724">
            <w:pPr>
              <w:spacing w:beforeLines="60" w:before="144" w:afterLines="60" w:after="144" w:line="276" w:lineRule="auto"/>
              <w:contextualSpacing/>
              <w:rPr>
                <w:rFonts w:cs="Arial"/>
                <w:bCs/>
                <w:sz w:val="20"/>
                <w:szCs w:val="20"/>
              </w:rPr>
            </w:pPr>
            <w:r>
              <w:rPr>
                <w:rFonts w:cs="Arial"/>
                <w:bCs/>
                <w:sz w:val="20"/>
                <w:szCs w:val="20"/>
              </w:rPr>
              <w:t xml:space="preserve">There are no threatened ecological communities within the area of the fishery. </w:t>
            </w:r>
          </w:p>
          <w:p w14:paraId="3D633D45" w14:textId="48282DC6"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5D830546" w14:textId="77777777" w:rsidTr="00E606BE">
        <w:trPr>
          <w:cantSplit/>
        </w:trPr>
        <w:tc>
          <w:tcPr>
            <w:tcW w:w="1500" w:type="pct"/>
            <w:shd w:val="clear" w:color="auto" w:fill="92D050"/>
          </w:tcPr>
          <w:p w14:paraId="30E9BC5B"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lastRenderedPageBreak/>
              <w:t xml:space="preserve">2.2.6 </w:t>
            </w:r>
            <w:r w:rsidRPr="00433FCA">
              <w:rPr>
                <w:rFonts w:cs="Arial"/>
                <w:sz w:val="20"/>
                <w:szCs w:val="20"/>
              </w:rPr>
              <w:t xml:space="preserve">The management response, considering uncertainties in the assessment and precautionary management actions, has a high chance of achieving the objective. </w:t>
            </w:r>
          </w:p>
          <w:p w14:paraId="13A19148" w14:textId="1EF3C52F"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298D4E71" w14:textId="211F17BC" w:rsidR="005B1724" w:rsidRPr="00433FCA" w:rsidRDefault="005B1724" w:rsidP="005B1724">
            <w:pPr>
              <w:spacing w:beforeLines="60" w:before="144" w:afterLines="60" w:after="144" w:line="276" w:lineRule="auto"/>
              <w:contextualSpacing/>
              <w:rPr>
                <w:rFonts w:cs="Arial"/>
                <w:b/>
                <w:sz w:val="20"/>
                <w:szCs w:val="20"/>
              </w:rPr>
            </w:pPr>
            <w:r w:rsidRPr="00E606BE">
              <w:rPr>
                <w:rFonts w:cs="Arial"/>
                <w:b/>
                <w:sz w:val="20"/>
                <w:szCs w:val="20"/>
              </w:rPr>
              <w:t xml:space="preserve">Meets – </w:t>
            </w:r>
            <w:r w:rsidR="008C44B9">
              <w:rPr>
                <w:rFonts w:cs="Arial"/>
                <w:b/>
                <w:sz w:val="20"/>
                <w:szCs w:val="20"/>
              </w:rPr>
              <w:t>The management response has a h</w:t>
            </w:r>
            <w:r w:rsidRPr="00FA1BF3">
              <w:rPr>
                <w:rFonts w:cs="Arial"/>
                <w:b/>
                <w:sz w:val="20"/>
                <w:szCs w:val="20"/>
              </w:rPr>
              <w:t>igh chance</w:t>
            </w:r>
            <w:r w:rsidR="008C44B9">
              <w:rPr>
                <w:rFonts w:cs="Arial"/>
                <w:b/>
                <w:sz w:val="20"/>
                <w:szCs w:val="20"/>
              </w:rPr>
              <w:t xml:space="preserve"> achieving the objective.</w:t>
            </w:r>
          </w:p>
          <w:p w14:paraId="5173AB64" w14:textId="60133171" w:rsidR="005B1724" w:rsidRPr="00433FCA" w:rsidRDefault="005B1724" w:rsidP="005B1724">
            <w:pPr>
              <w:spacing w:beforeLines="60" w:before="144" w:afterLines="60" w:after="144" w:line="276" w:lineRule="auto"/>
              <w:contextualSpacing/>
              <w:rPr>
                <w:rFonts w:cs="Arial"/>
                <w:sz w:val="20"/>
                <w:szCs w:val="20"/>
              </w:rPr>
            </w:pPr>
            <w:r>
              <w:rPr>
                <w:rFonts w:cs="Arial"/>
                <w:sz w:val="20"/>
                <w:szCs w:val="20"/>
              </w:rPr>
              <w:t xml:space="preserve">The fishery employs highly selective fishing practices and the risk of </w:t>
            </w:r>
            <w:r w:rsidRPr="00586296">
              <w:rPr>
                <w:rFonts w:cs="Arial"/>
                <w:bCs/>
                <w:sz w:val="20"/>
                <w:szCs w:val="20"/>
              </w:rPr>
              <w:t xml:space="preserve">endangered, </w:t>
            </w:r>
            <w:proofErr w:type="gramStart"/>
            <w:r w:rsidRPr="00586296">
              <w:rPr>
                <w:rFonts w:cs="Arial"/>
                <w:bCs/>
                <w:sz w:val="20"/>
                <w:szCs w:val="20"/>
              </w:rPr>
              <w:t>threatened</w:t>
            </w:r>
            <w:proofErr w:type="gramEnd"/>
            <w:r w:rsidRPr="00586296">
              <w:rPr>
                <w:rFonts w:cs="Arial"/>
                <w:bCs/>
                <w:sz w:val="20"/>
                <w:szCs w:val="20"/>
              </w:rPr>
              <w:t xml:space="preserve"> or protected species</w:t>
            </w:r>
            <w:r>
              <w:rPr>
                <w:rFonts w:cs="Arial"/>
                <w:sz w:val="20"/>
                <w:szCs w:val="20"/>
              </w:rPr>
              <w:t xml:space="preserve"> being captured or killed is minimal. Measure in place to assess and manage </w:t>
            </w:r>
            <w:r w:rsidRPr="00586296">
              <w:rPr>
                <w:rFonts w:cs="Arial"/>
                <w:bCs/>
                <w:sz w:val="20"/>
                <w:szCs w:val="20"/>
              </w:rPr>
              <w:t xml:space="preserve">endangered, </w:t>
            </w:r>
            <w:proofErr w:type="gramStart"/>
            <w:r w:rsidRPr="00586296">
              <w:rPr>
                <w:rFonts w:cs="Arial"/>
                <w:bCs/>
                <w:sz w:val="20"/>
                <w:szCs w:val="20"/>
              </w:rPr>
              <w:t>threatened</w:t>
            </w:r>
            <w:proofErr w:type="gramEnd"/>
            <w:r w:rsidRPr="00586296">
              <w:rPr>
                <w:rFonts w:cs="Arial"/>
                <w:bCs/>
                <w:sz w:val="20"/>
                <w:szCs w:val="20"/>
              </w:rPr>
              <w:t xml:space="preserve"> or protected species</w:t>
            </w:r>
            <w:r>
              <w:rPr>
                <w:rFonts w:cs="Arial"/>
                <w:sz w:val="20"/>
                <w:szCs w:val="20"/>
              </w:rPr>
              <w:t xml:space="preserve"> interactions are considered adequate. </w:t>
            </w:r>
          </w:p>
        </w:tc>
      </w:tr>
      <w:tr w:rsidR="005B1724" w:rsidRPr="00433FCA" w14:paraId="4FDFB921" w14:textId="77777777" w:rsidTr="002F0C8B">
        <w:trPr>
          <w:cantSplit/>
        </w:trPr>
        <w:tc>
          <w:tcPr>
            <w:tcW w:w="5000" w:type="pct"/>
            <w:gridSpan w:val="2"/>
            <w:shd w:val="clear" w:color="auto" w:fill="CCC0D9"/>
          </w:tcPr>
          <w:p w14:paraId="066E487E" w14:textId="0E286624" w:rsidR="005B1724" w:rsidRPr="00433FCA" w:rsidRDefault="005B1724" w:rsidP="005B1724">
            <w:pPr>
              <w:spacing w:beforeLines="60" w:before="144" w:afterLines="60" w:after="144" w:line="276" w:lineRule="auto"/>
              <w:contextualSpacing/>
              <w:rPr>
                <w:rFonts w:cs="Arial"/>
                <w:b/>
                <w:bCs/>
                <w:sz w:val="20"/>
                <w:szCs w:val="20"/>
              </w:rPr>
            </w:pPr>
            <w:r w:rsidRPr="00433FCA">
              <w:rPr>
                <w:rFonts w:cs="Arial"/>
                <w:b/>
                <w:bCs/>
                <w:sz w:val="20"/>
                <w:szCs w:val="20"/>
              </w:rPr>
              <w:t xml:space="preserve">Objective 3 - </w:t>
            </w:r>
            <w:r w:rsidRPr="00433FCA">
              <w:rPr>
                <w:rFonts w:cs="Arial"/>
                <w:sz w:val="20"/>
                <w:szCs w:val="20"/>
              </w:rPr>
              <w:t>The fishery is conducted, in a manner that minimises the impact of fishing operations on the ecosystem generally.</w:t>
            </w:r>
          </w:p>
        </w:tc>
      </w:tr>
      <w:tr w:rsidR="005B1724" w:rsidRPr="00433FCA" w14:paraId="7CD7A422" w14:textId="77777777" w:rsidTr="002F0C8B">
        <w:trPr>
          <w:cantSplit/>
        </w:trPr>
        <w:tc>
          <w:tcPr>
            <w:tcW w:w="5000" w:type="pct"/>
            <w:gridSpan w:val="2"/>
            <w:shd w:val="clear" w:color="auto" w:fill="E5DFEC"/>
          </w:tcPr>
          <w:p w14:paraId="54CDF909" w14:textId="77777777" w:rsidR="005B1724" w:rsidRPr="00433FCA" w:rsidRDefault="005B1724" w:rsidP="005B1724">
            <w:pPr>
              <w:spacing w:beforeLines="60" w:before="144" w:afterLines="60" w:after="144" w:line="276" w:lineRule="auto"/>
              <w:contextualSpacing/>
              <w:rPr>
                <w:rFonts w:cs="Arial"/>
                <w:b/>
                <w:bCs/>
                <w:i/>
                <w:iCs/>
                <w:sz w:val="20"/>
                <w:szCs w:val="20"/>
              </w:rPr>
            </w:pPr>
            <w:r w:rsidRPr="00433FCA">
              <w:rPr>
                <w:rFonts w:cs="Arial"/>
                <w:b/>
                <w:bCs/>
                <w:i/>
                <w:iCs/>
                <w:sz w:val="20"/>
                <w:szCs w:val="20"/>
              </w:rPr>
              <w:t xml:space="preserve">Information requirements </w:t>
            </w:r>
          </w:p>
        </w:tc>
      </w:tr>
      <w:tr w:rsidR="005B1724" w:rsidRPr="00433FCA" w14:paraId="4AA6925D" w14:textId="77777777" w:rsidTr="00E77479">
        <w:trPr>
          <w:cantSplit/>
        </w:trPr>
        <w:tc>
          <w:tcPr>
            <w:tcW w:w="1500" w:type="pct"/>
            <w:shd w:val="clear" w:color="auto" w:fill="FF0000"/>
          </w:tcPr>
          <w:p w14:paraId="36944ABB" w14:textId="2BFFD226" w:rsidR="005B1724" w:rsidRPr="00433FCA" w:rsidRDefault="005B1724" w:rsidP="005B1724">
            <w:pPr>
              <w:spacing w:before="60" w:after="60" w:line="276" w:lineRule="auto"/>
              <w:contextualSpacing/>
              <w:rPr>
                <w:rFonts w:cs="Arial"/>
                <w:sz w:val="20"/>
                <w:szCs w:val="20"/>
              </w:rPr>
            </w:pPr>
            <w:r w:rsidRPr="00433FCA">
              <w:rPr>
                <w:rFonts w:cs="Arial"/>
                <w:b/>
                <w:bCs/>
                <w:iCs/>
                <w:sz w:val="20"/>
                <w:szCs w:val="20"/>
              </w:rPr>
              <w:t xml:space="preserve">2.3.1 </w:t>
            </w:r>
            <w:r w:rsidRPr="00433FCA">
              <w:rPr>
                <w:rFonts w:cs="Arial"/>
                <w:sz w:val="20"/>
                <w:szCs w:val="20"/>
              </w:rPr>
              <w:t xml:space="preserve">Information appropriate for the analysis in 2.3.2 is collated and/or collected covering the fishery’s impact on the ecosystem and environment generally. </w:t>
            </w:r>
          </w:p>
        </w:tc>
        <w:tc>
          <w:tcPr>
            <w:tcW w:w="3500" w:type="pct"/>
            <w:shd w:val="clear" w:color="auto" w:fill="auto"/>
          </w:tcPr>
          <w:p w14:paraId="64972F3A" w14:textId="47F35025" w:rsidR="005B1724" w:rsidRPr="00982040" w:rsidRDefault="005B1724" w:rsidP="005B1724">
            <w:pPr>
              <w:spacing w:beforeLines="60" w:before="144" w:afterLines="60" w:after="144" w:line="276" w:lineRule="auto"/>
              <w:contextualSpacing/>
              <w:rPr>
                <w:rFonts w:cs="Arial"/>
                <w:bCs/>
                <w:sz w:val="20"/>
                <w:szCs w:val="20"/>
              </w:rPr>
            </w:pPr>
            <w:r w:rsidRPr="00982040">
              <w:rPr>
                <w:rFonts w:cs="Arial"/>
                <w:b/>
                <w:sz w:val="20"/>
                <w:szCs w:val="20"/>
              </w:rPr>
              <w:t xml:space="preserve">Does not meet </w:t>
            </w:r>
            <w:r w:rsidRPr="00FA1BF3">
              <w:rPr>
                <w:rFonts w:cs="Arial"/>
                <w:b/>
                <w:sz w:val="20"/>
                <w:szCs w:val="20"/>
              </w:rPr>
              <w:t xml:space="preserve">– Minimal information </w:t>
            </w:r>
            <w:r w:rsidR="00993B40">
              <w:rPr>
                <w:rFonts w:cs="Arial"/>
                <w:b/>
                <w:sz w:val="20"/>
                <w:szCs w:val="20"/>
              </w:rPr>
              <w:t xml:space="preserve">is </w:t>
            </w:r>
            <w:r w:rsidRPr="00FA1BF3">
              <w:rPr>
                <w:rFonts w:cs="Arial"/>
                <w:b/>
                <w:sz w:val="20"/>
                <w:szCs w:val="20"/>
              </w:rPr>
              <w:t>collected</w:t>
            </w:r>
            <w:r w:rsidR="00993B40">
              <w:rPr>
                <w:rFonts w:cs="Arial"/>
                <w:b/>
                <w:sz w:val="20"/>
                <w:szCs w:val="20"/>
              </w:rPr>
              <w:t>.</w:t>
            </w:r>
          </w:p>
          <w:p w14:paraId="172A81BA" w14:textId="3AEC2DBB" w:rsidR="005B1724" w:rsidRPr="00982040" w:rsidRDefault="005B1724" w:rsidP="005B1724">
            <w:pPr>
              <w:spacing w:beforeLines="60" w:before="144" w:afterLines="60" w:after="144" w:line="276" w:lineRule="auto"/>
              <w:contextualSpacing/>
              <w:rPr>
                <w:rFonts w:cs="Arial"/>
                <w:bCs/>
                <w:sz w:val="20"/>
                <w:szCs w:val="20"/>
              </w:rPr>
            </w:pPr>
            <w:r w:rsidRPr="00982040">
              <w:rPr>
                <w:rFonts w:cs="Arial"/>
                <w:bCs/>
                <w:sz w:val="20"/>
                <w:szCs w:val="20"/>
              </w:rPr>
              <w:t xml:space="preserve">QDAF </w:t>
            </w:r>
            <w:r w:rsidR="00993B40">
              <w:rPr>
                <w:rFonts w:cs="Arial"/>
                <w:bCs/>
                <w:sz w:val="20"/>
                <w:szCs w:val="20"/>
              </w:rPr>
              <w:t>has</w:t>
            </w:r>
            <w:r w:rsidRPr="00982040">
              <w:rPr>
                <w:rFonts w:cs="Arial"/>
                <w:bCs/>
                <w:sz w:val="20"/>
                <w:szCs w:val="20"/>
              </w:rPr>
              <w:t xml:space="preserve"> indicated that there is no active monitoring of ecosystem impacts from the fishery. The ERA for the fishery assessed risk to marine habitats as low and ecosystem processes as low/intermediate. The highly selective nature of fishing methods means that the impacts of the fishery on the ecosystem and marine environment are largely limited to the direct removal of sea cucumbers. CPUE data is collected in the fishery and there are harvest limits in place</w:t>
            </w:r>
            <w:r w:rsidR="0014136F">
              <w:rPr>
                <w:rFonts w:cs="Arial"/>
                <w:bCs/>
                <w:sz w:val="20"/>
                <w:szCs w:val="20"/>
              </w:rPr>
              <w:t>. H</w:t>
            </w:r>
            <w:r w:rsidRPr="00982040">
              <w:rPr>
                <w:rFonts w:cs="Arial"/>
                <w:bCs/>
                <w:sz w:val="20"/>
                <w:szCs w:val="20"/>
              </w:rPr>
              <w:t>owever</w:t>
            </w:r>
            <w:r w:rsidR="0014136F">
              <w:rPr>
                <w:rFonts w:cs="Arial"/>
                <w:bCs/>
                <w:sz w:val="20"/>
                <w:szCs w:val="20"/>
              </w:rPr>
              <w:t>,</w:t>
            </w:r>
            <w:r w:rsidRPr="00982040">
              <w:rPr>
                <w:rFonts w:cs="Arial"/>
                <w:bCs/>
                <w:sz w:val="20"/>
                <w:szCs w:val="20"/>
              </w:rPr>
              <w:t xml:space="preserve"> it is unclear whether these limits would maintain stocks at a level appropriate to their role in the ecosystem. </w:t>
            </w:r>
          </w:p>
          <w:p w14:paraId="6C4E312C" w14:textId="0EC15707" w:rsidR="005B1724" w:rsidRPr="00982040" w:rsidRDefault="005B1724" w:rsidP="005B1724">
            <w:pPr>
              <w:spacing w:beforeLines="60" w:before="144" w:afterLines="60" w:after="144" w:line="276" w:lineRule="auto"/>
              <w:contextualSpacing/>
              <w:rPr>
                <w:rFonts w:cs="Arial"/>
                <w:bCs/>
                <w:sz w:val="20"/>
                <w:szCs w:val="20"/>
              </w:rPr>
            </w:pPr>
          </w:p>
          <w:p w14:paraId="2A346CB4" w14:textId="3B9D8851" w:rsidR="005B1724" w:rsidRDefault="005B1724" w:rsidP="005B1724">
            <w:pPr>
              <w:spacing w:beforeLines="60" w:before="144" w:afterLines="60" w:after="144" w:line="276" w:lineRule="auto"/>
              <w:contextualSpacing/>
              <w:rPr>
                <w:rFonts w:cs="Arial"/>
                <w:bCs/>
                <w:sz w:val="20"/>
                <w:szCs w:val="20"/>
              </w:rPr>
            </w:pPr>
            <w:r w:rsidRPr="00982040">
              <w:rPr>
                <w:rFonts w:cs="Arial"/>
                <w:bCs/>
                <w:sz w:val="20"/>
                <w:szCs w:val="20"/>
              </w:rPr>
              <w:t>Condition</w:t>
            </w:r>
            <w:r>
              <w:rPr>
                <w:rFonts w:cs="Arial"/>
                <w:bCs/>
                <w:sz w:val="20"/>
                <w:szCs w:val="20"/>
              </w:rPr>
              <w:t>s</w:t>
            </w:r>
            <w:r w:rsidRPr="00982040">
              <w:rPr>
                <w:rFonts w:cs="Arial"/>
                <w:bCs/>
                <w:sz w:val="20"/>
                <w:szCs w:val="20"/>
              </w:rPr>
              <w:t xml:space="preserve"> </w:t>
            </w:r>
            <w:r>
              <w:rPr>
                <w:rFonts w:cs="Arial"/>
                <w:bCs/>
                <w:sz w:val="20"/>
                <w:szCs w:val="20"/>
              </w:rPr>
              <w:t>requiring surveys and development of stock assessments for highly targeted species</w:t>
            </w:r>
            <w:r w:rsidRPr="00982040">
              <w:rPr>
                <w:rFonts w:cs="Arial"/>
                <w:bCs/>
                <w:sz w:val="20"/>
                <w:szCs w:val="20"/>
              </w:rPr>
              <w:t xml:space="preserve"> will help better </w:t>
            </w:r>
            <w:r w:rsidR="005A6960">
              <w:rPr>
                <w:rFonts w:cs="Arial"/>
                <w:bCs/>
                <w:sz w:val="20"/>
                <w:szCs w:val="20"/>
              </w:rPr>
              <w:t>inform</w:t>
            </w:r>
            <w:r w:rsidRPr="00982040">
              <w:rPr>
                <w:rFonts w:cs="Arial"/>
                <w:bCs/>
                <w:sz w:val="20"/>
                <w:szCs w:val="20"/>
              </w:rPr>
              <w:t xml:space="preserve"> stock status and </w:t>
            </w:r>
            <w:r>
              <w:rPr>
                <w:rFonts w:cs="Arial"/>
                <w:bCs/>
                <w:sz w:val="20"/>
                <w:szCs w:val="20"/>
              </w:rPr>
              <w:t>prevent overharvesting</w:t>
            </w:r>
            <w:r w:rsidRPr="00982040">
              <w:rPr>
                <w:rFonts w:cs="Arial"/>
                <w:bCs/>
                <w:sz w:val="20"/>
                <w:szCs w:val="20"/>
              </w:rPr>
              <w:t>.</w:t>
            </w:r>
          </w:p>
          <w:p w14:paraId="23E606FB" w14:textId="49211EDF" w:rsidR="005B1724" w:rsidRPr="00433FCA" w:rsidRDefault="005B1724" w:rsidP="005B1724">
            <w:pPr>
              <w:spacing w:beforeLines="60" w:before="144" w:afterLines="60" w:after="144" w:line="276" w:lineRule="auto"/>
              <w:contextualSpacing/>
              <w:rPr>
                <w:rFonts w:cs="Arial"/>
                <w:sz w:val="20"/>
                <w:szCs w:val="20"/>
              </w:rPr>
            </w:pPr>
          </w:p>
        </w:tc>
      </w:tr>
      <w:tr w:rsidR="005B1724" w:rsidRPr="00433FCA" w14:paraId="3C4BC27D" w14:textId="77777777" w:rsidTr="002F0C8B">
        <w:trPr>
          <w:cantSplit/>
        </w:trPr>
        <w:tc>
          <w:tcPr>
            <w:tcW w:w="5000" w:type="pct"/>
            <w:gridSpan w:val="2"/>
            <w:shd w:val="clear" w:color="auto" w:fill="E5DFEC"/>
          </w:tcPr>
          <w:p w14:paraId="20035E77" w14:textId="0075B4B7" w:rsidR="005B1724" w:rsidRPr="00433FCA" w:rsidRDefault="005B1724" w:rsidP="005B1724">
            <w:pPr>
              <w:spacing w:beforeLines="60" w:before="144" w:afterLines="60" w:after="144" w:line="276" w:lineRule="auto"/>
              <w:contextualSpacing/>
              <w:rPr>
                <w:rFonts w:cs="Arial"/>
                <w:sz w:val="20"/>
                <w:szCs w:val="20"/>
              </w:rPr>
            </w:pPr>
            <w:r w:rsidRPr="00433FCA">
              <w:rPr>
                <w:rFonts w:cs="Arial"/>
                <w:b/>
                <w:bCs/>
                <w:i/>
                <w:iCs/>
                <w:sz w:val="20"/>
                <w:szCs w:val="20"/>
              </w:rPr>
              <w:t>Assessment</w:t>
            </w:r>
          </w:p>
        </w:tc>
      </w:tr>
      <w:tr w:rsidR="005B1724" w:rsidRPr="00433FCA" w14:paraId="608A294E" w14:textId="77777777" w:rsidTr="0031011F">
        <w:trPr>
          <w:cantSplit/>
        </w:trPr>
        <w:tc>
          <w:tcPr>
            <w:tcW w:w="1500" w:type="pct"/>
            <w:shd w:val="clear" w:color="auto" w:fill="FF0000"/>
          </w:tcPr>
          <w:p w14:paraId="41710549" w14:textId="2EFA9223" w:rsidR="005B1724" w:rsidRPr="00433FCA" w:rsidRDefault="005B1724" w:rsidP="005B1724">
            <w:pPr>
              <w:spacing w:before="60" w:after="60" w:line="276" w:lineRule="auto"/>
              <w:contextualSpacing/>
              <w:rPr>
                <w:rFonts w:cs="Arial"/>
                <w:sz w:val="20"/>
                <w:szCs w:val="20"/>
              </w:rPr>
            </w:pPr>
            <w:r w:rsidRPr="00433FCA">
              <w:rPr>
                <w:rFonts w:cs="Arial"/>
                <w:b/>
                <w:bCs/>
                <w:sz w:val="20"/>
                <w:szCs w:val="20"/>
              </w:rPr>
              <w:t xml:space="preserve">2.3.2 </w:t>
            </w:r>
            <w:r w:rsidRPr="00433FCA">
              <w:rPr>
                <w:rFonts w:cs="Arial"/>
                <w:sz w:val="20"/>
                <w:szCs w:val="20"/>
              </w:rPr>
              <w:t>Information is collected and a risk analysis, appropriate to the scale of the fishery and its potential impacts, is conducted into the susceptibility of each of the following ecosystem components to the fishery.</w:t>
            </w:r>
          </w:p>
          <w:p w14:paraId="27E48D20"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1. Impacts on ecological communities</w:t>
            </w:r>
          </w:p>
          <w:p w14:paraId="0606C2AB"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 Benthic communities</w:t>
            </w:r>
          </w:p>
          <w:p w14:paraId="4C66DCE2"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 xml:space="preserve">• Ecologically related, </w:t>
            </w:r>
            <w:proofErr w:type="gramStart"/>
            <w:r w:rsidRPr="00433FCA">
              <w:rPr>
                <w:rFonts w:cs="Arial"/>
                <w:sz w:val="20"/>
                <w:szCs w:val="20"/>
              </w:rPr>
              <w:t>associated</w:t>
            </w:r>
            <w:proofErr w:type="gramEnd"/>
            <w:r w:rsidRPr="00433FCA">
              <w:rPr>
                <w:rFonts w:cs="Arial"/>
                <w:sz w:val="20"/>
                <w:szCs w:val="20"/>
              </w:rPr>
              <w:t xml:space="preserve"> or dependent species</w:t>
            </w:r>
          </w:p>
          <w:p w14:paraId="21349DE0"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 Water column communities</w:t>
            </w:r>
          </w:p>
          <w:p w14:paraId="7A9950B2"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2. Impacts on food chains</w:t>
            </w:r>
          </w:p>
          <w:p w14:paraId="66B9B0F3"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 Structure</w:t>
            </w:r>
          </w:p>
          <w:p w14:paraId="7CC656E1"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 Productivity/flows</w:t>
            </w:r>
          </w:p>
          <w:p w14:paraId="5FFFF890"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3. Impacts on the physical environment</w:t>
            </w:r>
          </w:p>
          <w:p w14:paraId="79EF8BD8"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 Physical habitat</w:t>
            </w:r>
          </w:p>
          <w:p w14:paraId="1BDD845F" w14:textId="77777777" w:rsidR="005B1724" w:rsidRPr="00433FCA" w:rsidRDefault="005B1724" w:rsidP="005B1724">
            <w:pPr>
              <w:spacing w:before="60" w:after="60" w:line="276" w:lineRule="auto"/>
              <w:contextualSpacing/>
              <w:rPr>
                <w:rFonts w:cs="Arial"/>
                <w:sz w:val="20"/>
                <w:szCs w:val="20"/>
              </w:rPr>
            </w:pPr>
            <w:r w:rsidRPr="00433FCA">
              <w:rPr>
                <w:rFonts w:cs="Arial"/>
                <w:sz w:val="20"/>
                <w:szCs w:val="20"/>
              </w:rPr>
              <w:t>• Water quality</w:t>
            </w:r>
          </w:p>
          <w:p w14:paraId="75D4CE02" w14:textId="47BD9FE2" w:rsidR="005B1724" w:rsidRPr="00433FCA" w:rsidRDefault="005B1724" w:rsidP="005B1724">
            <w:pPr>
              <w:spacing w:before="60" w:after="60" w:line="276" w:lineRule="auto"/>
              <w:contextualSpacing/>
              <w:rPr>
                <w:rFonts w:cs="Arial"/>
                <w:b/>
                <w:i/>
                <w:sz w:val="20"/>
                <w:szCs w:val="20"/>
              </w:rPr>
            </w:pPr>
          </w:p>
        </w:tc>
        <w:tc>
          <w:tcPr>
            <w:tcW w:w="3500" w:type="pct"/>
            <w:shd w:val="clear" w:color="auto" w:fill="auto"/>
          </w:tcPr>
          <w:p w14:paraId="34520C12" w14:textId="4EB0BDBE" w:rsidR="005B1724" w:rsidRPr="00FA1BF3" w:rsidRDefault="005B1724" w:rsidP="005B1724">
            <w:pPr>
              <w:spacing w:beforeLines="60" w:before="144" w:afterLines="60" w:after="144" w:line="276" w:lineRule="auto"/>
              <w:contextualSpacing/>
              <w:rPr>
                <w:rFonts w:cs="Arial"/>
                <w:b/>
                <w:sz w:val="20"/>
                <w:szCs w:val="20"/>
              </w:rPr>
            </w:pPr>
            <w:r w:rsidRPr="002233C7">
              <w:rPr>
                <w:rFonts w:cs="Arial"/>
                <w:b/>
                <w:sz w:val="20"/>
                <w:szCs w:val="20"/>
              </w:rPr>
              <w:t xml:space="preserve">Does Not Meet </w:t>
            </w:r>
            <w:r w:rsidRPr="00FA1BF3">
              <w:rPr>
                <w:rFonts w:cs="Arial"/>
                <w:b/>
                <w:sz w:val="20"/>
                <w:szCs w:val="20"/>
              </w:rPr>
              <w:t>–</w:t>
            </w:r>
            <w:r w:rsidR="00844866">
              <w:rPr>
                <w:rFonts w:cs="Arial"/>
                <w:b/>
                <w:sz w:val="20"/>
                <w:szCs w:val="20"/>
              </w:rPr>
              <w:t xml:space="preserve"> The ecological risk assessment (</w:t>
            </w:r>
            <w:r w:rsidRPr="00FA1BF3">
              <w:rPr>
                <w:rFonts w:cs="Arial"/>
                <w:b/>
                <w:sz w:val="20"/>
                <w:szCs w:val="20"/>
              </w:rPr>
              <w:t>ERA</w:t>
            </w:r>
            <w:r w:rsidR="00844866">
              <w:rPr>
                <w:rFonts w:cs="Arial"/>
                <w:b/>
                <w:sz w:val="20"/>
                <w:szCs w:val="20"/>
              </w:rPr>
              <w:t>)</w:t>
            </w:r>
            <w:r w:rsidRPr="00FA1BF3">
              <w:rPr>
                <w:rFonts w:cs="Arial"/>
                <w:b/>
                <w:sz w:val="20"/>
                <w:szCs w:val="20"/>
              </w:rPr>
              <w:t xml:space="preserve"> identified </w:t>
            </w:r>
            <w:r w:rsidR="00844866">
              <w:rPr>
                <w:rFonts w:cs="Arial"/>
                <w:b/>
                <w:sz w:val="20"/>
                <w:szCs w:val="20"/>
              </w:rPr>
              <w:t xml:space="preserve">a </w:t>
            </w:r>
            <w:r w:rsidRPr="00FA1BF3">
              <w:rPr>
                <w:rFonts w:cs="Arial"/>
                <w:b/>
                <w:sz w:val="20"/>
                <w:szCs w:val="20"/>
              </w:rPr>
              <w:t>low risk to marine habitats and ecosystem components</w:t>
            </w:r>
            <w:r w:rsidR="00844866">
              <w:rPr>
                <w:rFonts w:cs="Arial"/>
                <w:b/>
                <w:sz w:val="20"/>
                <w:szCs w:val="20"/>
              </w:rPr>
              <w:t>. H</w:t>
            </w:r>
            <w:r w:rsidRPr="00FA1BF3">
              <w:rPr>
                <w:rFonts w:cs="Arial"/>
                <w:b/>
                <w:sz w:val="20"/>
                <w:szCs w:val="20"/>
              </w:rPr>
              <w:t>owever</w:t>
            </w:r>
            <w:r w:rsidR="00844866">
              <w:rPr>
                <w:rFonts w:cs="Arial"/>
                <w:b/>
                <w:sz w:val="20"/>
                <w:szCs w:val="20"/>
              </w:rPr>
              <w:t>,</w:t>
            </w:r>
            <w:r w:rsidRPr="00FA1BF3">
              <w:rPr>
                <w:rFonts w:cs="Arial"/>
                <w:b/>
                <w:sz w:val="20"/>
                <w:szCs w:val="20"/>
              </w:rPr>
              <w:t xml:space="preserve"> there is no active monitoring of ecosystem impacts. </w:t>
            </w:r>
          </w:p>
          <w:p w14:paraId="2F4C2912" w14:textId="03F525BC" w:rsidR="005B1724" w:rsidRDefault="005B1724" w:rsidP="005B1724">
            <w:pPr>
              <w:spacing w:beforeLines="60" w:before="144" w:afterLines="60" w:after="144" w:line="276" w:lineRule="auto"/>
              <w:rPr>
                <w:rFonts w:cs="Arial"/>
                <w:sz w:val="20"/>
                <w:szCs w:val="20"/>
              </w:rPr>
            </w:pPr>
            <w:r>
              <w:rPr>
                <w:rFonts w:cs="Arial"/>
                <w:sz w:val="20"/>
                <w:szCs w:val="20"/>
              </w:rPr>
              <w:t>Sea cucumbers are an important part of the health and productivity of sediment and reef habitats of the G</w:t>
            </w:r>
            <w:r w:rsidR="00F76AB0">
              <w:rPr>
                <w:rFonts w:cs="Arial"/>
                <w:sz w:val="20"/>
                <w:szCs w:val="20"/>
              </w:rPr>
              <w:t xml:space="preserve">reat </w:t>
            </w:r>
            <w:r>
              <w:rPr>
                <w:rFonts w:cs="Arial"/>
                <w:sz w:val="20"/>
                <w:szCs w:val="20"/>
              </w:rPr>
              <w:t>B</w:t>
            </w:r>
            <w:r w:rsidR="00F76AB0">
              <w:rPr>
                <w:rFonts w:cs="Arial"/>
                <w:sz w:val="20"/>
                <w:szCs w:val="20"/>
              </w:rPr>
              <w:t xml:space="preserve">arrier </w:t>
            </w:r>
            <w:r>
              <w:rPr>
                <w:rFonts w:cs="Arial"/>
                <w:sz w:val="20"/>
                <w:szCs w:val="20"/>
              </w:rPr>
              <w:t>R</w:t>
            </w:r>
            <w:r w:rsidR="00F76AB0">
              <w:rPr>
                <w:rFonts w:cs="Arial"/>
                <w:sz w:val="20"/>
                <w:szCs w:val="20"/>
              </w:rPr>
              <w:t>eef</w:t>
            </w:r>
            <w:r>
              <w:rPr>
                <w:rFonts w:cs="Arial"/>
                <w:sz w:val="20"/>
                <w:szCs w:val="20"/>
              </w:rPr>
              <w:t xml:space="preserve"> where they play a vital role in bioturbation and the nutrient and carbonate cycles. The ecological impact of substantial and sustained removal of sea cucumber is unknown. </w:t>
            </w:r>
          </w:p>
          <w:p w14:paraId="1116F552" w14:textId="68E2E489" w:rsidR="005B1724" w:rsidRDefault="005B1724" w:rsidP="005B1724">
            <w:pPr>
              <w:spacing w:beforeLines="60" w:before="144" w:afterLines="60" w:after="144" w:line="276" w:lineRule="auto"/>
              <w:rPr>
                <w:rFonts w:cs="Arial"/>
                <w:sz w:val="20"/>
                <w:szCs w:val="20"/>
                <w:lang w:eastAsia="en-AU"/>
              </w:rPr>
            </w:pPr>
            <w:r>
              <w:rPr>
                <w:rFonts w:cs="Arial"/>
                <w:sz w:val="20"/>
                <w:szCs w:val="20"/>
                <w:lang w:eastAsia="en-AU"/>
              </w:rPr>
              <w:t xml:space="preserve">There is currently no information collected on the impact of fishing on the ecosystem. The impact of fishing is largely limited to the impact of direct removal of sea cucumber due to the highly targeted nature of hand collection. If stocks are managed to avoid overfishing and localised depletion it is likely the ecological impacts of the fishery can be minimised. </w:t>
            </w:r>
          </w:p>
          <w:p w14:paraId="397BE197" w14:textId="636649B0" w:rsidR="005B1724" w:rsidRPr="00433FCA" w:rsidRDefault="005B1724" w:rsidP="005B1724">
            <w:pPr>
              <w:spacing w:beforeLines="60" w:before="144" w:afterLines="60" w:after="144" w:line="276" w:lineRule="auto"/>
              <w:rPr>
                <w:rFonts w:cs="Arial"/>
                <w:sz w:val="20"/>
                <w:szCs w:val="20"/>
                <w:lang w:eastAsia="en-AU"/>
              </w:rPr>
            </w:pPr>
            <w:r>
              <w:rPr>
                <w:rFonts w:cs="Arial"/>
                <w:sz w:val="20"/>
                <w:szCs w:val="20"/>
                <w:lang w:eastAsia="en-AU"/>
              </w:rPr>
              <w:t xml:space="preserve">There is still significant uncertainty on the stock status of </w:t>
            </w:r>
            <w:proofErr w:type="gramStart"/>
            <w:r>
              <w:rPr>
                <w:rFonts w:cs="Arial"/>
                <w:sz w:val="20"/>
                <w:szCs w:val="20"/>
                <w:lang w:eastAsia="en-AU"/>
              </w:rPr>
              <w:t>a number of</w:t>
            </w:r>
            <w:proofErr w:type="gramEnd"/>
            <w:r>
              <w:rPr>
                <w:rFonts w:cs="Arial"/>
                <w:sz w:val="20"/>
                <w:szCs w:val="20"/>
                <w:lang w:eastAsia="en-AU"/>
              </w:rPr>
              <w:t xml:space="preserve"> species. Recent management changes and harvest trends showing concentrated harvest of some species, mean that the findings of the 2014 MSE should be revisited. Condition 5 require</w:t>
            </w:r>
            <w:r w:rsidR="005325C4">
              <w:rPr>
                <w:rFonts w:cs="Arial"/>
                <w:sz w:val="20"/>
                <w:szCs w:val="20"/>
                <w:lang w:eastAsia="en-AU"/>
              </w:rPr>
              <w:t>s</w:t>
            </w:r>
            <w:r>
              <w:rPr>
                <w:rFonts w:cs="Arial"/>
                <w:sz w:val="20"/>
                <w:szCs w:val="20"/>
                <w:lang w:eastAsia="en-AU"/>
              </w:rPr>
              <w:t xml:space="preserve"> a new MSE for the fishery. </w:t>
            </w:r>
          </w:p>
        </w:tc>
      </w:tr>
      <w:tr w:rsidR="005B1724" w:rsidRPr="00433FCA" w14:paraId="007746A1" w14:textId="77777777" w:rsidTr="002F0C8B">
        <w:trPr>
          <w:cantSplit/>
          <w:trHeight w:val="77"/>
        </w:trPr>
        <w:tc>
          <w:tcPr>
            <w:tcW w:w="5000" w:type="pct"/>
            <w:gridSpan w:val="2"/>
            <w:shd w:val="clear" w:color="auto" w:fill="E5DFEC"/>
          </w:tcPr>
          <w:p w14:paraId="2F5F922B" w14:textId="77777777" w:rsidR="005B1724" w:rsidRPr="00433FCA" w:rsidRDefault="005B1724" w:rsidP="005B1724">
            <w:pPr>
              <w:spacing w:beforeLines="60" w:before="144" w:afterLines="60" w:after="144" w:line="276" w:lineRule="auto"/>
              <w:contextualSpacing/>
              <w:rPr>
                <w:rFonts w:cs="Arial"/>
                <w:b/>
                <w:bCs/>
                <w:i/>
                <w:iCs/>
                <w:sz w:val="20"/>
                <w:szCs w:val="20"/>
              </w:rPr>
            </w:pPr>
            <w:r w:rsidRPr="00433FCA">
              <w:rPr>
                <w:rFonts w:cs="Arial"/>
                <w:b/>
                <w:bCs/>
                <w:i/>
                <w:iCs/>
                <w:sz w:val="20"/>
                <w:szCs w:val="20"/>
              </w:rPr>
              <w:lastRenderedPageBreak/>
              <w:t>Management responses</w:t>
            </w:r>
          </w:p>
        </w:tc>
      </w:tr>
      <w:tr w:rsidR="005B1724" w:rsidRPr="00433FCA" w14:paraId="405718D3" w14:textId="77777777" w:rsidTr="007E08DD">
        <w:trPr>
          <w:cantSplit/>
          <w:trHeight w:val="77"/>
        </w:trPr>
        <w:tc>
          <w:tcPr>
            <w:tcW w:w="1500" w:type="pct"/>
            <w:shd w:val="clear" w:color="auto" w:fill="FFC000"/>
          </w:tcPr>
          <w:p w14:paraId="1C2BDFA5"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2.3.3 </w:t>
            </w:r>
            <w:r w:rsidRPr="00433FCA">
              <w:rPr>
                <w:rFonts w:cs="Arial"/>
                <w:sz w:val="20"/>
                <w:szCs w:val="20"/>
              </w:rPr>
              <w:t>Management actions are in place to ensure significant damage to ecosystems does not arise from the impacts described in 2.3.1.</w:t>
            </w:r>
          </w:p>
          <w:p w14:paraId="1432DE2D" w14:textId="50AB7AB7" w:rsidR="005B1724" w:rsidRPr="00433FCA" w:rsidRDefault="005B1724" w:rsidP="005B1724">
            <w:pPr>
              <w:spacing w:before="60" w:after="60" w:line="276" w:lineRule="auto"/>
              <w:contextualSpacing/>
              <w:rPr>
                <w:rFonts w:cs="Arial"/>
                <w:b/>
                <w:i/>
                <w:sz w:val="20"/>
                <w:szCs w:val="20"/>
              </w:rPr>
            </w:pPr>
          </w:p>
        </w:tc>
        <w:tc>
          <w:tcPr>
            <w:tcW w:w="3500" w:type="pct"/>
            <w:shd w:val="clear" w:color="auto" w:fill="auto"/>
          </w:tcPr>
          <w:p w14:paraId="54BD50E4" w14:textId="23957FAA" w:rsidR="005B1724" w:rsidRPr="00FA1BF3" w:rsidRDefault="005B1724" w:rsidP="005B1724">
            <w:pPr>
              <w:spacing w:beforeLines="60" w:before="144" w:afterLines="60" w:after="144" w:line="276" w:lineRule="auto"/>
              <w:contextualSpacing/>
              <w:rPr>
                <w:rFonts w:cs="Arial"/>
                <w:b/>
                <w:sz w:val="20"/>
                <w:szCs w:val="20"/>
              </w:rPr>
            </w:pPr>
            <w:r w:rsidRPr="003A0805">
              <w:rPr>
                <w:rFonts w:cs="Arial"/>
                <w:b/>
                <w:sz w:val="20"/>
                <w:szCs w:val="20"/>
              </w:rPr>
              <w:t xml:space="preserve">Partially meets </w:t>
            </w:r>
            <w:r w:rsidRPr="00FA1BF3">
              <w:rPr>
                <w:rFonts w:cs="Arial"/>
                <w:b/>
                <w:sz w:val="20"/>
                <w:szCs w:val="20"/>
              </w:rPr>
              <w:t>– Management actions</w:t>
            </w:r>
            <w:r w:rsidR="002B5EA4">
              <w:rPr>
                <w:rFonts w:cs="Arial"/>
                <w:b/>
                <w:sz w:val="20"/>
                <w:szCs w:val="20"/>
              </w:rPr>
              <w:t xml:space="preserve"> are</w:t>
            </w:r>
            <w:r w:rsidRPr="00FA1BF3">
              <w:rPr>
                <w:rFonts w:cs="Arial"/>
                <w:b/>
                <w:sz w:val="20"/>
                <w:szCs w:val="20"/>
              </w:rPr>
              <w:t xml:space="preserve"> in place to limit overfishing but there is minimal monitoring of ecosystem impacts</w:t>
            </w:r>
            <w:r w:rsidR="002B5EA4">
              <w:rPr>
                <w:rFonts w:cs="Arial"/>
                <w:b/>
                <w:sz w:val="20"/>
                <w:szCs w:val="20"/>
              </w:rPr>
              <w:t>.</w:t>
            </w:r>
          </w:p>
          <w:p w14:paraId="603A86ED" w14:textId="2EFA1084" w:rsidR="005B1724" w:rsidRPr="00D86D08" w:rsidRDefault="005B1724" w:rsidP="005B1724">
            <w:pPr>
              <w:spacing w:beforeLines="60" w:before="144" w:afterLines="60" w:after="144" w:line="276" w:lineRule="auto"/>
              <w:rPr>
                <w:rFonts w:cs="Arial"/>
                <w:bCs/>
                <w:sz w:val="20"/>
                <w:szCs w:val="20"/>
              </w:rPr>
            </w:pPr>
            <w:r>
              <w:rPr>
                <w:rFonts w:cs="Arial"/>
                <w:sz w:val="20"/>
                <w:szCs w:val="20"/>
              </w:rPr>
              <w:t>Direct removal of sea cucumbers is the most significant risk posed by the fishery to the ecosystem and marine environment. There are a range of management action reduce the risk of overfishing already outlined (e.g., quota, reference limits and</w:t>
            </w:r>
            <w:r w:rsidR="002B5EA4">
              <w:rPr>
                <w:rFonts w:cs="Arial"/>
                <w:sz w:val="20"/>
                <w:szCs w:val="20"/>
              </w:rPr>
              <w:t xml:space="preserve"> the</w:t>
            </w:r>
            <w:r>
              <w:rPr>
                <w:rFonts w:cs="Arial"/>
                <w:sz w:val="20"/>
                <w:szCs w:val="20"/>
              </w:rPr>
              <w:t xml:space="preserve"> rotational harvest arrangement). Beyond managing the risk of overharvesting there is </w:t>
            </w:r>
            <w:r w:rsidR="00B62C7B">
              <w:rPr>
                <w:rFonts w:cs="Arial"/>
                <w:sz w:val="20"/>
                <w:szCs w:val="20"/>
              </w:rPr>
              <w:t>no</w:t>
            </w:r>
            <w:r w:rsidR="006C5AD7">
              <w:rPr>
                <w:rFonts w:cs="Arial"/>
                <w:sz w:val="20"/>
                <w:szCs w:val="20"/>
              </w:rPr>
              <w:t xml:space="preserve"> ability </w:t>
            </w:r>
            <w:r>
              <w:rPr>
                <w:rFonts w:cs="Arial"/>
                <w:sz w:val="20"/>
                <w:szCs w:val="20"/>
              </w:rPr>
              <w:t xml:space="preserve">under the current management to detect or respond to impacts of fishing on the ecosystem. </w:t>
            </w:r>
          </w:p>
        </w:tc>
      </w:tr>
      <w:tr w:rsidR="005B1724" w:rsidRPr="00433FCA" w14:paraId="0C8B361A" w14:textId="77777777" w:rsidTr="00AF2EEA">
        <w:trPr>
          <w:cantSplit/>
        </w:trPr>
        <w:tc>
          <w:tcPr>
            <w:tcW w:w="1500" w:type="pct"/>
            <w:shd w:val="clear" w:color="auto" w:fill="FF0000"/>
          </w:tcPr>
          <w:p w14:paraId="5A2F7A15"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 xml:space="preserve">2.3.4 </w:t>
            </w:r>
            <w:r w:rsidRPr="00433FCA">
              <w:rPr>
                <w:rFonts w:cs="Arial"/>
                <w:sz w:val="20"/>
                <w:szCs w:val="20"/>
              </w:rPr>
              <w:t xml:space="preserve">There are decision rules that trigger further management responses when monitoring detects impacts on selected ecosystem indicators beyond a predetermined level, or where action is indicated by application of the precautionary approach. </w:t>
            </w:r>
          </w:p>
          <w:p w14:paraId="4D5C4181" w14:textId="643C0187"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360900B7" w14:textId="58B7B5D0" w:rsidR="005B1724" w:rsidRPr="00C8289E" w:rsidRDefault="007402D4" w:rsidP="005B1724">
            <w:pPr>
              <w:spacing w:beforeLines="60" w:before="144" w:afterLines="60" w:after="144" w:line="276" w:lineRule="auto"/>
              <w:contextualSpacing/>
              <w:rPr>
                <w:rFonts w:cs="Arial"/>
                <w:b/>
                <w:sz w:val="20"/>
                <w:szCs w:val="20"/>
              </w:rPr>
            </w:pPr>
            <w:r>
              <w:rPr>
                <w:rFonts w:cs="Arial"/>
                <w:b/>
                <w:sz w:val="20"/>
                <w:szCs w:val="20"/>
              </w:rPr>
              <w:t>Does not meet</w:t>
            </w:r>
            <w:r w:rsidR="005B1724" w:rsidRPr="00C8289E">
              <w:rPr>
                <w:rFonts w:cs="Arial"/>
                <w:b/>
                <w:sz w:val="20"/>
                <w:szCs w:val="20"/>
              </w:rPr>
              <w:t xml:space="preserve"> – </w:t>
            </w:r>
            <w:r>
              <w:rPr>
                <w:rFonts w:cs="Arial"/>
                <w:b/>
                <w:sz w:val="20"/>
                <w:szCs w:val="20"/>
              </w:rPr>
              <w:t>No ecosystem indicators have been identified.</w:t>
            </w:r>
          </w:p>
          <w:p w14:paraId="013E96DC" w14:textId="15EC0717" w:rsidR="005B1724" w:rsidRPr="00C8289E" w:rsidRDefault="005B1724" w:rsidP="005B1724">
            <w:pPr>
              <w:spacing w:beforeLines="60" w:before="144" w:afterLines="60" w:after="144" w:line="276" w:lineRule="auto"/>
              <w:rPr>
                <w:rFonts w:cs="Arial"/>
                <w:bCs/>
                <w:sz w:val="20"/>
                <w:szCs w:val="20"/>
              </w:rPr>
            </w:pPr>
            <w:r w:rsidRPr="00C8289E">
              <w:rPr>
                <w:rFonts w:cs="Arial"/>
                <w:bCs/>
                <w:sz w:val="20"/>
                <w:szCs w:val="20"/>
              </w:rPr>
              <w:t>The Harvest Strategy includes decision</w:t>
            </w:r>
            <w:r>
              <w:rPr>
                <w:rFonts w:cs="Arial"/>
                <w:bCs/>
                <w:sz w:val="20"/>
                <w:szCs w:val="20"/>
              </w:rPr>
              <w:t xml:space="preserve"> rules</w:t>
            </w:r>
            <w:r w:rsidRPr="00C8289E">
              <w:rPr>
                <w:rFonts w:cs="Arial"/>
                <w:bCs/>
                <w:sz w:val="20"/>
                <w:szCs w:val="20"/>
              </w:rPr>
              <w:t xml:space="preserve"> around managing ecological risk. These include a process to review and recommend appropriate action to address impacts identified by the ERA which pose an unacceptable level of risk to any ecological component in the fishery. The Harvest Strategy also include</w:t>
            </w:r>
            <w:r>
              <w:rPr>
                <w:rFonts w:cs="Arial"/>
                <w:bCs/>
                <w:sz w:val="20"/>
                <w:szCs w:val="20"/>
              </w:rPr>
              <w:t>s</w:t>
            </w:r>
            <w:r w:rsidRPr="00C8289E">
              <w:rPr>
                <w:rFonts w:cs="Arial"/>
                <w:bCs/>
                <w:sz w:val="20"/>
                <w:szCs w:val="20"/>
              </w:rPr>
              <w:t xml:space="preserve"> a response to review management action if a reef </w:t>
            </w:r>
            <w:r w:rsidR="00F47E50">
              <w:rPr>
                <w:rFonts w:cs="Arial"/>
                <w:bCs/>
                <w:sz w:val="20"/>
                <w:szCs w:val="20"/>
              </w:rPr>
              <w:t xml:space="preserve">health incident </w:t>
            </w:r>
            <w:r w:rsidR="00F47E50" w:rsidRPr="00F47E50">
              <w:rPr>
                <w:rFonts w:cs="Arial"/>
                <w:bCs/>
                <w:sz w:val="20"/>
                <w:szCs w:val="20"/>
              </w:rPr>
              <w:t>(coral bleaching, cyclones etc.)</w:t>
            </w:r>
            <w:r w:rsidRPr="00C8289E">
              <w:rPr>
                <w:rFonts w:cs="Arial"/>
                <w:bCs/>
                <w:sz w:val="20"/>
                <w:szCs w:val="20"/>
              </w:rPr>
              <w:t xml:space="preserve"> is identified under the G</w:t>
            </w:r>
            <w:r w:rsidR="005A0936">
              <w:rPr>
                <w:rFonts w:cs="Arial"/>
                <w:bCs/>
                <w:sz w:val="20"/>
                <w:szCs w:val="20"/>
              </w:rPr>
              <w:t xml:space="preserve">reat </w:t>
            </w:r>
            <w:r w:rsidRPr="00C8289E">
              <w:rPr>
                <w:rFonts w:cs="Arial"/>
                <w:bCs/>
                <w:sz w:val="20"/>
                <w:szCs w:val="20"/>
              </w:rPr>
              <w:t>B</w:t>
            </w:r>
            <w:r w:rsidR="005A0936">
              <w:rPr>
                <w:rFonts w:cs="Arial"/>
                <w:bCs/>
                <w:sz w:val="20"/>
                <w:szCs w:val="20"/>
              </w:rPr>
              <w:t xml:space="preserve">arrier </w:t>
            </w:r>
            <w:r w:rsidRPr="00C8289E">
              <w:rPr>
                <w:rFonts w:cs="Arial"/>
                <w:bCs/>
                <w:sz w:val="20"/>
                <w:szCs w:val="20"/>
              </w:rPr>
              <w:t>R</w:t>
            </w:r>
            <w:r w:rsidR="005A0936">
              <w:rPr>
                <w:rFonts w:cs="Arial"/>
                <w:bCs/>
                <w:sz w:val="20"/>
                <w:szCs w:val="20"/>
              </w:rPr>
              <w:t xml:space="preserve">eef </w:t>
            </w:r>
            <w:r w:rsidRPr="00C8289E">
              <w:rPr>
                <w:rFonts w:cs="Arial"/>
                <w:bCs/>
                <w:sz w:val="20"/>
                <w:szCs w:val="20"/>
              </w:rPr>
              <w:t>M</w:t>
            </w:r>
            <w:r w:rsidR="005A0936">
              <w:rPr>
                <w:rFonts w:cs="Arial"/>
                <w:bCs/>
                <w:sz w:val="20"/>
                <w:szCs w:val="20"/>
              </w:rPr>
              <w:t xml:space="preserve">arine </w:t>
            </w:r>
            <w:r w:rsidRPr="00C8289E">
              <w:rPr>
                <w:rFonts w:cs="Arial"/>
                <w:bCs/>
                <w:sz w:val="20"/>
                <w:szCs w:val="20"/>
              </w:rPr>
              <w:t>P</w:t>
            </w:r>
            <w:r w:rsidR="005A0936">
              <w:rPr>
                <w:rFonts w:cs="Arial"/>
                <w:bCs/>
                <w:sz w:val="20"/>
                <w:szCs w:val="20"/>
              </w:rPr>
              <w:t>ark</w:t>
            </w:r>
            <w:r w:rsidRPr="00C8289E">
              <w:rPr>
                <w:rFonts w:cs="Arial"/>
                <w:bCs/>
                <w:sz w:val="20"/>
                <w:szCs w:val="20"/>
              </w:rPr>
              <w:t xml:space="preserve"> Reef Health Indecent Response Plan.</w:t>
            </w:r>
          </w:p>
          <w:p w14:paraId="1743511B" w14:textId="2EB59B65" w:rsidR="005B1724" w:rsidRPr="00C8289E" w:rsidRDefault="005B1724" w:rsidP="005B1724">
            <w:pPr>
              <w:spacing w:beforeLines="60" w:before="144" w:afterLines="60" w:after="144" w:line="276" w:lineRule="auto"/>
              <w:rPr>
                <w:rFonts w:cs="Arial"/>
                <w:sz w:val="20"/>
                <w:szCs w:val="20"/>
              </w:rPr>
            </w:pPr>
            <w:r w:rsidRPr="00C8289E">
              <w:rPr>
                <w:rFonts w:cs="Arial"/>
                <w:bCs/>
                <w:sz w:val="20"/>
                <w:szCs w:val="20"/>
              </w:rPr>
              <w:t>Beyond managing the risk of overfishing o</w:t>
            </w:r>
            <w:r>
              <w:rPr>
                <w:rFonts w:cs="Arial"/>
                <w:bCs/>
                <w:sz w:val="20"/>
                <w:szCs w:val="20"/>
              </w:rPr>
              <w:t>f</w:t>
            </w:r>
            <w:r w:rsidRPr="00C8289E">
              <w:rPr>
                <w:rFonts w:cs="Arial"/>
                <w:bCs/>
                <w:sz w:val="20"/>
                <w:szCs w:val="20"/>
              </w:rPr>
              <w:t xml:space="preserve"> sea cucumbers there is </w:t>
            </w:r>
            <w:r w:rsidR="007402D4">
              <w:rPr>
                <w:rFonts w:cs="Arial"/>
                <w:bCs/>
                <w:sz w:val="20"/>
                <w:szCs w:val="20"/>
              </w:rPr>
              <w:t>no</w:t>
            </w:r>
            <w:r w:rsidR="00B033BD">
              <w:rPr>
                <w:rFonts w:cs="Arial"/>
                <w:bCs/>
                <w:sz w:val="20"/>
                <w:szCs w:val="20"/>
              </w:rPr>
              <w:t xml:space="preserve"> </w:t>
            </w:r>
            <w:r w:rsidRPr="00C8289E">
              <w:rPr>
                <w:rFonts w:cs="Arial"/>
                <w:bCs/>
                <w:sz w:val="20"/>
                <w:szCs w:val="20"/>
              </w:rPr>
              <w:t>information gathered on the impact of fishing on the ecosystem, reduc</w:t>
            </w:r>
            <w:r w:rsidR="00107AFF">
              <w:rPr>
                <w:rFonts w:cs="Arial"/>
                <w:bCs/>
                <w:sz w:val="20"/>
                <w:szCs w:val="20"/>
              </w:rPr>
              <w:t>ing</w:t>
            </w:r>
            <w:r w:rsidRPr="00C8289E">
              <w:rPr>
                <w:rFonts w:cs="Arial"/>
                <w:bCs/>
                <w:sz w:val="20"/>
                <w:szCs w:val="20"/>
              </w:rPr>
              <w:t xml:space="preserve"> the capacity to detect potential impacts. It is important that stock status of species harvested by the fishery is well understood.</w:t>
            </w:r>
          </w:p>
        </w:tc>
      </w:tr>
      <w:tr w:rsidR="005B1724" w:rsidRPr="00433FCA" w14:paraId="22F6BF5A" w14:textId="77777777" w:rsidTr="00E77479">
        <w:trPr>
          <w:cantSplit/>
        </w:trPr>
        <w:tc>
          <w:tcPr>
            <w:tcW w:w="1500" w:type="pct"/>
            <w:shd w:val="clear" w:color="auto" w:fill="FFC000"/>
          </w:tcPr>
          <w:p w14:paraId="6A6B59DC" w14:textId="77777777" w:rsidR="005B1724" w:rsidRPr="00433FCA" w:rsidRDefault="005B1724" w:rsidP="005B1724">
            <w:pPr>
              <w:spacing w:before="60" w:after="60" w:line="276" w:lineRule="auto"/>
              <w:contextualSpacing/>
              <w:rPr>
                <w:rFonts w:cs="Arial"/>
                <w:sz w:val="20"/>
                <w:szCs w:val="20"/>
              </w:rPr>
            </w:pPr>
            <w:r w:rsidRPr="00433FCA">
              <w:rPr>
                <w:rFonts w:cs="Arial"/>
                <w:b/>
                <w:bCs/>
                <w:i/>
                <w:iCs/>
                <w:sz w:val="20"/>
                <w:szCs w:val="20"/>
              </w:rPr>
              <w:t>2.3.5</w:t>
            </w:r>
            <w:r w:rsidRPr="00433FCA">
              <w:rPr>
                <w:rFonts w:cs="Arial"/>
                <w:sz w:val="20"/>
                <w:szCs w:val="20"/>
              </w:rPr>
              <w:t xml:space="preserve"> The management response, considering uncertainties in the assessment and precautionary management actions, has a high chance of achieving the objective.</w:t>
            </w:r>
          </w:p>
          <w:p w14:paraId="544B66DE" w14:textId="780674B5" w:rsidR="005B1724" w:rsidRPr="00433FCA" w:rsidRDefault="005B1724" w:rsidP="005B1724">
            <w:pPr>
              <w:spacing w:before="60" w:after="60" w:line="276" w:lineRule="auto"/>
              <w:contextualSpacing/>
              <w:rPr>
                <w:rFonts w:cs="Arial"/>
                <w:sz w:val="20"/>
                <w:szCs w:val="20"/>
              </w:rPr>
            </w:pPr>
          </w:p>
        </w:tc>
        <w:tc>
          <w:tcPr>
            <w:tcW w:w="3500" w:type="pct"/>
            <w:shd w:val="clear" w:color="auto" w:fill="auto"/>
          </w:tcPr>
          <w:p w14:paraId="20631D76" w14:textId="7EA3A0BC" w:rsidR="005B1724" w:rsidRPr="00FA1BF3" w:rsidRDefault="005B1724" w:rsidP="005B1724">
            <w:pPr>
              <w:spacing w:beforeLines="60" w:before="144" w:afterLines="60" w:after="144" w:line="276" w:lineRule="auto"/>
              <w:contextualSpacing/>
              <w:rPr>
                <w:rFonts w:cs="Arial"/>
                <w:b/>
                <w:sz w:val="20"/>
                <w:szCs w:val="20"/>
              </w:rPr>
            </w:pPr>
            <w:r w:rsidRPr="00C8289E">
              <w:rPr>
                <w:rFonts w:cs="Arial"/>
                <w:b/>
                <w:sz w:val="20"/>
                <w:szCs w:val="20"/>
              </w:rPr>
              <w:t xml:space="preserve">Partially meets </w:t>
            </w:r>
            <w:r w:rsidRPr="00FA1BF3">
              <w:rPr>
                <w:rFonts w:cs="Arial"/>
                <w:b/>
                <w:sz w:val="20"/>
                <w:szCs w:val="20"/>
              </w:rPr>
              <w:t xml:space="preserve">– </w:t>
            </w:r>
            <w:r w:rsidR="003B3F99">
              <w:rPr>
                <w:rFonts w:cs="Arial"/>
                <w:b/>
                <w:sz w:val="20"/>
                <w:szCs w:val="20"/>
              </w:rPr>
              <w:t>There is a m</w:t>
            </w:r>
            <w:r w:rsidRPr="00FA1BF3">
              <w:rPr>
                <w:rFonts w:cs="Arial"/>
                <w:b/>
                <w:sz w:val="20"/>
                <w:szCs w:val="20"/>
              </w:rPr>
              <w:t>edium chance</w:t>
            </w:r>
            <w:r w:rsidR="003B3F99">
              <w:rPr>
                <w:rFonts w:cs="Arial"/>
                <w:b/>
                <w:sz w:val="20"/>
                <w:szCs w:val="20"/>
              </w:rPr>
              <w:t xml:space="preserve"> of the management response </w:t>
            </w:r>
            <w:r w:rsidR="00253395">
              <w:rPr>
                <w:rFonts w:cs="Arial"/>
                <w:b/>
                <w:sz w:val="20"/>
                <w:szCs w:val="20"/>
              </w:rPr>
              <w:t>achieving the objective.</w:t>
            </w:r>
          </w:p>
          <w:p w14:paraId="5C970239" w14:textId="7F133C38" w:rsidR="005B1724" w:rsidRPr="00C8289E" w:rsidRDefault="005B1724" w:rsidP="005B1724">
            <w:pPr>
              <w:spacing w:beforeLines="60" w:before="144" w:afterLines="60" w:after="144" w:line="276" w:lineRule="auto"/>
              <w:rPr>
                <w:rFonts w:cs="Arial"/>
                <w:sz w:val="20"/>
                <w:szCs w:val="20"/>
              </w:rPr>
            </w:pPr>
            <w:r w:rsidRPr="00C8289E">
              <w:rPr>
                <w:rFonts w:cs="Arial"/>
                <w:sz w:val="20"/>
                <w:szCs w:val="20"/>
              </w:rPr>
              <w:t>Without direct monitoring of the impacts of fishing on ecosystem indicators or components</w:t>
            </w:r>
            <w:r w:rsidR="0009077C">
              <w:rPr>
                <w:rFonts w:cs="Arial"/>
                <w:sz w:val="20"/>
                <w:szCs w:val="20"/>
              </w:rPr>
              <w:t xml:space="preserve"> of the</w:t>
            </w:r>
            <w:r w:rsidRPr="00C8289E">
              <w:rPr>
                <w:rFonts w:cs="Arial"/>
                <w:sz w:val="20"/>
                <w:szCs w:val="20"/>
              </w:rPr>
              <w:t xml:space="preserve"> marine ecosystem, there should be a strong emphasis on precautionary man</w:t>
            </w:r>
            <w:r>
              <w:rPr>
                <w:rFonts w:cs="Arial"/>
                <w:sz w:val="20"/>
                <w:szCs w:val="20"/>
              </w:rPr>
              <w:t>agement</w:t>
            </w:r>
            <w:r w:rsidRPr="00C8289E">
              <w:rPr>
                <w:rFonts w:cs="Arial"/>
                <w:sz w:val="20"/>
                <w:szCs w:val="20"/>
              </w:rPr>
              <w:t xml:space="preserve"> so that harvest does not compromise the important role sea cucumbers play in the ecosystem.</w:t>
            </w:r>
          </w:p>
          <w:p w14:paraId="2A7E9136" w14:textId="01E09D1B" w:rsidR="005B1724" w:rsidRDefault="005B1724" w:rsidP="005B1724">
            <w:pPr>
              <w:spacing w:beforeLines="60" w:before="144" w:afterLines="60" w:after="144" w:line="276" w:lineRule="auto"/>
              <w:contextualSpacing/>
              <w:rPr>
                <w:rFonts w:cs="Arial"/>
                <w:bCs/>
                <w:sz w:val="20"/>
                <w:szCs w:val="20"/>
              </w:rPr>
            </w:pPr>
            <w:r w:rsidRPr="00982040">
              <w:rPr>
                <w:rFonts w:cs="Arial"/>
                <w:bCs/>
                <w:sz w:val="20"/>
                <w:szCs w:val="20"/>
              </w:rPr>
              <w:t>Condition</w:t>
            </w:r>
            <w:r>
              <w:rPr>
                <w:rFonts w:cs="Arial"/>
                <w:bCs/>
                <w:sz w:val="20"/>
                <w:szCs w:val="20"/>
              </w:rPr>
              <w:t>s</w:t>
            </w:r>
            <w:r w:rsidRPr="00982040">
              <w:rPr>
                <w:rFonts w:cs="Arial"/>
                <w:bCs/>
                <w:sz w:val="20"/>
                <w:szCs w:val="20"/>
              </w:rPr>
              <w:t xml:space="preserve"> </w:t>
            </w:r>
            <w:r>
              <w:rPr>
                <w:rFonts w:cs="Arial"/>
                <w:bCs/>
                <w:sz w:val="20"/>
                <w:szCs w:val="20"/>
              </w:rPr>
              <w:t>requiring surveys and development of stock assessments for highly targeted species</w:t>
            </w:r>
            <w:r w:rsidRPr="00982040">
              <w:rPr>
                <w:rFonts w:cs="Arial"/>
                <w:bCs/>
                <w:sz w:val="20"/>
                <w:szCs w:val="20"/>
              </w:rPr>
              <w:t xml:space="preserve"> will help better </w:t>
            </w:r>
            <w:r w:rsidR="00124087">
              <w:rPr>
                <w:rFonts w:cs="Arial"/>
                <w:bCs/>
                <w:sz w:val="20"/>
                <w:szCs w:val="20"/>
              </w:rPr>
              <w:t xml:space="preserve">inform </w:t>
            </w:r>
            <w:r w:rsidRPr="00982040">
              <w:rPr>
                <w:rFonts w:cs="Arial"/>
                <w:bCs/>
                <w:sz w:val="20"/>
                <w:szCs w:val="20"/>
              </w:rPr>
              <w:t xml:space="preserve">stock status and </w:t>
            </w:r>
            <w:r>
              <w:rPr>
                <w:rFonts w:cs="Arial"/>
                <w:bCs/>
                <w:sz w:val="20"/>
                <w:szCs w:val="20"/>
              </w:rPr>
              <w:t>prevent overharvesting</w:t>
            </w:r>
            <w:r w:rsidRPr="00982040">
              <w:rPr>
                <w:rFonts w:cs="Arial"/>
                <w:bCs/>
                <w:sz w:val="20"/>
                <w:szCs w:val="20"/>
              </w:rPr>
              <w:t>.</w:t>
            </w:r>
          </w:p>
          <w:p w14:paraId="5DABCD7B" w14:textId="32380758" w:rsidR="005B1724" w:rsidRPr="00D86D08" w:rsidRDefault="005B1724" w:rsidP="005B1724">
            <w:pPr>
              <w:spacing w:beforeLines="60" w:before="144" w:afterLines="60" w:after="144" w:line="276" w:lineRule="auto"/>
              <w:contextualSpacing/>
              <w:rPr>
                <w:rFonts w:cs="Arial"/>
                <w:bCs/>
                <w:sz w:val="20"/>
                <w:szCs w:val="20"/>
              </w:rPr>
            </w:pPr>
          </w:p>
        </w:tc>
      </w:tr>
    </w:tbl>
    <w:p w14:paraId="4D8729D4" w14:textId="77777777" w:rsidR="00F8472A" w:rsidRPr="00FC2EBF" w:rsidRDefault="00F8472A" w:rsidP="00FC2EBF"/>
    <w:p w14:paraId="2D35029A" w14:textId="77777777" w:rsidR="00227603" w:rsidRPr="00FC2EBF" w:rsidRDefault="00227603" w:rsidP="00FC2EBF">
      <w:pPr>
        <w:sectPr w:rsidR="00227603" w:rsidRPr="00FC2EBF" w:rsidSect="001955CD">
          <w:pgSz w:w="16838" w:h="11906" w:orient="landscape"/>
          <w:pgMar w:top="1021" w:right="1021" w:bottom="1021" w:left="1021" w:header="709" w:footer="709" w:gutter="0"/>
          <w:cols w:space="708"/>
          <w:docGrid w:linePitch="360"/>
        </w:sectPr>
      </w:pPr>
    </w:p>
    <w:p w14:paraId="3F0B8578" w14:textId="54CC23B7" w:rsidR="006B6EF9" w:rsidRPr="00433FCA" w:rsidRDefault="006B6EF9" w:rsidP="00EF2FE1">
      <w:pPr>
        <w:pStyle w:val="Heading1"/>
        <w:rPr>
          <w:rFonts w:ascii="Arial" w:hAnsi="Arial"/>
        </w:rPr>
      </w:pPr>
      <w:bookmarkStart w:id="6" w:name="_Toc89208569"/>
      <w:r w:rsidRPr="00433FCA">
        <w:rPr>
          <w:rFonts w:ascii="Arial" w:hAnsi="Arial"/>
        </w:rPr>
        <w:lastRenderedPageBreak/>
        <w:t>Section</w:t>
      </w:r>
      <w:r w:rsidR="0027138D" w:rsidRPr="00433FCA">
        <w:rPr>
          <w:rFonts w:ascii="Arial" w:hAnsi="Arial"/>
        </w:rPr>
        <w:t xml:space="preserve"> </w:t>
      </w:r>
      <w:r w:rsidR="00417DFC">
        <w:rPr>
          <w:rFonts w:ascii="Arial" w:hAnsi="Arial"/>
        </w:rPr>
        <w:t>4</w:t>
      </w:r>
      <w:r w:rsidR="00223C3E" w:rsidRPr="00433FCA">
        <w:rPr>
          <w:rFonts w:ascii="Arial" w:hAnsi="Arial"/>
        </w:rPr>
        <w:t xml:space="preserve">: </w:t>
      </w:r>
      <w:r w:rsidRPr="00433FCA">
        <w:rPr>
          <w:rFonts w:ascii="Arial" w:hAnsi="Arial"/>
        </w:rPr>
        <w:t>Assessment Against the EPBC Act</w:t>
      </w:r>
      <w:bookmarkEnd w:id="6"/>
    </w:p>
    <w:p w14:paraId="7FCE71B0" w14:textId="4359E207" w:rsidR="009F053A" w:rsidRPr="0081083E" w:rsidRDefault="009F053A" w:rsidP="001F4207">
      <w:r w:rsidRPr="0081083E">
        <w:t xml:space="preserve">The table below is not a complete or exact representation of the EPBC Act. It is intended </w:t>
      </w:r>
      <w:r w:rsidR="007361FC" w:rsidRPr="0081083E">
        <w:t xml:space="preserve">to show that the </w:t>
      </w:r>
      <w:r w:rsidRPr="0081083E">
        <w:t xml:space="preserve">relevant sections and components of the EPBC Act </w:t>
      </w:r>
      <w:r w:rsidR="00897628" w:rsidRPr="0081083E">
        <w:t xml:space="preserve">have been </w:t>
      </w:r>
      <w:proofErr w:type="gramStart"/>
      <w:r w:rsidR="00897628" w:rsidRPr="0081083E">
        <w:t>taken into account</w:t>
      </w:r>
      <w:proofErr w:type="gramEnd"/>
      <w:r w:rsidR="00897628" w:rsidRPr="0081083E">
        <w:t xml:space="preserve"> in the formulation of </w:t>
      </w:r>
      <w:r w:rsidRPr="0081083E">
        <w:t xml:space="preserve">advice on the fishery in relation to decisions under Part 13 and Part 13A. </w:t>
      </w:r>
    </w:p>
    <w:p w14:paraId="690C012B" w14:textId="77777777" w:rsidR="00F73C73" w:rsidRPr="001F4207" w:rsidRDefault="00F73C73" w:rsidP="001F4207"/>
    <w:p w14:paraId="63A4FE7E" w14:textId="4BABCD6D" w:rsidR="009F053A" w:rsidRPr="00EF2FE1" w:rsidRDefault="009F053A" w:rsidP="00CC1027">
      <w:pPr>
        <w:pStyle w:val="Heading2"/>
      </w:pPr>
      <w:bookmarkStart w:id="7" w:name="_Toc89208570"/>
      <w:r w:rsidRPr="00EF2FE1">
        <w:t xml:space="preserve">Part 12 </w:t>
      </w:r>
      <w:r w:rsidR="00F73C73">
        <w:t>– Identifying and monitoring biodiversity and making bioregional plans</w:t>
      </w:r>
      <w:bookmarkEnd w:id="7"/>
    </w:p>
    <w:tbl>
      <w:tblPr>
        <w:tblStyle w:val="TableGrid"/>
        <w:tblW w:w="5000" w:type="pct"/>
        <w:tblLook w:val="04A0" w:firstRow="1" w:lastRow="0" w:firstColumn="1" w:lastColumn="0" w:noHBand="0" w:noVBand="1"/>
      </w:tblPr>
      <w:tblGrid>
        <w:gridCol w:w="7393"/>
        <w:gridCol w:w="7393"/>
      </w:tblGrid>
      <w:tr w:rsidR="009F053A" w:rsidRPr="00EF2FE1" w14:paraId="503FF0BC" w14:textId="77777777" w:rsidTr="00EF2FE1">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4BC41F5C" w14:textId="35615BB6" w:rsidR="009F053A" w:rsidRPr="00EF2FE1" w:rsidRDefault="00400844" w:rsidP="00FC2EBF">
            <w:pPr>
              <w:spacing w:before="60" w:after="60" w:line="276" w:lineRule="auto"/>
              <w:ind w:left="426" w:hanging="426"/>
              <w:contextualSpacing/>
              <w:jc w:val="center"/>
              <w:rPr>
                <w:rFonts w:cs="Arial"/>
                <w:b/>
                <w:sz w:val="20"/>
                <w:szCs w:val="20"/>
              </w:rPr>
            </w:pPr>
            <w:r w:rsidRPr="00EF2FE1">
              <w:rPr>
                <w:rFonts w:cs="Arial"/>
                <w:b/>
                <w:sz w:val="20"/>
                <w:szCs w:val="20"/>
              </w:rPr>
              <w:t>Section 176 Bioregional Plans</w:t>
            </w:r>
          </w:p>
        </w:tc>
        <w:tc>
          <w:tcPr>
            <w:tcW w:w="2500" w:type="pct"/>
            <w:shd w:val="clear" w:color="auto" w:fill="D9D9D9" w:themeFill="background1" w:themeFillShade="D9"/>
            <w:vAlign w:val="center"/>
          </w:tcPr>
          <w:p w14:paraId="3DF3E25D" w14:textId="77777777" w:rsidR="009F053A" w:rsidRPr="00EF2FE1" w:rsidRDefault="009F053A" w:rsidP="00FC2EBF">
            <w:pPr>
              <w:spacing w:before="60" w:after="60" w:line="276" w:lineRule="auto"/>
              <w:contextualSpacing/>
              <w:jc w:val="center"/>
              <w:rPr>
                <w:rFonts w:cs="Arial"/>
                <w:b/>
                <w:sz w:val="20"/>
                <w:szCs w:val="20"/>
              </w:rPr>
            </w:pPr>
            <w:r w:rsidRPr="00EF2FE1">
              <w:rPr>
                <w:rFonts w:cs="Arial"/>
                <w:b/>
                <w:sz w:val="20"/>
                <w:szCs w:val="20"/>
              </w:rPr>
              <w:t>Comment</w:t>
            </w:r>
          </w:p>
        </w:tc>
      </w:tr>
      <w:tr w:rsidR="009F053A" w:rsidRPr="00EF2FE1" w14:paraId="50519DE6" w14:textId="77777777" w:rsidTr="00EF2FE1">
        <w:trPr>
          <w:cnfStyle w:val="000000100000" w:firstRow="0" w:lastRow="0" w:firstColumn="0" w:lastColumn="0" w:oddVBand="0" w:evenVBand="0" w:oddHBand="1" w:evenHBand="0" w:firstRowFirstColumn="0" w:firstRowLastColumn="0" w:lastRowFirstColumn="0" w:lastRowLastColumn="0"/>
        </w:trPr>
        <w:tc>
          <w:tcPr>
            <w:tcW w:w="2500" w:type="pct"/>
          </w:tcPr>
          <w:p w14:paraId="1BC9E8EF" w14:textId="0A9BDB04" w:rsidR="009F053A" w:rsidRPr="00EF2FE1" w:rsidRDefault="00557756" w:rsidP="00FC2EBF">
            <w:pPr>
              <w:pStyle w:val="ListNumber"/>
            </w:pPr>
            <w:r>
              <w:t>(5)</w:t>
            </w:r>
            <w:r w:rsidRPr="00F73C73">
              <w:tab/>
            </w:r>
            <w:r w:rsidR="009F053A" w:rsidRPr="00EF2FE1">
              <w:t>Minister must have regard to relevant bioregional plans</w:t>
            </w:r>
          </w:p>
          <w:p w14:paraId="2F4C8136" w14:textId="77777777" w:rsidR="00D40B13" w:rsidRPr="00EF2FE1" w:rsidRDefault="00D40B13" w:rsidP="00FC2EBF">
            <w:pPr>
              <w:spacing w:before="60" w:after="60" w:line="276" w:lineRule="auto"/>
              <w:ind w:left="426" w:hanging="426"/>
              <w:contextualSpacing/>
              <w:rPr>
                <w:rFonts w:cs="Arial"/>
                <w:sz w:val="20"/>
                <w:szCs w:val="20"/>
              </w:rPr>
            </w:pPr>
          </w:p>
        </w:tc>
        <w:tc>
          <w:tcPr>
            <w:tcW w:w="2500" w:type="pct"/>
            <w:shd w:val="clear" w:color="auto" w:fill="auto"/>
          </w:tcPr>
          <w:p w14:paraId="541B0044" w14:textId="03846EAF" w:rsidR="00585248" w:rsidRPr="00C06F86" w:rsidRDefault="00585248" w:rsidP="00D86D08">
            <w:pPr>
              <w:spacing w:before="60" w:after="60" w:line="23" w:lineRule="atLeast"/>
              <w:rPr>
                <w:b/>
                <w:bCs/>
                <w:sz w:val="20"/>
                <w:szCs w:val="20"/>
              </w:rPr>
            </w:pPr>
            <w:r w:rsidRPr="00C06F86">
              <w:rPr>
                <w:b/>
                <w:bCs/>
                <w:sz w:val="20"/>
                <w:szCs w:val="20"/>
              </w:rPr>
              <w:t xml:space="preserve">Meets – </w:t>
            </w:r>
            <w:r w:rsidR="00C06F86" w:rsidRPr="00C06F86">
              <w:rPr>
                <w:b/>
                <w:bCs/>
                <w:sz w:val="20"/>
                <w:szCs w:val="20"/>
              </w:rPr>
              <w:t xml:space="preserve">The </w:t>
            </w:r>
            <w:r w:rsidRPr="00C06F86">
              <w:rPr>
                <w:b/>
                <w:bCs/>
                <w:sz w:val="20"/>
                <w:szCs w:val="20"/>
              </w:rPr>
              <w:t>relevant bioregional plans have been considered in this assessment</w:t>
            </w:r>
            <w:r w:rsidR="00C06F86" w:rsidRPr="00C06F86">
              <w:rPr>
                <w:b/>
                <w:bCs/>
                <w:sz w:val="20"/>
                <w:szCs w:val="20"/>
              </w:rPr>
              <w:t>.</w:t>
            </w:r>
            <w:r w:rsidRPr="00C06F86">
              <w:rPr>
                <w:b/>
                <w:bCs/>
                <w:sz w:val="20"/>
                <w:szCs w:val="20"/>
              </w:rPr>
              <w:t xml:space="preserve"> </w:t>
            </w:r>
          </w:p>
          <w:p w14:paraId="2350C30B" w14:textId="1214E162" w:rsidR="00BC275C" w:rsidRPr="00410114" w:rsidRDefault="00BC275C" w:rsidP="00D86D08">
            <w:pPr>
              <w:spacing w:before="60" w:after="60" w:line="276" w:lineRule="auto"/>
              <w:rPr>
                <w:rFonts w:cs="Arial"/>
                <w:sz w:val="20"/>
                <w:szCs w:val="20"/>
              </w:rPr>
            </w:pPr>
            <w:r w:rsidRPr="00410114">
              <w:rPr>
                <w:rFonts w:cs="Arial"/>
                <w:sz w:val="20"/>
                <w:szCs w:val="20"/>
              </w:rPr>
              <w:t>The fishery operates in the Great Barrier Reef Marine Park and in a small area of both Coral Sea and Temperate East Marine regions. There is no bioregional plan currently in place for the Great Barrier Reef Marine Park.</w:t>
            </w:r>
          </w:p>
          <w:p w14:paraId="6C573424" w14:textId="512AF746" w:rsidR="00BC275C" w:rsidRPr="00410114" w:rsidRDefault="00BC275C" w:rsidP="00D86D08">
            <w:pPr>
              <w:spacing w:before="60" w:after="60" w:line="276" w:lineRule="auto"/>
              <w:rPr>
                <w:rFonts w:cs="Arial"/>
                <w:sz w:val="20"/>
                <w:szCs w:val="20"/>
              </w:rPr>
            </w:pPr>
            <w:r w:rsidRPr="00410114">
              <w:rPr>
                <w:rFonts w:cs="Arial"/>
                <w:sz w:val="20"/>
                <w:szCs w:val="20"/>
              </w:rPr>
              <w:t xml:space="preserve">The Marine bioregional plan for the Temperate East Marine Region 2012 has been considered in preparing advice in relation to decisions under section 303DC and section 303FN. </w:t>
            </w:r>
            <w:r w:rsidR="00D67D16">
              <w:rPr>
                <w:rFonts w:cs="Arial"/>
                <w:sz w:val="20"/>
                <w:szCs w:val="20"/>
              </w:rPr>
              <w:t>Th</w:t>
            </w:r>
            <w:r w:rsidR="00C91148">
              <w:rPr>
                <w:rFonts w:cs="Arial"/>
                <w:sz w:val="20"/>
                <w:szCs w:val="20"/>
              </w:rPr>
              <w:t xml:space="preserve">e </w:t>
            </w:r>
            <w:r w:rsidR="005A6A6B">
              <w:rPr>
                <w:rFonts w:cs="Arial"/>
                <w:sz w:val="20"/>
                <w:szCs w:val="20"/>
              </w:rPr>
              <w:t xml:space="preserve">values of the Coral Sea Commonwealth Marine Reserves which relate to </w:t>
            </w:r>
            <w:r w:rsidR="00D96340">
              <w:rPr>
                <w:rFonts w:cs="Arial"/>
                <w:sz w:val="20"/>
                <w:szCs w:val="20"/>
              </w:rPr>
              <w:t>marine bioregions</w:t>
            </w:r>
            <w:r w:rsidR="005A6A6B">
              <w:rPr>
                <w:rFonts w:cs="Arial"/>
                <w:sz w:val="20"/>
                <w:szCs w:val="20"/>
              </w:rPr>
              <w:t xml:space="preserve"> have also been considered </w:t>
            </w:r>
            <w:r w:rsidR="00D96340">
              <w:rPr>
                <w:rFonts w:cs="Arial"/>
                <w:sz w:val="20"/>
                <w:szCs w:val="20"/>
              </w:rPr>
              <w:t xml:space="preserve">in preparing this advice. </w:t>
            </w:r>
            <w:r w:rsidRPr="00410114">
              <w:rPr>
                <w:rFonts w:cs="Arial"/>
                <w:sz w:val="20"/>
                <w:szCs w:val="20"/>
              </w:rPr>
              <w:t xml:space="preserve">There is a very small area of the fishery that overlaps with this bioregion and fishing practices are highly targeted and selective in nature. An action taken by an individual fisher, acting in accordance with the management regime for the fishery, is unlikely to have a significant impact on the key ecological features, biologically important areas or other matters identified in the Temperate East Marine Bioregional Plan. </w:t>
            </w:r>
          </w:p>
          <w:p w14:paraId="68783D4A" w14:textId="785D1663" w:rsidR="00BC275C" w:rsidRPr="00410114" w:rsidRDefault="00BC275C" w:rsidP="00D86D08">
            <w:pPr>
              <w:spacing w:before="60" w:after="60" w:line="276" w:lineRule="auto"/>
              <w:rPr>
                <w:rFonts w:cs="Arial"/>
                <w:sz w:val="20"/>
                <w:szCs w:val="20"/>
              </w:rPr>
            </w:pPr>
            <w:r w:rsidRPr="00410114">
              <w:rPr>
                <w:rFonts w:cs="Arial"/>
                <w:sz w:val="20"/>
                <w:szCs w:val="20"/>
              </w:rPr>
              <w:t>The assessment considered the possible ecological impacts of the operation of the fishery on the Great Barrier Reef Marine Park, the World Heritage values of the Great Barrier Reef World Heritage Area and the ecological character of the Great Sandy Strait, Shoalwater and Corio Bays and Bowling Green Bay Ramsar Sites. We consider that an action taken by an individual fisher, acting in accordance with the management regime and the conditions required under this approval for the fishery, would not be expected to have a significant ecological impact on the Great Barrier Reef Marine Park, the World Heritage values of the Great Barrier Reef World Heritage Area or the ecological character of a Wetland of International Importance in the short term</w:t>
            </w:r>
            <w:r w:rsidR="00C92CA7">
              <w:rPr>
                <w:rFonts w:cs="Arial"/>
                <w:sz w:val="20"/>
                <w:szCs w:val="20"/>
              </w:rPr>
              <w:t>.</w:t>
            </w:r>
          </w:p>
          <w:p w14:paraId="5A2A34C2" w14:textId="14B1BEAF" w:rsidR="00BC275C" w:rsidRPr="00410114" w:rsidRDefault="00BC275C" w:rsidP="00D86D08">
            <w:pPr>
              <w:spacing w:before="60" w:after="60" w:line="276" w:lineRule="auto"/>
              <w:rPr>
                <w:rFonts w:cs="Arial"/>
                <w:sz w:val="20"/>
                <w:szCs w:val="20"/>
              </w:rPr>
            </w:pPr>
            <w:r w:rsidRPr="00410114">
              <w:rPr>
                <w:rFonts w:cs="Arial"/>
                <w:sz w:val="20"/>
                <w:szCs w:val="20"/>
              </w:rPr>
              <w:t xml:space="preserve">While there is </w:t>
            </w:r>
            <w:r w:rsidR="002A614D">
              <w:rPr>
                <w:rFonts w:cs="Arial"/>
                <w:sz w:val="20"/>
                <w:szCs w:val="20"/>
              </w:rPr>
              <w:t>l</w:t>
            </w:r>
            <w:r w:rsidR="00450B46">
              <w:rPr>
                <w:rFonts w:cs="Arial"/>
                <w:sz w:val="20"/>
                <w:szCs w:val="20"/>
              </w:rPr>
              <w:t>ittle</w:t>
            </w:r>
            <w:r w:rsidR="002A614D" w:rsidRPr="00410114">
              <w:rPr>
                <w:rFonts w:cs="Arial"/>
                <w:sz w:val="20"/>
                <w:szCs w:val="20"/>
              </w:rPr>
              <w:t xml:space="preserve"> </w:t>
            </w:r>
            <w:r w:rsidRPr="00410114">
              <w:rPr>
                <w:rFonts w:cs="Arial"/>
                <w:sz w:val="20"/>
                <w:szCs w:val="20"/>
              </w:rPr>
              <w:t>evidence to suggest systematic change to species diversity or richness has been directly caused by the fishery</w:t>
            </w:r>
            <w:r w:rsidR="00E81BB2">
              <w:rPr>
                <w:rFonts w:cs="Arial"/>
                <w:sz w:val="20"/>
                <w:szCs w:val="20"/>
              </w:rPr>
              <w:t xml:space="preserve">. Black </w:t>
            </w:r>
            <w:proofErr w:type="spellStart"/>
            <w:r w:rsidR="00E81BB2">
              <w:rPr>
                <w:rFonts w:cs="Arial"/>
                <w:sz w:val="20"/>
                <w:szCs w:val="20"/>
              </w:rPr>
              <w:t>Teatfish</w:t>
            </w:r>
            <w:proofErr w:type="spellEnd"/>
            <w:r w:rsidR="00E81BB2">
              <w:rPr>
                <w:rFonts w:cs="Arial"/>
                <w:sz w:val="20"/>
                <w:szCs w:val="20"/>
              </w:rPr>
              <w:t xml:space="preserve">, may have been </w:t>
            </w:r>
            <w:r w:rsidR="00E20A5D">
              <w:rPr>
                <w:rFonts w:cs="Arial"/>
                <w:sz w:val="20"/>
                <w:szCs w:val="20"/>
              </w:rPr>
              <w:lastRenderedPageBreak/>
              <w:t>depleted</w:t>
            </w:r>
            <w:r w:rsidR="004B55F7">
              <w:rPr>
                <w:rFonts w:cs="Arial"/>
                <w:sz w:val="20"/>
                <w:szCs w:val="20"/>
              </w:rPr>
              <w:t xml:space="preserve"> by</w:t>
            </w:r>
            <w:r w:rsidR="00552ED5">
              <w:rPr>
                <w:rFonts w:cs="Arial"/>
                <w:sz w:val="20"/>
                <w:szCs w:val="20"/>
              </w:rPr>
              <w:t xml:space="preserve"> historic </w:t>
            </w:r>
            <w:r w:rsidR="004B55F7">
              <w:rPr>
                <w:rFonts w:cs="Arial"/>
                <w:sz w:val="20"/>
                <w:szCs w:val="20"/>
              </w:rPr>
              <w:t>fish</w:t>
            </w:r>
            <w:r w:rsidR="00552ED5">
              <w:rPr>
                <w:rFonts w:cs="Arial"/>
                <w:sz w:val="20"/>
                <w:szCs w:val="20"/>
              </w:rPr>
              <w:t xml:space="preserve">ing </w:t>
            </w:r>
            <w:r w:rsidR="001C2B6F">
              <w:rPr>
                <w:rFonts w:cs="Arial"/>
                <w:sz w:val="20"/>
                <w:szCs w:val="20"/>
              </w:rPr>
              <w:t>pressure</w:t>
            </w:r>
            <w:r w:rsidR="004B55F7">
              <w:rPr>
                <w:rFonts w:cs="Arial"/>
                <w:sz w:val="20"/>
                <w:szCs w:val="20"/>
              </w:rPr>
              <w:t xml:space="preserve"> and the recommendation to not include this species </w:t>
            </w:r>
            <w:r w:rsidR="00552ED5">
              <w:rPr>
                <w:rFonts w:cs="Arial"/>
                <w:sz w:val="20"/>
                <w:szCs w:val="20"/>
              </w:rPr>
              <w:t xml:space="preserve">in the WTO approval </w:t>
            </w:r>
            <w:r w:rsidR="001C2B6F">
              <w:rPr>
                <w:rFonts w:cs="Arial"/>
                <w:sz w:val="20"/>
                <w:szCs w:val="20"/>
              </w:rPr>
              <w:t>may lead to a gradual rebuilding of the stock.</w:t>
            </w:r>
            <w:r w:rsidR="00E81BB2">
              <w:rPr>
                <w:rFonts w:cs="Arial"/>
                <w:sz w:val="20"/>
                <w:szCs w:val="20"/>
              </w:rPr>
              <w:t xml:space="preserve"> </w:t>
            </w:r>
            <w:r w:rsidR="001C2B6F">
              <w:rPr>
                <w:rFonts w:cs="Arial"/>
                <w:sz w:val="20"/>
                <w:szCs w:val="20"/>
              </w:rPr>
              <w:t>S</w:t>
            </w:r>
            <w:r w:rsidRPr="00410114">
              <w:rPr>
                <w:rFonts w:cs="Arial"/>
                <w:sz w:val="20"/>
                <w:szCs w:val="20"/>
              </w:rPr>
              <w:t>ea cucumbers play an important role in the ecosystem and there are concerns that the harvest of some species may not be based on sufficient understanding of the stock</w:t>
            </w:r>
            <w:r w:rsidR="00DF5B99">
              <w:rPr>
                <w:rFonts w:cs="Arial"/>
                <w:sz w:val="20"/>
                <w:szCs w:val="20"/>
              </w:rPr>
              <w:t>s</w:t>
            </w:r>
            <w:r w:rsidRPr="00410114">
              <w:rPr>
                <w:rFonts w:cs="Arial"/>
                <w:sz w:val="20"/>
                <w:szCs w:val="20"/>
              </w:rPr>
              <w:t xml:space="preserve">. Harvest levels should be considered in line with the role of the species in the ecosystem and </w:t>
            </w:r>
            <w:r w:rsidR="00D0447E" w:rsidRPr="00410114">
              <w:rPr>
                <w:rFonts w:cs="Arial"/>
                <w:sz w:val="20"/>
                <w:szCs w:val="20"/>
              </w:rPr>
              <w:t>performance measure</w:t>
            </w:r>
            <w:r w:rsidR="00AC33DF">
              <w:rPr>
                <w:rFonts w:cs="Arial"/>
                <w:sz w:val="20"/>
                <w:szCs w:val="20"/>
              </w:rPr>
              <w:t>s</w:t>
            </w:r>
            <w:r w:rsidR="00D0447E" w:rsidRPr="00410114">
              <w:rPr>
                <w:rFonts w:cs="Arial"/>
                <w:sz w:val="20"/>
                <w:szCs w:val="20"/>
              </w:rPr>
              <w:t xml:space="preserve"> to control the level harvest and prevent localised depletion should be based on</w:t>
            </w:r>
            <w:r w:rsidR="00AC33DF">
              <w:rPr>
                <w:rFonts w:cs="Arial"/>
                <w:sz w:val="20"/>
                <w:szCs w:val="20"/>
              </w:rPr>
              <w:t xml:space="preserve"> a</w:t>
            </w:r>
            <w:r w:rsidR="00D0447E" w:rsidRPr="00410114">
              <w:rPr>
                <w:rFonts w:cs="Arial"/>
                <w:sz w:val="20"/>
                <w:szCs w:val="20"/>
              </w:rPr>
              <w:t xml:space="preserve"> strong understanding of the species biology and stock status. </w:t>
            </w:r>
            <w:r w:rsidRPr="00410114">
              <w:rPr>
                <w:rFonts w:cs="Arial"/>
                <w:sz w:val="20"/>
                <w:szCs w:val="20"/>
              </w:rPr>
              <w:t xml:space="preserve"> </w:t>
            </w:r>
          </w:p>
          <w:p w14:paraId="6852ECC1" w14:textId="08DEF2A3" w:rsidR="00BC275C" w:rsidRPr="00514B23" w:rsidRDefault="00BC275C" w:rsidP="00D86D08">
            <w:pPr>
              <w:spacing w:before="60" w:after="60" w:line="276" w:lineRule="auto"/>
              <w:rPr>
                <w:rFonts w:cs="Arial"/>
                <w:color w:val="3366FF"/>
                <w:sz w:val="20"/>
                <w:szCs w:val="20"/>
              </w:rPr>
            </w:pPr>
            <w:r w:rsidRPr="00410114">
              <w:rPr>
                <w:rFonts w:cs="Arial"/>
                <w:sz w:val="20"/>
                <w:szCs w:val="20"/>
              </w:rPr>
              <w:t xml:space="preserve">Confidence in the performance of the fishery to manage potential impacts </w:t>
            </w:r>
            <w:r w:rsidR="00AC33DF">
              <w:rPr>
                <w:rFonts w:cs="Arial"/>
                <w:sz w:val="20"/>
                <w:szCs w:val="20"/>
              </w:rPr>
              <w:t>on</w:t>
            </w:r>
            <w:r w:rsidRPr="00410114">
              <w:rPr>
                <w:rFonts w:cs="Arial"/>
                <w:sz w:val="20"/>
                <w:szCs w:val="20"/>
              </w:rPr>
              <w:t xml:space="preserve"> bioregions within the fishery area could be improved with</w:t>
            </w:r>
            <w:r w:rsidR="00D0447E" w:rsidRPr="00410114">
              <w:rPr>
                <w:rFonts w:cs="Arial"/>
                <w:sz w:val="20"/>
                <w:szCs w:val="20"/>
              </w:rPr>
              <w:t xml:space="preserve"> stock assessments, </w:t>
            </w:r>
            <w:proofErr w:type="gramStart"/>
            <w:r w:rsidR="00D0447E" w:rsidRPr="00410114">
              <w:rPr>
                <w:rFonts w:cs="Arial"/>
                <w:sz w:val="20"/>
                <w:szCs w:val="20"/>
              </w:rPr>
              <w:t>surveys</w:t>
            </w:r>
            <w:proofErr w:type="gramEnd"/>
            <w:r w:rsidR="00D0447E" w:rsidRPr="00410114">
              <w:rPr>
                <w:rFonts w:cs="Arial"/>
                <w:sz w:val="20"/>
                <w:szCs w:val="20"/>
              </w:rPr>
              <w:t xml:space="preserve"> and a review of the management regime,</w:t>
            </w:r>
            <w:r w:rsidRPr="00410114">
              <w:rPr>
                <w:rFonts w:cs="Arial"/>
                <w:sz w:val="20"/>
                <w:szCs w:val="20"/>
              </w:rPr>
              <w:t xml:space="preserve"> outlined in the conditions of this assessment</w:t>
            </w:r>
            <w:r w:rsidR="00D86D08">
              <w:rPr>
                <w:rFonts w:cs="Arial"/>
                <w:sz w:val="20"/>
                <w:szCs w:val="20"/>
              </w:rPr>
              <w:t>.</w:t>
            </w:r>
          </w:p>
        </w:tc>
      </w:tr>
    </w:tbl>
    <w:p w14:paraId="66236F12" w14:textId="77777777" w:rsidR="009F053A" w:rsidRPr="001F4207" w:rsidRDefault="009F053A" w:rsidP="001F4207"/>
    <w:p w14:paraId="6F9840FF" w14:textId="7038ACD1" w:rsidR="009F053A" w:rsidRPr="00EF2FE1" w:rsidRDefault="009F053A" w:rsidP="00CC1027">
      <w:pPr>
        <w:pStyle w:val="Heading2"/>
      </w:pPr>
      <w:bookmarkStart w:id="8" w:name="_Toc89208571"/>
      <w:r w:rsidRPr="00EF2FE1">
        <w:t>Part 13</w:t>
      </w:r>
      <w:r w:rsidR="00C83B59" w:rsidRPr="00EF2FE1">
        <w:t xml:space="preserve"> </w:t>
      </w:r>
      <w:r w:rsidR="00F73C73">
        <w:t>– Species and communities</w:t>
      </w:r>
      <w:bookmarkEnd w:id="8"/>
    </w:p>
    <w:tbl>
      <w:tblPr>
        <w:tblStyle w:val="TableGrid"/>
        <w:tblW w:w="5000" w:type="pct"/>
        <w:tblLook w:val="04A0" w:firstRow="1" w:lastRow="0" w:firstColumn="1" w:lastColumn="0" w:noHBand="0" w:noVBand="1"/>
      </w:tblPr>
      <w:tblGrid>
        <w:gridCol w:w="7393"/>
        <w:gridCol w:w="7393"/>
      </w:tblGrid>
      <w:tr w:rsidR="00400844" w:rsidRPr="001F4207" w14:paraId="65C1624E"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585CA78D" w14:textId="0A575DDA"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 xml:space="preserve">Accreditable plan, </w:t>
            </w:r>
            <w:proofErr w:type="gramStart"/>
            <w:r w:rsidRPr="001F4207">
              <w:rPr>
                <w:rFonts w:cs="Arial"/>
                <w:b/>
                <w:sz w:val="20"/>
                <w:szCs w:val="20"/>
              </w:rPr>
              <w:t>regime</w:t>
            </w:r>
            <w:proofErr w:type="gramEnd"/>
            <w:r w:rsidRPr="001F4207">
              <w:rPr>
                <w:rFonts w:cs="Arial"/>
                <w:b/>
                <w:sz w:val="20"/>
                <w:szCs w:val="20"/>
              </w:rPr>
              <w:t xml:space="preserve"> or policy (Division 1, Division 2, Division 3, Division 4)</w:t>
            </w:r>
          </w:p>
        </w:tc>
        <w:tc>
          <w:tcPr>
            <w:tcW w:w="2500" w:type="pct"/>
            <w:shd w:val="clear" w:color="auto" w:fill="D9D9D9" w:themeFill="background1" w:themeFillShade="D9"/>
            <w:vAlign w:val="center"/>
          </w:tcPr>
          <w:p w14:paraId="7594BA70" w14:textId="77777777"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9F053A" w:rsidRPr="001F4207" w14:paraId="3F60E2B3"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13186A7B" w14:textId="77777777" w:rsidR="003C285B" w:rsidRPr="001F4207" w:rsidRDefault="009F053A" w:rsidP="00FC2EBF">
            <w:pPr>
              <w:pStyle w:val="ListNumber2"/>
            </w:pPr>
            <w:r w:rsidRPr="001F4207">
              <w:t>s. 208A (1) (a-e) , s.222A (1) (a-e), s.245 (1) (a-e),  s.265 (1) (a-e)</w:t>
            </w:r>
            <w:r w:rsidR="00F9004A" w:rsidRPr="001F4207">
              <w:t xml:space="preserve"> </w:t>
            </w:r>
            <w:r w:rsidR="00F9004A" w:rsidRPr="001F4207">
              <w:tab/>
            </w:r>
          </w:p>
          <w:p w14:paraId="10E1301B" w14:textId="2AB9B0D3" w:rsidR="00D40B13" w:rsidRPr="001F4207" w:rsidRDefault="009F053A" w:rsidP="00FC2EBF">
            <w:pPr>
              <w:pStyle w:val="ListNumber2"/>
            </w:pPr>
            <w:r w:rsidRPr="001F4207">
              <w:t xml:space="preserve">Does the fishery have an accreditable plan of management, </w:t>
            </w:r>
            <w:r w:rsidR="00C40AD0" w:rsidRPr="001F4207">
              <w:t>regime</w:t>
            </w:r>
            <w:r w:rsidRPr="001F4207">
              <w:t xml:space="preserve"> or policy? </w:t>
            </w:r>
          </w:p>
        </w:tc>
        <w:tc>
          <w:tcPr>
            <w:tcW w:w="2500" w:type="pct"/>
            <w:shd w:val="clear" w:color="auto" w:fill="auto"/>
          </w:tcPr>
          <w:p w14:paraId="65BF3569" w14:textId="5B46D243" w:rsidR="002F564A" w:rsidRPr="00F004AB" w:rsidRDefault="002F564A" w:rsidP="00D86D08">
            <w:pPr>
              <w:spacing w:before="60" w:after="60" w:line="23" w:lineRule="atLeast"/>
              <w:rPr>
                <w:rFonts w:cs="Arial"/>
                <w:b/>
                <w:sz w:val="20"/>
                <w:szCs w:val="20"/>
              </w:rPr>
            </w:pPr>
            <w:r w:rsidRPr="00F004AB">
              <w:rPr>
                <w:rFonts w:cs="Arial"/>
                <w:b/>
                <w:sz w:val="20"/>
                <w:szCs w:val="20"/>
              </w:rPr>
              <w:t>Meets</w:t>
            </w:r>
            <w:r w:rsidR="007370A8" w:rsidRPr="00F004AB">
              <w:rPr>
                <w:rFonts w:cs="Arial"/>
                <w:b/>
                <w:sz w:val="20"/>
                <w:szCs w:val="20"/>
              </w:rPr>
              <w:t xml:space="preserve"> – There is </w:t>
            </w:r>
            <w:r w:rsidR="00DD4065" w:rsidRPr="00F004AB">
              <w:rPr>
                <w:rFonts w:cs="Arial"/>
                <w:b/>
                <w:sz w:val="20"/>
                <w:szCs w:val="20"/>
              </w:rPr>
              <w:t>an</w:t>
            </w:r>
            <w:r w:rsidR="007370A8" w:rsidRPr="00F004AB">
              <w:rPr>
                <w:rFonts w:cs="Arial"/>
                <w:b/>
                <w:sz w:val="20"/>
                <w:szCs w:val="20"/>
              </w:rPr>
              <w:t xml:space="preserve"> accreditable management regime in place</w:t>
            </w:r>
            <w:r w:rsidR="00A30671">
              <w:rPr>
                <w:rFonts w:cs="Arial"/>
                <w:b/>
                <w:sz w:val="20"/>
                <w:szCs w:val="20"/>
              </w:rPr>
              <w:t>.</w:t>
            </w:r>
          </w:p>
          <w:p w14:paraId="325AC320" w14:textId="73C34E15" w:rsidR="002D79C2" w:rsidRPr="00410114" w:rsidRDefault="00B60FBC" w:rsidP="00D86D08">
            <w:pPr>
              <w:spacing w:before="60" w:after="60" w:line="276" w:lineRule="auto"/>
              <w:rPr>
                <w:rFonts w:cs="Arial"/>
                <w:sz w:val="20"/>
                <w:szCs w:val="20"/>
              </w:rPr>
            </w:pPr>
            <w:r w:rsidRPr="00410114">
              <w:rPr>
                <w:rFonts w:cs="Arial"/>
                <w:sz w:val="20"/>
                <w:szCs w:val="20"/>
              </w:rPr>
              <w:t>The management arrangements for the fishery are specified in QDAF and G</w:t>
            </w:r>
            <w:r w:rsidR="00A847E0">
              <w:rPr>
                <w:rFonts w:cs="Arial"/>
                <w:sz w:val="20"/>
                <w:szCs w:val="20"/>
              </w:rPr>
              <w:t xml:space="preserve">reat </w:t>
            </w:r>
            <w:r w:rsidRPr="00410114">
              <w:rPr>
                <w:rFonts w:cs="Arial"/>
                <w:sz w:val="20"/>
                <w:szCs w:val="20"/>
              </w:rPr>
              <w:t>B</w:t>
            </w:r>
            <w:r w:rsidR="00F17208">
              <w:rPr>
                <w:rFonts w:cs="Arial"/>
                <w:sz w:val="20"/>
                <w:szCs w:val="20"/>
              </w:rPr>
              <w:t xml:space="preserve">arrier </w:t>
            </w:r>
            <w:r w:rsidRPr="00410114">
              <w:rPr>
                <w:rFonts w:cs="Arial"/>
                <w:sz w:val="20"/>
                <w:szCs w:val="20"/>
              </w:rPr>
              <w:t>R</w:t>
            </w:r>
            <w:r w:rsidR="00F17208">
              <w:rPr>
                <w:rFonts w:cs="Arial"/>
                <w:sz w:val="20"/>
                <w:szCs w:val="20"/>
              </w:rPr>
              <w:t xml:space="preserve">eef </w:t>
            </w:r>
            <w:r w:rsidRPr="00410114">
              <w:rPr>
                <w:rFonts w:cs="Arial"/>
                <w:sz w:val="20"/>
                <w:szCs w:val="20"/>
              </w:rPr>
              <w:t>M</w:t>
            </w:r>
            <w:r w:rsidR="00F17208">
              <w:rPr>
                <w:rFonts w:cs="Arial"/>
                <w:sz w:val="20"/>
                <w:szCs w:val="20"/>
              </w:rPr>
              <w:t xml:space="preserve">arine </w:t>
            </w:r>
            <w:r w:rsidRPr="00410114">
              <w:rPr>
                <w:rFonts w:cs="Arial"/>
                <w:sz w:val="20"/>
                <w:szCs w:val="20"/>
              </w:rPr>
              <w:t>P</w:t>
            </w:r>
            <w:r w:rsidR="00F17208">
              <w:rPr>
                <w:rFonts w:cs="Arial"/>
                <w:sz w:val="20"/>
                <w:szCs w:val="20"/>
              </w:rPr>
              <w:t xml:space="preserve">ark </w:t>
            </w:r>
            <w:r w:rsidRPr="00410114">
              <w:rPr>
                <w:rFonts w:cs="Arial"/>
                <w:sz w:val="20"/>
                <w:szCs w:val="20"/>
              </w:rPr>
              <w:t>A</w:t>
            </w:r>
            <w:r w:rsidR="00F17208">
              <w:rPr>
                <w:rFonts w:cs="Arial"/>
                <w:sz w:val="20"/>
                <w:szCs w:val="20"/>
              </w:rPr>
              <w:t xml:space="preserve">uthority </w:t>
            </w:r>
            <w:r w:rsidRPr="00410114">
              <w:rPr>
                <w:rFonts w:cs="Arial"/>
                <w:sz w:val="20"/>
                <w:szCs w:val="20"/>
              </w:rPr>
              <w:t>issued permits, as well as in publicly available legislation:</w:t>
            </w:r>
            <w:r w:rsidR="00A30671">
              <w:rPr>
                <w:rFonts w:cs="Arial"/>
                <w:sz w:val="20"/>
                <w:szCs w:val="20"/>
              </w:rPr>
              <w:t xml:space="preserve"> </w:t>
            </w:r>
            <w:r w:rsidR="00A30671" w:rsidRPr="00A30671">
              <w:rPr>
                <w:rFonts w:cs="Arial"/>
                <w:sz w:val="20"/>
                <w:szCs w:val="20"/>
              </w:rPr>
              <w:t xml:space="preserve">the </w:t>
            </w:r>
            <w:r w:rsidR="00A30671" w:rsidRPr="00A30671">
              <w:rPr>
                <w:rFonts w:cs="Arial"/>
                <w:i/>
                <w:iCs/>
                <w:sz w:val="20"/>
                <w:szCs w:val="20"/>
              </w:rPr>
              <w:t>Fisheries Act 1994</w:t>
            </w:r>
            <w:r w:rsidR="00A30671" w:rsidRPr="00A30671">
              <w:rPr>
                <w:rFonts w:cs="Arial"/>
                <w:sz w:val="20"/>
                <w:szCs w:val="20"/>
              </w:rPr>
              <w:t xml:space="preserve"> (Qld), Fisheries (General) Regulation 2019 (Qld), Fisheries (Commercial Fisheries) Regulation 2019 (Qld), Fisheries Declaration 2019 (Qld), Fisheries Quota Declaration 2019 (Qld), </w:t>
            </w:r>
            <w:r w:rsidR="00A30671" w:rsidRPr="00A30671">
              <w:rPr>
                <w:rFonts w:cs="Arial"/>
                <w:i/>
                <w:iCs/>
                <w:sz w:val="20"/>
                <w:szCs w:val="20"/>
              </w:rPr>
              <w:t>Marine Parks Act 2004</w:t>
            </w:r>
            <w:r w:rsidR="00A30671" w:rsidRPr="00A30671">
              <w:rPr>
                <w:rFonts w:cs="Arial"/>
                <w:sz w:val="20"/>
                <w:szCs w:val="20"/>
              </w:rPr>
              <w:t xml:space="preserve"> (Qld), </w:t>
            </w:r>
            <w:r w:rsidR="007F4A45">
              <w:rPr>
                <w:rFonts w:cs="Arial"/>
                <w:sz w:val="20"/>
                <w:szCs w:val="20"/>
              </w:rPr>
              <w:t xml:space="preserve">and the </w:t>
            </w:r>
            <w:r w:rsidR="00A30671" w:rsidRPr="00A30671">
              <w:rPr>
                <w:rFonts w:cs="Arial"/>
                <w:sz w:val="20"/>
                <w:szCs w:val="20"/>
              </w:rPr>
              <w:t>Marine Parks Regulations 2019 (Qld)</w:t>
            </w:r>
            <w:r w:rsidR="00F130D3">
              <w:rPr>
                <w:rFonts w:cs="Arial"/>
                <w:sz w:val="20"/>
                <w:szCs w:val="20"/>
              </w:rPr>
              <w:t>. The</w:t>
            </w:r>
            <w:r w:rsidR="00A30671" w:rsidRPr="00A30671">
              <w:rPr>
                <w:rFonts w:cs="Arial"/>
                <w:sz w:val="20"/>
                <w:szCs w:val="20"/>
              </w:rPr>
              <w:t xml:space="preserve"> </w:t>
            </w:r>
            <w:r w:rsidR="00A30671" w:rsidRPr="00A30671">
              <w:rPr>
                <w:rFonts w:cs="Arial"/>
                <w:i/>
                <w:iCs/>
                <w:sz w:val="20"/>
                <w:szCs w:val="20"/>
              </w:rPr>
              <w:t>Great Barrier Reef Marine Park Act 1975</w:t>
            </w:r>
            <w:r w:rsidR="00A30671" w:rsidRPr="00A30671">
              <w:rPr>
                <w:rFonts w:cs="Arial"/>
                <w:sz w:val="20"/>
                <w:szCs w:val="20"/>
              </w:rPr>
              <w:t xml:space="preserve"> (</w:t>
            </w:r>
            <w:proofErr w:type="spellStart"/>
            <w:r w:rsidR="00A30671" w:rsidRPr="00A30671">
              <w:rPr>
                <w:rFonts w:cs="Arial"/>
                <w:sz w:val="20"/>
                <w:szCs w:val="20"/>
              </w:rPr>
              <w:t>Cth</w:t>
            </w:r>
            <w:proofErr w:type="spellEnd"/>
            <w:r w:rsidR="00A30671" w:rsidRPr="00A30671">
              <w:rPr>
                <w:rFonts w:cs="Arial"/>
                <w:sz w:val="20"/>
                <w:szCs w:val="20"/>
              </w:rPr>
              <w:t>) and Great Barrier Reef Marine Park Regulations 2019 (</w:t>
            </w:r>
            <w:proofErr w:type="spellStart"/>
            <w:r w:rsidR="00A30671" w:rsidRPr="00A30671">
              <w:rPr>
                <w:rFonts w:cs="Arial"/>
                <w:sz w:val="20"/>
                <w:szCs w:val="20"/>
              </w:rPr>
              <w:t>Cth</w:t>
            </w:r>
            <w:proofErr w:type="spellEnd"/>
            <w:r w:rsidR="00A30671" w:rsidRPr="00A30671">
              <w:rPr>
                <w:rFonts w:cs="Arial"/>
                <w:sz w:val="20"/>
                <w:szCs w:val="20"/>
              </w:rPr>
              <w:t>)</w:t>
            </w:r>
            <w:r w:rsidR="00F130D3">
              <w:rPr>
                <w:rFonts w:cs="Arial"/>
                <w:sz w:val="20"/>
                <w:szCs w:val="20"/>
              </w:rPr>
              <w:t xml:space="preserve"> </w:t>
            </w:r>
            <w:r w:rsidRPr="00410114">
              <w:rPr>
                <w:rFonts w:cs="Arial"/>
                <w:sz w:val="20"/>
                <w:szCs w:val="20"/>
              </w:rPr>
              <w:t>also apply to operations in the Great Barrier Reef Marine Park.</w:t>
            </w:r>
          </w:p>
          <w:p w14:paraId="29FF3A00" w14:textId="0767C6AA" w:rsidR="002B5BBD" w:rsidRPr="00F004AB" w:rsidRDefault="002B5BBD" w:rsidP="00D86D08">
            <w:pPr>
              <w:spacing w:before="60" w:after="60" w:line="23" w:lineRule="atLeast"/>
              <w:rPr>
                <w:rFonts w:cs="Arial"/>
                <w:sz w:val="20"/>
                <w:szCs w:val="20"/>
              </w:rPr>
            </w:pPr>
          </w:p>
        </w:tc>
      </w:tr>
      <w:tr w:rsidR="00400844" w:rsidRPr="001F4207" w14:paraId="47E2188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1EF1F9E9" w14:textId="47A73FF1"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Division 1 Listed threatened species, Section 208A Minister may accredit plans or regimes</w:t>
            </w:r>
          </w:p>
        </w:tc>
        <w:tc>
          <w:tcPr>
            <w:tcW w:w="2500" w:type="pct"/>
            <w:shd w:val="clear" w:color="auto" w:fill="D9D9D9" w:themeFill="background1" w:themeFillShade="D9"/>
            <w:vAlign w:val="center"/>
          </w:tcPr>
          <w:p w14:paraId="440D28C6" w14:textId="77777777" w:rsidR="00400844" w:rsidRPr="001F4207" w:rsidRDefault="00400844" w:rsidP="00D86D08">
            <w:pPr>
              <w:spacing w:before="60" w:after="60" w:line="276" w:lineRule="auto"/>
              <w:jc w:val="center"/>
              <w:rPr>
                <w:rFonts w:cs="Arial"/>
                <w:b/>
                <w:sz w:val="20"/>
                <w:szCs w:val="20"/>
              </w:rPr>
            </w:pPr>
            <w:r w:rsidRPr="001F4207">
              <w:rPr>
                <w:rFonts w:cs="Arial"/>
                <w:b/>
                <w:sz w:val="20"/>
                <w:szCs w:val="20"/>
              </w:rPr>
              <w:t>Comment</w:t>
            </w:r>
          </w:p>
        </w:tc>
      </w:tr>
      <w:tr w:rsidR="009A1276" w:rsidRPr="001F4207" w14:paraId="38239CBE"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28A6FD13" w14:textId="06280A13" w:rsidR="009A1276" w:rsidRPr="001F4207" w:rsidRDefault="009A1276" w:rsidP="00FC2EBF">
            <w:pPr>
              <w:pStyle w:val="ListNumber2"/>
            </w:pPr>
            <w:r w:rsidRPr="001F4207">
              <w:t>(f)</w:t>
            </w:r>
            <w:r w:rsidRPr="001F4207">
              <w:tab/>
              <w:t>Will the plan, regime or policy require fishers to take all reasonable steps to ensure that members of listed threatened species (other than conservation dependent species) are not killed or injured as a result of the fishing?</w:t>
            </w:r>
          </w:p>
        </w:tc>
        <w:tc>
          <w:tcPr>
            <w:tcW w:w="2500" w:type="pct"/>
            <w:shd w:val="clear" w:color="auto" w:fill="auto"/>
          </w:tcPr>
          <w:p w14:paraId="089343EB" w14:textId="747B4A56" w:rsidR="00E94639" w:rsidRPr="00E94639" w:rsidRDefault="002F564A" w:rsidP="00E94639">
            <w:pPr>
              <w:spacing w:before="60" w:after="60" w:line="23" w:lineRule="atLeast"/>
              <w:rPr>
                <w:rFonts w:cs="Arial"/>
                <w:b/>
                <w:sz w:val="20"/>
                <w:szCs w:val="20"/>
              </w:rPr>
            </w:pPr>
            <w:r w:rsidRPr="00C72B69">
              <w:rPr>
                <w:rFonts w:cs="Arial"/>
                <w:b/>
                <w:sz w:val="20"/>
                <w:szCs w:val="20"/>
              </w:rPr>
              <w:t>Meets</w:t>
            </w:r>
            <w:r w:rsidR="00E94639">
              <w:rPr>
                <w:rFonts w:cs="Arial"/>
                <w:b/>
                <w:sz w:val="20"/>
                <w:szCs w:val="20"/>
              </w:rPr>
              <w:t xml:space="preserve"> – </w:t>
            </w:r>
            <w:r w:rsidR="00C72B69" w:rsidRPr="00E94639">
              <w:rPr>
                <w:rFonts w:cs="Arial"/>
                <w:b/>
                <w:sz w:val="20"/>
                <w:szCs w:val="20"/>
              </w:rPr>
              <w:t xml:space="preserve">The management </w:t>
            </w:r>
            <w:r w:rsidR="006561FB" w:rsidRPr="00E94639">
              <w:rPr>
                <w:rFonts w:cs="Arial"/>
                <w:b/>
                <w:sz w:val="20"/>
                <w:szCs w:val="20"/>
              </w:rPr>
              <w:t xml:space="preserve">regime </w:t>
            </w:r>
            <w:r w:rsidR="00C72B69" w:rsidRPr="00E94639">
              <w:rPr>
                <w:rFonts w:cs="Arial"/>
                <w:b/>
                <w:sz w:val="20"/>
                <w:szCs w:val="20"/>
              </w:rPr>
              <w:t xml:space="preserve">requires all reasonable steps be taken to avoid interactions with listed threatened species. </w:t>
            </w:r>
          </w:p>
          <w:p w14:paraId="41223114" w14:textId="18AB8ED5" w:rsidR="00C72B69" w:rsidRPr="00C72B69" w:rsidRDefault="00C72B69" w:rsidP="00D86D08">
            <w:pPr>
              <w:spacing w:before="60" w:after="60" w:line="276" w:lineRule="auto"/>
              <w:rPr>
                <w:rFonts w:cs="Arial"/>
                <w:bCs/>
                <w:sz w:val="20"/>
                <w:szCs w:val="20"/>
              </w:rPr>
            </w:pPr>
            <w:r w:rsidRPr="00C72B69">
              <w:rPr>
                <w:rFonts w:cs="Arial"/>
                <w:bCs/>
                <w:sz w:val="20"/>
                <w:szCs w:val="20"/>
              </w:rPr>
              <w:t xml:space="preserve">This includes gear limitations (hand collection only) and compulsory reporting of interactions.  </w:t>
            </w:r>
          </w:p>
          <w:p w14:paraId="29478770" w14:textId="6BE1646A" w:rsidR="00362A30" w:rsidRPr="00C72B69" w:rsidRDefault="00F224CF" w:rsidP="00D86D08">
            <w:pPr>
              <w:spacing w:before="60" w:after="60" w:line="276" w:lineRule="auto"/>
              <w:rPr>
                <w:rFonts w:cs="Arial"/>
                <w:sz w:val="20"/>
                <w:szCs w:val="20"/>
              </w:rPr>
            </w:pPr>
            <w:r w:rsidRPr="00C72B69">
              <w:rPr>
                <w:rFonts w:cs="Arial"/>
                <w:sz w:val="20"/>
                <w:szCs w:val="20"/>
              </w:rPr>
              <w:lastRenderedPageBreak/>
              <w:t xml:space="preserve">An ERA has been conducted for the fishery which </w:t>
            </w:r>
            <w:r w:rsidR="00BA62F3" w:rsidRPr="00C72B69">
              <w:rPr>
                <w:rFonts w:cs="Arial"/>
                <w:sz w:val="20"/>
                <w:szCs w:val="20"/>
              </w:rPr>
              <w:t xml:space="preserve">assessed the risk to listed threatened </w:t>
            </w:r>
            <w:r w:rsidR="00781A6D" w:rsidRPr="00C72B69">
              <w:rPr>
                <w:rFonts w:cs="Arial"/>
                <w:sz w:val="20"/>
                <w:szCs w:val="20"/>
              </w:rPr>
              <w:t xml:space="preserve">species to be negligible to low and likely </w:t>
            </w:r>
            <w:r w:rsidR="008233EC" w:rsidRPr="00C72B69">
              <w:rPr>
                <w:sz w:val="20"/>
                <w:szCs w:val="20"/>
              </w:rPr>
              <w:t xml:space="preserve">limited to boat strikes and disturbance by moving or anchoring boats. Fishers are required to report all interactions with </w:t>
            </w:r>
            <w:r w:rsidR="006561FB">
              <w:rPr>
                <w:sz w:val="20"/>
                <w:szCs w:val="20"/>
              </w:rPr>
              <w:t>these</w:t>
            </w:r>
            <w:r w:rsidR="008233EC" w:rsidRPr="00C72B69">
              <w:rPr>
                <w:sz w:val="20"/>
                <w:szCs w:val="20"/>
              </w:rPr>
              <w:t xml:space="preserve"> species</w:t>
            </w:r>
            <w:r w:rsidR="00E43575" w:rsidRPr="00C72B69">
              <w:rPr>
                <w:sz w:val="20"/>
                <w:szCs w:val="20"/>
              </w:rPr>
              <w:t>.</w:t>
            </w:r>
          </w:p>
        </w:tc>
      </w:tr>
      <w:tr w:rsidR="009A1276" w:rsidRPr="001F4207" w14:paraId="19444D6C"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1CA7993E" w14:textId="205CB946" w:rsidR="009A1276" w:rsidRPr="001F4207" w:rsidRDefault="009A1276" w:rsidP="00FC2EBF">
            <w:pPr>
              <w:pStyle w:val="ListNumber2"/>
            </w:pPr>
            <w:r w:rsidRPr="001F4207">
              <w:lastRenderedPageBreak/>
              <w:t>(g)</w:t>
            </w:r>
            <w:r w:rsidRPr="001F4207">
              <w:tab/>
              <w:t>And, is the fishery likely to adversely affect the survival or recovery in nature of the species?</w:t>
            </w:r>
          </w:p>
        </w:tc>
        <w:tc>
          <w:tcPr>
            <w:tcW w:w="2500" w:type="pct"/>
            <w:shd w:val="clear" w:color="auto" w:fill="auto"/>
          </w:tcPr>
          <w:p w14:paraId="5172DF99" w14:textId="1C185C0C" w:rsidR="002F564A" w:rsidRPr="00C72B69" w:rsidRDefault="002F564A" w:rsidP="0063370D">
            <w:pPr>
              <w:spacing w:before="60" w:after="60" w:line="23" w:lineRule="atLeast"/>
              <w:rPr>
                <w:rFonts w:cs="Arial"/>
                <w:b/>
                <w:sz w:val="20"/>
                <w:szCs w:val="20"/>
              </w:rPr>
            </w:pPr>
            <w:r w:rsidRPr="00C72B69">
              <w:rPr>
                <w:rFonts w:cs="Arial"/>
                <w:b/>
                <w:sz w:val="20"/>
                <w:szCs w:val="20"/>
              </w:rPr>
              <w:t>Meets</w:t>
            </w:r>
            <w:r w:rsidR="0063370D">
              <w:rPr>
                <w:rFonts w:cs="Arial"/>
                <w:b/>
                <w:sz w:val="20"/>
                <w:szCs w:val="20"/>
              </w:rPr>
              <w:t xml:space="preserve"> – T</w:t>
            </w:r>
            <w:r w:rsidR="0063370D" w:rsidRPr="0063370D">
              <w:rPr>
                <w:rFonts w:cs="Arial"/>
                <w:b/>
                <w:sz w:val="20"/>
                <w:szCs w:val="20"/>
              </w:rPr>
              <w:t>he fishery</w:t>
            </w:r>
            <w:r w:rsidR="0063370D">
              <w:rPr>
                <w:rFonts w:cs="Arial"/>
                <w:b/>
                <w:sz w:val="20"/>
                <w:szCs w:val="20"/>
              </w:rPr>
              <w:t xml:space="preserve"> is not</w:t>
            </w:r>
            <w:r w:rsidR="0063370D" w:rsidRPr="0063370D">
              <w:rPr>
                <w:rFonts w:cs="Arial"/>
                <w:b/>
                <w:sz w:val="20"/>
                <w:szCs w:val="20"/>
              </w:rPr>
              <w:t xml:space="preserve"> likely to adversely affect the survival or recovery in nature of the species</w:t>
            </w:r>
            <w:r w:rsidR="0063370D">
              <w:rPr>
                <w:rFonts w:cs="Arial"/>
                <w:b/>
                <w:sz w:val="20"/>
                <w:szCs w:val="20"/>
              </w:rPr>
              <w:t>.</w:t>
            </w:r>
          </w:p>
          <w:p w14:paraId="7F6E2F62" w14:textId="77777777" w:rsidR="008233EC" w:rsidRPr="00C72B69" w:rsidRDefault="00791574" w:rsidP="00D86D08">
            <w:pPr>
              <w:spacing w:before="60" w:after="60" w:line="276" w:lineRule="auto"/>
              <w:rPr>
                <w:sz w:val="20"/>
                <w:szCs w:val="20"/>
              </w:rPr>
            </w:pPr>
            <w:r w:rsidRPr="00C72B69">
              <w:rPr>
                <w:sz w:val="20"/>
                <w:szCs w:val="20"/>
              </w:rPr>
              <w:t xml:space="preserve">The Harvest Strategy for the fishery </w:t>
            </w:r>
            <w:r w:rsidR="00E06070" w:rsidRPr="00C72B69">
              <w:rPr>
                <w:sz w:val="20"/>
                <w:szCs w:val="20"/>
              </w:rPr>
              <w:t xml:space="preserve">includes a </w:t>
            </w:r>
            <w:r w:rsidR="00B7749D" w:rsidRPr="00C72B69">
              <w:rPr>
                <w:sz w:val="20"/>
                <w:szCs w:val="20"/>
              </w:rPr>
              <w:t>decision-making</w:t>
            </w:r>
            <w:r w:rsidR="00E06070" w:rsidRPr="00C72B69">
              <w:rPr>
                <w:sz w:val="20"/>
                <w:szCs w:val="20"/>
              </w:rPr>
              <w:t xml:space="preserve"> framework</w:t>
            </w:r>
            <w:r w:rsidR="002848B9" w:rsidRPr="00C72B69">
              <w:rPr>
                <w:sz w:val="20"/>
                <w:szCs w:val="20"/>
              </w:rPr>
              <w:t xml:space="preserve"> which would be triggered </w:t>
            </w:r>
            <w:r w:rsidR="00B7749D" w:rsidRPr="00C72B69">
              <w:rPr>
                <w:sz w:val="20"/>
                <w:szCs w:val="20"/>
              </w:rPr>
              <w:t xml:space="preserve">if </w:t>
            </w:r>
            <w:r w:rsidR="002E2A23" w:rsidRPr="00C72B69">
              <w:rPr>
                <w:sz w:val="20"/>
                <w:szCs w:val="20"/>
              </w:rPr>
              <w:t>an</w:t>
            </w:r>
            <w:r w:rsidR="002848B9" w:rsidRPr="00C72B69">
              <w:rPr>
                <w:sz w:val="20"/>
                <w:szCs w:val="20"/>
              </w:rPr>
              <w:t xml:space="preserve"> ERA i</w:t>
            </w:r>
            <w:r w:rsidR="00C70042" w:rsidRPr="00C72B69">
              <w:rPr>
                <w:sz w:val="20"/>
                <w:szCs w:val="20"/>
              </w:rPr>
              <w:t xml:space="preserve">dentified unacceptably high risk to any ecological </w:t>
            </w:r>
            <w:r w:rsidR="00B7749D" w:rsidRPr="00C72B69">
              <w:rPr>
                <w:sz w:val="20"/>
                <w:szCs w:val="20"/>
              </w:rPr>
              <w:t>component</w:t>
            </w:r>
            <w:r w:rsidR="00C70042" w:rsidRPr="00C72B69">
              <w:rPr>
                <w:sz w:val="20"/>
                <w:szCs w:val="20"/>
              </w:rPr>
              <w:t xml:space="preserve"> of the fishery</w:t>
            </w:r>
            <w:r w:rsidR="002E2A23" w:rsidRPr="00C72B69">
              <w:rPr>
                <w:sz w:val="20"/>
                <w:szCs w:val="20"/>
              </w:rPr>
              <w:t>,</w:t>
            </w:r>
            <w:r w:rsidR="00C70042" w:rsidRPr="00C72B69">
              <w:rPr>
                <w:sz w:val="20"/>
                <w:szCs w:val="20"/>
              </w:rPr>
              <w:t xml:space="preserve"> including </w:t>
            </w:r>
            <w:r w:rsidR="00B7749D" w:rsidRPr="00C72B69">
              <w:rPr>
                <w:sz w:val="20"/>
                <w:szCs w:val="20"/>
              </w:rPr>
              <w:t>listed threatened species.</w:t>
            </w:r>
            <w:r w:rsidR="00E06070" w:rsidRPr="00C72B69">
              <w:rPr>
                <w:sz w:val="20"/>
                <w:szCs w:val="20"/>
              </w:rPr>
              <w:t xml:space="preserve"> </w:t>
            </w:r>
            <w:r w:rsidRPr="00C72B69">
              <w:rPr>
                <w:sz w:val="20"/>
                <w:szCs w:val="20"/>
              </w:rPr>
              <w:t>The ERA</w:t>
            </w:r>
            <w:r w:rsidR="00B7749D" w:rsidRPr="00C72B69">
              <w:rPr>
                <w:sz w:val="20"/>
                <w:szCs w:val="20"/>
              </w:rPr>
              <w:t xml:space="preserve"> published in 2021</w:t>
            </w:r>
            <w:r w:rsidRPr="00C72B69">
              <w:rPr>
                <w:sz w:val="20"/>
                <w:szCs w:val="20"/>
              </w:rPr>
              <w:t xml:space="preserve"> found a low risk to listed threatened species</w:t>
            </w:r>
            <w:r w:rsidR="00C72B69" w:rsidRPr="00C72B69">
              <w:rPr>
                <w:sz w:val="20"/>
                <w:szCs w:val="20"/>
              </w:rPr>
              <w:t>.</w:t>
            </w:r>
          </w:p>
          <w:p w14:paraId="64AE9984" w14:textId="45F5885E" w:rsidR="00C72B69" w:rsidRPr="00C72B69" w:rsidRDefault="00C72B69" w:rsidP="00D86D08">
            <w:pPr>
              <w:spacing w:before="60" w:after="60" w:line="276" w:lineRule="auto"/>
              <w:rPr>
                <w:rFonts w:cs="Arial"/>
                <w:bCs/>
                <w:sz w:val="20"/>
                <w:szCs w:val="20"/>
              </w:rPr>
            </w:pPr>
            <w:r w:rsidRPr="00C72B69">
              <w:rPr>
                <w:rFonts w:cs="Arial"/>
                <w:bCs/>
                <w:sz w:val="20"/>
                <w:szCs w:val="20"/>
              </w:rPr>
              <w:t>No interactions with listed threatened species have been reported</w:t>
            </w:r>
            <w:r w:rsidR="00397688">
              <w:rPr>
                <w:rFonts w:cs="Arial"/>
                <w:bCs/>
                <w:sz w:val="20"/>
                <w:szCs w:val="20"/>
              </w:rPr>
              <w:t xml:space="preserve"> </w:t>
            </w:r>
            <w:r w:rsidR="002672F2">
              <w:rPr>
                <w:rFonts w:cs="Arial"/>
                <w:bCs/>
                <w:sz w:val="20"/>
                <w:szCs w:val="20"/>
              </w:rPr>
              <w:t>by the fishery</w:t>
            </w:r>
            <w:r w:rsidRPr="00C72B69">
              <w:rPr>
                <w:rFonts w:cs="Arial"/>
                <w:bCs/>
                <w:sz w:val="20"/>
                <w:szCs w:val="20"/>
              </w:rPr>
              <w:t xml:space="preserve">. </w:t>
            </w:r>
          </w:p>
        </w:tc>
      </w:tr>
      <w:tr w:rsidR="00400844" w:rsidRPr="001F4207" w14:paraId="062B02EA"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48A585A5" w14:textId="5D5966F1"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Division 2 Migratory species, Section 222A Minister may accredit plans or regimes</w:t>
            </w:r>
          </w:p>
        </w:tc>
        <w:tc>
          <w:tcPr>
            <w:tcW w:w="2500" w:type="pct"/>
            <w:shd w:val="clear" w:color="auto" w:fill="D9D9D9" w:themeFill="background1" w:themeFillShade="D9"/>
            <w:vAlign w:val="center"/>
          </w:tcPr>
          <w:p w14:paraId="1104F4AB" w14:textId="77777777" w:rsidR="00400844" w:rsidRPr="00C72B69" w:rsidRDefault="00400844" w:rsidP="00D86D08">
            <w:pPr>
              <w:spacing w:before="60" w:after="60" w:line="276" w:lineRule="auto"/>
              <w:jc w:val="center"/>
              <w:rPr>
                <w:rFonts w:cs="Arial"/>
                <w:b/>
                <w:sz w:val="20"/>
                <w:szCs w:val="20"/>
              </w:rPr>
            </w:pPr>
            <w:r w:rsidRPr="00C72B69">
              <w:rPr>
                <w:rFonts w:cs="Arial"/>
                <w:b/>
                <w:sz w:val="20"/>
                <w:szCs w:val="20"/>
              </w:rPr>
              <w:t>Comment</w:t>
            </w:r>
          </w:p>
        </w:tc>
      </w:tr>
      <w:tr w:rsidR="009A1276" w:rsidRPr="001F4207" w14:paraId="54E5AB0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41E8BDAE" w14:textId="203C6861" w:rsidR="009A1276" w:rsidRPr="001F4207" w:rsidRDefault="009A1276" w:rsidP="00FC2EBF">
            <w:pPr>
              <w:pStyle w:val="ListNumber2"/>
            </w:pPr>
            <w:r w:rsidRPr="001F4207">
              <w:t>(f)</w:t>
            </w:r>
            <w:r w:rsidRPr="001F4207">
              <w:tab/>
              <w:t>Will the plan, regime or policy require fishers to take all reasonable steps to ensure that members of listed migratory species are not killed or injured as a result of the fishing?</w:t>
            </w:r>
          </w:p>
        </w:tc>
        <w:tc>
          <w:tcPr>
            <w:tcW w:w="2500" w:type="pct"/>
            <w:shd w:val="clear" w:color="auto" w:fill="auto"/>
          </w:tcPr>
          <w:p w14:paraId="0B00D200" w14:textId="77777777" w:rsidR="00E879E6" w:rsidRPr="00E879E6" w:rsidRDefault="002F564A" w:rsidP="00E879E6">
            <w:pPr>
              <w:spacing w:before="60" w:after="60" w:line="23" w:lineRule="atLeast"/>
              <w:rPr>
                <w:rFonts w:cs="Arial"/>
                <w:b/>
                <w:sz w:val="20"/>
                <w:szCs w:val="20"/>
              </w:rPr>
            </w:pPr>
            <w:r w:rsidRPr="00C72B69">
              <w:rPr>
                <w:rFonts w:cs="Arial"/>
                <w:b/>
                <w:sz w:val="20"/>
                <w:szCs w:val="20"/>
              </w:rPr>
              <w:t>Meets</w:t>
            </w:r>
            <w:r w:rsidR="00E879E6">
              <w:rPr>
                <w:rFonts w:cs="Arial"/>
                <w:b/>
                <w:sz w:val="20"/>
                <w:szCs w:val="20"/>
              </w:rPr>
              <w:t xml:space="preserve"> – </w:t>
            </w:r>
            <w:r w:rsidR="00C72B69" w:rsidRPr="00E879E6">
              <w:rPr>
                <w:rFonts w:cs="Arial"/>
                <w:b/>
                <w:sz w:val="20"/>
                <w:szCs w:val="20"/>
              </w:rPr>
              <w:t>The management</w:t>
            </w:r>
            <w:r w:rsidR="006561FB" w:rsidRPr="00E879E6">
              <w:rPr>
                <w:rFonts w:cs="Arial"/>
                <w:b/>
                <w:sz w:val="20"/>
                <w:szCs w:val="20"/>
              </w:rPr>
              <w:t xml:space="preserve"> regime</w:t>
            </w:r>
            <w:r w:rsidR="00C72B69" w:rsidRPr="00E879E6">
              <w:rPr>
                <w:rFonts w:cs="Arial"/>
                <w:b/>
                <w:sz w:val="20"/>
                <w:szCs w:val="20"/>
              </w:rPr>
              <w:t xml:space="preserve"> requires all reasonable steps be taken to avoid interactions with listed migratory species. </w:t>
            </w:r>
          </w:p>
          <w:p w14:paraId="06CF658A" w14:textId="00886113" w:rsidR="00C72B69" w:rsidRPr="00C72B69" w:rsidRDefault="00C72B69" w:rsidP="00D86D08">
            <w:pPr>
              <w:spacing w:before="60" w:after="60" w:line="276" w:lineRule="auto"/>
              <w:rPr>
                <w:rFonts w:cs="Arial"/>
                <w:bCs/>
                <w:sz w:val="20"/>
                <w:szCs w:val="20"/>
              </w:rPr>
            </w:pPr>
            <w:r w:rsidRPr="00C72B69">
              <w:rPr>
                <w:rFonts w:cs="Arial"/>
                <w:bCs/>
                <w:sz w:val="20"/>
                <w:szCs w:val="20"/>
              </w:rPr>
              <w:t xml:space="preserve">This includes gear limitations (hand collection only) and compulsory reporting of interactions.  </w:t>
            </w:r>
          </w:p>
          <w:p w14:paraId="18C19108" w14:textId="6552B47F" w:rsidR="00E57AB7" w:rsidRPr="00C72B69" w:rsidRDefault="00C72B69" w:rsidP="00D86D08">
            <w:pPr>
              <w:spacing w:before="60" w:after="60" w:line="276" w:lineRule="auto"/>
              <w:rPr>
                <w:rFonts w:cs="Arial"/>
                <w:bCs/>
                <w:sz w:val="20"/>
                <w:szCs w:val="20"/>
              </w:rPr>
            </w:pPr>
            <w:r w:rsidRPr="00C72B69">
              <w:rPr>
                <w:rFonts w:cs="Arial"/>
                <w:sz w:val="20"/>
                <w:szCs w:val="20"/>
              </w:rPr>
              <w:t xml:space="preserve">An ERA has been conducted for the fishery which assessed the risk to </w:t>
            </w:r>
            <w:r w:rsidR="00D0447E">
              <w:rPr>
                <w:rFonts w:cs="Arial"/>
                <w:sz w:val="20"/>
                <w:szCs w:val="20"/>
              </w:rPr>
              <w:t>migratory</w:t>
            </w:r>
            <w:r w:rsidRPr="00C72B69">
              <w:rPr>
                <w:rFonts w:cs="Arial"/>
                <w:sz w:val="20"/>
                <w:szCs w:val="20"/>
              </w:rPr>
              <w:t xml:space="preserve"> species to be negligible to low and likely </w:t>
            </w:r>
            <w:r w:rsidRPr="00C72B69">
              <w:rPr>
                <w:sz w:val="20"/>
                <w:szCs w:val="20"/>
              </w:rPr>
              <w:t xml:space="preserve">limited to boat strikes and disturbance by moving or anchoring boats. Fishers are required to report all interactions with </w:t>
            </w:r>
            <w:r w:rsidR="006561FB">
              <w:rPr>
                <w:sz w:val="20"/>
                <w:szCs w:val="20"/>
              </w:rPr>
              <w:t>these</w:t>
            </w:r>
            <w:r w:rsidRPr="00C72B69">
              <w:rPr>
                <w:sz w:val="20"/>
                <w:szCs w:val="20"/>
              </w:rPr>
              <w:t xml:space="preserve"> species.</w:t>
            </w:r>
          </w:p>
        </w:tc>
      </w:tr>
      <w:tr w:rsidR="009A1276" w:rsidRPr="001F4207" w14:paraId="49D7E84F"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7AED5444" w14:textId="13BA4100" w:rsidR="009A1276" w:rsidRPr="001F4207" w:rsidRDefault="009A1276" w:rsidP="00FC2EBF">
            <w:pPr>
              <w:pStyle w:val="ListNumber2"/>
            </w:pPr>
            <w:r w:rsidRPr="001F4207">
              <w:t>(g)</w:t>
            </w:r>
            <w:r w:rsidRPr="001F4207">
              <w:tab/>
              <w:t>And, is the fishery likely to adversely affect the conservation status of a listed migratory species or a population of that species?</w:t>
            </w:r>
          </w:p>
        </w:tc>
        <w:tc>
          <w:tcPr>
            <w:tcW w:w="2500" w:type="pct"/>
            <w:shd w:val="clear" w:color="auto" w:fill="auto"/>
          </w:tcPr>
          <w:p w14:paraId="564EEA93" w14:textId="32EC6A18" w:rsidR="002F564A" w:rsidRPr="00C72B69" w:rsidRDefault="002F564A" w:rsidP="00FD3FCD">
            <w:pPr>
              <w:spacing w:before="60" w:after="60" w:line="23" w:lineRule="atLeast"/>
              <w:rPr>
                <w:rFonts w:cs="Arial"/>
                <w:b/>
                <w:sz w:val="20"/>
                <w:szCs w:val="20"/>
              </w:rPr>
            </w:pPr>
            <w:r w:rsidRPr="00C72B69">
              <w:rPr>
                <w:rFonts w:cs="Arial"/>
                <w:b/>
                <w:sz w:val="20"/>
                <w:szCs w:val="20"/>
              </w:rPr>
              <w:t>Meets</w:t>
            </w:r>
            <w:r w:rsidR="00FD3FCD">
              <w:rPr>
                <w:rFonts w:cs="Arial"/>
                <w:b/>
                <w:sz w:val="20"/>
                <w:szCs w:val="20"/>
              </w:rPr>
              <w:t xml:space="preserve"> – </w:t>
            </w:r>
            <w:r w:rsidR="000D60BE">
              <w:rPr>
                <w:rFonts w:cs="Arial"/>
                <w:b/>
                <w:sz w:val="20"/>
                <w:szCs w:val="20"/>
              </w:rPr>
              <w:t>T</w:t>
            </w:r>
            <w:r w:rsidR="00FD3FCD" w:rsidRPr="00FD3FCD">
              <w:rPr>
                <w:rFonts w:cs="Arial"/>
                <w:b/>
                <w:sz w:val="20"/>
                <w:szCs w:val="20"/>
              </w:rPr>
              <w:t>he fishery</w:t>
            </w:r>
            <w:r w:rsidR="00FD3FCD">
              <w:rPr>
                <w:rFonts w:cs="Arial"/>
                <w:b/>
                <w:sz w:val="20"/>
                <w:szCs w:val="20"/>
              </w:rPr>
              <w:t xml:space="preserve"> is not </w:t>
            </w:r>
            <w:r w:rsidR="00FD3FCD" w:rsidRPr="00FD3FCD">
              <w:rPr>
                <w:rFonts w:cs="Arial"/>
                <w:b/>
                <w:sz w:val="20"/>
                <w:szCs w:val="20"/>
              </w:rPr>
              <w:t>likely to adversely affect the conservation status of a listed migratory species or a population of th</w:t>
            </w:r>
            <w:r w:rsidR="000D60BE">
              <w:rPr>
                <w:rFonts w:cs="Arial"/>
                <w:b/>
                <w:sz w:val="20"/>
                <w:szCs w:val="20"/>
              </w:rPr>
              <w:t>e</w:t>
            </w:r>
            <w:r w:rsidR="00FD3FCD" w:rsidRPr="00FD3FCD">
              <w:rPr>
                <w:rFonts w:cs="Arial"/>
                <w:b/>
                <w:sz w:val="20"/>
                <w:szCs w:val="20"/>
              </w:rPr>
              <w:t xml:space="preserve"> species.</w:t>
            </w:r>
          </w:p>
          <w:p w14:paraId="30DB1ABB" w14:textId="1C9A0EE9" w:rsidR="00C72B69" w:rsidRPr="00C72B69" w:rsidRDefault="00C72B69" w:rsidP="00D86D08">
            <w:pPr>
              <w:spacing w:before="60" w:after="60" w:line="276" w:lineRule="auto"/>
              <w:rPr>
                <w:sz w:val="20"/>
                <w:szCs w:val="20"/>
              </w:rPr>
            </w:pPr>
            <w:r w:rsidRPr="00C72B69">
              <w:rPr>
                <w:sz w:val="20"/>
                <w:szCs w:val="20"/>
              </w:rPr>
              <w:t xml:space="preserve">The Harvest Strategy for the fishery includes a decision-making framework which would be triggered if an ERA identified unacceptably high risk to any ecological component of the fishery, including listed </w:t>
            </w:r>
            <w:r>
              <w:rPr>
                <w:sz w:val="20"/>
                <w:szCs w:val="20"/>
              </w:rPr>
              <w:t>migratory</w:t>
            </w:r>
            <w:r w:rsidRPr="00C72B69">
              <w:rPr>
                <w:sz w:val="20"/>
                <w:szCs w:val="20"/>
              </w:rPr>
              <w:t xml:space="preserve"> species. The ERA published in 2021 found a low risk to </w:t>
            </w:r>
            <w:r>
              <w:rPr>
                <w:sz w:val="20"/>
                <w:szCs w:val="20"/>
              </w:rPr>
              <w:t>these</w:t>
            </w:r>
            <w:r w:rsidRPr="00C72B69">
              <w:rPr>
                <w:sz w:val="20"/>
                <w:szCs w:val="20"/>
              </w:rPr>
              <w:t xml:space="preserve"> species.</w:t>
            </w:r>
          </w:p>
          <w:p w14:paraId="48DB7599" w14:textId="61155797" w:rsidR="00546023" w:rsidRPr="00C72B69" w:rsidRDefault="00C72B69" w:rsidP="00D86D08">
            <w:pPr>
              <w:spacing w:before="60" w:after="60" w:line="276" w:lineRule="auto"/>
              <w:rPr>
                <w:rFonts w:cs="Arial"/>
                <w:color w:val="00B0F0"/>
                <w:sz w:val="20"/>
                <w:szCs w:val="20"/>
              </w:rPr>
            </w:pPr>
            <w:r w:rsidRPr="00C72B69">
              <w:rPr>
                <w:rFonts w:cs="Arial"/>
                <w:bCs/>
                <w:sz w:val="20"/>
                <w:szCs w:val="20"/>
              </w:rPr>
              <w:t xml:space="preserve">No interactions with listed </w:t>
            </w:r>
            <w:r>
              <w:rPr>
                <w:rFonts w:cs="Arial"/>
                <w:bCs/>
                <w:sz w:val="20"/>
                <w:szCs w:val="20"/>
              </w:rPr>
              <w:t>migratory</w:t>
            </w:r>
            <w:r w:rsidRPr="00C72B69">
              <w:rPr>
                <w:rFonts w:cs="Arial"/>
                <w:bCs/>
                <w:sz w:val="20"/>
                <w:szCs w:val="20"/>
              </w:rPr>
              <w:t xml:space="preserve"> species have been reported</w:t>
            </w:r>
            <w:r w:rsidR="002672F2">
              <w:rPr>
                <w:rFonts w:cs="Arial"/>
                <w:bCs/>
                <w:sz w:val="20"/>
                <w:szCs w:val="20"/>
              </w:rPr>
              <w:t xml:space="preserve"> by the fishery</w:t>
            </w:r>
            <w:r w:rsidRPr="00C72B69">
              <w:rPr>
                <w:rFonts w:cs="Arial"/>
                <w:bCs/>
                <w:sz w:val="20"/>
                <w:szCs w:val="20"/>
              </w:rPr>
              <w:t>.</w:t>
            </w:r>
          </w:p>
          <w:p w14:paraId="7DC6AC96" w14:textId="4402037B" w:rsidR="00E57AB7" w:rsidRPr="00C72B69" w:rsidRDefault="00E57AB7" w:rsidP="00D86D08">
            <w:pPr>
              <w:spacing w:before="60" w:after="60" w:line="276" w:lineRule="auto"/>
              <w:rPr>
                <w:rFonts w:cs="Arial"/>
                <w:b/>
                <w:sz w:val="20"/>
                <w:szCs w:val="20"/>
                <w:highlight w:val="yellow"/>
              </w:rPr>
            </w:pPr>
          </w:p>
        </w:tc>
      </w:tr>
      <w:tr w:rsidR="009A1276" w:rsidRPr="001F4207" w14:paraId="78470085"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3791E835" w14:textId="501D6D1F" w:rsidR="009A1276" w:rsidRPr="001F4207" w:rsidRDefault="009A1276" w:rsidP="00FC2EBF">
            <w:pPr>
              <w:spacing w:before="60" w:after="60" w:line="276" w:lineRule="auto"/>
              <w:ind w:left="426" w:hanging="426"/>
              <w:contextualSpacing/>
              <w:jc w:val="center"/>
              <w:rPr>
                <w:rFonts w:cs="Arial"/>
                <w:b/>
                <w:sz w:val="20"/>
                <w:szCs w:val="20"/>
              </w:rPr>
            </w:pPr>
            <w:r w:rsidRPr="001F4207">
              <w:rPr>
                <w:rFonts w:cs="Arial"/>
                <w:b/>
                <w:sz w:val="20"/>
                <w:szCs w:val="20"/>
              </w:rPr>
              <w:t>Division 3 Whales and other cetaceans, Section 245 Minister may accredit plans or regimes</w:t>
            </w:r>
          </w:p>
        </w:tc>
        <w:tc>
          <w:tcPr>
            <w:tcW w:w="2500" w:type="pct"/>
            <w:shd w:val="clear" w:color="auto" w:fill="D9D9D9" w:themeFill="background1" w:themeFillShade="D9"/>
            <w:vAlign w:val="center"/>
          </w:tcPr>
          <w:p w14:paraId="73860A53" w14:textId="77777777" w:rsidR="009A1276" w:rsidRPr="001F4207" w:rsidRDefault="009A1276" w:rsidP="00D86D08">
            <w:pPr>
              <w:spacing w:before="60" w:after="60" w:line="276" w:lineRule="auto"/>
              <w:jc w:val="center"/>
              <w:rPr>
                <w:rFonts w:cs="Arial"/>
                <w:b/>
                <w:sz w:val="20"/>
                <w:szCs w:val="20"/>
              </w:rPr>
            </w:pPr>
            <w:r w:rsidRPr="001F4207">
              <w:rPr>
                <w:rFonts w:cs="Arial"/>
                <w:b/>
                <w:sz w:val="20"/>
                <w:szCs w:val="20"/>
              </w:rPr>
              <w:t>Comment</w:t>
            </w:r>
          </w:p>
        </w:tc>
      </w:tr>
      <w:tr w:rsidR="009A1276" w:rsidRPr="001F4207" w14:paraId="4A23A01E"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444C14FF" w14:textId="099A3EE2" w:rsidR="009A1276" w:rsidRPr="001F4207" w:rsidRDefault="009A1276" w:rsidP="00FC2EBF">
            <w:pPr>
              <w:pStyle w:val="ListNumber2"/>
            </w:pPr>
            <w:r w:rsidRPr="001F4207">
              <w:lastRenderedPageBreak/>
              <w:t>(f)</w:t>
            </w:r>
            <w:r w:rsidRPr="001F4207">
              <w:tab/>
              <w:t xml:space="preserve">Will </w:t>
            </w:r>
            <w:r w:rsidR="00215FE3" w:rsidRPr="001F4207">
              <w:t>the plan, regime or policy require fishers to take all reasonable steps to ensure that cetaceans are not killed or injured as a result of the fishing</w:t>
            </w:r>
            <w:r w:rsidRPr="001F4207">
              <w:t>?</w:t>
            </w:r>
          </w:p>
        </w:tc>
        <w:tc>
          <w:tcPr>
            <w:tcW w:w="2500" w:type="pct"/>
            <w:shd w:val="clear" w:color="auto" w:fill="auto"/>
          </w:tcPr>
          <w:p w14:paraId="187C029C" w14:textId="77777777" w:rsidR="000D60BE" w:rsidRPr="000D60BE" w:rsidRDefault="002F564A" w:rsidP="000D60BE">
            <w:pPr>
              <w:spacing w:before="60" w:after="60" w:line="23" w:lineRule="atLeast"/>
              <w:rPr>
                <w:rFonts w:cs="Arial"/>
                <w:b/>
                <w:sz w:val="20"/>
                <w:szCs w:val="20"/>
              </w:rPr>
            </w:pPr>
            <w:r w:rsidRPr="00E27A78">
              <w:rPr>
                <w:rFonts w:cs="Arial"/>
                <w:b/>
                <w:sz w:val="20"/>
                <w:szCs w:val="20"/>
              </w:rPr>
              <w:t>Meets</w:t>
            </w:r>
            <w:r w:rsidR="000D60BE">
              <w:rPr>
                <w:rFonts w:cs="Arial"/>
                <w:b/>
                <w:sz w:val="20"/>
                <w:szCs w:val="20"/>
              </w:rPr>
              <w:t xml:space="preserve"> – </w:t>
            </w:r>
            <w:r w:rsidR="00300905" w:rsidRPr="000D60BE">
              <w:rPr>
                <w:rFonts w:cs="Arial"/>
                <w:b/>
                <w:sz w:val="20"/>
                <w:szCs w:val="20"/>
              </w:rPr>
              <w:t>The management</w:t>
            </w:r>
            <w:r w:rsidR="006561FB" w:rsidRPr="000D60BE">
              <w:rPr>
                <w:rFonts w:cs="Arial"/>
                <w:b/>
                <w:sz w:val="20"/>
                <w:szCs w:val="20"/>
              </w:rPr>
              <w:t xml:space="preserve"> regime</w:t>
            </w:r>
            <w:r w:rsidR="00300905" w:rsidRPr="000D60BE">
              <w:rPr>
                <w:rFonts w:cs="Arial"/>
                <w:b/>
                <w:sz w:val="20"/>
                <w:szCs w:val="20"/>
              </w:rPr>
              <w:t xml:space="preserve"> requires all reasonable steps be taken to avoid interactions with cetaceans. </w:t>
            </w:r>
          </w:p>
          <w:p w14:paraId="3303A3D9" w14:textId="2672ADA3" w:rsidR="00300905" w:rsidRPr="00C72B69" w:rsidRDefault="00300905" w:rsidP="00D86D08">
            <w:pPr>
              <w:spacing w:before="60" w:after="60" w:line="276" w:lineRule="auto"/>
              <w:rPr>
                <w:rFonts w:cs="Arial"/>
                <w:bCs/>
                <w:sz w:val="20"/>
                <w:szCs w:val="20"/>
              </w:rPr>
            </w:pPr>
            <w:r w:rsidRPr="00C72B69">
              <w:rPr>
                <w:rFonts w:cs="Arial"/>
                <w:bCs/>
                <w:sz w:val="20"/>
                <w:szCs w:val="20"/>
              </w:rPr>
              <w:t xml:space="preserve">This includes gear limitations (hand collection only) and compulsory reporting of interactions.  </w:t>
            </w:r>
          </w:p>
          <w:p w14:paraId="35CE65C9" w14:textId="39AB8F04" w:rsidR="00E57AB7" w:rsidRPr="00E27A78" w:rsidRDefault="00300905" w:rsidP="00D86D08">
            <w:pPr>
              <w:spacing w:before="60" w:after="60" w:line="276" w:lineRule="auto"/>
              <w:rPr>
                <w:rFonts w:cs="Arial"/>
                <w:b/>
                <w:sz w:val="20"/>
                <w:szCs w:val="20"/>
              </w:rPr>
            </w:pPr>
            <w:r w:rsidRPr="00C72B69">
              <w:rPr>
                <w:rFonts w:cs="Arial"/>
                <w:sz w:val="20"/>
                <w:szCs w:val="20"/>
              </w:rPr>
              <w:t xml:space="preserve">An ERA has been conducted for the fishery which assessed the risk to </w:t>
            </w:r>
            <w:r>
              <w:rPr>
                <w:rFonts w:cs="Arial"/>
                <w:sz w:val="20"/>
                <w:szCs w:val="20"/>
              </w:rPr>
              <w:t>cetaceans</w:t>
            </w:r>
            <w:r w:rsidRPr="00C72B69">
              <w:rPr>
                <w:rFonts w:cs="Arial"/>
                <w:sz w:val="20"/>
                <w:szCs w:val="20"/>
              </w:rPr>
              <w:t xml:space="preserve"> to be negligible to low and likely </w:t>
            </w:r>
            <w:r w:rsidRPr="00C72B69">
              <w:rPr>
                <w:sz w:val="20"/>
                <w:szCs w:val="20"/>
              </w:rPr>
              <w:t xml:space="preserve">limited to boat strikes and disturbance by moving or anchoring boats. Fishers are required to report all interactions with </w:t>
            </w:r>
            <w:r>
              <w:rPr>
                <w:sz w:val="20"/>
                <w:szCs w:val="20"/>
              </w:rPr>
              <w:t>cetaceans</w:t>
            </w:r>
            <w:r w:rsidRPr="00C72B69">
              <w:rPr>
                <w:sz w:val="20"/>
                <w:szCs w:val="20"/>
              </w:rPr>
              <w:t>.</w:t>
            </w:r>
          </w:p>
        </w:tc>
      </w:tr>
      <w:tr w:rsidR="009A1276" w:rsidRPr="001F4207" w14:paraId="6C9C2156"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679E90D2" w14:textId="3C224412" w:rsidR="009A1276" w:rsidRPr="001F4207" w:rsidRDefault="009A1276" w:rsidP="00FC2EBF">
            <w:pPr>
              <w:pStyle w:val="ListNumber2"/>
            </w:pPr>
            <w:r w:rsidRPr="001F4207">
              <w:t>(g)</w:t>
            </w:r>
            <w:r w:rsidRPr="001F4207">
              <w:tab/>
              <w:t xml:space="preserve">And, </w:t>
            </w:r>
            <w:r w:rsidR="00215FE3" w:rsidRPr="001F4207">
              <w:t>is the fishery likely to adversely affect the conservation status of a species of cetacean or a population of that species</w:t>
            </w:r>
            <w:r w:rsidRPr="001F4207">
              <w:t>?</w:t>
            </w:r>
          </w:p>
        </w:tc>
        <w:tc>
          <w:tcPr>
            <w:tcW w:w="2500" w:type="pct"/>
            <w:shd w:val="clear" w:color="auto" w:fill="auto"/>
          </w:tcPr>
          <w:p w14:paraId="47EDC7BB" w14:textId="20D7A45F" w:rsidR="002F564A" w:rsidRPr="00E27A78" w:rsidRDefault="002F564A" w:rsidP="000D60BE">
            <w:pPr>
              <w:spacing w:before="60" w:after="60" w:line="23" w:lineRule="atLeast"/>
              <w:rPr>
                <w:rFonts w:cs="Arial"/>
                <w:b/>
                <w:sz w:val="20"/>
                <w:szCs w:val="20"/>
              </w:rPr>
            </w:pPr>
            <w:r w:rsidRPr="00E27A78">
              <w:rPr>
                <w:rFonts w:cs="Arial"/>
                <w:b/>
                <w:sz w:val="20"/>
                <w:szCs w:val="20"/>
              </w:rPr>
              <w:t>Meets</w:t>
            </w:r>
            <w:r w:rsidR="000D60BE">
              <w:rPr>
                <w:rFonts w:cs="Arial"/>
                <w:b/>
                <w:sz w:val="20"/>
                <w:szCs w:val="20"/>
              </w:rPr>
              <w:t xml:space="preserve"> – T</w:t>
            </w:r>
            <w:r w:rsidR="000D60BE" w:rsidRPr="000D60BE">
              <w:rPr>
                <w:rFonts w:cs="Arial"/>
                <w:b/>
                <w:sz w:val="20"/>
                <w:szCs w:val="20"/>
              </w:rPr>
              <w:t>he fishery</w:t>
            </w:r>
            <w:r w:rsidR="000D60BE">
              <w:rPr>
                <w:rFonts w:cs="Arial"/>
                <w:b/>
                <w:sz w:val="20"/>
                <w:szCs w:val="20"/>
              </w:rPr>
              <w:t xml:space="preserve"> is not</w:t>
            </w:r>
            <w:r w:rsidR="000D60BE" w:rsidRPr="000D60BE">
              <w:rPr>
                <w:rFonts w:cs="Arial"/>
                <w:b/>
                <w:sz w:val="20"/>
                <w:szCs w:val="20"/>
              </w:rPr>
              <w:t xml:space="preserve"> likely to adversely affect the conservation status of a species of cetacean or a population of th</w:t>
            </w:r>
            <w:r w:rsidR="000D60BE">
              <w:rPr>
                <w:rFonts w:cs="Arial"/>
                <w:b/>
                <w:sz w:val="20"/>
                <w:szCs w:val="20"/>
              </w:rPr>
              <w:t>e</w:t>
            </w:r>
            <w:r w:rsidR="000D60BE" w:rsidRPr="000D60BE">
              <w:rPr>
                <w:rFonts w:cs="Arial"/>
                <w:b/>
                <w:sz w:val="20"/>
                <w:szCs w:val="20"/>
              </w:rPr>
              <w:t xml:space="preserve"> species</w:t>
            </w:r>
            <w:r w:rsidR="000D60BE">
              <w:rPr>
                <w:rFonts w:cs="Arial"/>
                <w:b/>
                <w:sz w:val="20"/>
                <w:szCs w:val="20"/>
              </w:rPr>
              <w:t>.</w:t>
            </w:r>
          </w:p>
          <w:p w14:paraId="50B712C4" w14:textId="7C01A0F5" w:rsidR="00300905" w:rsidRPr="00C72B69" w:rsidRDefault="00300905" w:rsidP="00D86D08">
            <w:pPr>
              <w:spacing w:before="60" w:after="60" w:line="276" w:lineRule="auto"/>
              <w:rPr>
                <w:sz w:val="20"/>
                <w:szCs w:val="20"/>
              </w:rPr>
            </w:pPr>
            <w:r w:rsidRPr="00C72B69">
              <w:rPr>
                <w:sz w:val="20"/>
                <w:szCs w:val="20"/>
              </w:rPr>
              <w:t xml:space="preserve">The Harvest Strategy for the fishery includes a decision-making framework which would be triggered if an ERA identified unacceptably high risk to any ecological component of the fishery, including </w:t>
            </w:r>
            <w:r>
              <w:rPr>
                <w:sz w:val="20"/>
                <w:szCs w:val="20"/>
              </w:rPr>
              <w:t>cetaceans</w:t>
            </w:r>
            <w:r w:rsidRPr="00C72B69">
              <w:rPr>
                <w:sz w:val="20"/>
                <w:szCs w:val="20"/>
              </w:rPr>
              <w:t xml:space="preserve">. The ERA published in 2021 found a low risk to </w:t>
            </w:r>
            <w:r>
              <w:rPr>
                <w:sz w:val="20"/>
                <w:szCs w:val="20"/>
              </w:rPr>
              <w:t>these</w:t>
            </w:r>
            <w:r w:rsidRPr="00C72B69">
              <w:rPr>
                <w:sz w:val="20"/>
                <w:szCs w:val="20"/>
              </w:rPr>
              <w:t xml:space="preserve"> species.</w:t>
            </w:r>
          </w:p>
          <w:p w14:paraId="4926B28A" w14:textId="454F3288" w:rsidR="00E57AB7" w:rsidRPr="002672F2" w:rsidRDefault="00300905" w:rsidP="00D86D08">
            <w:pPr>
              <w:spacing w:before="60" w:after="60" w:line="276" w:lineRule="auto"/>
              <w:rPr>
                <w:rFonts w:cs="Arial"/>
                <w:color w:val="00B0F0"/>
                <w:sz w:val="20"/>
                <w:szCs w:val="20"/>
              </w:rPr>
            </w:pPr>
            <w:r w:rsidRPr="00C72B69">
              <w:rPr>
                <w:rFonts w:cs="Arial"/>
                <w:bCs/>
                <w:sz w:val="20"/>
                <w:szCs w:val="20"/>
              </w:rPr>
              <w:t xml:space="preserve">No interactions with </w:t>
            </w:r>
            <w:r w:rsidR="00397688">
              <w:rPr>
                <w:rFonts w:cs="Arial"/>
                <w:bCs/>
                <w:sz w:val="20"/>
                <w:szCs w:val="20"/>
              </w:rPr>
              <w:t>cetaceans</w:t>
            </w:r>
            <w:r w:rsidRPr="00C72B69">
              <w:rPr>
                <w:rFonts w:cs="Arial"/>
                <w:bCs/>
                <w:sz w:val="20"/>
                <w:szCs w:val="20"/>
              </w:rPr>
              <w:t xml:space="preserve"> have been reported</w:t>
            </w:r>
            <w:r w:rsidR="002672F2">
              <w:rPr>
                <w:rFonts w:cs="Arial"/>
                <w:bCs/>
                <w:sz w:val="20"/>
                <w:szCs w:val="20"/>
              </w:rPr>
              <w:t xml:space="preserve"> by the fishery</w:t>
            </w:r>
            <w:r w:rsidRPr="00C72B69">
              <w:rPr>
                <w:rFonts w:cs="Arial"/>
                <w:bCs/>
                <w:sz w:val="20"/>
                <w:szCs w:val="20"/>
              </w:rPr>
              <w:t>.</w:t>
            </w:r>
          </w:p>
        </w:tc>
      </w:tr>
      <w:tr w:rsidR="009A1276" w:rsidRPr="001F4207" w14:paraId="7E136D30"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2303EF6D" w14:textId="05290EC2" w:rsidR="009A1276" w:rsidRPr="001F4207" w:rsidRDefault="009A1276" w:rsidP="00FC2EBF">
            <w:pPr>
              <w:spacing w:before="60" w:after="60" w:line="276" w:lineRule="auto"/>
              <w:ind w:left="426" w:hanging="426"/>
              <w:contextualSpacing/>
              <w:jc w:val="center"/>
              <w:rPr>
                <w:rFonts w:cs="Arial"/>
                <w:b/>
                <w:sz w:val="20"/>
                <w:szCs w:val="20"/>
              </w:rPr>
            </w:pPr>
            <w:r w:rsidRPr="001F4207">
              <w:rPr>
                <w:rFonts w:cs="Arial"/>
                <w:b/>
                <w:sz w:val="20"/>
                <w:szCs w:val="20"/>
              </w:rPr>
              <w:t>Division 4 Listed marine species, Section 265 Minister may accredit plans or regimes</w:t>
            </w:r>
          </w:p>
        </w:tc>
        <w:tc>
          <w:tcPr>
            <w:tcW w:w="2500" w:type="pct"/>
            <w:shd w:val="clear" w:color="auto" w:fill="D9D9D9" w:themeFill="background1" w:themeFillShade="D9"/>
            <w:vAlign w:val="center"/>
          </w:tcPr>
          <w:p w14:paraId="6904F40C" w14:textId="36F8E2FF" w:rsidR="009A1276" w:rsidRPr="001F4207" w:rsidRDefault="009A1276" w:rsidP="00D86D08">
            <w:pPr>
              <w:spacing w:before="60" w:after="60" w:line="276" w:lineRule="auto"/>
              <w:jc w:val="center"/>
              <w:rPr>
                <w:rFonts w:cs="Arial"/>
                <w:b/>
                <w:sz w:val="20"/>
                <w:szCs w:val="20"/>
              </w:rPr>
            </w:pPr>
            <w:r w:rsidRPr="001F4207">
              <w:rPr>
                <w:rFonts w:cs="Arial"/>
                <w:b/>
                <w:sz w:val="20"/>
                <w:szCs w:val="20"/>
              </w:rPr>
              <w:t>Comment</w:t>
            </w:r>
          </w:p>
        </w:tc>
      </w:tr>
      <w:tr w:rsidR="001C0324" w:rsidRPr="001F4207" w14:paraId="6A03A730"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19C01C49" w14:textId="5EA35C8C" w:rsidR="001C0324" w:rsidRPr="001F4207" w:rsidRDefault="001C0324" w:rsidP="001C0324">
            <w:pPr>
              <w:pStyle w:val="ListNumber2"/>
            </w:pPr>
            <w:r w:rsidRPr="001F4207">
              <w:t>(f)</w:t>
            </w:r>
            <w:r w:rsidRPr="001F4207">
              <w:tab/>
              <w:t>Will the plan, regime or policy require fishers to take all reasonable steps to ensure that members of listed marine species are not killed or injured as a result of the fishing?</w:t>
            </w:r>
          </w:p>
        </w:tc>
        <w:tc>
          <w:tcPr>
            <w:tcW w:w="2500" w:type="pct"/>
            <w:shd w:val="clear" w:color="auto" w:fill="auto"/>
          </w:tcPr>
          <w:p w14:paraId="63A154AB" w14:textId="77777777" w:rsidR="000D1C8A" w:rsidRPr="000D1C8A" w:rsidRDefault="001C0324" w:rsidP="000D1C8A">
            <w:pPr>
              <w:spacing w:before="60" w:after="60" w:line="23" w:lineRule="atLeast"/>
              <w:rPr>
                <w:rFonts w:cs="Arial"/>
                <w:b/>
                <w:sz w:val="20"/>
                <w:szCs w:val="20"/>
              </w:rPr>
            </w:pPr>
            <w:r w:rsidRPr="00C72B69">
              <w:rPr>
                <w:rFonts w:cs="Arial"/>
                <w:b/>
                <w:sz w:val="20"/>
                <w:szCs w:val="20"/>
              </w:rPr>
              <w:t>Meets</w:t>
            </w:r>
            <w:r w:rsidR="000D1C8A">
              <w:rPr>
                <w:rFonts w:cs="Arial"/>
                <w:b/>
                <w:sz w:val="20"/>
                <w:szCs w:val="20"/>
              </w:rPr>
              <w:t xml:space="preserve"> – </w:t>
            </w:r>
            <w:r w:rsidRPr="000D1C8A">
              <w:rPr>
                <w:rFonts w:cs="Arial"/>
                <w:b/>
                <w:sz w:val="20"/>
                <w:szCs w:val="20"/>
              </w:rPr>
              <w:t>The management</w:t>
            </w:r>
            <w:r w:rsidR="006561FB" w:rsidRPr="000D1C8A">
              <w:rPr>
                <w:rFonts w:cs="Arial"/>
                <w:b/>
                <w:sz w:val="20"/>
                <w:szCs w:val="20"/>
              </w:rPr>
              <w:t xml:space="preserve"> regime</w:t>
            </w:r>
            <w:r w:rsidRPr="000D1C8A">
              <w:rPr>
                <w:rFonts w:cs="Arial"/>
                <w:b/>
                <w:sz w:val="20"/>
                <w:szCs w:val="20"/>
              </w:rPr>
              <w:t xml:space="preserve"> requires all reasonable steps be taken to avoid interactions with listed </w:t>
            </w:r>
            <w:r w:rsidR="00BF72C9" w:rsidRPr="000D1C8A">
              <w:rPr>
                <w:rFonts w:cs="Arial"/>
                <w:b/>
                <w:sz w:val="20"/>
                <w:szCs w:val="20"/>
              </w:rPr>
              <w:t>marine</w:t>
            </w:r>
            <w:r w:rsidRPr="000D1C8A">
              <w:rPr>
                <w:rFonts w:cs="Arial"/>
                <w:b/>
                <w:sz w:val="20"/>
                <w:szCs w:val="20"/>
              </w:rPr>
              <w:t xml:space="preserve"> species. </w:t>
            </w:r>
          </w:p>
          <w:p w14:paraId="5BD1E3EB" w14:textId="35178DA2" w:rsidR="001C0324" w:rsidRPr="00C72B69" w:rsidRDefault="001C0324" w:rsidP="00D86D08">
            <w:pPr>
              <w:spacing w:before="60" w:after="60" w:line="276" w:lineRule="auto"/>
              <w:rPr>
                <w:rFonts w:cs="Arial"/>
                <w:bCs/>
                <w:sz w:val="20"/>
                <w:szCs w:val="20"/>
              </w:rPr>
            </w:pPr>
            <w:r w:rsidRPr="00C72B69">
              <w:rPr>
                <w:rFonts w:cs="Arial"/>
                <w:bCs/>
                <w:sz w:val="20"/>
                <w:szCs w:val="20"/>
              </w:rPr>
              <w:t>This includes gear limitations (hand collection only) and compulsory reporting of interactions.</w:t>
            </w:r>
          </w:p>
          <w:p w14:paraId="7A09EE30" w14:textId="08C2E9A8" w:rsidR="001C0324" w:rsidRPr="002672F2" w:rsidRDefault="001C0324" w:rsidP="00D86D08">
            <w:pPr>
              <w:spacing w:before="60" w:after="60" w:line="276" w:lineRule="auto"/>
              <w:rPr>
                <w:rFonts w:cs="Arial"/>
                <w:b/>
                <w:sz w:val="20"/>
                <w:szCs w:val="20"/>
              </w:rPr>
            </w:pPr>
            <w:r w:rsidRPr="00C72B69">
              <w:rPr>
                <w:rFonts w:cs="Arial"/>
                <w:sz w:val="20"/>
                <w:szCs w:val="20"/>
              </w:rPr>
              <w:t xml:space="preserve">An ERA has been conducted for the fishery which assessed the risk to listed </w:t>
            </w:r>
            <w:r w:rsidR="006561FB">
              <w:rPr>
                <w:rFonts w:cs="Arial"/>
                <w:sz w:val="20"/>
                <w:szCs w:val="20"/>
              </w:rPr>
              <w:t>marine</w:t>
            </w:r>
            <w:r w:rsidRPr="00C72B69">
              <w:rPr>
                <w:rFonts w:cs="Arial"/>
                <w:sz w:val="20"/>
                <w:szCs w:val="20"/>
              </w:rPr>
              <w:t xml:space="preserve"> species to be negligible to low and likely </w:t>
            </w:r>
            <w:r w:rsidRPr="00C72B69">
              <w:rPr>
                <w:sz w:val="20"/>
                <w:szCs w:val="20"/>
              </w:rPr>
              <w:t xml:space="preserve">limited to boat strikes and disturbance by moving or anchoring boats. Fishers are required to report all interactions with </w:t>
            </w:r>
            <w:r w:rsidR="006561FB">
              <w:rPr>
                <w:sz w:val="20"/>
                <w:szCs w:val="20"/>
              </w:rPr>
              <w:t>these</w:t>
            </w:r>
            <w:r w:rsidRPr="00C72B69">
              <w:rPr>
                <w:sz w:val="20"/>
                <w:szCs w:val="20"/>
              </w:rPr>
              <w:t xml:space="preserve"> species.</w:t>
            </w:r>
          </w:p>
        </w:tc>
      </w:tr>
      <w:tr w:rsidR="001C0324" w:rsidRPr="001F4207" w14:paraId="27CA6BA7"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772FA52A" w14:textId="553147FB" w:rsidR="001C0324" w:rsidRPr="001F4207" w:rsidRDefault="001C0324" w:rsidP="001C0324">
            <w:pPr>
              <w:pStyle w:val="ListNumber2"/>
            </w:pPr>
            <w:r w:rsidRPr="001F4207">
              <w:t>(g)</w:t>
            </w:r>
            <w:r w:rsidRPr="001F4207">
              <w:tab/>
              <w:t>And, is the fishery likely to adversely affect the conservation status of a listed marine species or a population of that species?</w:t>
            </w:r>
          </w:p>
        </w:tc>
        <w:tc>
          <w:tcPr>
            <w:tcW w:w="2500" w:type="pct"/>
            <w:shd w:val="clear" w:color="auto" w:fill="auto"/>
          </w:tcPr>
          <w:p w14:paraId="1D1566CE" w14:textId="0DCBBAA2" w:rsidR="001C0324" w:rsidRPr="00C72B69" w:rsidRDefault="001C0324" w:rsidP="000D1C8A">
            <w:pPr>
              <w:spacing w:before="60" w:after="60" w:line="23" w:lineRule="atLeast"/>
              <w:rPr>
                <w:rFonts w:cs="Arial"/>
                <w:b/>
                <w:sz w:val="20"/>
                <w:szCs w:val="20"/>
              </w:rPr>
            </w:pPr>
            <w:r w:rsidRPr="00C72B69">
              <w:rPr>
                <w:rFonts w:cs="Arial"/>
                <w:b/>
                <w:sz w:val="20"/>
                <w:szCs w:val="20"/>
              </w:rPr>
              <w:t>Meets</w:t>
            </w:r>
            <w:r w:rsidR="000D1C8A">
              <w:rPr>
                <w:rFonts w:cs="Arial"/>
                <w:b/>
                <w:sz w:val="20"/>
                <w:szCs w:val="20"/>
              </w:rPr>
              <w:t xml:space="preserve"> – T</w:t>
            </w:r>
            <w:r w:rsidR="000D1C8A" w:rsidRPr="000D1C8A">
              <w:rPr>
                <w:rFonts w:cs="Arial"/>
                <w:b/>
                <w:sz w:val="20"/>
                <w:szCs w:val="20"/>
              </w:rPr>
              <w:t>he fishery</w:t>
            </w:r>
            <w:r w:rsidR="000D1C8A">
              <w:rPr>
                <w:rFonts w:cs="Arial"/>
                <w:b/>
                <w:sz w:val="20"/>
                <w:szCs w:val="20"/>
              </w:rPr>
              <w:t xml:space="preserve"> is not </w:t>
            </w:r>
            <w:r w:rsidR="000D1C8A" w:rsidRPr="000D1C8A">
              <w:rPr>
                <w:rFonts w:cs="Arial"/>
                <w:b/>
                <w:sz w:val="20"/>
                <w:szCs w:val="20"/>
              </w:rPr>
              <w:t>likely to adversely affect the conservation status of a listed marine species or a population of that species</w:t>
            </w:r>
            <w:r w:rsidR="000D1C8A">
              <w:rPr>
                <w:rFonts w:cs="Arial"/>
                <w:b/>
                <w:sz w:val="20"/>
                <w:szCs w:val="20"/>
              </w:rPr>
              <w:t>.</w:t>
            </w:r>
          </w:p>
          <w:p w14:paraId="5915B690" w14:textId="5AD8904E" w:rsidR="001C0324" w:rsidRPr="00C72B69" w:rsidRDefault="001C0324" w:rsidP="00D86D08">
            <w:pPr>
              <w:spacing w:before="60" w:after="60" w:line="276" w:lineRule="auto"/>
              <w:rPr>
                <w:sz w:val="20"/>
                <w:szCs w:val="20"/>
              </w:rPr>
            </w:pPr>
            <w:r w:rsidRPr="00C72B69">
              <w:rPr>
                <w:sz w:val="20"/>
                <w:szCs w:val="20"/>
              </w:rPr>
              <w:t xml:space="preserve">The Harvest Strategy for the fishery includes a decision-making framework which would be triggered if an ERA identified unacceptably high risk to any ecological component of the fishery, including listed </w:t>
            </w:r>
            <w:r w:rsidR="006561FB">
              <w:rPr>
                <w:sz w:val="20"/>
                <w:szCs w:val="20"/>
              </w:rPr>
              <w:t>marine</w:t>
            </w:r>
            <w:r w:rsidRPr="00C72B69">
              <w:rPr>
                <w:sz w:val="20"/>
                <w:szCs w:val="20"/>
              </w:rPr>
              <w:t xml:space="preserve"> species. The ERA published in 2021 found a low risk to </w:t>
            </w:r>
            <w:r w:rsidR="00DD4065">
              <w:rPr>
                <w:sz w:val="20"/>
                <w:szCs w:val="20"/>
              </w:rPr>
              <w:t xml:space="preserve">these </w:t>
            </w:r>
            <w:r w:rsidRPr="00C72B69">
              <w:rPr>
                <w:sz w:val="20"/>
                <w:szCs w:val="20"/>
              </w:rPr>
              <w:t>species.</w:t>
            </w:r>
          </w:p>
          <w:p w14:paraId="79E02A79" w14:textId="43762DAE" w:rsidR="001C0324" w:rsidRPr="002672F2" w:rsidRDefault="001C0324" w:rsidP="00D86D08">
            <w:pPr>
              <w:spacing w:before="60" w:after="60" w:line="276" w:lineRule="auto"/>
              <w:rPr>
                <w:rFonts w:cs="Arial"/>
                <w:b/>
                <w:sz w:val="20"/>
                <w:szCs w:val="20"/>
              </w:rPr>
            </w:pPr>
            <w:r w:rsidRPr="00C72B69">
              <w:rPr>
                <w:rFonts w:cs="Arial"/>
                <w:bCs/>
                <w:sz w:val="20"/>
                <w:szCs w:val="20"/>
              </w:rPr>
              <w:t xml:space="preserve">No interactions with listed </w:t>
            </w:r>
            <w:r w:rsidR="006561FB">
              <w:rPr>
                <w:rFonts w:cs="Arial"/>
                <w:bCs/>
                <w:sz w:val="20"/>
                <w:szCs w:val="20"/>
              </w:rPr>
              <w:t>marine</w:t>
            </w:r>
            <w:r w:rsidRPr="00C72B69">
              <w:rPr>
                <w:rFonts w:cs="Arial"/>
                <w:bCs/>
                <w:sz w:val="20"/>
                <w:szCs w:val="20"/>
              </w:rPr>
              <w:t xml:space="preserve"> species have been reported</w:t>
            </w:r>
            <w:r>
              <w:rPr>
                <w:rFonts w:cs="Arial"/>
                <w:bCs/>
                <w:sz w:val="20"/>
                <w:szCs w:val="20"/>
              </w:rPr>
              <w:t xml:space="preserve"> by the fishery</w:t>
            </w:r>
            <w:r w:rsidRPr="00C72B69">
              <w:rPr>
                <w:rFonts w:cs="Arial"/>
                <w:bCs/>
                <w:sz w:val="20"/>
                <w:szCs w:val="20"/>
              </w:rPr>
              <w:t xml:space="preserve">. </w:t>
            </w:r>
          </w:p>
        </w:tc>
      </w:tr>
    </w:tbl>
    <w:p w14:paraId="1A7518C5" w14:textId="77777777" w:rsidR="00FC510B" w:rsidRDefault="00FC510B">
      <w:r>
        <w:br w:type="page"/>
      </w:r>
    </w:p>
    <w:tbl>
      <w:tblPr>
        <w:tblStyle w:val="TableGrid"/>
        <w:tblW w:w="5000" w:type="pct"/>
        <w:tblLook w:val="04A0" w:firstRow="1" w:lastRow="0" w:firstColumn="1" w:lastColumn="0" w:noHBand="0" w:noVBand="1"/>
      </w:tblPr>
      <w:tblGrid>
        <w:gridCol w:w="7393"/>
        <w:gridCol w:w="7393"/>
      </w:tblGrid>
      <w:tr w:rsidR="00215FE3" w:rsidRPr="001F4207" w14:paraId="0B2284B3"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13DCAD06" w14:textId="2E23475A" w:rsidR="00215FE3" w:rsidRPr="001F4207" w:rsidRDefault="00215FE3" w:rsidP="00FC2EBF">
            <w:pPr>
              <w:spacing w:before="60" w:after="60" w:line="276" w:lineRule="auto"/>
              <w:ind w:left="426" w:hanging="426"/>
              <w:contextualSpacing/>
              <w:jc w:val="center"/>
              <w:rPr>
                <w:rFonts w:cs="Arial"/>
                <w:b/>
                <w:sz w:val="20"/>
                <w:szCs w:val="20"/>
              </w:rPr>
            </w:pPr>
            <w:r w:rsidRPr="001F4207">
              <w:rPr>
                <w:rFonts w:cs="Arial"/>
                <w:b/>
                <w:sz w:val="20"/>
                <w:szCs w:val="20"/>
              </w:rPr>
              <w:lastRenderedPageBreak/>
              <w:t xml:space="preserve">Section 303AA Conditions relating to accreditation of plans, </w:t>
            </w:r>
            <w:proofErr w:type="gramStart"/>
            <w:r w:rsidRPr="001F4207">
              <w:rPr>
                <w:rFonts w:cs="Arial"/>
                <w:b/>
                <w:sz w:val="20"/>
                <w:szCs w:val="20"/>
              </w:rPr>
              <w:t>regimes</w:t>
            </w:r>
            <w:proofErr w:type="gramEnd"/>
            <w:r w:rsidRPr="001F4207">
              <w:rPr>
                <w:rFonts w:cs="Arial"/>
                <w:b/>
                <w:sz w:val="20"/>
                <w:szCs w:val="20"/>
              </w:rPr>
              <w:t xml:space="preserve"> and policies</w:t>
            </w:r>
          </w:p>
        </w:tc>
        <w:tc>
          <w:tcPr>
            <w:tcW w:w="2500" w:type="pct"/>
            <w:shd w:val="clear" w:color="auto" w:fill="D9D9D9" w:themeFill="background1" w:themeFillShade="D9"/>
            <w:vAlign w:val="center"/>
          </w:tcPr>
          <w:p w14:paraId="13E674FB" w14:textId="6C6D3CED" w:rsidR="00215FE3" w:rsidRPr="001F4207" w:rsidRDefault="00215FE3" w:rsidP="00FC2EBF">
            <w:pPr>
              <w:spacing w:before="60" w:after="60" w:line="276" w:lineRule="auto"/>
              <w:contextualSpacing/>
              <w:jc w:val="center"/>
              <w:rPr>
                <w:rFonts w:cs="Arial"/>
                <w:b/>
                <w:sz w:val="20"/>
                <w:szCs w:val="20"/>
              </w:rPr>
            </w:pPr>
            <w:r w:rsidRPr="001F4207">
              <w:rPr>
                <w:rFonts w:cs="Arial"/>
                <w:b/>
                <w:sz w:val="20"/>
                <w:szCs w:val="20"/>
              </w:rPr>
              <w:t>Comment</w:t>
            </w:r>
          </w:p>
        </w:tc>
      </w:tr>
      <w:tr w:rsidR="00FC510B" w:rsidRPr="001F4207" w14:paraId="498EBC31"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auto"/>
          </w:tcPr>
          <w:p w14:paraId="560276E1" w14:textId="1B51FB74" w:rsidR="00FC510B" w:rsidRPr="001F4207" w:rsidRDefault="00FC510B" w:rsidP="00FC2EBF">
            <w:pPr>
              <w:pStyle w:val="ListNumber"/>
            </w:pPr>
            <w:r w:rsidRPr="001F4207">
              <w:t>(1)</w:t>
            </w:r>
            <w:r w:rsidRPr="001F4207">
              <w:tab/>
              <w:t xml:space="preserve">This section applies to an accreditation of a plan, </w:t>
            </w:r>
            <w:proofErr w:type="gramStart"/>
            <w:r w:rsidRPr="001F4207">
              <w:t>regime</w:t>
            </w:r>
            <w:proofErr w:type="gramEnd"/>
            <w:r w:rsidRPr="001F4207">
              <w:t xml:space="preserve"> or policy under section 208A, 222A, 245 or 265.</w:t>
            </w:r>
          </w:p>
        </w:tc>
        <w:tc>
          <w:tcPr>
            <w:tcW w:w="2500" w:type="pct"/>
            <w:vMerge w:val="restart"/>
            <w:shd w:val="clear" w:color="auto" w:fill="auto"/>
          </w:tcPr>
          <w:p w14:paraId="425EAFCE" w14:textId="34E28BD0" w:rsidR="00F14623" w:rsidRPr="00F14623" w:rsidRDefault="005B4E1C" w:rsidP="00DD4065">
            <w:pPr>
              <w:spacing w:before="60" w:after="60" w:line="276" w:lineRule="auto"/>
              <w:rPr>
                <w:rFonts w:cs="Arial"/>
                <w:sz w:val="20"/>
                <w:szCs w:val="20"/>
              </w:rPr>
            </w:pPr>
            <w:r w:rsidRPr="00F14623">
              <w:rPr>
                <w:sz w:val="20"/>
                <w:szCs w:val="20"/>
              </w:rPr>
              <w:t>The department recommends that the management regime for the</w:t>
            </w:r>
            <w:r w:rsidR="009C554B">
              <w:rPr>
                <w:sz w:val="20"/>
                <w:szCs w:val="20"/>
              </w:rPr>
              <w:t xml:space="preserve"> fishery</w:t>
            </w:r>
            <w:r w:rsidRPr="00F14623">
              <w:rPr>
                <w:sz w:val="20"/>
                <w:szCs w:val="20"/>
              </w:rPr>
              <w:t xml:space="preserve"> be accredited under sections 208A, 222A, 245 and 265.</w:t>
            </w:r>
          </w:p>
          <w:p w14:paraId="368023F6" w14:textId="144FBD26" w:rsidR="00DA6115" w:rsidRPr="00F14623" w:rsidRDefault="00DA6115" w:rsidP="00DD4065">
            <w:pPr>
              <w:spacing w:before="60" w:after="60" w:line="276" w:lineRule="auto"/>
              <w:rPr>
                <w:rFonts w:cs="Arial"/>
                <w:sz w:val="20"/>
                <w:szCs w:val="20"/>
              </w:rPr>
            </w:pPr>
            <w:r w:rsidRPr="00F14623">
              <w:rPr>
                <w:rFonts w:cs="Arial"/>
                <w:sz w:val="20"/>
                <w:szCs w:val="20"/>
              </w:rPr>
              <w:t xml:space="preserve">The </w:t>
            </w:r>
            <w:r w:rsidR="00F14623" w:rsidRPr="00F14623">
              <w:rPr>
                <w:rFonts w:cs="Arial"/>
                <w:sz w:val="20"/>
                <w:szCs w:val="20"/>
              </w:rPr>
              <w:t>d</w:t>
            </w:r>
            <w:r w:rsidRPr="00F14623">
              <w:rPr>
                <w:rFonts w:cs="Arial"/>
                <w:sz w:val="20"/>
                <w:szCs w:val="20"/>
              </w:rPr>
              <w:t xml:space="preserve">epartment considers that no conditions are required for the accreditation of the management regime for the </w:t>
            </w:r>
            <w:r w:rsidR="009C554B">
              <w:rPr>
                <w:rFonts w:cs="Arial"/>
                <w:sz w:val="20"/>
                <w:szCs w:val="20"/>
              </w:rPr>
              <w:t>fishery</w:t>
            </w:r>
            <w:r w:rsidRPr="00F14623">
              <w:rPr>
                <w:rFonts w:cs="Arial"/>
                <w:sz w:val="20"/>
                <w:szCs w:val="20"/>
              </w:rPr>
              <w:t xml:space="preserve"> under Part 13.</w:t>
            </w:r>
          </w:p>
          <w:p w14:paraId="37977C77" w14:textId="7786584C" w:rsidR="00FC510B" w:rsidRPr="00F14623" w:rsidRDefault="00FC510B" w:rsidP="00F14623">
            <w:pPr>
              <w:spacing w:before="60" w:after="60" w:line="276" w:lineRule="auto"/>
              <w:contextualSpacing/>
              <w:rPr>
                <w:rFonts w:cs="Arial"/>
                <w:sz w:val="20"/>
                <w:szCs w:val="20"/>
              </w:rPr>
            </w:pPr>
          </w:p>
        </w:tc>
      </w:tr>
      <w:tr w:rsidR="00FC510B" w:rsidRPr="001F4207" w14:paraId="066B2084"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auto"/>
          </w:tcPr>
          <w:p w14:paraId="026B98E0" w14:textId="59AFF196" w:rsidR="00FC510B" w:rsidRPr="001F4207" w:rsidRDefault="00FC510B" w:rsidP="00FC2EBF">
            <w:pPr>
              <w:pStyle w:val="ListNumber"/>
            </w:pPr>
            <w:r w:rsidRPr="001F4207">
              <w:t>(2)</w:t>
            </w:r>
            <w:r w:rsidRPr="001F4207">
              <w:tab/>
              <w:t xml:space="preserve">The Minister may accredit a plan, </w:t>
            </w:r>
            <w:proofErr w:type="gramStart"/>
            <w:r w:rsidRPr="001F4207">
              <w:t>regime</w:t>
            </w:r>
            <w:proofErr w:type="gramEnd"/>
            <w:r w:rsidRPr="001F4207">
              <w:t xml:space="preserve"> or policy under that section even though he or she considers that the plan, regime or policy should be accredited only:</w:t>
            </w:r>
          </w:p>
          <w:p w14:paraId="74D47C40" w14:textId="1AA4A31E" w:rsidR="00FC510B" w:rsidRPr="001F4207" w:rsidRDefault="00FC510B" w:rsidP="00FC2EBF">
            <w:pPr>
              <w:pStyle w:val="ListNumber2"/>
            </w:pPr>
            <w:r w:rsidRPr="001F4207">
              <w:t>(a)</w:t>
            </w:r>
            <w:r w:rsidRPr="001F4207">
              <w:tab/>
              <w:t>during a particular period; or</w:t>
            </w:r>
          </w:p>
          <w:p w14:paraId="16AF89E8" w14:textId="391274C4" w:rsidR="00FC510B" w:rsidRPr="001F4207" w:rsidRDefault="00FC510B" w:rsidP="00FC2EBF">
            <w:pPr>
              <w:pStyle w:val="ListNumber2"/>
            </w:pPr>
            <w:r w:rsidRPr="001F4207">
              <w:t>(b)</w:t>
            </w:r>
            <w:r w:rsidRPr="001F4207">
              <w:tab/>
              <w:t>while certain circumstances exist; or</w:t>
            </w:r>
          </w:p>
          <w:p w14:paraId="674A4DFD" w14:textId="141645E4" w:rsidR="00FC510B" w:rsidRPr="001F4207" w:rsidRDefault="00FC510B" w:rsidP="00FC2EBF">
            <w:pPr>
              <w:pStyle w:val="ListNumber2"/>
            </w:pPr>
            <w:r w:rsidRPr="001F4207">
              <w:t>(c)</w:t>
            </w:r>
            <w:r w:rsidRPr="001F4207">
              <w:tab/>
              <w:t>while a certain condition is complied with.</w:t>
            </w:r>
          </w:p>
          <w:p w14:paraId="56296A80" w14:textId="37F3B420" w:rsidR="00FC510B" w:rsidRPr="001F4207" w:rsidRDefault="00FC510B" w:rsidP="00FC2EBF">
            <w:pPr>
              <w:spacing w:before="60" w:after="60" w:line="276" w:lineRule="auto"/>
              <w:contextualSpacing/>
              <w:rPr>
                <w:rFonts w:cs="Arial"/>
                <w:sz w:val="20"/>
                <w:szCs w:val="20"/>
              </w:rPr>
            </w:pPr>
            <w:r w:rsidRPr="001F4207">
              <w:rPr>
                <w:rFonts w:cs="Arial"/>
                <w:sz w:val="20"/>
                <w:szCs w:val="20"/>
              </w:rPr>
              <w:t xml:space="preserve">In such a case, the instrument of accreditation is to specify the period, </w:t>
            </w:r>
            <w:proofErr w:type="gramStart"/>
            <w:r w:rsidRPr="001F4207">
              <w:rPr>
                <w:rFonts w:cs="Arial"/>
                <w:sz w:val="20"/>
                <w:szCs w:val="20"/>
              </w:rPr>
              <w:t>circumstances</w:t>
            </w:r>
            <w:proofErr w:type="gramEnd"/>
            <w:r w:rsidRPr="001F4207">
              <w:rPr>
                <w:rFonts w:cs="Arial"/>
                <w:sz w:val="20"/>
                <w:szCs w:val="20"/>
              </w:rPr>
              <w:t xml:space="preserve"> or condition.</w:t>
            </w:r>
          </w:p>
        </w:tc>
        <w:tc>
          <w:tcPr>
            <w:tcW w:w="2500" w:type="pct"/>
            <w:vMerge/>
            <w:shd w:val="clear" w:color="auto" w:fill="auto"/>
          </w:tcPr>
          <w:p w14:paraId="0DE78878" w14:textId="03F509FA" w:rsidR="00FC510B" w:rsidRPr="001F4207" w:rsidRDefault="00FC510B" w:rsidP="00FC2EBF">
            <w:pPr>
              <w:spacing w:before="60" w:after="60" w:line="276" w:lineRule="auto"/>
              <w:contextualSpacing/>
              <w:rPr>
                <w:rFonts w:cs="Arial"/>
                <w:sz w:val="20"/>
                <w:szCs w:val="20"/>
              </w:rPr>
            </w:pPr>
          </w:p>
        </w:tc>
      </w:tr>
    </w:tbl>
    <w:p w14:paraId="3C1550C8" w14:textId="77777777" w:rsidR="009F053A" w:rsidRPr="001F4207" w:rsidRDefault="009F053A" w:rsidP="001F4207"/>
    <w:p w14:paraId="7CF63A23" w14:textId="3C59189E" w:rsidR="009D5019" w:rsidRPr="00EF2FE1" w:rsidRDefault="009D5019" w:rsidP="001F4207">
      <w:pPr>
        <w:pStyle w:val="Heading2"/>
      </w:pPr>
      <w:bookmarkStart w:id="9" w:name="_Toc89208572"/>
      <w:r w:rsidRPr="00EF2FE1">
        <w:t>Part 13A</w:t>
      </w:r>
      <w:r w:rsidR="007F1ABC" w:rsidRPr="00EF2FE1">
        <w:t xml:space="preserve"> </w:t>
      </w:r>
      <w:r w:rsidR="00F73C73">
        <w:t>– International movement of wildlife specimens</w:t>
      </w:r>
      <w:bookmarkEnd w:id="9"/>
    </w:p>
    <w:tbl>
      <w:tblPr>
        <w:tblStyle w:val="TableGrid1"/>
        <w:tblW w:w="5000" w:type="pct"/>
        <w:tblLook w:val="04A0" w:firstRow="1" w:lastRow="0" w:firstColumn="1" w:lastColumn="0" w:noHBand="0" w:noVBand="1"/>
      </w:tblPr>
      <w:tblGrid>
        <w:gridCol w:w="7393"/>
        <w:gridCol w:w="7393"/>
      </w:tblGrid>
      <w:tr w:rsidR="00D40B13" w:rsidRPr="001F4207" w14:paraId="3C655134" w14:textId="77777777" w:rsidTr="00CC77AB">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vAlign w:val="center"/>
          </w:tcPr>
          <w:p w14:paraId="0F5148DF" w14:textId="01036097" w:rsidR="00D40B13" w:rsidRPr="001F4207" w:rsidRDefault="00D40B13" w:rsidP="00FC2EBF">
            <w:pPr>
              <w:spacing w:before="60" w:after="60" w:line="276" w:lineRule="auto"/>
              <w:contextualSpacing/>
              <w:jc w:val="center"/>
              <w:rPr>
                <w:rFonts w:cs="Arial"/>
                <w:b/>
                <w:sz w:val="20"/>
                <w:szCs w:val="20"/>
              </w:rPr>
            </w:pPr>
            <w:r w:rsidRPr="001F4207">
              <w:rPr>
                <w:rFonts w:cs="Arial"/>
                <w:b/>
                <w:bCs/>
                <w:noProof/>
                <w:sz w:val="20"/>
                <w:szCs w:val="20"/>
              </w:rPr>
              <w:t>Section 303BA Objects of Part 13A</w:t>
            </w:r>
          </w:p>
        </w:tc>
      </w:tr>
      <w:tr w:rsidR="001C70CA" w:rsidRPr="001F4207" w14:paraId="2C296CF2"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214AF701" w14:textId="48F00C58" w:rsidR="001C70CA" w:rsidRPr="001F4207" w:rsidRDefault="001C70CA" w:rsidP="00FC2EBF">
            <w:pPr>
              <w:pStyle w:val="ListNumber"/>
              <w:rPr>
                <w:noProof/>
              </w:rPr>
            </w:pPr>
            <w:r w:rsidRPr="001F4207">
              <w:t>(1)</w:t>
            </w:r>
            <w:r w:rsidRPr="001F4207">
              <w:tab/>
              <w:t xml:space="preserve">The </w:t>
            </w:r>
            <w:r w:rsidRPr="001F4207">
              <w:rPr>
                <w:noProof/>
              </w:rPr>
              <w:t>objects of this Part are as follows</w:t>
            </w:r>
            <w:r w:rsidRPr="001F4207">
              <w:t>:</w:t>
            </w:r>
          </w:p>
          <w:p w14:paraId="53F2A16D" w14:textId="7F2BF5AB" w:rsidR="001C70CA" w:rsidRPr="001F4207" w:rsidRDefault="001C70CA" w:rsidP="00FC2EBF">
            <w:pPr>
              <w:pStyle w:val="ListNumber2"/>
            </w:pPr>
            <w:r w:rsidRPr="001F4207">
              <w:t>(a)</w:t>
            </w:r>
            <w:r w:rsidRPr="001F4207">
              <w:tab/>
              <w:t>to ensure that Australia complies with its obligations under CITES and the Biodiversity Convention;</w:t>
            </w:r>
          </w:p>
          <w:p w14:paraId="1E27B80E" w14:textId="1B22B1A9" w:rsidR="001C70CA" w:rsidRPr="001F4207" w:rsidRDefault="001C70CA" w:rsidP="00FC2EBF">
            <w:pPr>
              <w:pStyle w:val="ListNumber2"/>
            </w:pPr>
            <w:r w:rsidRPr="001F4207">
              <w:t>(b)</w:t>
            </w:r>
            <w:r w:rsidRPr="001F4207">
              <w:tab/>
              <w:t>to protect wildlife that may be adversely affected by trade;</w:t>
            </w:r>
          </w:p>
          <w:p w14:paraId="0BD3A59F" w14:textId="77777777" w:rsidR="001C70CA" w:rsidRPr="001F4207" w:rsidRDefault="001C70CA" w:rsidP="00FC2EBF">
            <w:pPr>
              <w:pStyle w:val="ListNumber2"/>
            </w:pPr>
            <w:r w:rsidRPr="001F4207">
              <w:t>(c)</w:t>
            </w:r>
            <w:r w:rsidRPr="001F4207">
              <w:tab/>
              <w:t>to promote the conservation of biodiversity in Australia and other countries;</w:t>
            </w:r>
          </w:p>
          <w:p w14:paraId="51856DBF" w14:textId="77777777" w:rsidR="001C70CA" w:rsidRPr="001F4207" w:rsidRDefault="001C70CA" w:rsidP="00FC2EBF">
            <w:pPr>
              <w:pStyle w:val="ListNumber2"/>
            </w:pPr>
            <w:r w:rsidRPr="001F4207">
              <w:t>(d)</w:t>
            </w:r>
            <w:r w:rsidRPr="001F4207">
              <w:tab/>
              <w:t>to ensure that any commercial utilisation of Australian native wildlife for the purposes of export is managed in an ecologically sustainable way;</w:t>
            </w:r>
          </w:p>
          <w:p w14:paraId="06D01FF1" w14:textId="77777777" w:rsidR="001C70CA" w:rsidRPr="001F4207" w:rsidRDefault="001C70CA" w:rsidP="00FC2EBF">
            <w:pPr>
              <w:pStyle w:val="ListNumber2"/>
            </w:pPr>
            <w:r w:rsidRPr="001F4207">
              <w:t>(e)</w:t>
            </w:r>
            <w:r w:rsidRPr="001F4207">
              <w:tab/>
              <w:t>to promote the humane treatment of wildlife;</w:t>
            </w:r>
          </w:p>
          <w:p w14:paraId="79661513" w14:textId="77777777" w:rsidR="001C70CA" w:rsidRPr="001F4207" w:rsidRDefault="001C70CA" w:rsidP="00FC2EBF">
            <w:pPr>
              <w:pStyle w:val="ListNumber2"/>
            </w:pPr>
            <w:r w:rsidRPr="001F4207">
              <w:t>(f)</w:t>
            </w:r>
            <w:r w:rsidRPr="001F4207">
              <w:tab/>
              <w:t>to ensure ethical conduct during any research associated with the utilisation of wildlife; and</w:t>
            </w:r>
          </w:p>
          <w:p w14:paraId="4E62EAB3" w14:textId="5C436067" w:rsidR="001C70CA" w:rsidRPr="001F4207" w:rsidRDefault="001C70CA" w:rsidP="00FC2EBF">
            <w:pPr>
              <w:pStyle w:val="ListNumber2"/>
            </w:pPr>
            <w:r w:rsidRPr="001F4207">
              <w:t>(h)</w:t>
            </w:r>
            <w:r w:rsidRPr="001F4207">
              <w:tab/>
              <w:t>to ensure the precautionary principle is taken into account in making decisions relating to the utilisation of wildlife.</w:t>
            </w:r>
          </w:p>
        </w:tc>
        <w:tc>
          <w:tcPr>
            <w:tcW w:w="2500" w:type="pct"/>
          </w:tcPr>
          <w:p w14:paraId="3CB9AF84" w14:textId="47A2C349" w:rsidR="00DE3001" w:rsidRPr="00E027CA" w:rsidRDefault="001C70CA" w:rsidP="00762740">
            <w:pPr>
              <w:spacing w:beforeLines="60" w:before="144" w:afterLines="60" w:after="144" w:line="23" w:lineRule="atLeast"/>
              <w:contextualSpacing/>
              <w:rPr>
                <w:rFonts w:cs="Arial"/>
                <w:iCs/>
                <w:sz w:val="20"/>
                <w:szCs w:val="20"/>
              </w:rPr>
            </w:pPr>
            <w:r w:rsidRPr="001F4207">
              <w:rPr>
                <w:rFonts w:cs="Arial"/>
                <w:noProof/>
                <w:sz w:val="20"/>
                <w:szCs w:val="20"/>
              </w:rPr>
              <w:t xml:space="preserve">The </w:t>
            </w:r>
            <w:r w:rsidRPr="00E027CA">
              <w:rPr>
                <w:rFonts w:cs="Arial"/>
                <w:noProof/>
                <w:sz w:val="20"/>
                <w:szCs w:val="20"/>
              </w:rPr>
              <w:t xml:space="preserve">management arrangements for the </w:t>
            </w:r>
            <w:r w:rsidR="009C554B">
              <w:rPr>
                <w:rFonts w:cs="Arial"/>
                <w:noProof/>
                <w:sz w:val="20"/>
                <w:szCs w:val="20"/>
              </w:rPr>
              <w:t>fishery</w:t>
            </w:r>
            <w:r w:rsidRPr="00B4392E">
              <w:rPr>
                <w:rFonts w:cs="Arial"/>
                <w:noProof/>
                <w:sz w:val="20"/>
                <w:szCs w:val="20"/>
              </w:rPr>
              <w:t xml:space="preserve"> have been assessed as consistent with the general guidance provided </w:t>
            </w:r>
            <w:r w:rsidRPr="00E027CA">
              <w:rPr>
                <w:rFonts w:cs="Arial"/>
                <w:noProof/>
                <w:sz w:val="20"/>
                <w:szCs w:val="20"/>
              </w:rPr>
              <w:t>in the objects of Part 13A</w:t>
            </w:r>
            <w:r w:rsidR="00A40EDC" w:rsidRPr="00E027CA">
              <w:rPr>
                <w:rFonts w:cs="Arial"/>
                <w:noProof/>
                <w:sz w:val="20"/>
                <w:szCs w:val="20"/>
              </w:rPr>
              <w:t xml:space="preserve">, subject </w:t>
            </w:r>
            <w:r w:rsidR="00A40EDC" w:rsidRPr="00E027CA">
              <w:rPr>
                <w:sz w:val="20"/>
                <w:szCs w:val="20"/>
              </w:rPr>
              <w:t>to conditions to be added to the declaration</w:t>
            </w:r>
            <w:r w:rsidRPr="00E027CA">
              <w:rPr>
                <w:rFonts w:cs="Arial"/>
                <w:noProof/>
                <w:sz w:val="20"/>
                <w:szCs w:val="20"/>
              </w:rPr>
              <w:t xml:space="preserve"> </w:t>
            </w:r>
            <w:r w:rsidRPr="00E027CA">
              <w:rPr>
                <w:rFonts w:cs="Arial"/>
                <w:iCs/>
                <w:sz w:val="20"/>
                <w:szCs w:val="20"/>
              </w:rPr>
              <w:t>as:</w:t>
            </w:r>
          </w:p>
          <w:p w14:paraId="42E51502" w14:textId="173C74E4" w:rsidR="00966159" w:rsidRDefault="00DE3001" w:rsidP="00762740">
            <w:pPr>
              <w:pStyle w:val="ListBullet"/>
              <w:spacing w:beforeLines="60" w:before="144" w:afterLines="60" w:after="144" w:line="23" w:lineRule="atLeast"/>
              <w:rPr>
                <w:szCs w:val="20"/>
              </w:rPr>
            </w:pPr>
            <w:r w:rsidRPr="00DE3001">
              <w:rPr>
                <w:szCs w:val="20"/>
              </w:rPr>
              <w:t xml:space="preserve">the fishery has been assessed as meeting the Non-Detriment Finding requirements for </w:t>
            </w:r>
            <w:r w:rsidR="00A72095">
              <w:rPr>
                <w:szCs w:val="20"/>
              </w:rPr>
              <w:t>W</w:t>
            </w:r>
            <w:r w:rsidR="00A71A6E">
              <w:rPr>
                <w:szCs w:val="20"/>
              </w:rPr>
              <w:t xml:space="preserve">hite </w:t>
            </w:r>
            <w:proofErr w:type="spellStart"/>
            <w:r w:rsidR="00A72095">
              <w:rPr>
                <w:szCs w:val="20"/>
              </w:rPr>
              <w:t>T</w:t>
            </w:r>
            <w:r w:rsidR="00A71A6E">
              <w:rPr>
                <w:szCs w:val="20"/>
              </w:rPr>
              <w:t>eatfish</w:t>
            </w:r>
            <w:proofErr w:type="spellEnd"/>
            <w:r w:rsidR="00A71A6E">
              <w:rPr>
                <w:szCs w:val="20"/>
              </w:rPr>
              <w:t>, a species</w:t>
            </w:r>
            <w:r w:rsidR="00A71A6E" w:rsidRPr="00DE3001">
              <w:rPr>
                <w:szCs w:val="20"/>
              </w:rPr>
              <w:t xml:space="preserve"> </w:t>
            </w:r>
            <w:r w:rsidRPr="00DE3001">
              <w:rPr>
                <w:szCs w:val="20"/>
              </w:rPr>
              <w:t>listed under the Convention on International Trade in Endangered Species of Wild Fauna and Flora (CITES)</w:t>
            </w:r>
            <w:r w:rsidR="00A71A6E">
              <w:rPr>
                <w:szCs w:val="20"/>
              </w:rPr>
              <w:t>,</w:t>
            </w:r>
            <w:r w:rsidRPr="00DE3001">
              <w:rPr>
                <w:szCs w:val="20"/>
              </w:rPr>
              <w:t xml:space="preserve"> </w:t>
            </w:r>
            <w:r w:rsidRPr="009306EC">
              <w:rPr>
                <w:szCs w:val="20"/>
              </w:rPr>
              <w:t xml:space="preserve">for the </w:t>
            </w:r>
            <w:r w:rsidR="009C554B" w:rsidRPr="009306EC">
              <w:rPr>
                <w:szCs w:val="20"/>
              </w:rPr>
              <w:t>three-year</w:t>
            </w:r>
            <w:r w:rsidRPr="00DE3001">
              <w:rPr>
                <w:szCs w:val="20"/>
              </w:rPr>
              <w:t xml:space="preserve"> term of accreditation, subject to conditions</w:t>
            </w:r>
          </w:p>
          <w:p w14:paraId="46992ADA" w14:textId="11F0A317" w:rsidR="001C70CA" w:rsidRPr="001F4207" w:rsidRDefault="001C70CA" w:rsidP="00762740">
            <w:pPr>
              <w:pStyle w:val="ListBullet"/>
              <w:spacing w:beforeLines="60" w:before="144" w:afterLines="60" w:after="144" w:line="23" w:lineRule="atLeast"/>
              <w:rPr>
                <w:szCs w:val="20"/>
              </w:rPr>
            </w:pPr>
            <w:r w:rsidRPr="001F4207">
              <w:rPr>
                <w:szCs w:val="20"/>
              </w:rPr>
              <w:t xml:space="preserve">there are management arrangements in place to ensure that the resource is managed in an ecologically sustainable way </w:t>
            </w:r>
          </w:p>
          <w:p w14:paraId="7D0DBA98" w14:textId="7B3A2D51" w:rsidR="001C70CA" w:rsidRPr="001F4207" w:rsidRDefault="001C70CA" w:rsidP="00762740">
            <w:pPr>
              <w:pStyle w:val="ListBullet"/>
              <w:spacing w:beforeLines="60" w:before="144" w:afterLines="60" w:after="144" w:line="23" w:lineRule="atLeast"/>
              <w:rPr>
                <w:szCs w:val="20"/>
              </w:rPr>
            </w:pPr>
            <w:r w:rsidRPr="001F4207">
              <w:rPr>
                <w:szCs w:val="20"/>
              </w:rPr>
              <w:t xml:space="preserve">the operation of the </w:t>
            </w:r>
            <w:r w:rsidR="009C554B">
              <w:rPr>
                <w:szCs w:val="20"/>
              </w:rPr>
              <w:t xml:space="preserve">fishery </w:t>
            </w:r>
            <w:r w:rsidRPr="001F4207">
              <w:rPr>
                <w:szCs w:val="20"/>
              </w:rPr>
              <w:t xml:space="preserve">is unlikely to be unsustainable and threaten biodiversity within the </w:t>
            </w:r>
            <w:r w:rsidRPr="009306EC">
              <w:rPr>
                <w:szCs w:val="20"/>
              </w:rPr>
              <w:t xml:space="preserve">next </w:t>
            </w:r>
            <w:r w:rsidR="0024022D" w:rsidRPr="009306EC">
              <w:rPr>
                <w:szCs w:val="20"/>
              </w:rPr>
              <w:t>three</w:t>
            </w:r>
            <w:r w:rsidRPr="009306EC">
              <w:rPr>
                <w:szCs w:val="20"/>
              </w:rPr>
              <w:t xml:space="preserve"> years,</w:t>
            </w:r>
            <w:r w:rsidRPr="001F4207">
              <w:rPr>
                <w:szCs w:val="20"/>
              </w:rPr>
              <w:t xml:space="preserve"> and </w:t>
            </w:r>
          </w:p>
          <w:p w14:paraId="4BC06E52" w14:textId="0C751A0C" w:rsidR="005D441E" w:rsidRPr="005D441E" w:rsidRDefault="001C70CA" w:rsidP="00762740">
            <w:pPr>
              <w:pStyle w:val="ListBullet"/>
              <w:spacing w:beforeLines="60" w:before="144" w:afterLines="60" w:after="144" w:line="23" w:lineRule="atLeast"/>
              <w:rPr>
                <w:szCs w:val="20"/>
              </w:rPr>
            </w:pPr>
            <w:r w:rsidRPr="001F4207">
              <w:rPr>
                <w:szCs w:val="20"/>
              </w:rPr>
              <w:t>the Environment Protection and Biodiversity Conservation Regulations 2000 do not specify fish as a class of animal in relation to the welfare of live specimens.</w:t>
            </w:r>
          </w:p>
          <w:p w14:paraId="0FEDAD98" w14:textId="2056F5B6" w:rsidR="001C70CA" w:rsidRPr="001F4207" w:rsidRDefault="001C70CA" w:rsidP="00762740">
            <w:pPr>
              <w:pStyle w:val="ListNumber2"/>
              <w:spacing w:beforeLines="60" w:before="144" w:afterLines="60" w:after="144" w:line="23" w:lineRule="atLeast"/>
            </w:pPr>
          </w:p>
        </w:tc>
      </w:tr>
      <w:tr w:rsidR="00D40B13" w:rsidRPr="001F4207" w14:paraId="4624BC86"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22E737C0" w14:textId="4706CC4F" w:rsidR="00D40B13" w:rsidRPr="001F4207" w:rsidRDefault="00D40B13" w:rsidP="00FC2EBF">
            <w:pPr>
              <w:spacing w:before="60" w:after="60" w:line="276" w:lineRule="auto"/>
              <w:ind w:left="426" w:hanging="426"/>
              <w:contextualSpacing/>
              <w:jc w:val="center"/>
              <w:rPr>
                <w:rFonts w:cs="Arial"/>
                <w:b/>
                <w:sz w:val="20"/>
                <w:szCs w:val="20"/>
              </w:rPr>
            </w:pPr>
            <w:r w:rsidRPr="001F4207">
              <w:rPr>
                <w:rFonts w:cs="Arial"/>
                <w:b/>
                <w:sz w:val="20"/>
                <w:szCs w:val="20"/>
              </w:rPr>
              <w:t>Section 303 CG Minister may issue permits (CITES species)</w:t>
            </w:r>
          </w:p>
        </w:tc>
        <w:tc>
          <w:tcPr>
            <w:tcW w:w="2500" w:type="pct"/>
            <w:shd w:val="clear" w:color="auto" w:fill="D9D9D9" w:themeFill="background1" w:themeFillShade="D9"/>
            <w:vAlign w:val="center"/>
          </w:tcPr>
          <w:p w14:paraId="1B527A26" w14:textId="1573575D" w:rsidR="00D40B13" w:rsidRPr="001F4207" w:rsidRDefault="00D40B13" w:rsidP="00762740">
            <w:pPr>
              <w:spacing w:beforeLines="60" w:before="144" w:afterLines="60" w:after="144" w:line="23" w:lineRule="atLeast"/>
              <w:contextualSpacing/>
              <w:jc w:val="center"/>
              <w:rPr>
                <w:rFonts w:cs="Arial"/>
                <w:b/>
                <w:sz w:val="20"/>
                <w:szCs w:val="20"/>
              </w:rPr>
            </w:pPr>
            <w:r w:rsidRPr="001F4207">
              <w:rPr>
                <w:rFonts w:cs="Arial"/>
                <w:b/>
                <w:sz w:val="20"/>
                <w:szCs w:val="20"/>
              </w:rPr>
              <w:t>Comment</w:t>
            </w:r>
          </w:p>
        </w:tc>
      </w:tr>
      <w:tr w:rsidR="00D40B13" w:rsidRPr="001F4207" w14:paraId="6658FC4B"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4E2FBCB" w14:textId="3C165E9D" w:rsidR="00D40B13" w:rsidRPr="001F4207" w:rsidRDefault="00D40B13" w:rsidP="00FC2EBF">
            <w:pPr>
              <w:pStyle w:val="ListNumber"/>
            </w:pPr>
            <w:r w:rsidRPr="001F4207">
              <w:t>(3)</w:t>
            </w:r>
            <w:r w:rsidR="00A961C6" w:rsidRPr="001F4207">
              <w:tab/>
            </w:r>
            <w:r w:rsidRPr="001F4207">
              <w:t>The Minister must not issue a permit unless the Minister is satisfied that:</w:t>
            </w:r>
          </w:p>
          <w:p w14:paraId="415815ED" w14:textId="3C4D10A3" w:rsidR="00D40B13" w:rsidRPr="001F4207" w:rsidRDefault="00A961C6" w:rsidP="00FC2EBF">
            <w:pPr>
              <w:pStyle w:val="ListNumber2"/>
            </w:pPr>
            <w:r w:rsidRPr="001F4207">
              <w:lastRenderedPageBreak/>
              <w:t>(a)</w:t>
            </w:r>
            <w:r w:rsidR="00D40B13" w:rsidRPr="001F4207">
              <w:tab/>
              <w:t>the action or actions specified in the permit will not be detrimental to, or contribute to trade which is detrimental to:</w:t>
            </w:r>
          </w:p>
          <w:p w14:paraId="706F1B7A" w14:textId="4E5EC525" w:rsidR="00111796" w:rsidRPr="001F4207" w:rsidRDefault="00111796" w:rsidP="00FC2EBF">
            <w:pPr>
              <w:pStyle w:val="ListNumber3"/>
              <w:spacing w:line="276" w:lineRule="auto"/>
            </w:pPr>
            <w:r w:rsidRPr="001F4207">
              <w:t>(</w:t>
            </w:r>
            <w:proofErr w:type="spellStart"/>
            <w:r w:rsidRPr="001F4207">
              <w:t>i</w:t>
            </w:r>
            <w:proofErr w:type="spellEnd"/>
            <w:r w:rsidRPr="001F4207">
              <w:t>)</w:t>
            </w:r>
            <w:r w:rsidRPr="001F4207">
              <w:tab/>
              <w:t>the survival of any taxon to which the specimen belongs; or</w:t>
            </w:r>
          </w:p>
          <w:p w14:paraId="5A0FB4C6" w14:textId="129D3190" w:rsidR="00807BB8" w:rsidRPr="001F4207" w:rsidRDefault="00807BB8" w:rsidP="00FC2EBF">
            <w:pPr>
              <w:pStyle w:val="ListNumber3"/>
              <w:spacing w:line="276" w:lineRule="auto"/>
            </w:pPr>
          </w:p>
        </w:tc>
        <w:tc>
          <w:tcPr>
            <w:tcW w:w="2500" w:type="pct"/>
          </w:tcPr>
          <w:p w14:paraId="6DD225A0" w14:textId="0B0BEE8A" w:rsidR="00213158" w:rsidRDefault="00676D7D" w:rsidP="00762740">
            <w:pPr>
              <w:spacing w:beforeLines="60" w:before="144" w:afterLines="60" w:after="144" w:line="23" w:lineRule="atLeast"/>
              <w:contextualSpacing/>
              <w:rPr>
                <w:rFonts w:cs="Arial"/>
                <w:sz w:val="20"/>
                <w:szCs w:val="20"/>
              </w:rPr>
            </w:pPr>
            <w:r w:rsidRPr="00676D7D">
              <w:rPr>
                <w:rFonts w:cs="Arial"/>
                <w:sz w:val="20"/>
                <w:szCs w:val="20"/>
              </w:rPr>
              <w:lastRenderedPageBreak/>
              <w:t xml:space="preserve">This fishery targets </w:t>
            </w:r>
            <w:r w:rsidR="003B048C">
              <w:rPr>
                <w:rFonts w:cs="Arial"/>
                <w:sz w:val="20"/>
                <w:szCs w:val="20"/>
              </w:rPr>
              <w:t xml:space="preserve">a range of sea cucumber species including White </w:t>
            </w:r>
            <w:proofErr w:type="spellStart"/>
            <w:r w:rsidR="003B048C">
              <w:rPr>
                <w:rFonts w:cs="Arial"/>
                <w:sz w:val="20"/>
                <w:szCs w:val="20"/>
              </w:rPr>
              <w:t>Teatfish</w:t>
            </w:r>
            <w:proofErr w:type="spellEnd"/>
            <w:r w:rsidR="003B048C">
              <w:rPr>
                <w:rFonts w:cs="Arial"/>
                <w:sz w:val="20"/>
                <w:szCs w:val="20"/>
              </w:rPr>
              <w:t xml:space="preserve"> </w:t>
            </w:r>
            <w:r w:rsidR="003B048C" w:rsidRPr="009306EC">
              <w:rPr>
                <w:rFonts w:cs="Arial"/>
                <w:sz w:val="20"/>
                <w:szCs w:val="20"/>
              </w:rPr>
              <w:t xml:space="preserve">and Black </w:t>
            </w:r>
            <w:proofErr w:type="spellStart"/>
            <w:r w:rsidR="003B048C" w:rsidRPr="009306EC">
              <w:rPr>
                <w:rFonts w:cs="Arial"/>
                <w:sz w:val="20"/>
                <w:szCs w:val="20"/>
              </w:rPr>
              <w:t>Teatfish</w:t>
            </w:r>
            <w:proofErr w:type="spellEnd"/>
            <w:r w:rsidR="003B048C">
              <w:rPr>
                <w:rFonts w:cs="Arial"/>
                <w:sz w:val="20"/>
                <w:szCs w:val="20"/>
              </w:rPr>
              <w:t xml:space="preserve"> which are </w:t>
            </w:r>
            <w:r w:rsidR="004D146D">
              <w:rPr>
                <w:rFonts w:cs="Arial"/>
                <w:sz w:val="20"/>
                <w:szCs w:val="20"/>
              </w:rPr>
              <w:t xml:space="preserve">listed under CITES. </w:t>
            </w:r>
            <w:r w:rsidR="00213158" w:rsidRPr="00676D7D">
              <w:rPr>
                <w:rFonts w:cs="Arial"/>
                <w:sz w:val="20"/>
                <w:szCs w:val="20"/>
              </w:rPr>
              <w:t>Concerns</w:t>
            </w:r>
            <w:r w:rsidR="00213158">
              <w:rPr>
                <w:rFonts w:cs="Arial"/>
                <w:sz w:val="20"/>
                <w:szCs w:val="20"/>
              </w:rPr>
              <w:t xml:space="preserve"> </w:t>
            </w:r>
            <w:r w:rsidR="00213158" w:rsidRPr="00676D7D">
              <w:rPr>
                <w:rFonts w:cs="Arial"/>
                <w:sz w:val="20"/>
                <w:szCs w:val="20"/>
              </w:rPr>
              <w:t xml:space="preserve">regarding the </w:t>
            </w:r>
            <w:r w:rsidR="008416B1">
              <w:rPr>
                <w:rFonts w:cs="Arial"/>
                <w:sz w:val="20"/>
                <w:szCs w:val="20"/>
              </w:rPr>
              <w:t xml:space="preserve">lack of </w:t>
            </w:r>
            <w:r w:rsidR="008416B1">
              <w:rPr>
                <w:rFonts w:cs="Arial"/>
                <w:sz w:val="20"/>
                <w:szCs w:val="20"/>
              </w:rPr>
              <w:lastRenderedPageBreak/>
              <w:t xml:space="preserve">evidence to determine the </w:t>
            </w:r>
            <w:r w:rsidR="00213158" w:rsidRPr="00676D7D">
              <w:rPr>
                <w:rFonts w:cs="Arial"/>
                <w:sz w:val="20"/>
                <w:szCs w:val="20"/>
              </w:rPr>
              <w:t>potential detrimental impact of this fishery on CITES listed species</w:t>
            </w:r>
            <w:r w:rsidR="00213158">
              <w:rPr>
                <w:rFonts w:cs="Arial"/>
                <w:sz w:val="20"/>
                <w:szCs w:val="20"/>
              </w:rPr>
              <w:t xml:space="preserve"> </w:t>
            </w:r>
            <w:r w:rsidR="00213158" w:rsidRPr="00676D7D">
              <w:rPr>
                <w:rFonts w:cs="Arial"/>
                <w:sz w:val="20"/>
                <w:szCs w:val="20"/>
              </w:rPr>
              <w:t xml:space="preserve">have </w:t>
            </w:r>
            <w:r w:rsidR="00213158">
              <w:rPr>
                <w:rFonts w:cs="Arial"/>
                <w:sz w:val="20"/>
                <w:szCs w:val="20"/>
              </w:rPr>
              <w:t>p</w:t>
            </w:r>
            <w:r w:rsidR="00213158" w:rsidRPr="00676D7D">
              <w:rPr>
                <w:rFonts w:cs="Arial"/>
                <w:sz w:val="20"/>
                <w:szCs w:val="20"/>
              </w:rPr>
              <w:t>rompted conditions on this fishery.</w:t>
            </w:r>
            <w:r w:rsidR="007A1DD3">
              <w:rPr>
                <w:rFonts w:cs="Arial"/>
                <w:sz w:val="20"/>
                <w:szCs w:val="20"/>
              </w:rPr>
              <w:t xml:space="preserve"> </w:t>
            </w:r>
            <w:r w:rsidR="00213158" w:rsidRPr="00676D7D">
              <w:rPr>
                <w:rFonts w:cs="Arial"/>
                <w:sz w:val="20"/>
                <w:szCs w:val="20"/>
              </w:rPr>
              <w:t>Only in the context of</w:t>
            </w:r>
            <w:r w:rsidR="007A1DD3">
              <w:rPr>
                <w:rFonts w:cs="Arial"/>
                <w:sz w:val="20"/>
                <w:szCs w:val="20"/>
              </w:rPr>
              <w:t xml:space="preserve"> </w:t>
            </w:r>
            <w:r w:rsidR="00213158" w:rsidRPr="009306EC">
              <w:rPr>
                <w:rFonts w:cs="Arial"/>
                <w:sz w:val="20"/>
                <w:szCs w:val="20"/>
              </w:rPr>
              <w:t xml:space="preserve">the </w:t>
            </w:r>
            <w:proofErr w:type="gramStart"/>
            <w:r w:rsidR="0024022D" w:rsidRPr="009306EC">
              <w:rPr>
                <w:rFonts w:cs="Arial"/>
                <w:sz w:val="20"/>
                <w:szCs w:val="20"/>
              </w:rPr>
              <w:t>three</w:t>
            </w:r>
            <w:r w:rsidR="00213158" w:rsidRPr="009306EC">
              <w:rPr>
                <w:rFonts w:cs="Arial"/>
                <w:sz w:val="20"/>
                <w:szCs w:val="20"/>
              </w:rPr>
              <w:t xml:space="preserve"> year</w:t>
            </w:r>
            <w:proofErr w:type="gramEnd"/>
            <w:r w:rsidR="00213158" w:rsidRPr="009306EC">
              <w:rPr>
                <w:rFonts w:cs="Arial"/>
                <w:sz w:val="20"/>
                <w:szCs w:val="20"/>
              </w:rPr>
              <w:t xml:space="preserve"> export</w:t>
            </w:r>
            <w:r w:rsidR="00213158" w:rsidRPr="00676D7D">
              <w:rPr>
                <w:rFonts w:cs="Arial"/>
                <w:sz w:val="20"/>
                <w:szCs w:val="20"/>
              </w:rPr>
              <w:t xml:space="preserve"> accreditation and with the implementation of these</w:t>
            </w:r>
            <w:r w:rsidR="00962D80">
              <w:rPr>
                <w:rFonts w:cs="Arial"/>
                <w:sz w:val="20"/>
                <w:szCs w:val="20"/>
              </w:rPr>
              <w:t xml:space="preserve"> </w:t>
            </w:r>
            <w:r w:rsidR="00213158" w:rsidRPr="00676D7D">
              <w:rPr>
                <w:rFonts w:cs="Arial"/>
                <w:sz w:val="20"/>
                <w:szCs w:val="20"/>
              </w:rPr>
              <w:t xml:space="preserve">conditions does the </w:t>
            </w:r>
            <w:r w:rsidR="00962D80">
              <w:rPr>
                <w:rFonts w:cs="Arial"/>
                <w:sz w:val="20"/>
                <w:szCs w:val="20"/>
              </w:rPr>
              <w:t>d</w:t>
            </w:r>
            <w:r w:rsidR="00213158" w:rsidRPr="00676D7D">
              <w:rPr>
                <w:rFonts w:cs="Arial"/>
                <w:sz w:val="20"/>
                <w:szCs w:val="20"/>
              </w:rPr>
              <w:t xml:space="preserve">epartment consider the risk to </w:t>
            </w:r>
            <w:r w:rsidR="00962D80">
              <w:rPr>
                <w:rFonts w:cs="Arial"/>
                <w:sz w:val="20"/>
                <w:szCs w:val="20"/>
              </w:rPr>
              <w:t xml:space="preserve">the </w:t>
            </w:r>
            <w:r w:rsidR="00213158" w:rsidRPr="00676D7D">
              <w:rPr>
                <w:rFonts w:cs="Arial"/>
                <w:sz w:val="20"/>
                <w:szCs w:val="20"/>
              </w:rPr>
              <w:t xml:space="preserve">CITES listed </w:t>
            </w:r>
            <w:r w:rsidR="00962D80">
              <w:rPr>
                <w:rFonts w:cs="Arial"/>
                <w:sz w:val="20"/>
                <w:szCs w:val="20"/>
              </w:rPr>
              <w:t xml:space="preserve">White </w:t>
            </w:r>
            <w:proofErr w:type="spellStart"/>
            <w:r w:rsidR="00962D80">
              <w:rPr>
                <w:rFonts w:cs="Arial"/>
                <w:sz w:val="20"/>
                <w:szCs w:val="20"/>
              </w:rPr>
              <w:t>Teatfish</w:t>
            </w:r>
            <w:proofErr w:type="spellEnd"/>
            <w:r w:rsidR="00C60CD5">
              <w:rPr>
                <w:rFonts w:cs="Arial"/>
                <w:sz w:val="20"/>
                <w:szCs w:val="20"/>
              </w:rPr>
              <w:t xml:space="preserve"> </w:t>
            </w:r>
            <w:r w:rsidR="00213158" w:rsidRPr="00676D7D">
              <w:rPr>
                <w:rFonts w:cs="Arial"/>
                <w:sz w:val="20"/>
                <w:szCs w:val="20"/>
              </w:rPr>
              <w:t xml:space="preserve">sufficiently low to consider the fishery </w:t>
            </w:r>
            <w:r w:rsidR="00FA1AAE">
              <w:rPr>
                <w:rFonts w:cs="Arial"/>
                <w:sz w:val="20"/>
                <w:szCs w:val="20"/>
              </w:rPr>
              <w:t>non-</w:t>
            </w:r>
            <w:r w:rsidR="00213158" w:rsidRPr="00676D7D">
              <w:rPr>
                <w:rFonts w:cs="Arial"/>
                <w:sz w:val="20"/>
                <w:szCs w:val="20"/>
              </w:rPr>
              <w:t>detrimental to the survival of</w:t>
            </w:r>
            <w:r w:rsidR="00962D80">
              <w:rPr>
                <w:rFonts w:cs="Arial"/>
                <w:sz w:val="20"/>
                <w:szCs w:val="20"/>
              </w:rPr>
              <w:t xml:space="preserve"> </w:t>
            </w:r>
            <w:r w:rsidR="00213158" w:rsidRPr="00676D7D">
              <w:rPr>
                <w:rFonts w:cs="Arial"/>
                <w:sz w:val="20"/>
                <w:szCs w:val="20"/>
              </w:rPr>
              <w:t>the species.</w:t>
            </w:r>
            <w:r w:rsidR="00C60CD5">
              <w:t xml:space="preserve"> </w:t>
            </w:r>
            <w:r w:rsidR="00C60CD5" w:rsidRPr="00C60CD5">
              <w:rPr>
                <w:rFonts w:cs="Arial"/>
                <w:sz w:val="20"/>
                <w:szCs w:val="20"/>
              </w:rPr>
              <w:t xml:space="preserve">The department </w:t>
            </w:r>
            <w:r w:rsidR="003C5826">
              <w:rPr>
                <w:rFonts w:cs="Arial"/>
                <w:sz w:val="20"/>
                <w:szCs w:val="20"/>
              </w:rPr>
              <w:t xml:space="preserve">cannot currently </w:t>
            </w:r>
            <w:r w:rsidR="00C60CD5" w:rsidRPr="00C60CD5">
              <w:rPr>
                <w:rFonts w:cs="Arial"/>
                <w:sz w:val="20"/>
                <w:szCs w:val="20"/>
              </w:rPr>
              <w:t xml:space="preserve">support a </w:t>
            </w:r>
            <w:r w:rsidR="003C5826">
              <w:rPr>
                <w:rFonts w:cs="Arial"/>
                <w:sz w:val="20"/>
                <w:szCs w:val="20"/>
              </w:rPr>
              <w:t>N</w:t>
            </w:r>
            <w:r w:rsidR="00C60CD5" w:rsidRPr="00C60CD5">
              <w:rPr>
                <w:rFonts w:cs="Arial"/>
                <w:sz w:val="20"/>
                <w:szCs w:val="20"/>
              </w:rPr>
              <w:t>on-</w:t>
            </w:r>
            <w:r w:rsidR="003C5826">
              <w:rPr>
                <w:rFonts w:cs="Arial"/>
                <w:sz w:val="20"/>
                <w:szCs w:val="20"/>
              </w:rPr>
              <w:t>D</w:t>
            </w:r>
            <w:r w:rsidR="00C60CD5" w:rsidRPr="00C60CD5">
              <w:rPr>
                <w:rFonts w:cs="Arial"/>
                <w:sz w:val="20"/>
                <w:szCs w:val="20"/>
              </w:rPr>
              <w:t xml:space="preserve">etriment </w:t>
            </w:r>
            <w:r w:rsidR="003C5826">
              <w:rPr>
                <w:rFonts w:cs="Arial"/>
                <w:sz w:val="20"/>
                <w:szCs w:val="20"/>
              </w:rPr>
              <w:t>F</w:t>
            </w:r>
            <w:r w:rsidR="0037687E">
              <w:rPr>
                <w:rFonts w:cs="Arial"/>
                <w:sz w:val="20"/>
                <w:szCs w:val="20"/>
              </w:rPr>
              <w:t xml:space="preserve">inding for the harvest of </w:t>
            </w:r>
            <w:r w:rsidR="00C60CD5">
              <w:rPr>
                <w:rFonts w:cs="Arial"/>
                <w:sz w:val="20"/>
                <w:szCs w:val="20"/>
              </w:rPr>
              <w:t xml:space="preserve">Black </w:t>
            </w:r>
            <w:proofErr w:type="spellStart"/>
            <w:r w:rsidR="00C60CD5">
              <w:rPr>
                <w:rFonts w:cs="Arial"/>
                <w:sz w:val="20"/>
                <w:szCs w:val="20"/>
              </w:rPr>
              <w:t>Teatfish</w:t>
            </w:r>
            <w:proofErr w:type="spellEnd"/>
            <w:r w:rsidR="00C60CD5" w:rsidRPr="00C60CD5">
              <w:rPr>
                <w:rFonts w:cs="Arial"/>
                <w:sz w:val="20"/>
                <w:szCs w:val="20"/>
              </w:rPr>
              <w:t xml:space="preserve"> from the </w:t>
            </w:r>
            <w:r w:rsidR="009C554B">
              <w:rPr>
                <w:rFonts w:cs="Arial"/>
                <w:sz w:val="20"/>
                <w:szCs w:val="20"/>
              </w:rPr>
              <w:t>fishery</w:t>
            </w:r>
            <w:r w:rsidR="00C60CD5">
              <w:rPr>
                <w:rFonts w:cs="Arial"/>
                <w:sz w:val="20"/>
                <w:szCs w:val="20"/>
              </w:rPr>
              <w:t>.</w:t>
            </w:r>
          </w:p>
          <w:p w14:paraId="10164A11" w14:textId="77777777" w:rsidR="00C60CD5" w:rsidRPr="00676D7D" w:rsidRDefault="00C60CD5" w:rsidP="00762740">
            <w:pPr>
              <w:spacing w:beforeLines="60" w:before="144" w:afterLines="60" w:after="144" w:line="23" w:lineRule="atLeast"/>
              <w:contextualSpacing/>
              <w:rPr>
                <w:rFonts w:cs="Arial"/>
                <w:sz w:val="20"/>
                <w:szCs w:val="20"/>
              </w:rPr>
            </w:pPr>
          </w:p>
          <w:p w14:paraId="749D4419" w14:textId="6A048074" w:rsidR="0011280F" w:rsidRPr="001F4207" w:rsidRDefault="00213158" w:rsidP="00762740">
            <w:pPr>
              <w:spacing w:beforeLines="60" w:before="144" w:afterLines="60" w:after="144" w:line="23" w:lineRule="atLeast"/>
              <w:contextualSpacing/>
              <w:rPr>
                <w:rFonts w:cs="Arial"/>
                <w:sz w:val="20"/>
                <w:szCs w:val="20"/>
              </w:rPr>
            </w:pPr>
            <w:r w:rsidRPr="00676D7D">
              <w:rPr>
                <w:rFonts w:cs="Arial"/>
                <w:sz w:val="20"/>
                <w:szCs w:val="20"/>
              </w:rPr>
              <w:t>Regular updates on progress toward the conditions and catch is vital to</w:t>
            </w:r>
            <w:r w:rsidR="00962D80">
              <w:rPr>
                <w:rFonts w:cs="Arial"/>
                <w:sz w:val="20"/>
                <w:szCs w:val="20"/>
              </w:rPr>
              <w:t xml:space="preserve"> </w:t>
            </w:r>
            <w:r w:rsidRPr="00676D7D">
              <w:rPr>
                <w:rFonts w:cs="Arial"/>
                <w:sz w:val="20"/>
                <w:szCs w:val="20"/>
              </w:rPr>
              <w:t>monitor the status of CITES listed specimens harvested by the fishery</w:t>
            </w:r>
            <w:r w:rsidR="003C5826">
              <w:rPr>
                <w:rFonts w:cs="Arial"/>
                <w:sz w:val="20"/>
                <w:szCs w:val="20"/>
              </w:rPr>
              <w:t>.</w:t>
            </w:r>
          </w:p>
          <w:p w14:paraId="2796FC47" w14:textId="2832B227" w:rsidR="00056E19" w:rsidRPr="001F4207" w:rsidRDefault="00056E19" w:rsidP="00762740">
            <w:pPr>
              <w:spacing w:beforeLines="60" w:before="144" w:afterLines="60" w:after="144" w:line="23" w:lineRule="atLeast"/>
              <w:contextualSpacing/>
              <w:rPr>
                <w:rFonts w:cs="Arial"/>
                <w:b/>
                <w:sz w:val="20"/>
                <w:szCs w:val="20"/>
              </w:rPr>
            </w:pPr>
          </w:p>
        </w:tc>
      </w:tr>
      <w:tr w:rsidR="00D40B13" w:rsidRPr="001F4207" w14:paraId="10EE98F1"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245B49A2" w14:textId="76F82710" w:rsidR="00111796" w:rsidRPr="001F4207" w:rsidRDefault="00111796" w:rsidP="00FC2EBF">
            <w:pPr>
              <w:pStyle w:val="ListNumber3"/>
              <w:spacing w:line="276" w:lineRule="auto"/>
            </w:pPr>
            <w:r w:rsidRPr="001F4207">
              <w:lastRenderedPageBreak/>
              <w:t>(ii)</w:t>
            </w:r>
            <w:r w:rsidRPr="001F4207">
              <w:tab/>
              <w:t>the recovery in nature of any taxon to which the specimen belongs; or</w:t>
            </w:r>
          </w:p>
          <w:p w14:paraId="47C6F1FD" w14:textId="36D27C91" w:rsidR="00807BB8" w:rsidRPr="001F4207" w:rsidRDefault="00807BB8" w:rsidP="00FC2EBF">
            <w:pPr>
              <w:pStyle w:val="ListNumber3"/>
              <w:spacing w:line="276" w:lineRule="auto"/>
            </w:pPr>
          </w:p>
        </w:tc>
        <w:tc>
          <w:tcPr>
            <w:tcW w:w="2500" w:type="pct"/>
          </w:tcPr>
          <w:p w14:paraId="7DF5C521" w14:textId="71ECD75B" w:rsidR="0024022D" w:rsidRDefault="0024022D" w:rsidP="00762740">
            <w:pPr>
              <w:spacing w:beforeLines="60" w:before="144" w:afterLines="60" w:after="144" w:line="23" w:lineRule="atLeast"/>
              <w:contextualSpacing/>
              <w:rPr>
                <w:rFonts w:cs="Arial"/>
                <w:sz w:val="20"/>
                <w:szCs w:val="20"/>
              </w:rPr>
            </w:pPr>
            <w:r>
              <w:rPr>
                <w:rFonts w:cs="Arial"/>
                <w:sz w:val="20"/>
                <w:szCs w:val="20"/>
              </w:rPr>
              <w:t xml:space="preserve">The </w:t>
            </w:r>
            <w:r w:rsidR="00C60CD5">
              <w:rPr>
                <w:rFonts w:cs="Arial"/>
                <w:sz w:val="20"/>
                <w:szCs w:val="20"/>
              </w:rPr>
              <w:t xml:space="preserve">recent </w:t>
            </w:r>
            <w:r>
              <w:rPr>
                <w:rFonts w:cs="Arial"/>
                <w:sz w:val="20"/>
                <w:szCs w:val="20"/>
              </w:rPr>
              <w:t xml:space="preserve">stock assessment of White </w:t>
            </w:r>
            <w:proofErr w:type="spellStart"/>
            <w:r>
              <w:rPr>
                <w:rFonts w:cs="Arial"/>
                <w:sz w:val="20"/>
                <w:szCs w:val="20"/>
              </w:rPr>
              <w:t>Teatfish</w:t>
            </w:r>
            <w:proofErr w:type="spellEnd"/>
            <w:r>
              <w:rPr>
                <w:rFonts w:cs="Arial"/>
                <w:sz w:val="20"/>
                <w:szCs w:val="20"/>
              </w:rPr>
              <w:t xml:space="preserve"> </w:t>
            </w:r>
            <w:r w:rsidR="00C60CD5">
              <w:rPr>
                <w:rFonts w:cs="Arial"/>
                <w:sz w:val="20"/>
                <w:szCs w:val="20"/>
              </w:rPr>
              <w:t>indicat</w:t>
            </w:r>
            <w:r w:rsidR="003C5826">
              <w:rPr>
                <w:rFonts w:cs="Arial"/>
                <w:sz w:val="20"/>
                <w:szCs w:val="20"/>
              </w:rPr>
              <w:t>es</w:t>
            </w:r>
            <w:r w:rsidR="00C60CD5">
              <w:rPr>
                <w:rFonts w:cs="Arial"/>
                <w:sz w:val="20"/>
                <w:szCs w:val="20"/>
              </w:rPr>
              <w:t xml:space="preserve"> the stock is at 76% of unfished biomass. There are concerns about the assessment being based on harvest data and not biomass surveys and the stock assessment methodology not fully accounting for important assumptions in this data. </w:t>
            </w:r>
          </w:p>
          <w:p w14:paraId="1C95A3D4" w14:textId="33BAB723" w:rsidR="00C60CD5" w:rsidRDefault="00C60CD5" w:rsidP="00762740">
            <w:pPr>
              <w:spacing w:beforeLines="60" w:before="144" w:afterLines="60" w:after="144" w:line="23" w:lineRule="atLeast"/>
              <w:contextualSpacing/>
              <w:rPr>
                <w:rFonts w:cs="Arial"/>
                <w:sz w:val="20"/>
                <w:szCs w:val="20"/>
              </w:rPr>
            </w:pPr>
          </w:p>
          <w:p w14:paraId="1D107942" w14:textId="33D05152" w:rsidR="00C60CD5" w:rsidRDefault="00C60CD5" w:rsidP="00762740">
            <w:pPr>
              <w:spacing w:beforeLines="60" w:before="144" w:afterLines="60" w:after="144" w:line="23" w:lineRule="atLeast"/>
              <w:contextualSpacing/>
              <w:rPr>
                <w:rFonts w:cs="Arial"/>
                <w:sz w:val="20"/>
                <w:szCs w:val="20"/>
              </w:rPr>
            </w:pPr>
            <w:r w:rsidRPr="00C60CD5">
              <w:rPr>
                <w:rFonts w:cs="Arial"/>
                <w:sz w:val="20"/>
                <w:szCs w:val="20"/>
              </w:rPr>
              <w:t>The department</w:t>
            </w:r>
            <w:r w:rsidR="003C5826">
              <w:rPr>
                <w:rFonts w:cs="Arial"/>
                <w:sz w:val="20"/>
                <w:szCs w:val="20"/>
              </w:rPr>
              <w:t xml:space="preserve"> cannot currently support a Non-Det</w:t>
            </w:r>
            <w:r w:rsidR="003D2CB1">
              <w:rPr>
                <w:rFonts w:cs="Arial"/>
                <w:sz w:val="20"/>
                <w:szCs w:val="20"/>
              </w:rPr>
              <w:t xml:space="preserve">riment Finding for the </w:t>
            </w:r>
            <w:r w:rsidR="008D1979">
              <w:rPr>
                <w:rFonts w:cs="Arial"/>
                <w:sz w:val="20"/>
                <w:szCs w:val="20"/>
              </w:rPr>
              <w:t xml:space="preserve">harvest of </w:t>
            </w:r>
            <w:r>
              <w:rPr>
                <w:rFonts w:cs="Arial"/>
                <w:sz w:val="20"/>
                <w:szCs w:val="20"/>
              </w:rPr>
              <w:t xml:space="preserve">Black </w:t>
            </w:r>
            <w:proofErr w:type="spellStart"/>
            <w:r>
              <w:rPr>
                <w:rFonts w:cs="Arial"/>
                <w:sz w:val="20"/>
                <w:szCs w:val="20"/>
              </w:rPr>
              <w:t>Teatfish</w:t>
            </w:r>
            <w:proofErr w:type="spellEnd"/>
            <w:r w:rsidRPr="00C60CD5">
              <w:rPr>
                <w:rFonts w:cs="Arial"/>
                <w:sz w:val="20"/>
                <w:szCs w:val="20"/>
              </w:rPr>
              <w:t xml:space="preserve"> from the </w:t>
            </w:r>
            <w:r w:rsidR="009C554B">
              <w:rPr>
                <w:rFonts w:cs="Arial"/>
                <w:sz w:val="20"/>
                <w:szCs w:val="20"/>
              </w:rPr>
              <w:t>fishery</w:t>
            </w:r>
            <w:r>
              <w:rPr>
                <w:rFonts w:cs="Arial"/>
                <w:sz w:val="20"/>
                <w:szCs w:val="20"/>
              </w:rPr>
              <w:t xml:space="preserve">. QDAF </w:t>
            </w:r>
            <w:r w:rsidRPr="009306EC">
              <w:rPr>
                <w:rFonts w:cs="Arial"/>
                <w:sz w:val="20"/>
                <w:szCs w:val="20"/>
              </w:rPr>
              <w:t>has acknowledged that</w:t>
            </w:r>
            <w:r w:rsidRPr="00C60CD5">
              <w:rPr>
                <w:rFonts w:cs="Arial"/>
                <w:sz w:val="20"/>
                <w:szCs w:val="20"/>
              </w:rPr>
              <w:t xml:space="preserve"> the department</w:t>
            </w:r>
            <w:r w:rsidR="007E203F">
              <w:rPr>
                <w:rFonts w:cs="Arial"/>
                <w:sz w:val="20"/>
                <w:szCs w:val="20"/>
              </w:rPr>
              <w:t xml:space="preserve"> will need to </w:t>
            </w:r>
            <w:r w:rsidR="008D1979">
              <w:rPr>
                <w:rFonts w:cs="Arial"/>
                <w:sz w:val="20"/>
                <w:szCs w:val="20"/>
              </w:rPr>
              <w:t xml:space="preserve">further </w:t>
            </w:r>
            <w:r w:rsidRPr="00C60CD5">
              <w:rPr>
                <w:rFonts w:cs="Arial"/>
                <w:sz w:val="20"/>
                <w:szCs w:val="20"/>
              </w:rPr>
              <w:t>consider</w:t>
            </w:r>
            <w:r w:rsidR="007E203F">
              <w:rPr>
                <w:rFonts w:cs="Arial"/>
                <w:sz w:val="20"/>
                <w:szCs w:val="20"/>
              </w:rPr>
              <w:t xml:space="preserve"> the export of</w:t>
            </w:r>
            <w:r w:rsidRPr="00C60CD5">
              <w:rPr>
                <w:rFonts w:cs="Arial"/>
                <w:sz w:val="20"/>
                <w:szCs w:val="20"/>
              </w:rPr>
              <w:t xml:space="preserve"> </w:t>
            </w:r>
            <w:r>
              <w:rPr>
                <w:rFonts w:cs="Arial"/>
                <w:sz w:val="20"/>
                <w:szCs w:val="20"/>
              </w:rPr>
              <w:t>Black</w:t>
            </w:r>
            <w:r w:rsidRPr="00C60CD5">
              <w:rPr>
                <w:rFonts w:cs="Arial"/>
                <w:sz w:val="20"/>
                <w:szCs w:val="20"/>
              </w:rPr>
              <w:t xml:space="preserve"> </w:t>
            </w:r>
            <w:proofErr w:type="spellStart"/>
            <w:r w:rsidRPr="00C60CD5">
              <w:rPr>
                <w:rFonts w:cs="Arial"/>
                <w:sz w:val="20"/>
                <w:szCs w:val="20"/>
              </w:rPr>
              <w:t>Teatfish</w:t>
            </w:r>
            <w:proofErr w:type="spellEnd"/>
            <w:r w:rsidR="007E203F">
              <w:rPr>
                <w:rFonts w:cs="Arial"/>
                <w:sz w:val="20"/>
                <w:szCs w:val="20"/>
              </w:rPr>
              <w:t xml:space="preserve"> </w:t>
            </w:r>
            <w:proofErr w:type="gramStart"/>
            <w:r w:rsidRPr="00C60CD5">
              <w:rPr>
                <w:rFonts w:cs="Arial"/>
                <w:sz w:val="20"/>
                <w:szCs w:val="20"/>
              </w:rPr>
              <w:t xml:space="preserve">during </w:t>
            </w:r>
            <w:r>
              <w:rPr>
                <w:rFonts w:cs="Arial"/>
                <w:sz w:val="20"/>
                <w:szCs w:val="20"/>
              </w:rPr>
              <w:t>the course of</w:t>
            </w:r>
            <w:proofErr w:type="gramEnd"/>
            <w:r>
              <w:rPr>
                <w:rFonts w:cs="Arial"/>
                <w:sz w:val="20"/>
                <w:szCs w:val="20"/>
              </w:rPr>
              <w:t xml:space="preserve"> the WTO</w:t>
            </w:r>
            <w:r w:rsidRPr="00C60CD5">
              <w:rPr>
                <w:rFonts w:cs="Arial"/>
                <w:sz w:val="20"/>
                <w:szCs w:val="20"/>
              </w:rPr>
              <w:t>.</w:t>
            </w:r>
          </w:p>
          <w:p w14:paraId="363E5924" w14:textId="185BBFE9" w:rsidR="00056E19" w:rsidRPr="001F4207" w:rsidRDefault="00056E19" w:rsidP="00762740">
            <w:pPr>
              <w:spacing w:beforeLines="60" w:before="144" w:afterLines="60" w:after="144" w:line="23" w:lineRule="atLeast"/>
              <w:contextualSpacing/>
              <w:rPr>
                <w:rFonts w:cs="Arial"/>
                <w:b/>
                <w:sz w:val="20"/>
                <w:szCs w:val="20"/>
              </w:rPr>
            </w:pPr>
          </w:p>
        </w:tc>
      </w:tr>
      <w:tr w:rsidR="00D40B13" w:rsidRPr="001F4207" w14:paraId="7AC271A7"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6C3860AC" w14:textId="77777777" w:rsidR="00111796" w:rsidRPr="001F4207" w:rsidRDefault="00111796" w:rsidP="00FC2EBF">
            <w:pPr>
              <w:pStyle w:val="ListNumber3"/>
              <w:spacing w:line="276" w:lineRule="auto"/>
            </w:pPr>
            <w:r w:rsidRPr="001F4207">
              <w:t>(iii)</w:t>
            </w:r>
            <w:r w:rsidRPr="001F4207">
              <w:tab/>
              <w:t>any relevant ecosystem (for example, detriment to habitat or biodiversity); and</w:t>
            </w:r>
          </w:p>
          <w:p w14:paraId="1D292992" w14:textId="7C2DCE45" w:rsidR="00807BB8" w:rsidRPr="001F4207" w:rsidRDefault="00807BB8" w:rsidP="00FC2EBF">
            <w:pPr>
              <w:pStyle w:val="ListNumber3"/>
              <w:spacing w:line="276" w:lineRule="auto"/>
            </w:pPr>
          </w:p>
        </w:tc>
        <w:tc>
          <w:tcPr>
            <w:tcW w:w="2500" w:type="pct"/>
          </w:tcPr>
          <w:p w14:paraId="6C6C1B40" w14:textId="77777777" w:rsidR="00716A5D" w:rsidRPr="00716A5D" w:rsidRDefault="00716A5D" w:rsidP="00762740">
            <w:pPr>
              <w:spacing w:beforeLines="60" w:before="144" w:afterLines="60" w:after="144" w:line="23" w:lineRule="atLeast"/>
              <w:contextualSpacing/>
              <w:rPr>
                <w:rFonts w:cs="Arial"/>
                <w:sz w:val="20"/>
                <w:szCs w:val="20"/>
              </w:rPr>
            </w:pPr>
            <w:r w:rsidRPr="00716A5D">
              <w:rPr>
                <w:rFonts w:cs="Arial"/>
                <w:sz w:val="20"/>
                <w:szCs w:val="20"/>
              </w:rPr>
              <w:t>Recognising the nature of harvest and gear used in the fishery (hand collection),</w:t>
            </w:r>
          </w:p>
          <w:p w14:paraId="0077A1E1" w14:textId="26E831C6" w:rsidR="00056E19" w:rsidRDefault="00716A5D" w:rsidP="00762740">
            <w:pPr>
              <w:spacing w:beforeLines="60" w:before="144" w:afterLines="60" w:after="144" w:line="23" w:lineRule="atLeast"/>
              <w:contextualSpacing/>
              <w:rPr>
                <w:rFonts w:cs="Arial"/>
                <w:sz w:val="20"/>
                <w:szCs w:val="20"/>
              </w:rPr>
            </w:pPr>
            <w:r w:rsidRPr="00716A5D">
              <w:rPr>
                <w:rFonts w:cs="Arial"/>
                <w:sz w:val="20"/>
                <w:szCs w:val="20"/>
              </w:rPr>
              <w:t xml:space="preserve">the potential for the fishery to impact unacceptably and unsustainably on </w:t>
            </w:r>
            <w:r w:rsidR="00D0576D">
              <w:rPr>
                <w:rFonts w:cs="Arial"/>
                <w:sz w:val="20"/>
                <w:szCs w:val="20"/>
              </w:rPr>
              <w:t xml:space="preserve">the marine </w:t>
            </w:r>
            <w:r w:rsidRPr="00716A5D">
              <w:rPr>
                <w:rFonts w:cs="Arial"/>
                <w:sz w:val="20"/>
                <w:szCs w:val="20"/>
              </w:rPr>
              <w:t>ecosystem is considered relatively low</w:t>
            </w:r>
            <w:r w:rsidR="00E611CA">
              <w:rPr>
                <w:rFonts w:cs="Arial"/>
                <w:sz w:val="20"/>
                <w:szCs w:val="20"/>
              </w:rPr>
              <w:t xml:space="preserve"> and likely to be limited to the direct removal of sea cucumbers</w:t>
            </w:r>
            <w:r w:rsidRPr="00716A5D">
              <w:rPr>
                <w:rFonts w:cs="Arial"/>
                <w:sz w:val="20"/>
                <w:szCs w:val="20"/>
              </w:rPr>
              <w:t>.</w:t>
            </w:r>
            <w:r w:rsidR="00D0576D">
              <w:rPr>
                <w:rFonts w:cs="Arial"/>
                <w:sz w:val="20"/>
                <w:szCs w:val="20"/>
              </w:rPr>
              <w:t xml:space="preserve"> Sea cucumbers play an important role in bioturbation and nutrient cycling which may be compromised </w:t>
            </w:r>
            <w:r w:rsidR="00A40CC5">
              <w:rPr>
                <w:rFonts w:cs="Arial"/>
                <w:sz w:val="20"/>
                <w:szCs w:val="20"/>
              </w:rPr>
              <w:t xml:space="preserve">if </w:t>
            </w:r>
            <w:r w:rsidR="00D0576D">
              <w:rPr>
                <w:rFonts w:cs="Arial"/>
                <w:sz w:val="20"/>
                <w:szCs w:val="20"/>
              </w:rPr>
              <w:t>stocks becom</w:t>
            </w:r>
            <w:r w:rsidR="00A40CC5">
              <w:rPr>
                <w:rFonts w:cs="Arial"/>
                <w:sz w:val="20"/>
                <w:szCs w:val="20"/>
              </w:rPr>
              <w:t>e</w:t>
            </w:r>
            <w:r w:rsidR="00D0576D">
              <w:rPr>
                <w:rFonts w:cs="Arial"/>
                <w:sz w:val="20"/>
                <w:szCs w:val="20"/>
              </w:rPr>
              <w:t xml:space="preserve"> overfished or locally depleted. The department is satisfied that the management measures already in place, </w:t>
            </w:r>
            <w:r w:rsidR="008B1724">
              <w:rPr>
                <w:rFonts w:cs="Arial"/>
                <w:sz w:val="20"/>
                <w:szCs w:val="20"/>
              </w:rPr>
              <w:t>along with those</w:t>
            </w:r>
            <w:r w:rsidR="00D0576D">
              <w:rPr>
                <w:rFonts w:cs="Arial"/>
                <w:sz w:val="20"/>
                <w:szCs w:val="20"/>
              </w:rPr>
              <w:t xml:space="preserve"> proposed in conditions</w:t>
            </w:r>
            <w:r w:rsidR="008B1724">
              <w:rPr>
                <w:rFonts w:cs="Arial"/>
                <w:sz w:val="20"/>
                <w:szCs w:val="20"/>
              </w:rPr>
              <w:t>,</w:t>
            </w:r>
            <w:r w:rsidR="00D0576D">
              <w:rPr>
                <w:rFonts w:cs="Arial"/>
                <w:sz w:val="20"/>
                <w:szCs w:val="20"/>
              </w:rPr>
              <w:t xml:space="preserve"> are likely to minimise impact of the fishing operation on the ecosystem. </w:t>
            </w:r>
          </w:p>
          <w:p w14:paraId="4F2C8A4C" w14:textId="7FEE9FDB" w:rsidR="00D0576D" w:rsidRPr="001F4207" w:rsidRDefault="00D0576D" w:rsidP="00762740">
            <w:pPr>
              <w:spacing w:beforeLines="60" w:before="144" w:afterLines="60" w:after="144" w:line="23" w:lineRule="atLeast"/>
              <w:contextualSpacing/>
              <w:rPr>
                <w:rFonts w:cs="Arial"/>
                <w:b/>
                <w:sz w:val="20"/>
                <w:szCs w:val="20"/>
              </w:rPr>
            </w:pPr>
          </w:p>
        </w:tc>
      </w:tr>
      <w:tr w:rsidR="00400844" w:rsidRPr="001F4207" w14:paraId="5EC1D884"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B284D35" w14:textId="198A92B6"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Section 303DC Minister may amend list (</w:t>
            </w:r>
            <w:proofErr w:type="gramStart"/>
            <w:r w:rsidRPr="001F4207">
              <w:rPr>
                <w:rFonts w:cs="Arial"/>
                <w:b/>
                <w:sz w:val="20"/>
                <w:szCs w:val="20"/>
              </w:rPr>
              <w:t>non CITES</w:t>
            </w:r>
            <w:proofErr w:type="gramEnd"/>
            <w:r w:rsidRPr="001F4207">
              <w:rPr>
                <w:rFonts w:cs="Arial"/>
                <w:b/>
                <w:sz w:val="20"/>
                <w:szCs w:val="20"/>
              </w:rPr>
              <w:t xml:space="preserve"> species)</w:t>
            </w:r>
          </w:p>
        </w:tc>
        <w:tc>
          <w:tcPr>
            <w:tcW w:w="2500" w:type="pct"/>
            <w:shd w:val="clear" w:color="auto" w:fill="D9D9D9" w:themeFill="background1" w:themeFillShade="D9"/>
            <w:vAlign w:val="center"/>
          </w:tcPr>
          <w:p w14:paraId="0426C78B" w14:textId="352AD0C9" w:rsidR="00400844" w:rsidRPr="001F4207" w:rsidRDefault="00400844" w:rsidP="00762740">
            <w:pPr>
              <w:spacing w:beforeLines="60" w:before="144" w:afterLines="60" w:after="144" w:line="23" w:lineRule="atLeast"/>
              <w:contextualSpacing/>
              <w:jc w:val="center"/>
              <w:rPr>
                <w:rFonts w:cs="Arial"/>
                <w:b/>
                <w:sz w:val="20"/>
                <w:szCs w:val="20"/>
              </w:rPr>
            </w:pPr>
            <w:r w:rsidRPr="001F4207">
              <w:rPr>
                <w:rFonts w:cs="Arial"/>
                <w:b/>
                <w:sz w:val="20"/>
                <w:szCs w:val="20"/>
              </w:rPr>
              <w:t>Comment</w:t>
            </w:r>
          </w:p>
        </w:tc>
      </w:tr>
      <w:tr w:rsidR="00D40B13" w:rsidRPr="001F4207" w14:paraId="2F4AE07E"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58C20E3" w14:textId="0F5EE9C0" w:rsidR="00D40B13" w:rsidRPr="001F4207" w:rsidRDefault="00D40B13" w:rsidP="00FC2EBF">
            <w:pPr>
              <w:pStyle w:val="ListNumber"/>
            </w:pPr>
            <w:r w:rsidRPr="001F4207">
              <w:t>(1)</w:t>
            </w:r>
            <w:r w:rsidR="00A961C6" w:rsidRPr="001F4207">
              <w:tab/>
            </w:r>
            <w:r w:rsidRPr="001F4207">
              <w:tab/>
              <w:t>The Minister may, by legislative instrument, amend the list referred to in section 303DB [list of exempt native specimens] by:</w:t>
            </w:r>
          </w:p>
          <w:p w14:paraId="5BD6692C" w14:textId="77777777" w:rsidR="00D40B13" w:rsidRPr="001F4207" w:rsidRDefault="00D40B13" w:rsidP="00FC2EBF">
            <w:pPr>
              <w:pStyle w:val="ListNumber2"/>
            </w:pPr>
            <w:r w:rsidRPr="001F4207">
              <w:t>(a)</w:t>
            </w:r>
            <w:r w:rsidRPr="001F4207">
              <w:tab/>
              <w:t>doing any of the following:</w:t>
            </w:r>
          </w:p>
          <w:p w14:paraId="37F3AF82" w14:textId="77777777" w:rsidR="00807BB8" w:rsidRPr="001F4207" w:rsidRDefault="00807BB8" w:rsidP="00FC2EBF">
            <w:pPr>
              <w:pStyle w:val="ListNumber3"/>
              <w:spacing w:line="276" w:lineRule="auto"/>
            </w:pPr>
            <w:r w:rsidRPr="001F4207">
              <w:t>(</w:t>
            </w:r>
            <w:proofErr w:type="spellStart"/>
            <w:r w:rsidRPr="001F4207">
              <w:t>i</w:t>
            </w:r>
            <w:proofErr w:type="spellEnd"/>
            <w:r w:rsidRPr="001F4207">
              <w:t>)</w:t>
            </w:r>
            <w:r w:rsidRPr="001F4207">
              <w:tab/>
              <w:t xml:space="preserve">including items in the </w:t>
            </w:r>
            <w:proofErr w:type="gramStart"/>
            <w:r w:rsidRPr="001F4207">
              <w:t>list;</w:t>
            </w:r>
            <w:proofErr w:type="gramEnd"/>
          </w:p>
          <w:p w14:paraId="076142CE" w14:textId="77777777" w:rsidR="00807BB8" w:rsidRPr="001F4207" w:rsidRDefault="00807BB8" w:rsidP="00FC2EBF">
            <w:pPr>
              <w:pStyle w:val="ListNumber3"/>
              <w:spacing w:line="276" w:lineRule="auto"/>
            </w:pPr>
            <w:r w:rsidRPr="001F4207">
              <w:t>(ii)</w:t>
            </w:r>
            <w:r w:rsidRPr="001F4207">
              <w:tab/>
              <w:t xml:space="preserve">deleting items from the </w:t>
            </w:r>
            <w:proofErr w:type="gramStart"/>
            <w:r w:rsidRPr="001F4207">
              <w:t>list;</w:t>
            </w:r>
            <w:proofErr w:type="gramEnd"/>
          </w:p>
          <w:p w14:paraId="718D1923" w14:textId="77777777" w:rsidR="00807BB8" w:rsidRPr="001F4207" w:rsidRDefault="00807BB8" w:rsidP="00FC2EBF">
            <w:pPr>
              <w:pStyle w:val="ListNumber3"/>
              <w:spacing w:line="276" w:lineRule="auto"/>
            </w:pPr>
            <w:r w:rsidRPr="001F4207">
              <w:t>(iii)</w:t>
            </w:r>
            <w:r w:rsidRPr="001F4207">
              <w:tab/>
              <w:t xml:space="preserve">imposing a condition or restriction to which the inclusion of a specimen in the list is </w:t>
            </w:r>
            <w:proofErr w:type="gramStart"/>
            <w:r w:rsidRPr="001F4207">
              <w:t>subject;</w:t>
            </w:r>
            <w:proofErr w:type="gramEnd"/>
          </w:p>
          <w:p w14:paraId="0B90D3C4" w14:textId="77777777" w:rsidR="00807BB8" w:rsidRPr="001F4207" w:rsidRDefault="00807BB8" w:rsidP="00FC2EBF">
            <w:pPr>
              <w:pStyle w:val="ListNumber3"/>
              <w:spacing w:line="276" w:lineRule="auto"/>
            </w:pPr>
            <w:r w:rsidRPr="001F4207">
              <w:lastRenderedPageBreak/>
              <w:t>(iv)</w:t>
            </w:r>
            <w:r w:rsidRPr="001F4207">
              <w:tab/>
              <w:t>varying or revoking a condition or restriction to which the inclusion of a specimen in the list is subject; or</w:t>
            </w:r>
          </w:p>
          <w:p w14:paraId="3928EB02" w14:textId="04728374" w:rsidR="00807BB8" w:rsidRPr="001F4207" w:rsidRDefault="00807BB8" w:rsidP="00FC2EBF">
            <w:pPr>
              <w:pStyle w:val="ListNumber2"/>
            </w:pPr>
            <w:r w:rsidRPr="001F4207">
              <w:t>(b)</w:t>
            </w:r>
            <w:r w:rsidRPr="001F4207">
              <w:tab/>
              <w:t>correcting an inaccuracy or updating the name of a species.</w:t>
            </w:r>
          </w:p>
          <w:p w14:paraId="4E0E7799" w14:textId="32BBB077" w:rsidR="00807BB8" w:rsidRPr="001F4207" w:rsidRDefault="00807BB8" w:rsidP="00FC2EBF">
            <w:pPr>
              <w:pStyle w:val="ListNumber2"/>
            </w:pPr>
          </w:p>
        </w:tc>
        <w:tc>
          <w:tcPr>
            <w:tcW w:w="2500" w:type="pct"/>
            <w:shd w:val="clear" w:color="auto" w:fill="auto"/>
          </w:tcPr>
          <w:p w14:paraId="4CA73F8F" w14:textId="3B1FD93F" w:rsidR="0072429E" w:rsidRDefault="005A04E2" w:rsidP="00762740">
            <w:pPr>
              <w:spacing w:beforeLines="60" w:before="144" w:afterLines="60" w:after="144" w:line="23" w:lineRule="atLeast"/>
              <w:rPr>
                <w:sz w:val="20"/>
                <w:szCs w:val="20"/>
              </w:rPr>
            </w:pPr>
            <w:r w:rsidRPr="00BD01C1">
              <w:rPr>
                <w:sz w:val="20"/>
                <w:szCs w:val="20"/>
              </w:rPr>
              <w:lastRenderedPageBreak/>
              <w:t xml:space="preserve">The </w:t>
            </w:r>
            <w:r>
              <w:rPr>
                <w:sz w:val="20"/>
                <w:szCs w:val="20"/>
              </w:rPr>
              <w:t>d</w:t>
            </w:r>
            <w:r w:rsidRPr="00BD01C1">
              <w:rPr>
                <w:sz w:val="20"/>
                <w:szCs w:val="20"/>
              </w:rPr>
              <w:t>epartment recommends that specimens that are or are derived from fish or invertebrates harvested in the</w:t>
            </w:r>
            <w:r w:rsidR="009C554B">
              <w:rPr>
                <w:sz w:val="20"/>
                <w:szCs w:val="20"/>
              </w:rPr>
              <w:t xml:space="preserve"> fishery</w:t>
            </w:r>
            <w:r w:rsidRPr="00BD01C1">
              <w:rPr>
                <w:sz w:val="20"/>
                <w:szCs w:val="20"/>
              </w:rPr>
              <w:t xml:space="preserve"> </w:t>
            </w:r>
            <w:r w:rsidR="0072429E" w:rsidRPr="0072429E">
              <w:rPr>
                <w:sz w:val="20"/>
                <w:szCs w:val="20"/>
              </w:rPr>
              <w:t xml:space="preserve">as defined in the management regime in force under the </w:t>
            </w:r>
            <w:r w:rsidR="0072429E" w:rsidRPr="0072429E">
              <w:rPr>
                <w:i/>
                <w:iCs/>
                <w:sz w:val="20"/>
                <w:szCs w:val="20"/>
              </w:rPr>
              <w:t>Fisheries Act 1994</w:t>
            </w:r>
            <w:r w:rsidR="0072429E" w:rsidRPr="0072429E">
              <w:rPr>
                <w:sz w:val="20"/>
                <w:szCs w:val="20"/>
              </w:rPr>
              <w:t xml:space="preserve"> (Qld), Fisheries (General) Regulation 2019 (Qld), Fisheries (Commercial Fisheries) Regulation 2019 (Qld), Fisheries Declaration 2019 (Queensland), Fisheries Quota Declaration 2019 (Qld), </w:t>
            </w:r>
            <w:r w:rsidR="0072429E" w:rsidRPr="0072429E">
              <w:rPr>
                <w:i/>
                <w:iCs/>
                <w:sz w:val="20"/>
                <w:szCs w:val="20"/>
              </w:rPr>
              <w:t>Marine Parks Act 2004</w:t>
            </w:r>
            <w:r w:rsidR="0072429E" w:rsidRPr="0072429E">
              <w:rPr>
                <w:sz w:val="20"/>
                <w:szCs w:val="20"/>
              </w:rPr>
              <w:t xml:space="preserve"> (Qld), Marine Parks Regulations 2019 (Qld), </w:t>
            </w:r>
            <w:r w:rsidR="0072429E" w:rsidRPr="0072429E">
              <w:rPr>
                <w:i/>
                <w:iCs/>
                <w:sz w:val="20"/>
                <w:szCs w:val="20"/>
              </w:rPr>
              <w:t>Great Barrier Reef Marine Park Act 1975</w:t>
            </w:r>
            <w:r w:rsidR="0072429E" w:rsidRPr="0072429E">
              <w:rPr>
                <w:sz w:val="20"/>
                <w:szCs w:val="20"/>
              </w:rPr>
              <w:t xml:space="preserve"> (</w:t>
            </w:r>
            <w:proofErr w:type="spellStart"/>
            <w:r w:rsidR="0072429E" w:rsidRPr="0072429E">
              <w:rPr>
                <w:sz w:val="20"/>
                <w:szCs w:val="20"/>
              </w:rPr>
              <w:t>Cth</w:t>
            </w:r>
            <w:proofErr w:type="spellEnd"/>
            <w:r w:rsidR="0072429E" w:rsidRPr="0072429E">
              <w:rPr>
                <w:sz w:val="20"/>
                <w:szCs w:val="20"/>
              </w:rPr>
              <w:t>), and Great Barrier Reef Marine Park Regulations 2019 (</w:t>
            </w:r>
            <w:proofErr w:type="spellStart"/>
            <w:r w:rsidR="0072429E" w:rsidRPr="0072429E">
              <w:rPr>
                <w:sz w:val="20"/>
                <w:szCs w:val="20"/>
              </w:rPr>
              <w:t>Cth</w:t>
            </w:r>
            <w:proofErr w:type="spellEnd"/>
            <w:r w:rsidR="0072429E" w:rsidRPr="0072429E">
              <w:rPr>
                <w:sz w:val="20"/>
                <w:szCs w:val="20"/>
              </w:rPr>
              <w:t>) but not including:</w:t>
            </w:r>
          </w:p>
          <w:p w14:paraId="4939474D" w14:textId="77777777" w:rsidR="005A04E2" w:rsidRDefault="005A04E2" w:rsidP="00762740">
            <w:pPr>
              <w:pStyle w:val="ListParagraph"/>
              <w:numPr>
                <w:ilvl w:val="0"/>
                <w:numId w:val="17"/>
              </w:numPr>
              <w:spacing w:beforeLines="60" w:before="144" w:afterLines="60" w:after="144" w:line="23" w:lineRule="atLeast"/>
              <w:rPr>
                <w:sz w:val="20"/>
                <w:szCs w:val="20"/>
              </w:rPr>
            </w:pPr>
            <w:r w:rsidRPr="00BD01C1">
              <w:rPr>
                <w:sz w:val="20"/>
                <w:szCs w:val="20"/>
              </w:rPr>
              <w:lastRenderedPageBreak/>
              <w:t>specimens that belong to taxa listed under section 209 of the EPBC Act (Australia’s List of Migratory Species), or</w:t>
            </w:r>
          </w:p>
          <w:p w14:paraId="35712BF7" w14:textId="77777777" w:rsidR="005A04E2" w:rsidRDefault="005A04E2" w:rsidP="00762740">
            <w:pPr>
              <w:pStyle w:val="ListParagraph"/>
              <w:numPr>
                <w:ilvl w:val="0"/>
                <w:numId w:val="17"/>
              </w:numPr>
              <w:spacing w:beforeLines="60" w:before="144" w:afterLines="60" w:after="144" w:line="23" w:lineRule="atLeast"/>
              <w:rPr>
                <w:sz w:val="20"/>
                <w:szCs w:val="20"/>
              </w:rPr>
            </w:pPr>
            <w:r w:rsidRPr="00BD01C1">
              <w:rPr>
                <w:sz w:val="20"/>
                <w:szCs w:val="20"/>
              </w:rPr>
              <w:t>specimens that belong to taxa listed under section 248 of the EPBC Act (Australia’s List of Marine Species), or</w:t>
            </w:r>
          </w:p>
          <w:p w14:paraId="51B07826" w14:textId="77777777" w:rsidR="005A04E2" w:rsidRDefault="005A04E2" w:rsidP="00762740">
            <w:pPr>
              <w:pStyle w:val="ListParagraph"/>
              <w:numPr>
                <w:ilvl w:val="0"/>
                <w:numId w:val="17"/>
              </w:numPr>
              <w:spacing w:beforeLines="60" w:before="144" w:afterLines="60" w:after="144" w:line="23" w:lineRule="atLeast"/>
              <w:rPr>
                <w:sz w:val="20"/>
                <w:szCs w:val="20"/>
              </w:rPr>
            </w:pPr>
            <w:r w:rsidRPr="00BD01C1">
              <w:rPr>
                <w:sz w:val="20"/>
                <w:szCs w:val="20"/>
              </w:rPr>
              <w:t>specimens that belong to eligible listed threatened species, as defined under section 303BC of the EPBC Act, or</w:t>
            </w:r>
          </w:p>
          <w:p w14:paraId="79FE2657" w14:textId="5E6BEE5A" w:rsidR="005A04E2" w:rsidRPr="00BD01C1" w:rsidRDefault="005A04E2" w:rsidP="00762740">
            <w:pPr>
              <w:pStyle w:val="ListParagraph"/>
              <w:numPr>
                <w:ilvl w:val="0"/>
                <w:numId w:val="17"/>
              </w:numPr>
              <w:spacing w:beforeLines="60" w:before="144" w:afterLines="60" w:after="144" w:line="23" w:lineRule="atLeast"/>
              <w:rPr>
                <w:sz w:val="20"/>
                <w:szCs w:val="20"/>
              </w:rPr>
            </w:pPr>
            <w:r w:rsidRPr="00BD01C1">
              <w:rPr>
                <w:sz w:val="20"/>
                <w:szCs w:val="20"/>
              </w:rPr>
              <w:t>specimens that belong to taxa listed under section 303CA of the EPBC Act (Australia’s CITES List)</w:t>
            </w:r>
            <w:r w:rsidR="00BB48F7">
              <w:rPr>
                <w:sz w:val="20"/>
                <w:szCs w:val="20"/>
              </w:rPr>
              <w:t>,</w:t>
            </w:r>
          </w:p>
          <w:p w14:paraId="360A408F" w14:textId="21A836FF" w:rsidR="005A04E2" w:rsidRPr="005A04E2" w:rsidRDefault="005A04E2" w:rsidP="00762740">
            <w:pPr>
              <w:spacing w:beforeLines="60" w:before="144" w:afterLines="60" w:after="144" w:line="23" w:lineRule="atLeast"/>
              <w:rPr>
                <w:sz w:val="20"/>
                <w:szCs w:val="20"/>
              </w:rPr>
            </w:pPr>
            <w:r w:rsidRPr="005A04E2">
              <w:rPr>
                <w:sz w:val="20"/>
                <w:szCs w:val="20"/>
              </w:rPr>
              <w:t xml:space="preserve">be included in the list of exempt native specimens </w:t>
            </w:r>
            <w:r w:rsidRPr="009306EC">
              <w:rPr>
                <w:sz w:val="20"/>
                <w:szCs w:val="20"/>
              </w:rPr>
              <w:t xml:space="preserve">until </w:t>
            </w:r>
            <w:r w:rsidR="009306EC" w:rsidRPr="009306EC">
              <w:rPr>
                <w:sz w:val="20"/>
                <w:szCs w:val="20"/>
              </w:rPr>
              <w:t>30 November</w:t>
            </w:r>
            <w:r w:rsidRPr="009306EC">
              <w:rPr>
                <w:sz w:val="20"/>
                <w:szCs w:val="20"/>
              </w:rPr>
              <w:t xml:space="preserve"> 2024</w:t>
            </w:r>
            <w:r w:rsidRPr="005A04E2">
              <w:rPr>
                <w:sz w:val="20"/>
                <w:szCs w:val="20"/>
              </w:rPr>
              <w:t xml:space="preserve">, while the </w:t>
            </w:r>
            <w:r w:rsidR="00AA2874">
              <w:rPr>
                <w:sz w:val="20"/>
                <w:szCs w:val="20"/>
              </w:rPr>
              <w:t>fishery</w:t>
            </w:r>
            <w:r w:rsidRPr="005A04E2">
              <w:rPr>
                <w:sz w:val="20"/>
                <w:szCs w:val="20"/>
              </w:rPr>
              <w:t xml:space="preserve"> is subject to a declaration as an approved </w:t>
            </w:r>
            <w:r w:rsidR="00BB48F7">
              <w:rPr>
                <w:sz w:val="20"/>
                <w:szCs w:val="20"/>
              </w:rPr>
              <w:t>W</w:t>
            </w:r>
            <w:r w:rsidRPr="005A04E2">
              <w:rPr>
                <w:sz w:val="20"/>
                <w:szCs w:val="20"/>
              </w:rPr>
              <w:t xml:space="preserve">ildlife </w:t>
            </w:r>
            <w:r w:rsidR="00BB48F7">
              <w:rPr>
                <w:sz w:val="20"/>
                <w:szCs w:val="20"/>
              </w:rPr>
              <w:t>T</w:t>
            </w:r>
            <w:r w:rsidRPr="005A04E2">
              <w:rPr>
                <w:sz w:val="20"/>
                <w:szCs w:val="20"/>
              </w:rPr>
              <w:t xml:space="preserve">rade </w:t>
            </w:r>
            <w:r w:rsidR="00BB48F7">
              <w:rPr>
                <w:sz w:val="20"/>
                <w:szCs w:val="20"/>
              </w:rPr>
              <w:t>O</w:t>
            </w:r>
            <w:r w:rsidRPr="005A04E2">
              <w:rPr>
                <w:sz w:val="20"/>
                <w:szCs w:val="20"/>
              </w:rPr>
              <w:t>peration.</w:t>
            </w:r>
          </w:p>
          <w:p w14:paraId="093E1F7E" w14:textId="1069D133" w:rsidR="00060995" w:rsidRPr="001F4207" w:rsidRDefault="00060995" w:rsidP="00762740">
            <w:pPr>
              <w:pStyle w:val="Default"/>
              <w:spacing w:beforeLines="60" w:before="144" w:afterLines="60" w:after="144" w:line="23" w:lineRule="atLeast"/>
              <w:contextualSpacing/>
              <w:rPr>
                <w:rFonts w:ascii="Arial" w:hAnsi="Arial" w:cs="Arial"/>
                <w:sz w:val="20"/>
                <w:szCs w:val="20"/>
              </w:rPr>
            </w:pPr>
          </w:p>
        </w:tc>
      </w:tr>
      <w:tr w:rsidR="00D40B13" w:rsidRPr="001F4207" w14:paraId="5A8D2589"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0CDFB265" w14:textId="72DD1CDC" w:rsidR="00807BB8" w:rsidRPr="001F4207" w:rsidRDefault="00D40B13" w:rsidP="00FC2EBF">
            <w:pPr>
              <w:pStyle w:val="ListNumber"/>
            </w:pPr>
            <w:r w:rsidRPr="001F4207">
              <w:lastRenderedPageBreak/>
              <w:t>(1A)</w:t>
            </w:r>
            <w:r w:rsidR="00A961C6" w:rsidRPr="001F4207">
              <w:tab/>
            </w:r>
            <w:r w:rsidRPr="001F4207">
              <w:t xml:space="preserve">In deciding to amend the LENS, the Minister must rely primarily on outcomes </w:t>
            </w:r>
            <w:r w:rsidR="008E3115" w:rsidRPr="001F4207">
              <w:t xml:space="preserve">an assessment under </w:t>
            </w:r>
            <w:r w:rsidRPr="001F4207">
              <w:t>Part 10, Div</w:t>
            </w:r>
            <w:r w:rsidR="008E3115" w:rsidRPr="001F4207">
              <w:t>isions</w:t>
            </w:r>
            <w:r w:rsidRPr="001F4207">
              <w:t xml:space="preserve"> 1 or 2 </w:t>
            </w:r>
          </w:p>
          <w:p w14:paraId="669312B2" w14:textId="7CCB8509" w:rsidR="00227603" w:rsidRPr="001F4207" w:rsidRDefault="00227603" w:rsidP="00FC2EBF">
            <w:pPr>
              <w:pStyle w:val="ListNumber"/>
            </w:pPr>
          </w:p>
        </w:tc>
        <w:tc>
          <w:tcPr>
            <w:tcW w:w="2500" w:type="pct"/>
            <w:shd w:val="clear" w:color="auto" w:fill="auto"/>
          </w:tcPr>
          <w:p w14:paraId="61AEC85A" w14:textId="77777777" w:rsidR="005F0371" w:rsidRPr="00AB30FE" w:rsidRDefault="00FB656E" w:rsidP="00AB30FE">
            <w:pPr>
              <w:spacing w:before="60" w:after="60" w:line="23" w:lineRule="atLeast"/>
              <w:rPr>
                <w:rFonts w:cs="Arial"/>
                <w:b/>
                <w:sz w:val="20"/>
                <w:szCs w:val="20"/>
              </w:rPr>
            </w:pPr>
            <w:r w:rsidRPr="00A55648">
              <w:rPr>
                <w:rFonts w:cs="Arial"/>
                <w:b/>
                <w:sz w:val="20"/>
                <w:szCs w:val="20"/>
              </w:rPr>
              <w:t>Not applicable</w:t>
            </w:r>
            <w:r w:rsidRPr="001F4207">
              <w:rPr>
                <w:rFonts w:cs="Arial"/>
                <w:b/>
                <w:sz w:val="20"/>
                <w:szCs w:val="20"/>
              </w:rPr>
              <w:t xml:space="preserve"> </w:t>
            </w:r>
          </w:p>
          <w:p w14:paraId="633902AF" w14:textId="1D28ED56" w:rsidR="00693D62" w:rsidRPr="00A55648" w:rsidRDefault="00693D62" w:rsidP="00AB30FE">
            <w:pPr>
              <w:spacing w:before="60" w:after="60" w:line="276" w:lineRule="auto"/>
              <w:rPr>
                <w:sz w:val="20"/>
                <w:szCs w:val="20"/>
              </w:rPr>
            </w:pPr>
            <w:r w:rsidRPr="00A55648">
              <w:rPr>
                <w:sz w:val="20"/>
                <w:szCs w:val="20"/>
              </w:rPr>
              <w:t>There has been no request or agreement to assess the fishery under Part 10 Division 1, and the fishery is not managed by the Commonwealth, so Part 10, Division 2 does not apply.</w:t>
            </w:r>
          </w:p>
          <w:p w14:paraId="631FEB27" w14:textId="323DCBD2" w:rsidR="00E57AB7" w:rsidRPr="001F4207" w:rsidRDefault="00E57AB7" w:rsidP="00762740">
            <w:pPr>
              <w:spacing w:beforeLines="60" w:before="144" w:afterLines="60" w:after="144" w:line="23" w:lineRule="atLeast"/>
              <w:contextualSpacing/>
              <w:rPr>
                <w:rFonts w:cs="Arial"/>
                <w:sz w:val="20"/>
                <w:szCs w:val="20"/>
              </w:rPr>
            </w:pPr>
          </w:p>
        </w:tc>
      </w:tr>
      <w:tr w:rsidR="00D40B13" w:rsidRPr="001F4207" w14:paraId="38C0624F"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D0126F3" w14:textId="4DEA95BE" w:rsidR="00807BB8" w:rsidRPr="001F4207" w:rsidRDefault="00D40B13" w:rsidP="00FC2EBF">
            <w:pPr>
              <w:pStyle w:val="ListNumber"/>
            </w:pPr>
            <w:r w:rsidRPr="001F4207">
              <w:t>(1C)</w:t>
            </w:r>
            <w:r w:rsidR="00A961C6" w:rsidRPr="001F4207">
              <w:tab/>
            </w:r>
            <w:r w:rsidRPr="001F4207">
              <w:t>The above does not limit matters that may be considered when deciding to amend LENS.</w:t>
            </w:r>
          </w:p>
          <w:p w14:paraId="73E5E7F6" w14:textId="7040175C" w:rsidR="00227603" w:rsidRPr="001F4207" w:rsidRDefault="00227603" w:rsidP="00FC2EBF">
            <w:pPr>
              <w:pStyle w:val="ListNumber"/>
            </w:pPr>
          </w:p>
        </w:tc>
        <w:tc>
          <w:tcPr>
            <w:tcW w:w="2500" w:type="pct"/>
            <w:shd w:val="clear" w:color="auto" w:fill="auto"/>
          </w:tcPr>
          <w:p w14:paraId="08CAD1B9" w14:textId="77777777" w:rsidR="00A55648" w:rsidRPr="00AB30FE" w:rsidRDefault="00A55648" w:rsidP="00AB30FE">
            <w:pPr>
              <w:spacing w:before="60" w:after="60" w:line="23" w:lineRule="atLeast"/>
              <w:rPr>
                <w:rFonts w:cs="Arial"/>
                <w:b/>
                <w:sz w:val="20"/>
                <w:szCs w:val="20"/>
              </w:rPr>
            </w:pPr>
            <w:r w:rsidRPr="00AB30FE">
              <w:rPr>
                <w:rFonts w:cs="Arial"/>
                <w:b/>
                <w:sz w:val="20"/>
                <w:szCs w:val="20"/>
              </w:rPr>
              <w:t xml:space="preserve">Not applicable </w:t>
            </w:r>
          </w:p>
          <w:p w14:paraId="67DC5662" w14:textId="65B4970C" w:rsidR="00A55648" w:rsidRPr="00410114" w:rsidRDefault="00A55648" w:rsidP="00AB30FE">
            <w:pPr>
              <w:spacing w:before="60" w:after="60" w:line="276" w:lineRule="auto"/>
              <w:rPr>
                <w:sz w:val="20"/>
                <w:szCs w:val="20"/>
              </w:rPr>
            </w:pPr>
            <w:r w:rsidRPr="00E745F6">
              <w:rPr>
                <w:sz w:val="20"/>
                <w:szCs w:val="20"/>
              </w:rPr>
              <w:t xml:space="preserve">Although there is no strategic assessment under Part 10 of the EPBC Act, the Department considers its assessment has </w:t>
            </w:r>
            <w:proofErr w:type="gramStart"/>
            <w:r w:rsidRPr="00E745F6">
              <w:rPr>
                <w:sz w:val="20"/>
                <w:szCs w:val="20"/>
              </w:rPr>
              <w:t>taken into account</w:t>
            </w:r>
            <w:proofErr w:type="gramEnd"/>
            <w:r w:rsidRPr="00E745F6">
              <w:rPr>
                <w:sz w:val="20"/>
                <w:szCs w:val="20"/>
              </w:rPr>
              <w:t xml:space="preserve"> all matters relevant </w:t>
            </w:r>
            <w:r w:rsidR="00015814">
              <w:rPr>
                <w:sz w:val="20"/>
                <w:szCs w:val="20"/>
              </w:rPr>
              <w:t>for</w:t>
            </w:r>
            <w:r w:rsidRPr="00E745F6">
              <w:rPr>
                <w:sz w:val="20"/>
                <w:szCs w:val="20"/>
              </w:rPr>
              <w:t xml:space="preserve"> making an informed decision to amend the list of exempt native specimens to include product taken in this fishery.</w:t>
            </w:r>
          </w:p>
          <w:p w14:paraId="748BF845" w14:textId="1A43C823" w:rsidR="00E57AB7" w:rsidRPr="001F4207" w:rsidRDefault="00E57AB7" w:rsidP="00762740">
            <w:pPr>
              <w:spacing w:beforeLines="60" w:before="144" w:afterLines="60" w:after="144" w:line="23" w:lineRule="atLeast"/>
              <w:contextualSpacing/>
              <w:rPr>
                <w:rFonts w:cs="Arial"/>
                <w:sz w:val="20"/>
                <w:szCs w:val="20"/>
              </w:rPr>
            </w:pPr>
          </w:p>
        </w:tc>
      </w:tr>
      <w:tr w:rsidR="00D40B13" w:rsidRPr="001F4207" w14:paraId="50241D9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47883243" w14:textId="7925DC91" w:rsidR="00D40B13" w:rsidRPr="001F4207" w:rsidRDefault="00D40B13" w:rsidP="00FC2EBF">
            <w:pPr>
              <w:pStyle w:val="ListNumber"/>
            </w:pPr>
            <w:r w:rsidRPr="001F4207">
              <w:t>(3)</w:t>
            </w:r>
            <w:r w:rsidR="00A961C6" w:rsidRPr="001F4207">
              <w:tab/>
            </w:r>
            <w:r w:rsidRPr="001F4207">
              <w:t>Before amending the LENS, the Minister must consult:</w:t>
            </w:r>
          </w:p>
          <w:p w14:paraId="72317F56" w14:textId="7F20C045" w:rsidR="00807BB8" w:rsidRPr="001F4207" w:rsidRDefault="00807BB8" w:rsidP="00FC2EBF">
            <w:pPr>
              <w:pStyle w:val="ListNumber2"/>
            </w:pPr>
            <w:r w:rsidRPr="001F4207">
              <w:t>(a)</w:t>
            </w:r>
            <w:r w:rsidRPr="001F4207">
              <w:tab/>
              <w:t>other Minister or Ministers as appropriate; and</w:t>
            </w:r>
          </w:p>
          <w:p w14:paraId="6FEF0265" w14:textId="7EB32D86" w:rsidR="00807BB8" w:rsidRPr="001F4207" w:rsidRDefault="00807BB8" w:rsidP="00FC2EBF">
            <w:pPr>
              <w:pStyle w:val="ListNumber2"/>
            </w:pPr>
            <w:r w:rsidRPr="001F4207">
              <w:t>(b)</w:t>
            </w:r>
            <w:r w:rsidRPr="001F4207">
              <w:tab/>
              <w:t>other Minister or Ministers of each State and self-governing Territory as appropriate; and</w:t>
            </w:r>
          </w:p>
          <w:p w14:paraId="713AFE99" w14:textId="4F702A5F" w:rsidR="00227603" w:rsidRPr="001F4207" w:rsidRDefault="00807BB8" w:rsidP="005E5F75">
            <w:pPr>
              <w:pStyle w:val="ListNumber2"/>
            </w:pPr>
            <w:r w:rsidRPr="001F4207">
              <w:t>(c)</w:t>
            </w:r>
            <w:r w:rsidRPr="001F4207">
              <w:tab/>
              <w:t>other persons and organisations as appropriate.</w:t>
            </w:r>
          </w:p>
        </w:tc>
        <w:tc>
          <w:tcPr>
            <w:tcW w:w="2500" w:type="pct"/>
            <w:shd w:val="clear" w:color="auto" w:fill="auto"/>
          </w:tcPr>
          <w:p w14:paraId="66DBCCC8" w14:textId="77777777" w:rsidR="001C70CA" w:rsidRPr="005E5F75" w:rsidRDefault="001C70CA" w:rsidP="00AB30FE">
            <w:pPr>
              <w:spacing w:before="60" w:after="60" w:line="23" w:lineRule="atLeast"/>
              <w:rPr>
                <w:rFonts w:cs="Arial"/>
                <w:b/>
                <w:sz w:val="20"/>
                <w:szCs w:val="20"/>
              </w:rPr>
            </w:pPr>
            <w:r w:rsidRPr="005E5F75">
              <w:rPr>
                <w:rFonts w:cs="Arial"/>
                <w:b/>
                <w:sz w:val="20"/>
                <w:szCs w:val="20"/>
              </w:rPr>
              <w:t>Meets</w:t>
            </w:r>
          </w:p>
          <w:p w14:paraId="2328C164" w14:textId="6D2E4E30" w:rsidR="00D40B13" w:rsidRPr="00AB30FE" w:rsidRDefault="006F60BC" w:rsidP="00AB30FE">
            <w:pPr>
              <w:spacing w:before="60" w:after="60" w:line="276" w:lineRule="auto"/>
              <w:rPr>
                <w:sz w:val="20"/>
                <w:szCs w:val="20"/>
              </w:rPr>
            </w:pPr>
            <w:r w:rsidRPr="00AB30FE">
              <w:rPr>
                <w:sz w:val="20"/>
                <w:szCs w:val="20"/>
              </w:rPr>
              <w:t>T</w:t>
            </w:r>
            <w:r w:rsidR="00111796" w:rsidRPr="00AB30FE">
              <w:rPr>
                <w:sz w:val="20"/>
                <w:szCs w:val="20"/>
              </w:rPr>
              <w:t xml:space="preserve">he </w:t>
            </w:r>
            <w:r w:rsidR="00D40B13" w:rsidRPr="00AB30FE">
              <w:rPr>
                <w:sz w:val="20"/>
                <w:szCs w:val="20"/>
              </w:rPr>
              <w:t xml:space="preserve">submission </w:t>
            </w:r>
            <w:r w:rsidR="00111796" w:rsidRPr="00AB30FE">
              <w:rPr>
                <w:sz w:val="20"/>
                <w:szCs w:val="20"/>
              </w:rPr>
              <w:t xml:space="preserve">from </w:t>
            </w:r>
            <w:r w:rsidR="005E5F75" w:rsidRPr="00AB30FE">
              <w:rPr>
                <w:sz w:val="20"/>
                <w:szCs w:val="20"/>
              </w:rPr>
              <w:t>QDAF</w:t>
            </w:r>
            <w:r w:rsidR="008364B9" w:rsidRPr="00AB30FE">
              <w:rPr>
                <w:sz w:val="20"/>
                <w:szCs w:val="20"/>
              </w:rPr>
              <w:t xml:space="preserve"> </w:t>
            </w:r>
            <w:r w:rsidR="001B5AA8" w:rsidRPr="00AB30FE">
              <w:rPr>
                <w:sz w:val="20"/>
                <w:szCs w:val="20"/>
              </w:rPr>
              <w:t>was made</w:t>
            </w:r>
            <w:r w:rsidR="00111796" w:rsidRPr="00AB30FE">
              <w:rPr>
                <w:sz w:val="20"/>
                <w:szCs w:val="20"/>
              </w:rPr>
              <w:t xml:space="preserve"> </w:t>
            </w:r>
            <w:r w:rsidR="00D40B13" w:rsidRPr="00AB30FE">
              <w:rPr>
                <w:sz w:val="20"/>
                <w:szCs w:val="20"/>
              </w:rPr>
              <w:t xml:space="preserve">available on </w:t>
            </w:r>
            <w:r w:rsidR="00F839FE" w:rsidRPr="00AB30FE">
              <w:rPr>
                <w:sz w:val="20"/>
                <w:szCs w:val="20"/>
              </w:rPr>
              <w:t xml:space="preserve">the </w:t>
            </w:r>
            <w:r w:rsidR="005E5F75" w:rsidRPr="00AB30FE">
              <w:rPr>
                <w:sz w:val="20"/>
                <w:szCs w:val="20"/>
              </w:rPr>
              <w:t>d</w:t>
            </w:r>
            <w:r w:rsidR="00F839FE" w:rsidRPr="00AB30FE">
              <w:rPr>
                <w:sz w:val="20"/>
                <w:szCs w:val="20"/>
              </w:rPr>
              <w:t>epartment’s</w:t>
            </w:r>
            <w:r w:rsidR="00D40B13" w:rsidRPr="00AB30FE">
              <w:rPr>
                <w:sz w:val="20"/>
                <w:szCs w:val="20"/>
              </w:rPr>
              <w:t xml:space="preserve"> website from </w:t>
            </w:r>
            <w:r w:rsidR="005E5F75" w:rsidRPr="00AB30FE">
              <w:rPr>
                <w:sz w:val="20"/>
                <w:szCs w:val="20"/>
              </w:rPr>
              <w:t>5 August 2021 until 9 September 2021</w:t>
            </w:r>
            <w:r w:rsidR="00D40B13" w:rsidRPr="00AB30FE">
              <w:rPr>
                <w:sz w:val="20"/>
                <w:szCs w:val="20"/>
              </w:rPr>
              <w:t xml:space="preserve">. </w:t>
            </w:r>
            <w:r w:rsidR="00015814">
              <w:rPr>
                <w:sz w:val="20"/>
                <w:szCs w:val="20"/>
              </w:rPr>
              <w:t>Twelve</w:t>
            </w:r>
            <w:r w:rsidR="00D40B13" w:rsidRPr="00AB30FE">
              <w:rPr>
                <w:sz w:val="20"/>
                <w:szCs w:val="20"/>
              </w:rPr>
              <w:t xml:space="preserve"> comments </w:t>
            </w:r>
            <w:r w:rsidR="00015814">
              <w:rPr>
                <w:sz w:val="20"/>
                <w:szCs w:val="20"/>
              </w:rPr>
              <w:t xml:space="preserve">were </w:t>
            </w:r>
            <w:r w:rsidR="00D40B13" w:rsidRPr="00AB30FE">
              <w:rPr>
                <w:sz w:val="20"/>
                <w:szCs w:val="20"/>
              </w:rPr>
              <w:t>received.</w:t>
            </w:r>
          </w:p>
          <w:p w14:paraId="3FA5A127" w14:textId="58C547AA" w:rsidR="00E57AB7" w:rsidRPr="001F4207" w:rsidRDefault="00E57AB7" w:rsidP="00762740">
            <w:pPr>
              <w:spacing w:beforeLines="60" w:before="144" w:afterLines="60" w:after="144" w:line="23" w:lineRule="atLeast"/>
              <w:contextualSpacing/>
              <w:rPr>
                <w:rFonts w:cs="Arial"/>
                <w:sz w:val="20"/>
                <w:szCs w:val="20"/>
              </w:rPr>
            </w:pPr>
          </w:p>
        </w:tc>
      </w:tr>
      <w:tr w:rsidR="00DF3B87" w:rsidRPr="001F4207" w14:paraId="29D711AC"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5A470539" w14:textId="22216B5A" w:rsidR="00DF3B87" w:rsidRPr="001F4207" w:rsidRDefault="00DF3B87" w:rsidP="00015814">
            <w:pPr>
              <w:keepNext/>
              <w:spacing w:before="60" w:after="60" w:line="276" w:lineRule="auto"/>
              <w:ind w:left="426" w:hanging="426"/>
              <w:contextualSpacing/>
              <w:jc w:val="center"/>
              <w:rPr>
                <w:rFonts w:cs="Arial"/>
                <w:sz w:val="20"/>
                <w:szCs w:val="20"/>
              </w:rPr>
            </w:pPr>
            <w:r w:rsidRPr="001F4207">
              <w:rPr>
                <w:rFonts w:cs="Arial"/>
                <w:b/>
                <w:sz w:val="20"/>
                <w:szCs w:val="20"/>
              </w:rPr>
              <w:lastRenderedPageBreak/>
              <w:t>Section 303FN Approved wildlife trade operation</w:t>
            </w:r>
          </w:p>
        </w:tc>
        <w:tc>
          <w:tcPr>
            <w:tcW w:w="2500" w:type="pct"/>
            <w:shd w:val="clear" w:color="auto" w:fill="D9D9D9" w:themeFill="background1" w:themeFillShade="D9"/>
            <w:vAlign w:val="center"/>
          </w:tcPr>
          <w:p w14:paraId="71A03325" w14:textId="666FCAFD" w:rsidR="00DF3B87" w:rsidRPr="001F4207" w:rsidRDefault="00DF3B87" w:rsidP="00015814">
            <w:pPr>
              <w:keepNext/>
              <w:spacing w:beforeLines="60" w:before="144" w:afterLines="60" w:after="144" w:line="23" w:lineRule="atLeast"/>
              <w:contextualSpacing/>
              <w:jc w:val="center"/>
              <w:rPr>
                <w:rFonts w:cs="Arial"/>
                <w:b/>
                <w:sz w:val="20"/>
                <w:szCs w:val="20"/>
              </w:rPr>
            </w:pPr>
            <w:r w:rsidRPr="001F4207">
              <w:rPr>
                <w:rFonts w:cs="Arial"/>
                <w:b/>
                <w:sz w:val="20"/>
                <w:szCs w:val="20"/>
              </w:rPr>
              <w:t>Comment</w:t>
            </w:r>
          </w:p>
        </w:tc>
      </w:tr>
      <w:tr w:rsidR="00A74920" w:rsidRPr="001F4207" w14:paraId="3FA8DBB8" w14:textId="77777777" w:rsidTr="00FC510B">
        <w:trPr>
          <w:cnfStyle w:val="000000010000" w:firstRow="0" w:lastRow="0" w:firstColumn="0" w:lastColumn="0" w:oddVBand="0" w:evenVBand="0" w:oddHBand="0" w:evenHBand="1" w:firstRowFirstColumn="0" w:firstRowLastColumn="0" w:lastRowFirstColumn="0" w:lastRowLastColumn="0"/>
          <w:trHeight w:val="3304"/>
        </w:trPr>
        <w:tc>
          <w:tcPr>
            <w:tcW w:w="2500" w:type="pct"/>
          </w:tcPr>
          <w:p w14:paraId="7640CCDD" w14:textId="0BD238FA" w:rsidR="00A74920" w:rsidRPr="001F4207" w:rsidRDefault="00A74920" w:rsidP="00FC2EBF">
            <w:pPr>
              <w:pStyle w:val="ListNumber"/>
            </w:pPr>
            <w:r w:rsidRPr="001F4207">
              <w:t>(3)</w:t>
            </w:r>
            <w:r w:rsidRPr="001F4207">
              <w:tab/>
              <w:t xml:space="preserve">The Minister must not declare an operation as an approved wildlife trade operation unless the Minister is </w:t>
            </w:r>
            <w:r w:rsidRPr="001F4207">
              <w:rPr>
                <w:b/>
              </w:rPr>
              <w:t>satisfied</w:t>
            </w:r>
            <w:r w:rsidRPr="001F4207">
              <w:t xml:space="preserve"> that:</w:t>
            </w:r>
          </w:p>
          <w:p w14:paraId="532CF461" w14:textId="77777777" w:rsidR="00A74920" w:rsidRPr="001F4207" w:rsidRDefault="00A74920" w:rsidP="00FC2EBF">
            <w:pPr>
              <w:pStyle w:val="ListNumber2"/>
            </w:pPr>
            <w:r w:rsidRPr="001F4207">
              <w:t>(a)</w:t>
            </w:r>
            <w:r w:rsidRPr="001F4207">
              <w:tab/>
              <w:t>the operation is consistent with the objects of Part 13A of the Act; and</w:t>
            </w:r>
          </w:p>
          <w:p w14:paraId="07F71B09" w14:textId="77777777" w:rsidR="00A74920" w:rsidRPr="001F4207" w:rsidRDefault="00A74920" w:rsidP="00FC2EBF">
            <w:pPr>
              <w:pStyle w:val="ListNumber2"/>
            </w:pPr>
            <w:r w:rsidRPr="001F4207">
              <w:t>(b)</w:t>
            </w:r>
            <w:r w:rsidRPr="001F4207">
              <w:tab/>
              <w:t>the operation will not be detrimental to:</w:t>
            </w:r>
          </w:p>
          <w:p w14:paraId="2DD4D83A" w14:textId="77777777" w:rsidR="00A74920" w:rsidRPr="001F4207" w:rsidRDefault="00A74920" w:rsidP="00FC2EBF">
            <w:pPr>
              <w:pStyle w:val="ListNumber3"/>
              <w:spacing w:line="276" w:lineRule="auto"/>
            </w:pPr>
            <w:r w:rsidRPr="001F4207">
              <w:t>(</w:t>
            </w:r>
            <w:proofErr w:type="spellStart"/>
            <w:r w:rsidRPr="001F4207">
              <w:t>i</w:t>
            </w:r>
            <w:proofErr w:type="spellEnd"/>
            <w:r w:rsidRPr="001F4207">
              <w:t>)</w:t>
            </w:r>
            <w:r w:rsidRPr="001F4207">
              <w:tab/>
              <w:t xml:space="preserve">the survival of a </w:t>
            </w:r>
            <w:proofErr w:type="spellStart"/>
            <w:r w:rsidRPr="001F4207">
              <w:t>taxon</w:t>
            </w:r>
            <w:proofErr w:type="spellEnd"/>
            <w:r w:rsidRPr="001F4207">
              <w:t xml:space="preserve"> to which the operation relates; or</w:t>
            </w:r>
          </w:p>
          <w:p w14:paraId="5977E623" w14:textId="77777777" w:rsidR="00A74920" w:rsidRPr="001F4207" w:rsidRDefault="00A74920" w:rsidP="00FC2EBF">
            <w:pPr>
              <w:pStyle w:val="ListNumber3"/>
              <w:spacing w:line="276" w:lineRule="auto"/>
            </w:pPr>
            <w:r w:rsidRPr="001F4207">
              <w:t>(ii)</w:t>
            </w:r>
            <w:r w:rsidRPr="001F4207">
              <w:tab/>
              <w:t xml:space="preserve">the conservation status of a </w:t>
            </w:r>
            <w:proofErr w:type="spellStart"/>
            <w:r w:rsidRPr="001F4207">
              <w:t>taxon</w:t>
            </w:r>
            <w:proofErr w:type="spellEnd"/>
            <w:r w:rsidRPr="001F4207">
              <w:t xml:space="preserve"> to which the operation relates; and</w:t>
            </w:r>
          </w:p>
          <w:p w14:paraId="67C4A7FA" w14:textId="77777777" w:rsidR="00A74920" w:rsidRPr="001F4207" w:rsidRDefault="00A74920" w:rsidP="00FC2EBF">
            <w:pPr>
              <w:pStyle w:val="ListNumber2"/>
            </w:pPr>
            <w:r w:rsidRPr="001F4207">
              <w:t>(ba)</w:t>
            </w:r>
            <w:r w:rsidRPr="001F4207">
              <w:tab/>
              <w:t>the operation will not be likely to threaten any relevant ecosystem including (but not limited to) any habitat or biodiversity; and</w:t>
            </w:r>
          </w:p>
          <w:p w14:paraId="48696EA2" w14:textId="7E7ACD05" w:rsidR="00A74920" w:rsidRPr="001F4207" w:rsidRDefault="00A74920" w:rsidP="00FC2EBF">
            <w:pPr>
              <w:pStyle w:val="ListNumber2"/>
            </w:pPr>
          </w:p>
        </w:tc>
        <w:tc>
          <w:tcPr>
            <w:tcW w:w="2500" w:type="pct"/>
            <w:shd w:val="clear" w:color="auto" w:fill="auto"/>
          </w:tcPr>
          <w:p w14:paraId="10A6E1BE" w14:textId="77777777" w:rsidR="00A74920" w:rsidRPr="005E5F75" w:rsidRDefault="00A74920" w:rsidP="00015814">
            <w:pPr>
              <w:spacing w:before="60" w:after="60" w:line="23" w:lineRule="atLeast"/>
              <w:rPr>
                <w:rFonts w:cs="Arial"/>
                <w:b/>
                <w:sz w:val="20"/>
                <w:szCs w:val="20"/>
              </w:rPr>
            </w:pPr>
            <w:r w:rsidRPr="005E5F75">
              <w:rPr>
                <w:rFonts w:cs="Arial"/>
                <w:b/>
                <w:sz w:val="20"/>
                <w:szCs w:val="20"/>
              </w:rPr>
              <w:t>Meets</w:t>
            </w:r>
          </w:p>
          <w:p w14:paraId="4AAB9AEF" w14:textId="77777777" w:rsidR="005E5F75" w:rsidRPr="00561DBD" w:rsidRDefault="005E5F75" w:rsidP="00015814">
            <w:pPr>
              <w:spacing w:before="60" w:after="60" w:line="276" w:lineRule="auto"/>
              <w:rPr>
                <w:sz w:val="20"/>
                <w:szCs w:val="20"/>
              </w:rPr>
            </w:pPr>
            <w:r w:rsidRPr="005E5F75">
              <w:rPr>
                <w:sz w:val="20"/>
                <w:szCs w:val="20"/>
              </w:rPr>
              <w:t>The fishery</w:t>
            </w:r>
            <w:r w:rsidRPr="00561DBD">
              <w:rPr>
                <w:sz w:val="20"/>
                <w:szCs w:val="20"/>
              </w:rPr>
              <w:t xml:space="preserve"> is consistent with Objects of 13A – see above assessment against the Guidelines.</w:t>
            </w:r>
          </w:p>
          <w:p w14:paraId="34639014" w14:textId="77777777" w:rsidR="005E5F75" w:rsidRPr="00561DBD" w:rsidRDefault="005E5F75" w:rsidP="00762740">
            <w:pPr>
              <w:spacing w:beforeLines="60" w:before="144" w:afterLines="60" w:after="144" w:line="23" w:lineRule="atLeast"/>
              <w:rPr>
                <w:sz w:val="20"/>
                <w:szCs w:val="20"/>
              </w:rPr>
            </w:pPr>
            <w:r w:rsidRPr="00561DBD">
              <w:rPr>
                <w:sz w:val="20"/>
                <w:szCs w:val="20"/>
              </w:rPr>
              <w:t xml:space="preserve">The fishery is consistent with Objects of 13A and unlikely to be detrimental to the survival or conservation status of a </w:t>
            </w:r>
            <w:proofErr w:type="spellStart"/>
            <w:r w:rsidRPr="00561DBD">
              <w:rPr>
                <w:sz w:val="20"/>
                <w:szCs w:val="20"/>
              </w:rPr>
              <w:t>taxon</w:t>
            </w:r>
            <w:proofErr w:type="spellEnd"/>
            <w:r w:rsidRPr="00561DBD">
              <w:rPr>
                <w:sz w:val="20"/>
                <w:szCs w:val="20"/>
              </w:rPr>
              <w:t xml:space="preserve"> to which it relates, nor will it threaten any relevant ecosystem, within the next </w:t>
            </w:r>
            <w:r>
              <w:rPr>
                <w:b/>
                <w:bCs/>
                <w:sz w:val="20"/>
                <w:szCs w:val="20"/>
              </w:rPr>
              <w:t>three years</w:t>
            </w:r>
            <w:r w:rsidRPr="00561DBD">
              <w:rPr>
                <w:sz w:val="20"/>
                <w:szCs w:val="20"/>
              </w:rPr>
              <w:t>, given the management measures in place</w:t>
            </w:r>
            <w:r>
              <w:rPr>
                <w:sz w:val="20"/>
                <w:szCs w:val="20"/>
              </w:rPr>
              <w:t xml:space="preserve"> and agreed conditions in Section 4</w:t>
            </w:r>
            <w:r w:rsidRPr="00561DBD">
              <w:rPr>
                <w:sz w:val="20"/>
                <w:szCs w:val="20"/>
              </w:rPr>
              <w:t>.</w:t>
            </w:r>
          </w:p>
          <w:p w14:paraId="19F33464" w14:textId="3E4A3734" w:rsidR="005E5F75" w:rsidRDefault="005E5F75" w:rsidP="00762740">
            <w:pPr>
              <w:spacing w:beforeLines="60" w:before="144" w:afterLines="60" w:after="144" w:line="23" w:lineRule="atLeast"/>
              <w:contextualSpacing/>
              <w:rPr>
                <w:sz w:val="20"/>
                <w:szCs w:val="20"/>
              </w:rPr>
            </w:pPr>
            <w:r w:rsidRPr="00561DBD">
              <w:rPr>
                <w:sz w:val="20"/>
                <w:szCs w:val="20"/>
              </w:rPr>
              <w:t>There are</w:t>
            </w:r>
            <w:r w:rsidR="00F130E2">
              <w:rPr>
                <w:sz w:val="20"/>
                <w:szCs w:val="20"/>
              </w:rPr>
              <w:t>,</w:t>
            </w:r>
            <w:r w:rsidRPr="00561DBD">
              <w:rPr>
                <w:sz w:val="20"/>
                <w:szCs w:val="20"/>
              </w:rPr>
              <w:t xml:space="preserve"> however</w:t>
            </w:r>
            <w:r w:rsidR="00F130E2">
              <w:rPr>
                <w:sz w:val="20"/>
                <w:szCs w:val="20"/>
              </w:rPr>
              <w:t>,</w:t>
            </w:r>
            <w:r w:rsidRPr="00561DBD">
              <w:rPr>
                <w:sz w:val="20"/>
                <w:szCs w:val="20"/>
              </w:rPr>
              <w:t xml:space="preserve"> </w:t>
            </w:r>
            <w:r>
              <w:rPr>
                <w:sz w:val="20"/>
                <w:szCs w:val="20"/>
              </w:rPr>
              <w:t xml:space="preserve">concerns about the biological basis for harvest limits due to the lack of biomass surveys. Due to the important role that sea cucumbers play in the </w:t>
            </w:r>
            <w:proofErr w:type="gramStart"/>
            <w:r>
              <w:rPr>
                <w:sz w:val="20"/>
                <w:szCs w:val="20"/>
              </w:rPr>
              <w:t>ecosystem,</w:t>
            </w:r>
            <w:proofErr w:type="gramEnd"/>
            <w:r>
              <w:rPr>
                <w:sz w:val="20"/>
                <w:szCs w:val="20"/>
              </w:rPr>
              <w:t xml:space="preserve"> it is important that harvest should not occur at a levels that jeopardises their role in the ecosystem. There have been recent management changes in the fishery that should be investigated though a new Management Strategy Evaluation, as outlined in the conditions.</w:t>
            </w:r>
          </w:p>
          <w:p w14:paraId="0FC625E7" w14:textId="6B680880" w:rsidR="00A74920" w:rsidRPr="00A74920" w:rsidRDefault="00A74920" w:rsidP="00762740">
            <w:pPr>
              <w:spacing w:beforeLines="60" w:before="144" w:afterLines="60" w:after="144" w:line="23" w:lineRule="atLeast"/>
              <w:contextualSpacing/>
              <w:rPr>
                <w:rFonts w:cs="Arial"/>
                <w:sz w:val="20"/>
                <w:szCs w:val="20"/>
              </w:rPr>
            </w:pPr>
          </w:p>
        </w:tc>
      </w:tr>
      <w:tr w:rsidR="00DF3B87" w:rsidRPr="001F4207" w14:paraId="22144A57"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4533AC8C" w14:textId="23D5DA57" w:rsidR="00DF3B87" w:rsidRPr="001F4207" w:rsidRDefault="00DF3B87" w:rsidP="00FC2EBF">
            <w:pPr>
              <w:pStyle w:val="ListNumber2"/>
            </w:pPr>
            <w:r w:rsidRPr="001F4207">
              <w:t>(c)</w:t>
            </w:r>
            <w:r w:rsidRPr="001F4207">
              <w:tab/>
              <w:t>if the operation relates to the taking of live specimens that belong to a taxon specified in the regulations – the conditions that, under the regulations, are applicable to the welfare of the specimens are likely to be complied with; and</w:t>
            </w:r>
          </w:p>
          <w:p w14:paraId="052799C3" w14:textId="415B2C26" w:rsidR="00DF3B87" w:rsidRPr="001F4207" w:rsidRDefault="00DF3B87" w:rsidP="00FC2EBF">
            <w:pPr>
              <w:pStyle w:val="ListNumber2"/>
            </w:pPr>
          </w:p>
        </w:tc>
        <w:tc>
          <w:tcPr>
            <w:tcW w:w="2500" w:type="pct"/>
            <w:shd w:val="clear" w:color="auto" w:fill="auto"/>
          </w:tcPr>
          <w:p w14:paraId="4AD6AA95" w14:textId="77777777" w:rsidR="00DF3B87" w:rsidRPr="005E5F75" w:rsidRDefault="00DF3B87" w:rsidP="00A8580C">
            <w:pPr>
              <w:spacing w:before="60" w:after="60" w:line="23" w:lineRule="atLeast"/>
              <w:rPr>
                <w:rFonts w:cs="Arial"/>
                <w:b/>
                <w:sz w:val="20"/>
                <w:szCs w:val="20"/>
              </w:rPr>
            </w:pPr>
            <w:r w:rsidRPr="005E5F75">
              <w:rPr>
                <w:rFonts w:cs="Arial"/>
                <w:b/>
                <w:sz w:val="20"/>
                <w:szCs w:val="20"/>
              </w:rPr>
              <w:t>Meets</w:t>
            </w:r>
          </w:p>
          <w:p w14:paraId="13BEC90F" w14:textId="4AF09CF4" w:rsidR="00DF3B87" w:rsidRPr="005E5F75" w:rsidRDefault="00DF3B87" w:rsidP="00762740">
            <w:pPr>
              <w:spacing w:beforeLines="60" w:before="144" w:afterLines="60" w:after="144" w:line="23" w:lineRule="atLeast"/>
              <w:contextualSpacing/>
              <w:rPr>
                <w:rFonts w:cs="Arial"/>
                <w:sz w:val="20"/>
                <w:szCs w:val="20"/>
              </w:rPr>
            </w:pPr>
            <w:r w:rsidRPr="005E5F75">
              <w:rPr>
                <w:rFonts w:cs="Arial"/>
                <w:sz w:val="20"/>
                <w:szCs w:val="20"/>
              </w:rPr>
              <w:t xml:space="preserve">The Environment Protection and Biodiversity Conservation Regulations 2000 (EPBC Regulations) do not specify </w:t>
            </w:r>
            <w:r w:rsidR="005E5F75" w:rsidRPr="005E5F75">
              <w:rPr>
                <w:rFonts w:cs="Arial"/>
                <w:sz w:val="20"/>
                <w:szCs w:val="20"/>
              </w:rPr>
              <w:t>sea cucumbers</w:t>
            </w:r>
            <w:r w:rsidRPr="005E5F75">
              <w:rPr>
                <w:rFonts w:cs="Arial"/>
                <w:sz w:val="20"/>
                <w:szCs w:val="20"/>
              </w:rPr>
              <w:t xml:space="preserve"> as a class of animal in relation to the welfare of live specimens.</w:t>
            </w:r>
          </w:p>
          <w:p w14:paraId="5B4285CF" w14:textId="0E02DF7F" w:rsidR="00DF3B87" w:rsidRPr="005E5F75" w:rsidRDefault="00DF3B87" w:rsidP="00762740">
            <w:pPr>
              <w:spacing w:beforeLines="60" w:before="144" w:afterLines="60" w:after="144" w:line="23" w:lineRule="atLeast"/>
              <w:contextualSpacing/>
              <w:rPr>
                <w:rFonts w:cs="Arial"/>
                <w:b/>
                <w:sz w:val="20"/>
                <w:szCs w:val="20"/>
              </w:rPr>
            </w:pPr>
          </w:p>
        </w:tc>
      </w:tr>
      <w:tr w:rsidR="00DF3B87" w:rsidRPr="001F4207" w14:paraId="69E94C3C"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1CD82FDE" w14:textId="41DFFF9E" w:rsidR="00DF3B87" w:rsidRPr="001F4207" w:rsidRDefault="00DF3B87" w:rsidP="00FC2EBF">
            <w:pPr>
              <w:pStyle w:val="ListNumber2"/>
            </w:pPr>
            <w:r w:rsidRPr="001F4207">
              <w:t>(d)</w:t>
            </w:r>
            <w:r w:rsidRPr="001F4207">
              <w:tab/>
              <w:t>such other conditions (if any) as are specified in the regulations have been, or are likely to be, satisfied.</w:t>
            </w:r>
          </w:p>
          <w:p w14:paraId="3255826D" w14:textId="578F26D3" w:rsidR="00DF3B87" w:rsidRPr="001F4207" w:rsidRDefault="00DF3B87" w:rsidP="00FC2EBF">
            <w:pPr>
              <w:pStyle w:val="ListNumber2"/>
            </w:pPr>
          </w:p>
        </w:tc>
        <w:tc>
          <w:tcPr>
            <w:tcW w:w="2500" w:type="pct"/>
            <w:shd w:val="clear" w:color="auto" w:fill="auto"/>
          </w:tcPr>
          <w:p w14:paraId="24D477F2" w14:textId="77777777" w:rsidR="00DF3B87" w:rsidRPr="005E5F75" w:rsidRDefault="00DF3B87" w:rsidP="00A8580C">
            <w:pPr>
              <w:spacing w:before="60" w:after="60" w:line="23" w:lineRule="atLeast"/>
              <w:rPr>
                <w:rFonts w:cs="Arial"/>
                <w:b/>
                <w:sz w:val="20"/>
                <w:szCs w:val="20"/>
              </w:rPr>
            </w:pPr>
            <w:r w:rsidRPr="005E5F75">
              <w:rPr>
                <w:rFonts w:cs="Arial"/>
                <w:b/>
                <w:sz w:val="20"/>
                <w:szCs w:val="20"/>
              </w:rPr>
              <w:t>Meets</w:t>
            </w:r>
          </w:p>
          <w:p w14:paraId="4FD17E34" w14:textId="77777777" w:rsidR="00DF3B87" w:rsidRPr="001F4207" w:rsidRDefault="00DF3B87" w:rsidP="00762740">
            <w:pPr>
              <w:spacing w:beforeLines="60" w:before="144" w:afterLines="60" w:after="144" w:line="23" w:lineRule="atLeast"/>
              <w:contextualSpacing/>
              <w:rPr>
                <w:rFonts w:cs="Arial"/>
                <w:sz w:val="20"/>
                <w:szCs w:val="20"/>
              </w:rPr>
            </w:pPr>
            <w:r w:rsidRPr="005E5F75">
              <w:rPr>
                <w:rFonts w:cs="Arial"/>
                <w:sz w:val="20"/>
                <w:szCs w:val="20"/>
              </w:rPr>
              <w:t>No other conditions are specified in relation to commercial fisheries in the EPBC Regulations.</w:t>
            </w:r>
          </w:p>
          <w:p w14:paraId="15794F71" w14:textId="72EB1221" w:rsidR="00DF3B87" w:rsidRPr="001F4207" w:rsidRDefault="00DF3B87" w:rsidP="00762740">
            <w:pPr>
              <w:spacing w:beforeLines="60" w:before="144" w:afterLines="60" w:after="144" w:line="23" w:lineRule="atLeast"/>
              <w:contextualSpacing/>
              <w:rPr>
                <w:rFonts w:cs="Arial"/>
                <w:b/>
                <w:sz w:val="20"/>
                <w:szCs w:val="20"/>
              </w:rPr>
            </w:pPr>
          </w:p>
        </w:tc>
      </w:tr>
      <w:tr w:rsidR="00DF3B87" w:rsidRPr="001F4207" w14:paraId="00A781E9"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7044E32" w14:textId="0DB8F0E0" w:rsidR="00DF3B87" w:rsidRPr="001F4207" w:rsidRDefault="00DF3B87" w:rsidP="00FC2EBF">
            <w:pPr>
              <w:pStyle w:val="ListNumber"/>
            </w:pPr>
            <w:r w:rsidRPr="001F4207">
              <w:t>(4)</w:t>
            </w:r>
            <w:r w:rsidRPr="001F4207">
              <w:tab/>
              <w:t xml:space="preserve">In deciding whether to declare an operation as an approved wildlife trade operation the Minister must have </w:t>
            </w:r>
            <w:r w:rsidRPr="001F4207">
              <w:rPr>
                <w:b/>
              </w:rPr>
              <w:t>regard</w:t>
            </w:r>
            <w:r w:rsidRPr="001F4207">
              <w:t xml:space="preserve"> to:</w:t>
            </w:r>
          </w:p>
          <w:p w14:paraId="495E36D3" w14:textId="77777777" w:rsidR="00DF3B87" w:rsidRPr="001F4207" w:rsidRDefault="00DF3B87" w:rsidP="00FC2EBF">
            <w:pPr>
              <w:pStyle w:val="ListNumber2"/>
            </w:pPr>
            <w:r w:rsidRPr="001F4207">
              <w:t>(a)</w:t>
            </w:r>
            <w:r w:rsidRPr="001F4207">
              <w:tab/>
              <w:t>the significance of the impact of the operation on an ecosystem (for example, an impact on habitat or biodiversity); and</w:t>
            </w:r>
          </w:p>
          <w:p w14:paraId="1C68DEAA" w14:textId="31FAA2FB" w:rsidR="00DF3B87" w:rsidRPr="001F4207" w:rsidRDefault="00DF3B87" w:rsidP="00FC2EBF">
            <w:pPr>
              <w:pStyle w:val="ListNumber2"/>
            </w:pPr>
          </w:p>
        </w:tc>
        <w:tc>
          <w:tcPr>
            <w:tcW w:w="2500" w:type="pct"/>
            <w:shd w:val="clear" w:color="auto" w:fill="auto"/>
          </w:tcPr>
          <w:p w14:paraId="69507286" w14:textId="0898FBA3" w:rsidR="00DF3B87" w:rsidRPr="00762740" w:rsidRDefault="00DF3B87" w:rsidP="005517D9">
            <w:pPr>
              <w:spacing w:before="60" w:after="60" w:line="23" w:lineRule="atLeast"/>
              <w:rPr>
                <w:rFonts w:cs="Arial"/>
                <w:b/>
                <w:sz w:val="20"/>
                <w:szCs w:val="20"/>
              </w:rPr>
            </w:pPr>
            <w:r w:rsidRPr="00762740">
              <w:rPr>
                <w:rFonts w:cs="Arial"/>
                <w:b/>
                <w:sz w:val="20"/>
                <w:szCs w:val="20"/>
              </w:rPr>
              <w:t>Meets</w:t>
            </w:r>
          </w:p>
          <w:p w14:paraId="1016A556" w14:textId="2AE2B373" w:rsidR="00DF3B87" w:rsidRPr="001F4207" w:rsidRDefault="0035230B" w:rsidP="00762740">
            <w:pPr>
              <w:spacing w:beforeLines="60" w:before="144" w:afterLines="60" w:after="144" w:line="23" w:lineRule="atLeast"/>
              <w:contextualSpacing/>
              <w:rPr>
                <w:rFonts w:cs="Arial"/>
                <w:sz w:val="20"/>
                <w:szCs w:val="20"/>
              </w:rPr>
            </w:pPr>
            <w:r>
              <w:rPr>
                <w:rFonts w:cs="Arial"/>
                <w:sz w:val="20"/>
                <w:szCs w:val="20"/>
              </w:rPr>
              <w:t xml:space="preserve">The direct impact of this fishery is unlikely to have a significant impact on ecosystems in the fishery, due to the highly selective and targeted nature of hand collections. </w:t>
            </w:r>
            <w:r w:rsidR="0029629C">
              <w:rPr>
                <w:rFonts w:cs="Arial"/>
                <w:sz w:val="20"/>
                <w:szCs w:val="20"/>
              </w:rPr>
              <w:t>However, d</w:t>
            </w:r>
            <w:r>
              <w:rPr>
                <w:rFonts w:cs="Arial"/>
                <w:sz w:val="20"/>
                <w:szCs w:val="20"/>
              </w:rPr>
              <w:t>ue to the important role</w:t>
            </w:r>
            <w:r w:rsidR="00DF3651">
              <w:rPr>
                <w:rFonts w:cs="Arial"/>
                <w:sz w:val="20"/>
                <w:szCs w:val="20"/>
              </w:rPr>
              <w:t xml:space="preserve"> sea cucumbers play</w:t>
            </w:r>
            <w:r>
              <w:rPr>
                <w:rFonts w:cs="Arial"/>
                <w:sz w:val="20"/>
                <w:szCs w:val="20"/>
              </w:rPr>
              <w:t xml:space="preserve"> in the ecosystem conditions to better understand the status of stocks in the fishery and the effectiveness of the management in preventing overfishing, will reduce any potential indirect impacts from the removal of sea cucumbers. Given the </w:t>
            </w:r>
            <w:r w:rsidR="00670D68">
              <w:rPr>
                <w:rFonts w:cs="Arial"/>
                <w:sz w:val="20"/>
                <w:szCs w:val="20"/>
              </w:rPr>
              <w:t xml:space="preserve">current </w:t>
            </w:r>
            <w:r>
              <w:rPr>
                <w:rFonts w:cs="Arial"/>
                <w:sz w:val="20"/>
                <w:szCs w:val="20"/>
              </w:rPr>
              <w:t xml:space="preserve">management </w:t>
            </w:r>
            <w:r w:rsidR="00670D68">
              <w:rPr>
                <w:rFonts w:cs="Arial"/>
                <w:sz w:val="20"/>
                <w:szCs w:val="20"/>
              </w:rPr>
              <w:t>arrangement</w:t>
            </w:r>
            <w:r w:rsidR="0069028B">
              <w:rPr>
                <w:rFonts w:cs="Arial"/>
                <w:sz w:val="20"/>
                <w:szCs w:val="20"/>
              </w:rPr>
              <w:t>s</w:t>
            </w:r>
            <w:r w:rsidR="00670D68">
              <w:rPr>
                <w:rFonts w:cs="Arial"/>
                <w:sz w:val="20"/>
                <w:szCs w:val="20"/>
              </w:rPr>
              <w:t xml:space="preserve"> (including those described in </w:t>
            </w:r>
            <w:r w:rsidR="00670D68" w:rsidRPr="001F4207">
              <w:rPr>
                <w:rFonts w:cs="Arial"/>
                <w:sz w:val="20"/>
                <w:szCs w:val="20"/>
              </w:rPr>
              <w:t>s303FN 3(b)</w:t>
            </w:r>
            <w:r w:rsidR="00670D68">
              <w:rPr>
                <w:rFonts w:cs="Arial"/>
                <w:sz w:val="20"/>
                <w:szCs w:val="20"/>
              </w:rPr>
              <w:t xml:space="preserve">) </w:t>
            </w:r>
            <w:r>
              <w:rPr>
                <w:rFonts w:cs="Arial"/>
                <w:sz w:val="20"/>
                <w:szCs w:val="20"/>
              </w:rPr>
              <w:t>and the conditions on the approval of this WTO, it is unlikely that t</w:t>
            </w:r>
            <w:r w:rsidR="00DF3B87" w:rsidRPr="001F4207">
              <w:rPr>
                <w:rFonts w:cs="Arial"/>
                <w:sz w:val="20"/>
                <w:szCs w:val="20"/>
              </w:rPr>
              <w:t xml:space="preserve">he </w:t>
            </w:r>
            <w:r w:rsidR="00DF3B87" w:rsidRPr="00670D68">
              <w:rPr>
                <w:rFonts w:cs="Arial"/>
                <w:sz w:val="20"/>
                <w:szCs w:val="20"/>
              </w:rPr>
              <w:t>fishery</w:t>
            </w:r>
            <w:r w:rsidR="00DF3B87" w:rsidRPr="001F4207">
              <w:rPr>
                <w:rFonts w:cs="Arial"/>
                <w:sz w:val="20"/>
                <w:szCs w:val="20"/>
              </w:rPr>
              <w:t xml:space="preserve"> will </w:t>
            </w:r>
            <w:r w:rsidR="00670D68">
              <w:rPr>
                <w:rFonts w:cs="Arial"/>
                <w:sz w:val="20"/>
                <w:szCs w:val="20"/>
              </w:rPr>
              <w:t>have</w:t>
            </w:r>
            <w:r w:rsidR="00DF3B87" w:rsidRPr="001F4207">
              <w:rPr>
                <w:rFonts w:cs="Arial"/>
                <w:sz w:val="20"/>
                <w:szCs w:val="20"/>
              </w:rPr>
              <w:t xml:space="preserve"> a significant impact on any relevant ecosystem </w:t>
            </w:r>
            <w:proofErr w:type="gramStart"/>
            <w:r w:rsidR="00670D68">
              <w:rPr>
                <w:rFonts w:cs="Arial"/>
                <w:sz w:val="20"/>
                <w:szCs w:val="20"/>
              </w:rPr>
              <w:t xml:space="preserve">in the </w:t>
            </w:r>
            <w:r w:rsidR="00670D68" w:rsidRPr="00670D68">
              <w:rPr>
                <w:rFonts w:cs="Arial"/>
                <w:sz w:val="20"/>
                <w:szCs w:val="20"/>
              </w:rPr>
              <w:t>course of</w:t>
            </w:r>
            <w:proofErr w:type="gramEnd"/>
            <w:r w:rsidR="00670D68" w:rsidRPr="00670D68">
              <w:rPr>
                <w:rFonts w:cs="Arial"/>
                <w:sz w:val="20"/>
                <w:szCs w:val="20"/>
              </w:rPr>
              <w:t xml:space="preserve"> a 3</w:t>
            </w:r>
            <w:r w:rsidR="00DF3B87" w:rsidRPr="00670D68">
              <w:rPr>
                <w:rFonts w:cs="Arial"/>
                <w:b/>
                <w:sz w:val="20"/>
                <w:szCs w:val="20"/>
              </w:rPr>
              <w:t xml:space="preserve"> </w:t>
            </w:r>
            <w:r w:rsidR="00DF3B87" w:rsidRPr="00670D68">
              <w:rPr>
                <w:rFonts w:cs="Arial"/>
                <w:bCs/>
                <w:sz w:val="20"/>
                <w:szCs w:val="20"/>
              </w:rPr>
              <w:t>year</w:t>
            </w:r>
            <w:r w:rsidR="00DF3B87" w:rsidRPr="001C7638">
              <w:rPr>
                <w:rFonts w:cs="Arial"/>
                <w:bCs/>
                <w:sz w:val="20"/>
                <w:szCs w:val="20"/>
              </w:rPr>
              <w:t>s</w:t>
            </w:r>
            <w:r w:rsidR="00670D68" w:rsidRPr="001C7638">
              <w:rPr>
                <w:rFonts w:cs="Arial"/>
                <w:bCs/>
                <w:sz w:val="20"/>
                <w:szCs w:val="20"/>
              </w:rPr>
              <w:t>.</w:t>
            </w:r>
          </w:p>
          <w:p w14:paraId="7E32DF25" w14:textId="554A5B1D" w:rsidR="00DF3B87" w:rsidRPr="001F4207" w:rsidRDefault="00DF3B87" w:rsidP="00762740">
            <w:pPr>
              <w:spacing w:beforeLines="60" w:before="144" w:afterLines="60" w:after="144" w:line="23" w:lineRule="atLeast"/>
              <w:contextualSpacing/>
              <w:rPr>
                <w:rFonts w:cs="Arial"/>
                <w:b/>
                <w:sz w:val="20"/>
                <w:szCs w:val="20"/>
              </w:rPr>
            </w:pPr>
          </w:p>
        </w:tc>
      </w:tr>
      <w:tr w:rsidR="00DF3B87" w:rsidRPr="001F4207" w14:paraId="7252F391"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3E6A221B" w14:textId="77777777" w:rsidR="00DF3B87" w:rsidRPr="001F4207" w:rsidRDefault="00DF3B87" w:rsidP="007579F7">
            <w:pPr>
              <w:pStyle w:val="ListNumber2"/>
              <w:keepNext/>
            </w:pPr>
            <w:r w:rsidRPr="001F4207">
              <w:lastRenderedPageBreak/>
              <w:t>(b)</w:t>
            </w:r>
            <w:r w:rsidRPr="001F4207">
              <w:tab/>
              <w:t>the effectiveness of the management arrangements for the operation (including monitoring procedures).</w:t>
            </w:r>
          </w:p>
          <w:p w14:paraId="6C1B27E2" w14:textId="05731D1F" w:rsidR="00DF3B87" w:rsidRPr="001F4207" w:rsidRDefault="00DF3B87" w:rsidP="007579F7">
            <w:pPr>
              <w:pStyle w:val="ListNumber2"/>
              <w:keepNext/>
            </w:pPr>
          </w:p>
        </w:tc>
        <w:tc>
          <w:tcPr>
            <w:tcW w:w="2500" w:type="pct"/>
            <w:shd w:val="clear" w:color="auto" w:fill="auto"/>
          </w:tcPr>
          <w:p w14:paraId="22E56732" w14:textId="77777777" w:rsidR="00DF3B87" w:rsidRPr="00670D68" w:rsidRDefault="00DF3B87" w:rsidP="007579F7">
            <w:pPr>
              <w:keepNext/>
              <w:spacing w:before="60" w:after="60" w:line="23" w:lineRule="atLeast"/>
              <w:rPr>
                <w:rFonts w:cs="Arial"/>
                <w:b/>
                <w:sz w:val="20"/>
                <w:szCs w:val="20"/>
              </w:rPr>
            </w:pPr>
            <w:r w:rsidRPr="00670D68">
              <w:rPr>
                <w:rFonts w:cs="Arial"/>
                <w:b/>
                <w:sz w:val="20"/>
                <w:szCs w:val="20"/>
              </w:rPr>
              <w:t>Meets</w:t>
            </w:r>
          </w:p>
          <w:p w14:paraId="35397CCB" w14:textId="26F0A8D9" w:rsidR="00DF3B87" w:rsidRPr="001F4207" w:rsidRDefault="00670D68" w:rsidP="007579F7">
            <w:pPr>
              <w:keepNext/>
              <w:spacing w:beforeLines="60" w:before="144" w:afterLines="60" w:after="144" w:line="23" w:lineRule="atLeast"/>
              <w:contextualSpacing/>
              <w:rPr>
                <w:rFonts w:cs="Arial"/>
                <w:sz w:val="20"/>
                <w:szCs w:val="20"/>
              </w:rPr>
            </w:pPr>
            <w:r>
              <w:rPr>
                <w:rFonts w:cs="Arial"/>
                <w:sz w:val="20"/>
                <w:szCs w:val="20"/>
              </w:rPr>
              <w:t xml:space="preserve">This assessment has raised concerns about the level of understanding and management arrangements for target stocks. </w:t>
            </w:r>
            <w:r>
              <w:rPr>
                <w:sz w:val="20"/>
                <w:szCs w:val="20"/>
              </w:rPr>
              <w:t xml:space="preserve">When operating in accordance with the conditions outlined in Section 2, the management arrangements are likely to be acceptable in the context of a </w:t>
            </w:r>
            <w:r w:rsidRPr="009306EC">
              <w:rPr>
                <w:sz w:val="20"/>
                <w:szCs w:val="20"/>
              </w:rPr>
              <w:t>three-year</w:t>
            </w:r>
            <w:r>
              <w:rPr>
                <w:sz w:val="20"/>
                <w:szCs w:val="20"/>
              </w:rPr>
              <w:t xml:space="preserve"> WTO.</w:t>
            </w:r>
          </w:p>
          <w:p w14:paraId="68D5EF87" w14:textId="79754645" w:rsidR="00DF3B87" w:rsidRPr="001F4207" w:rsidRDefault="00DF3B87" w:rsidP="007579F7">
            <w:pPr>
              <w:keepNext/>
              <w:spacing w:beforeLines="60" w:before="144" w:afterLines="60" w:after="144" w:line="23" w:lineRule="atLeast"/>
              <w:contextualSpacing/>
              <w:rPr>
                <w:rFonts w:cs="Arial"/>
                <w:b/>
                <w:sz w:val="20"/>
                <w:szCs w:val="20"/>
              </w:rPr>
            </w:pPr>
          </w:p>
        </w:tc>
      </w:tr>
      <w:tr w:rsidR="00DF3B87" w:rsidRPr="001F4207" w14:paraId="4B92FE55"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1F897613" w14:textId="4DD7CB90" w:rsidR="00DF3B87" w:rsidRPr="001F4207" w:rsidRDefault="00DF3B87" w:rsidP="00FC2EBF">
            <w:pPr>
              <w:pStyle w:val="ListNumber"/>
            </w:pPr>
            <w:r w:rsidRPr="001F4207">
              <w:t>(5)</w:t>
            </w:r>
            <w:r w:rsidRPr="001F4207">
              <w:tab/>
              <w:t xml:space="preserve">In deciding whether to declare an operation as an approved wildlife trade operation the Minister must have </w:t>
            </w:r>
            <w:r w:rsidRPr="001F4207">
              <w:rPr>
                <w:b/>
              </w:rPr>
              <w:t>regard</w:t>
            </w:r>
            <w:r w:rsidRPr="001F4207">
              <w:t xml:space="preserve"> to:</w:t>
            </w:r>
          </w:p>
          <w:p w14:paraId="7783753D" w14:textId="77777777" w:rsidR="00DF3B87" w:rsidRPr="001F4207" w:rsidRDefault="00DF3B87" w:rsidP="00FC2EBF">
            <w:pPr>
              <w:pStyle w:val="ListNumber2"/>
            </w:pPr>
            <w:r w:rsidRPr="001F4207">
              <w:t>(a)</w:t>
            </w:r>
            <w:r w:rsidRPr="001F4207">
              <w:tab/>
              <w:t>whether legislation relating to the protection, conservation or management of the specimens to which the operation relates is in force in the State or Territory concerned; and</w:t>
            </w:r>
          </w:p>
          <w:p w14:paraId="0935AA29" w14:textId="77777777" w:rsidR="00DF3B87" w:rsidRPr="001F4207" w:rsidRDefault="00DF3B87" w:rsidP="00FC2EBF">
            <w:pPr>
              <w:pStyle w:val="ListNumber2"/>
            </w:pPr>
            <w:r w:rsidRPr="001F4207">
              <w:t>(b)</w:t>
            </w:r>
            <w:r w:rsidRPr="001F4207">
              <w:tab/>
              <w:t>whether the legislation applies throughout the State or Territory concerned; and</w:t>
            </w:r>
          </w:p>
          <w:p w14:paraId="08AB3D67" w14:textId="77777777" w:rsidR="00DF3B87" w:rsidRPr="001F4207" w:rsidRDefault="00DF3B87" w:rsidP="00FC2EBF">
            <w:pPr>
              <w:pStyle w:val="ListNumber2"/>
            </w:pPr>
            <w:r w:rsidRPr="001F4207">
              <w:t>(c)</w:t>
            </w:r>
            <w:r w:rsidRPr="001F4207">
              <w:tab/>
              <w:t>whether, in the opinion of the Minister, the legislation is effective.</w:t>
            </w:r>
          </w:p>
          <w:p w14:paraId="273548CE" w14:textId="3AB19CEF" w:rsidR="00DF3B87" w:rsidRPr="001F4207" w:rsidRDefault="00DF3B87" w:rsidP="00FC2EBF">
            <w:pPr>
              <w:pStyle w:val="ListNumber2"/>
            </w:pPr>
          </w:p>
        </w:tc>
        <w:tc>
          <w:tcPr>
            <w:tcW w:w="2500" w:type="pct"/>
            <w:shd w:val="clear" w:color="auto" w:fill="auto"/>
          </w:tcPr>
          <w:p w14:paraId="431651FA" w14:textId="1ADBA117" w:rsidR="00410114" w:rsidRPr="0059491D" w:rsidRDefault="00410114" w:rsidP="0059491D">
            <w:pPr>
              <w:spacing w:before="60" w:after="60" w:line="23" w:lineRule="atLeast"/>
              <w:rPr>
                <w:rFonts w:cs="Arial"/>
                <w:b/>
                <w:sz w:val="20"/>
                <w:szCs w:val="20"/>
              </w:rPr>
            </w:pPr>
            <w:r w:rsidRPr="0059491D">
              <w:rPr>
                <w:rFonts w:cs="Arial"/>
                <w:b/>
                <w:sz w:val="20"/>
                <w:szCs w:val="20"/>
              </w:rPr>
              <w:t>Meets</w:t>
            </w:r>
          </w:p>
          <w:p w14:paraId="4A53B8DD" w14:textId="2ED6445D" w:rsidR="00410114" w:rsidRPr="007579F7" w:rsidRDefault="00410114" w:rsidP="007579F7">
            <w:pPr>
              <w:spacing w:before="60" w:after="60" w:line="276" w:lineRule="auto"/>
              <w:rPr>
                <w:sz w:val="20"/>
                <w:szCs w:val="20"/>
              </w:rPr>
            </w:pPr>
            <w:r w:rsidRPr="007579F7">
              <w:rPr>
                <w:sz w:val="20"/>
                <w:szCs w:val="20"/>
              </w:rPr>
              <w:t>The fishery will be managed under the</w:t>
            </w:r>
            <w:r w:rsidR="00C16DE7" w:rsidRPr="007579F7">
              <w:rPr>
                <w:sz w:val="20"/>
                <w:szCs w:val="20"/>
              </w:rPr>
              <w:t xml:space="preserve"> </w:t>
            </w:r>
            <w:r w:rsidR="00C16DE7" w:rsidRPr="007579F7">
              <w:rPr>
                <w:i/>
                <w:iCs/>
                <w:sz w:val="20"/>
                <w:szCs w:val="20"/>
              </w:rPr>
              <w:t>Fisheries Act 1994</w:t>
            </w:r>
            <w:r w:rsidR="00C16DE7" w:rsidRPr="007579F7">
              <w:rPr>
                <w:sz w:val="20"/>
                <w:szCs w:val="20"/>
              </w:rPr>
              <w:t xml:space="preserve"> (Qld), Fisheries (General) Regulation 2019 (Qld), Fisheries (Commercial Fisheries) Regulation 2019 (Qld), Fisheries Declaration 2019 (Queensland), Fisheries Quota Declaration 2019 (Qld), </w:t>
            </w:r>
            <w:r w:rsidR="00C16DE7" w:rsidRPr="007579F7">
              <w:rPr>
                <w:i/>
                <w:iCs/>
                <w:sz w:val="20"/>
                <w:szCs w:val="20"/>
              </w:rPr>
              <w:t>Marine Parks Act 2004</w:t>
            </w:r>
            <w:r w:rsidR="00C16DE7" w:rsidRPr="007579F7">
              <w:rPr>
                <w:sz w:val="20"/>
                <w:szCs w:val="20"/>
              </w:rPr>
              <w:t xml:space="preserve"> (Qld), </w:t>
            </w:r>
            <w:r w:rsidR="005A241E" w:rsidRPr="007579F7">
              <w:rPr>
                <w:sz w:val="20"/>
                <w:szCs w:val="20"/>
              </w:rPr>
              <w:t xml:space="preserve">and the </w:t>
            </w:r>
            <w:r w:rsidR="00C16DE7" w:rsidRPr="007579F7">
              <w:rPr>
                <w:sz w:val="20"/>
                <w:szCs w:val="20"/>
              </w:rPr>
              <w:t>Marine Parks Regulations 2019 (Qld)</w:t>
            </w:r>
            <w:r w:rsidR="008C6D90" w:rsidRPr="007579F7">
              <w:rPr>
                <w:sz w:val="20"/>
                <w:szCs w:val="20"/>
              </w:rPr>
              <w:t xml:space="preserve">. </w:t>
            </w:r>
            <w:r w:rsidR="005A241E" w:rsidRPr="007579F7">
              <w:rPr>
                <w:i/>
                <w:iCs/>
                <w:sz w:val="20"/>
                <w:szCs w:val="20"/>
              </w:rPr>
              <w:t xml:space="preserve">The </w:t>
            </w:r>
            <w:r w:rsidR="00C16DE7" w:rsidRPr="007579F7">
              <w:rPr>
                <w:i/>
                <w:iCs/>
                <w:sz w:val="20"/>
                <w:szCs w:val="20"/>
              </w:rPr>
              <w:t>Great Barrier Reef Marine Park Act 1975</w:t>
            </w:r>
            <w:r w:rsidR="00C16DE7" w:rsidRPr="007579F7">
              <w:rPr>
                <w:sz w:val="20"/>
                <w:szCs w:val="20"/>
              </w:rPr>
              <w:t xml:space="preserve"> (</w:t>
            </w:r>
            <w:proofErr w:type="spellStart"/>
            <w:r w:rsidR="00C16DE7" w:rsidRPr="007579F7">
              <w:rPr>
                <w:sz w:val="20"/>
                <w:szCs w:val="20"/>
              </w:rPr>
              <w:t>Cth</w:t>
            </w:r>
            <w:proofErr w:type="spellEnd"/>
            <w:r w:rsidR="00C16DE7" w:rsidRPr="007579F7">
              <w:rPr>
                <w:sz w:val="20"/>
                <w:szCs w:val="20"/>
              </w:rPr>
              <w:t>), and Great Barrier Reef Marine Park Regulations 2019 (</w:t>
            </w:r>
            <w:proofErr w:type="spellStart"/>
            <w:r w:rsidR="00C16DE7" w:rsidRPr="007579F7">
              <w:rPr>
                <w:sz w:val="20"/>
                <w:szCs w:val="20"/>
              </w:rPr>
              <w:t>Cth</w:t>
            </w:r>
            <w:proofErr w:type="spellEnd"/>
            <w:r w:rsidR="00C16DE7" w:rsidRPr="007579F7">
              <w:rPr>
                <w:sz w:val="20"/>
                <w:szCs w:val="20"/>
              </w:rPr>
              <w:t>)</w:t>
            </w:r>
            <w:r w:rsidR="005A241E" w:rsidRPr="007579F7">
              <w:rPr>
                <w:sz w:val="20"/>
                <w:szCs w:val="20"/>
              </w:rPr>
              <w:t xml:space="preserve"> also apply to the operations in the Great Barrier Reef Marine Park. </w:t>
            </w:r>
            <w:r w:rsidRPr="007579F7">
              <w:rPr>
                <w:sz w:val="20"/>
                <w:szCs w:val="20"/>
              </w:rPr>
              <w:t xml:space="preserve">The </w:t>
            </w:r>
            <w:r w:rsidRPr="004E4764">
              <w:rPr>
                <w:i/>
                <w:iCs/>
                <w:sz w:val="20"/>
                <w:szCs w:val="20"/>
              </w:rPr>
              <w:t>Fisheries Act 1994</w:t>
            </w:r>
            <w:r w:rsidRPr="007579F7">
              <w:rPr>
                <w:sz w:val="20"/>
                <w:szCs w:val="20"/>
              </w:rPr>
              <w:t xml:space="preserve"> </w:t>
            </w:r>
            <w:r w:rsidR="00E917CF" w:rsidRPr="007579F7">
              <w:rPr>
                <w:sz w:val="20"/>
                <w:szCs w:val="20"/>
              </w:rPr>
              <w:t xml:space="preserve">(Qld) </w:t>
            </w:r>
            <w:r w:rsidRPr="007579F7">
              <w:rPr>
                <w:sz w:val="20"/>
                <w:szCs w:val="20"/>
              </w:rPr>
              <w:t xml:space="preserve">applies throughout all Queensland waters. </w:t>
            </w:r>
          </w:p>
          <w:p w14:paraId="6477EC73" w14:textId="77777777" w:rsidR="00DF3B87" w:rsidRDefault="00410114" w:rsidP="0081562A">
            <w:pPr>
              <w:spacing w:beforeLines="60" w:before="144" w:afterLines="60" w:after="144" w:line="23" w:lineRule="atLeast"/>
              <w:rPr>
                <w:sz w:val="20"/>
                <w:szCs w:val="20"/>
              </w:rPr>
            </w:pPr>
            <w:r w:rsidRPr="005C5DA1">
              <w:rPr>
                <w:sz w:val="20"/>
                <w:szCs w:val="20"/>
              </w:rPr>
              <w:t>The Department considers that the legislation is likely to be effective</w:t>
            </w:r>
            <w:r>
              <w:rPr>
                <w:sz w:val="20"/>
                <w:szCs w:val="20"/>
              </w:rPr>
              <w:t>.</w:t>
            </w:r>
          </w:p>
          <w:p w14:paraId="4236CE3E" w14:textId="396B4D0E" w:rsidR="00410114" w:rsidRPr="001F4207" w:rsidRDefault="00410114" w:rsidP="00762740">
            <w:pPr>
              <w:spacing w:beforeLines="60" w:before="144" w:afterLines="60" w:after="144" w:line="23" w:lineRule="atLeast"/>
              <w:contextualSpacing/>
              <w:rPr>
                <w:rFonts w:cs="Arial"/>
                <w:b/>
                <w:sz w:val="20"/>
                <w:szCs w:val="20"/>
              </w:rPr>
            </w:pPr>
          </w:p>
        </w:tc>
      </w:tr>
      <w:tr w:rsidR="00DF3B87" w:rsidRPr="001F4207" w14:paraId="060036F7"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6EE05E75" w14:textId="0A04F26A" w:rsidR="00DF3B87" w:rsidRPr="001F4207" w:rsidRDefault="00DF3B87" w:rsidP="00FC2EBF">
            <w:pPr>
              <w:pStyle w:val="ListNumber"/>
            </w:pPr>
            <w:r w:rsidRPr="001F4207">
              <w:t>(10)</w:t>
            </w:r>
            <w:r w:rsidRPr="001F4207">
              <w:tab/>
              <w:t>For the purposes of section 303FN, an operation is a wildlife trade operation if, an only if, the operation is an operation for the taking of specimens and:</w:t>
            </w:r>
          </w:p>
          <w:p w14:paraId="2C5F58DC" w14:textId="77777777" w:rsidR="00DF3B87" w:rsidRPr="001F4207" w:rsidRDefault="00DF3B87" w:rsidP="00FC2EBF">
            <w:pPr>
              <w:pStyle w:val="ListNumber2"/>
            </w:pPr>
            <w:r w:rsidRPr="001F4207">
              <w:t>(a)</w:t>
            </w:r>
            <w:r w:rsidRPr="001F4207">
              <w:tab/>
              <w:t>the operation is a commercial fishery.</w:t>
            </w:r>
          </w:p>
          <w:p w14:paraId="09ABE326" w14:textId="60E0AB7D" w:rsidR="00DF3B87" w:rsidRPr="001F4207" w:rsidRDefault="00DF3B87" w:rsidP="00FC2EBF">
            <w:pPr>
              <w:pStyle w:val="ListNumber2"/>
            </w:pPr>
          </w:p>
        </w:tc>
        <w:tc>
          <w:tcPr>
            <w:tcW w:w="2500" w:type="pct"/>
            <w:shd w:val="clear" w:color="auto" w:fill="auto"/>
          </w:tcPr>
          <w:p w14:paraId="77996C5D" w14:textId="77777777" w:rsidR="00DF3B87" w:rsidRPr="00410114" w:rsidRDefault="00DF3B87" w:rsidP="00FB7001">
            <w:pPr>
              <w:spacing w:before="60" w:after="60" w:line="23" w:lineRule="atLeast"/>
              <w:rPr>
                <w:rFonts w:cs="Arial"/>
                <w:b/>
                <w:sz w:val="20"/>
                <w:szCs w:val="20"/>
              </w:rPr>
            </w:pPr>
            <w:r w:rsidRPr="00410114">
              <w:rPr>
                <w:rFonts w:cs="Arial"/>
                <w:b/>
                <w:sz w:val="20"/>
                <w:szCs w:val="20"/>
              </w:rPr>
              <w:t>Meets</w:t>
            </w:r>
          </w:p>
          <w:p w14:paraId="6251F1DA" w14:textId="27F6BE22" w:rsidR="00DF3B87" w:rsidRPr="001F4207" w:rsidRDefault="00DF3B87" w:rsidP="00762740">
            <w:pPr>
              <w:spacing w:beforeLines="60" w:before="144" w:afterLines="60" w:after="144" w:line="23" w:lineRule="atLeast"/>
              <w:contextualSpacing/>
              <w:rPr>
                <w:rFonts w:cs="Arial"/>
                <w:sz w:val="20"/>
                <w:szCs w:val="20"/>
              </w:rPr>
            </w:pPr>
            <w:r w:rsidRPr="001F4207">
              <w:rPr>
                <w:rFonts w:cs="Arial"/>
                <w:sz w:val="20"/>
                <w:szCs w:val="20"/>
              </w:rPr>
              <w:t xml:space="preserve">The </w:t>
            </w:r>
            <w:r w:rsidR="00410114">
              <w:rPr>
                <w:rFonts w:cs="Arial"/>
                <w:sz w:val="20"/>
                <w:szCs w:val="20"/>
              </w:rPr>
              <w:t>Q</w:t>
            </w:r>
            <w:r w:rsidR="00AA2874">
              <w:rPr>
                <w:rFonts w:cs="Arial"/>
                <w:sz w:val="20"/>
                <w:szCs w:val="20"/>
              </w:rPr>
              <w:t xml:space="preserve">ueensland </w:t>
            </w:r>
            <w:r w:rsidR="00410114">
              <w:rPr>
                <w:rFonts w:cs="Arial"/>
                <w:sz w:val="20"/>
                <w:szCs w:val="20"/>
              </w:rPr>
              <w:t>S</w:t>
            </w:r>
            <w:r w:rsidR="00AA2874">
              <w:rPr>
                <w:rFonts w:cs="Arial"/>
                <w:sz w:val="20"/>
                <w:szCs w:val="20"/>
              </w:rPr>
              <w:t xml:space="preserve">ea </w:t>
            </w:r>
            <w:r w:rsidR="00410114">
              <w:rPr>
                <w:rFonts w:cs="Arial"/>
                <w:sz w:val="20"/>
                <w:szCs w:val="20"/>
              </w:rPr>
              <w:t>C</w:t>
            </w:r>
            <w:r w:rsidR="00AA2874">
              <w:rPr>
                <w:rFonts w:cs="Arial"/>
                <w:sz w:val="20"/>
                <w:szCs w:val="20"/>
              </w:rPr>
              <w:t xml:space="preserve">ucumber </w:t>
            </w:r>
            <w:r w:rsidR="00410114">
              <w:rPr>
                <w:rFonts w:cs="Arial"/>
                <w:sz w:val="20"/>
                <w:szCs w:val="20"/>
              </w:rPr>
              <w:t>F</w:t>
            </w:r>
            <w:r w:rsidR="00AA2874">
              <w:rPr>
                <w:rFonts w:cs="Arial"/>
                <w:sz w:val="20"/>
                <w:szCs w:val="20"/>
              </w:rPr>
              <w:t>ishery (East Coast)</w:t>
            </w:r>
            <w:r w:rsidRPr="001F4207">
              <w:rPr>
                <w:rFonts w:cs="Arial"/>
                <w:sz w:val="20"/>
                <w:szCs w:val="20"/>
              </w:rPr>
              <w:t xml:space="preserve"> is a commercial fishery. </w:t>
            </w:r>
          </w:p>
          <w:p w14:paraId="2235D384" w14:textId="7CB8157A" w:rsidR="00DF3B87" w:rsidRPr="001F4207" w:rsidRDefault="00DF3B87" w:rsidP="00762740">
            <w:pPr>
              <w:spacing w:beforeLines="60" w:before="144" w:afterLines="60" w:after="144" w:line="23" w:lineRule="atLeast"/>
              <w:contextualSpacing/>
              <w:rPr>
                <w:rFonts w:cs="Arial"/>
                <w:b/>
                <w:sz w:val="20"/>
                <w:szCs w:val="20"/>
              </w:rPr>
            </w:pPr>
          </w:p>
        </w:tc>
      </w:tr>
      <w:tr w:rsidR="003C3B62" w:rsidRPr="001F4207" w14:paraId="631A20D1" w14:textId="77777777" w:rsidTr="00211477">
        <w:trPr>
          <w:cnfStyle w:val="000000100000" w:firstRow="0" w:lastRow="0" w:firstColumn="0" w:lastColumn="0" w:oddVBand="0" w:evenVBand="0" w:oddHBand="1" w:evenHBand="0" w:firstRowFirstColumn="0" w:firstRowLastColumn="0" w:lastRowFirstColumn="0" w:lastRowLastColumn="0"/>
          <w:trHeight w:val="6795"/>
        </w:trPr>
        <w:tc>
          <w:tcPr>
            <w:tcW w:w="2500" w:type="pct"/>
          </w:tcPr>
          <w:p w14:paraId="3F44EDE3" w14:textId="77777777" w:rsidR="003C3B62" w:rsidRPr="001F4207" w:rsidRDefault="003C3B62" w:rsidP="00FC2EBF">
            <w:pPr>
              <w:pStyle w:val="ListNumber"/>
            </w:pPr>
            <w:r w:rsidRPr="001F4207">
              <w:lastRenderedPageBreak/>
              <w:t>(10A)</w:t>
            </w:r>
            <w:r w:rsidRPr="001F4207">
              <w:tab/>
              <w:t xml:space="preserve">In deciding whether to declare that a commercial fishery is an approved wildlife trade operation for the purposes of this section, the Minister must rely primarily on the outcomes of any assessment in relation to the fishery carried out for the purposes of Division 1 or 2 of Part 10. </w:t>
            </w:r>
          </w:p>
          <w:p w14:paraId="6F24B61D" w14:textId="77777777" w:rsidR="00D84E36" w:rsidRDefault="00D84E36" w:rsidP="00FC2EBF">
            <w:pPr>
              <w:pStyle w:val="ListNumber"/>
            </w:pPr>
          </w:p>
          <w:p w14:paraId="3D10784A" w14:textId="72DBA3B8" w:rsidR="003C3B62" w:rsidRPr="001F4207" w:rsidRDefault="00D84E36" w:rsidP="00FC2EBF">
            <w:pPr>
              <w:pStyle w:val="ListNumber"/>
            </w:pPr>
            <w:r w:rsidRPr="001F4207">
              <w:t xml:space="preserve"> </w:t>
            </w:r>
            <w:r w:rsidR="003C3B62" w:rsidRPr="001F4207">
              <w:t>(10B)</w:t>
            </w:r>
            <w:r w:rsidR="003C3B62" w:rsidRPr="001F4207">
              <w:tab/>
              <w:t xml:space="preserve">Subsection (10A) does not limit the matters that may be </w:t>
            </w:r>
            <w:proofErr w:type="gramStart"/>
            <w:r w:rsidR="003C3B62" w:rsidRPr="001F4207">
              <w:t>taken into account</w:t>
            </w:r>
            <w:proofErr w:type="gramEnd"/>
            <w:r w:rsidR="003C3B62" w:rsidRPr="001F4207">
              <w:t xml:space="preserve"> in deciding whether to declare that a fishery is an approved wildlife trade operation for the purposes of this section.</w:t>
            </w:r>
          </w:p>
          <w:p w14:paraId="723E213C" w14:textId="52670278" w:rsidR="003C3B62" w:rsidRPr="001F4207" w:rsidRDefault="003C3B62" w:rsidP="00FC2EBF">
            <w:pPr>
              <w:pStyle w:val="ListNumber"/>
            </w:pPr>
          </w:p>
        </w:tc>
        <w:tc>
          <w:tcPr>
            <w:tcW w:w="2500" w:type="pct"/>
            <w:shd w:val="clear" w:color="auto" w:fill="auto"/>
          </w:tcPr>
          <w:p w14:paraId="4C926DDF" w14:textId="77777777" w:rsidR="006071D4" w:rsidRDefault="006071D4" w:rsidP="00762740">
            <w:pPr>
              <w:spacing w:beforeLines="60" w:before="144" w:afterLines="60" w:after="144" w:line="23" w:lineRule="atLeast"/>
              <w:rPr>
                <w:sz w:val="20"/>
                <w:szCs w:val="20"/>
              </w:rPr>
            </w:pPr>
            <w:r w:rsidRPr="005E1F4C">
              <w:rPr>
                <w:sz w:val="20"/>
                <w:szCs w:val="20"/>
              </w:rPr>
              <w:t>There has been no request or agreement to assess the fishery under Part 10 Division 1, and the fishery is not managed by the Commonwealth, so Part 10 Division 2 does not apply.</w:t>
            </w:r>
          </w:p>
          <w:p w14:paraId="60DBAAE0" w14:textId="2103D836" w:rsidR="00410114" w:rsidRPr="005E1F4C" w:rsidRDefault="00410114" w:rsidP="00762740">
            <w:pPr>
              <w:spacing w:beforeLines="60" w:before="144" w:afterLines="60" w:after="144" w:line="23" w:lineRule="atLeast"/>
              <w:rPr>
                <w:b/>
                <w:bCs/>
                <w:sz w:val="20"/>
                <w:szCs w:val="20"/>
              </w:rPr>
            </w:pPr>
            <w:r w:rsidRPr="005E1F4C">
              <w:rPr>
                <w:sz w:val="20"/>
                <w:szCs w:val="20"/>
              </w:rPr>
              <w:t xml:space="preserve">Although there is no strategic assessment under Part 10 of the EPBC Act, the Department considers its assessment has </w:t>
            </w:r>
            <w:proofErr w:type="gramStart"/>
            <w:r w:rsidRPr="005E1F4C">
              <w:rPr>
                <w:sz w:val="20"/>
                <w:szCs w:val="20"/>
              </w:rPr>
              <w:t>taken into account</w:t>
            </w:r>
            <w:proofErr w:type="gramEnd"/>
            <w:r w:rsidRPr="005E1F4C">
              <w:rPr>
                <w:sz w:val="20"/>
                <w:szCs w:val="20"/>
              </w:rPr>
              <w:t xml:space="preserve"> all matters relevant to making an informed decision to amend the list of exempt native specimens to include product taken in this fishery. </w:t>
            </w:r>
          </w:p>
          <w:p w14:paraId="548DE86B" w14:textId="739E517B" w:rsidR="003C3B62" w:rsidRPr="001F4207" w:rsidRDefault="003C3B62" w:rsidP="00762740">
            <w:pPr>
              <w:spacing w:beforeLines="60" w:before="144" w:afterLines="60" w:after="144" w:line="23" w:lineRule="atLeast"/>
              <w:contextualSpacing/>
              <w:rPr>
                <w:rFonts w:cs="Arial"/>
                <w:b/>
                <w:sz w:val="20"/>
                <w:szCs w:val="20"/>
              </w:rPr>
            </w:pPr>
          </w:p>
        </w:tc>
      </w:tr>
      <w:tr w:rsidR="00DF3B87" w:rsidRPr="001F4207" w14:paraId="32060519"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7FAC38A3" w14:textId="60FCFF5A" w:rsidR="00DF3B87" w:rsidRPr="001F4207" w:rsidRDefault="00DF3B87" w:rsidP="008625F8">
            <w:pPr>
              <w:keepNext/>
              <w:spacing w:before="60" w:after="60" w:line="276" w:lineRule="auto"/>
              <w:ind w:left="539" w:hanging="539"/>
              <w:contextualSpacing/>
              <w:jc w:val="center"/>
              <w:rPr>
                <w:rFonts w:cs="Arial"/>
                <w:sz w:val="20"/>
                <w:szCs w:val="20"/>
                <w:highlight w:val="cyan"/>
              </w:rPr>
            </w:pPr>
            <w:r w:rsidRPr="001F4207">
              <w:rPr>
                <w:rFonts w:cs="Arial"/>
                <w:b/>
                <w:sz w:val="20"/>
                <w:szCs w:val="20"/>
              </w:rPr>
              <w:lastRenderedPageBreak/>
              <w:t xml:space="preserve">Section 303FR Public consultation </w:t>
            </w:r>
          </w:p>
        </w:tc>
        <w:tc>
          <w:tcPr>
            <w:tcW w:w="2500" w:type="pct"/>
            <w:shd w:val="clear" w:color="auto" w:fill="D9D9D9" w:themeFill="background1" w:themeFillShade="D9"/>
            <w:vAlign w:val="center"/>
          </w:tcPr>
          <w:p w14:paraId="0D05C93E" w14:textId="1EC893B4" w:rsidR="00DF3B87" w:rsidRPr="001F4207" w:rsidRDefault="00DF3B87" w:rsidP="008625F8">
            <w:pPr>
              <w:keepNext/>
              <w:spacing w:beforeLines="60" w:before="144" w:afterLines="60" w:after="144" w:line="23" w:lineRule="atLeast"/>
              <w:contextualSpacing/>
              <w:jc w:val="center"/>
              <w:rPr>
                <w:rFonts w:cs="Arial"/>
                <w:b/>
                <w:sz w:val="20"/>
                <w:szCs w:val="20"/>
              </w:rPr>
            </w:pPr>
            <w:r w:rsidRPr="001F4207">
              <w:rPr>
                <w:rFonts w:cs="Arial"/>
                <w:b/>
                <w:sz w:val="20"/>
                <w:szCs w:val="20"/>
              </w:rPr>
              <w:t>Comment</w:t>
            </w:r>
          </w:p>
        </w:tc>
      </w:tr>
      <w:tr w:rsidR="007A0140" w:rsidRPr="001F4207" w14:paraId="051815FF" w14:textId="77777777" w:rsidTr="00FC510B">
        <w:trPr>
          <w:cnfStyle w:val="000000100000" w:firstRow="0" w:lastRow="0" w:firstColumn="0" w:lastColumn="0" w:oddVBand="0" w:evenVBand="0" w:oddHBand="1" w:evenHBand="0" w:firstRowFirstColumn="0" w:firstRowLastColumn="0" w:lastRowFirstColumn="0" w:lastRowLastColumn="0"/>
          <w:trHeight w:val="5155"/>
        </w:trPr>
        <w:tc>
          <w:tcPr>
            <w:tcW w:w="2500" w:type="pct"/>
          </w:tcPr>
          <w:p w14:paraId="394E7B7A" w14:textId="5CB7E6DC" w:rsidR="007A0140" w:rsidRPr="001F4207" w:rsidRDefault="007A0140" w:rsidP="00FC2EBF">
            <w:pPr>
              <w:pStyle w:val="ListNumber"/>
            </w:pPr>
            <w:r w:rsidRPr="001F4207">
              <w:t>(1)</w:t>
            </w:r>
            <w:r w:rsidRPr="001F4207">
              <w:tab/>
              <w:t>Before making a declaration under section 303FN, the Minister must cause to be published on the Internet a notice:</w:t>
            </w:r>
          </w:p>
          <w:p w14:paraId="12E3BD75" w14:textId="6CC41823" w:rsidR="007A0140" w:rsidRPr="001F4207" w:rsidRDefault="007A0140" w:rsidP="00FC2EBF">
            <w:pPr>
              <w:pStyle w:val="ListNumber2"/>
            </w:pPr>
            <w:r w:rsidRPr="001F4207">
              <w:t>(a)</w:t>
            </w:r>
            <w:r w:rsidRPr="001F4207">
              <w:tab/>
              <w:t>setting out the proposal to make the declaration; and</w:t>
            </w:r>
          </w:p>
          <w:p w14:paraId="45E7E594" w14:textId="63B2FB12" w:rsidR="007A0140" w:rsidRPr="001F4207" w:rsidRDefault="007A0140" w:rsidP="00FC2EBF">
            <w:pPr>
              <w:pStyle w:val="ListNumber2"/>
            </w:pPr>
            <w:r w:rsidRPr="001F4207">
              <w:t>(b)</w:t>
            </w:r>
            <w:r w:rsidRPr="001F4207">
              <w:tab/>
              <w:t>setting out sufficient information to enable persons and organisations to consider adequately the merits of the proposal; and</w:t>
            </w:r>
          </w:p>
          <w:p w14:paraId="6C5F41D2" w14:textId="2C8A724B" w:rsidR="007A0140" w:rsidRPr="001F4207" w:rsidRDefault="007A0140" w:rsidP="00FC2EBF">
            <w:pPr>
              <w:pStyle w:val="ListNumber2"/>
            </w:pPr>
            <w:r w:rsidRPr="001F4207">
              <w:t>(c)</w:t>
            </w:r>
            <w:r w:rsidRPr="001F4207">
              <w:tab/>
              <w:t>inviting persons and organisations to give the Minister, within the period specified in the notice, written comments about the proposal.</w:t>
            </w:r>
          </w:p>
          <w:p w14:paraId="6B09D91F" w14:textId="77777777" w:rsidR="007A0140" w:rsidRPr="001F4207" w:rsidRDefault="007A0140" w:rsidP="00FC2EBF">
            <w:pPr>
              <w:pStyle w:val="ListNumber"/>
            </w:pPr>
            <w:r w:rsidRPr="001F4207">
              <w:t>(2)</w:t>
            </w:r>
            <w:r w:rsidRPr="001F4207">
              <w:tab/>
              <w:t>A period specified in the notice must not be shorter than 20 business days after the date on which the notice was published on the Internet.</w:t>
            </w:r>
          </w:p>
          <w:p w14:paraId="6BDE7C87" w14:textId="77777777" w:rsidR="007A0140" w:rsidRPr="001F4207" w:rsidRDefault="007A0140" w:rsidP="00FC2EBF">
            <w:pPr>
              <w:pStyle w:val="ListNumber"/>
            </w:pPr>
            <w:r w:rsidRPr="001F4207">
              <w:t>(3)</w:t>
            </w:r>
            <w:r w:rsidRPr="001F4207">
              <w:tab/>
              <w:t xml:space="preserve">In </w:t>
            </w:r>
            <w:proofErr w:type="gramStart"/>
            <w:r w:rsidRPr="001F4207">
              <w:t>making a decision</w:t>
            </w:r>
            <w:proofErr w:type="gramEnd"/>
            <w:r w:rsidRPr="001F4207">
              <w:t xml:space="preserve"> about whether to make a declaration under section 303FN, the Minister must consider any comments about the proposal to make the declaration that were given in response to the invitation in the notice.</w:t>
            </w:r>
          </w:p>
          <w:p w14:paraId="0C500D63" w14:textId="1D5DCB67" w:rsidR="007A0140" w:rsidRPr="001F4207" w:rsidRDefault="007A0140" w:rsidP="00FC2EBF">
            <w:pPr>
              <w:pStyle w:val="ListNumber"/>
            </w:pPr>
          </w:p>
        </w:tc>
        <w:tc>
          <w:tcPr>
            <w:tcW w:w="2500" w:type="pct"/>
            <w:shd w:val="clear" w:color="auto" w:fill="auto"/>
          </w:tcPr>
          <w:p w14:paraId="63CA731B" w14:textId="77777777" w:rsidR="007A0140" w:rsidRPr="00410114" w:rsidRDefault="007A0140" w:rsidP="00E83DE9">
            <w:pPr>
              <w:spacing w:before="60" w:after="60" w:line="23" w:lineRule="atLeast"/>
              <w:rPr>
                <w:rFonts w:cs="Arial"/>
                <w:b/>
                <w:sz w:val="20"/>
                <w:szCs w:val="20"/>
              </w:rPr>
            </w:pPr>
            <w:r w:rsidRPr="00410114">
              <w:rPr>
                <w:rFonts w:cs="Arial"/>
                <w:b/>
                <w:sz w:val="20"/>
                <w:szCs w:val="20"/>
              </w:rPr>
              <w:t>Meets</w:t>
            </w:r>
          </w:p>
          <w:p w14:paraId="3FDDA632" w14:textId="022B005C" w:rsidR="007A0140" w:rsidRPr="001F4207" w:rsidRDefault="007A0140" w:rsidP="00762740">
            <w:pPr>
              <w:spacing w:beforeLines="60" w:before="144" w:afterLines="60" w:after="144" w:line="23" w:lineRule="atLeast"/>
              <w:contextualSpacing/>
              <w:rPr>
                <w:rFonts w:cs="Arial"/>
                <w:iCs/>
                <w:sz w:val="20"/>
                <w:szCs w:val="20"/>
              </w:rPr>
            </w:pPr>
            <w:r w:rsidRPr="001F4207">
              <w:rPr>
                <w:rFonts w:cs="Arial"/>
                <w:iCs/>
                <w:sz w:val="20"/>
                <w:szCs w:val="20"/>
              </w:rPr>
              <w:t>A public notice, which set out the proposal to declare the</w:t>
            </w:r>
            <w:r w:rsidR="00AA2874">
              <w:rPr>
                <w:rFonts w:cs="Arial"/>
                <w:iCs/>
                <w:sz w:val="20"/>
                <w:szCs w:val="20"/>
              </w:rPr>
              <w:t xml:space="preserve"> fishery</w:t>
            </w:r>
            <w:r w:rsidRPr="001F4207">
              <w:rPr>
                <w:rFonts w:cs="Arial"/>
                <w:iCs/>
                <w:sz w:val="20"/>
                <w:szCs w:val="20"/>
              </w:rPr>
              <w:t xml:space="preserve"> an approved </w:t>
            </w:r>
            <w:r w:rsidR="002E3F07">
              <w:rPr>
                <w:rFonts w:cs="Arial"/>
                <w:iCs/>
                <w:sz w:val="20"/>
                <w:szCs w:val="20"/>
              </w:rPr>
              <w:t>W</w:t>
            </w:r>
            <w:r w:rsidRPr="001F4207">
              <w:rPr>
                <w:rFonts w:cs="Arial"/>
                <w:iCs/>
                <w:sz w:val="20"/>
                <w:szCs w:val="20"/>
              </w:rPr>
              <w:t xml:space="preserve">ildlife </w:t>
            </w:r>
            <w:r w:rsidR="002E3F07">
              <w:rPr>
                <w:rFonts w:cs="Arial"/>
                <w:iCs/>
                <w:sz w:val="20"/>
                <w:szCs w:val="20"/>
              </w:rPr>
              <w:t>T</w:t>
            </w:r>
            <w:r w:rsidRPr="001F4207">
              <w:rPr>
                <w:rFonts w:cs="Arial"/>
                <w:iCs/>
                <w:sz w:val="20"/>
                <w:szCs w:val="20"/>
              </w:rPr>
              <w:t xml:space="preserve">rade </w:t>
            </w:r>
            <w:r w:rsidR="002E3F07">
              <w:rPr>
                <w:rFonts w:cs="Arial"/>
                <w:iCs/>
                <w:sz w:val="20"/>
                <w:szCs w:val="20"/>
              </w:rPr>
              <w:t>O</w:t>
            </w:r>
            <w:r w:rsidRPr="001F4207">
              <w:rPr>
                <w:rFonts w:cs="Arial"/>
                <w:iCs/>
                <w:sz w:val="20"/>
                <w:szCs w:val="20"/>
              </w:rPr>
              <w:t>peration and included the application from</w:t>
            </w:r>
            <w:r w:rsidR="00C82E43">
              <w:rPr>
                <w:rFonts w:cs="Arial"/>
                <w:iCs/>
                <w:sz w:val="20"/>
                <w:szCs w:val="20"/>
              </w:rPr>
              <w:t xml:space="preserve"> the fishery</w:t>
            </w:r>
            <w:r w:rsidRPr="001F4207">
              <w:rPr>
                <w:rFonts w:cs="Arial"/>
                <w:iCs/>
                <w:sz w:val="20"/>
                <w:szCs w:val="20"/>
              </w:rPr>
              <w:t xml:space="preserve">, was released for public comment on </w:t>
            </w:r>
            <w:r w:rsidR="00410114" w:rsidRPr="001F4207">
              <w:rPr>
                <w:rFonts w:cs="Arial"/>
                <w:sz w:val="20"/>
                <w:szCs w:val="20"/>
              </w:rPr>
              <w:t xml:space="preserve">from </w:t>
            </w:r>
            <w:r w:rsidR="00410114" w:rsidRPr="005E5F75">
              <w:rPr>
                <w:rFonts w:cs="Arial"/>
                <w:bCs/>
                <w:sz w:val="20"/>
                <w:szCs w:val="20"/>
              </w:rPr>
              <w:t>5 August 2021 until 9 September 2021</w:t>
            </w:r>
            <w:r w:rsidR="00CF3D5C">
              <w:rPr>
                <w:rFonts w:cs="Arial"/>
                <w:bCs/>
                <w:sz w:val="20"/>
                <w:szCs w:val="20"/>
              </w:rPr>
              <w:t>, a period of 26 business days</w:t>
            </w:r>
            <w:r w:rsidR="00410114" w:rsidRPr="005E5F75">
              <w:rPr>
                <w:rFonts w:cs="Arial"/>
                <w:bCs/>
                <w:sz w:val="20"/>
                <w:szCs w:val="20"/>
              </w:rPr>
              <w:t>.</w:t>
            </w:r>
          </w:p>
          <w:p w14:paraId="173185EF" w14:textId="77777777" w:rsidR="00410114" w:rsidRDefault="00410114" w:rsidP="00762740">
            <w:pPr>
              <w:spacing w:beforeLines="60" w:before="144" w:afterLines="60" w:after="144" w:line="23" w:lineRule="atLeast"/>
              <w:contextualSpacing/>
              <w:rPr>
                <w:rFonts w:cs="Arial"/>
                <w:iCs/>
                <w:sz w:val="20"/>
                <w:szCs w:val="20"/>
                <w:highlight w:val="yellow"/>
              </w:rPr>
            </w:pPr>
          </w:p>
          <w:p w14:paraId="0E9881AA" w14:textId="68815578" w:rsidR="00704235" w:rsidRPr="00BD317E" w:rsidRDefault="002E3F07" w:rsidP="00762740">
            <w:pPr>
              <w:spacing w:beforeLines="60" w:before="144" w:afterLines="60" w:after="144" w:line="23" w:lineRule="atLeast"/>
              <w:contextualSpacing/>
              <w:rPr>
                <w:rFonts w:cs="Arial"/>
                <w:iCs/>
                <w:sz w:val="20"/>
                <w:szCs w:val="20"/>
              </w:rPr>
            </w:pPr>
            <w:r>
              <w:rPr>
                <w:rFonts w:cs="Arial"/>
                <w:iCs/>
                <w:sz w:val="20"/>
                <w:szCs w:val="20"/>
              </w:rPr>
              <w:t>Twelve</w:t>
            </w:r>
            <w:r w:rsidR="007A0140" w:rsidRPr="00BD317E">
              <w:rPr>
                <w:rFonts w:cs="Arial"/>
                <w:iCs/>
                <w:sz w:val="20"/>
                <w:szCs w:val="20"/>
              </w:rPr>
              <w:t xml:space="preserve"> public comments were received on the submission. The public comments</w:t>
            </w:r>
            <w:r w:rsidR="007B133A" w:rsidRPr="00BD317E">
              <w:rPr>
                <w:rFonts w:cs="Arial"/>
                <w:iCs/>
                <w:sz w:val="20"/>
                <w:szCs w:val="20"/>
              </w:rPr>
              <w:t xml:space="preserve"> pointed out the vital role sea cucumbers play in the ecosystem. The comments</w:t>
            </w:r>
            <w:r w:rsidR="007A0140" w:rsidRPr="00BD317E">
              <w:rPr>
                <w:rFonts w:cs="Arial"/>
                <w:iCs/>
                <w:sz w:val="20"/>
                <w:szCs w:val="20"/>
              </w:rPr>
              <w:t xml:space="preserve"> expressed concerns about </w:t>
            </w:r>
            <w:r w:rsidR="00704235" w:rsidRPr="00BD317E">
              <w:rPr>
                <w:rFonts w:cs="Arial"/>
                <w:iCs/>
                <w:sz w:val="20"/>
                <w:szCs w:val="20"/>
              </w:rPr>
              <w:t>the intrinsic vulnerability of sea cucumbers to overharvesting and whether the management arrangements of the fishery are conducive to meeting Australia’s obligations under CITES or the aims of the Reef 2050 Long Term Sustainability Plan.</w:t>
            </w:r>
          </w:p>
          <w:p w14:paraId="71C42D20" w14:textId="77777777" w:rsidR="00704235" w:rsidRPr="00BD317E" w:rsidRDefault="00704235" w:rsidP="00762740">
            <w:pPr>
              <w:spacing w:beforeLines="60" w:before="144" w:afterLines="60" w:after="144" w:line="23" w:lineRule="atLeast"/>
              <w:contextualSpacing/>
              <w:rPr>
                <w:rFonts w:cs="Arial"/>
                <w:iCs/>
                <w:sz w:val="20"/>
                <w:szCs w:val="20"/>
              </w:rPr>
            </w:pPr>
          </w:p>
          <w:p w14:paraId="69F59FAF" w14:textId="12E39857" w:rsidR="007A0140" w:rsidRPr="00BD317E" w:rsidRDefault="00704235" w:rsidP="00762740">
            <w:pPr>
              <w:spacing w:beforeLines="60" w:before="144" w:afterLines="60" w:after="144" w:line="23" w:lineRule="atLeast"/>
              <w:contextualSpacing/>
              <w:rPr>
                <w:rFonts w:cs="Arial"/>
                <w:iCs/>
                <w:sz w:val="20"/>
                <w:szCs w:val="20"/>
              </w:rPr>
            </w:pPr>
            <w:r w:rsidRPr="00BD317E">
              <w:rPr>
                <w:rFonts w:cs="Arial"/>
                <w:iCs/>
                <w:sz w:val="20"/>
                <w:szCs w:val="20"/>
              </w:rPr>
              <w:t>Public comme</w:t>
            </w:r>
            <w:r w:rsidR="00AE443A">
              <w:rPr>
                <w:rFonts w:cs="Arial"/>
                <w:iCs/>
                <w:sz w:val="20"/>
                <w:szCs w:val="20"/>
              </w:rPr>
              <w:t>nt</w:t>
            </w:r>
            <w:r w:rsidRPr="00BD317E">
              <w:rPr>
                <w:rFonts w:cs="Arial"/>
                <w:iCs/>
                <w:sz w:val="20"/>
                <w:szCs w:val="20"/>
              </w:rPr>
              <w:t xml:space="preserve">s also raised concerns about the lack of adequate stock status </w:t>
            </w:r>
            <w:r w:rsidR="007B133A" w:rsidRPr="00BD317E">
              <w:rPr>
                <w:rFonts w:cs="Arial"/>
                <w:iCs/>
                <w:sz w:val="20"/>
                <w:szCs w:val="20"/>
              </w:rPr>
              <w:t xml:space="preserve">information and inconsistent and inadequate information from previous surveys particularly </w:t>
            </w:r>
            <w:r w:rsidR="002E3F07">
              <w:rPr>
                <w:rFonts w:cs="Arial"/>
                <w:iCs/>
                <w:sz w:val="20"/>
                <w:szCs w:val="20"/>
              </w:rPr>
              <w:t>for</w:t>
            </w:r>
            <w:r w:rsidR="007B133A" w:rsidRPr="00BD317E">
              <w:rPr>
                <w:rFonts w:cs="Arial"/>
                <w:iCs/>
                <w:sz w:val="20"/>
                <w:szCs w:val="20"/>
              </w:rPr>
              <w:t xml:space="preserve"> Black </w:t>
            </w:r>
            <w:proofErr w:type="spellStart"/>
            <w:r w:rsidR="007B133A" w:rsidRPr="00BD317E">
              <w:rPr>
                <w:rFonts w:cs="Arial"/>
                <w:iCs/>
                <w:sz w:val="20"/>
                <w:szCs w:val="20"/>
              </w:rPr>
              <w:t>Teatfish</w:t>
            </w:r>
            <w:proofErr w:type="spellEnd"/>
            <w:r w:rsidR="007B133A" w:rsidRPr="00BD317E">
              <w:rPr>
                <w:rFonts w:cs="Arial"/>
                <w:iCs/>
                <w:sz w:val="20"/>
                <w:szCs w:val="20"/>
              </w:rPr>
              <w:t xml:space="preserve">. The comments </w:t>
            </w:r>
            <w:r w:rsidR="00AE443A">
              <w:rPr>
                <w:rFonts w:cs="Arial"/>
                <w:iCs/>
                <w:sz w:val="20"/>
                <w:szCs w:val="20"/>
              </w:rPr>
              <w:t>noted</w:t>
            </w:r>
            <w:r w:rsidR="007B133A" w:rsidRPr="00BD317E">
              <w:rPr>
                <w:rFonts w:cs="Arial"/>
                <w:iCs/>
                <w:sz w:val="20"/>
                <w:szCs w:val="20"/>
              </w:rPr>
              <w:t xml:space="preserve"> concerns about significant uncertainty in recent biomass surveys for </w:t>
            </w:r>
            <w:r w:rsidR="00BD317E">
              <w:rPr>
                <w:rFonts w:cs="Arial"/>
                <w:iCs/>
                <w:sz w:val="20"/>
                <w:szCs w:val="20"/>
              </w:rPr>
              <w:t>B</w:t>
            </w:r>
            <w:r w:rsidR="007B133A" w:rsidRPr="00BD317E">
              <w:rPr>
                <w:rFonts w:cs="Arial"/>
                <w:iCs/>
                <w:sz w:val="20"/>
                <w:szCs w:val="20"/>
              </w:rPr>
              <w:t xml:space="preserve">lack </w:t>
            </w:r>
            <w:proofErr w:type="spellStart"/>
            <w:r w:rsidR="00BD317E">
              <w:rPr>
                <w:rFonts w:cs="Arial"/>
                <w:iCs/>
                <w:sz w:val="20"/>
                <w:szCs w:val="20"/>
              </w:rPr>
              <w:t>T</w:t>
            </w:r>
            <w:r w:rsidR="007B133A" w:rsidRPr="00BD317E">
              <w:rPr>
                <w:rFonts w:cs="Arial"/>
                <w:iCs/>
                <w:sz w:val="20"/>
                <w:szCs w:val="20"/>
              </w:rPr>
              <w:t>eatfish</w:t>
            </w:r>
            <w:proofErr w:type="spellEnd"/>
            <w:r w:rsidR="007B133A" w:rsidRPr="00BD317E">
              <w:rPr>
                <w:rFonts w:cs="Arial"/>
                <w:iCs/>
                <w:sz w:val="20"/>
                <w:szCs w:val="20"/>
              </w:rPr>
              <w:t xml:space="preserve">. </w:t>
            </w:r>
          </w:p>
          <w:p w14:paraId="3B7ACB21" w14:textId="69545F7F" w:rsidR="00874ABB" w:rsidRPr="00BD317E" w:rsidRDefault="00874ABB" w:rsidP="00762740">
            <w:pPr>
              <w:spacing w:beforeLines="60" w:before="144" w:afterLines="60" w:after="144" w:line="23" w:lineRule="atLeast"/>
              <w:contextualSpacing/>
              <w:rPr>
                <w:rFonts w:cs="Arial"/>
                <w:iCs/>
                <w:sz w:val="20"/>
                <w:szCs w:val="20"/>
              </w:rPr>
            </w:pPr>
          </w:p>
          <w:p w14:paraId="64E08485" w14:textId="7327BF09" w:rsidR="007B133A" w:rsidRPr="00BD317E" w:rsidRDefault="007B133A" w:rsidP="00762740">
            <w:pPr>
              <w:spacing w:beforeLines="60" w:before="144" w:afterLines="60" w:after="144" w:line="23" w:lineRule="atLeast"/>
              <w:contextualSpacing/>
              <w:rPr>
                <w:rFonts w:cs="Arial"/>
                <w:iCs/>
                <w:sz w:val="20"/>
                <w:szCs w:val="20"/>
              </w:rPr>
            </w:pPr>
            <w:r w:rsidRPr="00BD317E">
              <w:rPr>
                <w:rFonts w:cs="Arial"/>
                <w:iCs/>
                <w:sz w:val="20"/>
                <w:szCs w:val="20"/>
              </w:rPr>
              <w:t>There were also concerns raised about the concentration of harvest in specific areas of the fishery despite the RHA only permitting harvest for a limited time in each zone of the fishery</w:t>
            </w:r>
            <w:r w:rsidR="00BD317E">
              <w:rPr>
                <w:rFonts w:cs="Arial"/>
                <w:iCs/>
                <w:sz w:val="20"/>
                <w:szCs w:val="20"/>
              </w:rPr>
              <w:t xml:space="preserve"> every three years</w:t>
            </w:r>
            <w:r w:rsidRPr="00BD317E">
              <w:rPr>
                <w:rFonts w:cs="Arial"/>
                <w:iCs/>
                <w:sz w:val="20"/>
                <w:szCs w:val="20"/>
              </w:rPr>
              <w:t xml:space="preserve">. </w:t>
            </w:r>
          </w:p>
          <w:p w14:paraId="62BD9354" w14:textId="64C2E775" w:rsidR="00874ABB" w:rsidRDefault="00874ABB" w:rsidP="00762740">
            <w:pPr>
              <w:spacing w:beforeLines="60" w:before="144" w:afterLines="60" w:after="144" w:line="23" w:lineRule="atLeast"/>
              <w:contextualSpacing/>
              <w:rPr>
                <w:rFonts w:cs="Arial"/>
                <w:iCs/>
                <w:sz w:val="20"/>
                <w:szCs w:val="20"/>
                <w:highlight w:val="green"/>
              </w:rPr>
            </w:pPr>
          </w:p>
          <w:p w14:paraId="37A96D0A" w14:textId="5909DE0F" w:rsidR="007B133A" w:rsidRDefault="007B133A" w:rsidP="00762740">
            <w:pPr>
              <w:spacing w:beforeLines="60" w:before="144" w:afterLines="60" w:after="144" w:line="23" w:lineRule="atLeast"/>
              <w:contextualSpacing/>
              <w:rPr>
                <w:rFonts w:cs="Arial"/>
                <w:iCs/>
                <w:sz w:val="20"/>
                <w:szCs w:val="20"/>
              </w:rPr>
            </w:pPr>
            <w:r>
              <w:rPr>
                <w:rFonts w:cs="Arial"/>
                <w:iCs/>
                <w:sz w:val="20"/>
                <w:szCs w:val="20"/>
              </w:rPr>
              <w:t>Comments</w:t>
            </w:r>
            <w:r w:rsidR="002E3F07">
              <w:rPr>
                <w:rFonts w:cs="Arial"/>
                <w:iCs/>
                <w:sz w:val="20"/>
                <w:szCs w:val="20"/>
              </w:rPr>
              <w:t xml:space="preserve"> </w:t>
            </w:r>
            <w:r w:rsidR="00540E9E">
              <w:rPr>
                <w:rFonts w:cs="Arial"/>
                <w:iCs/>
                <w:sz w:val="20"/>
                <w:szCs w:val="20"/>
              </w:rPr>
              <w:t xml:space="preserve">were also received on the </w:t>
            </w:r>
            <w:r w:rsidRPr="00874ABB">
              <w:rPr>
                <w:rFonts w:cs="Arial"/>
                <w:iCs/>
                <w:sz w:val="20"/>
                <w:szCs w:val="20"/>
              </w:rPr>
              <w:t>high level of vulnerability of these species to fishing pressure as they are sedentary, later maturing and show low levels of recruitment as they require a certain density of individuals on a reef to successfully spawn. If fished to bellow this point, recovery is very slow to the point local extinction may occur.</w:t>
            </w:r>
          </w:p>
          <w:p w14:paraId="4F5C7266" w14:textId="289D979C" w:rsidR="00BD317E" w:rsidRDefault="00BD317E" w:rsidP="00762740">
            <w:pPr>
              <w:spacing w:beforeLines="60" w:before="144" w:afterLines="60" w:after="144" w:line="23" w:lineRule="atLeast"/>
              <w:contextualSpacing/>
              <w:rPr>
                <w:rFonts w:cs="Arial"/>
                <w:iCs/>
                <w:sz w:val="20"/>
                <w:szCs w:val="20"/>
              </w:rPr>
            </w:pPr>
          </w:p>
          <w:p w14:paraId="0EFBF48A" w14:textId="21DFCCF6" w:rsidR="007A0140" w:rsidRDefault="00BD317E" w:rsidP="00762740">
            <w:pPr>
              <w:spacing w:beforeLines="60" w:before="144" w:afterLines="60" w:after="144" w:line="23" w:lineRule="atLeast"/>
              <w:contextualSpacing/>
              <w:rPr>
                <w:rFonts w:cs="Arial"/>
                <w:iCs/>
                <w:sz w:val="20"/>
                <w:szCs w:val="20"/>
              </w:rPr>
            </w:pPr>
            <w:r>
              <w:rPr>
                <w:rFonts w:cs="Arial"/>
                <w:iCs/>
                <w:sz w:val="20"/>
                <w:szCs w:val="20"/>
              </w:rPr>
              <w:t>Copies of the public comments and QDAF</w:t>
            </w:r>
            <w:r w:rsidR="00C82E43">
              <w:rPr>
                <w:rFonts w:cs="Arial"/>
                <w:iCs/>
                <w:sz w:val="20"/>
                <w:szCs w:val="20"/>
              </w:rPr>
              <w:t>’</w:t>
            </w:r>
            <w:r>
              <w:rPr>
                <w:rFonts w:cs="Arial"/>
                <w:iCs/>
                <w:sz w:val="20"/>
                <w:szCs w:val="20"/>
              </w:rPr>
              <w:t>s response to the issues raised in theses submissions will be provided to the decision maker with this</w:t>
            </w:r>
            <w:r w:rsidR="00EB7731">
              <w:rPr>
                <w:rFonts w:cs="Arial"/>
                <w:iCs/>
                <w:sz w:val="20"/>
                <w:szCs w:val="20"/>
              </w:rPr>
              <w:t xml:space="preserve"> assessment</w:t>
            </w:r>
            <w:r>
              <w:rPr>
                <w:rFonts w:cs="Arial"/>
                <w:iCs/>
                <w:sz w:val="20"/>
                <w:szCs w:val="20"/>
              </w:rPr>
              <w:t xml:space="preserve"> report.</w:t>
            </w:r>
            <w:r w:rsidR="00EB7731">
              <w:rPr>
                <w:rFonts w:cs="Arial"/>
                <w:iCs/>
                <w:sz w:val="20"/>
                <w:szCs w:val="20"/>
              </w:rPr>
              <w:t xml:space="preserve"> The public comments and QDAF’s response were considered in this assessment and </w:t>
            </w:r>
            <w:r w:rsidRPr="00BD317E">
              <w:rPr>
                <w:rFonts w:cs="Arial"/>
                <w:iCs/>
                <w:sz w:val="20"/>
                <w:szCs w:val="20"/>
              </w:rPr>
              <w:t>conditions outlined in Section 2</w:t>
            </w:r>
            <w:r w:rsidR="00EB7731">
              <w:rPr>
                <w:rFonts w:cs="Arial"/>
                <w:iCs/>
                <w:sz w:val="20"/>
                <w:szCs w:val="20"/>
              </w:rPr>
              <w:t>, have been set to address these issue</w:t>
            </w:r>
            <w:r w:rsidR="00DD4065">
              <w:rPr>
                <w:rFonts w:cs="Arial"/>
                <w:iCs/>
                <w:sz w:val="20"/>
                <w:szCs w:val="20"/>
              </w:rPr>
              <w:t>s</w:t>
            </w:r>
            <w:r w:rsidR="007A0140" w:rsidRPr="00BD317E">
              <w:rPr>
                <w:rFonts w:cs="Arial"/>
                <w:iCs/>
                <w:sz w:val="20"/>
                <w:szCs w:val="20"/>
              </w:rPr>
              <w:t>.</w:t>
            </w:r>
          </w:p>
          <w:p w14:paraId="761E57B8" w14:textId="7E861DFB" w:rsidR="007A0140" w:rsidRPr="001F4207" w:rsidRDefault="007A0140" w:rsidP="00762740">
            <w:pPr>
              <w:spacing w:beforeLines="60" w:before="144" w:afterLines="60" w:after="144" w:line="23" w:lineRule="atLeast"/>
              <w:contextualSpacing/>
              <w:rPr>
                <w:rFonts w:cs="Arial"/>
                <w:b/>
                <w:sz w:val="20"/>
                <w:szCs w:val="20"/>
              </w:rPr>
            </w:pPr>
          </w:p>
        </w:tc>
      </w:tr>
      <w:tr w:rsidR="00DF3B87" w:rsidRPr="001F4207" w14:paraId="7891866A"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C0B4DF5" w14:textId="53CC3909" w:rsidR="00DF3B87" w:rsidRPr="001F4207" w:rsidRDefault="00DF3B87" w:rsidP="00FC2EBF">
            <w:pPr>
              <w:spacing w:before="60" w:after="60" w:line="276" w:lineRule="auto"/>
              <w:ind w:left="360" w:hanging="360"/>
              <w:contextualSpacing/>
              <w:jc w:val="center"/>
              <w:rPr>
                <w:rFonts w:cs="Arial"/>
                <w:sz w:val="20"/>
                <w:szCs w:val="20"/>
              </w:rPr>
            </w:pPr>
            <w:r w:rsidRPr="001F4207">
              <w:rPr>
                <w:rFonts w:cs="Arial"/>
                <w:b/>
                <w:sz w:val="20"/>
                <w:szCs w:val="20"/>
              </w:rPr>
              <w:t xml:space="preserve">Section 303FT Additional provisions relating to declarations </w:t>
            </w:r>
          </w:p>
        </w:tc>
        <w:tc>
          <w:tcPr>
            <w:tcW w:w="2500" w:type="pct"/>
            <w:shd w:val="clear" w:color="auto" w:fill="D9D9D9" w:themeFill="background1" w:themeFillShade="D9"/>
            <w:vAlign w:val="center"/>
          </w:tcPr>
          <w:p w14:paraId="08BA9277" w14:textId="48DB3479" w:rsidR="00DF3B87" w:rsidRPr="001F4207" w:rsidRDefault="00DF3B87" w:rsidP="00762740">
            <w:pPr>
              <w:spacing w:beforeLines="60" w:before="144" w:afterLines="60" w:after="144" w:line="23" w:lineRule="atLeast"/>
              <w:contextualSpacing/>
              <w:jc w:val="center"/>
              <w:rPr>
                <w:rFonts w:cs="Arial"/>
                <w:b/>
                <w:iCs/>
                <w:sz w:val="20"/>
                <w:szCs w:val="20"/>
              </w:rPr>
            </w:pPr>
            <w:r w:rsidRPr="001F4207">
              <w:rPr>
                <w:rFonts w:cs="Arial"/>
                <w:b/>
                <w:sz w:val="20"/>
                <w:szCs w:val="20"/>
              </w:rPr>
              <w:t>Comments</w:t>
            </w:r>
          </w:p>
        </w:tc>
      </w:tr>
      <w:tr w:rsidR="00DF3B87" w:rsidRPr="001F4207" w14:paraId="70ECFDED"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86BEE9E" w14:textId="1663C4FA" w:rsidR="00DF3B87" w:rsidRPr="001F4207" w:rsidRDefault="00DF3B87" w:rsidP="00FC2EBF">
            <w:pPr>
              <w:pStyle w:val="ListNumber"/>
            </w:pPr>
            <w:r w:rsidRPr="001F4207">
              <w:t>(1)</w:t>
            </w:r>
            <w:r w:rsidRPr="001F4207">
              <w:tab/>
              <w:t>This section applies to a declaration made under section 303FN, 303FO or 303FP.</w:t>
            </w:r>
          </w:p>
        </w:tc>
        <w:tc>
          <w:tcPr>
            <w:tcW w:w="2500" w:type="pct"/>
            <w:shd w:val="clear" w:color="auto" w:fill="auto"/>
          </w:tcPr>
          <w:p w14:paraId="1FADFDC4" w14:textId="5F326513" w:rsidR="00DF3B87" w:rsidRPr="001F4207" w:rsidRDefault="00DF3B87" w:rsidP="00762740">
            <w:pPr>
              <w:spacing w:beforeLines="60" w:before="144" w:afterLines="60" w:after="144" w:line="23" w:lineRule="atLeast"/>
              <w:contextualSpacing/>
              <w:rPr>
                <w:rFonts w:cs="Arial"/>
                <w:b/>
                <w:iCs/>
                <w:sz w:val="20"/>
                <w:szCs w:val="20"/>
              </w:rPr>
            </w:pPr>
            <w:r w:rsidRPr="001F4207">
              <w:rPr>
                <w:rFonts w:cs="Arial"/>
                <w:sz w:val="20"/>
                <w:szCs w:val="20"/>
              </w:rPr>
              <w:t xml:space="preserve">A declaration for the </w:t>
            </w:r>
            <w:r w:rsidR="00C82E43">
              <w:rPr>
                <w:rFonts w:cs="Arial"/>
                <w:sz w:val="20"/>
                <w:szCs w:val="20"/>
              </w:rPr>
              <w:t>fishery</w:t>
            </w:r>
            <w:r w:rsidRPr="00EB7731">
              <w:rPr>
                <w:rFonts w:cs="Arial"/>
                <w:sz w:val="20"/>
                <w:szCs w:val="20"/>
              </w:rPr>
              <w:t xml:space="preserve"> will be</w:t>
            </w:r>
            <w:r w:rsidRPr="001F4207">
              <w:rPr>
                <w:rFonts w:cs="Arial"/>
                <w:sz w:val="20"/>
                <w:szCs w:val="20"/>
              </w:rPr>
              <w:t xml:space="preserve"> made under section 303FN.</w:t>
            </w:r>
          </w:p>
        </w:tc>
      </w:tr>
      <w:tr w:rsidR="00DF3B87" w:rsidRPr="001F4207" w14:paraId="3FE1C85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09D9E527" w14:textId="41851D69" w:rsidR="00DF3B87" w:rsidRPr="001F4207" w:rsidRDefault="00DF3B87" w:rsidP="00FC2EBF">
            <w:pPr>
              <w:pStyle w:val="ListNumber"/>
            </w:pPr>
            <w:r w:rsidRPr="001F4207">
              <w:lastRenderedPageBreak/>
              <w:t>(4)</w:t>
            </w:r>
            <w:r w:rsidRPr="001F4207">
              <w:tab/>
              <w:t>The Minister may make a declaration about a plan or operation even though he or she considers that the plan or operation should be the subject of the declaration only:</w:t>
            </w:r>
          </w:p>
          <w:p w14:paraId="588AB7D9" w14:textId="5C6303ED" w:rsidR="00DF3B87" w:rsidRPr="001F4207" w:rsidRDefault="00DF3B87" w:rsidP="00FC2EBF">
            <w:pPr>
              <w:pStyle w:val="ListNumber2"/>
            </w:pPr>
            <w:r w:rsidRPr="001F4207">
              <w:t>(a)</w:t>
            </w:r>
            <w:r w:rsidRPr="001F4207">
              <w:tab/>
              <w:t>during a particular period; or</w:t>
            </w:r>
          </w:p>
          <w:p w14:paraId="5CBBE9A2" w14:textId="5D9A9395" w:rsidR="00DF3B87" w:rsidRPr="001F4207" w:rsidRDefault="00DF3B87" w:rsidP="00FC2EBF">
            <w:pPr>
              <w:pStyle w:val="ListNumber2"/>
            </w:pPr>
            <w:r w:rsidRPr="001F4207">
              <w:t>(b)</w:t>
            </w:r>
            <w:r w:rsidRPr="001F4207">
              <w:tab/>
              <w:t>while certain circumstances exist; or</w:t>
            </w:r>
          </w:p>
          <w:p w14:paraId="2FFEC89D" w14:textId="0E1C97F8" w:rsidR="00DF3B87" w:rsidRPr="001F4207" w:rsidRDefault="00DF3B87" w:rsidP="00FC2EBF">
            <w:pPr>
              <w:pStyle w:val="ListNumber2"/>
            </w:pPr>
            <w:r w:rsidRPr="001F4207">
              <w:t>(c)</w:t>
            </w:r>
            <w:r w:rsidRPr="001F4207">
              <w:tab/>
              <w:t>while a certain condition is complied with.</w:t>
            </w:r>
          </w:p>
          <w:p w14:paraId="207C4E45" w14:textId="77777777"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In such a case, the instrument of declaration is to specify the period, </w:t>
            </w:r>
            <w:proofErr w:type="gramStart"/>
            <w:r w:rsidRPr="001F4207">
              <w:rPr>
                <w:rFonts w:cs="Arial"/>
                <w:sz w:val="20"/>
                <w:szCs w:val="20"/>
              </w:rPr>
              <w:t>circumstances</w:t>
            </w:r>
            <w:proofErr w:type="gramEnd"/>
            <w:r w:rsidRPr="001F4207">
              <w:rPr>
                <w:rFonts w:cs="Arial"/>
                <w:sz w:val="20"/>
                <w:szCs w:val="20"/>
              </w:rPr>
              <w:t xml:space="preserve"> or condition.</w:t>
            </w:r>
          </w:p>
          <w:p w14:paraId="2BD49449" w14:textId="1A8A8EDB" w:rsidR="00DF3B87" w:rsidRPr="001F4207" w:rsidRDefault="00DF3B87" w:rsidP="00FC2EBF">
            <w:pPr>
              <w:pStyle w:val="ListNumber"/>
            </w:pPr>
          </w:p>
        </w:tc>
        <w:tc>
          <w:tcPr>
            <w:tcW w:w="2500" w:type="pct"/>
            <w:shd w:val="clear" w:color="auto" w:fill="auto"/>
          </w:tcPr>
          <w:p w14:paraId="7D3F6858" w14:textId="77777777" w:rsidR="00DF3B87" w:rsidRPr="001F4207" w:rsidRDefault="00DF3B87" w:rsidP="00762740">
            <w:pPr>
              <w:spacing w:beforeLines="60" w:before="144" w:afterLines="60" w:after="144" w:line="23" w:lineRule="atLeast"/>
              <w:contextualSpacing/>
              <w:rPr>
                <w:rFonts w:cs="Arial"/>
                <w:sz w:val="20"/>
                <w:szCs w:val="20"/>
              </w:rPr>
            </w:pPr>
            <w:r w:rsidRPr="001F4207">
              <w:rPr>
                <w:rFonts w:cs="Arial"/>
                <w:sz w:val="20"/>
                <w:szCs w:val="20"/>
              </w:rPr>
              <w:t xml:space="preserve">The standard conditions applied to commercial fishery </w:t>
            </w:r>
            <w:r w:rsidRPr="001F4207">
              <w:rPr>
                <w:rFonts w:cs="Arial"/>
                <w:iCs/>
                <w:sz w:val="20"/>
                <w:szCs w:val="20"/>
              </w:rPr>
              <w:t>wildlife trade operations</w:t>
            </w:r>
            <w:r w:rsidRPr="001F4207">
              <w:rPr>
                <w:rFonts w:cs="Arial"/>
                <w:sz w:val="20"/>
                <w:szCs w:val="20"/>
              </w:rPr>
              <w:t xml:space="preserve"> include:</w:t>
            </w:r>
          </w:p>
          <w:p w14:paraId="0492F507" w14:textId="77777777" w:rsidR="00DF3B87" w:rsidRPr="001F4207" w:rsidRDefault="00DF3B87" w:rsidP="00762740">
            <w:pPr>
              <w:pStyle w:val="ListBullet"/>
              <w:spacing w:beforeLines="60" w:before="144" w:afterLines="60" w:after="144" w:line="23" w:lineRule="atLeast"/>
              <w:rPr>
                <w:szCs w:val="20"/>
              </w:rPr>
            </w:pPr>
            <w:r w:rsidRPr="001F4207">
              <w:rPr>
                <w:szCs w:val="20"/>
              </w:rPr>
              <w:t>operation in accordance with the management regime</w:t>
            </w:r>
          </w:p>
          <w:p w14:paraId="14CEC72A" w14:textId="77777777" w:rsidR="00DF3B87" w:rsidRPr="001F4207" w:rsidRDefault="00DF3B87" w:rsidP="00762740">
            <w:pPr>
              <w:pStyle w:val="ListBullet"/>
              <w:spacing w:beforeLines="60" w:before="144" w:afterLines="60" w:after="144" w:line="23" w:lineRule="atLeast"/>
              <w:rPr>
                <w:szCs w:val="20"/>
              </w:rPr>
            </w:pPr>
            <w:r w:rsidRPr="001F4207">
              <w:rPr>
                <w:szCs w:val="20"/>
              </w:rPr>
              <w:t>notifying the Department of changes to the management regime, and</w:t>
            </w:r>
          </w:p>
          <w:p w14:paraId="5BBB63E2" w14:textId="77777777" w:rsidR="00DF3B87" w:rsidRPr="001F4207" w:rsidRDefault="00DF3B87" w:rsidP="00762740">
            <w:pPr>
              <w:pStyle w:val="ListBullet"/>
              <w:spacing w:beforeLines="60" w:before="144" w:afterLines="60" w:after="144" w:line="23" w:lineRule="atLeast"/>
              <w:rPr>
                <w:szCs w:val="20"/>
              </w:rPr>
            </w:pPr>
            <w:r w:rsidRPr="001F4207">
              <w:rPr>
                <w:szCs w:val="20"/>
              </w:rPr>
              <w:t xml:space="preserve">annual reporting in accordance with the requirements of the Australian Government </w:t>
            </w:r>
            <w:r w:rsidRPr="000767A7">
              <w:rPr>
                <w:i/>
                <w:iCs/>
                <w:szCs w:val="20"/>
              </w:rPr>
              <w:t>Guidelines for the Ecologically Sustainable Management of Fisheries – 2nd Edition</w:t>
            </w:r>
            <w:r w:rsidRPr="001F4207">
              <w:rPr>
                <w:szCs w:val="20"/>
              </w:rPr>
              <w:t>.</w:t>
            </w:r>
          </w:p>
          <w:p w14:paraId="3250E5D8" w14:textId="772CB064" w:rsidR="00DF3B87" w:rsidRPr="001F4207" w:rsidRDefault="00DF3B87" w:rsidP="00762740">
            <w:pPr>
              <w:spacing w:beforeLines="60" w:before="144" w:afterLines="60" w:after="144" w:line="23" w:lineRule="atLeast"/>
              <w:contextualSpacing/>
              <w:rPr>
                <w:rFonts w:cs="Arial"/>
                <w:sz w:val="20"/>
                <w:szCs w:val="20"/>
              </w:rPr>
            </w:pPr>
            <w:r w:rsidRPr="001F4207">
              <w:rPr>
                <w:rFonts w:cs="Arial"/>
                <w:sz w:val="20"/>
                <w:szCs w:val="20"/>
              </w:rPr>
              <w:t xml:space="preserve">The </w:t>
            </w:r>
            <w:r w:rsidR="000767A7">
              <w:rPr>
                <w:rFonts w:cs="Arial"/>
                <w:sz w:val="20"/>
                <w:szCs w:val="20"/>
              </w:rPr>
              <w:t>W</w:t>
            </w:r>
            <w:r w:rsidRPr="001F4207">
              <w:rPr>
                <w:rFonts w:cs="Arial"/>
                <w:iCs/>
                <w:sz w:val="20"/>
                <w:szCs w:val="20"/>
              </w:rPr>
              <w:t xml:space="preserve">ildlife </w:t>
            </w:r>
            <w:r w:rsidR="000767A7">
              <w:rPr>
                <w:rFonts w:cs="Arial"/>
                <w:iCs/>
                <w:sz w:val="20"/>
                <w:szCs w:val="20"/>
              </w:rPr>
              <w:t>T</w:t>
            </w:r>
            <w:r w:rsidRPr="001F4207">
              <w:rPr>
                <w:rFonts w:cs="Arial"/>
                <w:iCs/>
                <w:sz w:val="20"/>
                <w:szCs w:val="20"/>
              </w:rPr>
              <w:t xml:space="preserve">rade </w:t>
            </w:r>
            <w:r w:rsidR="000767A7">
              <w:rPr>
                <w:rFonts w:cs="Arial"/>
                <w:iCs/>
                <w:sz w:val="20"/>
                <w:szCs w:val="20"/>
              </w:rPr>
              <w:t>O</w:t>
            </w:r>
            <w:r w:rsidRPr="001F4207">
              <w:rPr>
                <w:rFonts w:cs="Arial"/>
                <w:iCs/>
                <w:sz w:val="20"/>
                <w:szCs w:val="20"/>
              </w:rPr>
              <w:t xml:space="preserve">peration </w:t>
            </w:r>
            <w:r w:rsidRPr="001F4207">
              <w:rPr>
                <w:rFonts w:cs="Arial"/>
                <w:sz w:val="20"/>
                <w:szCs w:val="20"/>
              </w:rPr>
              <w:t xml:space="preserve">instrument for the </w:t>
            </w:r>
            <w:r w:rsidR="00C82E43">
              <w:rPr>
                <w:rFonts w:cs="Arial"/>
                <w:sz w:val="20"/>
                <w:szCs w:val="20"/>
              </w:rPr>
              <w:t>fishery</w:t>
            </w:r>
            <w:r w:rsidR="00EB7731">
              <w:rPr>
                <w:rFonts w:cs="Arial"/>
                <w:sz w:val="20"/>
                <w:szCs w:val="20"/>
              </w:rPr>
              <w:t xml:space="preserve"> </w:t>
            </w:r>
            <w:r w:rsidRPr="001F4207">
              <w:rPr>
                <w:rFonts w:cs="Arial"/>
                <w:sz w:val="20"/>
                <w:szCs w:val="20"/>
              </w:rPr>
              <w:t>specifies the standard and any additional conditions applied</w:t>
            </w:r>
            <w:r w:rsidR="00EB7731">
              <w:rPr>
                <w:rFonts w:cs="Arial"/>
                <w:sz w:val="20"/>
                <w:szCs w:val="20"/>
              </w:rPr>
              <w:t xml:space="preserve">, over the specified period of three years, to the </w:t>
            </w:r>
            <w:r w:rsidR="009306EC">
              <w:rPr>
                <w:rFonts w:cs="Arial"/>
                <w:sz w:val="20"/>
                <w:szCs w:val="20"/>
              </w:rPr>
              <w:t>30 November 2024</w:t>
            </w:r>
            <w:r w:rsidR="00EB7731">
              <w:rPr>
                <w:rFonts w:cs="Arial"/>
                <w:sz w:val="20"/>
                <w:szCs w:val="20"/>
              </w:rPr>
              <w:t>. Further conditions specific to this WTO are outlined in Section 2 of this assessment and require reporting prior to the standard submission of annual reports.</w:t>
            </w:r>
          </w:p>
          <w:p w14:paraId="154980E0" w14:textId="7CF2285E" w:rsidR="00DF3B87" w:rsidRPr="001F4207" w:rsidRDefault="00DF3B87" w:rsidP="00762740">
            <w:pPr>
              <w:spacing w:beforeLines="60" w:before="144" w:afterLines="60" w:after="144" w:line="23" w:lineRule="atLeast"/>
              <w:contextualSpacing/>
              <w:rPr>
                <w:rFonts w:cs="Arial"/>
                <w:b/>
                <w:iCs/>
                <w:sz w:val="20"/>
                <w:szCs w:val="20"/>
              </w:rPr>
            </w:pPr>
          </w:p>
        </w:tc>
      </w:tr>
      <w:tr w:rsidR="00DF3B87" w:rsidRPr="001F4207" w14:paraId="48D7EE06"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05649E3A" w14:textId="77777777" w:rsidR="00DF3B87" w:rsidRPr="001F4207" w:rsidRDefault="00DF3B87" w:rsidP="00FC2EBF">
            <w:pPr>
              <w:pStyle w:val="ListNumber"/>
            </w:pPr>
            <w:r w:rsidRPr="001F4207">
              <w:t>(8)</w:t>
            </w:r>
            <w:r w:rsidRPr="001F4207">
              <w:tab/>
              <w:t>A condition may relate to reporting or monitoring.</w:t>
            </w:r>
          </w:p>
          <w:p w14:paraId="73CB78BE" w14:textId="0016C8C1" w:rsidR="00DF3B87" w:rsidRPr="001F4207" w:rsidRDefault="00DF3B87" w:rsidP="00FC2EBF">
            <w:pPr>
              <w:pStyle w:val="ListNumber"/>
            </w:pPr>
          </w:p>
        </w:tc>
        <w:tc>
          <w:tcPr>
            <w:tcW w:w="2500" w:type="pct"/>
            <w:shd w:val="clear" w:color="auto" w:fill="auto"/>
          </w:tcPr>
          <w:p w14:paraId="5FE3FFC4" w14:textId="36BDD403" w:rsidR="00DF3B87" w:rsidRPr="001F4207" w:rsidRDefault="00EB7731" w:rsidP="00762740">
            <w:pPr>
              <w:spacing w:beforeLines="60" w:before="144" w:afterLines="60" w:after="144" w:line="23" w:lineRule="atLeast"/>
              <w:contextualSpacing/>
              <w:rPr>
                <w:rFonts w:cs="Arial"/>
                <w:b/>
                <w:iCs/>
                <w:sz w:val="20"/>
                <w:szCs w:val="20"/>
              </w:rPr>
            </w:pPr>
            <w:r>
              <w:rPr>
                <w:rFonts w:cs="Arial"/>
                <w:sz w:val="20"/>
                <w:szCs w:val="20"/>
              </w:rPr>
              <w:t>In addition to the</w:t>
            </w:r>
            <w:r w:rsidR="00DF3B87" w:rsidRPr="001F4207">
              <w:rPr>
                <w:rFonts w:cs="Arial"/>
                <w:sz w:val="20"/>
                <w:szCs w:val="20"/>
              </w:rPr>
              <w:t xml:space="preserve"> conditions </w:t>
            </w:r>
            <w:r>
              <w:rPr>
                <w:rFonts w:cs="Arial"/>
                <w:sz w:val="20"/>
                <w:szCs w:val="20"/>
              </w:rPr>
              <w:t>requiring annual reporting</w:t>
            </w:r>
            <w:r w:rsidR="00DF3B87" w:rsidRPr="001F4207">
              <w:rPr>
                <w:rFonts w:cs="Arial"/>
                <w:sz w:val="20"/>
                <w:szCs w:val="20"/>
              </w:rPr>
              <w:t>.</w:t>
            </w:r>
            <w:r>
              <w:rPr>
                <w:rFonts w:cs="Arial"/>
                <w:sz w:val="20"/>
                <w:szCs w:val="20"/>
              </w:rPr>
              <w:t xml:space="preserve"> </w:t>
            </w:r>
            <w:r w:rsidRPr="009215D5">
              <w:rPr>
                <w:rFonts w:cs="Arial"/>
                <w:sz w:val="20"/>
                <w:szCs w:val="20"/>
              </w:rPr>
              <w:t xml:space="preserve">Section 2 includes </w:t>
            </w:r>
            <w:proofErr w:type="gramStart"/>
            <w:r w:rsidR="002A0316" w:rsidRPr="009215D5">
              <w:rPr>
                <w:rFonts w:cs="Arial"/>
                <w:sz w:val="20"/>
                <w:szCs w:val="20"/>
              </w:rPr>
              <w:t>a number of</w:t>
            </w:r>
            <w:proofErr w:type="gramEnd"/>
            <w:r w:rsidR="002A0316" w:rsidRPr="009215D5">
              <w:rPr>
                <w:rFonts w:cs="Arial"/>
                <w:sz w:val="20"/>
                <w:szCs w:val="20"/>
              </w:rPr>
              <w:t xml:space="preserve"> conditions that require</w:t>
            </w:r>
            <w:r w:rsidR="00A42375" w:rsidRPr="009215D5">
              <w:rPr>
                <w:rFonts w:cs="Arial"/>
                <w:sz w:val="20"/>
                <w:szCs w:val="20"/>
              </w:rPr>
              <w:t xml:space="preserve"> ongoing monitoring and reporting of information to the department.</w:t>
            </w:r>
          </w:p>
        </w:tc>
      </w:tr>
      <w:tr w:rsidR="00DF3B87" w:rsidRPr="001F4207" w14:paraId="4E07C6F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052031A4" w14:textId="77777777" w:rsidR="00DF3B87" w:rsidRPr="001F4207" w:rsidRDefault="00DF3B87" w:rsidP="00FC2EBF">
            <w:pPr>
              <w:pStyle w:val="ListNumber"/>
            </w:pPr>
            <w:r w:rsidRPr="001F4207">
              <w:t>(9)</w:t>
            </w:r>
            <w:r w:rsidRPr="001F4207">
              <w:tab/>
              <w:t xml:space="preserve">The Minister must, by instrument published in the </w:t>
            </w:r>
            <w:r w:rsidRPr="001F4207">
              <w:rPr>
                <w:i/>
              </w:rPr>
              <w:t>Gazette</w:t>
            </w:r>
            <w:r w:rsidRPr="001F4207">
              <w:t>, revoke a declaration if he or she is satisfied that a condition of the declaration has been contravened.</w:t>
            </w:r>
          </w:p>
          <w:p w14:paraId="53464FBC" w14:textId="3F1D036C" w:rsidR="00DF3B87" w:rsidRPr="001F4207" w:rsidRDefault="00DF3B87" w:rsidP="00FC2EBF">
            <w:pPr>
              <w:pStyle w:val="ListNumber"/>
            </w:pPr>
          </w:p>
        </w:tc>
        <w:tc>
          <w:tcPr>
            <w:tcW w:w="2500" w:type="pct"/>
            <w:shd w:val="clear" w:color="auto" w:fill="auto"/>
          </w:tcPr>
          <w:p w14:paraId="4B6DCABE" w14:textId="21241E27" w:rsidR="00DF3B87" w:rsidRPr="001F4207" w:rsidRDefault="00DF3B87" w:rsidP="00FC2EBF">
            <w:pPr>
              <w:spacing w:before="60" w:after="60" w:line="276" w:lineRule="auto"/>
              <w:contextualSpacing/>
              <w:rPr>
                <w:rFonts w:cs="Arial"/>
                <w:sz w:val="20"/>
                <w:szCs w:val="20"/>
              </w:rPr>
            </w:pPr>
          </w:p>
        </w:tc>
      </w:tr>
    </w:tbl>
    <w:p w14:paraId="328821C1" w14:textId="77777777" w:rsidR="00C61F76" w:rsidRPr="00FC2EBF" w:rsidRDefault="00C61F76" w:rsidP="00FC2EBF"/>
    <w:p w14:paraId="14E9DF07" w14:textId="7C16E3AF" w:rsidR="009F053A" w:rsidRPr="00FC2EBF" w:rsidRDefault="009F053A" w:rsidP="00FC2EBF">
      <w:pPr>
        <w:pStyle w:val="Heading2"/>
      </w:pPr>
      <w:bookmarkStart w:id="10" w:name="_Toc89208573"/>
      <w:r w:rsidRPr="00FC2EBF">
        <w:t>Part 16</w:t>
      </w:r>
      <w:r w:rsidR="007F1ABC" w:rsidRPr="00FC2EBF">
        <w:t xml:space="preserve"> </w:t>
      </w:r>
      <w:r w:rsidR="00F73C73" w:rsidRPr="00FC2EBF">
        <w:t>– Precautionary principle and other considerations in making decisions</w:t>
      </w:r>
      <w:bookmarkEnd w:id="10"/>
    </w:p>
    <w:tbl>
      <w:tblPr>
        <w:tblStyle w:val="TableGrid"/>
        <w:tblW w:w="5000" w:type="pct"/>
        <w:tblLook w:val="04A0" w:firstRow="1" w:lastRow="0" w:firstColumn="1" w:lastColumn="0" w:noHBand="0" w:noVBand="1"/>
      </w:tblPr>
      <w:tblGrid>
        <w:gridCol w:w="7393"/>
        <w:gridCol w:w="7393"/>
      </w:tblGrid>
      <w:tr w:rsidR="00227603" w:rsidRPr="00CC77AB" w14:paraId="3BE2E755"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6B1DC830" w14:textId="7492A6B0" w:rsidR="00227603" w:rsidRPr="00CC77AB" w:rsidRDefault="00227603" w:rsidP="00FC2EBF">
            <w:pPr>
              <w:spacing w:before="60" w:after="60" w:line="276" w:lineRule="auto"/>
              <w:ind w:left="426" w:hanging="426"/>
              <w:contextualSpacing/>
              <w:jc w:val="center"/>
              <w:rPr>
                <w:rFonts w:cs="Arial"/>
                <w:b/>
                <w:sz w:val="20"/>
                <w:szCs w:val="20"/>
              </w:rPr>
            </w:pPr>
            <w:r w:rsidRPr="00CC77AB">
              <w:rPr>
                <w:rFonts w:cs="Arial"/>
                <w:b/>
                <w:sz w:val="20"/>
                <w:szCs w:val="20"/>
              </w:rPr>
              <w:t>Section 391 Minister must consider precautionary principle in making decisions</w:t>
            </w:r>
          </w:p>
        </w:tc>
        <w:tc>
          <w:tcPr>
            <w:tcW w:w="2500" w:type="pct"/>
            <w:shd w:val="clear" w:color="auto" w:fill="D9D9D9" w:themeFill="background1" w:themeFillShade="D9"/>
            <w:vAlign w:val="center"/>
          </w:tcPr>
          <w:p w14:paraId="7095BF90" w14:textId="77777777" w:rsidR="00227603" w:rsidRPr="00CC77AB" w:rsidRDefault="00227603" w:rsidP="00FC2EBF">
            <w:pPr>
              <w:spacing w:before="60" w:after="60" w:line="276" w:lineRule="auto"/>
              <w:contextualSpacing/>
              <w:jc w:val="center"/>
              <w:rPr>
                <w:rFonts w:cs="Arial"/>
                <w:b/>
                <w:sz w:val="20"/>
                <w:szCs w:val="20"/>
              </w:rPr>
            </w:pPr>
            <w:r w:rsidRPr="00CC77AB">
              <w:rPr>
                <w:rFonts w:cs="Arial"/>
                <w:b/>
                <w:sz w:val="20"/>
                <w:szCs w:val="20"/>
              </w:rPr>
              <w:t>Comment</w:t>
            </w:r>
          </w:p>
        </w:tc>
      </w:tr>
      <w:tr w:rsidR="00227603" w:rsidRPr="00CC77AB" w14:paraId="2C506DC9"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CA4F7CF" w14:textId="1AD57C1B" w:rsidR="00287189" w:rsidRPr="00CC77AB" w:rsidRDefault="00A961C6" w:rsidP="00FC2EBF">
            <w:pPr>
              <w:pStyle w:val="ListNumber"/>
            </w:pPr>
            <w:r w:rsidRPr="00CC77AB">
              <w:t>(1)</w:t>
            </w:r>
            <w:r w:rsidRPr="00CC77AB">
              <w:tab/>
            </w:r>
            <w:r w:rsidR="00227603" w:rsidRPr="00CC77AB">
              <w:t xml:space="preserve">Minister must take account of </w:t>
            </w:r>
            <w:r w:rsidR="00403196" w:rsidRPr="00CC77AB">
              <w:t xml:space="preserve">the </w:t>
            </w:r>
            <w:r w:rsidR="00227603" w:rsidRPr="00CC77AB">
              <w:t>precautionary principle</w:t>
            </w:r>
            <w:r w:rsidR="00403196" w:rsidRPr="00CC77AB">
              <w:t xml:space="preserve"> in </w:t>
            </w:r>
            <w:proofErr w:type="gramStart"/>
            <w:r w:rsidR="00403196" w:rsidRPr="00CC77AB">
              <w:t>making a decision</w:t>
            </w:r>
            <w:proofErr w:type="gramEnd"/>
            <w:r w:rsidR="00403196" w:rsidRPr="00CC77AB">
              <w:t>, to the extent that the decision is consistent with other provisions under this Act</w:t>
            </w:r>
            <w:r w:rsidR="00287189" w:rsidRPr="00CC77AB">
              <w:t>.</w:t>
            </w:r>
          </w:p>
          <w:p w14:paraId="1E662D78" w14:textId="77777777" w:rsidR="00227603" w:rsidRPr="00CC77AB" w:rsidRDefault="00287189" w:rsidP="00FC2EBF">
            <w:pPr>
              <w:pStyle w:val="ListNumber"/>
            </w:pPr>
            <w:r w:rsidRPr="00CC77AB">
              <w:t>(2)</w:t>
            </w:r>
            <w:r w:rsidR="00A961C6" w:rsidRPr="00CC77AB">
              <w:tab/>
            </w:r>
            <w:r w:rsidRPr="00CC77AB">
              <w:t>The precautionary principle is that lack of full scientific certainty should not be used as a reason for postponing a measure to prevent degradation of the environment where there are threats of serious or irreversible environmental damage.</w:t>
            </w:r>
          </w:p>
          <w:p w14:paraId="2AA9EF46" w14:textId="50EB0AC4" w:rsidR="00111796" w:rsidRPr="00CC77AB" w:rsidRDefault="00111796" w:rsidP="00FC2EBF">
            <w:pPr>
              <w:pStyle w:val="ListNumber"/>
            </w:pPr>
          </w:p>
        </w:tc>
        <w:tc>
          <w:tcPr>
            <w:tcW w:w="2500" w:type="pct"/>
          </w:tcPr>
          <w:p w14:paraId="3521BE90" w14:textId="75E70F8F" w:rsidR="001C70CA" w:rsidRPr="00DF3B87" w:rsidRDefault="002D0961" w:rsidP="00FC2EBF">
            <w:pPr>
              <w:spacing w:before="60" w:after="60" w:line="276" w:lineRule="auto"/>
              <w:contextualSpacing/>
              <w:rPr>
                <w:rFonts w:cs="Arial"/>
                <w:b/>
                <w:sz w:val="20"/>
                <w:szCs w:val="20"/>
                <w:highlight w:val="yellow"/>
              </w:rPr>
            </w:pPr>
            <w:r>
              <w:rPr>
                <w:rFonts w:cs="Arial"/>
                <w:b/>
                <w:sz w:val="20"/>
                <w:szCs w:val="20"/>
              </w:rPr>
              <w:t>M</w:t>
            </w:r>
            <w:r w:rsidR="001C70CA" w:rsidRPr="00762740">
              <w:rPr>
                <w:rFonts w:cs="Arial"/>
                <w:b/>
                <w:sz w:val="20"/>
                <w:szCs w:val="20"/>
              </w:rPr>
              <w:t xml:space="preserve">eets </w:t>
            </w:r>
          </w:p>
          <w:p w14:paraId="67DBB96A" w14:textId="3C4CCBB9" w:rsidR="00171E06" w:rsidRDefault="00171E06" w:rsidP="00762740">
            <w:pPr>
              <w:spacing w:before="60" w:after="60" w:line="276" w:lineRule="auto"/>
              <w:contextualSpacing/>
              <w:rPr>
                <w:rFonts w:cs="Arial"/>
                <w:sz w:val="20"/>
                <w:szCs w:val="20"/>
              </w:rPr>
            </w:pPr>
            <w:r w:rsidRPr="00171E06">
              <w:rPr>
                <w:rFonts w:cs="Arial"/>
                <w:sz w:val="20"/>
                <w:szCs w:val="20"/>
              </w:rPr>
              <w:t xml:space="preserve">The </w:t>
            </w:r>
            <w:r w:rsidR="00D62114">
              <w:rPr>
                <w:rFonts w:cs="Arial"/>
                <w:sz w:val="20"/>
                <w:szCs w:val="20"/>
              </w:rPr>
              <w:t>d</w:t>
            </w:r>
            <w:r w:rsidRPr="00171E06">
              <w:rPr>
                <w:rFonts w:cs="Arial"/>
                <w:sz w:val="20"/>
                <w:szCs w:val="20"/>
              </w:rPr>
              <w:t>epartment’s assessment has</w:t>
            </w:r>
            <w:r w:rsidRPr="00171E06" w:rsidDel="00A6705A">
              <w:rPr>
                <w:rFonts w:cs="Arial"/>
                <w:sz w:val="20"/>
                <w:szCs w:val="20"/>
              </w:rPr>
              <w:t xml:space="preserve"> </w:t>
            </w:r>
            <w:r w:rsidRPr="00171E06">
              <w:rPr>
                <w:rFonts w:cs="Arial"/>
                <w:sz w:val="20"/>
                <w:szCs w:val="20"/>
              </w:rPr>
              <w:t>identified certain issues that require attention by QDAF,</w:t>
            </w:r>
            <w:r w:rsidR="00F0423B">
              <w:rPr>
                <w:rFonts w:cs="Arial"/>
                <w:sz w:val="20"/>
                <w:szCs w:val="20"/>
              </w:rPr>
              <w:t xml:space="preserve"> </w:t>
            </w:r>
            <w:r w:rsidRPr="00171E06">
              <w:rPr>
                <w:rFonts w:cs="Arial"/>
                <w:sz w:val="20"/>
                <w:szCs w:val="20"/>
              </w:rPr>
              <w:t xml:space="preserve">including the need for </w:t>
            </w:r>
            <w:r w:rsidR="00762740">
              <w:rPr>
                <w:rFonts w:cs="Arial"/>
                <w:sz w:val="20"/>
                <w:szCs w:val="20"/>
              </w:rPr>
              <w:t>further biomass</w:t>
            </w:r>
            <w:r w:rsidRPr="00171E06">
              <w:rPr>
                <w:rFonts w:cs="Arial"/>
                <w:sz w:val="20"/>
                <w:szCs w:val="20"/>
              </w:rPr>
              <w:t xml:space="preserve"> surveys and stock assessments. The conditions proposed for inclusion on</w:t>
            </w:r>
            <w:r w:rsidR="00F0423B">
              <w:rPr>
                <w:rFonts w:cs="Arial"/>
                <w:sz w:val="20"/>
                <w:szCs w:val="20"/>
              </w:rPr>
              <w:t xml:space="preserve"> </w:t>
            </w:r>
            <w:r w:rsidRPr="00171E06">
              <w:rPr>
                <w:rFonts w:cs="Arial"/>
                <w:sz w:val="20"/>
                <w:szCs w:val="20"/>
              </w:rPr>
              <w:t>the proposed Part 13A approval are designed to address these issues and represent a precautionary</w:t>
            </w:r>
            <w:r w:rsidR="00F0423B">
              <w:rPr>
                <w:rFonts w:cs="Arial"/>
                <w:sz w:val="20"/>
                <w:szCs w:val="20"/>
              </w:rPr>
              <w:t xml:space="preserve"> </w:t>
            </w:r>
            <w:r w:rsidRPr="00171E06">
              <w:rPr>
                <w:rFonts w:cs="Arial"/>
                <w:sz w:val="20"/>
                <w:szCs w:val="20"/>
              </w:rPr>
              <w:t>approach to the management of environmental uncertainty and risk. The management regime, when</w:t>
            </w:r>
            <w:r w:rsidR="00F0423B">
              <w:rPr>
                <w:rFonts w:cs="Arial"/>
                <w:sz w:val="20"/>
                <w:szCs w:val="20"/>
              </w:rPr>
              <w:t xml:space="preserve"> </w:t>
            </w:r>
            <w:r w:rsidRPr="00171E06">
              <w:rPr>
                <w:rFonts w:cs="Arial"/>
                <w:sz w:val="20"/>
                <w:szCs w:val="20"/>
              </w:rPr>
              <w:t>supported by these conditions is likely to prevent serious or irreversible environmental damage being</w:t>
            </w:r>
            <w:r w:rsidR="00F0423B">
              <w:rPr>
                <w:rFonts w:cs="Arial"/>
                <w:sz w:val="20"/>
                <w:szCs w:val="20"/>
              </w:rPr>
              <w:t xml:space="preserve"> </w:t>
            </w:r>
            <w:r w:rsidRPr="00171E06">
              <w:rPr>
                <w:rFonts w:cs="Arial"/>
                <w:sz w:val="20"/>
                <w:szCs w:val="20"/>
              </w:rPr>
              <w:t>caused by this fishery.</w:t>
            </w:r>
          </w:p>
          <w:p w14:paraId="46E3524C" w14:textId="19D8F7CB" w:rsidR="00D969F2" w:rsidRDefault="00D969F2" w:rsidP="00762740">
            <w:pPr>
              <w:spacing w:before="60" w:after="60" w:line="276" w:lineRule="auto"/>
              <w:contextualSpacing/>
              <w:rPr>
                <w:rFonts w:cs="Arial"/>
                <w:sz w:val="20"/>
                <w:szCs w:val="20"/>
              </w:rPr>
            </w:pPr>
          </w:p>
          <w:p w14:paraId="57EDE9F3" w14:textId="47C5265B" w:rsidR="008E7CFA" w:rsidRDefault="00D969F2" w:rsidP="00762740">
            <w:pPr>
              <w:spacing w:before="60" w:after="60" w:line="276" w:lineRule="auto"/>
              <w:contextualSpacing/>
              <w:rPr>
                <w:rFonts w:cs="Arial"/>
                <w:sz w:val="20"/>
                <w:szCs w:val="20"/>
              </w:rPr>
            </w:pPr>
            <w:r>
              <w:rPr>
                <w:rFonts w:cs="Arial"/>
                <w:sz w:val="20"/>
                <w:szCs w:val="20"/>
              </w:rPr>
              <w:lastRenderedPageBreak/>
              <w:t xml:space="preserve">Based on the application of the precautionary principle, the department has </w:t>
            </w:r>
            <w:r w:rsidR="009B54D9">
              <w:rPr>
                <w:rFonts w:cs="Arial"/>
                <w:sz w:val="20"/>
                <w:szCs w:val="20"/>
              </w:rPr>
              <w:t>recommended</w:t>
            </w:r>
            <w:r>
              <w:rPr>
                <w:rFonts w:cs="Arial"/>
                <w:sz w:val="20"/>
                <w:szCs w:val="20"/>
              </w:rPr>
              <w:t xml:space="preserve"> </w:t>
            </w:r>
            <w:proofErr w:type="gramStart"/>
            <w:r>
              <w:rPr>
                <w:rFonts w:cs="Arial"/>
                <w:sz w:val="20"/>
                <w:szCs w:val="20"/>
              </w:rPr>
              <w:t>a number of</w:t>
            </w:r>
            <w:proofErr w:type="gramEnd"/>
            <w:r>
              <w:rPr>
                <w:rFonts w:cs="Arial"/>
                <w:sz w:val="20"/>
                <w:szCs w:val="20"/>
              </w:rPr>
              <w:t xml:space="preserve"> </w:t>
            </w:r>
            <w:r w:rsidR="00BB6D35">
              <w:rPr>
                <w:rFonts w:cs="Arial"/>
                <w:sz w:val="20"/>
                <w:szCs w:val="20"/>
              </w:rPr>
              <w:t>conditions</w:t>
            </w:r>
            <w:r>
              <w:rPr>
                <w:rFonts w:cs="Arial"/>
                <w:sz w:val="20"/>
                <w:szCs w:val="20"/>
              </w:rPr>
              <w:t xml:space="preserve"> </w:t>
            </w:r>
            <w:r w:rsidR="009B54D9">
              <w:rPr>
                <w:rFonts w:cs="Arial"/>
                <w:sz w:val="20"/>
                <w:szCs w:val="20"/>
              </w:rPr>
              <w:t xml:space="preserve">to be placed </w:t>
            </w:r>
            <w:r>
              <w:rPr>
                <w:rFonts w:cs="Arial"/>
                <w:sz w:val="20"/>
                <w:szCs w:val="20"/>
              </w:rPr>
              <w:t xml:space="preserve">on the </w:t>
            </w:r>
            <w:r w:rsidR="009B54D9">
              <w:rPr>
                <w:rFonts w:cs="Arial"/>
                <w:sz w:val="20"/>
                <w:szCs w:val="20"/>
              </w:rPr>
              <w:t>WTO declaration for</w:t>
            </w:r>
            <w:r>
              <w:rPr>
                <w:rFonts w:cs="Arial"/>
                <w:sz w:val="20"/>
                <w:szCs w:val="20"/>
              </w:rPr>
              <w:t xml:space="preserve"> this fishery</w:t>
            </w:r>
            <w:r w:rsidR="00DA7806">
              <w:rPr>
                <w:rFonts w:cs="Arial"/>
                <w:sz w:val="20"/>
                <w:szCs w:val="20"/>
              </w:rPr>
              <w:t xml:space="preserve">. On the same basis, </w:t>
            </w:r>
            <w:r w:rsidR="008E7CFA">
              <w:rPr>
                <w:rFonts w:cs="Arial"/>
                <w:sz w:val="20"/>
                <w:szCs w:val="20"/>
              </w:rPr>
              <w:t>t</w:t>
            </w:r>
            <w:r w:rsidR="008E7CFA" w:rsidRPr="00C60CD5">
              <w:rPr>
                <w:rFonts w:cs="Arial"/>
                <w:sz w:val="20"/>
                <w:szCs w:val="20"/>
              </w:rPr>
              <w:t>he department</w:t>
            </w:r>
            <w:r w:rsidR="008E7CFA">
              <w:rPr>
                <w:rFonts w:cs="Arial"/>
                <w:sz w:val="20"/>
                <w:szCs w:val="20"/>
              </w:rPr>
              <w:t xml:space="preserve"> cannot currently support a Non-Detriment Finding for the harvest of Black </w:t>
            </w:r>
            <w:proofErr w:type="spellStart"/>
            <w:r w:rsidR="008E7CFA">
              <w:rPr>
                <w:rFonts w:cs="Arial"/>
                <w:sz w:val="20"/>
                <w:szCs w:val="20"/>
              </w:rPr>
              <w:t>Teatfish</w:t>
            </w:r>
            <w:proofErr w:type="spellEnd"/>
            <w:r w:rsidR="008E7CFA" w:rsidRPr="00C60CD5">
              <w:rPr>
                <w:rFonts w:cs="Arial"/>
                <w:sz w:val="20"/>
                <w:szCs w:val="20"/>
              </w:rPr>
              <w:t xml:space="preserve"> from the </w:t>
            </w:r>
            <w:r w:rsidR="00C82E43">
              <w:rPr>
                <w:rFonts w:cs="Arial"/>
                <w:sz w:val="20"/>
                <w:szCs w:val="20"/>
              </w:rPr>
              <w:t>fishery</w:t>
            </w:r>
            <w:r w:rsidR="008E7CFA">
              <w:rPr>
                <w:rFonts w:cs="Arial"/>
                <w:sz w:val="20"/>
                <w:szCs w:val="20"/>
              </w:rPr>
              <w:t>.</w:t>
            </w:r>
          </w:p>
          <w:p w14:paraId="544D15F6" w14:textId="72C96619" w:rsidR="00221359" w:rsidRPr="00DF3B87" w:rsidRDefault="00221359" w:rsidP="00FC2EBF">
            <w:pPr>
              <w:spacing w:before="60" w:after="60" w:line="276" w:lineRule="auto"/>
              <w:contextualSpacing/>
              <w:rPr>
                <w:rFonts w:cs="Arial"/>
                <w:sz w:val="20"/>
                <w:szCs w:val="20"/>
              </w:rPr>
            </w:pPr>
          </w:p>
        </w:tc>
      </w:tr>
    </w:tbl>
    <w:p w14:paraId="2C64CC14" w14:textId="77777777" w:rsidR="00ED0F91" w:rsidRDefault="00ED0F91" w:rsidP="00A23801">
      <w:bookmarkStart w:id="11" w:name="_Toc316301052"/>
      <w:bookmarkEnd w:id="2"/>
    </w:p>
    <w:p w14:paraId="43CBBE5A" w14:textId="77777777" w:rsidR="005414E4" w:rsidRDefault="005414E4" w:rsidP="00A23801"/>
    <w:p w14:paraId="03FC05B7" w14:textId="77777777" w:rsidR="004B750F" w:rsidRDefault="004B750F" w:rsidP="00A23801">
      <w:pPr>
        <w:sectPr w:rsidR="004B750F" w:rsidSect="001955CD">
          <w:pgSz w:w="16838" w:h="11906" w:orient="landscape"/>
          <w:pgMar w:top="1021" w:right="1021" w:bottom="1021" w:left="1021" w:header="709" w:footer="709" w:gutter="0"/>
          <w:cols w:space="708"/>
          <w:docGrid w:linePitch="360"/>
        </w:sectPr>
      </w:pPr>
    </w:p>
    <w:p w14:paraId="7673F287" w14:textId="037FF695" w:rsidR="004B750F" w:rsidRDefault="004B750F" w:rsidP="004B750F">
      <w:pPr>
        <w:pStyle w:val="Heading1"/>
        <w:rPr>
          <w:rFonts w:ascii="Arial" w:hAnsi="Arial"/>
        </w:rPr>
      </w:pPr>
      <w:bookmarkStart w:id="12" w:name="_Toc89208574"/>
      <w:r w:rsidRPr="00433FCA">
        <w:rPr>
          <w:rFonts w:ascii="Arial" w:hAnsi="Arial"/>
        </w:rPr>
        <w:lastRenderedPageBreak/>
        <w:t xml:space="preserve">Section </w:t>
      </w:r>
      <w:r w:rsidR="0042642F">
        <w:rPr>
          <w:rFonts w:ascii="Arial" w:hAnsi="Arial"/>
        </w:rPr>
        <w:t>5</w:t>
      </w:r>
      <w:r w:rsidRPr="00433FCA">
        <w:rPr>
          <w:rFonts w:ascii="Arial" w:hAnsi="Arial"/>
        </w:rPr>
        <w:t xml:space="preserve">: </w:t>
      </w:r>
      <w:r w:rsidR="004A0366">
        <w:rPr>
          <w:rFonts w:ascii="Arial" w:hAnsi="Arial"/>
        </w:rPr>
        <w:t>Additional information on the fis</w:t>
      </w:r>
      <w:r w:rsidR="00ED6044">
        <w:rPr>
          <w:rFonts w:ascii="Arial" w:hAnsi="Arial"/>
        </w:rPr>
        <w:t>HERY</w:t>
      </w:r>
      <w:bookmarkEnd w:id="12"/>
    </w:p>
    <w:p w14:paraId="7BA17352" w14:textId="77777777" w:rsidR="006C60DB" w:rsidRPr="00202A41" w:rsidRDefault="006C60DB" w:rsidP="006C60DB">
      <w:pPr>
        <w:adjustRightInd w:val="0"/>
        <w:spacing w:line="276" w:lineRule="auto"/>
        <w:rPr>
          <w:rFonts w:cs="Arial"/>
          <w:b/>
        </w:rPr>
      </w:pPr>
      <w:r w:rsidRPr="00202A41">
        <w:rPr>
          <w:rFonts w:cs="Arial"/>
          <w:b/>
        </w:rPr>
        <w:t>Assessment history</w:t>
      </w:r>
    </w:p>
    <w:p w14:paraId="7BD2024D" w14:textId="77777777" w:rsidR="006C60DB" w:rsidRPr="00433FCA" w:rsidRDefault="006C60DB" w:rsidP="006C60DB">
      <w:pPr>
        <w:spacing w:line="276" w:lineRule="auto"/>
      </w:pPr>
      <w:r w:rsidRPr="00433FCA">
        <w:t xml:space="preserve">Information on previous assessments for the </w:t>
      </w:r>
      <w:r>
        <w:t>Queensland Sea Cucumber Fishery (East Coast)</w:t>
      </w:r>
      <w:r w:rsidRPr="00433FCA">
        <w:t xml:space="preserve"> is available on the Department’s website at</w:t>
      </w:r>
      <w:r>
        <w:t>:</w:t>
      </w:r>
      <w:r w:rsidRPr="00433FCA">
        <w:t xml:space="preserve"> </w:t>
      </w:r>
      <w:hyperlink r:id="rId21" w:history="1">
        <w:r w:rsidRPr="00A82E85">
          <w:rPr>
            <w:rStyle w:val="Hyperlink"/>
          </w:rPr>
          <w:t>http://www.environment.gov.au/marine/fisheries/qld/sea-cucumber</w:t>
        </w:r>
      </w:hyperlink>
      <w:r w:rsidRPr="00433FCA">
        <w:t xml:space="preserve">. </w:t>
      </w:r>
    </w:p>
    <w:p w14:paraId="42AF4B5E" w14:textId="3DB69CE3" w:rsidR="006C60DB" w:rsidRPr="00F11C24" w:rsidRDefault="006C60DB" w:rsidP="006C60DB">
      <w:pPr>
        <w:spacing w:line="276" w:lineRule="auto"/>
        <w:rPr>
          <w:rFonts w:cs="Arial"/>
        </w:rPr>
      </w:pPr>
      <w:r w:rsidRPr="00433FCA">
        <w:t xml:space="preserve">1st assessment finalised </w:t>
      </w:r>
      <w:r>
        <w:t>November 2004</w:t>
      </w:r>
      <w:r w:rsidRPr="00433FCA">
        <w:t xml:space="preserve"> –</w:t>
      </w:r>
      <w:r w:rsidR="00853B07">
        <w:t xml:space="preserve"> </w:t>
      </w:r>
      <w:r w:rsidRPr="00F11C24">
        <w:rPr>
          <w:rFonts w:cs="Arial"/>
        </w:rPr>
        <w:t xml:space="preserve">The fishery was declared an approved Wildlife Trade Operation for 3 years. Export approval was subject to </w:t>
      </w:r>
      <w:r>
        <w:rPr>
          <w:rFonts w:cs="Arial"/>
        </w:rPr>
        <w:t>11</w:t>
      </w:r>
      <w:r w:rsidRPr="00F11C24">
        <w:rPr>
          <w:rFonts w:cs="Arial"/>
        </w:rPr>
        <w:t xml:space="preserve"> recommendations.</w:t>
      </w:r>
    </w:p>
    <w:p w14:paraId="59EB37AE" w14:textId="77777777" w:rsidR="006C60DB" w:rsidRDefault="006C60DB" w:rsidP="006C60DB">
      <w:pPr>
        <w:spacing w:line="276" w:lineRule="auto"/>
        <w:rPr>
          <w:rFonts w:cs="Arial"/>
        </w:rPr>
      </w:pPr>
      <w:r w:rsidRPr="00433FCA">
        <w:t xml:space="preserve">2nd assessment finalised </w:t>
      </w:r>
      <w:r>
        <w:t>December 2007</w:t>
      </w:r>
      <w:r w:rsidRPr="00433FCA">
        <w:t xml:space="preserve"> – </w:t>
      </w:r>
      <w:r w:rsidRPr="00F11C24">
        <w:rPr>
          <w:rFonts w:cs="Arial"/>
        </w:rPr>
        <w:t>The fishery was declared an approved Wildlife Trade Operation for 3 years. Export approval was subject to</w:t>
      </w:r>
      <w:r>
        <w:rPr>
          <w:rFonts w:cs="Arial"/>
        </w:rPr>
        <w:t xml:space="preserve"> 3 conditions and</w:t>
      </w:r>
      <w:r w:rsidRPr="00F11C24">
        <w:rPr>
          <w:rFonts w:cs="Arial"/>
        </w:rPr>
        <w:t xml:space="preserve"> </w:t>
      </w:r>
      <w:r>
        <w:rPr>
          <w:rFonts w:cs="Arial"/>
        </w:rPr>
        <w:t>3</w:t>
      </w:r>
      <w:r w:rsidRPr="00F11C24">
        <w:rPr>
          <w:rFonts w:cs="Arial"/>
        </w:rPr>
        <w:t xml:space="preserve"> recommendations.</w:t>
      </w:r>
    </w:p>
    <w:p w14:paraId="2FC3E295" w14:textId="77777777" w:rsidR="006C60DB" w:rsidRPr="00F11C24" w:rsidRDefault="006C60DB" w:rsidP="006C60DB">
      <w:pPr>
        <w:spacing w:line="276" w:lineRule="auto"/>
        <w:rPr>
          <w:rFonts w:cs="Arial"/>
        </w:rPr>
      </w:pPr>
      <w:r>
        <w:t>3rd</w:t>
      </w:r>
      <w:r w:rsidRPr="00433FCA">
        <w:t xml:space="preserve"> assessment finalised </w:t>
      </w:r>
      <w:r>
        <w:t>July 2011</w:t>
      </w:r>
      <w:r w:rsidRPr="00433FCA">
        <w:t xml:space="preserve"> – </w:t>
      </w:r>
      <w:r w:rsidRPr="00F11C24">
        <w:rPr>
          <w:rFonts w:cs="Arial"/>
        </w:rPr>
        <w:t>The fishery was declared an approved Wildlife Trade Operation for 3 years. Export approval was subject to</w:t>
      </w:r>
      <w:r>
        <w:rPr>
          <w:rFonts w:cs="Arial"/>
        </w:rPr>
        <w:t xml:space="preserve"> 4 conditions and</w:t>
      </w:r>
      <w:r w:rsidRPr="00F11C24">
        <w:rPr>
          <w:rFonts w:cs="Arial"/>
        </w:rPr>
        <w:t xml:space="preserve"> </w:t>
      </w:r>
      <w:r>
        <w:rPr>
          <w:rFonts w:cs="Arial"/>
        </w:rPr>
        <w:t>5</w:t>
      </w:r>
      <w:r w:rsidRPr="00F11C24">
        <w:rPr>
          <w:rFonts w:cs="Arial"/>
        </w:rPr>
        <w:t xml:space="preserve"> recommendations.</w:t>
      </w:r>
    </w:p>
    <w:p w14:paraId="08D835D7" w14:textId="77777777" w:rsidR="006C60DB" w:rsidRDefault="006C60DB" w:rsidP="006C60DB">
      <w:pPr>
        <w:spacing w:line="276" w:lineRule="auto"/>
        <w:rPr>
          <w:rFonts w:cs="Arial"/>
        </w:rPr>
      </w:pPr>
      <w:r>
        <w:t>4th</w:t>
      </w:r>
      <w:r w:rsidRPr="00433FCA">
        <w:t xml:space="preserve"> assessment finalised </w:t>
      </w:r>
      <w:r>
        <w:t>July 2014</w:t>
      </w:r>
      <w:r w:rsidRPr="00433FCA">
        <w:t xml:space="preserve"> – </w:t>
      </w:r>
      <w:r w:rsidRPr="00F11C24">
        <w:rPr>
          <w:rFonts w:cs="Arial"/>
        </w:rPr>
        <w:t>The fishery was declared an approved Wildlife Trade Operation for 3 years. Export approval was subject to</w:t>
      </w:r>
      <w:r>
        <w:rPr>
          <w:rFonts w:cs="Arial"/>
        </w:rPr>
        <w:t xml:space="preserve"> 3 conditions and</w:t>
      </w:r>
      <w:r w:rsidRPr="00F11C24">
        <w:rPr>
          <w:rFonts w:cs="Arial"/>
        </w:rPr>
        <w:t xml:space="preserve"> </w:t>
      </w:r>
      <w:r>
        <w:rPr>
          <w:rFonts w:cs="Arial"/>
        </w:rPr>
        <w:t>5</w:t>
      </w:r>
      <w:r w:rsidRPr="00F11C24">
        <w:rPr>
          <w:rFonts w:cs="Arial"/>
        </w:rPr>
        <w:t xml:space="preserve"> recommendations.</w:t>
      </w:r>
    </w:p>
    <w:p w14:paraId="6996260F" w14:textId="77777777" w:rsidR="006C60DB" w:rsidRPr="00F11C24" w:rsidRDefault="006C60DB" w:rsidP="006C60DB">
      <w:pPr>
        <w:spacing w:line="276" w:lineRule="auto"/>
        <w:rPr>
          <w:rFonts w:cs="Arial"/>
        </w:rPr>
      </w:pPr>
      <w:r>
        <w:t>5th</w:t>
      </w:r>
      <w:r w:rsidRPr="00433FCA">
        <w:t xml:space="preserve"> assessment – </w:t>
      </w:r>
      <w:r>
        <w:t>The fishery was granted export approval via the List of Exempt Native Specimens for 23 March 2018 – 28 August 2025</w:t>
      </w:r>
      <w:r w:rsidRPr="00F11C24">
        <w:rPr>
          <w:rFonts w:cs="Arial"/>
        </w:rPr>
        <w:t>.</w:t>
      </w:r>
    </w:p>
    <w:p w14:paraId="403F0D0D" w14:textId="77777777" w:rsidR="006C60DB" w:rsidRPr="00253606" w:rsidRDefault="006C60DB" w:rsidP="006C60DB">
      <w:pPr>
        <w:spacing w:line="276" w:lineRule="auto"/>
        <w:rPr>
          <w:rFonts w:cs="Arial"/>
        </w:rPr>
      </w:pPr>
      <w:r>
        <w:t>6th</w:t>
      </w:r>
      <w:r w:rsidRPr="00433FCA">
        <w:t xml:space="preserve"> assessment finalised </w:t>
      </w:r>
      <w:r>
        <w:t>September 2020</w:t>
      </w:r>
      <w:r w:rsidRPr="00433FCA">
        <w:t xml:space="preserve"> – </w:t>
      </w:r>
      <w:r w:rsidRPr="00F11C24">
        <w:rPr>
          <w:rFonts w:cs="Arial"/>
        </w:rPr>
        <w:t xml:space="preserve">The fishery was declared an approved Wildlife Trade Operation for </w:t>
      </w:r>
      <w:r>
        <w:rPr>
          <w:rFonts w:cs="Arial"/>
        </w:rPr>
        <w:t>1</w:t>
      </w:r>
      <w:r w:rsidRPr="00F11C24">
        <w:rPr>
          <w:rFonts w:cs="Arial"/>
        </w:rPr>
        <w:t xml:space="preserve"> year</w:t>
      </w:r>
      <w:r>
        <w:rPr>
          <w:rFonts w:cs="Arial"/>
        </w:rPr>
        <w:t xml:space="preserve"> following the listing of </w:t>
      </w:r>
      <w:r>
        <w:t xml:space="preserve">Black </w:t>
      </w:r>
      <w:proofErr w:type="spellStart"/>
      <w:r>
        <w:t>Teatfish</w:t>
      </w:r>
      <w:proofErr w:type="spellEnd"/>
      <w:r>
        <w:t xml:space="preserve"> (</w:t>
      </w:r>
      <w:proofErr w:type="spellStart"/>
      <w:r w:rsidRPr="002C761F">
        <w:rPr>
          <w:i/>
          <w:iCs/>
        </w:rPr>
        <w:t>Holothuria</w:t>
      </w:r>
      <w:proofErr w:type="spellEnd"/>
      <w:r w:rsidRPr="002C761F">
        <w:rPr>
          <w:i/>
          <w:iCs/>
        </w:rPr>
        <w:t xml:space="preserve"> </w:t>
      </w:r>
      <w:proofErr w:type="spellStart"/>
      <w:r w:rsidRPr="002C761F">
        <w:rPr>
          <w:i/>
          <w:iCs/>
        </w:rPr>
        <w:t>whitmaei</w:t>
      </w:r>
      <w:proofErr w:type="spellEnd"/>
      <w:r>
        <w:t xml:space="preserve">) and White </w:t>
      </w:r>
      <w:proofErr w:type="spellStart"/>
      <w:r>
        <w:t>Teatfish</w:t>
      </w:r>
      <w:proofErr w:type="spellEnd"/>
      <w:r>
        <w:t xml:space="preserve"> (</w:t>
      </w:r>
      <w:r w:rsidRPr="002C761F">
        <w:rPr>
          <w:i/>
          <w:iCs/>
        </w:rPr>
        <w:t xml:space="preserve">H. </w:t>
      </w:r>
      <w:proofErr w:type="spellStart"/>
      <w:r w:rsidRPr="002C761F">
        <w:rPr>
          <w:i/>
          <w:iCs/>
        </w:rPr>
        <w:t>fuscogilva</w:t>
      </w:r>
      <w:proofErr w:type="spellEnd"/>
      <w:r>
        <w:t>) on Appendix II of CITES</w:t>
      </w:r>
      <w:r w:rsidRPr="00F11C24">
        <w:rPr>
          <w:rFonts w:cs="Arial"/>
        </w:rPr>
        <w:t>. Export approval was subject to</w:t>
      </w:r>
      <w:r>
        <w:rPr>
          <w:rFonts w:cs="Arial"/>
        </w:rPr>
        <w:t xml:space="preserve"> 7 conditions</w:t>
      </w:r>
      <w:r w:rsidRPr="00F11C24">
        <w:rPr>
          <w:rFonts w:cs="Arial"/>
        </w:rPr>
        <w:t>.</w:t>
      </w:r>
    </w:p>
    <w:p w14:paraId="59B6084E" w14:textId="77777777" w:rsidR="006C60DB" w:rsidRDefault="006C60DB" w:rsidP="006C60DB">
      <w:pPr>
        <w:adjustRightInd w:val="0"/>
        <w:spacing w:line="276" w:lineRule="auto"/>
        <w:rPr>
          <w:rFonts w:cs="Arial"/>
          <w:b/>
        </w:rPr>
      </w:pPr>
    </w:p>
    <w:p w14:paraId="4DE49260" w14:textId="78907A70" w:rsidR="006C60DB" w:rsidRPr="00202A41" w:rsidRDefault="006C60DB" w:rsidP="006C60DB">
      <w:pPr>
        <w:adjustRightInd w:val="0"/>
        <w:spacing w:line="276" w:lineRule="auto"/>
        <w:rPr>
          <w:rFonts w:cs="Arial"/>
          <w:b/>
        </w:rPr>
      </w:pPr>
      <w:r w:rsidRPr="00202A41">
        <w:rPr>
          <w:rFonts w:cs="Arial"/>
          <w:b/>
        </w:rPr>
        <w:t>Fishery reporting</w:t>
      </w:r>
    </w:p>
    <w:p w14:paraId="54D040DE" w14:textId="77777777" w:rsidR="006C60DB" w:rsidRDefault="006C60DB" w:rsidP="006C60DB">
      <w:pPr>
        <w:spacing w:line="276" w:lineRule="auto"/>
      </w:pPr>
      <w:r w:rsidRPr="00433FCA">
        <w:t>Annual report</w:t>
      </w:r>
      <w:r>
        <w:t>s:</w:t>
      </w:r>
      <w:r w:rsidRPr="00433FCA">
        <w:t xml:space="preserve"> </w:t>
      </w:r>
    </w:p>
    <w:p w14:paraId="5455763D" w14:textId="77777777" w:rsidR="006C60DB" w:rsidRDefault="006C60DB" w:rsidP="006C60DB">
      <w:pPr>
        <w:spacing w:line="276" w:lineRule="auto"/>
      </w:pPr>
      <w:r>
        <w:t xml:space="preserve">Queensland Government, Department of Agriculture and Fisheries, ‘Queensland Fisheries Summary Report 2018/19 Financial Year’, 2019. </w:t>
      </w:r>
      <w:hyperlink r:id="rId22" w:history="1">
        <w:r w:rsidRPr="00A82E85">
          <w:rPr>
            <w:rStyle w:val="Hyperlink"/>
          </w:rPr>
          <w:t>https://www.daf.qld.gov.au/business-priorities/fisheries/monitoring-research/data/queensland-fisheries-summary-report</w:t>
        </w:r>
      </w:hyperlink>
      <w:r>
        <w:t xml:space="preserve"> Accessed: </w:t>
      </w:r>
      <w:r w:rsidRPr="00C20D79">
        <w:t>27 September 2021</w:t>
      </w:r>
    </w:p>
    <w:p w14:paraId="6DA5EA15" w14:textId="77777777" w:rsidR="006C60DB" w:rsidRPr="00433FCA" w:rsidRDefault="006C60DB" w:rsidP="006C60DB">
      <w:pPr>
        <w:spacing w:line="276" w:lineRule="auto"/>
      </w:pPr>
    </w:p>
    <w:p w14:paraId="1112255D" w14:textId="77777777" w:rsidR="006C60DB" w:rsidRPr="00202A41" w:rsidRDefault="006C60DB" w:rsidP="006C60DB">
      <w:pPr>
        <w:adjustRightInd w:val="0"/>
        <w:spacing w:line="276" w:lineRule="auto"/>
        <w:rPr>
          <w:rFonts w:cs="Arial"/>
          <w:b/>
        </w:rPr>
      </w:pPr>
      <w:r w:rsidRPr="00202A41">
        <w:rPr>
          <w:rFonts w:cs="Arial"/>
          <w:b/>
        </w:rPr>
        <w:t xml:space="preserve">Key links </w:t>
      </w:r>
    </w:p>
    <w:p w14:paraId="00300C79" w14:textId="77777777" w:rsidR="006C60DB" w:rsidRDefault="006C60DB" w:rsidP="006C60DB">
      <w:pPr>
        <w:spacing w:line="276" w:lineRule="auto"/>
      </w:pPr>
      <w:r w:rsidRPr="00433FCA">
        <w:t>Fishery information</w:t>
      </w:r>
      <w:r>
        <w:t>:</w:t>
      </w:r>
    </w:p>
    <w:p w14:paraId="4E5B2D76" w14:textId="77777777" w:rsidR="006C60DB" w:rsidRDefault="006C60DB" w:rsidP="006C60DB">
      <w:pPr>
        <w:spacing w:line="276" w:lineRule="auto"/>
      </w:pPr>
      <w:r>
        <w:t>Queensland Government, Business Queensland ‘Sea cucumber fishery’</w:t>
      </w:r>
      <w:r w:rsidRPr="00433FCA">
        <w:t xml:space="preserve"> </w:t>
      </w:r>
      <w:r>
        <w:t xml:space="preserve">2016. </w:t>
      </w:r>
      <w:hyperlink r:id="rId23" w:history="1">
        <w:r w:rsidRPr="00A82E85">
          <w:rPr>
            <w:rStyle w:val="Hyperlink"/>
          </w:rPr>
          <w:t>https://www.business.qld.gov.au/industries/farms-fishing-forestry/fisheries/fisheries-profiles/commercial-harvest-fisheries/sea-cucumber</w:t>
        </w:r>
      </w:hyperlink>
      <w:r>
        <w:t xml:space="preserve"> </w:t>
      </w:r>
      <w:r w:rsidRPr="0031474D">
        <w:t xml:space="preserve">Accessed: </w:t>
      </w:r>
      <w:r>
        <w:t>2</w:t>
      </w:r>
      <w:r w:rsidRPr="0031474D">
        <w:t xml:space="preserve">7 </w:t>
      </w:r>
      <w:r>
        <w:t>September</w:t>
      </w:r>
      <w:r w:rsidRPr="0031474D">
        <w:t xml:space="preserve"> 2021</w:t>
      </w:r>
    </w:p>
    <w:p w14:paraId="1AEBE7DB" w14:textId="42F220E5" w:rsidR="0098141C" w:rsidRDefault="0098141C">
      <w:pPr>
        <w:spacing w:before="0" w:after="0"/>
      </w:pPr>
      <w:r>
        <w:br w:type="page"/>
      </w:r>
    </w:p>
    <w:p w14:paraId="672A7235" w14:textId="77777777" w:rsidR="006C60DB" w:rsidRDefault="006C60DB" w:rsidP="006C60DB">
      <w:pPr>
        <w:spacing w:line="276" w:lineRule="auto"/>
      </w:pPr>
      <w:r w:rsidRPr="00433FCA">
        <w:lastRenderedPageBreak/>
        <w:t>Enforcing legislation</w:t>
      </w:r>
      <w:r>
        <w:t>:</w:t>
      </w:r>
      <w:r w:rsidRPr="00433FCA">
        <w:t xml:space="preserve"> </w:t>
      </w:r>
    </w:p>
    <w:p w14:paraId="626C3730" w14:textId="77777777" w:rsidR="006C60DB" w:rsidRPr="00F11C24" w:rsidRDefault="006C60DB" w:rsidP="006C60DB">
      <w:pPr>
        <w:spacing w:before="60" w:after="60"/>
        <w:rPr>
          <w:rFonts w:cs="Arial"/>
        </w:rPr>
      </w:pPr>
      <w:r w:rsidRPr="00F11C24">
        <w:rPr>
          <w:rFonts w:cs="Arial"/>
        </w:rPr>
        <w:t xml:space="preserve">The fishery is managed in accordance with provisions in the following Queensland legislation and regulations available at </w:t>
      </w:r>
      <w:hyperlink r:id="rId24" w:history="1">
        <w:r w:rsidRPr="00350FCD">
          <w:rPr>
            <w:rStyle w:val="Hyperlink"/>
            <w:rFonts w:cs="Arial"/>
          </w:rPr>
          <w:t>https://www.legislation.qld.gov.au/</w:t>
        </w:r>
      </w:hyperlink>
      <w:r w:rsidRPr="00350FCD">
        <w:rPr>
          <w:rFonts w:cs="Arial"/>
        </w:rPr>
        <w:t xml:space="preserve"> and Commonwealth legislation available at </w:t>
      </w:r>
      <w:hyperlink r:id="rId25" w:history="1">
        <w:r w:rsidRPr="00350FCD">
          <w:rPr>
            <w:rStyle w:val="Hyperlink"/>
            <w:rFonts w:cs="Arial"/>
          </w:rPr>
          <w:t>https://www.legislation.gov.au/Details/C2017C00279</w:t>
        </w:r>
      </w:hyperlink>
      <w:r w:rsidRPr="00350FCD">
        <w:rPr>
          <w:rFonts w:cs="Arial"/>
        </w:rPr>
        <w:t xml:space="preserve"> </w:t>
      </w:r>
      <w:r w:rsidRPr="00C20D79">
        <w:rPr>
          <w:rStyle w:val="Emphasis"/>
          <w:rFonts w:cs="Arial"/>
          <w:i w:val="0"/>
          <w:iCs w:val="0"/>
        </w:rPr>
        <w:t>Accessed: 27 September 2021</w:t>
      </w:r>
    </w:p>
    <w:p w14:paraId="573BB704" w14:textId="7C5A27AA" w:rsidR="008041BE" w:rsidRDefault="008041BE" w:rsidP="006C60DB">
      <w:pPr>
        <w:spacing w:before="60" w:after="60"/>
        <w:ind w:left="369" w:hanging="369"/>
        <w:rPr>
          <w:rFonts w:cs="Arial"/>
        </w:rPr>
      </w:pPr>
    </w:p>
    <w:p w14:paraId="7651F0FF" w14:textId="77777777" w:rsidR="00A90AFE" w:rsidRPr="009201B0" w:rsidRDefault="00A90AFE" w:rsidP="00A90AFE">
      <w:pPr>
        <w:pStyle w:val="ListParagraph"/>
        <w:numPr>
          <w:ilvl w:val="0"/>
          <w:numId w:val="29"/>
        </w:numPr>
        <w:spacing w:before="0" w:after="160" w:line="252" w:lineRule="auto"/>
        <w:contextualSpacing/>
        <w:rPr>
          <w:rFonts w:cs="Arial"/>
          <w:i/>
          <w:iCs/>
        </w:rPr>
      </w:pPr>
      <w:r w:rsidRPr="009201B0">
        <w:rPr>
          <w:rFonts w:cs="Arial"/>
          <w:i/>
          <w:iCs/>
        </w:rPr>
        <w:t xml:space="preserve">Fisheries Act 1994 </w:t>
      </w:r>
      <w:r w:rsidRPr="009201B0">
        <w:rPr>
          <w:rFonts w:cs="Arial"/>
        </w:rPr>
        <w:t>(</w:t>
      </w:r>
      <w:r>
        <w:rPr>
          <w:rFonts w:cs="Arial"/>
        </w:rPr>
        <w:t>Qld</w:t>
      </w:r>
      <w:r w:rsidRPr="009201B0">
        <w:rPr>
          <w:rFonts w:cs="Arial"/>
        </w:rPr>
        <w:t>)</w:t>
      </w:r>
    </w:p>
    <w:p w14:paraId="40976544" w14:textId="77777777" w:rsidR="00A90AFE" w:rsidRPr="009201B0" w:rsidRDefault="00A90AFE" w:rsidP="00A90AFE">
      <w:pPr>
        <w:pStyle w:val="ListParagraph"/>
        <w:numPr>
          <w:ilvl w:val="0"/>
          <w:numId w:val="29"/>
        </w:numPr>
        <w:spacing w:before="0" w:after="160" w:line="252" w:lineRule="auto"/>
        <w:contextualSpacing/>
        <w:rPr>
          <w:rFonts w:cs="Arial"/>
        </w:rPr>
      </w:pPr>
      <w:r w:rsidRPr="009201B0">
        <w:rPr>
          <w:rFonts w:cs="Arial"/>
        </w:rPr>
        <w:t>Fisheries (General) Regulation 2019</w:t>
      </w:r>
      <w:r>
        <w:rPr>
          <w:rFonts w:cs="Arial"/>
        </w:rPr>
        <w:t xml:space="preserve"> (Qld)</w:t>
      </w:r>
      <w:r w:rsidRPr="009201B0">
        <w:rPr>
          <w:rFonts w:cs="Arial"/>
        </w:rPr>
        <w:t xml:space="preserve"> </w:t>
      </w:r>
    </w:p>
    <w:p w14:paraId="0B14BAA6" w14:textId="77777777" w:rsidR="00A90AFE" w:rsidRPr="009201B0" w:rsidRDefault="00A90AFE" w:rsidP="00A90AFE">
      <w:pPr>
        <w:pStyle w:val="ListParagraph"/>
        <w:numPr>
          <w:ilvl w:val="0"/>
          <w:numId w:val="29"/>
        </w:numPr>
        <w:spacing w:before="0" w:after="160" w:line="252" w:lineRule="auto"/>
        <w:contextualSpacing/>
        <w:rPr>
          <w:rFonts w:cs="Arial"/>
        </w:rPr>
      </w:pPr>
      <w:r w:rsidRPr="009201B0">
        <w:rPr>
          <w:rFonts w:cs="Arial"/>
        </w:rPr>
        <w:t>Fisheries (Commercial Fisheries) Regulation 2019</w:t>
      </w:r>
      <w:r>
        <w:rPr>
          <w:rFonts w:cs="Arial"/>
        </w:rPr>
        <w:t xml:space="preserve"> (Qld)</w:t>
      </w:r>
      <w:r w:rsidRPr="009201B0">
        <w:rPr>
          <w:rFonts w:cs="Arial"/>
        </w:rPr>
        <w:t xml:space="preserve"> </w:t>
      </w:r>
    </w:p>
    <w:p w14:paraId="354916B9" w14:textId="77777777" w:rsidR="00A90AFE" w:rsidRPr="009201B0" w:rsidRDefault="00A90AFE" w:rsidP="00A90AFE">
      <w:pPr>
        <w:pStyle w:val="ListParagraph"/>
        <w:numPr>
          <w:ilvl w:val="0"/>
          <w:numId w:val="29"/>
        </w:numPr>
        <w:spacing w:before="0" w:after="160" w:line="252" w:lineRule="auto"/>
        <w:contextualSpacing/>
        <w:rPr>
          <w:rFonts w:cs="Arial"/>
        </w:rPr>
      </w:pPr>
      <w:r w:rsidRPr="009201B0">
        <w:rPr>
          <w:rFonts w:cs="Arial"/>
        </w:rPr>
        <w:t>Fisheries Declaration 2019</w:t>
      </w:r>
      <w:r>
        <w:rPr>
          <w:rFonts w:cs="Arial"/>
        </w:rPr>
        <w:t xml:space="preserve"> (Qld)</w:t>
      </w:r>
      <w:r w:rsidRPr="009201B0">
        <w:rPr>
          <w:rFonts w:cs="Arial"/>
        </w:rPr>
        <w:t xml:space="preserve"> </w:t>
      </w:r>
    </w:p>
    <w:p w14:paraId="4FF97552" w14:textId="77777777" w:rsidR="00A90AFE" w:rsidRDefault="00A90AFE" w:rsidP="00A90AFE">
      <w:pPr>
        <w:pStyle w:val="ListParagraph"/>
        <w:numPr>
          <w:ilvl w:val="0"/>
          <w:numId w:val="29"/>
        </w:numPr>
        <w:spacing w:before="0" w:after="160" w:line="252" w:lineRule="auto"/>
        <w:contextualSpacing/>
        <w:rPr>
          <w:rFonts w:cs="Arial"/>
        </w:rPr>
      </w:pPr>
      <w:r w:rsidRPr="009201B0">
        <w:rPr>
          <w:rFonts w:cs="Arial"/>
        </w:rPr>
        <w:t>Fisheries Quota Declaration 2019 (</w:t>
      </w:r>
      <w:r>
        <w:rPr>
          <w:rFonts w:cs="Arial"/>
        </w:rPr>
        <w:t>Qld</w:t>
      </w:r>
      <w:r w:rsidRPr="009201B0">
        <w:rPr>
          <w:rFonts w:cs="Arial"/>
        </w:rPr>
        <w:t>)</w:t>
      </w:r>
    </w:p>
    <w:p w14:paraId="3016BAE2" w14:textId="77777777" w:rsidR="00A90AFE" w:rsidRPr="00C105E0" w:rsidRDefault="00A90AFE" w:rsidP="00A90AFE">
      <w:pPr>
        <w:pStyle w:val="ListParagraph"/>
        <w:numPr>
          <w:ilvl w:val="0"/>
          <w:numId w:val="29"/>
        </w:numPr>
        <w:tabs>
          <w:tab w:val="left" w:pos="1096"/>
        </w:tabs>
        <w:spacing w:before="60" w:after="160" w:line="252" w:lineRule="auto"/>
        <w:contextualSpacing/>
        <w:rPr>
          <w:rFonts w:cs="Arial"/>
        </w:rPr>
      </w:pPr>
      <w:r w:rsidRPr="00C105E0">
        <w:rPr>
          <w:rFonts w:cs="Arial"/>
          <w:i/>
          <w:iCs/>
        </w:rPr>
        <w:t>Marine Parks Act 2004</w:t>
      </w:r>
      <w:r w:rsidRPr="00C105E0">
        <w:rPr>
          <w:rFonts w:cs="Arial"/>
        </w:rPr>
        <w:t xml:space="preserve"> (</w:t>
      </w:r>
      <w:r>
        <w:rPr>
          <w:rFonts w:cs="Arial"/>
        </w:rPr>
        <w:t>Qld</w:t>
      </w:r>
      <w:r w:rsidRPr="00C105E0">
        <w:rPr>
          <w:rFonts w:cs="Arial"/>
        </w:rPr>
        <w:t>)</w:t>
      </w:r>
    </w:p>
    <w:p w14:paraId="730C3FBF" w14:textId="77777777" w:rsidR="00A90AFE" w:rsidRPr="00C105E0" w:rsidRDefault="00A90AFE" w:rsidP="00A90AFE">
      <w:pPr>
        <w:pStyle w:val="ListParagraph"/>
        <w:numPr>
          <w:ilvl w:val="0"/>
          <w:numId w:val="29"/>
        </w:numPr>
        <w:tabs>
          <w:tab w:val="left" w:pos="1096"/>
        </w:tabs>
        <w:spacing w:before="60" w:after="160" w:line="252" w:lineRule="auto"/>
        <w:contextualSpacing/>
        <w:rPr>
          <w:rFonts w:cs="Arial"/>
        </w:rPr>
      </w:pPr>
      <w:r w:rsidRPr="00C105E0">
        <w:rPr>
          <w:rFonts w:cs="Arial"/>
        </w:rPr>
        <w:t>Marine Parks Regulations 2019 (</w:t>
      </w:r>
      <w:r>
        <w:rPr>
          <w:rFonts w:cs="Arial"/>
        </w:rPr>
        <w:t>Qld</w:t>
      </w:r>
      <w:r w:rsidRPr="00C105E0">
        <w:rPr>
          <w:rFonts w:cs="Arial"/>
        </w:rPr>
        <w:t>)</w:t>
      </w:r>
    </w:p>
    <w:p w14:paraId="37F685D0" w14:textId="77777777" w:rsidR="00A90AFE" w:rsidRPr="00C105E0" w:rsidRDefault="00A90AFE" w:rsidP="00A90AFE">
      <w:pPr>
        <w:pStyle w:val="ListParagraph"/>
        <w:numPr>
          <w:ilvl w:val="0"/>
          <w:numId w:val="29"/>
        </w:numPr>
        <w:tabs>
          <w:tab w:val="left" w:pos="1096"/>
        </w:tabs>
        <w:spacing w:before="60" w:after="160" w:line="252" w:lineRule="auto"/>
        <w:contextualSpacing/>
        <w:rPr>
          <w:rFonts w:cs="Arial"/>
        </w:rPr>
      </w:pPr>
      <w:r w:rsidRPr="00C105E0">
        <w:rPr>
          <w:rFonts w:cs="Arial"/>
          <w:i/>
          <w:iCs/>
        </w:rPr>
        <w:t>Great Barrier Reef Marine Park Act 1975</w:t>
      </w:r>
      <w:r w:rsidRPr="00C105E0">
        <w:rPr>
          <w:rFonts w:cs="Arial"/>
        </w:rPr>
        <w:t xml:space="preserve"> (</w:t>
      </w:r>
      <w:proofErr w:type="spellStart"/>
      <w:r>
        <w:rPr>
          <w:rFonts w:cs="Arial"/>
        </w:rPr>
        <w:t>Cth</w:t>
      </w:r>
      <w:proofErr w:type="spellEnd"/>
      <w:r w:rsidRPr="00C105E0">
        <w:rPr>
          <w:rFonts w:cs="Arial"/>
        </w:rPr>
        <w:t>)</w:t>
      </w:r>
    </w:p>
    <w:p w14:paraId="0778471F" w14:textId="77777777" w:rsidR="00A90AFE" w:rsidRPr="00C105E0" w:rsidRDefault="00A90AFE" w:rsidP="00A90AFE">
      <w:pPr>
        <w:pStyle w:val="ListParagraph"/>
        <w:numPr>
          <w:ilvl w:val="0"/>
          <w:numId w:val="29"/>
        </w:numPr>
        <w:tabs>
          <w:tab w:val="left" w:pos="1096"/>
        </w:tabs>
        <w:spacing w:before="0" w:after="160" w:line="252" w:lineRule="auto"/>
        <w:ind w:left="714" w:hanging="357"/>
        <w:contextualSpacing/>
        <w:rPr>
          <w:rFonts w:cs="Arial"/>
        </w:rPr>
      </w:pPr>
      <w:r w:rsidRPr="00C105E0">
        <w:rPr>
          <w:rFonts w:cs="Arial"/>
        </w:rPr>
        <w:t>Great Barrier Reef Marine Park Regulations 2019 (</w:t>
      </w:r>
      <w:proofErr w:type="spellStart"/>
      <w:r>
        <w:rPr>
          <w:rFonts w:cs="Arial"/>
        </w:rPr>
        <w:t>Cth</w:t>
      </w:r>
      <w:proofErr w:type="spellEnd"/>
      <w:r w:rsidRPr="00C105E0">
        <w:rPr>
          <w:rFonts w:cs="Arial"/>
        </w:rPr>
        <w:t>)</w:t>
      </w:r>
      <w:r>
        <w:rPr>
          <w:rFonts w:cs="Arial"/>
        </w:rPr>
        <w:t>,</w:t>
      </w:r>
    </w:p>
    <w:p w14:paraId="3AF6A2FF" w14:textId="77777777" w:rsidR="006C60DB" w:rsidRDefault="006C60DB" w:rsidP="006C60DB">
      <w:pPr>
        <w:spacing w:line="276" w:lineRule="auto"/>
      </w:pPr>
    </w:p>
    <w:p w14:paraId="22D7F4E5" w14:textId="77777777" w:rsidR="006C60DB" w:rsidRDefault="006C60DB" w:rsidP="006C60DB">
      <w:pPr>
        <w:spacing w:line="276" w:lineRule="auto"/>
      </w:pPr>
      <w:r w:rsidRPr="00433FCA">
        <w:t>Harvest strategy</w:t>
      </w:r>
      <w:r>
        <w:t>:</w:t>
      </w:r>
    </w:p>
    <w:p w14:paraId="51DAAA04" w14:textId="77777777" w:rsidR="006C60DB" w:rsidRDefault="006C60DB" w:rsidP="006C60DB">
      <w:pPr>
        <w:spacing w:line="276" w:lineRule="auto"/>
      </w:pPr>
      <w:r>
        <w:t>A harvest strategy was implemented on 1 September 2021.</w:t>
      </w:r>
    </w:p>
    <w:p w14:paraId="4CB93777" w14:textId="77777777" w:rsidR="006C60DB" w:rsidRDefault="008E50D6" w:rsidP="006C60DB">
      <w:pPr>
        <w:spacing w:line="276" w:lineRule="auto"/>
      </w:pPr>
      <w:hyperlink r:id="rId26" w:history="1">
        <w:r w:rsidR="006C60DB" w:rsidRPr="008B0A00">
          <w:rPr>
            <w:rStyle w:val="Hyperlink"/>
          </w:rPr>
          <w:t>https://www.publications.qld.gov.au/dataset/queensland-fisheries-harvest-strategies/resource/f9ec2eab-9f61-4d49-930f-6f9446102b85</w:t>
        </w:r>
      </w:hyperlink>
      <w:r w:rsidR="006C60DB">
        <w:t xml:space="preserve">  Accessed:3 November 2021 </w:t>
      </w:r>
    </w:p>
    <w:p w14:paraId="7891AC2A" w14:textId="77777777" w:rsidR="006C60DB" w:rsidRDefault="006C60DB" w:rsidP="006C60DB">
      <w:pPr>
        <w:spacing w:line="276" w:lineRule="auto"/>
      </w:pPr>
    </w:p>
    <w:p w14:paraId="0786C298" w14:textId="77777777" w:rsidR="006C60DB" w:rsidRDefault="006C60DB" w:rsidP="006C60DB">
      <w:pPr>
        <w:spacing w:line="276" w:lineRule="auto"/>
      </w:pPr>
      <w:r>
        <w:t>Ecological Risk Assessment:</w:t>
      </w:r>
    </w:p>
    <w:p w14:paraId="57E3F418" w14:textId="77777777" w:rsidR="006C60DB" w:rsidRDefault="006C60DB" w:rsidP="006C60DB">
      <w:pPr>
        <w:spacing w:line="276" w:lineRule="auto"/>
      </w:pPr>
      <w:r>
        <w:t xml:space="preserve">Queensland Sea Cucumber Fishery (East Coast) Level 1 Ecological Risk Assessment </w:t>
      </w:r>
    </w:p>
    <w:p w14:paraId="5F18235E" w14:textId="77777777" w:rsidR="006C60DB" w:rsidRDefault="008E50D6" w:rsidP="006C60DB">
      <w:pPr>
        <w:spacing w:line="276" w:lineRule="auto"/>
      </w:pPr>
      <w:hyperlink r:id="rId27" w:history="1">
        <w:r w:rsidR="006C60DB" w:rsidRPr="0057768D">
          <w:rPr>
            <w:rStyle w:val="Hyperlink"/>
          </w:rPr>
          <w:t>https://era.daf.qld.gov.au/id/eprint/8282/</w:t>
        </w:r>
      </w:hyperlink>
      <w:r w:rsidR="006C60DB">
        <w:t xml:space="preserve"> Accessed: 27 September 2021</w:t>
      </w:r>
    </w:p>
    <w:p w14:paraId="3C11C782" w14:textId="77777777" w:rsidR="006C60DB" w:rsidRPr="0031474D" w:rsidRDefault="006C60DB" w:rsidP="006C60DB">
      <w:pPr>
        <w:spacing w:line="276" w:lineRule="auto"/>
      </w:pPr>
    </w:p>
    <w:p w14:paraId="111F9175" w14:textId="77777777" w:rsidR="006C60DB" w:rsidRPr="009417C1" w:rsidRDefault="006C60DB" w:rsidP="006C60DB">
      <w:pPr>
        <w:spacing w:line="276" w:lineRule="auto"/>
      </w:pPr>
      <w:r w:rsidRPr="009417C1">
        <w:t>Stock assessments</w:t>
      </w:r>
      <w:r>
        <w:t>:</w:t>
      </w:r>
      <w:r w:rsidRPr="009417C1">
        <w:t xml:space="preserve"> </w:t>
      </w:r>
    </w:p>
    <w:p w14:paraId="031BF712" w14:textId="77777777" w:rsidR="006C60DB" w:rsidRDefault="006C60DB" w:rsidP="006C60DB">
      <w:pPr>
        <w:pStyle w:val="CommentText"/>
        <w:rPr>
          <w:rFonts w:ascii="Arial" w:hAnsi="Arial" w:cs="Arial"/>
          <w:sz w:val="22"/>
          <w:szCs w:val="22"/>
        </w:rPr>
      </w:pPr>
      <w:r>
        <w:rPr>
          <w:rFonts w:ascii="Arial" w:hAnsi="Arial" w:cs="Arial"/>
          <w:sz w:val="22"/>
          <w:szCs w:val="22"/>
        </w:rPr>
        <w:t xml:space="preserve">Stock assessment of white </w:t>
      </w:r>
      <w:proofErr w:type="spellStart"/>
      <w:r>
        <w:rPr>
          <w:rFonts w:ascii="Arial" w:hAnsi="Arial" w:cs="Arial"/>
          <w:sz w:val="22"/>
          <w:szCs w:val="22"/>
        </w:rPr>
        <w:t>teatfish</w:t>
      </w:r>
      <w:proofErr w:type="spellEnd"/>
      <w:r>
        <w:rPr>
          <w:rFonts w:ascii="Arial" w:hAnsi="Arial" w:cs="Arial"/>
          <w:sz w:val="22"/>
          <w:szCs w:val="22"/>
        </w:rPr>
        <w:t xml:space="preserve"> (</w:t>
      </w:r>
      <w:proofErr w:type="spellStart"/>
      <w:r>
        <w:rPr>
          <w:rFonts w:ascii="Arial" w:hAnsi="Arial" w:cs="Arial"/>
          <w:i/>
          <w:iCs/>
          <w:sz w:val="22"/>
          <w:szCs w:val="22"/>
        </w:rPr>
        <w:t>Holothuria</w:t>
      </w:r>
      <w:proofErr w:type="spellEnd"/>
      <w:r>
        <w:rPr>
          <w:rFonts w:ascii="Arial" w:hAnsi="Arial" w:cs="Arial"/>
          <w:i/>
          <w:iCs/>
          <w:sz w:val="22"/>
          <w:szCs w:val="22"/>
        </w:rPr>
        <w:t xml:space="preserve"> </w:t>
      </w:r>
      <w:proofErr w:type="spellStart"/>
      <w:r>
        <w:rPr>
          <w:rFonts w:ascii="Arial" w:hAnsi="Arial" w:cs="Arial"/>
          <w:i/>
          <w:iCs/>
          <w:sz w:val="22"/>
          <w:szCs w:val="22"/>
        </w:rPr>
        <w:t>fuscogilva</w:t>
      </w:r>
      <w:proofErr w:type="spellEnd"/>
      <w:r>
        <w:rPr>
          <w:rFonts w:ascii="Arial" w:hAnsi="Arial" w:cs="Arial"/>
          <w:sz w:val="22"/>
          <w:szCs w:val="22"/>
        </w:rPr>
        <w:t>) in Queensland, Australia</w:t>
      </w:r>
    </w:p>
    <w:p w14:paraId="62E21E8A" w14:textId="77777777" w:rsidR="006C60DB" w:rsidRDefault="008E50D6" w:rsidP="006C60DB">
      <w:pPr>
        <w:pStyle w:val="CommentText"/>
        <w:rPr>
          <w:rFonts w:ascii="Arial" w:hAnsi="Arial" w:cs="Arial"/>
          <w:sz w:val="22"/>
          <w:szCs w:val="22"/>
        </w:rPr>
      </w:pPr>
      <w:hyperlink r:id="rId28" w:history="1">
        <w:r w:rsidR="006C60DB" w:rsidRPr="0057768D">
          <w:rPr>
            <w:rStyle w:val="Hyperlink"/>
            <w:rFonts w:ascii="Arial" w:hAnsi="Arial" w:cs="Arial"/>
            <w:sz w:val="22"/>
            <w:szCs w:val="22"/>
          </w:rPr>
          <w:t>https://era.daf.qld.gov.au/id/eprint/8264/</w:t>
        </w:r>
      </w:hyperlink>
      <w:r w:rsidR="006C60DB">
        <w:rPr>
          <w:rFonts w:ascii="Arial" w:hAnsi="Arial" w:cs="Arial"/>
          <w:sz w:val="22"/>
          <w:szCs w:val="22"/>
        </w:rPr>
        <w:t xml:space="preserve"> Accessed 27 September 2021</w:t>
      </w:r>
    </w:p>
    <w:p w14:paraId="17BA8C66" w14:textId="77777777" w:rsidR="006C60DB" w:rsidRDefault="006C60DB" w:rsidP="006C60DB">
      <w:pPr>
        <w:pStyle w:val="CommentText"/>
        <w:rPr>
          <w:rFonts w:ascii="Arial" w:hAnsi="Arial" w:cs="Arial"/>
          <w:sz w:val="22"/>
          <w:szCs w:val="22"/>
        </w:rPr>
      </w:pPr>
      <w:r>
        <w:rPr>
          <w:rFonts w:ascii="Arial" w:hAnsi="Arial" w:cs="Arial"/>
          <w:sz w:val="22"/>
          <w:szCs w:val="22"/>
        </w:rPr>
        <w:t xml:space="preserve">Stock assessment of black </w:t>
      </w:r>
      <w:proofErr w:type="spellStart"/>
      <w:r>
        <w:rPr>
          <w:rFonts w:ascii="Arial" w:hAnsi="Arial" w:cs="Arial"/>
          <w:sz w:val="22"/>
          <w:szCs w:val="22"/>
        </w:rPr>
        <w:t>teatfish</w:t>
      </w:r>
      <w:proofErr w:type="spellEnd"/>
      <w:r>
        <w:rPr>
          <w:rFonts w:ascii="Arial" w:hAnsi="Arial" w:cs="Arial"/>
          <w:sz w:val="22"/>
          <w:szCs w:val="22"/>
        </w:rPr>
        <w:t xml:space="preserve"> (</w:t>
      </w:r>
      <w:proofErr w:type="spellStart"/>
      <w:r>
        <w:rPr>
          <w:rFonts w:ascii="Arial" w:hAnsi="Arial" w:cs="Arial"/>
          <w:i/>
          <w:iCs/>
          <w:sz w:val="22"/>
          <w:szCs w:val="22"/>
        </w:rPr>
        <w:t>Holothuria</w:t>
      </w:r>
      <w:proofErr w:type="spellEnd"/>
      <w:r>
        <w:rPr>
          <w:rFonts w:ascii="Arial" w:hAnsi="Arial" w:cs="Arial"/>
          <w:i/>
          <w:iCs/>
          <w:sz w:val="22"/>
          <w:szCs w:val="22"/>
        </w:rPr>
        <w:t xml:space="preserve"> </w:t>
      </w:r>
      <w:proofErr w:type="spellStart"/>
      <w:r>
        <w:rPr>
          <w:rFonts w:ascii="Arial" w:hAnsi="Arial" w:cs="Arial"/>
          <w:i/>
          <w:iCs/>
          <w:sz w:val="22"/>
          <w:szCs w:val="22"/>
        </w:rPr>
        <w:t>whitmaei</w:t>
      </w:r>
      <w:proofErr w:type="spellEnd"/>
      <w:r>
        <w:rPr>
          <w:rFonts w:ascii="Arial" w:hAnsi="Arial" w:cs="Arial"/>
          <w:sz w:val="22"/>
          <w:szCs w:val="22"/>
        </w:rPr>
        <w:t>) in Queensland, Australia</w:t>
      </w:r>
    </w:p>
    <w:p w14:paraId="6AA8DDA0" w14:textId="77777777" w:rsidR="006C60DB" w:rsidRPr="00874747" w:rsidRDefault="008E50D6" w:rsidP="006C60DB">
      <w:pPr>
        <w:pStyle w:val="CommentText"/>
        <w:rPr>
          <w:rFonts w:ascii="Arial" w:hAnsi="Arial" w:cs="Arial"/>
          <w:sz w:val="22"/>
          <w:szCs w:val="22"/>
        </w:rPr>
      </w:pPr>
      <w:hyperlink r:id="rId29" w:history="1">
        <w:r w:rsidR="006C60DB" w:rsidRPr="0057768D">
          <w:rPr>
            <w:rStyle w:val="Hyperlink"/>
            <w:rFonts w:ascii="Arial" w:hAnsi="Arial" w:cs="Arial"/>
            <w:sz w:val="22"/>
            <w:szCs w:val="22"/>
          </w:rPr>
          <w:t>http://era.daf.qld.gov.au/id/eprint/8265/</w:t>
        </w:r>
      </w:hyperlink>
      <w:r w:rsidR="006C60DB">
        <w:rPr>
          <w:rFonts w:ascii="Arial" w:hAnsi="Arial" w:cs="Arial"/>
          <w:sz w:val="22"/>
          <w:szCs w:val="22"/>
        </w:rPr>
        <w:t xml:space="preserve"> Accessed 27 September 2021</w:t>
      </w:r>
    </w:p>
    <w:p w14:paraId="78F5002E" w14:textId="77777777" w:rsidR="005414E4" w:rsidRDefault="005414E4" w:rsidP="00A23801"/>
    <w:p w14:paraId="4F13199B" w14:textId="26F75141" w:rsidR="00434729" w:rsidRPr="00A23801" w:rsidRDefault="00434729" w:rsidP="00A23801">
      <w:pPr>
        <w:sectPr w:rsidR="00434729" w:rsidRPr="00A23801" w:rsidSect="00434729">
          <w:pgSz w:w="11906" w:h="16838"/>
          <w:pgMar w:top="1021" w:right="1021" w:bottom="1021" w:left="1021" w:header="709" w:footer="709" w:gutter="0"/>
          <w:cols w:space="708"/>
          <w:docGrid w:linePitch="360"/>
        </w:sectPr>
      </w:pPr>
    </w:p>
    <w:p w14:paraId="3FD16CD5" w14:textId="77777777" w:rsidR="00B6012C" w:rsidRPr="003F7689" w:rsidRDefault="00B6012C" w:rsidP="006E4EA3">
      <w:pPr>
        <w:pStyle w:val="Heading1"/>
        <w:rPr>
          <w:rFonts w:ascii="Arial" w:hAnsi="Arial"/>
        </w:rPr>
      </w:pPr>
      <w:bookmarkStart w:id="13" w:name="_Toc316301053"/>
      <w:bookmarkStart w:id="14" w:name="_Toc89208575"/>
      <w:bookmarkEnd w:id="11"/>
      <w:r w:rsidRPr="003F7689">
        <w:rPr>
          <w:rFonts w:ascii="Arial" w:hAnsi="Arial"/>
        </w:rPr>
        <w:lastRenderedPageBreak/>
        <w:t>References</w:t>
      </w:r>
      <w:bookmarkEnd w:id="13"/>
      <w:bookmarkEnd w:id="14"/>
    </w:p>
    <w:p w14:paraId="582904D9" w14:textId="4842083D" w:rsidR="0081672E" w:rsidRDefault="0081672E" w:rsidP="00A23801">
      <w:pPr>
        <w:rPr>
          <w:rFonts w:cs="Arial"/>
          <w:sz w:val="20"/>
          <w:szCs w:val="20"/>
        </w:rPr>
      </w:pPr>
      <w:proofErr w:type="spellStart"/>
      <w:r w:rsidRPr="0081672E">
        <w:rPr>
          <w:rFonts w:cs="Arial"/>
          <w:sz w:val="20"/>
          <w:szCs w:val="20"/>
        </w:rPr>
        <w:t>Benzie</w:t>
      </w:r>
      <w:proofErr w:type="spellEnd"/>
      <w:r w:rsidRPr="0081672E">
        <w:rPr>
          <w:rFonts w:cs="Arial"/>
          <w:sz w:val="20"/>
          <w:szCs w:val="20"/>
        </w:rPr>
        <w:t xml:space="preserve">, J.A., and </w:t>
      </w:r>
      <w:proofErr w:type="spellStart"/>
      <w:r w:rsidRPr="0081672E">
        <w:rPr>
          <w:rFonts w:cs="Arial"/>
          <w:sz w:val="20"/>
          <w:szCs w:val="20"/>
        </w:rPr>
        <w:t>Uthicke</w:t>
      </w:r>
      <w:proofErr w:type="spellEnd"/>
      <w:r w:rsidRPr="0081672E">
        <w:rPr>
          <w:rFonts w:cs="Arial"/>
          <w:sz w:val="20"/>
          <w:szCs w:val="20"/>
        </w:rPr>
        <w:t xml:space="preserve">, S. (2003) </w:t>
      </w:r>
      <w:r w:rsidR="000A53C4">
        <w:rPr>
          <w:rFonts w:cs="Arial"/>
          <w:sz w:val="20"/>
          <w:szCs w:val="20"/>
        </w:rPr>
        <w:t>‘</w:t>
      </w:r>
      <w:r w:rsidRPr="0081672E">
        <w:rPr>
          <w:rFonts w:cs="Arial"/>
          <w:sz w:val="20"/>
          <w:szCs w:val="20"/>
        </w:rPr>
        <w:t xml:space="preserve">Stock size of </w:t>
      </w:r>
      <w:proofErr w:type="spellStart"/>
      <w:r w:rsidRPr="0081672E">
        <w:rPr>
          <w:rFonts w:cs="Arial"/>
          <w:sz w:val="20"/>
          <w:szCs w:val="20"/>
        </w:rPr>
        <w:t>bêche</w:t>
      </w:r>
      <w:proofErr w:type="spellEnd"/>
      <w:r w:rsidRPr="0081672E">
        <w:rPr>
          <w:rFonts w:cs="Arial"/>
          <w:sz w:val="20"/>
          <w:szCs w:val="20"/>
        </w:rPr>
        <w:t>-de-</w:t>
      </w:r>
      <w:proofErr w:type="spellStart"/>
      <w:r w:rsidRPr="0081672E">
        <w:rPr>
          <w:rFonts w:cs="Arial"/>
          <w:sz w:val="20"/>
          <w:szCs w:val="20"/>
        </w:rPr>
        <w:t>mer</w:t>
      </w:r>
      <w:proofErr w:type="spellEnd"/>
      <w:r w:rsidRPr="0081672E">
        <w:rPr>
          <w:rFonts w:cs="Arial"/>
          <w:sz w:val="20"/>
          <w:szCs w:val="20"/>
        </w:rPr>
        <w:t xml:space="preserve">, recruitment patterns and gene flow in black </w:t>
      </w:r>
      <w:proofErr w:type="spellStart"/>
      <w:r w:rsidRPr="0081672E">
        <w:rPr>
          <w:rFonts w:cs="Arial"/>
          <w:sz w:val="20"/>
          <w:szCs w:val="20"/>
        </w:rPr>
        <w:t>teatfish</w:t>
      </w:r>
      <w:proofErr w:type="spellEnd"/>
      <w:r w:rsidRPr="0081672E">
        <w:rPr>
          <w:rFonts w:cs="Arial"/>
          <w:sz w:val="20"/>
          <w:szCs w:val="20"/>
        </w:rPr>
        <w:t xml:space="preserve">, and recovery of over-fished black </w:t>
      </w:r>
      <w:proofErr w:type="spellStart"/>
      <w:r w:rsidRPr="0081672E">
        <w:rPr>
          <w:rFonts w:cs="Arial"/>
          <w:sz w:val="20"/>
          <w:szCs w:val="20"/>
        </w:rPr>
        <w:t>teatfish</w:t>
      </w:r>
      <w:proofErr w:type="spellEnd"/>
      <w:r w:rsidRPr="0081672E">
        <w:rPr>
          <w:rFonts w:cs="Arial"/>
          <w:sz w:val="20"/>
          <w:szCs w:val="20"/>
        </w:rPr>
        <w:t xml:space="preserve"> stocks on the Great Barrier Reef</w:t>
      </w:r>
      <w:r w:rsidR="000A53C4">
        <w:rPr>
          <w:rFonts w:cs="Arial"/>
          <w:sz w:val="20"/>
          <w:szCs w:val="20"/>
        </w:rPr>
        <w:t>’</w:t>
      </w:r>
      <w:r w:rsidRPr="0081672E">
        <w:rPr>
          <w:rFonts w:cs="Arial"/>
          <w:sz w:val="20"/>
          <w:szCs w:val="20"/>
        </w:rPr>
        <w:t>. Final Report to the Fisheries Research and Development Corporation, FRDC Project #97/344. Australian Institute of Marine Science, Townsville, 160pp</w:t>
      </w:r>
    </w:p>
    <w:p w14:paraId="230BF86A" w14:textId="32D59FAE" w:rsidR="0066148B" w:rsidRDefault="0066148B" w:rsidP="0066148B">
      <w:pPr>
        <w:rPr>
          <w:rFonts w:cs="Arial"/>
          <w:sz w:val="20"/>
          <w:szCs w:val="20"/>
        </w:rPr>
      </w:pPr>
      <w:r w:rsidRPr="0066148B">
        <w:rPr>
          <w:rFonts w:cs="Arial"/>
          <w:sz w:val="20"/>
          <w:szCs w:val="20"/>
        </w:rPr>
        <w:t>Department of Agriculture and Water</w:t>
      </w:r>
      <w:r>
        <w:rPr>
          <w:rFonts w:cs="Arial"/>
          <w:sz w:val="20"/>
          <w:szCs w:val="20"/>
        </w:rPr>
        <w:t xml:space="preserve"> </w:t>
      </w:r>
      <w:r w:rsidRPr="0066148B">
        <w:rPr>
          <w:rFonts w:cs="Arial"/>
          <w:sz w:val="20"/>
          <w:szCs w:val="20"/>
        </w:rPr>
        <w:t>Resources 2018, Commonwealth Fisheries Harvest Strategy</w:t>
      </w:r>
      <w:r w:rsidR="00285E0F">
        <w:rPr>
          <w:rFonts w:cs="Arial"/>
          <w:sz w:val="20"/>
          <w:szCs w:val="20"/>
        </w:rPr>
        <w:t xml:space="preserve"> </w:t>
      </w:r>
      <w:r w:rsidRPr="0066148B">
        <w:rPr>
          <w:rFonts w:cs="Arial"/>
          <w:sz w:val="20"/>
          <w:szCs w:val="20"/>
        </w:rPr>
        <w:t>Policy, Canberra, June. CC BY 4.0</w:t>
      </w:r>
    </w:p>
    <w:p w14:paraId="622123BE" w14:textId="455683D2" w:rsidR="00FB7D7D" w:rsidRDefault="00706689" w:rsidP="00A23801">
      <w:pPr>
        <w:rPr>
          <w:rFonts w:cs="Arial"/>
          <w:sz w:val="20"/>
          <w:szCs w:val="20"/>
        </w:rPr>
      </w:pPr>
      <w:r w:rsidRPr="00262B6E">
        <w:rPr>
          <w:rFonts w:cs="Arial"/>
          <w:sz w:val="20"/>
          <w:szCs w:val="20"/>
        </w:rPr>
        <w:t>Department of Sustainability, Environment, Water, Population and Communities 2012 ‘Marine bioregional plan for the Temperate East Marine Region, Department of Sustainability, Environment, Water, Population and Communities, Canberra ACT, Available at</w:t>
      </w:r>
      <w:r w:rsidR="00262B6E">
        <w:rPr>
          <w:rFonts w:cs="Arial"/>
          <w:sz w:val="20"/>
          <w:szCs w:val="20"/>
        </w:rPr>
        <w:t>:</w:t>
      </w:r>
      <w:r w:rsidRPr="00262B6E">
        <w:rPr>
          <w:rFonts w:cs="Arial"/>
          <w:sz w:val="20"/>
          <w:szCs w:val="20"/>
        </w:rPr>
        <w:t xml:space="preserve"> </w:t>
      </w:r>
      <w:hyperlink r:id="rId30" w:history="1">
        <w:r w:rsidRPr="00262B6E">
          <w:rPr>
            <w:rStyle w:val="Hyperlink"/>
            <w:rFonts w:cs="Arial"/>
            <w:sz w:val="20"/>
            <w:szCs w:val="20"/>
          </w:rPr>
          <w:t>http://www.environment.gov.au/marine/marine-bioregional-plans</w:t>
        </w:r>
      </w:hyperlink>
      <w:r w:rsidRPr="00262B6E">
        <w:rPr>
          <w:rFonts w:cs="Arial"/>
          <w:sz w:val="20"/>
          <w:szCs w:val="20"/>
        </w:rPr>
        <w:t xml:space="preserve">. </w:t>
      </w:r>
    </w:p>
    <w:p w14:paraId="48350888" w14:textId="1E25C8C2" w:rsidR="00235CFC" w:rsidRDefault="00235CFC" w:rsidP="00A23801">
      <w:pPr>
        <w:rPr>
          <w:rFonts w:cs="Arial"/>
          <w:sz w:val="20"/>
          <w:szCs w:val="20"/>
        </w:rPr>
      </w:pPr>
      <w:r>
        <w:rPr>
          <w:rFonts w:cs="Arial"/>
          <w:sz w:val="20"/>
          <w:szCs w:val="20"/>
        </w:rPr>
        <w:t>Eriksson</w:t>
      </w:r>
      <w:r w:rsidR="00967688">
        <w:rPr>
          <w:rFonts w:cs="Arial"/>
          <w:sz w:val="20"/>
          <w:szCs w:val="20"/>
        </w:rPr>
        <w:t xml:space="preserve"> H., Byrne M. 2015 </w:t>
      </w:r>
      <w:r w:rsidR="00712924">
        <w:rPr>
          <w:rFonts w:cs="Arial"/>
          <w:sz w:val="20"/>
          <w:szCs w:val="20"/>
        </w:rPr>
        <w:t>‘The sea cumber fishery in Australia’s Great Barrier Reef follows global patterns of serial exploitations’</w:t>
      </w:r>
      <w:r w:rsidR="00C2005C">
        <w:rPr>
          <w:rFonts w:cs="Arial"/>
          <w:sz w:val="20"/>
          <w:szCs w:val="20"/>
        </w:rPr>
        <w:t xml:space="preserve">, </w:t>
      </w:r>
      <w:r w:rsidR="00C2005C">
        <w:rPr>
          <w:rFonts w:cs="Arial"/>
          <w:i/>
          <w:iCs/>
          <w:sz w:val="20"/>
          <w:szCs w:val="20"/>
        </w:rPr>
        <w:t>Fish and Fisheries</w:t>
      </w:r>
      <w:r w:rsidR="00C2005C">
        <w:rPr>
          <w:rFonts w:cs="Arial"/>
          <w:sz w:val="20"/>
          <w:szCs w:val="20"/>
        </w:rPr>
        <w:t xml:space="preserve">. </w:t>
      </w:r>
      <w:r w:rsidR="00932112">
        <w:rPr>
          <w:rFonts w:cs="Arial"/>
          <w:sz w:val="20"/>
          <w:szCs w:val="20"/>
        </w:rPr>
        <w:t>2015, 16, 329-</w:t>
      </w:r>
      <w:r w:rsidR="002D7021">
        <w:rPr>
          <w:rFonts w:cs="Arial"/>
          <w:sz w:val="20"/>
          <w:szCs w:val="20"/>
        </w:rPr>
        <w:t xml:space="preserve">341. </w:t>
      </w:r>
    </w:p>
    <w:p w14:paraId="2A936FC1" w14:textId="223B31C4" w:rsidR="000E1B90" w:rsidRDefault="000E1B90" w:rsidP="00A23801">
      <w:pPr>
        <w:rPr>
          <w:rFonts w:cs="Arial"/>
          <w:sz w:val="20"/>
          <w:szCs w:val="20"/>
        </w:rPr>
      </w:pPr>
      <w:proofErr w:type="spellStart"/>
      <w:r w:rsidRPr="000E1B90">
        <w:rPr>
          <w:rFonts w:cs="Arial"/>
          <w:sz w:val="20"/>
          <w:szCs w:val="20"/>
        </w:rPr>
        <w:t>Knuckey</w:t>
      </w:r>
      <w:proofErr w:type="spellEnd"/>
      <w:r w:rsidRPr="000E1B90">
        <w:rPr>
          <w:rFonts w:cs="Arial"/>
          <w:sz w:val="20"/>
          <w:szCs w:val="20"/>
        </w:rPr>
        <w:t xml:space="preserve">, I., and Koopman, M., (2016). </w:t>
      </w:r>
      <w:r>
        <w:rPr>
          <w:rFonts w:cs="Arial"/>
          <w:sz w:val="20"/>
          <w:szCs w:val="20"/>
        </w:rPr>
        <w:t>‘</w:t>
      </w:r>
      <w:r w:rsidRPr="000E1B90">
        <w:rPr>
          <w:rFonts w:cs="Arial"/>
          <w:sz w:val="20"/>
          <w:szCs w:val="20"/>
        </w:rPr>
        <w:t xml:space="preserve">Survey to estimate the biomass and recovery of Black </w:t>
      </w:r>
      <w:proofErr w:type="spellStart"/>
      <w:r w:rsidRPr="000E1B90">
        <w:rPr>
          <w:rFonts w:cs="Arial"/>
          <w:sz w:val="20"/>
          <w:szCs w:val="20"/>
        </w:rPr>
        <w:t>teatfish</w:t>
      </w:r>
      <w:proofErr w:type="spellEnd"/>
      <w:r w:rsidRPr="000E1B90">
        <w:rPr>
          <w:rFonts w:cs="Arial"/>
          <w:sz w:val="20"/>
          <w:szCs w:val="20"/>
        </w:rPr>
        <w:t xml:space="preserve"> (</w:t>
      </w:r>
      <w:proofErr w:type="spellStart"/>
      <w:r w:rsidRPr="000E1B90">
        <w:rPr>
          <w:rFonts w:cs="Arial"/>
          <w:i/>
          <w:iCs/>
          <w:sz w:val="20"/>
          <w:szCs w:val="20"/>
        </w:rPr>
        <w:t>Holothuria</w:t>
      </w:r>
      <w:proofErr w:type="spellEnd"/>
      <w:r w:rsidRPr="000E1B90">
        <w:rPr>
          <w:rFonts w:cs="Arial"/>
          <w:i/>
          <w:iCs/>
          <w:sz w:val="20"/>
          <w:szCs w:val="20"/>
        </w:rPr>
        <w:t xml:space="preserve"> </w:t>
      </w:r>
      <w:proofErr w:type="spellStart"/>
      <w:r w:rsidRPr="000E1B90">
        <w:rPr>
          <w:rFonts w:cs="Arial"/>
          <w:i/>
          <w:iCs/>
          <w:sz w:val="20"/>
          <w:szCs w:val="20"/>
        </w:rPr>
        <w:t>whitmaei</w:t>
      </w:r>
      <w:proofErr w:type="spellEnd"/>
      <w:r w:rsidRPr="000E1B90">
        <w:rPr>
          <w:rFonts w:cs="Arial"/>
          <w:sz w:val="20"/>
          <w:szCs w:val="20"/>
        </w:rPr>
        <w:t>) in Zone 1 of the Queensland Sea Cucumber Fishery (East Coast)</w:t>
      </w:r>
      <w:r w:rsidR="006F6D7E">
        <w:rPr>
          <w:rFonts w:cs="Arial"/>
          <w:sz w:val="20"/>
          <w:szCs w:val="20"/>
        </w:rPr>
        <w:t>’,</w:t>
      </w:r>
      <w:r w:rsidRPr="000E1B90">
        <w:rPr>
          <w:rFonts w:cs="Arial"/>
          <w:sz w:val="20"/>
          <w:szCs w:val="20"/>
        </w:rPr>
        <w:t xml:space="preserve"> </w:t>
      </w:r>
      <w:proofErr w:type="spellStart"/>
      <w:r w:rsidRPr="000E1B90">
        <w:rPr>
          <w:rFonts w:cs="Arial"/>
          <w:sz w:val="20"/>
          <w:szCs w:val="20"/>
        </w:rPr>
        <w:t>Fishwell</w:t>
      </w:r>
      <w:proofErr w:type="spellEnd"/>
      <w:r w:rsidRPr="000E1B90">
        <w:rPr>
          <w:rFonts w:cs="Arial"/>
          <w:sz w:val="20"/>
          <w:szCs w:val="20"/>
        </w:rPr>
        <w:t xml:space="preserve"> Consulting</w:t>
      </w:r>
      <w:r w:rsidR="006F6D7E">
        <w:rPr>
          <w:rFonts w:cs="Arial"/>
          <w:sz w:val="20"/>
          <w:szCs w:val="20"/>
        </w:rPr>
        <w:t>.</w:t>
      </w:r>
      <w:r w:rsidRPr="000E1B90">
        <w:rPr>
          <w:rFonts w:cs="Arial"/>
          <w:sz w:val="20"/>
          <w:szCs w:val="20"/>
        </w:rPr>
        <w:t xml:space="preserve"> 41pp. 2016. CC BY 3.0</w:t>
      </w:r>
    </w:p>
    <w:p w14:paraId="53F0E838" w14:textId="2B5E40B7" w:rsidR="002E4D35" w:rsidRPr="00A62A63" w:rsidRDefault="002E4D35" w:rsidP="00A23801">
      <w:pPr>
        <w:rPr>
          <w:rFonts w:cs="Arial"/>
          <w:sz w:val="20"/>
          <w:szCs w:val="20"/>
        </w:rPr>
      </w:pPr>
      <w:r>
        <w:rPr>
          <w:rFonts w:cs="Arial"/>
          <w:sz w:val="20"/>
          <w:szCs w:val="20"/>
        </w:rPr>
        <w:t>Koopman</w:t>
      </w:r>
      <w:r w:rsidR="000F26D5">
        <w:rPr>
          <w:rFonts w:cs="Arial"/>
          <w:sz w:val="20"/>
          <w:szCs w:val="20"/>
        </w:rPr>
        <w:t xml:space="preserve">, M., and </w:t>
      </w:r>
      <w:proofErr w:type="spellStart"/>
      <w:r w:rsidR="000F26D5">
        <w:rPr>
          <w:rFonts w:cs="Arial"/>
          <w:sz w:val="20"/>
          <w:szCs w:val="20"/>
        </w:rPr>
        <w:t>Knuckey</w:t>
      </w:r>
      <w:proofErr w:type="spellEnd"/>
      <w:r w:rsidR="000F26D5">
        <w:rPr>
          <w:rFonts w:cs="Arial"/>
          <w:sz w:val="20"/>
          <w:szCs w:val="20"/>
        </w:rPr>
        <w:t xml:space="preserve">, I., (2021). ‘Biomass survey of Black </w:t>
      </w:r>
      <w:proofErr w:type="spellStart"/>
      <w:r w:rsidR="000F26D5">
        <w:rPr>
          <w:rFonts w:cs="Arial"/>
          <w:sz w:val="20"/>
          <w:szCs w:val="20"/>
        </w:rPr>
        <w:t>Teatfish</w:t>
      </w:r>
      <w:proofErr w:type="spellEnd"/>
      <w:r w:rsidR="000F26D5">
        <w:rPr>
          <w:rFonts w:cs="Arial"/>
          <w:sz w:val="20"/>
          <w:szCs w:val="20"/>
        </w:rPr>
        <w:t xml:space="preserve"> in Zone 2 of the Queensland Sea Cucumber Fishery (East Coast)</w:t>
      </w:r>
      <w:r w:rsidR="00906866">
        <w:rPr>
          <w:rFonts w:cs="Arial"/>
          <w:sz w:val="20"/>
          <w:szCs w:val="20"/>
        </w:rPr>
        <w:t>’</w:t>
      </w:r>
      <w:r w:rsidR="00106DDD">
        <w:rPr>
          <w:rFonts w:cs="Arial"/>
          <w:sz w:val="20"/>
          <w:szCs w:val="20"/>
        </w:rPr>
        <w:t>,</w:t>
      </w:r>
      <w:r w:rsidR="000F26D5">
        <w:rPr>
          <w:rFonts w:cs="Arial"/>
          <w:sz w:val="20"/>
          <w:szCs w:val="20"/>
        </w:rPr>
        <w:t xml:space="preserve"> </w:t>
      </w:r>
      <w:proofErr w:type="spellStart"/>
      <w:r w:rsidR="00906866" w:rsidRPr="000E1B90">
        <w:rPr>
          <w:rFonts w:cs="Arial"/>
          <w:sz w:val="20"/>
          <w:szCs w:val="20"/>
        </w:rPr>
        <w:t>Fishwell</w:t>
      </w:r>
      <w:proofErr w:type="spellEnd"/>
      <w:r w:rsidR="00906866" w:rsidRPr="000E1B90">
        <w:rPr>
          <w:rFonts w:cs="Arial"/>
          <w:sz w:val="20"/>
          <w:szCs w:val="20"/>
        </w:rPr>
        <w:t xml:space="preserve"> Consulting</w:t>
      </w:r>
      <w:r w:rsidR="00106DDD">
        <w:rPr>
          <w:rFonts w:cs="Arial"/>
          <w:sz w:val="20"/>
          <w:szCs w:val="20"/>
        </w:rPr>
        <w:t>. Available at</w:t>
      </w:r>
      <w:r w:rsidR="004F6C05">
        <w:rPr>
          <w:rFonts w:cs="Arial"/>
          <w:sz w:val="20"/>
          <w:szCs w:val="20"/>
        </w:rPr>
        <w:t>:</w:t>
      </w:r>
      <w:r w:rsidR="00106DDD">
        <w:rPr>
          <w:rFonts w:cs="Arial"/>
          <w:sz w:val="20"/>
          <w:szCs w:val="20"/>
        </w:rPr>
        <w:t xml:space="preserve"> </w:t>
      </w:r>
      <w:hyperlink r:id="rId31" w:history="1">
        <w:r w:rsidR="00262B6E" w:rsidRPr="00A62A63">
          <w:rPr>
            <w:rStyle w:val="Hyperlink"/>
            <w:rFonts w:cs="Arial"/>
            <w:sz w:val="20"/>
            <w:szCs w:val="20"/>
          </w:rPr>
          <w:t>https://daf.engagementhub.com.au/draft-sea-cucumber-fishery-harvest-strategy</w:t>
        </w:r>
      </w:hyperlink>
      <w:r w:rsidR="00262B6E" w:rsidRPr="00A62A63">
        <w:rPr>
          <w:rFonts w:cs="Arial"/>
          <w:sz w:val="20"/>
          <w:szCs w:val="20"/>
        </w:rPr>
        <w:t xml:space="preserve"> </w:t>
      </w:r>
    </w:p>
    <w:p w14:paraId="21E66E4F" w14:textId="77777777" w:rsidR="00F5727E" w:rsidRPr="00A62A63" w:rsidRDefault="00F5727E" w:rsidP="00F5727E">
      <w:pPr>
        <w:rPr>
          <w:rFonts w:cs="Arial"/>
          <w:sz w:val="20"/>
          <w:szCs w:val="20"/>
        </w:rPr>
      </w:pPr>
      <w:r w:rsidRPr="00A62A63">
        <w:rPr>
          <w:sz w:val="20"/>
          <w:szCs w:val="20"/>
        </w:rPr>
        <w:t xml:space="preserve">Purcell, </w:t>
      </w:r>
      <w:proofErr w:type="gramStart"/>
      <w:r w:rsidRPr="00A62A63">
        <w:rPr>
          <w:sz w:val="20"/>
          <w:szCs w:val="20"/>
        </w:rPr>
        <w:t>S.W. Managing sea</w:t>
      </w:r>
      <w:proofErr w:type="gramEnd"/>
      <w:r w:rsidRPr="00A62A63">
        <w:rPr>
          <w:sz w:val="20"/>
          <w:szCs w:val="20"/>
        </w:rPr>
        <w:t xml:space="preserve"> cucumber fisheries with an ecosystem approach. Edited/compiled by </w:t>
      </w:r>
      <w:proofErr w:type="spellStart"/>
      <w:r w:rsidRPr="00A62A63">
        <w:rPr>
          <w:sz w:val="20"/>
          <w:szCs w:val="20"/>
        </w:rPr>
        <w:t>Lovatelli</w:t>
      </w:r>
      <w:proofErr w:type="spellEnd"/>
      <w:r w:rsidRPr="00A62A63">
        <w:rPr>
          <w:sz w:val="20"/>
          <w:szCs w:val="20"/>
        </w:rPr>
        <w:t xml:space="preserve">, A.; M. Vasconcellos and Y. </w:t>
      </w:r>
      <w:proofErr w:type="spellStart"/>
      <w:r w:rsidRPr="00A62A63">
        <w:rPr>
          <w:sz w:val="20"/>
          <w:szCs w:val="20"/>
        </w:rPr>
        <w:t>Yimin</w:t>
      </w:r>
      <w:proofErr w:type="spellEnd"/>
      <w:r w:rsidRPr="00A62A63">
        <w:rPr>
          <w:sz w:val="20"/>
          <w:szCs w:val="20"/>
        </w:rPr>
        <w:t>. FAO Fisheries and Aquaculture Technical Paper. No. 520. Rome, FAO. 2010. 157p.</w:t>
      </w:r>
    </w:p>
    <w:p w14:paraId="59E57250" w14:textId="1763DFC2" w:rsidR="00130C66" w:rsidRPr="00C2005C" w:rsidRDefault="00025108" w:rsidP="00A23801">
      <w:pPr>
        <w:rPr>
          <w:rFonts w:cs="Arial"/>
          <w:sz w:val="20"/>
          <w:szCs w:val="20"/>
        </w:rPr>
      </w:pPr>
      <w:r w:rsidRPr="00025108">
        <w:rPr>
          <w:rFonts w:cs="Arial"/>
          <w:sz w:val="20"/>
          <w:szCs w:val="20"/>
        </w:rPr>
        <w:t>Skewes</w:t>
      </w:r>
      <w:r>
        <w:rPr>
          <w:rFonts w:cs="Arial"/>
          <w:sz w:val="20"/>
          <w:szCs w:val="20"/>
        </w:rPr>
        <w:t>, T.</w:t>
      </w:r>
      <w:r w:rsidRPr="00025108">
        <w:rPr>
          <w:rFonts w:cs="Arial"/>
          <w:sz w:val="20"/>
          <w:szCs w:val="20"/>
        </w:rPr>
        <w:t xml:space="preserve">, </w:t>
      </w:r>
      <w:proofErr w:type="spellStart"/>
      <w:r w:rsidRPr="00025108">
        <w:rPr>
          <w:rFonts w:cs="Arial"/>
          <w:sz w:val="20"/>
          <w:szCs w:val="20"/>
        </w:rPr>
        <w:t>Plagányi</w:t>
      </w:r>
      <w:proofErr w:type="spellEnd"/>
      <w:r w:rsidRPr="00025108">
        <w:rPr>
          <w:rFonts w:cs="Arial"/>
          <w:sz w:val="20"/>
          <w:szCs w:val="20"/>
        </w:rPr>
        <w:t>,</w:t>
      </w:r>
      <w:r>
        <w:rPr>
          <w:rFonts w:cs="Arial"/>
          <w:sz w:val="20"/>
          <w:szCs w:val="20"/>
        </w:rPr>
        <w:t xml:space="preserve"> E.,</w:t>
      </w:r>
      <w:r w:rsidR="00DD4065">
        <w:rPr>
          <w:rFonts w:cs="Arial"/>
          <w:sz w:val="20"/>
          <w:szCs w:val="20"/>
        </w:rPr>
        <w:t xml:space="preserve"> </w:t>
      </w:r>
      <w:r w:rsidRPr="00025108">
        <w:rPr>
          <w:rFonts w:cs="Arial"/>
          <w:sz w:val="20"/>
          <w:szCs w:val="20"/>
        </w:rPr>
        <w:t>Murphy</w:t>
      </w:r>
      <w:r w:rsidR="00BB2164">
        <w:rPr>
          <w:rFonts w:cs="Arial"/>
          <w:sz w:val="20"/>
          <w:szCs w:val="20"/>
        </w:rPr>
        <w:t>, N.</w:t>
      </w:r>
      <w:r w:rsidRPr="00025108">
        <w:rPr>
          <w:rFonts w:cs="Arial"/>
          <w:sz w:val="20"/>
          <w:szCs w:val="20"/>
        </w:rPr>
        <w:t>, Pascual,</w:t>
      </w:r>
      <w:r w:rsidR="00BB2164">
        <w:rPr>
          <w:rFonts w:cs="Arial"/>
          <w:sz w:val="20"/>
          <w:szCs w:val="20"/>
        </w:rPr>
        <w:t xml:space="preserve"> R.,</w:t>
      </w:r>
      <w:r w:rsidRPr="00025108">
        <w:rPr>
          <w:rFonts w:cs="Arial"/>
          <w:sz w:val="20"/>
          <w:szCs w:val="20"/>
        </w:rPr>
        <w:t xml:space="preserve"> Fischer</w:t>
      </w:r>
      <w:r w:rsidR="00BB2164">
        <w:rPr>
          <w:rFonts w:cs="Arial"/>
          <w:sz w:val="20"/>
          <w:szCs w:val="20"/>
        </w:rPr>
        <w:t xml:space="preserve"> M.,</w:t>
      </w:r>
      <w:r w:rsidRPr="00025108">
        <w:rPr>
          <w:rFonts w:cs="Arial"/>
          <w:sz w:val="20"/>
          <w:szCs w:val="20"/>
        </w:rPr>
        <w:t xml:space="preserve"> (2014) </w:t>
      </w:r>
      <w:r w:rsidR="00BB2164">
        <w:rPr>
          <w:rFonts w:cs="Arial"/>
          <w:sz w:val="20"/>
          <w:szCs w:val="20"/>
        </w:rPr>
        <w:t>‘</w:t>
      </w:r>
      <w:r w:rsidRPr="00025108">
        <w:rPr>
          <w:rFonts w:cs="Arial"/>
          <w:sz w:val="20"/>
          <w:szCs w:val="20"/>
        </w:rPr>
        <w:t xml:space="preserve">Evaluating rotational harvest strategies for sea cucumber </w:t>
      </w:r>
      <w:proofErr w:type="gramStart"/>
      <w:r w:rsidRPr="00025108">
        <w:rPr>
          <w:rFonts w:cs="Arial"/>
          <w:sz w:val="20"/>
          <w:szCs w:val="20"/>
        </w:rPr>
        <w:t>fisheries</w:t>
      </w:r>
      <w:r w:rsidR="00BB2164">
        <w:rPr>
          <w:rFonts w:cs="Arial"/>
          <w:sz w:val="20"/>
          <w:szCs w:val="20"/>
        </w:rPr>
        <w:t>’</w:t>
      </w:r>
      <w:proofErr w:type="gramEnd"/>
      <w:r w:rsidRPr="00025108">
        <w:rPr>
          <w:rFonts w:cs="Arial"/>
          <w:sz w:val="20"/>
          <w:szCs w:val="20"/>
        </w:rPr>
        <w:t>. CSIRO. Brisbane. pp. 176. CC BY 3.0</w:t>
      </w:r>
    </w:p>
    <w:sectPr w:rsidR="00130C66" w:rsidRPr="00C2005C" w:rsidSect="00231C67">
      <w:headerReference w:type="even" r:id="rId32"/>
      <w:headerReference w:type="default" r:id="rId33"/>
      <w:footerReference w:type="even" r:id="rId34"/>
      <w:footerReference w:type="default" r:id="rId35"/>
      <w:headerReference w:type="first" r:id="rId36"/>
      <w:footerReference w:type="first" r:id="rId37"/>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BA39" w14:textId="77777777" w:rsidR="00BA4336" w:rsidRDefault="00BA4336" w:rsidP="00A60185">
      <w:pPr>
        <w:spacing w:after="0"/>
      </w:pPr>
      <w:r>
        <w:separator/>
      </w:r>
    </w:p>
  </w:endnote>
  <w:endnote w:type="continuationSeparator" w:id="0">
    <w:p w14:paraId="1479FFF2" w14:textId="77777777" w:rsidR="00BA4336" w:rsidRDefault="00BA4336" w:rsidP="00A60185">
      <w:pPr>
        <w:spacing w:after="0"/>
      </w:pPr>
      <w:r>
        <w:continuationSeparator/>
      </w:r>
    </w:p>
  </w:endnote>
  <w:endnote w:type="continuationNotice" w:id="1">
    <w:p w14:paraId="28A40898" w14:textId="77777777" w:rsidR="00BA4336" w:rsidRDefault="00BA4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35D" w14:textId="592CBF31" w:rsidR="006676CB" w:rsidRDefault="006676CB">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84842"/>
      <w:docPartObj>
        <w:docPartGallery w:val="Page Numbers (Bottom of Page)"/>
        <w:docPartUnique/>
      </w:docPartObj>
    </w:sdtPr>
    <w:sdtEndPr>
      <w:rPr>
        <w:noProof/>
      </w:rPr>
    </w:sdtEndPr>
    <w:sdtContent>
      <w:p w14:paraId="222A37F8" w14:textId="4375F404" w:rsidR="00016EE7" w:rsidRDefault="008E50D6">
        <w:pPr>
          <w:pStyle w:val="Footer"/>
          <w:jc w:val="right"/>
        </w:pPr>
      </w:p>
    </w:sdtContent>
  </w:sdt>
  <w:p w14:paraId="6627FCF2" w14:textId="77777777" w:rsidR="006676CB" w:rsidRDefault="00667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54423"/>
      <w:docPartObj>
        <w:docPartGallery w:val="Page Numbers (Bottom of Page)"/>
        <w:docPartUnique/>
      </w:docPartObj>
    </w:sdtPr>
    <w:sdtEndPr>
      <w:rPr>
        <w:noProof/>
      </w:rPr>
    </w:sdtEndPr>
    <w:sdtContent>
      <w:p w14:paraId="65C39195" w14:textId="2849A1DF" w:rsidR="00016EE7" w:rsidRDefault="00016E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5BBEEF" w14:textId="77777777" w:rsidR="00016EE7" w:rsidRDefault="00016EE7">
    <w:pPr>
      <w:pStyle w:val="Foote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B91" w14:textId="77777777" w:rsidR="006676CB" w:rsidRPr="008676DA" w:rsidRDefault="006676CB">
    <w:pPr>
      <w:pStyle w:val="Footer"/>
      <w:jc w:val="right"/>
      <w:rPr>
        <w:rFonts w:cs="Arial"/>
      </w:rPr>
    </w:pPr>
    <w:r w:rsidRPr="008676DA">
      <w:rPr>
        <w:rFonts w:cs="Arial"/>
      </w:rPr>
      <w:fldChar w:fldCharType="begin"/>
    </w:r>
    <w:r w:rsidRPr="008676DA">
      <w:rPr>
        <w:rFonts w:cs="Arial"/>
      </w:rPr>
      <w:instrText xml:space="preserve"> PAGE   \* MERGEFORMAT </w:instrText>
    </w:r>
    <w:r w:rsidRPr="008676DA">
      <w:rPr>
        <w:rFonts w:cs="Arial"/>
      </w:rPr>
      <w:fldChar w:fldCharType="separate"/>
    </w:r>
    <w:r>
      <w:rPr>
        <w:rFonts w:cs="Arial"/>
        <w:noProof/>
      </w:rPr>
      <w:t>30</w:t>
    </w:r>
    <w:r w:rsidRPr="008676DA">
      <w:rPr>
        <w:rFonts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1AF3" w14:textId="77777777" w:rsidR="006676CB" w:rsidRPr="00E5103E" w:rsidRDefault="006676CB">
    <w:pPr>
      <w:pStyle w:val="Footer"/>
      <w:jc w:val="right"/>
      <w:rPr>
        <w:rFonts w:cs="Arial"/>
      </w:rPr>
    </w:pPr>
    <w:r w:rsidRPr="00E5103E">
      <w:rPr>
        <w:rFonts w:cs="Arial"/>
      </w:rPr>
      <w:fldChar w:fldCharType="begin"/>
    </w:r>
    <w:r w:rsidRPr="00E5103E">
      <w:rPr>
        <w:rFonts w:cs="Arial"/>
      </w:rPr>
      <w:instrText xml:space="preserve"> PAGE   \* MERGEFORMAT </w:instrText>
    </w:r>
    <w:r w:rsidRPr="00E5103E">
      <w:rPr>
        <w:rFonts w:cs="Arial"/>
      </w:rPr>
      <w:fldChar w:fldCharType="separate"/>
    </w:r>
    <w:r>
      <w:rPr>
        <w:rFonts w:cs="Arial"/>
        <w:noProof/>
      </w:rPr>
      <w:t>1</w:t>
    </w:r>
    <w:r w:rsidRPr="00E5103E">
      <w:rPr>
        <w:rFonts w:cs="Arial"/>
      </w:rPr>
      <w:fldChar w:fldCharType="end"/>
    </w:r>
  </w:p>
  <w:p w14:paraId="0D61C6D4" w14:textId="77777777" w:rsidR="006676CB" w:rsidRDefault="006676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5FD6" w14:textId="77777777" w:rsidR="006676CB" w:rsidRDefault="006676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E209919" w14:textId="77777777" w:rsidR="006676CB" w:rsidRDefault="006676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290D" w14:textId="77777777" w:rsidR="006676CB" w:rsidRDefault="0066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0F6B" w14:textId="77777777" w:rsidR="00BA4336" w:rsidRDefault="00BA4336" w:rsidP="00A60185">
      <w:pPr>
        <w:spacing w:after="0"/>
      </w:pPr>
      <w:r>
        <w:separator/>
      </w:r>
    </w:p>
  </w:footnote>
  <w:footnote w:type="continuationSeparator" w:id="0">
    <w:p w14:paraId="09AE807F" w14:textId="77777777" w:rsidR="00BA4336" w:rsidRDefault="00BA4336" w:rsidP="00A60185">
      <w:pPr>
        <w:spacing w:after="0"/>
      </w:pPr>
      <w:r>
        <w:continuationSeparator/>
      </w:r>
    </w:p>
  </w:footnote>
  <w:footnote w:type="continuationNotice" w:id="1">
    <w:p w14:paraId="19BEE9E8" w14:textId="77777777" w:rsidR="00BA4336" w:rsidRDefault="00BA43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EE0D" w14:textId="77777777" w:rsidR="006676CB" w:rsidRDefault="006676CB"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A7A" w14:textId="77777777" w:rsidR="006676CB" w:rsidRDefault="00667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C7A" w14:textId="77777777" w:rsidR="006676CB" w:rsidRDefault="00667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029217B8"/>
    <w:styleLink w:val="BulletList"/>
    <w:lvl w:ilvl="0">
      <w:start w:val="1"/>
      <w:numFmt w:val="bullet"/>
      <w:lvlText w:val=""/>
      <w:lvlJc w:val="left"/>
      <w:pPr>
        <w:ind w:left="292" w:hanging="369"/>
      </w:pPr>
      <w:rPr>
        <w:rFonts w:ascii="Symbol" w:hAnsi="Symbol" w:hint="default"/>
      </w:rPr>
    </w:lvl>
    <w:lvl w:ilvl="1">
      <w:start w:val="1"/>
      <w:numFmt w:val="none"/>
      <w:lvlText w:val="-"/>
      <w:lvlJc w:val="left"/>
      <w:pPr>
        <w:ind w:left="660" w:hanging="368"/>
      </w:pPr>
      <w:rPr>
        <w:rFonts w:hint="default"/>
      </w:rPr>
    </w:lvl>
    <w:lvl w:ilvl="2">
      <w:start w:val="1"/>
      <w:numFmt w:val="none"/>
      <w:pStyle w:val="ListBullet3"/>
      <w:lvlText w:val=":"/>
      <w:lvlJc w:val="left"/>
      <w:pPr>
        <w:ind w:left="1029" w:hanging="369"/>
      </w:pPr>
      <w:rPr>
        <w:rFonts w:hint="default"/>
      </w:rPr>
    </w:lvl>
    <w:lvl w:ilvl="3">
      <w:start w:val="1"/>
      <w:numFmt w:val="none"/>
      <w:pStyle w:val="ListBullet4"/>
      <w:lvlText w:val=""/>
      <w:lvlJc w:val="left"/>
      <w:pPr>
        <w:ind w:left="1397" w:hanging="368"/>
      </w:pPr>
      <w:rPr>
        <w:rFonts w:hint="default"/>
        <w:color w:val="auto"/>
      </w:rPr>
    </w:lvl>
    <w:lvl w:ilvl="4">
      <w:start w:val="1"/>
      <w:numFmt w:val="none"/>
      <w:pStyle w:val="ListBullet5"/>
      <w:lvlText w:val=""/>
      <w:lvlJc w:val="left"/>
      <w:pPr>
        <w:ind w:left="1723" w:hanging="360"/>
      </w:pPr>
      <w:rPr>
        <w:rFonts w:hint="default"/>
        <w:color w:val="auto"/>
      </w:rPr>
    </w:lvl>
    <w:lvl w:ilvl="5">
      <w:start w:val="1"/>
      <w:numFmt w:val="none"/>
      <w:lvlText w:val=""/>
      <w:lvlJc w:val="left"/>
      <w:pPr>
        <w:ind w:left="2083" w:hanging="360"/>
      </w:pPr>
      <w:rPr>
        <w:rFonts w:hint="default"/>
        <w:color w:val="auto"/>
      </w:rPr>
    </w:lvl>
    <w:lvl w:ilvl="6">
      <w:start w:val="1"/>
      <w:numFmt w:val="none"/>
      <w:lvlText w:val=""/>
      <w:lvlJc w:val="left"/>
      <w:pPr>
        <w:ind w:left="2443" w:hanging="360"/>
      </w:pPr>
      <w:rPr>
        <w:rFonts w:hint="default"/>
        <w:color w:val="auto"/>
      </w:rPr>
    </w:lvl>
    <w:lvl w:ilvl="7">
      <w:start w:val="1"/>
      <w:numFmt w:val="none"/>
      <w:lvlText w:val=""/>
      <w:lvlJc w:val="left"/>
      <w:pPr>
        <w:ind w:left="2803" w:hanging="360"/>
      </w:pPr>
      <w:rPr>
        <w:rFonts w:hint="default"/>
        <w:color w:val="auto"/>
      </w:rPr>
    </w:lvl>
    <w:lvl w:ilvl="8">
      <w:start w:val="1"/>
      <w:numFmt w:val="none"/>
      <w:lvlText w:val=""/>
      <w:lvlJc w:val="left"/>
      <w:pPr>
        <w:ind w:left="3163" w:hanging="360"/>
      </w:pPr>
      <w:rPr>
        <w:rFonts w:hint="default"/>
        <w:color w:val="auto"/>
      </w:rPr>
    </w:lvl>
  </w:abstractNum>
  <w:abstractNum w:abstractNumId="1" w15:restartNumberingAfterBreak="0">
    <w:nsid w:val="03034722"/>
    <w:multiLevelType w:val="hybridMultilevel"/>
    <w:tmpl w:val="FB9AEC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362C2"/>
    <w:multiLevelType w:val="hybridMultilevel"/>
    <w:tmpl w:val="FDD431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F44B22"/>
    <w:multiLevelType w:val="hybridMultilevel"/>
    <w:tmpl w:val="34F05A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674F12"/>
    <w:multiLevelType w:val="hybridMultilevel"/>
    <w:tmpl w:val="5A224BF4"/>
    <w:lvl w:ilvl="0" w:tplc="26B42906">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C9511C"/>
    <w:multiLevelType w:val="hybridMultilevel"/>
    <w:tmpl w:val="597C63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171A50"/>
    <w:multiLevelType w:val="hybridMultilevel"/>
    <w:tmpl w:val="FB9AEC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3C7DC4"/>
    <w:multiLevelType w:val="hybridMultilevel"/>
    <w:tmpl w:val="4AFE7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45BC2"/>
    <w:multiLevelType w:val="multilevel"/>
    <w:tmpl w:val="029217B8"/>
    <w:numStyleLink w:val="BulletList"/>
  </w:abstractNum>
  <w:abstractNum w:abstractNumId="9" w15:restartNumberingAfterBreak="0">
    <w:nsid w:val="1FE971D1"/>
    <w:multiLevelType w:val="hybridMultilevel"/>
    <w:tmpl w:val="56DEE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EF19CB"/>
    <w:multiLevelType w:val="hybridMultilevel"/>
    <w:tmpl w:val="89A8855E"/>
    <w:lvl w:ilvl="0" w:tplc="04090001">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00000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2106DF"/>
    <w:multiLevelType w:val="hybridMultilevel"/>
    <w:tmpl w:val="71508C44"/>
    <w:lvl w:ilvl="0" w:tplc="0C090001">
      <w:start w:val="1"/>
      <w:numFmt w:val="bullet"/>
      <w:lvlText w:val=""/>
      <w:lvlJc w:val="left"/>
      <w:pPr>
        <w:ind w:left="720" w:hanging="360"/>
      </w:pPr>
      <w:rPr>
        <w:rFonts w:ascii="Symbol" w:hAnsi="Symbol" w:hint="default"/>
      </w:rPr>
    </w:lvl>
    <w:lvl w:ilvl="1" w:tplc="ADD8A9C0">
      <w:numFmt w:val="bullet"/>
      <w:lvlText w:val="•"/>
      <w:lvlJc w:val="left"/>
      <w:pPr>
        <w:ind w:left="1440" w:hanging="360"/>
      </w:pPr>
      <w:rPr>
        <w:rFonts w:ascii="SymbolMT" w:eastAsiaTheme="minorHAnsi" w:hAnsi="SymbolMT" w:cs="Symbo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8B11E0"/>
    <w:multiLevelType w:val="hybridMultilevel"/>
    <w:tmpl w:val="F02673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6"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677842"/>
    <w:multiLevelType w:val="hybridMultilevel"/>
    <w:tmpl w:val="FB9AEC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456429"/>
    <w:multiLevelType w:val="multilevel"/>
    <w:tmpl w:val="E898CC72"/>
    <w:numStyleLink w:val="KeyPoints"/>
  </w:abstractNum>
  <w:abstractNum w:abstractNumId="19" w15:restartNumberingAfterBreak="0">
    <w:nsid w:val="6FE86B8C"/>
    <w:multiLevelType w:val="hybridMultilevel"/>
    <w:tmpl w:val="FB9AEC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A61543"/>
    <w:multiLevelType w:val="hybridMultilevel"/>
    <w:tmpl w:val="B1E424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FD2F02"/>
    <w:multiLevelType w:val="hybridMultilevel"/>
    <w:tmpl w:val="2876C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04418D"/>
    <w:multiLevelType w:val="hybridMultilevel"/>
    <w:tmpl w:val="FB9AEC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25" w15:restartNumberingAfterBreak="0">
    <w:nsid w:val="79BB5AC0"/>
    <w:multiLevelType w:val="hybridMultilevel"/>
    <w:tmpl w:val="662ABE74"/>
    <w:lvl w:ilvl="0" w:tplc="F14C8EA6">
      <w:start w:val="1"/>
      <w:numFmt w:val="bullet"/>
      <w:pStyle w:val="ListBullet2"/>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6" w15:restartNumberingAfterBreak="0">
    <w:nsid w:val="7C19139A"/>
    <w:multiLevelType w:val="hybridMultilevel"/>
    <w:tmpl w:val="8334F282"/>
    <w:lvl w:ilvl="0" w:tplc="F2A2BE9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3"/>
  </w:num>
  <w:num w:numId="4">
    <w:abstractNumId w:val="11"/>
  </w:num>
  <w:num w:numId="5">
    <w:abstractNumId w:val="18"/>
  </w:num>
  <w:num w:numId="6">
    <w:abstractNumId w:val="4"/>
  </w:num>
  <w:num w:numId="7">
    <w:abstractNumId w:val="10"/>
  </w:num>
  <w:num w:numId="8">
    <w:abstractNumId w:val="26"/>
  </w:num>
  <w:num w:numId="9">
    <w:abstractNumId w:val="8"/>
    <w:lvlOverride w:ilvl="0">
      <w:lvl w:ilvl="0">
        <w:start w:val="1"/>
        <w:numFmt w:val="bullet"/>
        <w:lvlText w:val=""/>
        <w:lvlJc w:val="left"/>
        <w:pPr>
          <w:ind w:left="369" w:hanging="369"/>
        </w:pPr>
        <w:rPr>
          <w:rFonts w:ascii="Symbol" w:hAnsi="Symbol" w:hint="default"/>
        </w:rPr>
      </w:lvl>
    </w:lvlOverride>
  </w:num>
  <w:num w:numId="10">
    <w:abstractNumId w:val="24"/>
  </w:num>
  <w:num w:numId="11">
    <w:abstractNumId w:val="2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6"/>
  </w:num>
  <w:num w:numId="15">
    <w:abstractNumId w:val="14"/>
  </w:num>
  <w:num w:numId="16">
    <w:abstractNumId w:val="21"/>
  </w:num>
  <w:num w:numId="17">
    <w:abstractNumId w:val="5"/>
  </w:num>
  <w:num w:numId="18">
    <w:abstractNumId w:val="9"/>
  </w:num>
  <w:num w:numId="19">
    <w:abstractNumId w:val="20"/>
  </w:num>
  <w:num w:numId="20">
    <w:abstractNumId w:val="2"/>
  </w:num>
  <w:num w:numId="21">
    <w:abstractNumId w:val="6"/>
  </w:num>
  <w:num w:numId="22">
    <w:abstractNumId w:val="1"/>
  </w:num>
  <w:num w:numId="23">
    <w:abstractNumId w:val="12"/>
  </w:num>
  <w:num w:numId="24">
    <w:abstractNumId w:val="19"/>
  </w:num>
  <w:num w:numId="25">
    <w:abstractNumId w:val="22"/>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63A45"/>
    <w:rsid w:val="000048C6"/>
    <w:rsid w:val="00004AEE"/>
    <w:rsid w:val="00005272"/>
    <w:rsid w:val="0000566E"/>
    <w:rsid w:val="00005CAA"/>
    <w:rsid w:val="000061E7"/>
    <w:rsid w:val="000071F1"/>
    <w:rsid w:val="00007B2B"/>
    <w:rsid w:val="00007B98"/>
    <w:rsid w:val="00010210"/>
    <w:rsid w:val="0001162C"/>
    <w:rsid w:val="000119A2"/>
    <w:rsid w:val="000129F3"/>
    <w:rsid w:val="00012D66"/>
    <w:rsid w:val="00013AE6"/>
    <w:rsid w:val="00015814"/>
    <w:rsid w:val="0001595B"/>
    <w:rsid w:val="00015ADA"/>
    <w:rsid w:val="00015F6F"/>
    <w:rsid w:val="0001634E"/>
    <w:rsid w:val="00016EE7"/>
    <w:rsid w:val="00020C99"/>
    <w:rsid w:val="00020FB5"/>
    <w:rsid w:val="000217F7"/>
    <w:rsid w:val="000236F8"/>
    <w:rsid w:val="00023ED4"/>
    <w:rsid w:val="00024061"/>
    <w:rsid w:val="00025108"/>
    <w:rsid w:val="0002533C"/>
    <w:rsid w:val="000253F5"/>
    <w:rsid w:val="00025991"/>
    <w:rsid w:val="0002707B"/>
    <w:rsid w:val="0002798D"/>
    <w:rsid w:val="00027B06"/>
    <w:rsid w:val="00027C2B"/>
    <w:rsid w:val="00027E0A"/>
    <w:rsid w:val="000308E7"/>
    <w:rsid w:val="00031162"/>
    <w:rsid w:val="000313FD"/>
    <w:rsid w:val="00031415"/>
    <w:rsid w:val="0003142D"/>
    <w:rsid w:val="000354AD"/>
    <w:rsid w:val="000364EE"/>
    <w:rsid w:val="00036DA7"/>
    <w:rsid w:val="00037BD6"/>
    <w:rsid w:val="00040161"/>
    <w:rsid w:val="0004112C"/>
    <w:rsid w:val="000414F3"/>
    <w:rsid w:val="00042846"/>
    <w:rsid w:val="000438B5"/>
    <w:rsid w:val="00043EDA"/>
    <w:rsid w:val="000461E8"/>
    <w:rsid w:val="0005148E"/>
    <w:rsid w:val="00051C25"/>
    <w:rsid w:val="00052147"/>
    <w:rsid w:val="00052187"/>
    <w:rsid w:val="0005272D"/>
    <w:rsid w:val="00053246"/>
    <w:rsid w:val="000550A1"/>
    <w:rsid w:val="00056227"/>
    <w:rsid w:val="00056E19"/>
    <w:rsid w:val="00057F6D"/>
    <w:rsid w:val="000604E4"/>
    <w:rsid w:val="00060995"/>
    <w:rsid w:val="00061372"/>
    <w:rsid w:val="0006209B"/>
    <w:rsid w:val="00062834"/>
    <w:rsid w:val="00062E95"/>
    <w:rsid w:val="00063EA7"/>
    <w:rsid w:val="00063FE3"/>
    <w:rsid w:val="00064108"/>
    <w:rsid w:val="00064980"/>
    <w:rsid w:val="00065C67"/>
    <w:rsid w:val="000662AB"/>
    <w:rsid w:val="00066F51"/>
    <w:rsid w:val="00067B34"/>
    <w:rsid w:val="000715B5"/>
    <w:rsid w:val="000715BD"/>
    <w:rsid w:val="00072C5A"/>
    <w:rsid w:val="00072E4A"/>
    <w:rsid w:val="000731BE"/>
    <w:rsid w:val="00073A92"/>
    <w:rsid w:val="000747D0"/>
    <w:rsid w:val="0007573C"/>
    <w:rsid w:val="000758C7"/>
    <w:rsid w:val="000759E5"/>
    <w:rsid w:val="0007603B"/>
    <w:rsid w:val="000767A7"/>
    <w:rsid w:val="00077100"/>
    <w:rsid w:val="000776F6"/>
    <w:rsid w:val="00077E0E"/>
    <w:rsid w:val="00077EA6"/>
    <w:rsid w:val="00080300"/>
    <w:rsid w:val="00080811"/>
    <w:rsid w:val="0008086B"/>
    <w:rsid w:val="00081395"/>
    <w:rsid w:val="00082C2E"/>
    <w:rsid w:val="00084AC6"/>
    <w:rsid w:val="0008733B"/>
    <w:rsid w:val="00087782"/>
    <w:rsid w:val="00087BD4"/>
    <w:rsid w:val="0009077C"/>
    <w:rsid w:val="0009119C"/>
    <w:rsid w:val="00091608"/>
    <w:rsid w:val="00092D48"/>
    <w:rsid w:val="0009333C"/>
    <w:rsid w:val="00094BFD"/>
    <w:rsid w:val="00095279"/>
    <w:rsid w:val="00095283"/>
    <w:rsid w:val="00095EBB"/>
    <w:rsid w:val="000960DF"/>
    <w:rsid w:val="00096A9F"/>
    <w:rsid w:val="0009704F"/>
    <w:rsid w:val="000973A1"/>
    <w:rsid w:val="00097897"/>
    <w:rsid w:val="000A0F11"/>
    <w:rsid w:val="000A125A"/>
    <w:rsid w:val="000A1483"/>
    <w:rsid w:val="000A3374"/>
    <w:rsid w:val="000A40C6"/>
    <w:rsid w:val="000A53C4"/>
    <w:rsid w:val="000A57CD"/>
    <w:rsid w:val="000A6158"/>
    <w:rsid w:val="000A618F"/>
    <w:rsid w:val="000A6258"/>
    <w:rsid w:val="000A686C"/>
    <w:rsid w:val="000A688E"/>
    <w:rsid w:val="000A776E"/>
    <w:rsid w:val="000B0A68"/>
    <w:rsid w:val="000B1A7E"/>
    <w:rsid w:val="000B2634"/>
    <w:rsid w:val="000B2ECB"/>
    <w:rsid w:val="000B3758"/>
    <w:rsid w:val="000B3BD8"/>
    <w:rsid w:val="000B5314"/>
    <w:rsid w:val="000B5DDD"/>
    <w:rsid w:val="000B6A55"/>
    <w:rsid w:val="000B6BD4"/>
    <w:rsid w:val="000B6C06"/>
    <w:rsid w:val="000B6D0C"/>
    <w:rsid w:val="000B7681"/>
    <w:rsid w:val="000B7B42"/>
    <w:rsid w:val="000C02B7"/>
    <w:rsid w:val="000C162F"/>
    <w:rsid w:val="000C2411"/>
    <w:rsid w:val="000C344D"/>
    <w:rsid w:val="000C3778"/>
    <w:rsid w:val="000C4905"/>
    <w:rsid w:val="000C5100"/>
    <w:rsid w:val="000C5342"/>
    <w:rsid w:val="000C54EB"/>
    <w:rsid w:val="000C58BE"/>
    <w:rsid w:val="000C5A3D"/>
    <w:rsid w:val="000C62E7"/>
    <w:rsid w:val="000C6A1C"/>
    <w:rsid w:val="000C6D62"/>
    <w:rsid w:val="000C706A"/>
    <w:rsid w:val="000D0A53"/>
    <w:rsid w:val="000D1A1F"/>
    <w:rsid w:val="000D1AF0"/>
    <w:rsid w:val="000D1C8A"/>
    <w:rsid w:val="000D2887"/>
    <w:rsid w:val="000D3C37"/>
    <w:rsid w:val="000D42C5"/>
    <w:rsid w:val="000D4333"/>
    <w:rsid w:val="000D4B26"/>
    <w:rsid w:val="000D53A5"/>
    <w:rsid w:val="000D5CB2"/>
    <w:rsid w:val="000D60BE"/>
    <w:rsid w:val="000D6D63"/>
    <w:rsid w:val="000D6DCF"/>
    <w:rsid w:val="000D6E65"/>
    <w:rsid w:val="000E0081"/>
    <w:rsid w:val="000E07CF"/>
    <w:rsid w:val="000E085F"/>
    <w:rsid w:val="000E0F5D"/>
    <w:rsid w:val="000E1B90"/>
    <w:rsid w:val="000E2D7A"/>
    <w:rsid w:val="000E31C1"/>
    <w:rsid w:val="000E3CD0"/>
    <w:rsid w:val="000E4D5E"/>
    <w:rsid w:val="000E67CE"/>
    <w:rsid w:val="000E7122"/>
    <w:rsid w:val="000F198A"/>
    <w:rsid w:val="000F26D5"/>
    <w:rsid w:val="000F2CF2"/>
    <w:rsid w:val="000F391B"/>
    <w:rsid w:val="000F3F07"/>
    <w:rsid w:val="000F3F20"/>
    <w:rsid w:val="000F40DB"/>
    <w:rsid w:val="000F486F"/>
    <w:rsid w:val="000F5245"/>
    <w:rsid w:val="000F7DB8"/>
    <w:rsid w:val="00100BEF"/>
    <w:rsid w:val="00101CDF"/>
    <w:rsid w:val="001037F4"/>
    <w:rsid w:val="00103B3A"/>
    <w:rsid w:val="00103D28"/>
    <w:rsid w:val="00104006"/>
    <w:rsid w:val="0010472D"/>
    <w:rsid w:val="00104974"/>
    <w:rsid w:val="00106942"/>
    <w:rsid w:val="00106DDD"/>
    <w:rsid w:val="00107624"/>
    <w:rsid w:val="001079A7"/>
    <w:rsid w:val="00107AFF"/>
    <w:rsid w:val="00110317"/>
    <w:rsid w:val="00111326"/>
    <w:rsid w:val="00111796"/>
    <w:rsid w:val="0011280F"/>
    <w:rsid w:val="00112E59"/>
    <w:rsid w:val="0011498E"/>
    <w:rsid w:val="00114B53"/>
    <w:rsid w:val="00115FB8"/>
    <w:rsid w:val="00116B43"/>
    <w:rsid w:val="00117A45"/>
    <w:rsid w:val="00120D57"/>
    <w:rsid w:val="0012117E"/>
    <w:rsid w:val="001224AE"/>
    <w:rsid w:val="00122845"/>
    <w:rsid w:val="00122BB6"/>
    <w:rsid w:val="00124087"/>
    <w:rsid w:val="00124DFD"/>
    <w:rsid w:val="00124E65"/>
    <w:rsid w:val="00125726"/>
    <w:rsid w:val="00126F5B"/>
    <w:rsid w:val="00127133"/>
    <w:rsid w:val="001272CE"/>
    <w:rsid w:val="0012770D"/>
    <w:rsid w:val="00127C4C"/>
    <w:rsid w:val="00130017"/>
    <w:rsid w:val="00130C66"/>
    <w:rsid w:val="00131AA1"/>
    <w:rsid w:val="00131CCB"/>
    <w:rsid w:val="00131DF6"/>
    <w:rsid w:val="001337D4"/>
    <w:rsid w:val="00133A61"/>
    <w:rsid w:val="00134108"/>
    <w:rsid w:val="0013497F"/>
    <w:rsid w:val="00134C7B"/>
    <w:rsid w:val="00136598"/>
    <w:rsid w:val="00136DD9"/>
    <w:rsid w:val="001376C7"/>
    <w:rsid w:val="001376CA"/>
    <w:rsid w:val="00137D3C"/>
    <w:rsid w:val="00140D21"/>
    <w:rsid w:val="0014136F"/>
    <w:rsid w:val="00141EC2"/>
    <w:rsid w:val="00142B3D"/>
    <w:rsid w:val="00142C28"/>
    <w:rsid w:val="00143EB8"/>
    <w:rsid w:val="001449FD"/>
    <w:rsid w:val="00144B94"/>
    <w:rsid w:val="00147C12"/>
    <w:rsid w:val="0015038B"/>
    <w:rsid w:val="00151916"/>
    <w:rsid w:val="001527A1"/>
    <w:rsid w:val="00152DC0"/>
    <w:rsid w:val="001530DC"/>
    <w:rsid w:val="00153190"/>
    <w:rsid w:val="00153E7E"/>
    <w:rsid w:val="00154989"/>
    <w:rsid w:val="00155A9F"/>
    <w:rsid w:val="001560C6"/>
    <w:rsid w:val="0015659C"/>
    <w:rsid w:val="0015690A"/>
    <w:rsid w:val="00156A8D"/>
    <w:rsid w:val="00157139"/>
    <w:rsid w:val="00157EEB"/>
    <w:rsid w:val="00160262"/>
    <w:rsid w:val="00160EDC"/>
    <w:rsid w:val="00161486"/>
    <w:rsid w:val="00163220"/>
    <w:rsid w:val="0016347D"/>
    <w:rsid w:val="001644EB"/>
    <w:rsid w:val="00164FE8"/>
    <w:rsid w:val="001660E7"/>
    <w:rsid w:val="0016780A"/>
    <w:rsid w:val="00167857"/>
    <w:rsid w:val="00170422"/>
    <w:rsid w:val="00170538"/>
    <w:rsid w:val="00170820"/>
    <w:rsid w:val="001708D7"/>
    <w:rsid w:val="0017115C"/>
    <w:rsid w:val="001713FA"/>
    <w:rsid w:val="00171E06"/>
    <w:rsid w:val="0017229A"/>
    <w:rsid w:val="00173704"/>
    <w:rsid w:val="00173CFF"/>
    <w:rsid w:val="00173EBF"/>
    <w:rsid w:val="00174AE2"/>
    <w:rsid w:val="00175723"/>
    <w:rsid w:val="00175ED3"/>
    <w:rsid w:val="0017626B"/>
    <w:rsid w:val="00177911"/>
    <w:rsid w:val="001814E4"/>
    <w:rsid w:val="00184055"/>
    <w:rsid w:val="001842A2"/>
    <w:rsid w:val="001843CC"/>
    <w:rsid w:val="0018550C"/>
    <w:rsid w:val="00186F07"/>
    <w:rsid w:val="00187FA8"/>
    <w:rsid w:val="00191A46"/>
    <w:rsid w:val="00192F5E"/>
    <w:rsid w:val="00193FDA"/>
    <w:rsid w:val="001955CD"/>
    <w:rsid w:val="0019577F"/>
    <w:rsid w:val="0019623C"/>
    <w:rsid w:val="00196A18"/>
    <w:rsid w:val="00197645"/>
    <w:rsid w:val="00197772"/>
    <w:rsid w:val="001978C9"/>
    <w:rsid w:val="00197D2C"/>
    <w:rsid w:val="001A0175"/>
    <w:rsid w:val="001A1DEB"/>
    <w:rsid w:val="001A309B"/>
    <w:rsid w:val="001A334C"/>
    <w:rsid w:val="001A34A7"/>
    <w:rsid w:val="001A48FB"/>
    <w:rsid w:val="001A4B20"/>
    <w:rsid w:val="001A51C8"/>
    <w:rsid w:val="001A6252"/>
    <w:rsid w:val="001A6566"/>
    <w:rsid w:val="001A75D0"/>
    <w:rsid w:val="001A79EE"/>
    <w:rsid w:val="001B007B"/>
    <w:rsid w:val="001B0082"/>
    <w:rsid w:val="001B02FF"/>
    <w:rsid w:val="001B13D7"/>
    <w:rsid w:val="001B2172"/>
    <w:rsid w:val="001B3A80"/>
    <w:rsid w:val="001B4CA8"/>
    <w:rsid w:val="001B5AA8"/>
    <w:rsid w:val="001B5EA1"/>
    <w:rsid w:val="001B5EDC"/>
    <w:rsid w:val="001C0152"/>
    <w:rsid w:val="001C0324"/>
    <w:rsid w:val="001C0A6D"/>
    <w:rsid w:val="001C0F18"/>
    <w:rsid w:val="001C10EE"/>
    <w:rsid w:val="001C1315"/>
    <w:rsid w:val="001C2705"/>
    <w:rsid w:val="001C2B6F"/>
    <w:rsid w:val="001C3244"/>
    <w:rsid w:val="001C3652"/>
    <w:rsid w:val="001C4F3D"/>
    <w:rsid w:val="001C50F7"/>
    <w:rsid w:val="001C5BF6"/>
    <w:rsid w:val="001C603C"/>
    <w:rsid w:val="001C68E7"/>
    <w:rsid w:val="001C6FF6"/>
    <w:rsid w:val="001C70CA"/>
    <w:rsid w:val="001C70CC"/>
    <w:rsid w:val="001C7638"/>
    <w:rsid w:val="001C77DB"/>
    <w:rsid w:val="001C7BBC"/>
    <w:rsid w:val="001D0CDC"/>
    <w:rsid w:val="001D15E6"/>
    <w:rsid w:val="001D1D82"/>
    <w:rsid w:val="001D2328"/>
    <w:rsid w:val="001D2B88"/>
    <w:rsid w:val="001D2D32"/>
    <w:rsid w:val="001D3F6D"/>
    <w:rsid w:val="001D4D4C"/>
    <w:rsid w:val="001D5032"/>
    <w:rsid w:val="001D5CEC"/>
    <w:rsid w:val="001D75FC"/>
    <w:rsid w:val="001E0989"/>
    <w:rsid w:val="001E1182"/>
    <w:rsid w:val="001E1E7A"/>
    <w:rsid w:val="001E35B2"/>
    <w:rsid w:val="001E39B4"/>
    <w:rsid w:val="001E43B7"/>
    <w:rsid w:val="001E4E17"/>
    <w:rsid w:val="001E69B8"/>
    <w:rsid w:val="001E70A7"/>
    <w:rsid w:val="001E79C7"/>
    <w:rsid w:val="001E7F87"/>
    <w:rsid w:val="001F0991"/>
    <w:rsid w:val="001F126A"/>
    <w:rsid w:val="001F3C56"/>
    <w:rsid w:val="001F3D32"/>
    <w:rsid w:val="001F4207"/>
    <w:rsid w:val="001F4CAA"/>
    <w:rsid w:val="00201D4C"/>
    <w:rsid w:val="00202A41"/>
    <w:rsid w:val="00202C90"/>
    <w:rsid w:val="00203647"/>
    <w:rsid w:val="00204AFA"/>
    <w:rsid w:val="00205E15"/>
    <w:rsid w:val="00207E98"/>
    <w:rsid w:val="00211477"/>
    <w:rsid w:val="0021149C"/>
    <w:rsid w:val="00211913"/>
    <w:rsid w:val="00213158"/>
    <w:rsid w:val="002131FA"/>
    <w:rsid w:val="00213380"/>
    <w:rsid w:val="00213DB8"/>
    <w:rsid w:val="00213DE8"/>
    <w:rsid w:val="00213FDD"/>
    <w:rsid w:val="00214201"/>
    <w:rsid w:val="00215128"/>
    <w:rsid w:val="00215265"/>
    <w:rsid w:val="002157A0"/>
    <w:rsid w:val="00215A68"/>
    <w:rsid w:val="00215FE3"/>
    <w:rsid w:val="00216118"/>
    <w:rsid w:val="00216C08"/>
    <w:rsid w:val="00216DC7"/>
    <w:rsid w:val="00217306"/>
    <w:rsid w:val="0021756E"/>
    <w:rsid w:val="00220087"/>
    <w:rsid w:val="002209AB"/>
    <w:rsid w:val="00220ACB"/>
    <w:rsid w:val="00220C15"/>
    <w:rsid w:val="00220FC0"/>
    <w:rsid w:val="00221359"/>
    <w:rsid w:val="0022174E"/>
    <w:rsid w:val="002226AF"/>
    <w:rsid w:val="002233C7"/>
    <w:rsid w:val="002236C6"/>
    <w:rsid w:val="00223C3E"/>
    <w:rsid w:val="002251E3"/>
    <w:rsid w:val="002255B0"/>
    <w:rsid w:val="002257CB"/>
    <w:rsid w:val="00225E4A"/>
    <w:rsid w:val="002260E8"/>
    <w:rsid w:val="002274FE"/>
    <w:rsid w:val="0022757E"/>
    <w:rsid w:val="00227603"/>
    <w:rsid w:val="00227A95"/>
    <w:rsid w:val="002307E8"/>
    <w:rsid w:val="002316BD"/>
    <w:rsid w:val="00231C67"/>
    <w:rsid w:val="002323AD"/>
    <w:rsid w:val="00233442"/>
    <w:rsid w:val="00233534"/>
    <w:rsid w:val="0023366D"/>
    <w:rsid w:val="002343A1"/>
    <w:rsid w:val="00235314"/>
    <w:rsid w:val="00235CFC"/>
    <w:rsid w:val="002377CF"/>
    <w:rsid w:val="00237D40"/>
    <w:rsid w:val="0024022D"/>
    <w:rsid w:val="002403E7"/>
    <w:rsid w:val="0024079F"/>
    <w:rsid w:val="0024182A"/>
    <w:rsid w:val="0024251C"/>
    <w:rsid w:val="002439DF"/>
    <w:rsid w:val="00244621"/>
    <w:rsid w:val="00244A5B"/>
    <w:rsid w:val="00244C8D"/>
    <w:rsid w:val="002473FC"/>
    <w:rsid w:val="002479F9"/>
    <w:rsid w:val="002507AA"/>
    <w:rsid w:val="00250C04"/>
    <w:rsid w:val="0025228E"/>
    <w:rsid w:val="00252E3C"/>
    <w:rsid w:val="00252EF5"/>
    <w:rsid w:val="00253395"/>
    <w:rsid w:val="00253606"/>
    <w:rsid w:val="00253D05"/>
    <w:rsid w:val="002545D2"/>
    <w:rsid w:val="00255895"/>
    <w:rsid w:val="002559FD"/>
    <w:rsid w:val="0025669B"/>
    <w:rsid w:val="00256A47"/>
    <w:rsid w:val="00256ACB"/>
    <w:rsid w:val="00256B17"/>
    <w:rsid w:val="00257A78"/>
    <w:rsid w:val="00260342"/>
    <w:rsid w:val="00260EEC"/>
    <w:rsid w:val="0026121B"/>
    <w:rsid w:val="00261448"/>
    <w:rsid w:val="0026154C"/>
    <w:rsid w:val="002617E6"/>
    <w:rsid w:val="00262198"/>
    <w:rsid w:val="00262B6E"/>
    <w:rsid w:val="002634AB"/>
    <w:rsid w:val="00265044"/>
    <w:rsid w:val="002665A9"/>
    <w:rsid w:val="002672F2"/>
    <w:rsid w:val="00270F17"/>
    <w:rsid w:val="00271011"/>
    <w:rsid w:val="0027138D"/>
    <w:rsid w:val="002725F9"/>
    <w:rsid w:val="00273617"/>
    <w:rsid w:val="002740BB"/>
    <w:rsid w:val="0027415B"/>
    <w:rsid w:val="002746B4"/>
    <w:rsid w:val="00274867"/>
    <w:rsid w:val="00274B3E"/>
    <w:rsid w:val="002754AB"/>
    <w:rsid w:val="00275940"/>
    <w:rsid w:val="00280E70"/>
    <w:rsid w:val="00281EBB"/>
    <w:rsid w:val="00282293"/>
    <w:rsid w:val="002848B9"/>
    <w:rsid w:val="00284A8F"/>
    <w:rsid w:val="00285E0F"/>
    <w:rsid w:val="00285F1B"/>
    <w:rsid w:val="00286FB7"/>
    <w:rsid w:val="00287189"/>
    <w:rsid w:val="00287F3E"/>
    <w:rsid w:val="002907AE"/>
    <w:rsid w:val="00291094"/>
    <w:rsid w:val="00291560"/>
    <w:rsid w:val="002923D9"/>
    <w:rsid w:val="002928F9"/>
    <w:rsid w:val="00292B81"/>
    <w:rsid w:val="0029492C"/>
    <w:rsid w:val="0029629C"/>
    <w:rsid w:val="0029751A"/>
    <w:rsid w:val="00297FC5"/>
    <w:rsid w:val="002A00BF"/>
    <w:rsid w:val="002A0316"/>
    <w:rsid w:val="002A1DF2"/>
    <w:rsid w:val="002A2517"/>
    <w:rsid w:val="002A3BE3"/>
    <w:rsid w:val="002A4A18"/>
    <w:rsid w:val="002A4E0E"/>
    <w:rsid w:val="002A501A"/>
    <w:rsid w:val="002A58E7"/>
    <w:rsid w:val="002A5CEB"/>
    <w:rsid w:val="002A614D"/>
    <w:rsid w:val="002A7E74"/>
    <w:rsid w:val="002B07A6"/>
    <w:rsid w:val="002B18AE"/>
    <w:rsid w:val="002B3776"/>
    <w:rsid w:val="002B4883"/>
    <w:rsid w:val="002B5638"/>
    <w:rsid w:val="002B5BBD"/>
    <w:rsid w:val="002B5EA4"/>
    <w:rsid w:val="002B7505"/>
    <w:rsid w:val="002B79B0"/>
    <w:rsid w:val="002C021D"/>
    <w:rsid w:val="002C0B30"/>
    <w:rsid w:val="002C0E6A"/>
    <w:rsid w:val="002C0E95"/>
    <w:rsid w:val="002C118B"/>
    <w:rsid w:val="002C1763"/>
    <w:rsid w:val="002C1A02"/>
    <w:rsid w:val="002C1C93"/>
    <w:rsid w:val="002C4930"/>
    <w:rsid w:val="002C5066"/>
    <w:rsid w:val="002C51E9"/>
    <w:rsid w:val="002C5813"/>
    <w:rsid w:val="002C6338"/>
    <w:rsid w:val="002C761F"/>
    <w:rsid w:val="002C7FB3"/>
    <w:rsid w:val="002D01CD"/>
    <w:rsid w:val="002D0311"/>
    <w:rsid w:val="002D0961"/>
    <w:rsid w:val="002D2748"/>
    <w:rsid w:val="002D2AC7"/>
    <w:rsid w:val="002D38C8"/>
    <w:rsid w:val="002D3F79"/>
    <w:rsid w:val="002D4AAC"/>
    <w:rsid w:val="002D58F2"/>
    <w:rsid w:val="002D7021"/>
    <w:rsid w:val="002D7192"/>
    <w:rsid w:val="002D738F"/>
    <w:rsid w:val="002D79C2"/>
    <w:rsid w:val="002D7E18"/>
    <w:rsid w:val="002D7FEF"/>
    <w:rsid w:val="002E2A23"/>
    <w:rsid w:val="002E2D24"/>
    <w:rsid w:val="002E3F07"/>
    <w:rsid w:val="002E4583"/>
    <w:rsid w:val="002E4D35"/>
    <w:rsid w:val="002E5E60"/>
    <w:rsid w:val="002E601C"/>
    <w:rsid w:val="002E7088"/>
    <w:rsid w:val="002E787D"/>
    <w:rsid w:val="002F03E1"/>
    <w:rsid w:val="002F045A"/>
    <w:rsid w:val="002F047D"/>
    <w:rsid w:val="002F061B"/>
    <w:rsid w:val="002F0B87"/>
    <w:rsid w:val="002F0C8B"/>
    <w:rsid w:val="002F150D"/>
    <w:rsid w:val="002F24A0"/>
    <w:rsid w:val="002F4021"/>
    <w:rsid w:val="002F564A"/>
    <w:rsid w:val="002F5677"/>
    <w:rsid w:val="002F712A"/>
    <w:rsid w:val="002F788C"/>
    <w:rsid w:val="002F7C30"/>
    <w:rsid w:val="0030039D"/>
    <w:rsid w:val="00300905"/>
    <w:rsid w:val="0030224E"/>
    <w:rsid w:val="00302A6B"/>
    <w:rsid w:val="00302AD6"/>
    <w:rsid w:val="0030326F"/>
    <w:rsid w:val="0030400E"/>
    <w:rsid w:val="0030636C"/>
    <w:rsid w:val="00306B34"/>
    <w:rsid w:val="0031011F"/>
    <w:rsid w:val="00310701"/>
    <w:rsid w:val="00310F46"/>
    <w:rsid w:val="00312696"/>
    <w:rsid w:val="003126C6"/>
    <w:rsid w:val="0031296D"/>
    <w:rsid w:val="00312FB6"/>
    <w:rsid w:val="003130D6"/>
    <w:rsid w:val="0031474D"/>
    <w:rsid w:val="003156EF"/>
    <w:rsid w:val="00315980"/>
    <w:rsid w:val="00316443"/>
    <w:rsid w:val="00316F7F"/>
    <w:rsid w:val="00317609"/>
    <w:rsid w:val="00317D5C"/>
    <w:rsid w:val="0032149F"/>
    <w:rsid w:val="0032158C"/>
    <w:rsid w:val="003218E8"/>
    <w:rsid w:val="00321EC4"/>
    <w:rsid w:val="003227AD"/>
    <w:rsid w:val="00323CA8"/>
    <w:rsid w:val="00323D66"/>
    <w:rsid w:val="00323D8F"/>
    <w:rsid w:val="00325A2F"/>
    <w:rsid w:val="00325E34"/>
    <w:rsid w:val="003262FA"/>
    <w:rsid w:val="00326536"/>
    <w:rsid w:val="00330DCE"/>
    <w:rsid w:val="0033136B"/>
    <w:rsid w:val="00331E11"/>
    <w:rsid w:val="00332F90"/>
    <w:rsid w:val="00333B61"/>
    <w:rsid w:val="00333B63"/>
    <w:rsid w:val="00333C5D"/>
    <w:rsid w:val="00334761"/>
    <w:rsid w:val="00335BBB"/>
    <w:rsid w:val="00336773"/>
    <w:rsid w:val="00337EBC"/>
    <w:rsid w:val="003409B4"/>
    <w:rsid w:val="00341BE2"/>
    <w:rsid w:val="00341DCD"/>
    <w:rsid w:val="003425DD"/>
    <w:rsid w:val="00342647"/>
    <w:rsid w:val="003440A6"/>
    <w:rsid w:val="0034459B"/>
    <w:rsid w:val="0034563E"/>
    <w:rsid w:val="00346042"/>
    <w:rsid w:val="00346956"/>
    <w:rsid w:val="00346E9C"/>
    <w:rsid w:val="00347011"/>
    <w:rsid w:val="003503D2"/>
    <w:rsid w:val="00350622"/>
    <w:rsid w:val="00350D57"/>
    <w:rsid w:val="003518D6"/>
    <w:rsid w:val="00351AB4"/>
    <w:rsid w:val="00351C06"/>
    <w:rsid w:val="00351CAE"/>
    <w:rsid w:val="0035230B"/>
    <w:rsid w:val="0035342F"/>
    <w:rsid w:val="0035439C"/>
    <w:rsid w:val="0035453D"/>
    <w:rsid w:val="0035460C"/>
    <w:rsid w:val="00354AE9"/>
    <w:rsid w:val="003550D4"/>
    <w:rsid w:val="0035512F"/>
    <w:rsid w:val="003556BD"/>
    <w:rsid w:val="00356E9C"/>
    <w:rsid w:val="00360CDE"/>
    <w:rsid w:val="00360D05"/>
    <w:rsid w:val="00361827"/>
    <w:rsid w:val="0036297E"/>
    <w:rsid w:val="00362A30"/>
    <w:rsid w:val="00362AFA"/>
    <w:rsid w:val="003631A8"/>
    <w:rsid w:val="00365147"/>
    <w:rsid w:val="00365F93"/>
    <w:rsid w:val="0037016E"/>
    <w:rsid w:val="003709A9"/>
    <w:rsid w:val="00372908"/>
    <w:rsid w:val="003737D1"/>
    <w:rsid w:val="003739DF"/>
    <w:rsid w:val="0037687E"/>
    <w:rsid w:val="0037773A"/>
    <w:rsid w:val="0038057F"/>
    <w:rsid w:val="0038072E"/>
    <w:rsid w:val="003809BE"/>
    <w:rsid w:val="00381C3D"/>
    <w:rsid w:val="00382C42"/>
    <w:rsid w:val="00383020"/>
    <w:rsid w:val="00384847"/>
    <w:rsid w:val="003849BC"/>
    <w:rsid w:val="0038555B"/>
    <w:rsid w:val="00385D6E"/>
    <w:rsid w:val="00385E3C"/>
    <w:rsid w:val="00386B09"/>
    <w:rsid w:val="00386BA2"/>
    <w:rsid w:val="00387963"/>
    <w:rsid w:val="00387D68"/>
    <w:rsid w:val="00394998"/>
    <w:rsid w:val="00394D7E"/>
    <w:rsid w:val="00396440"/>
    <w:rsid w:val="003965A3"/>
    <w:rsid w:val="0039666E"/>
    <w:rsid w:val="0039759E"/>
    <w:rsid w:val="003975FD"/>
    <w:rsid w:val="00397688"/>
    <w:rsid w:val="003A0264"/>
    <w:rsid w:val="003A0805"/>
    <w:rsid w:val="003A15C6"/>
    <w:rsid w:val="003A1696"/>
    <w:rsid w:val="003A1B86"/>
    <w:rsid w:val="003A1BB1"/>
    <w:rsid w:val="003A1DA2"/>
    <w:rsid w:val="003A208F"/>
    <w:rsid w:val="003A4202"/>
    <w:rsid w:val="003A4EF8"/>
    <w:rsid w:val="003A5934"/>
    <w:rsid w:val="003A6DCC"/>
    <w:rsid w:val="003A7070"/>
    <w:rsid w:val="003A7D16"/>
    <w:rsid w:val="003A7E3F"/>
    <w:rsid w:val="003B032C"/>
    <w:rsid w:val="003B048C"/>
    <w:rsid w:val="003B057D"/>
    <w:rsid w:val="003B227D"/>
    <w:rsid w:val="003B2B46"/>
    <w:rsid w:val="003B2CF8"/>
    <w:rsid w:val="003B3F99"/>
    <w:rsid w:val="003B412E"/>
    <w:rsid w:val="003B4568"/>
    <w:rsid w:val="003B5945"/>
    <w:rsid w:val="003B60CC"/>
    <w:rsid w:val="003B6BAB"/>
    <w:rsid w:val="003B74D4"/>
    <w:rsid w:val="003C0628"/>
    <w:rsid w:val="003C1546"/>
    <w:rsid w:val="003C1B25"/>
    <w:rsid w:val="003C21CB"/>
    <w:rsid w:val="003C2443"/>
    <w:rsid w:val="003C285B"/>
    <w:rsid w:val="003C34ED"/>
    <w:rsid w:val="003C3AB8"/>
    <w:rsid w:val="003C3B62"/>
    <w:rsid w:val="003C4765"/>
    <w:rsid w:val="003C47FD"/>
    <w:rsid w:val="003C5826"/>
    <w:rsid w:val="003C5A57"/>
    <w:rsid w:val="003C5DA3"/>
    <w:rsid w:val="003D13E3"/>
    <w:rsid w:val="003D18E5"/>
    <w:rsid w:val="003D1AF0"/>
    <w:rsid w:val="003D2CB1"/>
    <w:rsid w:val="003D4144"/>
    <w:rsid w:val="003D4BCD"/>
    <w:rsid w:val="003D5753"/>
    <w:rsid w:val="003D6242"/>
    <w:rsid w:val="003D6C2B"/>
    <w:rsid w:val="003E01D8"/>
    <w:rsid w:val="003E08BE"/>
    <w:rsid w:val="003E188C"/>
    <w:rsid w:val="003E2100"/>
    <w:rsid w:val="003E355F"/>
    <w:rsid w:val="003E4571"/>
    <w:rsid w:val="003E4721"/>
    <w:rsid w:val="003E48DD"/>
    <w:rsid w:val="003F2514"/>
    <w:rsid w:val="003F444A"/>
    <w:rsid w:val="003F52DC"/>
    <w:rsid w:val="003F5B8A"/>
    <w:rsid w:val="003F5D42"/>
    <w:rsid w:val="003F65FD"/>
    <w:rsid w:val="003F6C60"/>
    <w:rsid w:val="003F6F5B"/>
    <w:rsid w:val="003F7689"/>
    <w:rsid w:val="00400625"/>
    <w:rsid w:val="00400825"/>
    <w:rsid w:val="00400844"/>
    <w:rsid w:val="004008F1"/>
    <w:rsid w:val="004024F6"/>
    <w:rsid w:val="00402C72"/>
    <w:rsid w:val="00403196"/>
    <w:rsid w:val="004033D8"/>
    <w:rsid w:val="0040342D"/>
    <w:rsid w:val="00405920"/>
    <w:rsid w:val="0040724F"/>
    <w:rsid w:val="00410087"/>
    <w:rsid w:val="00410114"/>
    <w:rsid w:val="00411068"/>
    <w:rsid w:val="004117E5"/>
    <w:rsid w:val="0041192D"/>
    <w:rsid w:val="004125F4"/>
    <w:rsid w:val="00412E05"/>
    <w:rsid w:val="00413EE1"/>
    <w:rsid w:val="00414487"/>
    <w:rsid w:val="0041578B"/>
    <w:rsid w:val="00417DFC"/>
    <w:rsid w:val="00420817"/>
    <w:rsid w:val="0042128E"/>
    <w:rsid w:val="00423545"/>
    <w:rsid w:val="00423FC9"/>
    <w:rsid w:val="0042423A"/>
    <w:rsid w:val="004247F4"/>
    <w:rsid w:val="004249F0"/>
    <w:rsid w:val="0042642F"/>
    <w:rsid w:val="004269C2"/>
    <w:rsid w:val="00431843"/>
    <w:rsid w:val="00432B60"/>
    <w:rsid w:val="00433A67"/>
    <w:rsid w:val="00433FCA"/>
    <w:rsid w:val="00434729"/>
    <w:rsid w:val="00436472"/>
    <w:rsid w:val="00436AEC"/>
    <w:rsid w:val="00440229"/>
    <w:rsid w:val="00440698"/>
    <w:rsid w:val="00442024"/>
    <w:rsid w:val="00442F25"/>
    <w:rsid w:val="00444568"/>
    <w:rsid w:val="00446168"/>
    <w:rsid w:val="00446EEE"/>
    <w:rsid w:val="004479DD"/>
    <w:rsid w:val="00447C24"/>
    <w:rsid w:val="00450B46"/>
    <w:rsid w:val="00450F8B"/>
    <w:rsid w:val="00451797"/>
    <w:rsid w:val="004521F0"/>
    <w:rsid w:val="004530A4"/>
    <w:rsid w:val="004540E2"/>
    <w:rsid w:val="00454454"/>
    <w:rsid w:val="004557E6"/>
    <w:rsid w:val="004564C4"/>
    <w:rsid w:val="004606C9"/>
    <w:rsid w:val="004626B4"/>
    <w:rsid w:val="00462EF8"/>
    <w:rsid w:val="00463843"/>
    <w:rsid w:val="00463A45"/>
    <w:rsid w:val="00464139"/>
    <w:rsid w:val="004649FA"/>
    <w:rsid w:val="00467924"/>
    <w:rsid w:val="0047049E"/>
    <w:rsid w:val="004711F5"/>
    <w:rsid w:val="004712A5"/>
    <w:rsid w:val="0047223D"/>
    <w:rsid w:val="00472412"/>
    <w:rsid w:val="0047266F"/>
    <w:rsid w:val="0047295C"/>
    <w:rsid w:val="00473569"/>
    <w:rsid w:val="00473C5F"/>
    <w:rsid w:val="004758B2"/>
    <w:rsid w:val="00476D6B"/>
    <w:rsid w:val="004809E1"/>
    <w:rsid w:val="00482AC4"/>
    <w:rsid w:val="00483959"/>
    <w:rsid w:val="00483B10"/>
    <w:rsid w:val="00483C59"/>
    <w:rsid w:val="004841F2"/>
    <w:rsid w:val="004845FB"/>
    <w:rsid w:val="004846F3"/>
    <w:rsid w:val="00484710"/>
    <w:rsid w:val="00484C62"/>
    <w:rsid w:val="00484D4E"/>
    <w:rsid w:val="004853D5"/>
    <w:rsid w:val="00485E2A"/>
    <w:rsid w:val="00486340"/>
    <w:rsid w:val="00486C85"/>
    <w:rsid w:val="004902C7"/>
    <w:rsid w:val="00491E50"/>
    <w:rsid w:val="00492C16"/>
    <w:rsid w:val="00493EB1"/>
    <w:rsid w:val="0049469D"/>
    <w:rsid w:val="00495B64"/>
    <w:rsid w:val="00497159"/>
    <w:rsid w:val="00497E32"/>
    <w:rsid w:val="004A0366"/>
    <w:rsid w:val="004A0678"/>
    <w:rsid w:val="004A0CEC"/>
    <w:rsid w:val="004A15B7"/>
    <w:rsid w:val="004A2ED6"/>
    <w:rsid w:val="004A48A3"/>
    <w:rsid w:val="004A5FAA"/>
    <w:rsid w:val="004A65BD"/>
    <w:rsid w:val="004A6E1A"/>
    <w:rsid w:val="004B0D92"/>
    <w:rsid w:val="004B0EC0"/>
    <w:rsid w:val="004B152E"/>
    <w:rsid w:val="004B350A"/>
    <w:rsid w:val="004B55F7"/>
    <w:rsid w:val="004B5F5E"/>
    <w:rsid w:val="004B627B"/>
    <w:rsid w:val="004B66F1"/>
    <w:rsid w:val="004B750F"/>
    <w:rsid w:val="004B7561"/>
    <w:rsid w:val="004B7B06"/>
    <w:rsid w:val="004C0DEC"/>
    <w:rsid w:val="004C1047"/>
    <w:rsid w:val="004C1307"/>
    <w:rsid w:val="004C1448"/>
    <w:rsid w:val="004C2790"/>
    <w:rsid w:val="004C2F8A"/>
    <w:rsid w:val="004C3EA0"/>
    <w:rsid w:val="004C4525"/>
    <w:rsid w:val="004C5EC9"/>
    <w:rsid w:val="004C676A"/>
    <w:rsid w:val="004C7C96"/>
    <w:rsid w:val="004C7FAF"/>
    <w:rsid w:val="004D0BB7"/>
    <w:rsid w:val="004D0D7F"/>
    <w:rsid w:val="004D146D"/>
    <w:rsid w:val="004D2D73"/>
    <w:rsid w:val="004D32C7"/>
    <w:rsid w:val="004D337B"/>
    <w:rsid w:val="004D3406"/>
    <w:rsid w:val="004D4C85"/>
    <w:rsid w:val="004D7B9D"/>
    <w:rsid w:val="004D7CA9"/>
    <w:rsid w:val="004E1520"/>
    <w:rsid w:val="004E1707"/>
    <w:rsid w:val="004E2BDD"/>
    <w:rsid w:val="004E2E49"/>
    <w:rsid w:val="004E30C1"/>
    <w:rsid w:val="004E3D26"/>
    <w:rsid w:val="004E4764"/>
    <w:rsid w:val="004E5812"/>
    <w:rsid w:val="004E6C95"/>
    <w:rsid w:val="004E730A"/>
    <w:rsid w:val="004E7333"/>
    <w:rsid w:val="004F0C6D"/>
    <w:rsid w:val="004F17CC"/>
    <w:rsid w:val="004F22BE"/>
    <w:rsid w:val="004F2352"/>
    <w:rsid w:val="004F4159"/>
    <w:rsid w:val="004F41FA"/>
    <w:rsid w:val="004F43E3"/>
    <w:rsid w:val="004F51DF"/>
    <w:rsid w:val="004F6987"/>
    <w:rsid w:val="004F6C03"/>
    <w:rsid w:val="004F6C05"/>
    <w:rsid w:val="004F6CC7"/>
    <w:rsid w:val="004F6DDE"/>
    <w:rsid w:val="004F7169"/>
    <w:rsid w:val="00500D66"/>
    <w:rsid w:val="00502E73"/>
    <w:rsid w:val="00503651"/>
    <w:rsid w:val="005037E3"/>
    <w:rsid w:val="00503A8B"/>
    <w:rsid w:val="00503C84"/>
    <w:rsid w:val="00503F6D"/>
    <w:rsid w:val="00503FA8"/>
    <w:rsid w:val="0050727B"/>
    <w:rsid w:val="005131A2"/>
    <w:rsid w:val="0051376D"/>
    <w:rsid w:val="00514B23"/>
    <w:rsid w:val="00514C8E"/>
    <w:rsid w:val="00515EA6"/>
    <w:rsid w:val="005170BB"/>
    <w:rsid w:val="00517D90"/>
    <w:rsid w:val="0052148E"/>
    <w:rsid w:val="00521F07"/>
    <w:rsid w:val="00521F0B"/>
    <w:rsid w:val="00522C61"/>
    <w:rsid w:val="00523343"/>
    <w:rsid w:val="00523FF0"/>
    <w:rsid w:val="00524D63"/>
    <w:rsid w:val="00525C2F"/>
    <w:rsid w:val="00525DBB"/>
    <w:rsid w:val="00526185"/>
    <w:rsid w:val="00526B7C"/>
    <w:rsid w:val="00527B63"/>
    <w:rsid w:val="00530D98"/>
    <w:rsid w:val="0053163B"/>
    <w:rsid w:val="00531DBF"/>
    <w:rsid w:val="005325C4"/>
    <w:rsid w:val="00532AC1"/>
    <w:rsid w:val="005330E9"/>
    <w:rsid w:val="0053332A"/>
    <w:rsid w:val="00534D73"/>
    <w:rsid w:val="00535884"/>
    <w:rsid w:val="00535BB7"/>
    <w:rsid w:val="00536989"/>
    <w:rsid w:val="00537B5C"/>
    <w:rsid w:val="00540E9E"/>
    <w:rsid w:val="005414E4"/>
    <w:rsid w:val="0054212C"/>
    <w:rsid w:val="005421DD"/>
    <w:rsid w:val="00542F19"/>
    <w:rsid w:val="005433D4"/>
    <w:rsid w:val="005439CA"/>
    <w:rsid w:val="00543BF2"/>
    <w:rsid w:val="00543EB2"/>
    <w:rsid w:val="00544CAE"/>
    <w:rsid w:val="00545759"/>
    <w:rsid w:val="00545BE0"/>
    <w:rsid w:val="00546023"/>
    <w:rsid w:val="00546902"/>
    <w:rsid w:val="00546930"/>
    <w:rsid w:val="005478C7"/>
    <w:rsid w:val="00550E21"/>
    <w:rsid w:val="005510A9"/>
    <w:rsid w:val="005517D9"/>
    <w:rsid w:val="00552ED5"/>
    <w:rsid w:val="00554141"/>
    <w:rsid w:val="00554A85"/>
    <w:rsid w:val="00554C6A"/>
    <w:rsid w:val="00555574"/>
    <w:rsid w:val="00556E29"/>
    <w:rsid w:val="00557127"/>
    <w:rsid w:val="00557756"/>
    <w:rsid w:val="005602BD"/>
    <w:rsid w:val="005618C0"/>
    <w:rsid w:val="00562E85"/>
    <w:rsid w:val="0056332F"/>
    <w:rsid w:val="005639D5"/>
    <w:rsid w:val="00565F2E"/>
    <w:rsid w:val="00566524"/>
    <w:rsid w:val="00567814"/>
    <w:rsid w:val="00570693"/>
    <w:rsid w:val="005719B3"/>
    <w:rsid w:val="00571E81"/>
    <w:rsid w:val="005726FB"/>
    <w:rsid w:val="0057295E"/>
    <w:rsid w:val="005733B1"/>
    <w:rsid w:val="00574DD7"/>
    <w:rsid w:val="005751AC"/>
    <w:rsid w:val="00575E51"/>
    <w:rsid w:val="00576751"/>
    <w:rsid w:val="005770D5"/>
    <w:rsid w:val="005773D0"/>
    <w:rsid w:val="00577D19"/>
    <w:rsid w:val="005806BB"/>
    <w:rsid w:val="00581C39"/>
    <w:rsid w:val="00582D8C"/>
    <w:rsid w:val="00583889"/>
    <w:rsid w:val="00583A4A"/>
    <w:rsid w:val="00585248"/>
    <w:rsid w:val="00585259"/>
    <w:rsid w:val="00585C24"/>
    <w:rsid w:val="00586296"/>
    <w:rsid w:val="00586908"/>
    <w:rsid w:val="005869AD"/>
    <w:rsid w:val="00586EBF"/>
    <w:rsid w:val="00587EB9"/>
    <w:rsid w:val="005903B6"/>
    <w:rsid w:val="0059374C"/>
    <w:rsid w:val="0059491D"/>
    <w:rsid w:val="00594E48"/>
    <w:rsid w:val="005967A1"/>
    <w:rsid w:val="00597EC6"/>
    <w:rsid w:val="005A0247"/>
    <w:rsid w:val="005A04E2"/>
    <w:rsid w:val="005A0936"/>
    <w:rsid w:val="005A126E"/>
    <w:rsid w:val="005A1937"/>
    <w:rsid w:val="005A1AB0"/>
    <w:rsid w:val="005A1BE9"/>
    <w:rsid w:val="005A241E"/>
    <w:rsid w:val="005A264F"/>
    <w:rsid w:val="005A3DD5"/>
    <w:rsid w:val="005A452F"/>
    <w:rsid w:val="005A4B0A"/>
    <w:rsid w:val="005A4E9D"/>
    <w:rsid w:val="005A513E"/>
    <w:rsid w:val="005A59BB"/>
    <w:rsid w:val="005A655E"/>
    <w:rsid w:val="005A680D"/>
    <w:rsid w:val="005A6960"/>
    <w:rsid w:val="005A6A6B"/>
    <w:rsid w:val="005B0565"/>
    <w:rsid w:val="005B066E"/>
    <w:rsid w:val="005B0964"/>
    <w:rsid w:val="005B140D"/>
    <w:rsid w:val="005B1724"/>
    <w:rsid w:val="005B4E1C"/>
    <w:rsid w:val="005B4E2F"/>
    <w:rsid w:val="005B5C72"/>
    <w:rsid w:val="005B5F7B"/>
    <w:rsid w:val="005B66D8"/>
    <w:rsid w:val="005C0537"/>
    <w:rsid w:val="005C1B2C"/>
    <w:rsid w:val="005C1FEA"/>
    <w:rsid w:val="005C3495"/>
    <w:rsid w:val="005C4CB3"/>
    <w:rsid w:val="005C6C6A"/>
    <w:rsid w:val="005C70E5"/>
    <w:rsid w:val="005C7899"/>
    <w:rsid w:val="005D1583"/>
    <w:rsid w:val="005D223B"/>
    <w:rsid w:val="005D2281"/>
    <w:rsid w:val="005D441E"/>
    <w:rsid w:val="005D53A6"/>
    <w:rsid w:val="005D7288"/>
    <w:rsid w:val="005D762C"/>
    <w:rsid w:val="005D7717"/>
    <w:rsid w:val="005D7B25"/>
    <w:rsid w:val="005E2207"/>
    <w:rsid w:val="005E2D4A"/>
    <w:rsid w:val="005E3DFC"/>
    <w:rsid w:val="005E4487"/>
    <w:rsid w:val="005E5581"/>
    <w:rsid w:val="005E5942"/>
    <w:rsid w:val="005E5F75"/>
    <w:rsid w:val="005E60AF"/>
    <w:rsid w:val="005E66D4"/>
    <w:rsid w:val="005E76AE"/>
    <w:rsid w:val="005E7CC3"/>
    <w:rsid w:val="005E7D60"/>
    <w:rsid w:val="005F0371"/>
    <w:rsid w:val="005F1BCF"/>
    <w:rsid w:val="005F1DEA"/>
    <w:rsid w:val="005F1F9F"/>
    <w:rsid w:val="005F2726"/>
    <w:rsid w:val="005F3891"/>
    <w:rsid w:val="005F4679"/>
    <w:rsid w:val="005F5989"/>
    <w:rsid w:val="005F5F4B"/>
    <w:rsid w:val="005F789B"/>
    <w:rsid w:val="00600800"/>
    <w:rsid w:val="00600895"/>
    <w:rsid w:val="006071D4"/>
    <w:rsid w:val="00607FC9"/>
    <w:rsid w:val="00611557"/>
    <w:rsid w:val="006130C3"/>
    <w:rsid w:val="00614161"/>
    <w:rsid w:val="006158CE"/>
    <w:rsid w:val="00617FEF"/>
    <w:rsid w:val="00620B25"/>
    <w:rsid w:val="00621061"/>
    <w:rsid w:val="006227DB"/>
    <w:rsid w:val="00622FCF"/>
    <w:rsid w:val="00622FE1"/>
    <w:rsid w:val="0062328D"/>
    <w:rsid w:val="00623450"/>
    <w:rsid w:val="00625150"/>
    <w:rsid w:val="0062521C"/>
    <w:rsid w:val="00625229"/>
    <w:rsid w:val="00625281"/>
    <w:rsid w:val="00625777"/>
    <w:rsid w:val="00625BF6"/>
    <w:rsid w:val="006263EC"/>
    <w:rsid w:val="00626AAF"/>
    <w:rsid w:val="006277B1"/>
    <w:rsid w:val="00627887"/>
    <w:rsid w:val="00627E54"/>
    <w:rsid w:val="00630A2B"/>
    <w:rsid w:val="00630C9F"/>
    <w:rsid w:val="00631775"/>
    <w:rsid w:val="00632A0E"/>
    <w:rsid w:val="00632DC7"/>
    <w:rsid w:val="0063370D"/>
    <w:rsid w:val="00633F59"/>
    <w:rsid w:val="00633F61"/>
    <w:rsid w:val="006357FB"/>
    <w:rsid w:val="00636184"/>
    <w:rsid w:val="00636969"/>
    <w:rsid w:val="006406FC"/>
    <w:rsid w:val="00640E57"/>
    <w:rsid w:val="00641148"/>
    <w:rsid w:val="00643827"/>
    <w:rsid w:val="0064383E"/>
    <w:rsid w:val="00643BB6"/>
    <w:rsid w:val="006450AA"/>
    <w:rsid w:val="00645550"/>
    <w:rsid w:val="006458B8"/>
    <w:rsid w:val="00645C89"/>
    <w:rsid w:val="006460D7"/>
    <w:rsid w:val="00646122"/>
    <w:rsid w:val="00646EFB"/>
    <w:rsid w:val="00647D1D"/>
    <w:rsid w:val="006505E1"/>
    <w:rsid w:val="00653E16"/>
    <w:rsid w:val="006545A2"/>
    <w:rsid w:val="00655EBE"/>
    <w:rsid w:val="006561FB"/>
    <w:rsid w:val="006571CE"/>
    <w:rsid w:val="00657220"/>
    <w:rsid w:val="00657362"/>
    <w:rsid w:val="0065794D"/>
    <w:rsid w:val="0066104B"/>
    <w:rsid w:val="0066148B"/>
    <w:rsid w:val="00662BE7"/>
    <w:rsid w:val="00662CDF"/>
    <w:rsid w:val="006655EE"/>
    <w:rsid w:val="006676CB"/>
    <w:rsid w:val="00667C10"/>
    <w:rsid w:val="00667E6B"/>
    <w:rsid w:val="00667EF4"/>
    <w:rsid w:val="00670D68"/>
    <w:rsid w:val="00673D6F"/>
    <w:rsid w:val="006740C9"/>
    <w:rsid w:val="0067444D"/>
    <w:rsid w:val="006749DE"/>
    <w:rsid w:val="00675E1D"/>
    <w:rsid w:val="00676D7D"/>
    <w:rsid w:val="00676FCA"/>
    <w:rsid w:val="00677177"/>
    <w:rsid w:val="00680BE6"/>
    <w:rsid w:val="006819E6"/>
    <w:rsid w:val="00681AE6"/>
    <w:rsid w:val="00681E37"/>
    <w:rsid w:val="00682065"/>
    <w:rsid w:val="006820ED"/>
    <w:rsid w:val="00682643"/>
    <w:rsid w:val="00682AA1"/>
    <w:rsid w:val="00682DC8"/>
    <w:rsid w:val="00683B58"/>
    <w:rsid w:val="00684B90"/>
    <w:rsid w:val="00684D68"/>
    <w:rsid w:val="006855D5"/>
    <w:rsid w:val="00685E4B"/>
    <w:rsid w:val="0068612E"/>
    <w:rsid w:val="006863B3"/>
    <w:rsid w:val="00687C92"/>
    <w:rsid w:val="0069028B"/>
    <w:rsid w:val="00690FFC"/>
    <w:rsid w:val="0069289C"/>
    <w:rsid w:val="006939A0"/>
    <w:rsid w:val="00693D62"/>
    <w:rsid w:val="0069517A"/>
    <w:rsid w:val="0069534E"/>
    <w:rsid w:val="006954BC"/>
    <w:rsid w:val="0069623B"/>
    <w:rsid w:val="0069669C"/>
    <w:rsid w:val="0069741A"/>
    <w:rsid w:val="006A0081"/>
    <w:rsid w:val="006A010C"/>
    <w:rsid w:val="006A1200"/>
    <w:rsid w:val="006A1B9F"/>
    <w:rsid w:val="006A1EF5"/>
    <w:rsid w:val="006A27F9"/>
    <w:rsid w:val="006A3035"/>
    <w:rsid w:val="006A32D6"/>
    <w:rsid w:val="006A36C3"/>
    <w:rsid w:val="006A41A1"/>
    <w:rsid w:val="006A452D"/>
    <w:rsid w:val="006A4759"/>
    <w:rsid w:val="006A4F4E"/>
    <w:rsid w:val="006A5586"/>
    <w:rsid w:val="006A576E"/>
    <w:rsid w:val="006A58D7"/>
    <w:rsid w:val="006A6C23"/>
    <w:rsid w:val="006A6D64"/>
    <w:rsid w:val="006B014E"/>
    <w:rsid w:val="006B0E98"/>
    <w:rsid w:val="006B14DB"/>
    <w:rsid w:val="006B20BF"/>
    <w:rsid w:val="006B21C4"/>
    <w:rsid w:val="006B4733"/>
    <w:rsid w:val="006B48AE"/>
    <w:rsid w:val="006B61B8"/>
    <w:rsid w:val="006B6EF9"/>
    <w:rsid w:val="006C012D"/>
    <w:rsid w:val="006C28AA"/>
    <w:rsid w:val="006C422A"/>
    <w:rsid w:val="006C4A1A"/>
    <w:rsid w:val="006C5130"/>
    <w:rsid w:val="006C5AD7"/>
    <w:rsid w:val="006C5AEA"/>
    <w:rsid w:val="006C60DB"/>
    <w:rsid w:val="006C6120"/>
    <w:rsid w:val="006C6706"/>
    <w:rsid w:val="006C6F79"/>
    <w:rsid w:val="006C7B49"/>
    <w:rsid w:val="006D0393"/>
    <w:rsid w:val="006D154D"/>
    <w:rsid w:val="006D1A83"/>
    <w:rsid w:val="006D291C"/>
    <w:rsid w:val="006D7FF0"/>
    <w:rsid w:val="006E0051"/>
    <w:rsid w:val="006E0F01"/>
    <w:rsid w:val="006E1703"/>
    <w:rsid w:val="006E1CFE"/>
    <w:rsid w:val="006E1E4A"/>
    <w:rsid w:val="006E2A9D"/>
    <w:rsid w:val="006E3033"/>
    <w:rsid w:val="006E3D9D"/>
    <w:rsid w:val="006E40E8"/>
    <w:rsid w:val="006E42C7"/>
    <w:rsid w:val="006E47F9"/>
    <w:rsid w:val="006E4EA3"/>
    <w:rsid w:val="006E566A"/>
    <w:rsid w:val="006E5DFE"/>
    <w:rsid w:val="006E636F"/>
    <w:rsid w:val="006E6630"/>
    <w:rsid w:val="006E7E10"/>
    <w:rsid w:val="006F05D5"/>
    <w:rsid w:val="006F10C4"/>
    <w:rsid w:val="006F23A4"/>
    <w:rsid w:val="006F2ABE"/>
    <w:rsid w:val="006F40E9"/>
    <w:rsid w:val="006F4CE0"/>
    <w:rsid w:val="006F4CF7"/>
    <w:rsid w:val="006F4EA7"/>
    <w:rsid w:val="006F5351"/>
    <w:rsid w:val="006F5603"/>
    <w:rsid w:val="006F5EA3"/>
    <w:rsid w:val="006F60BC"/>
    <w:rsid w:val="006F6D7E"/>
    <w:rsid w:val="006F72F5"/>
    <w:rsid w:val="006F753E"/>
    <w:rsid w:val="006F7B87"/>
    <w:rsid w:val="00700DE8"/>
    <w:rsid w:val="00700EA9"/>
    <w:rsid w:val="00700ED2"/>
    <w:rsid w:val="00701400"/>
    <w:rsid w:val="007025C9"/>
    <w:rsid w:val="00702EF8"/>
    <w:rsid w:val="007037CF"/>
    <w:rsid w:val="00704235"/>
    <w:rsid w:val="00704909"/>
    <w:rsid w:val="00704D84"/>
    <w:rsid w:val="007061EC"/>
    <w:rsid w:val="007065CC"/>
    <w:rsid w:val="00706689"/>
    <w:rsid w:val="00710186"/>
    <w:rsid w:val="007102F8"/>
    <w:rsid w:val="0071105D"/>
    <w:rsid w:val="0071124D"/>
    <w:rsid w:val="00711D9C"/>
    <w:rsid w:val="00711E09"/>
    <w:rsid w:val="00712801"/>
    <w:rsid w:val="00712924"/>
    <w:rsid w:val="00712FFC"/>
    <w:rsid w:val="007136B5"/>
    <w:rsid w:val="007137C8"/>
    <w:rsid w:val="00713BF0"/>
    <w:rsid w:val="00713D76"/>
    <w:rsid w:val="007164A3"/>
    <w:rsid w:val="007167C0"/>
    <w:rsid w:val="00716A5D"/>
    <w:rsid w:val="00720481"/>
    <w:rsid w:val="0072220D"/>
    <w:rsid w:val="00723531"/>
    <w:rsid w:val="0072429E"/>
    <w:rsid w:val="00724B67"/>
    <w:rsid w:val="00724BCF"/>
    <w:rsid w:val="007254ED"/>
    <w:rsid w:val="00727FF3"/>
    <w:rsid w:val="00732B28"/>
    <w:rsid w:val="00733193"/>
    <w:rsid w:val="007335FB"/>
    <w:rsid w:val="0073396D"/>
    <w:rsid w:val="007342E8"/>
    <w:rsid w:val="0073431F"/>
    <w:rsid w:val="00735ABB"/>
    <w:rsid w:val="00735B3E"/>
    <w:rsid w:val="007361FC"/>
    <w:rsid w:val="007362C6"/>
    <w:rsid w:val="00736381"/>
    <w:rsid w:val="00736F93"/>
    <w:rsid w:val="007370A8"/>
    <w:rsid w:val="0073732F"/>
    <w:rsid w:val="007402D4"/>
    <w:rsid w:val="00741EE1"/>
    <w:rsid w:val="00742761"/>
    <w:rsid w:val="007430E0"/>
    <w:rsid w:val="00743AA5"/>
    <w:rsid w:val="00743AC4"/>
    <w:rsid w:val="00744072"/>
    <w:rsid w:val="00744DDA"/>
    <w:rsid w:val="00745E03"/>
    <w:rsid w:val="007462B1"/>
    <w:rsid w:val="0074640B"/>
    <w:rsid w:val="00746C63"/>
    <w:rsid w:val="00747E7F"/>
    <w:rsid w:val="00750A9A"/>
    <w:rsid w:val="00751B87"/>
    <w:rsid w:val="00751D77"/>
    <w:rsid w:val="00755153"/>
    <w:rsid w:val="00756635"/>
    <w:rsid w:val="0075732A"/>
    <w:rsid w:val="007579F7"/>
    <w:rsid w:val="007600F8"/>
    <w:rsid w:val="00760262"/>
    <w:rsid w:val="0076035C"/>
    <w:rsid w:val="00761348"/>
    <w:rsid w:val="00761B01"/>
    <w:rsid w:val="00761EE1"/>
    <w:rsid w:val="00762740"/>
    <w:rsid w:val="0076310C"/>
    <w:rsid w:val="00763BDA"/>
    <w:rsid w:val="0076744F"/>
    <w:rsid w:val="00767842"/>
    <w:rsid w:val="00767BCE"/>
    <w:rsid w:val="00767EFC"/>
    <w:rsid w:val="0077013F"/>
    <w:rsid w:val="0077027D"/>
    <w:rsid w:val="007707DE"/>
    <w:rsid w:val="00770B5D"/>
    <w:rsid w:val="0077154A"/>
    <w:rsid w:val="00771DF0"/>
    <w:rsid w:val="007726BC"/>
    <w:rsid w:val="0077302B"/>
    <w:rsid w:val="00774B8B"/>
    <w:rsid w:val="00774D93"/>
    <w:rsid w:val="007751CC"/>
    <w:rsid w:val="007752F1"/>
    <w:rsid w:val="00776768"/>
    <w:rsid w:val="00776B44"/>
    <w:rsid w:val="00776FF5"/>
    <w:rsid w:val="007777A6"/>
    <w:rsid w:val="00780C96"/>
    <w:rsid w:val="007811C7"/>
    <w:rsid w:val="00781367"/>
    <w:rsid w:val="0078187A"/>
    <w:rsid w:val="00781A6D"/>
    <w:rsid w:val="00782EC8"/>
    <w:rsid w:val="007838CE"/>
    <w:rsid w:val="00783ABD"/>
    <w:rsid w:val="00785527"/>
    <w:rsid w:val="00787184"/>
    <w:rsid w:val="00787C68"/>
    <w:rsid w:val="00787E05"/>
    <w:rsid w:val="00790C52"/>
    <w:rsid w:val="00791574"/>
    <w:rsid w:val="007946F0"/>
    <w:rsid w:val="00794855"/>
    <w:rsid w:val="00794BC8"/>
    <w:rsid w:val="00794ED8"/>
    <w:rsid w:val="007955B5"/>
    <w:rsid w:val="00795FA9"/>
    <w:rsid w:val="007963C2"/>
    <w:rsid w:val="00797688"/>
    <w:rsid w:val="007A0140"/>
    <w:rsid w:val="007A0546"/>
    <w:rsid w:val="007A1046"/>
    <w:rsid w:val="007A1DD3"/>
    <w:rsid w:val="007A2573"/>
    <w:rsid w:val="007A534C"/>
    <w:rsid w:val="007A539F"/>
    <w:rsid w:val="007A5885"/>
    <w:rsid w:val="007A75EE"/>
    <w:rsid w:val="007A76C2"/>
    <w:rsid w:val="007B03AC"/>
    <w:rsid w:val="007B106C"/>
    <w:rsid w:val="007B10D9"/>
    <w:rsid w:val="007B1160"/>
    <w:rsid w:val="007B133A"/>
    <w:rsid w:val="007B1A4E"/>
    <w:rsid w:val="007B2BA7"/>
    <w:rsid w:val="007B34AA"/>
    <w:rsid w:val="007B3D05"/>
    <w:rsid w:val="007B4207"/>
    <w:rsid w:val="007B4ED2"/>
    <w:rsid w:val="007B5503"/>
    <w:rsid w:val="007B5FFD"/>
    <w:rsid w:val="007B6486"/>
    <w:rsid w:val="007B6AE0"/>
    <w:rsid w:val="007C10A1"/>
    <w:rsid w:val="007C179C"/>
    <w:rsid w:val="007C21E3"/>
    <w:rsid w:val="007C25D7"/>
    <w:rsid w:val="007C46A9"/>
    <w:rsid w:val="007C49D6"/>
    <w:rsid w:val="007C6822"/>
    <w:rsid w:val="007C6BB3"/>
    <w:rsid w:val="007D0B98"/>
    <w:rsid w:val="007D14B4"/>
    <w:rsid w:val="007D209F"/>
    <w:rsid w:val="007D3030"/>
    <w:rsid w:val="007D398C"/>
    <w:rsid w:val="007D3AD7"/>
    <w:rsid w:val="007D3FB0"/>
    <w:rsid w:val="007D3FE9"/>
    <w:rsid w:val="007D42A4"/>
    <w:rsid w:val="007D561C"/>
    <w:rsid w:val="007D72F0"/>
    <w:rsid w:val="007D798F"/>
    <w:rsid w:val="007E08DD"/>
    <w:rsid w:val="007E203F"/>
    <w:rsid w:val="007E208A"/>
    <w:rsid w:val="007E2452"/>
    <w:rsid w:val="007E24F6"/>
    <w:rsid w:val="007E3094"/>
    <w:rsid w:val="007E33AD"/>
    <w:rsid w:val="007E4776"/>
    <w:rsid w:val="007E6086"/>
    <w:rsid w:val="007E785F"/>
    <w:rsid w:val="007F0E9A"/>
    <w:rsid w:val="007F1193"/>
    <w:rsid w:val="007F1ABC"/>
    <w:rsid w:val="007F2541"/>
    <w:rsid w:val="007F30F8"/>
    <w:rsid w:val="007F48A5"/>
    <w:rsid w:val="007F4A45"/>
    <w:rsid w:val="007F55FD"/>
    <w:rsid w:val="0080008A"/>
    <w:rsid w:val="00800F35"/>
    <w:rsid w:val="00800F64"/>
    <w:rsid w:val="00801050"/>
    <w:rsid w:val="00802749"/>
    <w:rsid w:val="00802F0B"/>
    <w:rsid w:val="0080319D"/>
    <w:rsid w:val="0080417B"/>
    <w:rsid w:val="008041BE"/>
    <w:rsid w:val="00804CB5"/>
    <w:rsid w:val="00805C4D"/>
    <w:rsid w:val="00807BB8"/>
    <w:rsid w:val="0081083E"/>
    <w:rsid w:val="00810A56"/>
    <w:rsid w:val="00810A67"/>
    <w:rsid w:val="00811A23"/>
    <w:rsid w:val="008145B4"/>
    <w:rsid w:val="008149F1"/>
    <w:rsid w:val="0081562A"/>
    <w:rsid w:val="0081570B"/>
    <w:rsid w:val="00815C70"/>
    <w:rsid w:val="0081672E"/>
    <w:rsid w:val="00817A10"/>
    <w:rsid w:val="008205A9"/>
    <w:rsid w:val="008215D1"/>
    <w:rsid w:val="00821C4F"/>
    <w:rsid w:val="008233EC"/>
    <w:rsid w:val="00823AD6"/>
    <w:rsid w:val="00823B9C"/>
    <w:rsid w:val="008270BD"/>
    <w:rsid w:val="00830606"/>
    <w:rsid w:val="00830A16"/>
    <w:rsid w:val="00830E94"/>
    <w:rsid w:val="00831D6F"/>
    <w:rsid w:val="008320DF"/>
    <w:rsid w:val="0083245B"/>
    <w:rsid w:val="00833CF7"/>
    <w:rsid w:val="0083436F"/>
    <w:rsid w:val="00834CDE"/>
    <w:rsid w:val="00835CB7"/>
    <w:rsid w:val="008364B9"/>
    <w:rsid w:val="00837893"/>
    <w:rsid w:val="00840837"/>
    <w:rsid w:val="008416B1"/>
    <w:rsid w:val="00842128"/>
    <w:rsid w:val="00842464"/>
    <w:rsid w:val="0084271E"/>
    <w:rsid w:val="0084431D"/>
    <w:rsid w:val="008443ED"/>
    <w:rsid w:val="00844866"/>
    <w:rsid w:val="00845232"/>
    <w:rsid w:val="00845601"/>
    <w:rsid w:val="00846583"/>
    <w:rsid w:val="00846B1F"/>
    <w:rsid w:val="0084748A"/>
    <w:rsid w:val="00850519"/>
    <w:rsid w:val="00850976"/>
    <w:rsid w:val="00850DE8"/>
    <w:rsid w:val="0085121F"/>
    <w:rsid w:val="008514A3"/>
    <w:rsid w:val="00851E27"/>
    <w:rsid w:val="00852D6A"/>
    <w:rsid w:val="00853B07"/>
    <w:rsid w:val="00853BDA"/>
    <w:rsid w:val="008546A0"/>
    <w:rsid w:val="00855C5C"/>
    <w:rsid w:val="00855F1C"/>
    <w:rsid w:val="00857233"/>
    <w:rsid w:val="008602C5"/>
    <w:rsid w:val="00860E63"/>
    <w:rsid w:val="008611F3"/>
    <w:rsid w:val="008625F8"/>
    <w:rsid w:val="00863297"/>
    <w:rsid w:val="008633D2"/>
    <w:rsid w:val="00865A2F"/>
    <w:rsid w:val="00866AF9"/>
    <w:rsid w:val="00867590"/>
    <w:rsid w:val="008679B5"/>
    <w:rsid w:val="00871F66"/>
    <w:rsid w:val="0087272F"/>
    <w:rsid w:val="0087364C"/>
    <w:rsid w:val="00873B52"/>
    <w:rsid w:val="00873CB8"/>
    <w:rsid w:val="00874747"/>
    <w:rsid w:val="00874966"/>
    <w:rsid w:val="00874ABB"/>
    <w:rsid w:val="00875D87"/>
    <w:rsid w:val="00876600"/>
    <w:rsid w:val="00881474"/>
    <w:rsid w:val="00881C1F"/>
    <w:rsid w:val="0088202F"/>
    <w:rsid w:val="00883491"/>
    <w:rsid w:val="00883E59"/>
    <w:rsid w:val="00883F14"/>
    <w:rsid w:val="00884304"/>
    <w:rsid w:val="0088470F"/>
    <w:rsid w:val="00884A3E"/>
    <w:rsid w:val="00885298"/>
    <w:rsid w:val="008852A5"/>
    <w:rsid w:val="0088581E"/>
    <w:rsid w:val="0088675F"/>
    <w:rsid w:val="00887241"/>
    <w:rsid w:val="0089087E"/>
    <w:rsid w:val="00890C4C"/>
    <w:rsid w:val="00891220"/>
    <w:rsid w:val="00891837"/>
    <w:rsid w:val="00893305"/>
    <w:rsid w:val="00894174"/>
    <w:rsid w:val="008950A4"/>
    <w:rsid w:val="00896B80"/>
    <w:rsid w:val="008971AC"/>
    <w:rsid w:val="00897528"/>
    <w:rsid w:val="00897628"/>
    <w:rsid w:val="0089774D"/>
    <w:rsid w:val="00897D3B"/>
    <w:rsid w:val="008A0218"/>
    <w:rsid w:val="008A0DE0"/>
    <w:rsid w:val="008A2023"/>
    <w:rsid w:val="008A28AD"/>
    <w:rsid w:val="008A3C96"/>
    <w:rsid w:val="008A472A"/>
    <w:rsid w:val="008A6F54"/>
    <w:rsid w:val="008B0EF4"/>
    <w:rsid w:val="008B14FF"/>
    <w:rsid w:val="008B1724"/>
    <w:rsid w:val="008B4019"/>
    <w:rsid w:val="008B44A8"/>
    <w:rsid w:val="008B4A06"/>
    <w:rsid w:val="008B502E"/>
    <w:rsid w:val="008B5CF9"/>
    <w:rsid w:val="008B6214"/>
    <w:rsid w:val="008B655A"/>
    <w:rsid w:val="008B65C9"/>
    <w:rsid w:val="008B6A5E"/>
    <w:rsid w:val="008B75AB"/>
    <w:rsid w:val="008B771B"/>
    <w:rsid w:val="008B7D1D"/>
    <w:rsid w:val="008C1560"/>
    <w:rsid w:val="008C197E"/>
    <w:rsid w:val="008C1CBC"/>
    <w:rsid w:val="008C1EC7"/>
    <w:rsid w:val="008C2D4A"/>
    <w:rsid w:val="008C3AF2"/>
    <w:rsid w:val="008C4345"/>
    <w:rsid w:val="008C44B9"/>
    <w:rsid w:val="008C58CE"/>
    <w:rsid w:val="008C6396"/>
    <w:rsid w:val="008C642E"/>
    <w:rsid w:val="008C65B5"/>
    <w:rsid w:val="008C685B"/>
    <w:rsid w:val="008C6D90"/>
    <w:rsid w:val="008D03C9"/>
    <w:rsid w:val="008D1979"/>
    <w:rsid w:val="008D24D0"/>
    <w:rsid w:val="008D2F23"/>
    <w:rsid w:val="008D3900"/>
    <w:rsid w:val="008D4FCA"/>
    <w:rsid w:val="008D5582"/>
    <w:rsid w:val="008D628E"/>
    <w:rsid w:val="008D6E1D"/>
    <w:rsid w:val="008D73CD"/>
    <w:rsid w:val="008E15D0"/>
    <w:rsid w:val="008E3115"/>
    <w:rsid w:val="008E50D6"/>
    <w:rsid w:val="008E57C9"/>
    <w:rsid w:val="008E5CD8"/>
    <w:rsid w:val="008E61CB"/>
    <w:rsid w:val="008E64D9"/>
    <w:rsid w:val="008E7844"/>
    <w:rsid w:val="008E7A0E"/>
    <w:rsid w:val="008E7CFA"/>
    <w:rsid w:val="008F0F3D"/>
    <w:rsid w:val="008F3167"/>
    <w:rsid w:val="008F31B4"/>
    <w:rsid w:val="008F3739"/>
    <w:rsid w:val="008F39B4"/>
    <w:rsid w:val="008F3C72"/>
    <w:rsid w:val="008F4162"/>
    <w:rsid w:val="008F443B"/>
    <w:rsid w:val="008F45D5"/>
    <w:rsid w:val="009006F0"/>
    <w:rsid w:val="00900977"/>
    <w:rsid w:val="0090101D"/>
    <w:rsid w:val="00901FF8"/>
    <w:rsid w:val="0090237E"/>
    <w:rsid w:val="00903E02"/>
    <w:rsid w:val="00906313"/>
    <w:rsid w:val="00906866"/>
    <w:rsid w:val="00906FC8"/>
    <w:rsid w:val="00907CEE"/>
    <w:rsid w:val="00910644"/>
    <w:rsid w:val="00910E1A"/>
    <w:rsid w:val="00913175"/>
    <w:rsid w:val="00915036"/>
    <w:rsid w:val="0091533A"/>
    <w:rsid w:val="00916A75"/>
    <w:rsid w:val="00916EDB"/>
    <w:rsid w:val="00917E53"/>
    <w:rsid w:val="0092000C"/>
    <w:rsid w:val="00920861"/>
    <w:rsid w:val="009215D5"/>
    <w:rsid w:val="00921A56"/>
    <w:rsid w:val="00922910"/>
    <w:rsid w:val="00922B13"/>
    <w:rsid w:val="00923780"/>
    <w:rsid w:val="009242EF"/>
    <w:rsid w:val="00925056"/>
    <w:rsid w:val="009257AD"/>
    <w:rsid w:val="0092723D"/>
    <w:rsid w:val="00927467"/>
    <w:rsid w:val="00927662"/>
    <w:rsid w:val="009306EC"/>
    <w:rsid w:val="00930D97"/>
    <w:rsid w:val="00932112"/>
    <w:rsid w:val="00932291"/>
    <w:rsid w:val="00932861"/>
    <w:rsid w:val="00933B8C"/>
    <w:rsid w:val="00933F77"/>
    <w:rsid w:val="0093408E"/>
    <w:rsid w:val="00936016"/>
    <w:rsid w:val="00936020"/>
    <w:rsid w:val="00937DA0"/>
    <w:rsid w:val="009417C1"/>
    <w:rsid w:val="00943483"/>
    <w:rsid w:val="00943A95"/>
    <w:rsid w:val="0094419A"/>
    <w:rsid w:val="00944DC5"/>
    <w:rsid w:val="0094634B"/>
    <w:rsid w:val="009479F9"/>
    <w:rsid w:val="00950DEE"/>
    <w:rsid w:val="00951D43"/>
    <w:rsid w:val="00952DDF"/>
    <w:rsid w:val="0095509B"/>
    <w:rsid w:val="00955744"/>
    <w:rsid w:val="00955850"/>
    <w:rsid w:val="00960B7B"/>
    <w:rsid w:val="009610A3"/>
    <w:rsid w:val="0096169E"/>
    <w:rsid w:val="009616C9"/>
    <w:rsid w:val="009619C7"/>
    <w:rsid w:val="00961B35"/>
    <w:rsid w:val="00961FF8"/>
    <w:rsid w:val="009622A6"/>
    <w:rsid w:val="00962D80"/>
    <w:rsid w:val="00963AE6"/>
    <w:rsid w:val="00963B6A"/>
    <w:rsid w:val="0096478E"/>
    <w:rsid w:val="00964A47"/>
    <w:rsid w:val="00964A95"/>
    <w:rsid w:val="009652D2"/>
    <w:rsid w:val="00965AE8"/>
    <w:rsid w:val="00966159"/>
    <w:rsid w:val="009672BE"/>
    <w:rsid w:val="00967688"/>
    <w:rsid w:val="00970487"/>
    <w:rsid w:val="00970950"/>
    <w:rsid w:val="00971B41"/>
    <w:rsid w:val="00971EF4"/>
    <w:rsid w:val="00972798"/>
    <w:rsid w:val="00974562"/>
    <w:rsid w:val="00974D46"/>
    <w:rsid w:val="00975C36"/>
    <w:rsid w:val="009767A4"/>
    <w:rsid w:val="00976AF8"/>
    <w:rsid w:val="00977274"/>
    <w:rsid w:val="00977938"/>
    <w:rsid w:val="00977BF3"/>
    <w:rsid w:val="00980BE7"/>
    <w:rsid w:val="009812D4"/>
    <w:rsid w:val="0098141C"/>
    <w:rsid w:val="00982040"/>
    <w:rsid w:val="009835C5"/>
    <w:rsid w:val="0098522D"/>
    <w:rsid w:val="00986C3C"/>
    <w:rsid w:val="009909D8"/>
    <w:rsid w:val="00991D8F"/>
    <w:rsid w:val="009920D8"/>
    <w:rsid w:val="009922FC"/>
    <w:rsid w:val="009926D0"/>
    <w:rsid w:val="00992A5E"/>
    <w:rsid w:val="00993B40"/>
    <w:rsid w:val="009946C6"/>
    <w:rsid w:val="009948EF"/>
    <w:rsid w:val="009952F5"/>
    <w:rsid w:val="0099550F"/>
    <w:rsid w:val="009960BD"/>
    <w:rsid w:val="009965FF"/>
    <w:rsid w:val="009968C1"/>
    <w:rsid w:val="00996C3B"/>
    <w:rsid w:val="009A06AF"/>
    <w:rsid w:val="009A1276"/>
    <w:rsid w:val="009A18A8"/>
    <w:rsid w:val="009A1A8D"/>
    <w:rsid w:val="009A1AE5"/>
    <w:rsid w:val="009A22A9"/>
    <w:rsid w:val="009A306C"/>
    <w:rsid w:val="009A372F"/>
    <w:rsid w:val="009A4046"/>
    <w:rsid w:val="009A5685"/>
    <w:rsid w:val="009A60A8"/>
    <w:rsid w:val="009A69E3"/>
    <w:rsid w:val="009A7EDC"/>
    <w:rsid w:val="009B1187"/>
    <w:rsid w:val="009B1423"/>
    <w:rsid w:val="009B1CBC"/>
    <w:rsid w:val="009B1F22"/>
    <w:rsid w:val="009B323A"/>
    <w:rsid w:val="009B38BE"/>
    <w:rsid w:val="009B4356"/>
    <w:rsid w:val="009B5072"/>
    <w:rsid w:val="009B54D9"/>
    <w:rsid w:val="009B64B5"/>
    <w:rsid w:val="009B76DE"/>
    <w:rsid w:val="009C00CC"/>
    <w:rsid w:val="009C235F"/>
    <w:rsid w:val="009C3D0F"/>
    <w:rsid w:val="009C4C49"/>
    <w:rsid w:val="009C554B"/>
    <w:rsid w:val="009C5D1F"/>
    <w:rsid w:val="009D008E"/>
    <w:rsid w:val="009D1B84"/>
    <w:rsid w:val="009D1DDF"/>
    <w:rsid w:val="009D28AE"/>
    <w:rsid w:val="009D2AF6"/>
    <w:rsid w:val="009D2DBD"/>
    <w:rsid w:val="009D494C"/>
    <w:rsid w:val="009D4A61"/>
    <w:rsid w:val="009D5019"/>
    <w:rsid w:val="009D51A1"/>
    <w:rsid w:val="009D5222"/>
    <w:rsid w:val="009D6C31"/>
    <w:rsid w:val="009D7335"/>
    <w:rsid w:val="009D7740"/>
    <w:rsid w:val="009D78BC"/>
    <w:rsid w:val="009E18A4"/>
    <w:rsid w:val="009E1B19"/>
    <w:rsid w:val="009E2B0E"/>
    <w:rsid w:val="009E311E"/>
    <w:rsid w:val="009E42EB"/>
    <w:rsid w:val="009E54DB"/>
    <w:rsid w:val="009E689D"/>
    <w:rsid w:val="009F053A"/>
    <w:rsid w:val="009F35E2"/>
    <w:rsid w:val="009F5486"/>
    <w:rsid w:val="009F553D"/>
    <w:rsid w:val="009F56CD"/>
    <w:rsid w:val="009F5E84"/>
    <w:rsid w:val="009F65F9"/>
    <w:rsid w:val="009F68BA"/>
    <w:rsid w:val="009F7F8B"/>
    <w:rsid w:val="00A00FB6"/>
    <w:rsid w:val="00A010A1"/>
    <w:rsid w:val="00A0129B"/>
    <w:rsid w:val="00A01FD1"/>
    <w:rsid w:val="00A024B8"/>
    <w:rsid w:val="00A02D01"/>
    <w:rsid w:val="00A03DC2"/>
    <w:rsid w:val="00A06277"/>
    <w:rsid w:val="00A06483"/>
    <w:rsid w:val="00A079DC"/>
    <w:rsid w:val="00A07E26"/>
    <w:rsid w:val="00A111C2"/>
    <w:rsid w:val="00A122AB"/>
    <w:rsid w:val="00A13842"/>
    <w:rsid w:val="00A14D0E"/>
    <w:rsid w:val="00A1771C"/>
    <w:rsid w:val="00A20C4D"/>
    <w:rsid w:val="00A21EB8"/>
    <w:rsid w:val="00A22B76"/>
    <w:rsid w:val="00A22DBC"/>
    <w:rsid w:val="00A23801"/>
    <w:rsid w:val="00A23944"/>
    <w:rsid w:val="00A23C6E"/>
    <w:rsid w:val="00A23D68"/>
    <w:rsid w:val="00A23DB6"/>
    <w:rsid w:val="00A24DE2"/>
    <w:rsid w:val="00A254AD"/>
    <w:rsid w:val="00A2644F"/>
    <w:rsid w:val="00A2649C"/>
    <w:rsid w:val="00A30671"/>
    <w:rsid w:val="00A30869"/>
    <w:rsid w:val="00A30D24"/>
    <w:rsid w:val="00A317BF"/>
    <w:rsid w:val="00A326EA"/>
    <w:rsid w:val="00A338E7"/>
    <w:rsid w:val="00A33BDD"/>
    <w:rsid w:val="00A33F76"/>
    <w:rsid w:val="00A34175"/>
    <w:rsid w:val="00A342F5"/>
    <w:rsid w:val="00A35CAA"/>
    <w:rsid w:val="00A3633E"/>
    <w:rsid w:val="00A36A42"/>
    <w:rsid w:val="00A36E7F"/>
    <w:rsid w:val="00A40692"/>
    <w:rsid w:val="00A40C67"/>
    <w:rsid w:val="00A40CC5"/>
    <w:rsid w:val="00A40EDC"/>
    <w:rsid w:val="00A411F4"/>
    <w:rsid w:val="00A41E65"/>
    <w:rsid w:val="00A41FA8"/>
    <w:rsid w:val="00A420C3"/>
    <w:rsid w:val="00A42375"/>
    <w:rsid w:val="00A438A9"/>
    <w:rsid w:val="00A43C69"/>
    <w:rsid w:val="00A43E0A"/>
    <w:rsid w:val="00A44DEE"/>
    <w:rsid w:val="00A45EB9"/>
    <w:rsid w:val="00A504A2"/>
    <w:rsid w:val="00A530C7"/>
    <w:rsid w:val="00A5428B"/>
    <w:rsid w:val="00A54B36"/>
    <w:rsid w:val="00A54B7D"/>
    <w:rsid w:val="00A55184"/>
    <w:rsid w:val="00A55622"/>
    <w:rsid w:val="00A55648"/>
    <w:rsid w:val="00A559C5"/>
    <w:rsid w:val="00A55BD3"/>
    <w:rsid w:val="00A55F5B"/>
    <w:rsid w:val="00A56945"/>
    <w:rsid w:val="00A57C8D"/>
    <w:rsid w:val="00A57CD7"/>
    <w:rsid w:val="00A6001D"/>
    <w:rsid w:val="00A60185"/>
    <w:rsid w:val="00A6060C"/>
    <w:rsid w:val="00A619AD"/>
    <w:rsid w:val="00A62943"/>
    <w:rsid w:val="00A62A63"/>
    <w:rsid w:val="00A661C9"/>
    <w:rsid w:val="00A661EA"/>
    <w:rsid w:val="00A6705A"/>
    <w:rsid w:val="00A67569"/>
    <w:rsid w:val="00A676B4"/>
    <w:rsid w:val="00A7138D"/>
    <w:rsid w:val="00A71A6E"/>
    <w:rsid w:val="00A72095"/>
    <w:rsid w:val="00A72625"/>
    <w:rsid w:val="00A73527"/>
    <w:rsid w:val="00A74920"/>
    <w:rsid w:val="00A74E6B"/>
    <w:rsid w:val="00A74EDE"/>
    <w:rsid w:val="00A7524F"/>
    <w:rsid w:val="00A75296"/>
    <w:rsid w:val="00A75672"/>
    <w:rsid w:val="00A75AAE"/>
    <w:rsid w:val="00A76F0D"/>
    <w:rsid w:val="00A77023"/>
    <w:rsid w:val="00A7740B"/>
    <w:rsid w:val="00A81CEE"/>
    <w:rsid w:val="00A8245E"/>
    <w:rsid w:val="00A830DD"/>
    <w:rsid w:val="00A830E5"/>
    <w:rsid w:val="00A847E0"/>
    <w:rsid w:val="00A8580C"/>
    <w:rsid w:val="00A85F42"/>
    <w:rsid w:val="00A87135"/>
    <w:rsid w:val="00A8777B"/>
    <w:rsid w:val="00A87F0A"/>
    <w:rsid w:val="00A87F14"/>
    <w:rsid w:val="00A90059"/>
    <w:rsid w:val="00A90AFE"/>
    <w:rsid w:val="00A92617"/>
    <w:rsid w:val="00A93280"/>
    <w:rsid w:val="00A93507"/>
    <w:rsid w:val="00A95019"/>
    <w:rsid w:val="00A951EA"/>
    <w:rsid w:val="00A95913"/>
    <w:rsid w:val="00A95E66"/>
    <w:rsid w:val="00A961C6"/>
    <w:rsid w:val="00AA0762"/>
    <w:rsid w:val="00AA130A"/>
    <w:rsid w:val="00AA1B48"/>
    <w:rsid w:val="00AA2548"/>
    <w:rsid w:val="00AA2874"/>
    <w:rsid w:val="00AA4EAC"/>
    <w:rsid w:val="00AA5336"/>
    <w:rsid w:val="00AA58C4"/>
    <w:rsid w:val="00AA7003"/>
    <w:rsid w:val="00AA7208"/>
    <w:rsid w:val="00AB1151"/>
    <w:rsid w:val="00AB11C8"/>
    <w:rsid w:val="00AB194A"/>
    <w:rsid w:val="00AB23EC"/>
    <w:rsid w:val="00AB2ACC"/>
    <w:rsid w:val="00AB30FE"/>
    <w:rsid w:val="00AB607B"/>
    <w:rsid w:val="00AB60B9"/>
    <w:rsid w:val="00AB6E6A"/>
    <w:rsid w:val="00AB70A9"/>
    <w:rsid w:val="00AC08A8"/>
    <w:rsid w:val="00AC33DF"/>
    <w:rsid w:val="00AC359F"/>
    <w:rsid w:val="00AC6253"/>
    <w:rsid w:val="00AC73B2"/>
    <w:rsid w:val="00AC7B20"/>
    <w:rsid w:val="00AC7DA9"/>
    <w:rsid w:val="00AC7FA1"/>
    <w:rsid w:val="00AD0013"/>
    <w:rsid w:val="00AD01BE"/>
    <w:rsid w:val="00AD0650"/>
    <w:rsid w:val="00AD07B5"/>
    <w:rsid w:val="00AD1D94"/>
    <w:rsid w:val="00AD316A"/>
    <w:rsid w:val="00AD356C"/>
    <w:rsid w:val="00AD4D47"/>
    <w:rsid w:val="00AD56C8"/>
    <w:rsid w:val="00AD58F2"/>
    <w:rsid w:val="00AD603C"/>
    <w:rsid w:val="00AD7B61"/>
    <w:rsid w:val="00AE03F2"/>
    <w:rsid w:val="00AE0C16"/>
    <w:rsid w:val="00AE0C5F"/>
    <w:rsid w:val="00AE14BA"/>
    <w:rsid w:val="00AE1623"/>
    <w:rsid w:val="00AE17CD"/>
    <w:rsid w:val="00AE1A40"/>
    <w:rsid w:val="00AE36DB"/>
    <w:rsid w:val="00AE443A"/>
    <w:rsid w:val="00AE484F"/>
    <w:rsid w:val="00AE6BC0"/>
    <w:rsid w:val="00AE748E"/>
    <w:rsid w:val="00AF1CBC"/>
    <w:rsid w:val="00AF1FCA"/>
    <w:rsid w:val="00AF2EEA"/>
    <w:rsid w:val="00AF4452"/>
    <w:rsid w:val="00AF4657"/>
    <w:rsid w:val="00AF6DCE"/>
    <w:rsid w:val="00AF7357"/>
    <w:rsid w:val="00B00A66"/>
    <w:rsid w:val="00B01641"/>
    <w:rsid w:val="00B0176F"/>
    <w:rsid w:val="00B02079"/>
    <w:rsid w:val="00B02B0E"/>
    <w:rsid w:val="00B033BD"/>
    <w:rsid w:val="00B0370F"/>
    <w:rsid w:val="00B0404F"/>
    <w:rsid w:val="00B04080"/>
    <w:rsid w:val="00B0512A"/>
    <w:rsid w:val="00B0529F"/>
    <w:rsid w:val="00B05CDE"/>
    <w:rsid w:val="00B072A9"/>
    <w:rsid w:val="00B077B7"/>
    <w:rsid w:val="00B07805"/>
    <w:rsid w:val="00B10172"/>
    <w:rsid w:val="00B10A68"/>
    <w:rsid w:val="00B114BE"/>
    <w:rsid w:val="00B120AD"/>
    <w:rsid w:val="00B13332"/>
    <w:rsid w:val="00B1418B"/>
    <w:rsid w:val="00B14997"/>
    <w:rsid w:val="00B16138"/>
    <w:rsid w:val="00B1731B"/>
    <w:rsid w:val="00B21195"/>
    <w:rsid w:val="00B21377"/>
    <w:rsid w:val="00B21906"/>
    <w:rsid w:val="00B21ED6"/>
    <w:rsid w:val="00B239DD"/>
    <w:rsid w:val="00B23A93"/>
    <w:rsid w:val="00B23FE5"/>
    <w:rsid w:val="00B24B22"/>
    <w:rsid w:val="00B24E8F"/>
    <w:rsid w:val="00B25088"/>
    <w:rsid w:val="00B25310"/>
    <w:rsid w:val="00B25906"/>
    <w:rsid w:val="00B2690F"/>
    <w:rsid w:val="00B27406"/>
    <w:rsid w:val="00B27F6D"/>
    <w:rsid w:val="00B30CE7"/>
    <w:rsid w:val="00B31836"/>
    <w:rsid w:val="00B32499"/>
    <w:rsid w:val="00B325AB"/>
    <w:rsid w:val="00B32F8F"/>
    <w:rsid w:val="00B346A5"/>
    <w:rsid w:val="00B3492A"/>
    <w:rsid w:val="00B34E06"/>
    <w:rsid w:val="00B36FFE"/>
    <w:rsid w:val="00B40E03"/>
    <w:rsid w:val="00B42225"/>
    <w:rsid w:val="00B42C91"/>
    <w:rsid w:val="00B4392E"/>
    <w:rsid w:val="00B43C47"/>
    <w:rsid w:val="00B44388"/>
    <w:rsid w:val="00B4472A"/>
    <w:rsid w:val="00B454D3"/>
    <w:rsid w:val="00B47221"/>
    <w:rsid w:val="00B5150B"/>
    <w:rsid w:val="00B51861"/>
    <w:rsid w:val="00B5309A"/>
    <w:rsid w:val="00B53689"/>
    <w:rsid w:val="00B54A21"/>
    <w:rsid w:val="00B54DE9"/>
    <w:rsid w:val="00B55106"/>
    <w:rsid w:val="00B553EC"/>
    <w:rsid w:val="00B55E3F"/>
    <w:rsid w:val="00B56FBD"/>
    <w:rsid w:val="00B57DF6"/>
    <w:rsid w:val="00B6012C"/>
    <w:rsid w:val="00B60FBC"/>
    <w:rsid w:val="00B62C7B"/>
    <w:rsid w:val="00B62C8E"/>
    <w:rsid w:val="00B6343E"/>
    <w:rsid w:val="00B63C1E"/>
    <w:rsid w:val="00B64E55"/>
    <w:rsid w:val="00B64E9F"/>
    <w:rsid w:val="00B667E7"/>
    <w:rsid w:val="00B6710F"/>
    <w:rsid w:val="00B703E3"/>
    <w:rsid w:val="00B71366"/>
    <w:rsid w:val="00B71868"/>
    <w:rsid w:val="00B737D9"/>
    <w:rsid w:val="00B750BC"/>
    <w:rsid w:val="00B7749D"/>
    <w:rsid w:val="00B77EFF"/>
    <w:rsid w:val="00B8294B"/>
    <w:rsid w:val="00B8392F"/>
    <w:rsid w:val="00B83C9B"/>
    <w:rsid w:val="00B84F8D"/>
    <w:rsid w:val="00B85AA4"/>
    <w:rsid w:val="00B86207"/>
    <w:rsid w:val="00B87560"/>
    <w:rsid w:val="00B9265D"/>
    <w:rsid w:val="00B92F16"/>
    <w:rsid w:val="00B93DD0"/>
    <w:rsid w:val="00B9451B"/>
    <w:rsid w:val="00B94C00"/>
    <w:rsid w:val="00B95084"/>
    <w:rsid w:val="00B956C4"/>
    <w:rsid w:val="00B9586B"/>
    <w:rsid w:val="00B95F55"/>
    <w:rsid w:val="00B972C4"/>
    <w:rsid w:val="00B97732"/>
    <w:rsid w:val="00B97B40"/>
    <w:rsid w:val="00BA09B7"/>
    <w:rsid w:val="00BA0A28"/>
    <w:rsid w:val="00BA0F56"/>
    <w:rsid w:val="00BA2BDD"/>
    <w:rsid w:val="00BA4336"/>
    <w:rsid w:val="00BA62F3"/>
    <w:rsid w:val="00BA65A8"/>
    <w:rsid w:val="00BA6D19"/>
    <w:rsid w:val="00BA7461"/>
    <w:rsid w:val="00BA7A53"/>
    <w:rsid w:val="00BA7DA9"/>
    <w:rsid w:val="00BB06E8"/>
    <w:rsid w:val="00BB0E27"/>
    <w:rsid w:val="00BB15DF"/>
    <w:rsid w:val="00BB1B20"/>
    <w:rsid w:val="00BB1BE2"/>
    <w:rsid w:val="00BB1F8F"/>
    <w:rsid w:val="00BB2164"/>
    <w:rsid w:val="00BB37B6"/>
    <w:rsid w:val="00BB48F7"/>
    <w:rsid w:val="00BB509A"/>
    <w:rsid w:val="00BB5D07"/>
    <w:rsid w:val="00BB68C7"/>
    <w:rsid w:val="00BB6D35"/>
    <w:rsid w:val="00BB7583"/>
    <w:rsid w:val="00BC0969"/>
    <w:rsid w:val="00BC1452"/>
    <w:rsid w:val="00BC2438"/>
    <w:rsid w:val="00BC275C"/>
    <w:rsid w:val="00BC2E21"/>
    <w:rsid w:val="00BC33B8"/>
    <w:rsid w:val="00BC4215"/>
    <w:rsid w:val="00BC5432"/>
    <w:rsid w:val="00BC6883"/>
    <w:rsid w:val="00BC6A83"/>
    <w:rsid w:val="00BC70F9"/>
    <w:rsid w:val="00BD0757"/>
    <w:rsid w:val="00BD076A"/>
    <w:rsid w:val="00BD1A6F"/>
    <w:rsid w:val="00BD27D0"/>
    <w:rsid w:val="00BD317E"/>
    <w:rsid w:val="00BD5141"/>
    <w:rsid w:val="00BD662F"/>
    <w:rsid w:val="00BD6714"/>
    <w:rsid w:val="00BD7114"/>
    <w:rsid w:val="00BD71E1"/>
    <w:rsid w:val="00BE0F48"/>
    <w:rsid w:val="00BE104D"/>
    <w:rsid w:val="00BE1408"/>
    <w:rsid w:val="00BE37F8"/>
    <w:rsid w:val="00BE40B4"/>
    <w:rsid w:val="00BE4387"/>
    <w:rsid w:val="00BE43B1"/>
    <w:rsid w:val="00BE46AF"/>
    <w:rsid w:val="00BE557B"/>
    <w:rsid w:val="00BE63D2"/>
    <w:rsid w:val="00BE68A0"/>
    <w:rsid w:val="00BE6D3C"/>
    <w:rsid w:val="00BE7852"/>
    <w:rsid w:val="00BF0D9A"/>
    <w:rsid w:val="00BF1FD4"/>
    <w:rsid w:val="00BF2EE8"/>
    <w:rsid w:val="00BF3E82"/>
    <w:rsid w:val="00BF43D3"/>
    <w:rsid w:val="00BF4A62"/>
    <w:rsid w:val="00BF4D23"/>
    <w:rsid w:val="00BF72C9"/>
    <w:rsid w:val="00BF7824"/>
    <w:rsid w:val="00BF7CEE"/>
    <w:rsid w:val="00C004C0"/>
    <w:rsid w:val="00C008F0"/>
    <w:rsid w:val="00C00DDF"/>
    <w:rsid w:val="00C03249"/>
    <w:rsid w:val="00C033CB"/>
    <w:rsid w:val="00C03880"/>
    <w:rsid w:val="00C04F6E"/>
    <w:rsid w:val="00C05388"/>
    <w:rsid w:val="00C057EF"/>
    <w:rsid w:val="00C066DC"/>
    <w:rsid w:val="00C06F86"/>
    <w:rsid w:val="00C073B0"/>
    <w:rsid w:val="00C07EC3"/>
    <w:rsid w:val="00C11A4B"/>
    <w:rsid w:val="00C12C4F"/>
    <w:rsid w:val="00C135CF"/>
    <w:rsid w:val="00C143DE"/>
    <w:rsid w:val="00C15E3E"/>
    <w:rsid w:val="00C16690"/>
    <w:rsid w:val="00C16DE7"/>
    <w:rsid w:val="00C2005C"/>
    <w:rsid w:val="00C209E1"/>
    <w:rsid w:val="00C20D79"/>
    <w:rsid w:val="00C20F9A"/>
    <w:rsid w:val="00C2162C"/>
    <w:rsid w:val="00C22F5C"/>
    <w:rsid w:val="00C2339C"/>
    <w:rsid w:val="00C23625"/>
    <w:rsid w:val="00C24109"/>
    <w:rsid w:val="00C252EC"/>
    <w:rsid w:val="00C25B1D"/>
    <w:rsid w:val="00C2683F"/>
    <w:rsid w:val="00C26CD1"/>
    <w:rsid w:val="00C2766D"/>
    <w:rsid w:val="00C30302"/>
    <w:rsid w:val="00C310D2"/>
    <w:rsid w:val="00C3119D"/>
    <w:rsid w:val="00C3184D"/>
    <w:rsid w:val="00C347BB"/>
    <w:rsid w:val="00C35B89"/>
    <w:rsid w:val="00C35FE1"/>
    <w:rsid w:val="00C40AD0"/>
    <w:rsid w:val="00C41417"/>
    <w:rsid w:val="00C41518"/>
    <w:rsid w:val="00C42B4A"/>
    <w:rsid w:val="00C43114"/>
    <w:rsid w:val="00C449F8"/>
    <w:rsid w:val="00C44B81"/>
    <w:rsid w:val="00C47030"/>
    <w:rsid w:val="00C4714E"/>
    <w:rsid w:val="00C47BAC"/>
    <w:rsid w:val="00C505C5"/>
    <w:rsid w:val="00C51A96"/>
    <w:rsid w:val="00C51CCA"/>
    <w:rsid w:val="00C5319B"/>
    <w:rsid w:val="00C53738"/>
    <w:rsid w:val="00C54023"/>
    <w:rsid w:val="00C545E1"/>
    <w:rsid w:val="00C5504F"/>
    <w:rsid w:val="00C555DE"/>
    <w:rsid w:val="00C5595D"/>
    <w:rsid w:val="00C55A8E"/>
    <w:rsid w:val="00C55CAF"/>
    <w:rsid w:val="00C57470"/>
    <w:rsid w:val="00C57B55"/>
    <w:rsid w:val="00C57C3F"/>
    <w:rsid w:val="00C60AEB"/>
    <w:rsid w:val="00C60CD5"/>
    <w:rsid w:val="00C61CE3"/>
    <w:rsid w:val="00C61F76"/>
    <w:rsid w:val="00C62202"/>
    <w:rsid w:val="00C6272B"/>
    <w:rsid w:val="00C63376"/>
    <w:rsid w:val="00C6517B"/>
    <w:rsid w:val="00C6532C"/>
    <w:rsid w:val="00C67515"/>
    <w:rsid w:val="00C67694"/>
    <w:rsid w:val="00C6779E"/>
    <w:rsid w:val="00C70042"/>
    <w:rsid w:val="00C718F6"/>
    <w:rsid w:val="00C72ACC"/>
    <w:rsid w:val="00C72B69"/>
    <w:rsid w:val="00C73D6A"/>
    <w:rsid w:val="00C743A7"/>
    <w:rsid w:val="00C74905"/>
    <w:rsid w:val="00C74B33"/>
    <w:rsid w:val="00C74F97"/>
    <w:rsid w:val="00C807A2"/>
    <w:rsid w:val="00C8089C"/>
    <w:rsid w:val="00C80994"/>
    <w:rsid w:val="00C80B8A"/>
    <w:rsid w:val="00C81B3B"/>
    <w:rsid w:val="00C8243D"/>
    <w:rsid w:val="00C8276E"/>
    <w:rsid w:val="00C8289E"/>
    <w:rsid w:val="00C82E43"/>
    <w:rsid w:val="00C830DA"/>
    <w:rsid w:val="00C8326A"/>
    <w:rsid w:val="00C83B59"/>
    <w:rsid w:val="00C842AC"/>
    <w:rsid w:val="00C844DB"/>
    <w:rsid w:val="00C851AD"/>
    <w:rsid w:val="00C85FC9"/>
    <w:rsid w:val="00C86757"/>
    <w:rsid w:val="00C87245"/>
    <w:rsid w:val="00C90D66"/>
    <w:rsid w:val="00C90FA3"/>
    <w:rsid w:val="00C91148"/>
    <w:rsid w:val="00C92195"/>
    <w:rsid w:val="00C92CA7"/>
    <w:rsid w:val="00C93B12"/>
    <w:rsid w:val="00C9447D"/>
    <w:rsid w:val="00C9499B"/>
    <w:rsid w:val="00C94C59"/>
    <w:rsid w:val="00C95293"/>
    <w:rsid w:val="00C9643F"/>
    <w:rsid w:val="00C96688"/>
    <w:rsid w:val="00C9696B"/>
    <w:rsid w:val="00C97623"/>
    <w:rsid w:val="00C97995"/>
    <w:rsid w:val="00C97CD4"/>
    <w:rsid w:val="00CA0723"/>
    <w:rsid w:val="00CA17A1"/>
    <w:rsid w:val="00CA231E"/>
    <w:rsid w:val="00CA23A2"/>
    <w:rsid w:val="00CA2FBB"/>
    <w:rsid w:val="00CA3ACE"/>
    <w:rsid w:val="00CA55A7"/>
    <w:rsid w:val="00CA5BD9"/>
    <w:rsid w:val="00CA603D"/>
    <w:rsid w:val="00CA6511"/>
    <w:rsid w:val="00CA6764"/>
    <w:rsid w:val="00CB1690"/>
    <w:rsid w:val="00CB2F57"/>
    <w:rsid w:val="00CB706D"/>
    <w:rsid w:val="00CC1027"/>
    <w:rsid w:val="00CC1C6E"/>
    <w:rsid w:val="00CC2BCB"/>
    <w:rsid w:val="00CC330A"/>
    <w:rsid w:val="00CC337C"/>
    <w:rsid w:val="00CC3939"/>
    <w:rsid w:val="00CC4365"/>
    <w:rsid w:val="00CC63EA"/>
    <w:rsid w:val="00CC763F"/>
    <w:rsid w:val="00CC7658"/>
    <w:rsid w:val="00CC77AB"/>
    <w:rsid w:val="00CD0543"/>
    <w:rsid w:val="00CD0FB4"/>
    <w:rsid w:val="00CD11B0"/>
    <w:rsid w:val="00CD1FF5"/>
    <w:rsid w:val="00CD201A"/>
    <w:rsid w:val="00CD43B8"/>
    <w:rsid w:val="00CD4F5E"/>
    <w:rsid w:val="00CE066A"/>
    <w:rsid w:val="00CE1001"/>
    <w:rsid w:val="00CE238C"/>
    <w:rsid w:val="00CE2C1D"/>
    <w:rsid w:val="00CE4153"/>
    <w:rsid w:val="00CE4538"/>
    <w:rsid w:val="00CE4A0A"/>
    <w:rsid w:val="00CE5C2A"/>
    <w:rsid w:val="00CE71C2"/>
    <w:rsid w:val="00CF1501"/>
    <w:rsid w:val="00CF1D62"/>
    <w:rsid w:val="00CF1DE5"/>
    <w:rsid w:val="00CF1E3B"/>
    <w:rsid w:val="00CF2BA1"/>
    <w:rsid w:val="00CF34E9"/>
    <w:rsid w:val="00CF3D5C"/>
    <w:rsid w:val="00CF42D5"/>
    <w:rsid w:val="00CF4EDA"/>
    <w:rsid w:val="00CF503B"/>
    <w:rsid w:val="00CF7236"/>
    <w:rsid w:val="00CF7D7F"/>
    <w:rsid w:val="00D00E6C"/>
    <w:rsid w:val="00D013EA"/>
    <w:rsid w:val="00D021CB"/>
    <w:rsid w:val="00D0447E"/>
    <w:rsid w:val="00D044C6"/>
    <w:rsid w:val="00D04BD8"/>
    <w:rsid w:val="00D0576D"/>
    <w:rsid w:val="00D057D0"/>
    <w:rsid w:val="00D0624E"/>
    <w:rsid w:val="00D07A5E"/>
    <w:rsid w:val="00D10553"/>
    <w:rsid w:val="00D10F1A"/>
    <w:rsid w:val="00D116F8"/>
    <w:rsid w:val="00D124D6"/>
    <w:rsid w:val="00D128AE"/>
    <w:rsid w:val="00D12BE4"/>
    <w:rsid w:val="00D14897"/>
    <w:rsid w:val="00D151B8"/>
    <w:rsid w:val="00D15402"/>
    <w:rsid w:val="00D15E75"/>
    <w:rsid w:val="00D16C5F"/>
    <w:rsid w:val="00D16D22"/>
    <w:rsid w:val="00D17596"/>
    <w:rsid w:val="00D2006F"/>
    <w:rsid w:val="00D200CA"/>
    <w:rsid w:val="00D201B4"/>
    <w:rsid w:val="00D20AF7"/>
    <w:rsid w:val="00D21D54"/>
    <w:rsid w:val="00D2254A"/>
    <w:rsid w:val="00D22640"/>
    <w:rsid w:val="00D2475A"/>
    <w:rsid w:val="00D24D5E"/>
    <w:rsid w:val="00D250A5"/>
    <w:rsid w:val="00D262E4"/>
    <w:rsid w:val="00D26D0D"/>
    <w:rsid w:val="00D26D3A"/>
    <w:rsid w:val="00D274FA"/>
    <w:rsid w:val="00D275AE"/>
    <w:rsid w:val="00D27836"/>
    <w:rsid w:val="00D3026D"/>
    <w:rsid w:val="00D31018"/>
    <w:rsid w:val="00D327BE"/>
    <w:rsid w:val="00D337BC"/>
    <w:rsid w:val="00D33E30"/>
    <w:rsid w:val="00D34159"/>
    <w:rsid w:val="00D37393"/>
    <w:rsid w:val="00D40B13"/>
    <w:rsid w:val="00D40BCD"/>
    <w:rsid w:val="00D41CCA"/>
    <w:rsid w:val="00D42920"/>
    <w:rsid w:val="00D42D56"/>
    <w:rsid w:val="00D43C9D"/>
    <w:rsid w:val="00D45EE3"/>
    <w:rsid w:val="00D46875"/>
    <w:rsid w:val="00D50618"/>
    <w:rsid w:val="00D509DD"/>
    <w:rsid w:val="00D509E9"/>
    <w:rsid w:val="00D50F2A"/>
    <w:rsid w:val="00D5129A"/>
    <w:rsid w:val="00D51A02"/>
    <w:rsid w:val="00D53258"/>
    <w:rsid w:val="00D53B1C"/>
    <w:rsid w:val="00D54FB6"/>
    <w:rsid w:val="00D5721A"/>
    <w:rsid w:val="00D5759E"/>
    <w:rsid w:val="00D610DE"/>
    <w:rsid w:val="00D61CBE"/>
    <w:rsid w:val="00D62114"/>
    <w:rsid w:val="00D62195"/>
    <w:rsid w:val="00D63066"/>
    <w:rsid w:val="00D6330E"/>
    <w:rsid w:val="00D6335C"/>
    <w:rsid w:val="00D633C4"/>
    <w:rsid w:val="00D63C21"/>
    <w:rsid w:val="00D642AC"/>
    <w:rsid w:val="00D65235"/>
    <w:rsid w:val="00D67740"/>
    <w:rsid w:val="00D67A84"/>
    <w:rsid w:val="00D67D16"/>
    <w:rsid w:val="00D71ED5"/>
    <w:rsid w:val="00D73AEE"/>
    <w:rsid w:val="00D7416C"/>
    <w:rsid w:val="00D7487E"/>
    <w:rsid w:val="00D758BD"/>
    <w:rsid w:val="00D76288"/>
    <w:rsid w:val="00D76ADB"/>
    <w:rsid w:val="00D77291"/>
    <w:rsid w:val="00D77ABA"/>
    <w:rsid w:val="00D77E41"/>
    <w:rsid w:val="00D82D1E"/>
    <w:rsid w:val="00D8339F"/>
    <w:rsid w:val="00D8405C"/>
    <w:rsid w:val="00D845E8"/>
    <w:rsid w:val="00D84E36"/>
    <w:rsid w:val="00D85004"/>
    <w:rsid w:val="00D85F36"/>
    <w:rsid w:val="00D863FB"/>
    <w:rsid w:val="00D86D08"/>
    <w:rsid w:val="00D86E71"/>
    <w:rsid w:val="00D905C6"/>
    <w:rsid w:val="00D93BA5"/>
    <w:rsid w:val="00D940AB"/>
    <w:rsid w:val="00D94142"/>
    <w:rsid w:val="00D9422C"/>
    <w:rsid w:val="00D94DE3"/>
    <w:rsid w:val="00D9554D"/>
    <w:rsid w:val="00D956CF"/>
    <w:rsid w:val="00D958CB"/>
    <w:rsid w:val="00D95E5E"/>
    <w:rsid w:val="00D96340"/>
    <w:rsid w:val="00D9667B"/>
    <w:rsid w:val="00D969F2"/>
    <w:rsid w:val="00D96F10"/>
    <w:rsid w:val="00D97884"/>
    <w:rsid w:val="00D97CBC"/>
    <w:rsid w:val="00DA00BD"/>
    <w:rsid w:val="00DA0161"/>
    <w:rsid w:val="00DA147E"/>
    <w:rsid w:val="00DA1B12"/>
    <w:rsid w:val="00DA2196"/>
    <w:rsid w:val="00DA2CF6"/>
    <w:rsid w:val="00DA34E2"/>
    <w:rsid w:val="00DA38A5"/>
    <w:rsid w:val="00DA489F"/>
    <w:rsid w:val="00DA4DF5"/>
    <w:rsid w:val="00DA54C9"/>
    <w:rsid w:val="00DA6115"/>
    <w:rsid w:val="00DA6739"/>
    <w:rsid w:val="00DA6CAE"/>
    <w:rsid w:val="00DA73F3"/>
    <w:rsid w:val="00DA7806"/>
    <w:rsid w:val="00DA7EFC"/>
    <w:rsid w:val="00DB1A9E"/>
    <w:rsid w:val="00DB2258"/>
    <w:rsid w:val="00DB31D6"/>
    <w:rsid w:val="00DB342C"/>
    <w:rsid w:val="00DB3E5B"/>
    <w:rsid w:val="00DB4005"/>
    <w:rsid w:val="00DB4D33"/>
    <w:rsid w:val="00DB5B7D"/>
    <w:rsid w:val="00DB7C0C"/>
    <w:rsid w:val="00DB7DCD"/>
    <w:rsid w:val="00DC0CC2"/>
    <w:rsid w:val="00DC0F17"/>
    <w:rsid w:val="00DC272E"/>
    <w:rsid w:val="00DC34EB"/>
    <w:rsid w:val="00DC4542"/>
    <w:rsid w:val="00DC78DF"/>
    <w:rsid w:val="00DD02BD"/>
    <w:rsid w:val="00DD0A9F"/>
    <w:rsid w:val="00DD1783"/>
    <w:rsid w:val="00DD18B6"/>
    <w:rsid w:val="00DD2267"/>
    <w:rsid w:val="00DD2B5C"/>
    <w:rsid w:val="00DD2ED7"/>
    <w:rsid w:val="00DD4065"/>
    <w:rsid w:val="00DD4F2C"/>
    <w:rsid w:val="00DD5CC5"/>
    <w:rsid w:val="00DD7A6B"/>
    <w:rsid w:val="00DE027B"/>
    <w:rsid w:val="00DE08F4"/>
    <w:rsid w:val="00DE1368"/>
    <w:rsid w:val="00DE1B2F"/>
    <w:rsid w:val="00DE3001"/>
    <w:rsid w:val="00DE30CA"/>
    <w:rsid w:val="00DE394B"/>
    <w:rsid w:val="00DE5B02"/>
    <w:rsid w:val="00DE6583"/>
    <w:rsid w:val="00DE7578"/>
    <w:rsid w:val="00DF0B0C"/>
    <w:rsid w:val="00DF1E5B"/>
    <w:rsid w:val="00DF2275"/>
    <w:rsid w:val="00DF25A8"/>
    <w:rsid w:val="00DF27FA"/>
    <w:rsid w:val="00DF2B4E"/>
    <w:rsid w:val="00DF3651"/>
    <w:rsid w:val="00DF3B87"/>
    <w:rsid w:val="00DF3F5E"/>
    <w:rsid w:val="00DF4E00"/>
    <w:rsid w:val="00DF507D"/>
    <w:rsid w:val="00DF5653"/>
    <w:rsid w:val="00DF5B99"/>
    <w:rsid w:val="00DF78CD"/>
    <w:rsid w:val="00E0046F"/>
    <w:rsid w:val="00E01817"/>
    <w:rsid w:val="00E027CA"/>
    <w:rsid w:val="00E0373E"/>
    <w:rsid w:val="00E03D6A"/>
    <w:rsid w:val="00E04EC0"/>
    <w:rsid w:val="00E05329"/>
    <w:rsid w:val="00E057EE"/>
    <w:rsid w:val="00E0596E"/>
    <w:rsid w:val="00E06070"/>
    <w:rsid w:val="00E069A5"/>
    <w:rsid w:val="00E06F66"/>
    <w:rsid w:val="00E101A3"/>
    <w:rsid w:val="00E102D5"/>
    <w:rsid w:val="00E10512"/>
    <w:rsid w:val="00E1196C"/>
    <w:rsid w:val="00E129C4"/>
    <w:rsid w:val="00E12C93"/>
    <w:rsid w:val="00E12EB3"/>
    <w:rsid w:val="00E14389"/>
    <w:rsid w:val="00E16650"/>
    <w:rsid w:val="00E16D93"/>
    <w:rsid w:val="00E20A5D"/>
    <w:rsid w:val="00E210E6"/>
    <w:rsid w:val="00E22A97"/>
    <w:rsid w:val="00E23712"/>
    <w:rsid w:val="00E2442E"/>
    <w:rsid w:val="00E249E3"/>
    <w:rsid w:val="00E24D40"/>
    <w:rsid w:val="00E25B35"/>
    <w:rsid w:val="00E26F72"/>
    <w:rsid w:val="00E2794A"/>
    <w:rsid w:val="00E27A78"/>
    <w:rsid w:val="00E30106"/>
    <w:rsid w:val="00E30D03"/>
    <w:rsid w:val="00E30F86"/>
    <w:rsid w:val="00E32313"/>
    <w:rsid w:val="00E33143"/>
    <w:rsid w:val="00E33512"/>
    <w:rsid w:val="00E338A4"/>
    <w:rsid w:val="00E33A47"/>
    <w:rsid w:val="00E34C39"/>
    <w:rsid w:val="00E34C75"/>
    <w:rsid w:val="00E34D08"/>
    <w:rsid w:val="00E356E5"/>
    <w:rsid w:val="00E35750"/>
    <w:rsid w:val="00E357E4"/>
    <w:rsid w:val="00E35930"/>
    <w:rsid w:val="00E3602A"/>
    <w:rsid w:val="00E36F81"/>
    <w:rsid w:val="00E3768F"/>
    <w:rsid w:val="00E37ADA"/>
    <w:rsid w:val="00E40A6F"/>
    <w:rsid w:val="00E41159"/>
    <w:rsid w:val="00E414BA"/>
    <w:rsid w:val="00E419C3"/>
    <w:rsid w:val="00E4347A"/>
    <w:rsid w:val="00E43575"/>
    <w:rsid w:val="00E43C7D"/>
    <w:rsid w:val="00E443B1"/>
    <w:rsid w:val="00E445AC"/>
    <w:rsid w:val="00E445BD"/>
    <w:rsid w:val="00E45564"/>
    <w:rsid w:val="00E45765"/>
    <w:rsid w:val="00E5098C"/>
    <w:rsid w:val="00E52365"/>
    <w:rsid w:val="00E54DBF"/>
    <w:rsid w:val="00E5678E"/>
    <w:rsid w:val="00E57A02"/>
    <w:rsid w:val="00E57AB7"/>
    <w:rsid w:val="00E60213"/>
    <w:rsid w:val="00E606BE"/>
    <w:rsid w:val="00E60BA1"/>
    <w:rsid w:val="00E611CA"/>
    <w:rsid w:val="00E6210B"/>
    <w:rsid w:val="00E6254A"/>
    <w:rsid w:val="00E629EC"/>
    <w:rsid w:val="00E634D9"/>
    <w:rsid w:val="00E63A29"/>
    <w:rsid w:val="00E661B2"/>
    <w:rsid w:val="00E672EC"/>
    <w:rsid w:val="00E7196B"/>
    <w:rsid w:val="00E71995"/>
    <w:rsid w:val="00E72A47"/>
    <w:rsid w:val="00E7435B"/>
    <w:rsid w:val="00E747F1"/>
    <w:rsid w:val="00E749EB"/>
    <w:rsid w:val="00E74D29"/>
    <w:rsid w:val="00E750F5"/>
    <w:rsid w:val="00E75DD7"/>
    <w:rsid w:val="00E77469"/>
    <w:rsid w:val="00E77479"/>
    <w:rsid w:val="00E81BB2"/>
    <w:rsid w:val="00E82C49"/>
    <w:rsid w:val="00E83C74"/>
    <w:rsid w:val="00E83CEE"/>
    <w:rsid w:val="00E83DE9"/>
    <w:rsid w:val="00E84C43"/>
    <w:rsid w:val="00E85097"/>
    <w:rsid w:val="00E85E2D"/>
    <w:rsid w:val="00E879E6"/>
    <w:rsid w:val="00E87D90"/>
    <w:rsid w:val="00E917CF"/>
    <w:rsid w:val="00E91B0F"/>
    <w:rsid w:val="00E91C88"/>
    <w:rsid w:val="00E91F18"/>
    <w:rsid w:val="00E9226D"/>
    <w:rsid w:val="00E92652"/>
    <w:rsid w:val="00E92958"/>
    <w:rsid w:val="00E9304F"/>
    <w:rsid w:val="00E94059"/>
    <w:rsid w:val="00E943AB"/>
    <w:rsid w:val="00E94639"/>
    <w:rsid w:val="00E97ECF"/>
    <w:rsid w:val="00EA416C"/>
    <w:rsid w:val="00EA48C9"/>
    <w:rsid w:val="00EA5941"/>
    <w:rsid w:val="00EA63B2"/>
    <w:rsid w:val="00EA6DB3"/>
    <w:rsid w:val="00EA73B9"/>
    <w:rsid w:val="00EB096D"/>
    <w:rsid w:val="00EB1365"/>
    <w:rsid w:val="00EB1FC2"/>
    <w:rsid w:val="00EB2221"/>
    <w:rsid w:val="00EB2AFF"/>
    <w:rsid w:val="00EB34FA"/>
    <w:rsid w:val="00EB40EB"/>
    <w:rsid w:val="00EB60CE"/>
    <w:rsid w:val="00EB644A"/>
    <w:rsid w:val="00EB6CFB"/>
    <w:rsid w:val="00EB6D2C"/>
    <w:rsid w:val="00EB7731"/>
    <w:rsid w:val="00EB7D53"/>
    <w:rsid w:val="00EC25F0"/>
    <w:rsid w:val="00EC2794"/>
    <w:rsid w:val="00EC29B1"/>
    <w:rsid w:val="00EC2BCC"/>
    <w:rsid w:val="00EC5356"/>
    <w:rsid w:val="00EC5713"/>
    <w:rsid w:val="00EC6C06"/>
    <w:rsid w:val="00EC6F83"/>
    <w:rsid w:val="00EC70F0"/>
    <w:rsid w:val="00EC7467"/>
    <w:rsid w:val="00ED0F91"/>
    <w:rsid w:val="00ED4400"/>
    <w:rsid w:val="00ED4E87"/>
    <w:rsid w:val="00ED6044"/>
    <w:rsid w:val="00ED71CE"/>
    <w:rsid w:val="00EE16C7"/>
    <w:rsid w:val="00EE2712"/>
    <w:rsid w:val="00EE3146"/>
    <w:rsid w:val="00EE3FED"/>
    <w:rsid w:val="00EE687C"/>
    <w:rsid w:val="00EE77A0"/>
    <w:rsid w:val="00EF1139"/>
    <w:rsid w:val="00EF2FE1"/>
    <w:rsid w:val="00EF3612"/>
    <w:rsid w:val="00EF41E0"/>
    <w:rsid w:val="00EF4376"/>
    <w:rsid w:val="00EF4586"/>
    <w:rsid w:val="00EF50BB"/>
    <w:rsid w:val="00EF53FF"/>
    <w:rsid w:val="00EF6A50"/>
    <w:rsid w:val="00EF6FF2"/>
    <w:rsid w:val="00EF7159"/>
    <w:rsid w:val="00F00192"/>
    <w:rsid w:val="00F004AB"/>
    <w:rsid w:val="00F01DF6"/>
    <w:rsid w:val="00F0340D"/>
    <w:rsid w:val="00F0366E"/>
    <w:rsid w:val="00F0423B"/>
    <w:rsid w:val="00F04461"/>
    <w:rsid w:val="00F059A6"/>
    <w:rsid w:val="00F10718"/>
    <w:rsid w:val="00F10C93"/>
    <w:rsid w:val="00F10FC0"/>
    <w:rsid w:val="00F130D3"/>
    <w:rsid w:val="00F130E2"/>
    <w:rsid w:val="00F131EA"/>
    <w:rsid w:val="00F13D35"/>
    <w:rsid w:val="00F14623"/>
    <w:rsid w:val="00F1563A"/>
    <w:rsid w:val="00F1569A"/>
    <w:rsid w:val="00F17208"/>
    <w:rsid w:val="00F17296"/>
    <w:rsid w:val="00F20ACE"/>
    <w:rsid w:val="00F214C0"/>
    <w:rsid w:val="00F224CF"/>
    <w:rsid w:val="00F23756"/>
    <w:rsid w:val="00F2419E"/>
    <w:rsid w:val="00F2427E"/>
    <w:rsid w:val="00F24531"/>
    <w:rsid w:val="00F24746"/>
    <w:rsid w:val="00F24C8B"/>
    <w:rsid w:val="00F25194"/>
    <w:rsid w:val="00F2523A"/>
    <w:rsid w:val="00F25355"/>
    <w:rsid w:val="00F25FFA"/>
    <w:rsid w:val="00F267EB"/>
    <w:rsid w:val="00F26806"/>
    <w:rsid w:val="00F26A30"/>
    <w:rsid w:val="00F27049"/>
    <w:rsid w:val="00F2721E"/>
    <w:rsid w:val="00F310D2"/>
    <w:rsid w:val="00F31434"/>
    <w:rsid w:val="00F3269D"/>
    <w:rsid w:val="00F34AB6"/>
    <w:rsid w:val="00F34D5F"/>
    <w:rsid w:val="00F36F3D"/>
    <w:rsid w:val="00F3771F"/>
    <w:rsid w:val="00F37835"/>
    <w:rsid w:val="00F40D14"/>
    <w:rsid w:val="00F42B69"/>
    <w:rsid w:val="00F43855"/>
    <w:rsid w:val="00F43A36"/>
    <w:rsid w:val="00F43F52"/>
    <w:rsid w:val="00F44541"/>
    <w:rsid w:val="00F44F79"/>
    <w:rsid w:val="00F45F0F"/>
    <w:rsid w:val="00F45F7B"/>
    <w:rsid w:val="00F477BD"/>
    <w:rsid w:val="00F47E50"/>
    <w:rsid w:val="00F52128"/>
    <w:rsid w:val="00F52EE9"/>
    <w:rsid w:val="00F530B6"/>
    <w:rsid w:val="00F53351"/>
    <w:rsid w:val="00F53491"/>
    <w:rsid w:val="00F5417E"/>
    <w:rsid w:val="00F54B0D"/>
    <w:rsid w:val="00F5523F"/>
    <w:rsid w:val="00F5727E"/>
    <w:rsid w:val="00F576F8"/>
    <w:rsid w:val="00F6012E"/>
    <w:rsid w:val="00F60AF1"/>
    <w:rsid w:val="00F60C1A"/>
    <w:rsid w:val="00F61806"/>
    <w:rsid w:val="00F62416"/>
    <w:rsid w:val="00F63254"/>
    <w:rsid w:val="00F6327D"/>
    <w:rsid w:val="00F638F0"/>
    <w:rsid w:val="00F64430"/>
    <w:rsid w:val="00F658E8"/>
    <w:rsid w:val="00F65A1C"/>
    <w:rsid w:val="00F65ADF"/>
    <w:rsid w:val="00F66F50"/>
    <w:rsid w:val="00F66F59"/>
    <w:rsid w:val="00F72D94"/>
    <w:rsid w:val="00F72DCB"/>
    <w:rsid w:val="00F731D8"/>
    <w:rsid w:val="00F7365A"/>
    <w:rsid w:val="00F7370F"/>
    <w:rsid w:val="00F7395B"/>
    <w:rsid w:val="00F73980"/>
    <w:rsid w:val="00F73B5C"/>
    <w:rsid w:val="00F73C73"/>
    <w:rsid w:val="00F73FD2"/>
    <w:rsid w:val="00F74FEC"/>
    <w:rsid w:val="00F7512D"/>
    <w:rsid w:val="00F768C4"/>
    <w:rsid w:val="00F76AB0"/>
    <w:rsid w:val="00F77725"/>
    <w:rsid w:val="00F7797D"/>
    <w:rsid w:val="00F80CA8"/>
    <w:rsid w:val="00F80F1B"/>
    <w:rsid w:val="00F81B3F"/>
    <w:rsid w:val="00F82DF9"/>
    <w:rsid w:val="00F82FF8"/>
    <w:rsid w:val="00F8330D"/>
    <w:rsid w:val="00F83423"/>
    <w:rsid w:val="00F83520"/>
    <w:rsid w:val="00F839FE"/>
    <w:rsid w:val="00F83DEC"/>
    <w:rsid w:val="00F84305"/>
    <w:rsid w:val="00F846E8"/>
    <w:rsid w:val="00F8472A"/>
    <w:rsid w:val="00F8485C"/>
    <w:rsid w:val="00F852BC"/>
    <w:rsid w:val="00F85A05"/>
    <w:rsid w:val="00F8613A"/>
    <w:rsid w:val="00F8641A"/>
    <w:rsid w:val="00F87149"/>
    <w:rsid w:val="00F876B7"/>
    <w:rsid w:val="00F87C83"/>
    <w:rsid w:val="00F87FFE"/>
    <w:rsid w:val="00F9004A"/>
    <w:rsid w:val="00F900BE"/>
    <w:rsid w:val="00F90688"/>
    <w:rsid w:val="00F90854"/>
    <w:rsid w:val="00F9167B"/>
    <w:rsid w:val="00F91923"/>
    <w:rsid w:val="00F93026"/>
    <w:rsid w:val="00F93E5A"/>
    <w:rsid w:val="00F9494D"/>
    <w:rsid w:val="00F94F52"/>
    <w:rsid w:val="00F94FAA"/>
    <w:rsid w:val="00F954C9"/>
    <w:rsid w:val="00F9589B"/>
    <w:rsid w:val="00F95A29"/>
    <w:rsid w:val="00F96372"/>
    <w:rsid w:val="00F97D9F"/>
    <w:rsid w:val="00FA0AF9"/>
    <w:rsid w:val="00FA0D27"/>
    <w:rsid w:val="00FA1545"/>
    <w:rsid w:val="00FA1AAE"/>
    <w:rsid w:val="00FA1BF3"/>
    <w:rsid w:val="00FA242F"/>
    <w:rsid w:val="00FA36DC"/>
    <w:rsid w:val="00FA3951"/>
    <w:rsid w:val="00FA446D"/>
    <w:rsid w:val="00FA4CF0"/>
    <w:rsid w:val="00FA61AA"/>
    <w:rsid w:val="00FA69A4"/>
    <w:rsid w:val="00FA7110"/>
    <w:rsid w:val="00FA726F"/>
    <w:rsid w:val="00FA796C"/>
    <w:rsid w:val="00FA7FD3"/>
    <w:rsid w:val="00FB027E"/>
    <w:rsid w:val="00FB1279"/>
    <w:rsid w:val="00FB1495"/>
    <w:rsid w:val="00FB2F8A"/>
    <w:rsid w:val="00FB3A79"/>
    <w:rsid w:val="00FB4193"/>
    <w:rsid w:val="00FB42FD"/>
    <w:rsid w:val="00FB4F7D"/>
    <w:rsid w:val="00FB60FB"/>
    <w:rsid w:val="00FB656E"/>
    <w:rsid w:val="00FB7001"/>
    <w:rsid w:val="00FB727C"/>
    <w:rsid w:val="00FB7D7D"/>
    <w:rsid w:val="00FC2EBF"/>
    <w:rsid w:val="00FC30E9"/>
    <w:rsid w:val="00FC3206"/>
    <w:rsid w:val="00FC456A"/>
    <w:rsid w:val="00FC4781"/>
    <w:rsid w:val="00FC510B"/>
    <w:rsid w:val="00FC55DE"/>
    <w:rsid w:val="00FC6381"/>
    <w:rsid w:val="00FC66F5"/>
    <w:rsid w:val="00FC7086"/>
    <w:rsid w:val="00FC7BEC"/>
    <w:rsid w:val="00FC7EAE"/>
    <w:rsid w:val="00FD0399"/>
    <w:rsid w:val="00FD1444"/>
    <w:rsid w:val="00FD1694"/>
    <w:rsid w:val="00FD213D"/>
    <w:rsid w:val="00FD3A6E"/>
    <w:rsid w:val="00FD3FCD"/>
    <w:rsid w:val="00FD43F1"/>
    <w:rsid w:val="00FD548D"/>
    <w:rsid w:val="00FD57D4"/>
    <w:rsid w:val="00FD61A8"/>
    <w:rsid w:val="00FD6400"/>
    <w:rsid w:val="00FD66CA"/>
    <w:rsid w:val="00FD6893"/>
    <w:rsid w:val="00FD7636"/>
    <w:rsid w:val="00FD79B3"/>
    <w:rsid w:val="00FD7BC2"/>
    <w:rsid w:val="00FD7D0F"/>
    <w:rsid w:val="00FE3229"/>
    <w:rsid w:val="00FE38EA"/>
    <w:rsid w:val="00FE3ED1"/>
    <w:rsid w:val="00FE3F30"/>
    <w:rsid w:val="00FE4022"/>
    <w:rsid w:val="00FE4DEB"/>
    <w:rsid w:val="00FE5EA0"/>
    <w:rsid w:val="00FE707B"/>
    <w:rsid w:val="00FE718A"/>
    <w:rsid w:val="00FE74C3"/>
    <w:rsid w:val="00FE75E7"/>
    <w:rsid w:val="00FF01DD"/>
    <w:rsid w:val="00FF1AB8"/>
    <w:rsid w:val="00FF215C"/>
    <w:rsid w:val="00FF345A"/>
    <w:rsid w:val="00FF43C8"/>
    <w:rsid w:val="00FF49E8"/>
    <w:rsid w:val="00FF5183"/>
    <w:rsid w:val="00FF560F"/>
    <w:rsid w:val="00FF5F36"/>
    <w:rsid w:val="00FF672F"/>
    <w:rsid w:val="00FF6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2572"/>
  <w15:docId w15:val="{1147CC78-F24B-4BF7-B911-44D1E726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E8"/>
    <w:pPr>
      <w:spacing w:before="120" w:after="120"/>
    </w:pPr>
    <w:rPr>
      <w:sz w:val="22"/>
      <w:szCs w:val="22"/>
      <w:lang w:eastAsia="en-US"/>
    </w:rPr>
  </w:style>
  <w:style w:type="paragraph" w:styleId="Heading1">
    <w:name w:val="heading 1"/>
    <w:basedOn w:val="Normal"/>
    <w:next w:val="Normal"/>
    <w:link w:val="Heading1Char"/>
    <w:qFormat/>
    <w:rsid w:val="00B05CDE"/>
    <w:pPr>
      <w:keepNext/>
      <w:spacing w:before="0" w:after="200" w:line="276" w:lineRule="auto"/>
      <w:outlineLvl w:val="0"/>
    </w:pPr>
    <w:rPr>
      <w:rFonts w:ascii="Times New Roman" w:hAnsi="Times New Roman" w:cs="Arial"/>
      <w:b/>
      <w:caps/>
      <w:sz w:val="24"/>
    </w:rPr>
  </w:style>
  <w:style w:type="paragraph" w:styleId="Heading2">
    <w:name w:val="heading 2"/>
    <w:basedOn w:val="Normal"/>
    <w:next w:val="Normal"/>
    <w:link w:val="Heading2Char"/>
    <w:uiPriority w:val="9"/>
    <w:qFormat/>
    <w:rsid w:val="00CC1027"/>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6">
    <w:name w:val="heading 6"/>
    <w:basedOn w:val="Normal"/>
    <w:next w:val="Normal"/>
    <w:link w:val="Heading6Char"/>
    <w:qFormat/>
    <w:rsid w:val="00B6012C"/>
    <w:pPr>
      <w:spacing w:before="240" w:after="60"/>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B6012C"/>
    <w:pPr>
      <w:keepNext/>
      <w:autoSpaceDE w:val="0"/>
      <w:autoSpaceDN w:val="0"/>
      <w:spacing w:after="0"/>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B05CDE"/>
    <w:rPr>
      <w:rFonts w:ascii="Times New Roman" w:hAnsi="Times New Roman" w:cs="Arial"/>
      <w:b/>
      <w:caps/>
      <w:sz w:val="24"/>
      <w:szCs w:val="22"/>
      <w:lang w:eastAsia="en-US"/>
    </w:rPr>
  </w:style>
  <w:style w:type="character" w:customStyle="1" w:styleId="Heading2Char">
    <w:name w:val="Heading 2 Char"/>
    <w:basedOn w:val="DefaultParagraphFont"/>
    <w:link w:val="Heading2"/>
    <w:uiPriority w:val="9"/>
    <w:rsid w:val="00CC1027"/>
    <w:rPr>
      <w:rFonts w:cs="Arial"/>
      <w:b/>
      <w:sz w:val="22"/>
      <w:szCs w:val="22"/>
      <w:lang w:eastAsia="en-US"/>
    </w:rPr>
  </w:style>
  <w:style w:type="character" w:customStyle="1" w:styleId="Heading3Char">
    <w:name w:val="Heading 3 Char"/>
    <w:basedOn w:val="DefaultParagraphFont"/>
    <w:link w:val="Heading3"/>
    <w:rsid w:val="000E31C1"/>
    <w:rPr>
      <w:rFonts w:cs="Arial"/>
      <w:b/>
      <w:i/>
      <w:sz w:val="22"/>
      <w:szCs w:val="22"/>
      <w:lang w:eastAsia="en-US"/>
    </w:rPr>
  </w:style>
  <w:style w:type="character" w:customStyle="1" w:styleId="Heading4Char">
    <w:name w:val="Heading 4 Char"/>
    <w:basedOn w:val="DefaultParagraphFont"/>
    <w:link w:val="Heading4"/>
    <w:rsid w:val="000E31C1"/>
    <w:rPr>
      <w:rFonts w:cs="Arial"/>
      <w:i/>
      <w:sz w:val="22"/>
      <w:szCs w:val="22"/>
      <w:lang w:eastAsia="en-US"/>
    </w:rPr>
  </w:style>
  <w:style w:type="paragraph" w:styleId="ListBullet">
    <w:name w:val="List Bullet"/>
    <w:basedOn w:val="Normal"/>
    <w:uiPriority w:val="99"/>
    <w:unhideWhenUsed/>
    <w:qFormat/>
    <w:rsid w:val="00CC1027"/>
    <w:pPr>
      <w:numPr>
        <w:numId w:val="6"/>
      </w:numPr>
      <w:spacing w:before="60" w:after="60" w:line="276" w:lineRule="auto"/>
      <w:ind w:left="357" w:hanging="357"/>
      <w:contextualSpacing/>
    </w:pPr>
    <w:rPr>
      <w:rFonts w:cs="Arial"/>
      <w:sz w:val="20"/>
      <w:szCs w:val="18"/>
    </w:rPr>
  </w:style>
  <w:style w:type="paragraph" w:styleId="ListBullet2">
    <w:name w:val="List Bullet 2"/>
    <w:basedOn w:val="Normal"/>
    <w:uiPriority w:val="99"/>
    <w:unhideWhenUsed/>
    <w:rsid w:val="00CC1027"/>
    <w:pPr>
      <w:numPr>
        <w:numId w:val="11"/>
      </w:numPr>
      <w:spacing w:before="60" w:after="60" w:line="276" w:lineRule="auto"/>
      <w:ind w:left="357" w:hanging="357"/>
      <w:contextualSpacing/>
    </w:pPr>
    <w:rPr>
      <w:sz w:val="20"/>
    </w:rPr>
  </w:style>
  <w:style w:type="paragraph" w:styleId="ListBullet3">
    <w:name w:val="List Bullet 3"/>
    <w:basedOn w:val="Normal"/>
    <w:uiPriority w:val="99"/>
    <w:unhideWhenUsed/>
    <w:rsid w:val="00091608"/>
    <w:pPr>
      <w:numPr>
        <w:ilvl w:val="2"/>
        <w:numId w:val="9"/>
      </w:numPr>
    </w:pPr>
  </w:style>
  <w:style w:type="paragraph" w:styleId="ListBullet4">
    <w:name w:val="List Bullet 4"/>
    <w:basedOn w:val="Normal"/>
    <w:uiPriority w:val="99"/>
    <w:unhideWhenUsed/>
    <w:rsid w:val="00091608"/>
    <w:pPr>
      <w:numPr>
        <w:ilvl w:val="3"/>
        <w:numId w:val="9"/>
      </w:numPr>
    </w:pPr>
  </w:style>
  <w:style w:type="paragraph" w:styleId="ListBullet5">
    <w:name w:val="List Bullet 5"/>
    <w:basedOn w:val="Normal"/>
    <w:uiPriority w:val="99"/>
    <w:unhideWhenUsed/>
    <w:rsid w:val="00091608"/>
    <w:pPr>
      <w:numPr>
        <w:ilvl w:val="4"/>
        <w:numId w:val="9"/>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subsection"/>
    <w:uiPriority w:val="99"/>
    <w:qFormat/>
    <w:rsid w:val="00CC1027"/>
    <w:pPr>
      <w:spacing w:before="60" w:after="60" w:line="276" w:lineRule="auto"/>
      <w:ind w:left="720" w:hanging="720"/>
      <w:contextualSpacing/>
    </w:pPr>
    <w:rPr>
      <w:rFonts w:ascii="Arial" w:hAnsi="Arial" w:cs="Arial"/>
      <w:sz w:val="20"/>
    </w:rPr>
  </w:style>
  <w:style w:type="paragraph" w:styleId="ListNumber2">
    <w:name w:val="List Number 2"/>
    <w:basedOn w:val="paragraph"/>
    <w:uiPriority w:val="99"/>
    <w:rsid w:val="00CC1027"/>
    <w:pPr>
      <w:spacing w:before="60" w:after="60" w:line="276" w:lineRule="auto"/>
      <w:ind w:left="738" w:hanging="369"/>
      <w:contextualSpacing/>
    </w:pPr>
    <w:rPr>
      <w:rFonts w:ascii="Arial" w:hAnsi="Arial" w:cs="Arial"/>
      <w:noProof/>
      <w:sz w:val="20"/>
    </w:rPr>
  </w:style>
  <w:style w:type="paragraph" w:styleId="ListNumber3">
    <w:name w:val="List Number 3"/>
    <w:basedOn w:val="Normal"/>
    <w:uiPriority w:val="99"/>
    <w:rsid w:val="00CC1027"/>
    <w:pPr>
      <w:spacing w:before="60" w:after="60"/>
      <w:ind w:left="1089" w:hanging="369"/>
      <w:contextualSpacing/>
    </w:pPr>
    <w:rPr>
      <w:rFonts w:cs="Arial"/>
      <w:sz w:val="20"/>
      <w:szCs w:val="20"/>
    </w:r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B6012C"/>
    <w:rPr>
      <w:rFonts w:ascii="Times New Roman" w:eastAsia="Times New Roman" w:hAnsi="Times New Roman"/>
      <w:b/>
      <w:bCs/>
      <w:sz w:val="22"/>
      <w:szCs w:val="22"/>
    </w:rPr>
  </w:style>
  <w:style w:type="character" w:customStyle="1" w:styleId="Heading7Char">
    <w:name w:val="Heading 7 Char"/>
    <w:basedOn w:val="DefaultParagraphFont"/>
    <w:link w:val="Heading7"/>
    <w:rsid w:val="00B6012C"/>
    <w:rPr>
      <w:rFonts w:ascii="Times New Roman" w:eastAsia="Times New Roman" w:hAnsi="Times New Roman"/>
      <w:b/>
      <w:bCs/>
      <w:szCs w:val="24"/>
      <w:lang w:val="en-GB" w:eastAsia="en-US"/>
    </w:rPr>
  </w:style>
  <w:style w:type="paragraph" w:styleId="BodyTextIndent3">
    <w:name w:val="Body Text Indent 3"/>
    <w:basedOn w:val="Normal"/>
    <w:link w:val="BodyTextIndent3Char"/>
    <w:rsid w:val="00B6012C"/>
    <w:pPr>
      <w:ind w:left="283"/>
    </w:pPr>
    <w:rPr>
      <w:rFonts w:ascii="Times New Roman" w:eastAsia="Times New Roman" w:hAnsi="Times New Roman"/>
      <w:sz w:val="16"/>
      <w:szCs w:val="16"/>
      <w:lang w:eastAsia="en-AU"/>
    </w:rPr>
  </w:style>
  <w:style w:type="character" w:customStyle="1" w:styleId="BodyTextIndent3Char">
    <w:name w:val="Body Text Indent 3 Char"/>
    <w:basedOn w:val="DefaultParagraphFont"/>
    <w:link w:val="BodyTextIndent3"/>
    <w:rsid w:val="00B6012C"/>
    <w:rPr>
      <w:rFonts w:ascii="Times New Roman" w:eastAsia="Times New Roman" w:hAnsi="Times New Roman"/>
      <w:sz w:val="16"/>
      <w:szCs w:val="16"/>
    </w:rPr>
  </w:style>
  <w:style w:type="paragraph" w:styleId="NormalWeb">
    <w:name w:val="Normal (Web)"/>
    <w:basedOn w:val="Normal"/>
    <w:uiPriority w:val="99"/>
    <w:rsid w:val="00B6012C"/>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normal-dot">
    <w:name w:val="normal-dot"/>
    <w:basedOn w:val="Normal"/>
    <w:rsid w:val="00B6012C"/>
    <w:pPr>
      <w:tabs>
        <w:tab w:val="num" w:pos="360"/>
      </w:tabs>
      <w:spacing w:after="0"/>
      <w:ind w:left="357" w:hanging="357"/>
    </w:pPr>
    <w:rPr>
      <w:rFonts w:ascii="Times New Roman" w:eastAsia="Times New Roman" w:hAnsi="Times New Roman"/>
      <w:szCs w:val="20"/>
    </w:rPr>
  </w:style>
  <w:style w:type="paragraph" w:styleId="BodyText2">
    <w:name w:val="Body Text 2"/>
    <w:basedOn w:val="Normal"/>
    <w:link w:val="BodyText2Char"/>
    <w:rsid w:val="00B6012C"/>
    <w:pPr>
      <w:spacing w:after="0"/>
    </w:pPr>
    <w:rPr>
      <w:rFonts w:ascii="Times New Roman" w:eastAsia="Times New Roman" w:hAnsi="Times New Roman"/>
      <w:bCs/>
      <w:i/>
      <w:sz w:val="24"/>
      <w:szCs w:val="24"/>
      <w:lang w:val="en-US"/>
    </w:rPr>
  </w:style>
  <w:style w:type="character" w:customStyle="1" w:styleId="BodyText2Char">
    <w:name w:val="Body Text 2 Char"/>
    <w:basedOn w:val="DefaultParagraphFont"/>
    <w:link w:val="BodyText2"/>
    <w:rsid w:val="00B6012C"/>
    <w:rPr>
      <w:rFonts w:ascii="Times New Roman" w:eastAsia="Times New Roman" w:hAnsi="Times New Roman"/>
      <w:bCs/>
      <w:i/>
      <w:sz w:val="24"/>
      <w:szCs w:val="24"/>
      <w:lang w:val="en-US" w:eastAsia="en-US"/>
    </w:rPr>
  </w:style>
  <w:style w:type="paragraph" w:styleId="PlainText">
    <w:name w:val="Plain Text"/>
    <w:basedOn w:val="Normal"/>
    <w:link w:val="PlainTextChar"/>
    <w:rsid w:val="001F4207"/>
    <w:pPr>
      <w:autoSpaceDE w:val="0"/>
      <w:autoSpaceDN w:val="0"/>
      <w:contextualSpacing/>
    </w:pPr>
    <w:rPr>
      <w:rFonts w:eastAsia="Times New Roman" w:cs="Courier New"/>
      <w:sz w:val="20"/>
      <w:szCs w:val="24"/>
      <w:lang w:val="en-GB"/>
    </w:rPr>
  </w:style>
  <w:style w:type="character" w:customStyle="1" w:styleId="PlainTextChar">
    <w:name w:val="Plain Text Char"/>
    <w:basedOn w:val="DefaultParagraphFont"/>
    <w:link w:val="PlainText"/>
    <w:rsid w:val="001F4207"/>
    <w:rPr>
      <w:rFonts w:eastAsia="Times New Roman" w:cs="Courier New"/>
      <w:szCs w:val="24"/>
      <w:lang w:val="en-GB" w:eastAsia="en-US"/>
    </w:rPr>
  </w:style>
  <w:style w:type="character" w:styleId="CommentReference">
    <w:name w:val="annotation reference"/>
    <w:basedOn w:val="DefaultParagraphFont"/>
    <w:semiHidden/>
    <w:rsid w:val="00B6012C"/>
    <w:rPr>
      <w:sz w:val="16"/>
      <w:szCs w:val="16"/>
    </w:rPr>
  </w:style>
  <w:style w:type="paragraph" w:styleId="CommentText">
    <w:name w:val="annotation text"/>
    <w:basedOn w:val="Normal"/>
    <w:link w:val="CommentTextChar"/>
    <w:semiHidden/>
    <w:rsid w:val="00B6012C"/>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semiHidden/>
    <w:rsid w:val="00B6012C"/>
    <w:rPr>
      <w:rFonts w:ascii="Times New Roman" w:eastAsia="Times New Roman" w:hAnsi="Times New Roman"/>
    </w:rPr>
  </w:style>
  <w:style w:type="character" w:styleId="Emphasis">
    <w:name w:val="Emphasis"/>
    <w:basedOn w:val="DefaultParagraphFont"/>
    <w:uiPriority w:val="20"/>
    <w:qFormat/>
    <w:rsid w:val="00B6012C"/>
    <w:rPr>
      <w:i/>
      <w:iCs/>
    </w:rPr>
  </w:style>
  <w:style w:type="character" w:styleId="FootnoteReference">
    <w:name w:val="footnote reference"/>
    <w:basedOn w:val="DefaultParagraphFont"/>
    <w:uiPriority w:val="99"/>
    <w:semiHidden/>
    <w:rsid w:val="00B6012C"/>
    <w:rPr>
      <w:vertAlign w:val="superscript"/>
    </w:rPr>
  </w:style>
  <w:style w:type="paragraph" w:styleId="FootnoteText">
    <w:name w:val="footnote text"/>
    <w:basedOn w:val="Normal"/>
    <w:link w:val="FootnoteTextChar"/>
    <w:uiPriority w:val="99"/>
    <w:semiHidden/>
    <w:rsid w:val="00B6012C"/>
    <w:pPr>
      <w:autoSpaceDE w:val="0"/>
      <w:autoSpaceDN w:val="0"/>
      <w:spacing w:after="0"/>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B6012C"/>
    <w:rPr>
      <w:rFonts w:ascii="Times New Roman" w:eastAsia="Times New Roman" w:hAnsi="Times New Roman"/>
      <w:szCs w:val="24"/>
      <w:lang w:val="en-GB" w:eastAsia="en-US"/>
    </w:rPr>
  </w:style>
  <w:style w:type="character" w:styleId="Hyperlink">
    <w:name w:val="Hyperlink"/>
    <w:basedOn w:val="DefaultParagraphFont"/>
    <w:uiPriority w:val="99"/>
    <w:rsid w:val="00B6012C"/>
    <w:rPr>
      <w:color w:val="0000FF"/>
      <w:u w:val="single"/>
    </w:rPr>
  </w:style>
  <w:style w:type="paragraph" w:styleId="DocumentMap">
    <w:name w:val="Document Map"/>
    <w:basedOn w:val="Normal"/>
    <w:link w:val="DocumentMapChar"/>
    <w:semiHidden/>
    <w:rsid w:val="00B6012C"/>
    <w:pPr>
      <w:shd w:val="clear" w:color="auto" w:fill="000080"/>
      <w:spacing w:after="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6012C"/>
    <w:rPr>
      <w:rFonts w:ascii="Tahoma" w:eastAsia="Times New Roman" w:hAnsi="Tahoma" w:cs="Tahoma"/>
      <w:shd w:val="clear" w:color="auto" w:fill="000080"/>
    </w:rPr>
  </w:style>
  <w:style w:type="character" w:styleId="PageNumber">
    <w:name w:val="page number"/>
    <w:basedOn w:val="DefaultParagraphFont"/>
    <w:rsid w:val="00B6012C"/>
  </w:style>
  <w:style w:type="paragraph" w:styleId="CommentSubject">
    <w:name w:val="annotation subject"/>
    <w:basedOn w:val="CommentText"/>
    <w:next w:val="CommentText"/>
    <w:link w:val="CommentSubjectChar"/>
    <w:semiHidden/>
    <w:rsid w:val="00B6012C"/>
    <w:rPr>
      <w:b/>
      <w:bCs/>
    </w:rPr>
  </w:style>
  <w:style w:type="character" w:customStyle="1" w:styleId="CommentSubjectChar">
    <w:name w:val="Comment Subject Char"/>
    <w:basedOn w:val="CommentTextChar"/>
    <w:link w:val="CommentSubject"/>
    <w:semiHidden/>
    <w:rsid w:val="00B6012C"/>
    <w:rPr>
      <w:rFonts w:ascii="Times New Roman" w:eastAsia="Times New Roman" w:hAnsi="Times New Roman"/>
      <w:b/>
      <w:bCs/>
    </w:rPr>
  </w:style>
  <w:style w:type="paragraph" w:customStyle="1" w:styleId="BodyText1">
    <w:name w:val="Body Text1"/>
    <w:basedOn w:val="Normal"/>
    <w:rsid w:val="00B6012C"/>
    <w:pPr>
      <w:spacing w:line="240" w:lineRule="atLeast"/>
      <w:jc w:val="both"/>
    </w:pPr>
    <w:rPr>
      <w:rFonts w:eastAsia="Times New Roman"/>
      <w:szCs w:val="20"/>
    </w:rPr>
  </w:style>
  <w:style w:type="paragraph" w:styleId="TOCHeading">
    <w:name w:val="TOC Heading"/>
    <w:basedOn w:val="Heading1"/>
    <w:next w:val="Normal"/>
    <w:uiPriority w:val="39"/>
    <w:unhideWhenUsed/>
    <w:qFormat/>
    <w:rsid w:val="00B05CDE"/>
    <w:pPr>
      <w:keepLines/>
      <w:outlineLvl w:val="9"/>
    </w:pPr>
    <w:rPr>
      <w:rFonts w:eastAsia="Times New Roman" w:cs="Times New Roman"/>
      <w:bCs/>
      <w:caps w:val="0"/>
      <w:sz w:val="28"/>
      <w:szCs w:val="28"/>
      <w:lang w:val="en-US"/>
    </w:rPr>
  </w:style>
  <w:style w:type="paragraph" w:styleId="TOC1">
    <w:name w:val="toc 1"/>
    <w:basedOn w:val="Normal"/>
    <w:next w:val="Normal"/>
    <w:autoRedefine/>
    <w:uiPriority w:val="39"/>
    <w:unhideWhenUsed/>
    <w:rsid w:val="00433FCA"/>
    <w:pPr>
      <w:tabs>
        <w:tab w:val="right" w:leader="dot" w:pos="8931"/>
      </w:tabs>
      <w:spacing w:before="0" w:after="200" w:line="276" w:lineRule="auto"/>
      <w:ind w:left="992" w:hanging="992"/>
    </w:pPr>
    <w:rPr>
      <w:rFonts w:ascii="Times New Roman" w:eastAsia="Times New Roman" w:hAnsi="Times New Roman"/>
      <w:noProof/>
      <w:sz w:val="24"/>
      <w:szCs w:val="24"/>
      <w:lang w:eastAsia="en-AU"/>
    </w:rPr>
  </w:style>
  <w:style w:type="paragraph" w:customStyle="1" w:styleId="Default">
    <w:name w:val="Default"/>
    <w:rsid w:val="00B6012C"/>
    <w:pPr>
      <w:autoSpaceDE w:val="0"/>
      <w:autoSpaceDN w:val="0"/>
      <w:adjustRightInd w:val="0"/>
    </w:pPr>
    <w:rPr>
      <w:rFonts w:ascii="Times New Roman" w:hAnsi="Times New Roman"/>
      <w:color w:val="000000"/>
      <w:sz w:val="24"/>
      <w:szCs w:val="24"/>
      <w:lang w:eastAsia="en-US"/>
    </w:rPr>
  </w:style>
  <w:style w:type="numbering" w:customStyle="1" w:styleId="BulletList1">
    <w:name w:val="Bullet List1"/>
    <w:uiPriority w:val="99"/>
    <w:rsid w:val="00CA5BD9"/>
  </w:style>
  <w:style w:type="table" w:customStyle="1" w:styleId="TableGrid1">
    <w:name w:val="Table Grid1"/>
    <w:basedOn w:val="TableNormal"/>
    <w:next w:val="TableGrid"/>
    <w:uiPriority w:val="59"/>
    <w:rsid w:val="009F053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character" w:customStyle="1" w:styleId="textinfo1">
    <w:name w:val="textinfo1"/>
    <w:basedOn w:val="DefaultParagraphFont"/>
    <w:rsid w:val="00AB194A"/>
    <w:rPr>
      <w:rFonts w:ascii="Arial" w:hAnsi="Arial" w:cs="Arial" w:hint="default"/>
      <w:b w:val="0"/>
      <w:bCs w:val="0"/>
      <w:color w:val="000000"/>
      <w:sz w:val="24"/>
      <w:szCs w:val="24"/>
    </w:rPr>
  </w:style>
  <w:style w:type="paragraph" w:styleId="TOC3">
    <w:name w:val="toc 3"/>
    <w:basedOn w:val="Normal"/>
    <w:next w:val="Normal"/>
    <w:autoRedefine/>
    <w:uiPriority w:val="39"/>
    <w:unhideWhenUsed/>
    <w:rsid w:val="00216DC7"/>
    <w:pPr>
      <w:spacing w:after="100"/>
      <w:ind w:left="440"/>
    </w:pPr>
  </w:style>
  <w:style w:type="paragraph" w:styleId="TOC2">
    <w:name w:val="toc 2"/>
    <w:basedOn w:val="Normal"/>
    <w:next w:val="Normal"/>
    <w:autoRedefine/>
    <w:uiPriority w:val="39"/>
    <w:unhideWhenUsed/>
    <w:rsid w:val="00433FCA"/>
    <w:pPr>
      <w:tabs>
        <w:tab w:val="right" w:leader="dot" w:pos="9202"/>
      </w:tabs>
      <w:spacing w:before="0" w:after="200" w:line="276" w:lineRule="auto"/>
      <w:ind w:left="426"/>
      <w:jc w:val="both"/>
    </w:pPr>
    <w:rPr>
      <w:rFonts w:ascii="Times New Roman" w:eastAsiaTheme="minorEastAsia" w:hAnsi="Times New Roman"/>
      <w:lang w:val="en-US"/>
    </w:rPr>
  </w:style>
  <w:style w:type="paragraph" w:styleId="Revision">
    <w:name w:val="Revision"/>
    <w:hidden/>
    <w:uiPriority w:val="99"/>
    <w:semiHidden/>
    <w:rsid w:val="00310F46"/>
    <w:rPr>
      <w:sz w:val="22"/>
      <w:szCs w:val="22"/>
      <w:lang w:eastAsia="en-US"/>
    </w:rPr>
  </w:style>
  <w:style w:type="paragraph" w:customStyle="1" w:styleId="paragraph">
    <w:name w:val="paragraph"/>
    <w:aliases w:val="a"/>
    <w:basedOn w:val="Normal"/>
    <w:link w:val="paragraphChar"/>
    <w:rsid w:val="009A1276"/>
    <w:pPr>
      <w:tabs>
        <w:tab w:val="right" w:pos="1531"/>
      </w:tabs>
      <w:spacing w:before="40" w:after="0"/>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9A1276"/>
    <w:rPr>
      <w:rFonts w:ascii="Times New Roman" w:eastAsia="Times New Roman" w:hAnsi="Times New Roman"/>
      <w:sz w:val="22"/>
    </w:rPr>
  </w:style>
  <w:style w:type="paragraph" w:customStyle="1" w:styleId="subsection">
    <w:name w:val="subsection"/>
    <w:aliases w:val="ss"/>
    <w:basedOn w:val="Normal"/>
    <w:link w:val="subsectionChar"/>
    <w:rsid w:val="00215FE3"/>
    <w:pPr>
      <w:tabs>
        <w:tab w:val="right" w:pos="1021"/>
      </w:tabs>
      <w:spacing w:before="180" w:after="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215FE3"/>
    <w:rPr>
      <w:rFonts w:ascii="Times New Roman" w:eastAsia="Times New Roman" w:hAnsi="Times New Roman"/>
      <w:sz w:val="22"/>
    </w:rPr>
  </w:style>
  <w:style w:type="paragraph" w:customStyle="1" w:styleId="subsection2">
    <w:name w:val="subsection2"/>
    <w:aliases w:val="ss2"/>
    <w:basedOn w:val="Normal"/>
    <w:next w:val="subsection"/>
    <w:link w:val="subsection2Char"/>
    <w:rsid w:val="00306B34"/>
    <w:pPr>
      <w:spacing w:before="40" w:after="0"/>
      <w:ind w:left="1134"/>
    </w:pPr>
    <w:rPr>
      <w:rFonts w:ascii="Times New Roman" w:eastAsia="Times New Roman" w:hAnsi="Times New Roman"/>
      <w:szCs w:val="20"/>
      <w:lang w:eastAsia="en-AU"/>
    </w:rPr>
  </w:style>
  <w:style w:type="character" w:customStyle="1" w:styleId="subsection2Char">
    <w:name w:val="subsection2 Char"/>
    <w:aliases w:val="ss2 Char"/>
    <w:link w:val="subsection2"/>
    <w:rsid w:val="00306B34"/>
    <w:rPr>
      <w:rFonts w:ascii="Times New Roman" w:eastAsia="Times New Roman" w:hAnsi="Times New Roman"/>
      <w:sz w:val="22"/>
    </w:rPr>
  </w:style>
  <w:style w:type="paragraph" w:customStyle="1" w:styleId="paragraphsub">
    <w:name w:val="paragraph(sub)"/>
    <w:aliases w:val="aa"/>
    <w:basedOn w:val="Normal"/>
    <w:rsid w:val="00807BB8"/>
    <w:pPr>
      <w:tabs>
        <w:tab w:val="right" w:pos="1985"/>
      </w:tabs>
      <w:spacing w:before="40" w:after="0"/>
      <w:ind w:left="2098" w:hanging="2098"/>
    </w:pPr>
    <w:rPr>
      <w:rFonts w:ascii="Times New Roman" w:eastAsia="Times New Roman" w:hAnsi="Times New Roman"/>
      <w:szCs w:val="20"/>
      <w:lang w:eastAsia="en-AU"/>
    </w:rPr>
  </w:style>
  <w:style w:type="paragraph" w:customStyle="1" w:styleId="Stylea">
    <w:name w:val="Style (a)"/>
    <w:basedOn w:val="Normal"/>
    <w:qFormat/>
    <w:rsid w:val="005C0537"/>
    <w:pPr>
      <w:numPr>
        <w:numId w:val="10"/>
      </w:numPr>
      <w:spacing w:after="0"/>
      <w:ind w:left="714" w:hanging="357"/>
    </w:pPr>
    <w:rPr>
      <w:rFonts w:ascii="Times New Roman" w:eastAsia="Times New Roman" w:hAnsi="Times New Roman"/>
      <w:snapToGrid w:val="0"/>
      <w:color w:val="FF0000"/>
      <w:sz w:val="24"/>
      <w:szCs w:val="24"/>
    </w:rPr>
  </w:style>
  <w:style w:type="character" w:styleId="UnresolvedMention">
    <w:name w:val="Unresolved Mention"/>
    <w:basedOn w:val="DefaultParagraphFont"/>
    <w:uiPriority w:val="99"/>
    <w:semiHidden/>
    <w:unhideWhenUsed/>
    <w:rsid w:val="00DD18B6"/>
    <w:rPr>
      <w:color w:val="605E5C"/>
      <w:shd w:val="clear" w:color="auto" w:fill="E1DFDD"/>
    </w:rPr>
  </w:style>
  <w:style w:type="character" w:styleId="FollowedHyperlink">
    <w:name w:val="FollowedHyperlink"/>
    <w:basedOn w:val="DefaultParagraphFont"/>
    <w:uiPriority w:val="99"/>
    <w:semiHidden/>
    <w:unhideWhenUsed/>
    <w:rsid w:val="00891220"/>
    <w:rPr>
      <w:color w:val="800080" w:themeColor="followedHyperlink"/>
      <w:u w:val="single"/>
    </w:rPr>
  </w:style>
  <w:style w:type="paragraph" w:customStyle="1" w:styleId="EndNoteBibliography">
    <w:name w:val="EndNote Bibliography"/>
    <w:basedOn w:val="Normal"/>
    <w:link w:val="EndNoteBibliographyChar"/>
    <w:rsid w:val="00EB34FA"/>
    <w:pPr>
      <w:spacing w:before="0" w:after="240" w:line="240" w:lineRule="atLeast"/>
    </w:pPr>
    <w:rPr>
      <w:rFonts w:eastAsiaTheme="minorHAnsi" w:cs="Arial"/>
      <w:noProof/>
      <w:sz w:val="20"/>
      <w:szCs w:val="20"/>
      <w:lang w:val="en-US"/>
    </w:rPr>
  </w:style>
  <w:style w:type="character" w:customStyle="1" w:styleId="EndNoteBibliographyChar">
    <w:name w:val="EndNote Bibliography Char"/>
    <w:basedOn w:val="DefaultParagraphFont"/>
    <w:link w:val="EndNoteBibliography"/>
    <w:rsid w:val="00EB34FA"/>
    <w:rPr>
      <w:rFonts w:eastAsiaTheme="minorHAnsi" w:cs="Arial"/>
      <w:noProof/>
      <w:lang w:val="en-US" w:eastAsia="en-US"/>
    </w:rPr>
  </w:style>
  <w:style w:type="character" w:customStyle="1" w:styleId="ListParagraphChar">
    <w:name w:val="List Paragraph Char"/>
    <w:basedOn w:val="DefaultParagraphFont"/>
    <w:link w:val="ListParagraph"/>
    <w:uiPriority w:val="34"/>
    <w:rsid w:val="00771D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1266">
      <w:bodyDiv w:val="1"/>
      <w:marLeft w:val="0"/>
      <w:marRight w:val="0"/>
      <w:marTop w:val="0"/>
      <w:marBottom w:val="0"/>
      <w:divBdr>
        <w:top w:val="none" w:sz="0" w:space="0" w:color="auto"/>
        <w:left w:val="none" w:sz="0" w:space="0" w:color="auto"/>
        <w:bottom w:val="none" w:sz="0" w:space="0" w:color="auto"/>
        <w:right w:val="none" w:sz="0" w:space="0" w:color="auto"/>
      </w:divBdr>
    </w:div>
    <w:div w:id="718212337">
      <w:bodyDiv w:val="1"/>
      <w:marLeft w:val="0"/>
      <w:marRight w:val="0"/>
      <w:marTop w:val="0"/>
      <w:marBottom w:val="0"/>
      <w:divBdr>
        <w:top w:val="none" w:sz="0" w:space="0" w:color="auto"/>
        <w:left w:val="none" w:sz="0" w:space="0" w:color="auto"/>
        <w:bottom w:val="none" w:sz="0" w:space="0" w:color="auto"/>
        <w:right w:val="none" w:sz="0" w:space="0" w:color="auto"/>
      </w:divBdr>
    </w:div>
    <w:div w:id="1269774939">
      <w:bodyDiv w:val="1"/>
      <w:marLeft w:val="0"/>
      <w:marRight w:val="0"/>
      <w:marTop w:val="0"/>
      <w:marBottom w:val="0"/>
      <w:divBdr>
        <w:top w:val="none" w:sz="0" w:space="0" w:color="auto"/>
        <w:left w:val="none" w:sz="0" w:space="0" w:color="auto"/>
        <w:bottom w:val="none" w:sz="0" w:space="0" w:color="auto"/>
        <w:right w:val="none" w:sz="0" w:space="0" w:color="auto"/>
      </w:divBdr>
    </w:div>
    <w:div w:id="1282689014">
      <w:bodyDiv w:val="1"/>
      <w:marLeft w:val="0"/>
      <w:marRight w:val="0"/>
      <w:marTop w:val="0"/>
      <w:marBottom w:val="0"/>
      <w:divBdr>
        <w:top w:val="none" w:sz="0" w:space="0" w:color="auto"/>
        <w:left w:val="none" w:sz="0" w:space="0" w:color="auto"/>
        <w:bottom w:val="none" w:sz="0" w:space="0" w:color="auto"/>
        <w:right w:val="none" w:sz="0" w:space="0" w:color="auto"/>
      </w:divBdr>
    </w:div>
    <w:div w:id="1475637767">
      <w:bodyDiv w:val="1"/>
      <w:marLeft w:val="0"/>
      <w:marRight w:val="0"/>
      <w:marTop w:val="0"/>
      <w:marBottom w:val="0"/>
      <w:divBdr>
        <w:top w:val="none" w:sz="0" w:space="0" w:color="auto"/>
        <w:left w:val="none" w:sz="0" w:space="0" w:color="auto"/>
        <w:bottom w:val="none" w:sz="0" w:space="0" w:color="auto"/>
        <w:right w:val="none" w:sz="0" w:space="0" w:color="auto"/>
      </w:divBdr>
      <w:divsChild>
        <w:div w:id="222570761">
          <w:marLeft w:val="0"/>
          <w:marRight w:val="0"/>
          <w:marTop w:val="0"/>
          <w:marBottom w:val="0"/>
          <w:divBdr>
            <w:top w:val="none" w:sz="0" w:space="0" w:color="auto"/>
            <w:left w:val="none" w:sz="0" w:space="0" w:color="auto"/>
            <w:bottom w:val="none" w:sz="0" w:space="0" w:color="auto"/>
            <w:right w:val="none" w:sz="0" w:space="0" w:color="auto"/>
          </w:divBdr>
          <w:divsChild>
            <w:div w:id="1794010096">
              <w:marLeft w:val="0"/>
              <w:marRight w:val="0"/>
              <w:marTop w:val="0"/>
              <w:marBottom w:val="0"/>
              <w:divBdr>
                <w:top w:val="none" w:sz="0" w:space="0" w:color="auto"/>
                <w:left w:val="none" w:sz="0" w:space="0" w:color="auto"/>
                <w:bottom w:val="none" w:sz="0" w:space="0" w:color="auto"/>
                <w:right w:val="none" w:sz="0" w:space="0" w:color="auto"/>
              </w:divBdr>
              <w:divsChild>
                <w:div w:id="1701978227">
                  <w:marLeft w:val="0"/>
                  <w:marRight w:val="0"/>
                  <w:marTop w:val="0"/>
                  <w:marBottom w:val="0"/>
                  <w:divBdr>
                    <w:top w:val="none" w:sz="0" w:space="0" w:color="auto"/>
                    <w:left w:val="none" w:sz="0" w:space="0" w:color="auto"/>
                    <w:bottom w:val="none" w:sz="0" w:space="0" w:color="auto"/>
                    <w:right w:val="none" w:sz="0" w:space="0" w:color="auto"/>
                  </w:divBdr>
                  <w:divsChild>
                    <w:div w:id="1790124053">
                      <w:marLeft w:val="0"/>
                      <w:marRight w:val="0"/>
                      <w:marTop w:val="0"/>
                      <w:marBottom w:val="0"/>
                      <w:divBdr>
                        <w:top w:val="none" w:sz="0" w:space="0" w:color="auto"/>
                        <w:left w:val="none" w:sz="0" w:space="0" w:color="auto"/>
                        <w:bottom w:val="none" w:sz="0" w:space="0" w:color="auto"/>
                        <w:right w:val="none" w:sz="0" w:space="0" w:color="auto"/>
                      </w:divBdr>
                      <w:divsChild>
                        <w:div w:id="64960048">
                          <w:marLeft w:val="0"/>
                          <w:marRight w:val="0"/>
                          <w:marTop w:val="0"/>
                          <w:marBottom w:val="0"/>
                          <w:divBdr>
                            <w:top w:val="none" w:sz="0" w:space="0" w:color="auto"/>
                            <w:left w:val="none" w:sz="0" w:space="0" w:color="auto"/>
                            <w:bottom w:val="none" w:sz="0" w:space="0" w:color="auto"/>
                            <w:right w:val="none" w:sz="0" w:space="0" w:color="auto"/>
                          </w:divBdr>
                          <w:divsChild>
                            <w:div w:id="562253302">
                              <w:marLeft w:val="0"/>
                              <w:marRight w:val="0"/>
                              <w:marTop w:val="0"/>
                              <w:marBottom w:val="0"/>
                              <w:divBdr>
                                <w:top w:val="none" w:sz="0" w:space="0" w:color="auto"/>
                                <w:left w:val="none" w:sz="0" w:space="0" w:color="auto"/>
                                <w:bottom w:val="none" w:sz="0" w:space="0" w:color="auto"/>
                                <w:right w:val="none" w:sz="0" w:space="0" w:color="auto"/>
                              </w:divBdr>
                              <w:divsChild>
                                <w:div w:id="715591398">
                                  <w:marLeft w:val="0"/>
                                  <w:marRight w:val="0"/>
                                  <w:marTop w:val="0"/>
                                  <w:marBottom w:val="0"/>
                                  <w:divBdr>
                                    <w:top w:val="none" w:sz="0" w:space="0" w:color="auto"/>
                                    <w:left w:val="none" w:sz="0" w:space="0" w:color="auto"/>
                                    <w:bottom w:val="none" w:sz="0" w:space="0" w:color="auto"/>
                                    <w:right w:val="none" w:sz="0" w:space="0" w:color="auto"/>
                                  </w:divBdr>
                                  <w:divsChild>
                                    <w:div w:id="111900808">
                                      <w:marLeft w:val="0"/>
                                      <w:marRight w:val="0"/>
                                      <w:marTop w:val="0"/>
                                      <w:marBottom w:val="0"/>
                                      <w:divBdr>
                                        <w:top w:val="none" w:sz="0" w:space="0" w:color="auto"/>
                                        <w:left w:val="none" w:sz="0" w:space="0" w:color="auto"/>
                                        <w:bottom w:val="none" w:sz="0" w:space="0" w:color="auto"/>
                                        <w:right w:val="none" w:sz="0" w:space="0" w:color="auto"/>
                                      </w:divBdr>
                                      <w:divsChild>
                                        <w:div w:id="1503617698">
                                          <w:marLeft w:val="0"/>
                                          <w:marRight w:val="0"/>
                                          <w:marTop w:val="0"/>
                                          <w:marBottom w:val="0"/>
                                          <w:divBdr>
                                            <w:top w:val="none" w:sz="0" w:space="0" w:color="auto"/>
                                            <w:left w:val="none" w:sz="0" w:space="0" w:color="auto"/>
                                            <w:bottom w:val="none" w:sz="0" w:space="0" w:color="auto"/>
                                            <w:right w:val="none" w:sz="0" w:space="0" w:color="auto"/>
                                          </w:divBdr>
                                          <w:divsChild>
                                            <w:div w:id="31930020">
                                              <w:marLeft w:val="0"/>
                                              <w:marRight w:val="0"/>
                                              <w:marTop w:val="0"/>
                                              <w:marBottom w:val="0"/>
                                              <w:divBdr>
                                                <w:top w:val="none" w:sz="0" w:space="0" w:color="auto"/>
                                                <w:left w:val="none" w:sz="0" w:space="0" w:color="auto"/>
                                                <w:bottom w:val="none" w:sz="0" w:space="0" w:color="auto"/>
                                                <w:right w:val="none" w:sz="0" w:space="0" w:color="auto"/>
                                              </w:divBdr>
                                              <w:divsChild>
                                                <w:div w:id="1325890075">
                                                  <w:marLeft w:val="0"/>
                                                  <w:marRight w:val="0"/>
                                                  <w:marTop w:val="0"/>
                                                  <w:marBottom w:val="0"/>
                                                  <w:divBdr>
                                                    <w:top w:val="none" w:sz="0" w:space="0" w:color="auto"/>
                                                    <w:left w:val="none" w:sz="0" w:space="0" w:color="auto"/>
                                                    <w:bottom w:val="none" w:sz="0" w:space="0" w:color="auto"/>
                                                    <w:right w:val="none" w:sz="0" w:space="0" w:color="auto"/>
                                                  </w:divBdr>
                                                  <w:divsChild>
                                                    <w:div w:id="1557204021">
                                                      <w:marLeft w:val="0"/>
                                                      <w:marRight w:val="0"/>
                                                      <w:marTop w:val="0"/>
                                                      <w:marBottom w:val="0"/>
                                                      <w:divBdr>
                                                        <w:top w:val="none" w:sz="0" w:space="0" w:color="auto"/>
                                                        <w:left w:val="none" w:sz="0" w:space="0" w:color="auto"/>
                                                        <w:bottom w:val="none" w:sz="0" w:space="0" w:color="auto"/>
                                                        <w:right w:val="none" w:sz="0" w:space="0" w:color="auto"/>
                                                      </w:divBdr>
                                                      <w:divsChild>
                                                        <w:div w:id="276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129058">
      <w:bodyDiv w:val="1"/>
      <w:marLeft w:val="0"/>
      <w:marRight w:val="0"/>
      <w:marTop w:val="0"/>
      <w:marBottom w:val="0"/>
      <w:divBdr>
        <w:top w:val="none" w:sz="0" w:space="0" w:color="auto"/>
        <w:left w:val="none" w:sz="0" w:space="0" w:color="auto"/>
        <w:bottom w:val="none" w:sz="0" w:space="0" w:color="auto"/>
        <w:right w:val="none" w:sz="0" w:space="0" w:color="auto"/>
      </w:divBdr>
    </w:div>
    <w:div w:id="1894803511">
      <w:bodyDiv w:val="1"/>
      <w:marLeft w:val="0"/>
      <w:marRight w:val="0"/>
      <w:marTop w:val="0"/>
      <w:marBottom w:val="0"/>
      <w:divBdr>
        <w:top w:val="none" w:sz="0" w:space="0" w:color="auto"/>
        <w:left w:val="none" w:sz="0" w:space="0" w:color="auto"/>
        <w:bottom w:val="none" w:sz="0" w:space="0" w:color="auto"/>
        <w:right w:val="none" w:sz="0" w:space="0" w:color="auto"/>
      </w:divBdr>
    </w:div>
    <w:div w:id="1972588881">
      <w:bodyDiv w:val="1"/>
      <w:marLeft w:val="0"/>
      <w:marRight w:val="0"/>
      <w:marTop w:val="0"/>
      <w:marBottom w:val="0"/>
      <w:divBdr>
        <w:top w:val="none" w:sz="0" w:space="0" w:color="auto"/>
        <w:left w:val="none" w:sz="0" w:space="0" w:color="auto"/>
        <w:bottom w:val="none" w:sz="0" w:space="0" w:color="auto"/>
        <w:right w:val="none" w:sz="0" w:space="0" w:color="auto"/>
      </w:divBdr>
    </w:div>
    <w:div w:id="2075078317">
      <w:bodyDiv w:val="1"/>
      <w:marLeft w:val="0"/>
      <w:marRight w:val="0"/>
      <w:marTop w:val="0"/>
      <w:marBottom w:val="0"/>
      <w:divBdr>
        <w:top w:val="none" w:sz="0" w:space="0" w:color="auto"/>
        <w:left w:val="none" w:sz="0" w:space="0" w:color="auto"/>
        <w:bottom w:val="none" w:sz="0" w:space="0" w:color="auto"/>
        <w:right w:val="none" w:sz="0" w:space="0" w:color="auto"/>
      </w:divBdr>
      <w:divsChild>
        <w:div w:id="89160279">
          <w:marLeft w:val="0"/>
          <w:marRight w:val="0"/>
          <w:marTop w:val="0"/>
          <w:marBottom w:val="0"/>
          <w:divBdr>
            <w:top w:val="none" w:sz="0" w:space="0" w:color="auto"/>
            <w:left w:val="none" w:sz="0" w:space="0" w:color="auto"/>
            <w:bottom w:val="none" w:sz="0" w:space="0" w:color="auto"/>
            <w:right w:val="none" w:sz="0" w:space="0" w:color="auto"/>
          </w:divBdr>
          <w:divsChild>
            <w:div w:id="1612666829">
              <w:marLeft w:val="0"/>
              <w:marRight w:val="0"/>
              <w:marTop w:val="0"/>
              <w:marBottom w:val="0"/>
              <w:divBdr>
                <w:top w:val="none" w:sz="0" w:space="0" w:color="auto"/>
                <w:left w:val="none" w:sz="0" w:space="0" w:color="auto"/>
                <w:bottom w:val="none" w:sz="0" w:space="0" w:color="auto"/>
                <w:right w:val="none" w:sz="0" w:space="0" w:color="auto"/>
              </w:divBdr>
              <w:divsChild>
                <w:div w:id="1390691449">
                  <w:marLeft w:val="0"/>
                  <w:marRight w:val="0"/>
                  <w:marTop w:val="0"/>
                  <w:marBottom w:val="0"/>
                  <w:divBdr>
                    <w:top w:val="none" w:sz="0" w:space="0" w:color="auto"/>
                    <w:left w:val="none" w:sz="0" w:space="0" w:color="auto"/>
                    <w:bottom w:val="none" w:sz="0" w:space="0" w:color="auto"/>
                    <w:right w:val="none" w:sz="0" w:space="0" w:color="auto"/>
                  </w:divBdr>
                  <w:divsChild>
                    <w:div w:id="1461070853">
                      <w:marLeft w:val="0"/>
                      <w:marRight w:val="0"/>
                      <w:marTop w:val="0"/>
                      <w:marBottom w:val="0"/>
                      <w:divBdr>
                        <w:top w:val="none" w:sz="0" w:space="0" w:color="auto"/>
                        <w:left w:val="none" w:sz="0" w:space="0" w:color="auto"/>
                        <w:bottom w:val="none" w:sz="0" w:space="0" w:color="auto"/>
                        <w:right w:val="none" w:sz="0" w:space="0" w:color="auto"/>
                      </w:divBdr>
                      <w:divsChild>
                        <w:div w:id="1876313675">
                          <w:marLeft w:val="0"/>
                          <w:marRight w:val="0"/>
                          <w:marTop w:val="0"/>
                          <w:marBottom w:val="0"/>
                          <w:divBdr>
                            <w:top w:val="none" w:sz="0" w:space="0" w:color="auto"/>
                            <w:left w:val="none" w:sz="0" w:space="0" w:color="auto"/>
                            <w:bottom w:val="none" w:sz="0" w:space="0" w:color="auto"/>
                            <w:right w:val="none" w:sz="0" w:space="0" w:color="auto"/>
                          </w:divBdr>
                          <w:divsChild>
                            <w:div w:id="281574415">
                              <w:marLeft w:val="0"/>
                              <w:marRight w:val="0"/>
                              <w:marTop w:val="0"/>
                              <w:marBottom w:val="0"/>
                              <w:divBdr>
                                <w:top w:val="none" w:sz="0" w:space="0" w:color="auto"/>
                                <w:left w:val="none" w:sz="0" w:space="0" w:color="auto"/>
                                <w:bottom w:val="none" w:sz="0" w:space="0" w:color="auto"/>
                                <w:right w:val="none" w:sz="0" w:space="0" w:color="auto"/>
                              </w:divBdr>
                              <w:divsChild>
                                <w:div w:id="486241115">
                                  <w:marLeft w:val="0"/>
                                  <w:marRight w:val="0"/>
                                  <w:marTop w:val="0"/>
                                  <w:marBottom w:val="0"/>
                                  <w:divBdr>
                                    <w:top w:val="none" w:sz="0" w:space="0" w:color="auto"/>
                                    <w:left w:val="none" w:sz="0" w:space="0" w:color="auto"/>
                                    <w:bottom w:val="none" w:sz="0" w:space="0" w:color="auto"/>
                                    <w:right w:val="none" w:sz="0" w:space="0" w:color="auto"/>
                                  </w:divBdr>
                                  <w:divsChild>
                                    <w:div w:id="1859076311">
                                      <w:marLeft w:val="0"/>
                                      <w:marRight w:val="0"/>
                                      <w:marTop w:val="0"/>
                                      <w:marBottom w:val="0"/>
                                      <w:divBdr>
                                        <w:top w:val="none" w:sz="0" w:space="0" w:color="auto"/>
                                        <w:left w:val="none" w:sz="0" w:space="0" w:color="auto"/>
                                        <w:bottom w:val="none" w:sz="0" w:space="0" w:color="auto"/>
                                        <w:right w:val="none" w:sz="0" w:space="0" w:color="auto"/>
                                      </w:divBdr>
                                      <w:divsChild>
                                        <w:div w:id="1333529213">
                                          <w:marLeft w:val="0"/>
                                          <w:marRight w:val="0"/>
                                          <w:marTop w:val="0"/>
                                          <w:marBottom w:val="0"/>
                                          <w:divBdr>
                                            <w:top w:val="none" w:sz="0" w:space="0" w:color="auto"/>
                                            <w:left w:val="none" w:sz="0" w:space="0" w:color="auto"/>
                                            <w:bottom w:val="none" w:sz="0" w:space="0" w:color="auto"/>
                                            <w:right w:val="none" w:sz="0" w:space="0" w:color="auto"/>
                                          </w:divBdr>
                                          <w:divsChild>
                                            <w:div w:id="1901819921">
                                              <w:marLeft w:val="0"/>
                                              <w:marRight w:val="0"/>
                                              <w:marTop w:val="0"/>
                                              <w:marBottom w:val="0"/>
                                              <w:divBdr>
                                                <w:top w:val="none" w:sz="0" w:space="0" w:color="auto"/>
                                                <w:left w:val="none" w:sz="0" w:space="0" w:color="auto"/>
                                                <w:bottom w:val="none" w:sz="0" w:space="0" w:color="auto"/>
                                                <w:right w:val="none" w:sz="0" w:space="0" w:color="auto"/>
                                              </w:divBdr>
                                              <w:divsChild>
                                                <w:div w:id="1834567731">
                                                  <w:marLeft w:val="0"/>
                                                  <w:marRight w:val="0"/>
                                                  <w:marTop w:val="0"/>
                                                  <w:marBottom w:val="0"/>
                                                  <w:divBdr>
                                                    <w:top w:val="none" w:sz="0" w:space="0" w:color="auto"/>
                                                    <w:left w:val="none" w:sz="0" w:space="0" w:color="auto"/>
                                                    <w:bottom w:val="none" w:sz="0" w:space="0" w:color="auto"/>
                                                    <w:right w:val="none" w:sz="0" w:space="0" w:color="auto"/>
                                                  </w:divBdr>
                                                  <w:divsChild>
                                                    <w:div w:id="2140872455">
                                                      <w:marLeft w:val="0"/>
                                                      <w:marRight w:val="0"/>
                                                      <w:marTop w:val="0"/>
                                                      <w:marBottom w:val="0"/>
                                                      <w:divBdr>
                                                        <w:top w:val="none" w:sz="0" w:space="0" w:color="auto"/>
                                                        <w:left w:val="none" w:sz="0" w:space="0" w:color="auto"/>
                                                        <w:bottom w:val="none" w:sz="0" w:space="0" w:color="auto"/>
                                                        <w:right w:val="none" w:sz="0" w:space="0" w:color="auto"/>
                                                      </w:divBdr>
                                                      <w:divsChild>
                                                        <w:div w:id="4425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publications.qld.gov.au/dataset/queensland-fisheries-harvest-strategies/resource/f9ec2eab-9f61-4d49-930f-6f9446102b85"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nvironment.gov.au/marine/fisheries/qld/sea-cucumber"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legislation.gov.au/Details/C2017C00279"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vironment.gov.au/resource/guidelines-ecologically-sustainable-management-fisheries" TargetMode="External"/><Relationship Id="rId20" Type="http://schemas.openxmlformats.org/officeDocument/2006/relationships/hyperlink" Target="https://www.daf.qld.gov.au/business-priorities/fisheries/sustainable/fishery-working-groups/sea-cucumber-working-group/sea-cucumber-working-group" TargetMode="External"/><Relationship Id="rId29" Type="http://schemas.openxmlformats.org/officeDocument/2006/relationships/hyperlink" Target="http://era.daf.qld.gov.au/id/eprint/82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qld.gov.au/" TargetMode="External"/><Relationship Id="rId32" Type="http://schemas.openxmlformats.org/officeDocument/2006/relationships/header" Target="header1.xml"/><Relationship Id="rId37"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business.qld.gov.au/industries/farms-fishing-forestry/fisheries/fisheries-profiles/commercial-harvest-fisheries/sea-cucumber" TargetMode="External"/><Relationship Id="rId28" Type="http://schemas.openxmlformats.org/officeDocument/2006/relationships/hyperlink" Target="https://era.daf.qld.gov.au/id/eprint/8264/"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business.qld.gov.au/industries/farms-fishing-forestry/fisheries/fisheries-profiles/commercial-harvest-fisheries/sea-cucumber" TargetMode="External"/><Relationship Id="rId31" Type="http://schemas.openxmlformats.org/officeDocument/2006/relationships/hyperlink" Target="https://daf.engagementhub.com.au/draft-sea-cucumber-fishery-harvest-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daf.qld.gov.au/business-priorities/fisheries/monitoring-research/data/queensland-fisheries-summary-report" TargetMode="External"/><Relationship Id="rId27" Type="http://schemas.openxmlformats.org/officeDocument/2006/relationships/hyperlink" Target="https://era.daf.qld.gov.au/id/eprint/8282/" TargetMode="External"/><Relationship Id="rId30" Type="http://schemas.openxmlformats.org/officeDocument/2006/relationships/hyperlink" Target="http://www.environment.gov.au/marine/marine-bioregional-plans" TargetMode="Externa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06F41-31F0-4E46-9713-10B87A8D530F}"/>
</file>

<file path=customXml/itemProps2.xml><?xml version="1.0" encoding="utf-8"?>
<ds:datastoreItem xmlns:ds="http://schemas.openxmlformats.org/officeDocument/2006/customXml" ds:itemID="{02B6D8FC-3175-4646-98C7-F9910AE07294}">
  <ds:schemaRefs>
    <ds:schemaRef ds:uri="http://schemas.openxmlformats.org/officeDocument/2006/bibliography"/>
  </ds:schemaRefs>
</ds:datastoreItem>
</file>

<file path=customXml/itemProps3.xml><?xml version="1.0" encoding="utf-8"?>
<ds:datastoreItem xmlns:ds="http://schemas.openxmlformats.org/officeDocument/2006/customXml" ds:itemID="{3A950031-DF30-4B96-B6FC-F23CE65DD58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8895D13-F603-4849-A2FF-A3CFEFB4A39B"/>
    <ds:schemaRef ds:uri="http://www.w3.org/XML/1998/namespace"/>
  </ds:schemaRefs>
</ds:datastoreItem>
</file>

<file path=customXml/itemProps4.xml><?xml version="1.0" encoding="utf-8"?>
<ds:datastoreItem xmlns:ds="http://schemas.openxmlformats.org/officeDocument/2006/customXml" ds:itemID="{6DC1560C-42D2-4B58-A9F7-7E8782BD3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20218</Words>
  <Characters>115246</Characters>
  <Application>Microsoft Office Word</Application>
  <DocSecurity>4</DocSecurity>
  <Lines>960</Lines>
  <Paragraphs>270</Paragraphs>
  <ScaleCrop>false</ScaleCrop>
  <HeadingPairs>
    <vt:vector size="2" baseType="variant">
      <vt:variant>
        <vt:lpstr>Title</vt:lpstr>
      </vt:variant>
      <vt:variant>
        <vt:i4>1</vt:i4>
      </vt:variant>
    </vt:vector>
  </HeadingPairs>
  <TitlesOfParts>
    <vt:vector size="1" baseType="lpstr">
      <vt:lpstr>Assessment of the Queensland Sea Cucumber Fishery (East Coast)</vt:lpstr>
    </vt:vector>
  </TitlesOfParts>
  <Company/>
  <LinksUpToDate>false</LinksUpToDate>
  <CharactersWithSpaces>135194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Queensland Sea Cucumber Fishery (East Coast)</dc:title>
  <dc:subject/>
  <dc:creator>Department of Agriculture, Water and the Environment</dc:creator>
  <cp:keywords/>
  <dc:description/>
  <cp:lastModifiedBy>Bec Durack</cp:lastModifiedBy>
  <cp:revision>2</cp:revision>
  <cp:lastPrinted>2018-01-31T04:21:00Z</cp:lastPrinted>
  <dcterms:created xsi:type="dcterms:W3CDTF">2021-12-05T23:45:00Z</dcterms:created>
  <dcterms:modified xsi:type="dcterms:W3CDTF">2021-12-05T23:45:00Z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{8038f304-c46c-4c3b-858c-4c1afef385bd}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