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4AAF" w14:textId="77777777" w:rsidR="00A31571" w:rsidRDefault="00A31571" w:rsidP="007B4C63">
      <w:pPr>
        <w:pStyle w:val="Series"/>
      </w:pPr>
    </w:p>
    <w:p w14:paraId="005F0716" w14:textId="77777777" w:rsidR="00A31571" w:rsidRDefault="00A31571" w:rsidP="007B4C63">
      <w:pPr>
        <w:pStyle w:val="Series"/>
      </w:pPr>
    </w:p>
    <w:p w14:paraId="410AFA6E" w14:textId="518DC6F1" w:rsidR="00D04A3C" w:rsidRPr="00A31571" w:rsidRDefault="008A081F" w:rsidP="007B4C63">
      <w:pPr>
        <w:pStyle w:val="Series"/>
        <w:rPr>
          <w:sz w:val="22"/>
        </w:rPr>
      </w:pPr>
      <w:r>
        <w:t xml:space="preserve">MARS </w:t>
      </w:r>
      <w:r w:rsidR="0050206D" w:rsidRPr="0050206D">
        <w:t>Q</w:t>
      </w:r>
      <w:r w:rsidR="0050206D">
        <w:t>uick Reference Guide</w:t>
      </w:r>
      <w:r w:rsidR="0050206D" w:rsidRPr="0050206D">
        <w:t xml:space="preserve"> 0</w:t>
      </w:r>
      <w:r w:rsidR="009F7F58">
        <w:t>2</w:t>
      </w:r>
      <w:r w:rsidR="00A31571">
        <w:t xml:space="preserve"> </w:t>
      </w:r>
      <w:r w:rsidR="00A31571" w:rsidRPr="00A31571">
        <w:rPr>
          <w:sz w:val="22"/>
        </w:rPr>
        <w:t xml:space="preserve">Version </w:t>
      </w:r>
      <w:r w:rsidR="00F5207F">
        <w:rPr>
          <w:sz w:val="22"/>
        </w:rPr>
        <w:t>1</w:t>
      </w:r>
      <w:r w:rsidR="00A31571" w:rsidRPr="00A31571">
        <w:rPr>
          <w:sz w:val="22"/>
        </w:rPr>
        <w:t>, November 2023</w:t>
      </w:r>
    </w:p>
    <w:p w14:paraId="5D361451" w14:textId="1DEFFAC7" w:rsidR="00B82095" w:rsidRPr="000A3947" w:rsidRDefault="00C8092A" w:rsidP="00EF2FA6">
      <w:pPr>
        <w:pStyle w:val="Heading1"/>
        <w:rPr>
          <w:b w:val="0"/>
          <w:bCs w:val="0"/>
          <w:sz w:val="32"/>
          <w:szCs w:val="32"/>
        </w:rPr>
      </w:pPr>
      <w:r w:rsidRPr="0046724E">
        <w:rPr>
          <w:sz w:val="44"/>
          <w:szCs w:val="44"/>
        </w:rPr>
        <w:t xml:space="preserve">Release from biosecurity control for </w:t>
      </w:r>
      <w:r w:rsidR="00E01B06">
        <w:rPr>
          <w:sz w:val="44"/>
          <w:szCs w:val="44"/>
        </w:rPr>
        <w:br/>
      </w:r>
      <w:r w:rsidR="00870785">
        <w:rPr>
          <w:sz w:val="44"/>
          <w:szCs w:val="44"/>
        </w:rPr>
        <w:t>non-</w:t>
      </w:r>
      <w:r w:rsidR="00EF2FA6" w:rsidRPr="0046724E">
        <w:rPr>
          <w:sz w:val="44"/>
          <w:szCs w:val="44"/>
        </w:rPr>
        <w:t>commercial vessels</w:t>
      </w:r>
      <w:r w:rsidR="00EF2FA6">
        <w:t xml:space="preserve"> </w:t>
      </w:r>
      <w:r w:rsidR="00E01B06">
        <w:br/>
      </w:r>
      <w:r w:rsidR="000A3947" w:rsidRPr="000A3947">
        <w:rPr>
          <w:b w:val="0"/>
          <w:bCs w:val="0"/>
          <w:sz w:val="32"/>
          <w:szCs w:val="32"/>
        </w:rPr>
        <w:t>(previously known as coastal strip or coastal status)</w:t>
      </w:r>
    </w:p>
    <w:p w14:paraId="070A3146" w14:textId="77777777" w:rsidR="00AE32E7" w:rsidRDefault="00AE32E7" w:rsidP="00AE32E7">
      <w:pPr>
        <w:pStyle w:val="paragraph"/>
        <w:spacing w:after="0"/>
        <w:textAlignment w:val="baseline"/>
        <w:rPr>
          <w:rFonts w:asciiTheme="minorHAnsi" w:eastAsiaTheme="minorEastAsia" w:hAnsiTheme="minorHAnsi" w:cstheme="minorBidi"/>
          <w:color w:val="000000"/>
          <w:kern w:val="2"/>
          <w:sz w:val="22"/>
          <w:szCs w:val="22"/>
          <w:shd w:val="clear" w:color="auto" w:fill="FFFFFF"/>
          <w:lang w:eastAsia="en-US"/>
          <w14:ligatures w14:val="standardContextual"/>
        </w:rPr>
      </w:pPr>
      <w:r w:rsidRPr="6FFC4D25">
        <w:rPr>
          <w:rFonts w:asciiTheme="minorHAnsi" w:eastAsiaTheme="minorEastAsia" w:hAnsiTheme="minorHAnsi" w:cstheme="minorBidi"/>
          <w:color w:val="000000"/>
          <w:kern w:val="2"/>
          <w:sz w:val="22"/>
          <w:szCs w:val="22"/>
          <w:shd w:val="clear" w:color="auto" w:fill="FFFFFF"/>
          <w:lang w:eastAsia="en-US"/>
          <w14:ligatures w14:val="standardContextual"/>
        </w:rPr>
        <w:t xml:space="preserve">International vessels intending to stay in Australian waters for an extended period may request a release from biosecurity control. However, the vessel may still be required to comply with relevant state or territory requirements. </w:t>
      </w:r>
    </w:p>
    <w:p w14:paraId="5D75ADD9" w14:textId="35AB4887" w:rsidR="00AE32E7" w:rsidRDefault="00AE32E7" w:rsidP="00AE32E7">
      <w:pPr>
        <w:pStyle w:val="paragraph"/>
        <w:spacing w:after="0"/>
        <w:textAlignment w:val="baseline"/>
        <w:rPr>
          <w:rFonts w:asciiTheme="minorHAnsi" w:eastAsiaTheme="minorEastAsia" w:hAnsiTheme="minorHAnsi" w:cstheme="minorBidi"/>
          <w:color w:val="000000"/>
          <w:kern w:val="2"/>
          <w:sz w:val="22"/>
          <w:szCs w:val="22"/>
          <w:shd w:val="clear" w:color="auto" w:fill="FFFFFF"/>
          <w:lang w:eastAsia="en-US"/>
          <w14:ligatures w14:val="standardContextual"/>
        </w:rPr>
      </w:pPr>
      <w:r w:rsidRPr="6FFC4D25">
        <w:rPr>
          <w:rFonts w:asciiTheme="minorHAnsi" w:eastAsiaTheme="minorEastAsia" w:hAnsiTheme="minorHAnsi" w:cstheme="minorBidi"/>
          <w:color w:val="000000"/>
          <w:kern w:val="2"/>
          <w:sz w:val="22"/>
          <w:szCs w:val="22"/>
          <w:shd w:val="clear" w:color="auto" w:fill="FFFFFF"/>
          <w:lang w:eastAsia="en-US"/>
          <w14:ligatures w14:val="standardContextual"/>
        </w:rPr>
        <w:t>Release from biosecurity control is granted after an inspection of the vessel has been completed and all biosecurity risks have been managed in an approved manner.</w:t>
      </w:r>
    </w:p>
    <w:p w14:paraId="1461524A" w14:textId="301087DA" w:rsidR="00D65AA0" w:rsidRDefault="00D65AA0" w:rsidP="00D65AA0">
      <w:pPr>
        <w:pStyle w:val="paragraph"/>
        <w:spacing w:before="0" w:beforeAutospacing="0" w:after="0" w:afterAutospacing="0"/>
        <w:textAlignment w:val="baseline"/>
        <w:rPr>
          <w:rFonts w:asciiTheme="minorHAnsi" w:eastAsiaTheme="minorEastAsia" w:hAnsiTheme="minorHAnsi" w:cstheme="minorBidi"/>
          <w:color w:val="000000"/>
          <w:kern w:val="2"/>
          <w:sz w:val="22"/>
          <w:szCs w:val="22"/>
          <w:shd w:val="clear" w:color="auto" w:fill="FFFFFF"/>
          <w:lang w:eastAsia="en-US"/>
          <w14:ligatures w14:val="standardContextual"/>
        </w:rPr>
      </w:pPr>
      <w:r w:rsidRPr="6FFC4D25">
        <w:rPr>
          <w:rFonts w:asciiTheme="minorHAnsi" w:eastAsiaTheme="minorEastAsia" w:hAnsiTheme="minorHAnsi" w:cstheme="minorBidi"/>
          <w:color w:val="000000"/>
          <w:kern w:val="2"/>
          <w:sz w:val="22"/>
          <w:szCs w:val="22"/>
          <w:shd w:val="clear" w:color="auto" w:fill="FFFFFF"/>
          <w:lang w:eastAsia="en-US"/>
          <w14:ligatures w14:val="standardContextual"/>
        </w:rPr>
        <w:t>Release from biosecurity control will no longer apply if the vessel leaves Australian territory or interacts with another vessel subject to biosecurity control. The vessel will then return to international status and will be subject to pre-arrival reporting requirements</w:t>
      </w:r>
      <w:r w:rsidR="00E01B06">
        <w:rPr>
          <w:rFonts w:asciiTheme="minorHAnsi" w:eastAsiaTheme="minorEastAsia" w:hAnsiTheme="minorHAnsi" w:cstheme="minorBidi"/>
          <w:color w:val="000000"/>
          <w:kern w:val="2"/>
          <w:sz w:val="22"/>
          <w:szCs w:val="22"/>
          <w:shd w:val="clear" w:color="auto" w:fill="FFFFFF"/>
          <w:lang w:eastAsia="en-US"/>
          <w14:ligatures w14:val="standardContextual"/>
        </w:rPr>
        <w:t>. R</w:t>
      </w:r>
      <w:r>
        <w:rPr>
          <w:rFonts w:asciiTheme="minorHAnsi" w:eastAsiaTheme="minorEastAsia" w:hAnsiTheme="minorHAnsi" w:cstheme="minorBidi"/>
          <w:color w:val="000000"/>
          <w:kern w:val="2"/>
          <w:sz w:val="22"/>
          <w:szCs w:val="22"/>
          <w:shd w:val="clear" w:color="auto" w:fill="FFFFFF"/>
          <w:lang w:eastAsia="en-US"/>
          <w14:ligatures w14:val="standardContextual"/>
        </w:rPr>
        <w:t>efer to</w:t>
      </w:r>
      <w:r w:rsidRPr="6FFC4D25">
        <w:rPr>
          <w:rFonts w:asciiTheme="minorHAnsi" w:eastAsiaTheme="minorEastAsia" w:hAnsiTheme="minorHAnsi" w:cstheme="minorBidi"/>
          <w:color w:val="000000"/>
          <w:kern w:val="2"/>
          <w:sz w:val="22"/>
          <w:szCs w:val="22"/>
          <w:shd w:val="clear" w:color="auto" w:fill="FFFFFF"/>
          <w:lang w:eastAsia="en-US"/>
          <w14:ligatures w14:val="standardContextual"/>
        </w:rPr>
        <w:t xml:space="preserve"> section 193 of the </w:t>
      </w:r>
      <w:r w:rsidRPr="00536C77">
        <w:rPr>
          <w:rFonts w:asciiTheme="minorHAnsi" w:eastAsiaTheme="minorEastAsia" w:hAnsiTheme="minorHAnsi" w:cstheme="minorBidi"/>
          <w:i/>
          <w:color w:val="000000"/>
          <w:kern w:val="2"/>
          <w:sz w:val="22"/>
          <w:szCs w:val="22"/>
          <w:shd w:val="clear" w:color="auto" w:fill="FFFFFF"/>
          <w:lang w:eastAsia="en-US"/>
          <w14:ligatures w14:val="standardContextual"/>
        </w:rPr>
        <w:t>Biosecurity Act 2015</w:t>
      </w:r>
      <w:r w:rsidRPr="6FFC4D25">
        <w:rPr>
          <w:rFonts w:asciiTheme="minorHAnsi" w:eastAsiaTheme="minorEastAsia" w:hAnsiTheme="minorHAnsi" w:cstheme="minorBidi"/>
          <w:color w:val="000000"/>
          <w:kern w:val="2"/>
          <w:sz w:val="22"/>
          <w:szCs w:val="22"/>
          <w:shd w:val="clear" w:color="auto" w:fill="FFFFFF"/>
          <w:lang w:eastAsia="en-US"/>
          <w14:ligatures w14:val="standardContextual"/>
        </w:rPr>
        <w:t>.</w:t>
      </w:r>
    </w:p>
    <w:p w14:paraId="4661FEA9" w14:textId="77777777" w:rsidR="00D65AA0" w:rsidRPr="00D65AA0" w:rsidRDefault="00D65AA0" w:rsidP="00D65AA0">
      <w:pPr>
        <w:pStyle w:val="paragraph"/>
        <w:spacing w:before="0" w:beforeAutospacing="0" w:after="0" w:afterAutospacing="0"/>
        <w:textAlignment w:val="baseline"/>
        <w:rPr>
          <w:rFonts w:asciiTheme="minorHAnsi" w:eastAsiaTheme="minorEastAsia" w:hAnsiTheme="minorHAnsi" w:cstheme="minorBidi"/>
          <w:color w:val="000000"/>
          <w:kern w:val="2"/>
          <w:sz w:val="22"/>
          <w:szCs w:val="22"/>
          <w:shd w:val="clear" w:color="auto" w:fill="FFFFFF"/>
          <w:lang w:eastAsia="en-US"/>
          <w14:ligatures w14:val="standardContextu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922"/>
        <w:gridCol w:w="3240"/>
      </w:tblGrid>
      <w:tr w:rsidR="009A1C83" w14:paraId="720F6F74" w14:textId="77777777" w:rsidTr="004E3246">
        <w:trPr>
          <w:trHeight w:val="1785"/>
        </w:trPr>
        <w:tc>
          <w:tcPr>
            <w:tcW w:w="5922" w:type="dxa"/>
          </w:tcPr>
          <w:p w14:paraId="13BFC474" w14:textId="5015268A" w:rsidR="0041241D" w:rsidRPr="002B38E7" w:rsidRDefault="0041241D" w:rsidP="0041241D">
            <w:pPr>
              <w:pStyle w:val="paragraph"/>
              <w:spacing w:before="0" w:beforeAutospacing="0" w:after="0" w:afterAutospacing="0"/>
              <w:textAlignment w:val="baseline"/>
              <w:rPr>
                <w:rStyle w:val="normaltextrun"/>
                <w:rFonts w:ascii="Calibri" w:eastAsiaTheme="minorHAnsi" w:hAnsi="Calibri" w:cs="Calibri"/>
                <w:b/>
                <w:bCs/>
                <w:color w:val="000000"/>
              </w:rPr>
            </w:pPr>
            <w:bookmarkStart w:id="0" w:name="_Hlk150854487"/>
            <w:r>
              <w:rPr>
                <w:rStyle w:val="normaltextrun"/>
                <w:rFonts w:ascii="Calibri" w:eastAsiaTheme="minorHAnsi" w:hAnsi="Calibri" w:cs="Calibri"/>
                <w:b/>
                <w:bCs/>
                <w:color w:val="000000"/>
              </w:rPr>
              <w:t>What you must do</w:t>
            </w:r>
          </w:p>
          <w:p w14:paraId="48600252" w14:textId="77777777" w:rsidR="00EA4BDF" w:rsidRDefault="00EA4BDF" w:rsidP="00EA4BDF">
            <w:r>
              <w:t>All vessels arriving in Australian territory from outside of Australia, including private non-commercial vessels (yachts), private superyachts and cruisers are subject to biosecurity control.</w:t>
            </w:r>
          </w:p>
          <w:p w14:paraId="46668EE6" w14:textId="6E763870" w:rsidR="009A1C83" w:rsidRDefault="009A1C83" w:rsidP="004E3246">
            <w:pPr>
              <w:pStyle w:val="paragraph"/>
              <w:spacing w:before="0" w:beforeAutospacing="0" w:after="0" w:afterAutospacing="0"/>
              <w:rPr>
                <w:rStyle w:val="normaltextrun"/>
                <w:rFonts w:asciiTheme="minorHAnsi" w:eastAsiaTheme="minorHAnsi" w:hAnsiTheme="minorHAnsi"/>
                <w:color w:val="000000" w:themeColor="text1"/>
                <w:sz w:val="22"/>
                <w:szCs w:val="22"/>
              </w:rPr>
            </w:pPr>
          </w:p>
        </w:tc>
        <w:tc>
          <w:tcPr>
            <w:tcW w:w="3240" w:type="dxa"/>
          </w:tcPr>
          <w:p w14:paraId="6784F09C" w14:textId="0CB067BB" w:rsidR="009A1C83" w:rsidRDefault="00016E25" w:rsidP="004E3246">
            <w:pPr>
              <w:pStyle w:val="paragraph"/>
              <w:jc w:val="right"/>
              <w:rPr>
                <w:rStyle w:val="normaltextrun"/>
                <w:rFonts w:ascii="Calibri" w:eastAsiaTheme="minorHAnsi" w:hAnsi="Calibri" w:cs="Calibri"/>
                <w:b/>
                <w:bCs/>
                <w:color w:val="000000" w:themeColor="text1"/>
                <w:sz w:val="28"/>
                <w:szCs w:val="28"/>
              </w:rPr>
            </w:pPr>
            <w:r>
              <w:rPr>
                <w:noProof/>
              </w:rPr>
              <w:drawing>
                <wp:inline distT="0" distB="0" distL="0" distR="0" wp14:anchorId="6688187E" wp14:editId="71C74E47">
                  <wp:extent cx="1920240" cy="1287780"/>
                  <wp:effectExtent l="0" t="0" r="3810" b="7620"/>
                  <wp:docPr id="2065731441" name="Picture 1" descr="Photo of a y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31441" name="Picture 1" descr="Photo of a yacht"/>
                          <pic:cNvPicPr/>
                        </pic:nvPicPr>
                        <pic:blipFill>
                          <a:blip r:embed="rId11" cstate="screen">
                            <a:extLst>
                              <a:ext uri="{28A0092B-C50C-407E-A947-70E740481C1C}">
                                <a14:useLocalDpi xmlns:a14="http://schemas.microsoft.com/office/drawing/2010/main"/>
                              </a:ext>
                            </a:extLst>
                          </a:blip>
                          <a:stretch>
                            <a:fillRect/>
                          </a:stretch>
                        </pic:blipFill>
                        <pic:spPr>
                          <a:xfrm>
                            <a:off x="0" y="0"/>
                            <a:ext cx="1920240" cy="1287780"/>
                          </a:xfrm>
                          <a:prstGeom prst="rect">
                            <a:avLst/>
                          </a:prstGeom>
                        </pic:spPr>
                      </pic:pic>
                    </a:graphicData>
                  </a:graphic>
                </wp:inline>
              </w:drawing>
            </w:r>
          </w:p>
        </w:tc>
      </w:tr>
    </w:tbl>
    <w:bookmarkEnd w:id="0"/>
    <w:p w14:paraId="1570F9E9" w14:textId="77777777" w:rsidR="0052357D" w:rsidRPr="00492FDD" w:rsidRDefault="0052357D" w:rsidP="0052357D">
      <w:pPr>
        <w:pStyle w:val="paragraph"/>
        <w:spacing w:after="0"/>
        <w:textAlignment w:val="baseline"/>
        <w:rPr>
          <w:rFonts w:asciiTheme="minorHAnsi" w:eastAsiaTheme="minorHAnsi" w:hAnsiTheme="minorHAnsi" w:cstheme="minorBidi"/>
          <w:kern w:val="2"/>
          <w:sz w:val="22"/>
          <w:szCs w:val="22"/>
          <w:lang w:eastAsia="en-US"/>
          <w14:ligatures w14:val="standardContextual"/>
        </w:rPr>
      </w:pPr>
      <w:r w:rsidRPr="00492FDD">
        <w:rPr>
          <w:rFonts w:asciiTheme="minorHAnsi" w:eastAsiaTheme="minorHAnsi" w:hAnsiTheme="minorHAnsi" w:cstheme="minorBidi"/>
          <w:kern w:val="2"/>
          <w:sz w:val="22"/>
          <w:szCs w:val="22"/>
          <w:lang w:eastAsia="en-US"/>
          <w14:ligatures w14:val="standardContextual"/>
        </w:rPr>
        <w:t xml:space="preserve">The </w:t>
      </w:r>
      <w:r>
        <w:rPr>
          <w:rFonts w:asciiTheme="minorHAnsi" w:eastAsiaTheme="minorHAnsi" w:hAnsiTheme="minorHAnsi" w:cstheme="minorBidi"/>
          <w:kern w:val="2"/>
          <w:sz w:val="22"/>
          <w:szCs w:val="22"/>
          <w:lang w:eastAsia="en-US"/>
          <w14:ligatures w14:val="standardContextual"/>
        </w:rPr>
        <w:t xml:space="preserve">department </w:t>
      </w:r>
      <w:r w:rsidRPr="00492FDD">
        <w:rPr>
          <w:rFonts w:asciiTheme="minorHAnsi" w:eastAsiaTheme="minorHAnsi" w:hAnsiTheme="minorHAnsi" w:cstheme="minorBidi"/>
          <w:kern w:val="2"/>
          <w:sz w:val="22"/>
          <w:szCs w:val="22"/>
          <w:lang w:eastAsia="en-US"/>
          <w14:ligatures w14:val="standardContextual"/>
        </w:rPr>
        <w:t>is responsible for the biosecurity assessment and management of international crew members permanently leaving a vessel from Australian territory ports.</w:t>
      </w:r>
      <w:r>
        <w:rPr>
          <w:rFonts w:asciiTheme="minorHAnsi" w:eastAsiaTheme="minorHAnsi" w:hAnsiTheme="minorHAnsi" w:cstheme="minorBidi"/>
          <w:kern w:val="2"/>
          <w:sz w:val="22"/>
          <w:szCs w:val="22"/>
          <w:lang w:eastAsia="en-US"/>
          <w14:ligatures w14:val="standardContextual"/>
        </w:rPr>
        <w:t xml:space="preserve"> </w:t>
      </w:r>
      <w:r w:rsidRPr="00492FDD">
        <w:rPr>
          <w:rFonts w:asciiTheme="minorHAnsi" w:eastAsiaTheme="minorHAnsi" w:hAnsiTheme="minorHAnsi" w:cstheme="minorBidi"/>
          <w:kern w:val="2"/>
          <w:sz w:val="22"/>
          <w:szCs w:val="22"/>
          <w:lang w:eastAsia="en-US"/>
          <w14:ligatures w14:val="standardContextual"/>
        </w:rPr>
        <w:t xml:space="preserve">Crew members must report any intended crew changes under (s48(2)f) of the Biosecurity Regulation 2016. </w:t>
      </w:r>
    </w:p>
    <w:p w14:paraId="2A30191E" w14:textId="77777777" w:rsidR="0052357D" w:rsidRDefault="0052357D" w:rsidP="0052357D">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492FDD">
        <w:rPr>
          <w:rFonts w:asciiTheme="minorHAnsi" w:eastAsiaTheme="minorHAnsi" w:hAnsiTheme="minorHAnsi" w:cstheme="minorBidi"/>
          <w:kern w:val="2"/>
          <w:sz w:val="22"/>
          <w:szCs w:val="22"/>
          <w:lang w:eastAsia="en-US"/>
          <w14:ligatures w14:val="standardContextual"/>
        </w:rPr>
        <w:t xml:space="preserve">Crew are not permitted to take biosecurity risk items off the vessel. Biosecurity risk items are any items that pose a risk of introducing any exotic weed, </w:t>
      </w:r>
      <w:proofErr w:type="gramStart"/>
      <w:r w:rsidRPr="00492FDD">
        <w:rPr>
          <w:rFonts w:asciiTheme="minorHAnsi" w:eastAsiaTheme="minorHAnsi" w:hAnsiTheme="minorHAnsi" w:cstheme="minorBidi"/>
          <w:kern w:val="2"/>
          <w:sz w:val="22"/>
          <w:szCs w:val="22"/>
          <w:lang w:eastAsia="en-US"/>
          <w14:ligatures w14:val="standardContextual"/>
        </w:rPr>
        <w:t>pests</w:t>
      </w:r>
      <w:proofErr w:type="gramEnd"/>
      <w:r w:rsidRPr="00492FDD">
        <w:rPr>
          <w:rFonts w:asciiTheme="minorHAnsi" w:eastAsiaTheme="minorHAnsi" w:hAnsiTheme="minorHAnsi" w:cstheme="minorBidi"/>
          <w:kern w:val="2"/>
          <w:sz w:val="22"/>
          <w:szCs w:val="22"/>
          <w:lang w:eastAsia="en-US"/>
          <w14:ligatures w14:val="standardContextual"/>
        </w:rPr>
        <w:t xml:space="preserve"> or disease into Australian territory.</w:t>
      </w:r>
    </w:p>
    <w:p w14:paraId="12405397" w14:textId="77777777" w:rsidR="0052357D" w:rsidRDefault="0052357D" w:rsidP="0052357D">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48D38A77" w14:textId="77777777" w:rsidR="0052357D" w:rsidRPr="002B38E7" w:rsidRDefault="0052357D" w:rsidP="0052357D">
      <w:pPr>
        <w:pStyle w:val="paragraph"/>
        <w:spacing w:before="0" w:beforeAutospacing="0" w:after="0" w:afterAutospacing="0"/>
        <w:textAlignment w:val="baseline"/>
        <w:rPr>
          <w:rStyle w:val="normaltextrun"/>
          <w:rFonts w:ascii="Calibri" w:eastAsiaTheme="minorHAnsi" w:hAnsi="Calibri" w:cs="Calibri"/>
          <w:b/>
          <w:bCs/>
          <w:color w:val="000000"/>
        </w:rPr>
      </w:pPr>
      <w:r w:rsidRPr="002B38E7">
        <w:rPr>
          <w:rStyle w:val="normaltextrun"/>
          <w:rFonts w:ascii="Calibri" w:eastAsiaTheme="minorHAnsi" w:hAnsi="Calibri" w:cs="Calibri"/>
          <w:b/>
          <w:bCs/>
          <w:color w:val="000000"/>
        </w:rPr>
        <w:t>When to do it</w:t>
      </w:r>
    </w:p>
    <w:p w14:paraId="7673E36D" w14:textId="06BDCA6D" w:rsidR="0052357D" w:rsidRDefault="0052357D" w:rsidP="0052357D">
      <w:r>
        <w:t xml:space="preserve">Non-commercial vessels must submit a pre-arrival report (PAR) up to 90 days to 12 hours prior to the estimated arrival of the vessel into Australian territory. </w:t>
      </w:r>
    </w:p>
    <w:p w14:paraId="0AAFD783" w14:textId="6FF12478" w:rsidR="00D85DBB" w:rsidRPr="00C54B77" w:rsidRDefault="00D85DBB" w:rsidP="00D85DBB">
      <w:pPr>
        <w:pStyle w:val="paragraph"/>
        <w:spacing w:before="0" w:beforeAutospacing="0" w:after="0" w:afterAutospacing="0"/>
        <w:textAlignment w:val="baseline"/>
        <w:rPr>
          <w:rStyle w:val="normaltextrun"/>
          <w:rFonts w:ascii="Calibri" w:eastAsiaTheme="minorHAnsi" w:hAnsi="Calibri" w:cs="Calibri"/>
          <w:b/>
          <w:bCs/>
          <w:color w:val="000000"/>
        </w:rPr>
      </w:pPr>
      <w:r w:rsidRPr="00C54B77">
        <w:rPr>
          <w:rStyle w:val="normaltextrun"/>
          <w:rFonts w:ascii="Calibri" w:eastAsiaTheme="minorHAnsi" w:hAnsi="Calibri" w:cs="Calibri"/>
          <w:b/>
          <w:bCs/>
          <w:color w:val="000000"/>
        </w:rPr>
        <w:t>How to do it</w:t>
      </w:r>
    </w:p>
    <w:p w14:paraId="25C856B5" w14:textId="77777777" w:rsidR="007E1425" w:rsidRDefault="007E1425" w:rsidP="007E1425">
      <w:r>
        <w:t xml:space="preserve">Navigate to the department’s non-commercial vessel webpage at: </w:t>
      </w:r>
      <w:hyperlink r:id="rId12">
        <w:r w:rsidRPr="7F0DD961">
          <w:rPr>
            <w:rStyle w:val="Hyperlink"/>
          </w:rPr>
          <w:t>Non-commercial vessel arrival biosecurity reporting - yachts and private superyachts - DAFF (agriculture.gov.au)</w:t>
        </w:r>
      </w:hyperlink>
      <w:r>
        <w:t xml:space="preserve"> for comprehensive information and biosecurity requirements on reporting an impending arrival in Australian territory, preparing for arrival and what to expect from the biosecurity inspection.</w:t>
      </w:r>
    </w:p>
    <w:p w14:paraId="11B31414" w14:textId="7C958365" w:rsidR="007E1425" w:rsidRPr="00F32D08" w:rsidRDefault="007E1425" w:rsidP="007E1425">
      <w:pPr>
        <w:pStyle w:val="paragraph"/>
        <w:numPr>
          <w:ilvl w:val="0"/>
          <w:numId w:val="12"/>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bookmarkStart w:id="1" w:name="_Hlk148513767"/>
      <w:r w:rsidRPr="00F32D08">
        <w:rPr>
          <w:rStyle w:val="normaltextrun"/>
          <w:rFonts w:asciiTheme="minorHAnsi" w:eastAsiaTheme="minorHAnsi" w:hAnsiTheme="minorHAnsi" w:cstheme="minorHAnsi"/>
          <w:color w:val="000000"/>
          <w:sz w:val="22"/>
          <w:szCs w:val="22"/>
        </w:rPr>
        <w:t>Give notice of impending arrival 90 days to no less than 12 hours before arrival</w:t>
      </w:r>
      <w:r w:rsidR="00F26BFF">
        <w:rPr>
          <w:rStyle w:val="normaltextrun"/>
          <w:rFonts w:asciiTheme="minorHAnsi" w:eastAsiaTheme="minorHAnsi" w:hAnsiTheme="minorHAnsi" w:cstheme="minorHAnsi"/>
          <w:color w:val="000000"/>
          <w:sz w:val="22"/>
          <w:szCs w:val="22"/>
        </w:rPr>
        <w:t xml:space="preserve"> in Australian territory</w:t>
      </w:r>
      <w:r>
        <w:rPr>
          <w:rStyle w:val="normaltextrun"/>
          <w:rFonts w:asciiTheme="minorHAnsi" w:eastAsiaTheme="minorHAnsi" w:hAnsiTheme="minorHAnsi" w:cstheme="minorHAnsi"/>
          <w:color w:val="000000"/>
          <w:sz w:val="22"/>
          <w:szCs w:val="22"/>
        </w:rPr>
        <w:t>.</w:t>
      </w:r>
    </w:p>
    <w:p w14:paraId="1E161132" w14:textId="77777777" w:rsidR="007E1425" w:rsidRDefault="007E1425" w:rsidP="007E1425">
      <w:pPr>
        <w:pStyle w:val="paragraph"/>
        <w:numPr>
          <w:ilvl w:val="0"/>
          <w:numId w:val="12"/>
        </w:numPr>
        <w:spacing w:before="0" w:beforeAutospacing="0" w:after="12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Submit t</w:t>
      </w:r>
      <w:r w:rsidRPr="000C20C6">
        <w:rPr>
          <w:rFonts w:asciiTheme="minorHAnsi" w:hAnsiTheme="minorHAnsi" w:cstheme="minorHAnsi"/>
          <w:color w:val="000000"/>
          <w:sz w:val="22"/>
          <w:szCs w:val="22"/>
        </w:rPr>
        <w:t xml:space="preserve">he </w:t>
      </w:r>
      <w:r>
        <w:rPr>
          <w:rFonts w:asciiTheme="minorHAnsi" w:hAnsiTheme="minorHAnsi" w:cstheme="minorHAnsi"/>
          <w:color w:val="000000"/>
          <w:sz w:val="22"/>
          <w:szCs w:val="22"/>
        </w:rPr>
        <w:t>electronic P</w:t>
      </w:r>
      <w:r w:rsidRPr="000C20C6">
        <w:rPr>
          <w:rFonts w:asciiTheme="minorHAnsi" w:hAnsiTheme="minorHAnsi" w:cstheme="minorHAnsi"/>
          <w:color w:val="000000"/>
          <w:sz w:val="22"/>
          <w:szCs w:val="22"/>
        </w:rPr>
        <w:t>re-</w:t>
      </w:r>
      <w:r>
        <w:rPr>
          <w:rFonts w:asciiTheme="minorHAnsi" w:hAnsiTheme="minorHAnsi" w:cstheme="minorHAnsi"/>
          <w:color w:val="000000"/>
          <w:sz w:val="22"/>
          <w:szCs w:val="22"/>
        </w:rPr>
        <w:t>A</w:t>
      </w:r>
      <w:r w:rsidRPr="000C20C6">
        <w:rPr>
          <w:rFonts w:asciiTheme="minorHAnsi" w:hAnsiTheme="minorHAnsi" w:cstheme="minorHAnsi"/>
          <w:color w:val="000000"/>
          <w:sz w:val="22"/>
          <w:szCs w:val="22"/>
        </w:rPr>
        <w:t xml:space="preserve">rrival </w:t>
      </w:r>
      <w:r>
        <w:rPr>
          <w:rFonts w:asciiTheme="minorHAnsi" w:hAnsiTheme="minorHAnsi" w:cstheme="minorHAnsi"/>
          <w:color w:val="000000"/>
          <w:sz w:val="22"/>
          <w:szCs w:val="22"/>
        </w:rPr>
        <w:t>R</w:t>
      </w:r>
      <w:r w:rsidRPr="000C20C6">
        <w:rPr>
          <w:rFonts w:asciiTheme="minorHAnsi" w:hAnsiTheme="minorHAnsi" w:cstheme="minorHAnsi"/>
          <w:color w:val="000000"/>
          <w:sz w:val="22"/>
          <w:szCs w:val="22"/>
        </w:rPr>
        <w:t xml:space="preserve">eport </w:t>
      </w:r>
      <w:r>
        <w:rPr>
          <w:rFonts w:asciiTheme="minorHAnsi" w:hAnsiTheme="minorHAnsi" w:cstheme="minorHAnsi"/>
          <w:color w:val="000000"/>
          <w:sz w:val="22"/>
          <w:szCs w:val="22"/>
        </w:rPr>
        <w:t xml:space="preserve">(PAR), available from </w:t>
      </w:r>
      <w:hyperlink r:id="rId13" w:history="1">
        <w:r w:rsidRPr="00935A6F">
          <w:rPr>
            <w:rStyle w:val="Hyperlink"/>
            <w:rFonts w:asciiTheme="minorHAnsi" w:eastAsiaTheme="minorHAnsi" w:hAnsiTheme="minorHAnsi" w:cstheme="minorHAnsi"/>
            <w:sz w:val="22"/>
          </w:rPr>
          <w:t>www.</w:t>
        </w:r>
        <w:r>
          <w:rPr>
            <w:rStyle w:val="Hyperlink"/>
            <w:rFonts w:asciiTheme="minorHAnsi" w:eastAsiaTheme="minorHAnsi" w:hAnsiTheme="minorHAnsi" w:cstheme="minorHAnsi"/>
            <w:sz w:val="22"/>
          </w:rPr>
          <w:t xml:space="preserve"> </w:t>
        </w:r>
        <w:r w:rsidRPr="00935A6F">
          <w:rPr>
            <w:rStyle w:val="Hyperlink"/>
            <w:rFonts w:asciiTheme="minorHAnsi" w:eastAsiaTheme="minorHAnsi" w:hAnsiTheme="minorHAnsi" w:cstheme="minorHAnsi"/>
            <w:sz w:val="22"/>
          </w:rPr>
          <w:t>agriculture.gov.au/biosecurity-trade/aircraft-vessels-military/vessels/non-commercial-vessels</w:t>
        </w:r>
      </w:hyperlink>
      <w:r>
        <w:rPr>
          <w:rFonts w:asciiTheme="minorHAnsi" w:hAnsiTheme="minorHAnsi" w:cstheme="minorHAnsi"/>
          <w:color w:val="000000"/>
          <w:sz w:val="22"/>
          <w:szCs w:val="22"/>
        </w:rPr>
        <w:t xml:space="preserve"> </w:t>
      </w:r>
    </w:p>
    <w:p w14:paraId="4F9E5B0B" w14:textId="77777777" w:rsidR="007E1425" w:rsidRPr="008D43AD" w:rsidRDefault="007E1425" w:rsidP="007E1425">
      <w:pPr>
        <w:pStyle w:val="paragraph"/>
        <w:numPr>
          <w:ilvl w:val="0"/>
          <w:numId w:val="12"/>
        </w:numPr>
        <w:spacing w:before="0" w:beforeAutospacing="0" w:after="120" w:afterAutospacing="0"/>
        <w:ind w:left="357" w:hanging="357"/>
        <w:textAlignment w:val="baseline"/>
        <w:rPr>
          <w:rFonts w:asciiTheme="minorHAnsi" w:hAnsiTheme="minorHAnsi" w:cstheme="minorHAnsi"/>
          <w:sz w:val="22"/>
          <w:szCs w:val="22"/>
        </w:rPr>
      </w:pPr>
      <w:r w:rsidRPr="00F32D08">
        <w:rPr>
          <w:rFonts w:asciiTheme="minorHAnsi" w:hAnsiTheme="minorHAnsi" w:cstheme="minorHAnsi"/>
          <w:color w:val="000000"/>
          <w:sz w:val="22"/>
          <w:szCs w:val="22"/>
        </w:rPr>
        <w:t xml:space="preserve">Report </w:t>
      </w:r>
      <w:r>
        <w:rPr>
          <w:rFonts w:asciiTheme="minorHAnsi" w:hAnsiTheme="minorHAnsi" w:cstheme="minorHAnsi"/>
          <w:color w:val="000000"/>
          <w:sz w:val="22"/>
          <w:szCs w:val="22"/>
        </w:rPr>
        <w:t xml:space="preserve">any changes in </w:t>
      </w:r>
      <w:r w:rsidRPr="00F32D08">
        <w:rPr>
          <w:rFonts w:asciiTheme="minorHAnsi" w:hAnsiTheme="minorHAnsi" w:cstheme="minorHAnsi"/>
          <w:color w:val="000000"/>
          <w:sz w:val="22"/>
          <w:szCs w:val="22"/>
        </w:rPr>
        <w:t>arrival into Australian territory using the department’s biosecurity </w:t>
      </w:r>
      <w:hyperlink r:id="rId14" w:tooltip="Vessel Contacts" w:history="1">
        <w:r w:rsidRPr="00F32D08">
          <w:rPr>
            <w:rStyle w:val="Hyperlink"/>
            <w:rFonts w:asciiTheme="minorHAnsi" w:eastAsiaTheme="minorHAnsi" w:hAnsiTheme="minorHAnsi" w:cstheme="minorHAnsi"/>
            <w:color w:val="006A94"/>
            <w:sz w:val="22"/>
          </w:rPr>
          <w:t>Vessel Contacts</w:t>
        </w:r>
      </w:hyperlink>
      <w:r w:rsidRPr="00F32D08">
        <w:rPr>
          <w:rFonts w:asciiTheme="minorHAnsi" w:hAnsiTheme="minorHAnsi" w:cstheme="minorHAnsi"/>
          <w:color w:val="000000"/>
          <w:sz w:val="22"/>
          <w:szCs w:val="22"/>
        </w:rPr>
        <w:t xml:space="preserve"> of key </w:t>
      </w:r>
      <w:r w:rsidRPr="00F32D08">
        <w:rPr>
          <w:rStyle w:val="normaltextrun"/>
          <w:rFonts w:asciiTheme="minorHAnsi" w:eastAsiaTheme="minorHAnsi" w:hAnsiTheme="minorHAnsi" w:cstheme="minorHAnsi"/>
          <w:sz w:val="22"/>
          <w:szCs w:val="22"/>
        </w:rPr>
        <w:t>biosecurity port office contact details.</w:t>
      </w:r>
    </w:p>
    <w:p w14:paraId="06182285" w14:textId="4C674FDE" w:rsidR="00D64EB2" w:rsidRPr="006C01DC" w:rsidRDefault="00D64EB2" w:rsidP="00D64EB2">
      <w:pPr>
        <w:pStyle w:val="paragraph"/>
        <w:numPr>
          <w:ilvl w:val="0"/>
          <w:numId w:val="12"/>
        </w:numPr>
        <w:spacing w:before="0" w:beforeAutospacing="0" w:after="120" w:afterAutospacing="0"/>
        <w:textAlignment w:val="baseline"/>
        <w:rPr>
          <w:rFonts w:asciiTheme="minorHAnsi" w:hAnsiTheme="minorHAnsi" w:cstheme="minorBidi"/>
          <w:color w:val="000000" w:themeColor="text1"/>
          <w:sz w:val="22"/>
          <w:szCs w:val="22"/>
        </w:rPr>
      </w:pPr>
      <w:r w:rsidRPr="006C01DC">
        <w:rPr>
          <w:rFonts w:asciiTheme="minorHAnsi" w:hAnsiTheme="minorHAnsi" w:cstheme="minorBidi"/>
          <w:color w:val="000000" w:themeColor="text1"/>
          <w:sz w:val="22"/>
          <w:szCs w:val="22"/>
        </w:rPr>
        <w:lastRenderedPageBreak/>
        <w:t xml:space="preserve">Non-commercial vessels arriving from an international destination (the previous port) may only arrive at some Australian ports if the port has been determined as a First Point of Entry (FPOE) for </w:t>
      </w:r>
      <w:r w:rsidR="00E01B06">
        <w:rPr>
          <w:rFonts w:asciiTheme="minorHAnsi" w:hAnsiTheme="minorHAnsi" w:cstheme="minorBidi"/>
          <w:color w:val="000000" w:themeColor="text1"/>
          <w:sz w:val="22"/>
          <w:szCs w:val="22"/>
        </w:rPr>
        <w:br/>
      </w:r>
      <w:r w:rsidRPr="006C01DC">
        <w:rPr>
          <w:rFonts w:asciiTheme="minorHAnsi" w:hAnsiTheme="minorHAnsi" w:cstheme="minorBidi"/>
          <w:color w:val="000000" w:themeColor="text1"/>
          <w:sz w:val="22"/>
          <w:szCs w:val="22"/>
        </w:rPr>
        <w:t xml:space="preserve">non-commercial vessels under s229 of the </w:t>
      </w:r>
      <w:r w:rsidRPr="006C01DC">
        <w:rPr>
          <w:rFonts w:asciiTheme="minorHAnsi" w:hAnsiTheme="minorHAnsi" w:cstheme="minorBidi"/>
          <w:i/>
          <w:iCs/>
          <w:color w:val="000000" w:themeColor="text1"/>
          <w:sz w:val="22"/>
          <w:szCs w:val="22"/>
        </w:rPr>
        <w:t>Biosecurity Act 2015</w:t>
      </w:r>
      <w:r w:rsidRPr="006C01DC">
        <w:rPr>
          <w:rFonts w:asciiTheme="minorHAnsi" w:hAnsiTheme="minorHAnsi" w:cstheme="minorBidi"/>
          <w:color w:val="000000" w:themeColor="text1"/>
          <w:sz w:val="22"/>
          <w:szCs w:val="22"/>
        </w:rPr>
        <w:t>. The FPOEs for non-commercial vessels are:</w:t>
      </w:r>
    </w:p>
    <w:p w14:paraId="66F10348" w14:textId="053886D2" w:rsidR="00D64EB2" w:rsidRPr="001F21DA" w:rsidRDefault="00D64EB2" w:rsidP="004A2EEA">
      <w:pPr>
        <w:pStyle w:val="paragraph"/>
        <w:numPr>
          <w:ilvl w:val="0"/>
          <w:numId w:val="14"/>
        </w:numPr>
        <w:shd w:val="clear" w:color="auto" w:fill="FFFFFF"/>
        <w:spacing w:before="60" w:beforeAutospacing="0" w:after="60" w:afterAutospacing="0"/>
        <w:ind w:left="714" w:hanging="357"/>
        <w:textAlignment w:val="baseline"/>
        <w:rPr>
          <w:rFonts w:asciiTheme="minorHAnsi" w:hAnsiTheme="minorHAnsi" w:cstheme="minorHAnsi"/>
          <w:color w:val="000000"/>
          <w:sz w:val="22"/>
          <w:szCs w:val="22"/>
        </w:rPr>
      </w:pPr>
      <w:r w:rsidRPr="001F21DA">
        <w:rPr>
          <w:rStyle w:val="Strong"/>
          <w:rFonts w:asciiTheme="minorHAnsi" w:eastAsiaTheme="minorHAnsi" w:hAnsiTheme="minorHAnsi" w:cstheme="minorHAnsi"/>
          <w:b w:val="0"/>
          <w:bCs w:val="0"/>
          <w:color w:val="000000"/>
          <w:sz w:val="22"/>
        </w:rPr>
        <w:t>Northern Territory (NT):</w:t>
      </w:r>
      <w:r w:rsidRPr="001F21DA">
        <w:rPr>
          <w:rStyle w:val="Strong"/>
          <w:rFonts w:asciiTheme="minorHAnsi" w:eastAsiaTheme="minorHAnsi" w:hAnsiTheme="minorHAnsi" w:cstheme="minorHAnsi"/>
          <w:b w:val="0"/>
          <w:bCs w:val="0"/>
          <w:sz w:val="22"/>
        </w:rPr>
        <w:t xml:space="preserve"> Darwin</w:t>
      </w:r>
    </w:p>
    <w:p w14:paraId="4717DF7C" w14:textId="77777777" w:rsidR="00D64EB2" w:rsidRPr="001F21DA" w:rsidRDefault="00D64EB2" w:rsidP="004A2EEA">
      <w:pPr>
        <w:pStyle w:val="NormalWeb"/>
        <w:numPr>
          <w:ilvl w:val="0"/>
          <w:numId w:val="14"/>
        </w:numPr>
        <w:shd w:val="clear" w:color="auto" w:fill="FFFFFF" w:themeFill="background1"/>
        <w:spacing w:before="60" w:after="60" w:line="240" w:lineRule="auto"/>
        <w:ind w:left="714" w:hanging="357"/>
        <w:jc w:val="left"/>
        <w:rPr>
          <w:rFonts w:asciiTheme="minorHAnsi" w:hAnsiTheme="minorHAnsi"/>
          <w:color w:val="000000"/>
          <w:sz w:val="22"/>
          <w:szCs w:val="22"/>
        </w:rPr>
      </w:pPr>
      <w:r w:rsidRPr="001F21DA">
        <w:rPr>
          <w:rStyle w:val="Strong"/>
          <w:rFonts w:asciiTheme="minorHAnsi" w:hAnsiTheme="minorHAnsi"/>
          <w:b w:val="0"/>
          <w:bCs w:val="0"/>
          <w:color w:val="000000" w:themeColor="text1"/>
          <w:sz w:val="22"/>
        </w:rPr>
        <w:t>Queensland (QLD):</w:t>
      </w:r>
      <w:r w:rsidRPr="001F21DA">
        <w:rPr>
          <w:rFonts w:asciiTheme="minorHAnsi" w:hAnsiTheme="minorHAnsi"/>
          <w:color w:val="000000" w:themeColor="text1"/>
          <w:sz w:val="22"/>
          <w:szCs w:val="22"/>
        </w:rPr>
        <w:t> Brisbane, Bundaberg, Cairns, Coral Sea Marina Airlie Beach, Gladstone, Gold Coast Broadwater, Mackay, Townsville, and Port Kennedy (Thursday Island and Horn Island)</w:t>
      </w:r>
    </w:p>
    <w:p w14:paraId="79E57B53" w14:textId="77777777" w:rsidR="00D64EB2" w:rsidRPr="001F21DA" w:rsidRDefault="00D64EB2" w:rsidP="004A2EEA">
      <w:pPr>
        <w:pStyle w:val="NormalWeb"/>
        <w:numPr>
          <w:ilvl w:val="0"/>
          <w:numId w:val="14"/>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t>New South Wales (NSW):</w:t>
      </w:r>
      <w:r w:rsidRPr="001F21DA">
        <w:rPr>
          <w:rFonts w:asciiTheme="minorHAnsi" w:hAnsiTheme="minorHAnsi" w:cstheme="minorHAnsi"/>
          <w:color w:val="000000"/>
          <w:sz w:val="22"/>
          <w:szCs w:val="22"/>
        </w:rPr>
        <w:t> Coffs Harbour, Newcastle, Sydney</w:t>
      </w:r>
    </w:p>
    <w:p w14:paraId="73B912D7" w14:textId="77777777" w:rsidR="00D64EB2" w:rsidRPr="001F21DA" w:rsidRDefault="00D64EB2" w:rsidP="004A2EEA">
      <w:pPr>
        <w:pStyle w:val="NormalWeb"/>
        <w:numPr>
          <w:ilvl w:val="0"/>
          <w:numId w:val="14"/>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t>Western Australia (WA): Fremantle</w:t>
      </w:r>
      <w:r w:rsidRPr="001F21DA">
        <w:rPr>
          <w:rFonts w:asciiTheme="minorHAnsi" w:hAnsiTheme="minorHAnsi" w:cstheme="minorHAnsi"/>
          <w:color w:val="000000"/>
          <w:sz w:val="22"/>
          <w:szCs w:val="22"/>
        </w:rPr>
        <w:t xml:space="preserve"> </w:t>
      </w:r>
    </w:p>
    <w:p w14:paraId="1E14AD55" w14:textId="6498EAD9" w:rsidR="00D64EB2" w:rsidRPr="001F21DA" w:rsidRDefault="00D64EB2" w:rsidP="004A2EEA">
      <w:pPr>
        <w:pStyle w:val="NormalWeb"/>
        <w:numPr>
          <w:ilvl w:val="0"/>
          <w:numId w:val="14"/>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t>Tasmania (TAS): Hobart, Launceston (Bell Bay)</w:t>
      </w:r>
    </w:p>
    <w:p w14:paraId="1A4A46A9" w14:textId="77777777" w:rsidR="00D64EB2" w:rsidRPr="001F21DA" w:rsidRDefault="00D64EB2" w:rsidP="004A2EEA">
      <w:pPr>
        <w:pStyle w:val="ListParagraph"/>
        <w:numPr>
          <w:ilvl w:val="0"/>
          <w:numId w:val="14"/>
        </w:numPr>
        <w:shd w:val="clear" w:color="auto" w:fill="FFFFFF" w:themeFill="background1"/>
        <w:spacing w:before="60" w:after="60" w:line="240" w:lineRule="auto"/>
        <w:ind w:left="714" w:hanging="357"/>
        <w:rPr>
          <w:color w:val="000000"/>
        </w:rPr>
      </w:pPr>
      <w:r w:rsidRPr="001F21DA">
        <w:rPr>
          <w:rStyle w:val="Strong"/>
          <w:b w:val="0"/>
          <w:bCs w:val="0"/>
          <w:color w:val="000000" w:themeColor="text1"/>
        </w:rPr>
        <w:t>External Territories:</w:t>
      </w:r>
      <w:r w:rsidRPr="001F21DA">
        <w:rPr>
          <w:color w:val="000000" w:themeColor="text1"/>
        </w:rPr>
        <w:t> Christmas Island, Cocos (Keeling) Islands, Norfolk Island.</w:t>
      </w:r>
    </w:p>
    <w:p w14:paraId="2E857E63" w14:textId="77777777" w:rsidR="00D64EB2" w:rsidRPr="001F21DA" w:rsidRDefault="00D64EB2" w:rsidP="00D64EB2">
      <w:pPr>
        <w:shd w:val="clear" w:color="auto" w:fill="FFFFFF" w:themeFill="background1"/>
        <w:spacing w:after="0" w:line="240" w:lineRule="auto"/>
        <w:ind w:left="357"/>
        <w:rPr>
          <w:color w:val="000000"/>
        </w:rPr>
      </w:pPr>
    </w:p>
    <w:p w14:paraId="524E7042" w14:textId="77777777" w:rsidR="00D64EB2" w:rsidRPr="00F32D08" w:rsidRDefault="00D64EB2" w:rsidP="00D64EB2">
      <w:pPr>
        <w:pStyle w:val="paragraph"/>
        <w:numPr>
          <w:ilvl w:val="0"/>
          <w:numId w:val="12"/>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r w:rsidRPr="46BF4FF8">
        <w:rPr>
          <w:rStyle w:val="normaltextrun"/>
          <w:rFonts w:asciiTheme="minorHAnsi" w:eastAsiaTheme="minorHAnsi" w:hAnsiTheme="minorHAnsi"/>
          <w:color w:val="000000" w:themeColor="text1"/>
          <w:sz w:val="22"/>
          <w:szCs w:val="22"/>
        </w:rPr>
        <w:t>Enter Australia through a designated FPOE for non-commercial vessels.</w:t>
      </w:r>
    </w:p>
    <w:p w14:paraId="6C2D17CE" w14:textId="77777777" w:rsidR="007E1425" w:rsidRDefault="007E1425" w:rsidP="007E1425">
      <w:pPr>
        <w:pStyle w:val="paragraph"/>
        <w:numPr>
          <w:ilvl w:val="0"/>
          <w:numId w:val="12"/>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sidRPr="00F32D08">
        <w:rPr>
          <w:rStyle w:val="normaltextrun"/>
          <w:rFonts w:asciiTheme="minorHAnsi" w:eastAsiaTheme="minorHAnsi" w:hAnsiTheme="minorHAnsi" w:cstheme="minorHAnsi"/>
          <w:color w:val="000000"/>
          <w:sz w:val="22"/>
          <w:szCs w:val="22"/>
        </w:rPr>
        <w:t xml:space="preserve">Be granted pratique before disembarkation or unloading of </w:t>
      </w:r>
      <w:r>
        <w:rPr>
          <w:rStyle w:val="normaltextrun"/>
          <w:rFonts w:asciiTheme="minorHAnsi" w:eastAsiaTheme="minorHAnsi" w:hAnsiTheme="minorHAnsi" w:cstheme="minorHAnsi"/>
          <w:color w:val="000000"/>
          <w:sz w:val="22"/>
          <w:szCs w:val="22"/>
        </w:rPr>
        <w:t>goods</w:t>
      </w:r>
      <w:r w:rsidRPr="00F32D08">
        <w:rPr>
          <w:rStyle w:val="normaltextrun"/>
          <w:rFonts w:asciiTheme="minorHAnsi" w:eastAsiaTheme="minorHAnsi" w:hAnsiTheme="minorHAnsi" w:cstheme="minorHAnsi"/>
          <w:color w:val="000000"/>
          <w:sz w:val="22"/>
          <w:szCs w:val="22"/>
        </w:rPr>
        <w:t>.</w:t>
      </w:r>
    </w:p>
    <w:p w14:paraId="5DA8B854" w14:textId="77777777" w:rsidR="007E1425" w:rsidRPr="0033577C" w:rsidRDefault="007E1425" w:rsidP="007E1425">
      <w:pPr>
        <w:pStyle w:val="paragraph"/>
        <w:spacing w:before="0" w:beforeAutospacing="0" w:after="120" w:afterAutospacing="0"/>
        <w:textAlignment w:val="baseline"/>
        <w:rPr>
          <w:rStyle w:val="normaltextrun"/>
          <w:rFonts w:asciiTheme="minorHAnsi" w:eastAsiaTheme="minorHAnsi" w:hAnsiTheme="minorHAnsi" w:cstheme="minorHAnsi"/>
          <w:b/>
          <w:bCs/>
          <w:color w:val="000000"/>
          <w:sz w:val="22"/>
          <w:szCs w:val="22"/>
        </w:rPr>
      </w:pPr>
      <w:bookmarkStart w:id="2" w:name="_Hlk148513204"/>
      <w:bookmarkEnd w:id="1"/>
      <w:r w:rsidRPr="0033577C">
        <w:rPr>
          <w:rStyle w:val="normaltextrun"/>
          <w:rFonts w:asciiTheme="minorHAnsi" w:eastAsiaTheme="minorHAnsi" w:hAnsiTheme="minorHAnsi" w:cstheme="minorHAnsi"/>
          <w:b/>
          <w:bCs/>
          <w:color w:val="000000"/>
          <w:sz w:val="22"/>
          <w:szCs w:val="22"/>
        </w:rPr>
        <w:t>Any changes in circumstances must be reported to the department as soon as practica</w:t>
      </w:r>
      <w:r>
        <w:rPr>
          <w:rStyle w:val="normaltextrun"/>
          <w:rFonts w:asciiTheme="minorHAnsi" w:eastAsiaTheme="minorHAnsi" w:hAnsiTheme="minorHAnsi" w:cstheme="minorHAnsi"/>
          <w:b/>
          <w:bCs/>
          <w:color w:val="000000"/>
          <w:sz w:val="22"/>
          <w:szCs w:val="22"/>
        </w:rPr>
        <w:t>l.</w:t>
      </w:r>
    </w:p>
    <w:p w14:paraId="1E92D6D7" w14:textId="77777777" w:rsidR="007E1425" w:rsidRPr="00FF3DA2" w:rsidRDefault="007E1425" w:rsidP="007E1425">
      <w:pPr>
        <w:rPr>
          <w:b/>
          <w:bCs/>
          <w:sz w:val="24"/>
          <w:szCs w:val="24"/>
        </w:rPr>
      </w:pPr>
      <w:bookmarkStart w:id="3" w:name="_Hlk148513212"/>
      <w:bookmarkEnd w:id="2"/>
      <w:r w:rsidRPr="00FF3DA2">
        <w:rPr>
          <w:b/>
          <w:bCs/>
          <w:sz w:val="24"/>
          <w:szCs w:val="24"/>
        </w:rPr>
        <w:t xml:space="preserve">What next? </w:t>
      </w:r>
    </w:p>
    <w:p w14:paraId="0248BD4B" w14:textId="1BC4142D" w:rsidR="007E1425" w:rsidRPr="00FE3E91" w:rsidRDefault="007E1425" w:rsidP="00054145">
      <w:pPr>
        <w:pStyle w:val="paragraph"/>
        <w:numPr>
          <w:ilvl w:val="0"/>
          <w:numId w:val="12"/>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bookmarkStart w:id="4" w:name="_Hlk148513300"/>
      <w:bookmarkEnd w:id="3"/>
      <w:r w:rsidRPr="5C7EFD63">
        <w:rPr>
          <w:rStyle w:val="normaltextrun"/>
          <w:rFonts w:asciiTheme="minorHAnsi" w:eastAsiaTheme="minorHAnsi" w:hAnsiTheme="minorHAnsi"/>
          <w:color w:val="000000" w:themeColor="text1"/>
          <w:sz w:val="22"/>
          <w:szCs w:val="22"/>
        </w:rPr>
        <w:t xml:space="preserve">The </w:t>
      </w:r>
      <w:r>
        <w:rPr>
          <w:rStyle w:val="normaltextrun"/>
          <w:rFonts w:asciiTheme="minorHAnsi" w:eastAsiaTheme="minorHAnsi" w:hAnsiTheme="minorHAnsi"/>
          <w:color w:val="000000" w:themeColor="text1"/>
          <w:sz w:val="22"/>
          <w:szCs w:val="22"/>
        </w:rPr>
        <w:t>PAR</w:t>
      </w:r>
      <w:r w:rsidRPr="5C7EFD63">
        <w:rPr>
          <w:rStyle w:val="normaltextrun"/>
          <w:rFonts w:asciiTheme="minorHAnsi" w:eastAsiaTheme="minorHAnsi" w:hAnsiTheme="minorHAnsi"/>
          <w:color w:val="000000" w:themeColor="text1"/>
          <w:sz w:val="22"/>
          <w:szCs w:val="22"/>
        </w:rPr>
        <w:t xml:space="preserve"> will be assessed by biosecurity officers at the nominated arrival port </w:t>
      </w:r>
      <w:bookmarkEnd w:id="4"/>
      <w:r w:rsidRPr="5C7EFD63">
        <w:rPr>
          <w:rStyle w:val="normaltextrun"/>
          <w:rFonts w:asciiTheme="minorHAnsi" w:eastAsiaTheme="minorHAnsi" w:hAnsiTheme="minorHAnsi"/>
          <w:color w:val="000000" w:themeColor="text1"/>
          <w:sz w:val="22"/>
          <w:szCs w:val="22"/>
        </w:rPr>
        <w:t>and the vessel operator and/or the agent</w:t>
      </w:r>
      <w:r w:rsidR="00E01B06">
        <w:rPr>
          <w:rStyle w:val="normaltextrun"/>
          <w:rFonts w:asciiTheme="minorHAnsi" w:eastAsiaTheme="minorHAnsi" w:hAnsiTheme="minorHAnsi"/>
          <w:color w:val="000000" w:themeColor="text1"/>
          <w:sz w:val="22"/>
          <w:szCs w:val="22"/>
        </w:rPr>
        <w:t xml:space="preserve"> will b</w:t>
      </w:r>
      <w:r w:rsidR="00545499">
        <w:rPr>
          <w:rStyle w:val="normaltextrun"/>
          <w:rFonts w:asciiTheme="minorHAnsi" w:eastAsiaTheme="minorHAnsi" w:hAnsiTheme="minorHAnsi"/>
          <w:color w:val="000000" w:themeColor="text1"/>
          <w:sz w:val="22"/>
          <w:szCs w:val="22"/>
        </w:rPr>
        <w:t>e</w:t>
      </w:r>
      <w:r w:rsidR="00E01B06">
        <w:rPr>
          <w:rStyle w:val="normaltextrun"/>
          <w:rFonts w:asciiTheme="minorHAnsi" w:eastAsiaTheme="minorHAnsi" w:hAnsiTheme="minorHAnsi"/>
          <w:color w:val="000000" w:themeColor="text1"/>
          <w:sz w:val="22"/>
          <w:szCs w:val="22"/>
        </w:rPr>
        <w:t xml:space="preserve"> notified</w:t>
      </w:r>
      <w:r>
        <w:rPr>
          <w:rStyle w:val="normaltextrun"/>
          <w:rFonts w:asciiTheme="minorHAnsi" w:eastAsiaTheme="minorHAnsi" w:hAnsiTheme="minorHAnsi"/>
          <w:color w:val="000000" w:themeColor="text1"/>
          <w:sz w:val="22"/>
          <w:szCs w:val="22"/>
        </w:rPr>
        <w:t xml:space="preserve">. </w:t>
      </w:r>
    </w:p>
    <w:p w14:paraId="3B9288CA" w14:textId="227BC3D9" w:rsidR="007E1425" w:rsidRPr="00FE3E91" w:rsidRDefault="007E1425" w:rsidP="00054145">
      <w:pPr>
        <w:pStyle w:val="paragraph"/>
        <w:numPr>
          <w:ilvl w:val="0"/>
          <w:numId w:val="12"/>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r>
        <w:rPr>
          <w:rStyle w:val="normaltextrun"/>
          <w:rFonts w:asciiTheme="minorHAnsi" w:eastAsiaTheme="minorHAnsi" w:hAnsiTheme="minorHAnsi"/>
          <w:color w:val="000000" w:themeColor="text1"/>
          <w:sz w:val="22"/>
          <w:szCs w:val="22"/>
        </w:rPr>
        <w:t xml:space="preserve">Biosecurity officers will engage with vessel operators on preparing for arrival and on arrival, conduct a mandatory inspection or inspections to manage </w:t>
      </w:r>
      <w:r w:rsidR="00E65408">
        <w:rPr>
          <w:rStyle w:val="normaltextrun"/>
          <w:rFonts w:asciiTheme="minorHAnsi" w:eastAsiaTheme="minorHAnsi" w:hAnsiTheme="minorHAnsi"/>
          <w:color w:val="000000" w:themeColor="text1"/>
          <w:sz w:val="22"/>
          <w:szCs w:val="22"/>
        </w:rPr>
        <w:t>any</w:t>
      </w:r>
      <w:r>
        <w:rPr>
          <w:rStyle w:val="normaltextrun"/>
          <w:rFonts w:asciiTheme="minorHAnsi" w:eastAsiaTheme="minorHAnsi" w:hAnsiTheme="minorHAnsi"/>
          <w:color w:val="000000" w:themeColor="text1"/>
          <w:sz w:val="22"/>
          <w:szCs w:val="22"/>
        </w:rPr>
        <w:t xml:space="preserve"> biosecurity risk.</w:t>
      </w:r>
    </w:p>
    <w:p w14:paraId="2BF9D10F" w14:textId="47C35064" w:rsidR="009335DD" w:rsidRPr="009335DD" w:rsidRDefault="007E1425" w:rsidP="00FA4818">
      <w:pPr>
        <w:pStyle w:val="paragraph"/>
        <w:numPr>
          <w:ilvl w:val="0"/>
          <w:numId w:val="12"/>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sidRPr="009335DD">
        <w:rPr>
          <w:rStyle w:val="normaltextrun"/>
          <w:rFonts w:asciiTheme="minorHAnsi" w:eastAsiaTheme="minorHAnsi" w:hAnsiTheme="minorHAnsi"/>
          <w:color w:val="000000" w:themeColor="text1"/>
          <w:sz w:val="22"/>
          <w:szCs w:val="22"/>
        </w:rPr>
        <w:t xml:space="preserve">Biosecurity officers may provide verbal and written permission for release from biosecurity control </w:t>
      </w:r>
      <w:r w:rsidR="009335DD" w:rsidRPr="009335DD">
        <w:rPr>
          <w:rStyle w:val="normaltextrun"/>
          <w:rFonts w:asciiTheme="minorHAnsi" w:eastAsiaTheme="minorHAnsi" w:hAnsiTheme="minorHAnsi" w:cstheme="minorHAnsi"/>
          <w:color w:val="000000"/>
          <w:sz w:val="22"/>
          <w:szCs w:val="22"/>
        </w:rPr>
        <w:t>once any biosecurity risks have been appropriately managed.</w:t>
      </w:r>
    </w:p>
    <w:p w14:paraId="4B4A6FD7" w14:textId="1AB95F45" w:rsidR="007E1425" w:rsidRPr="00054145" w:rsidRDefault="007E1425" w:rsidP="00054145">
      <w:pPr>
        <w:pStyle w:val="paragraph"/>
        <w:numPr>
          <w:ilvl w:val="0"/>
          <w:numId w:val="12"/>
        </w:numPr>
        <w:spacing w:before="0" w:beforeAutospacing="0" w:after="120" w:afterAutospacing="0"/>
        <w:textAlignment w:val="baseline"/>
        <w:rPr>
          <w:rStyle w:val="normaltextrun"/>
          <w:rFonts w:asciiTheme="minorHAnsi" w:eastAsiaTheme="minorHAnsi" w:hAnsiTheme="minorHAnsi"/>
          <w:color w:val="000000"/>
          <w:sz w:val="22"/>
          <w:szCs w:val="22"/>
        </w:rPr>
      </w:pPr>
      <w:r w:rsidRPr="5C7EFD63">
        <w:rPr>
          <w:rStyle w:val="normaltextrun"/>
          <w:rFonts w:asciiTheme="minorHAnsi" w:eastAsiaTheme="minorHAnsi" w:hAnsiTheme="minorHAnsi"/>
          <w:color w:val="000000" w:themeColor="text1"/>
          <w:sz w:val="22"/>
          <w:szCs w:val="22"/>
        </w:rPr>
        <w:t>The vessel operators and the nominated agen</w:t>
      </w:r>
      <w:r w:rsidR="009C4A06">
        <w:rPr>
          <w:rStyle w:val="normaltextrun"/>
          <w:rFonts w:asciiTheme="minorHAnsi" w:eastAsiaTheme="minorHAnsi" w:hAnsiTheme="minorHAnsi"/>
          <w:color w:val="000000" w:themeColor="text1"/>
          <w:sz w:val="22"/>
          <w:szCs w:val="22"/>
        </w:rPr>
        <w:t>t</w:t>
      </w:r>
      <w:r w:rsidRPr="5C7EFD63">
        <w:rPr>
          <w:rStyle w:val="normaltextrun"/>
          <w:rFonts w:asciiTheme="minorHAnsi" w:eastAsiaTheme="minorHAnsi" w:hAnsiTheme="minorHAnsi"/>
          <w:color w:val="000000" w:themeColor="text1"/>
          <w:sz w:val="22"/>
          <w:szCs w:val="22"/>
        </w:rPr>
        <w:t xml:space="preserve"> </w:t>
      </w:r>
      <w:r w:rsidRPr="5BB0AEAB">
        <w:rPr>
          <w:rStyle w:val="normaltextrun"/>
          <w:rFonts w:asciiTheme="minorHAnsi" w:eastAsiaTheme="minorHAnsi" w:hAnsiTheme="minorHAnsi"/>
          <w:color w:val="000000" w:themeColor="text1"/>
          <w:sz w:val="22"/>
          <w:szCs w:val="22"/>
        </w:rPr>
        <w:t>will receive a</w:t>
      </w:r>
      <w:r>
        <w:rPr>
          <w:rStyle w:val="normaltextrun"/>
          <w:rFonts w:asciiTheme="minorHAnsi" w:eastAsiaTheme="minorHAnsi" w:hAnsiTheme="minorHAnsi"/>
          <w:color w:val="000000" w:themeColor="text1"/>
          <w:sz w:val="22"/>
          <w:szCs w:val="22"/>
        </w:rPr>
        <w:t>n email from a biosecurity officer with Biosecurity Status Document directions</w:t>
      </w:r>
      <w:r w:rsidR="009335DD">
        <w:rPr>
          <w:rStyle w:val="normaltextrun"/>
          <w:rFonts w:asciiTheme="minorHAnsi" w:eastAsiaTheme="minorHAnsi" w:hAnsiTheme="minorHAnsi"/>
          <w:color w:val="000000" w:themeColor="text1"/>
          <w:sz w:val="22"/>
          <w:szCs w:val="22"/>
        </w:rPr>
        <w:t xml:space="preserve"> including </w:t>
      </w:r>
      <w:r w:rsidR="00545499" w:rsidRPr="009335DD">
        <w:rPr>
          <w:rStyle w:val="normaltextrun"/>
          <w:rFonts w:asciiTheme="minorHAnsi" w:eastAsiaTheme="minorHAnsi" w:hAnsiTheme="minorHAnsi"/>
          <w:color w:val="000000" w:themeColor="text1"/>
          <w:sz w:val="22"/>
          <w:szCs w:val="22"/>
        </w:rPr>
        <w:t>for release from biosecurity control</w:t>
      </w:r>
      <w:r w:rsidR="00545499">
        <w:rPr>
          <w:rStyle w:val="normaltextrun"/>
          <w:rFonts w:asciiTheme="minorHAnsi" w:eastAsiaTheme="minorHAnsi" w:hAnsiTheme="minorHAnsi"/>
          <w:color w:val="000000" w:themeColor="text1"/>
          <w:sz w:val="22"/>
          <w:szCs w:val="22"/>
        </w:rPr>
        <w:t xml:space="preserve"> advice</w:t>
      </w:r>
      <w:r>
        <w:rPr>
          <w:rStyle w:val="normaltextrun"/>
          <w:rFonts w:asciiTheme="minorHAnsi" w:eastAsiaTheme="minorHAnsi" w:hAnsiTheme="minorHAnsi"/>
          <w:color w:val="000000" w:themeColor="text1"/>
          <w:sz w:val="22"/>
          <w:szCs w:val="22"/>
        </w:rPr>
        <w:t>.</w:t>
      </w:r>
      <w:r w:rsidRPr="5C7EFD63">
        <w:rPr>
          <w:rStyle w:val="normaltextrun"/>
          <w:rFonts w:asciiTheme="minorHAnsi" w:eastAsiaTheme="minorHAnsi" w:hAnsiTheme="minorHAnsi"/>
          <w:color w:val="000000" w:themeColor="text1"/>
          <w:sz w:val="22"/>
          <w:szCs w:val="22"/>
        </w:rPr>
        <w:t xml:space="preserve"> </w:t>
      </w:r>
    </w:p>
    <w:p w14:paraId="17F7C2FD" w14:textId="2EBCCF37" w:rsidR="00054145" w:rsidRPr="00054145" w:rsidRDefault="00545499" w:rsidP="00054145">
      <w:pPr>
        <w:pStyle w:val="paragraph"/>
        <w:numPr>
          <w:ilvl w:val="0"/>
          <w:numId w:val="12"/>
        </w:numPr>
        <w:spacing w:before="0" w:beforeAutospacing="0" w:after="120" w:afterAutospacing="0"/>
        <w:textAlignment w:val="baseline"/>
        <w:rPr>
          <w:rStyle w:val="normaltextrun"/>
          <w:rFonts w:asciiTheme="minorHAnsi" w:eastAsiaTheme="minorHAnsi" w:hAnsiTheme="minorHAnsi" w:cstheme="minorHAnsi"/>
          <w:sz w:val="22"/>
          <w:szCs w:val="22"/>
        </w:rPr>
      </w:pPr>
      <w:r>
        <w:rPr>
          <w:rFonts w:asciiTheme="minorHAnsi" w:hAnsiTheme="minorHAnsi" w:cstheme="minorHAnsi"/>
          <w:color w:val="000000"/>
          <w:sz w:val="22"/>
          <w:szCs w:val="22"/>
        </w:rPr>
        <w:t>Vessel operators should r</w:t>
      </w:r>
      <w:r w:rsidR="00054145" w:rsidRPr="00F32D08">
        <w:rPr>
          <w:rFonts w:asciiTheme="minorHAnsi" w:hAnsiTheme="minorHAnsi" w:cstheme="minorHAnsi"/>
          <w:color w:val="000000"/>
          <w:sz w:val="22"/>
          <w:szCs w:val="22"/>
        </w:rPr>
        <w:t xml:space="preserve">eport </w:t>
      </w:r>
      <w:r w:rsidR="00054145">
        <w:rPr>
          <w:rFonts w:asciiTheme="minorHAnsi" w:hAnsiTheme="minorHAnsi" w:cstheme="minorHAnsi"/>
          <w:color w:val="000000"/>
          <w:sz w:val="22"/>
          <w:szCs w:val="22"/>
        </w:rPr>
        <w:t xml:space="preserve">any changes in </w:t>
      </w:r>
      <w:r w:rsidR="00054145" w:rsidRPr="00F32D08">
        <w:rPr>
          <w:rFonts w:asciiTheme="minorHAnsi" w:hAnsiTheme="minorHAnsi" w:cstheme="minorHAnsi"/>
          <w:color w:val="000000"/>
          <w:sz w:val="22"/>
          <w:szCs w:val="22"/>
        </w:rPr>
        <w:t xml:space="preserve">arrival into Australian territory using the department’s biosecurity key </w:t>
      </w:r>
      <w:r w:rsidR="00054145" w:rsidRPr="00F32D08">
        <w:rPr>
          <w:rStyle w:val="normaltextrun"/>
          <w:rFonts w:asciiTheme="minorHAnsi" w:eastAsiaTheme="minorHAnsi" w:hAnsiTheme="minorHAnsi" w:cstheme="minorHAnsi"/>
          <w:sz w:val="22"/>
          <w:szCs w:val="22"/>
        </w:rPr>
        <w:t>biosecurity port office contact details</w:t>
      </w:r>
      <w:r w:rsidR="00054145">
        <w:rPr>
          <w:rStyle w:val="normaltextrun"/>
          <w:rFonts w:asciiTheme="minorHAnsi" w:eastAsiaTheme="minorHAnsi" w:hAnsiTheme="minorHAnsi" w:cstheme="minorHAnsi"/>
          <w:sz w:val="22"/>
          <w:szCs w:val="22"/>
        </w:rPr>
        <w:t xml:space="preserve"> </w:t>
      </w:r>
      <w:hyperlink r:id="rId15" w:tooltip="Vessel Contacts" w:history="1">
        <w:r w:rsidR="00054145" w:rsidRPr="00F32D08">
          <w:rPr>
            <w:rStyle w:val="Hyperlink"/>
            <w:rFonts w:asciiTheme="minorHAnsi" w:eastAsiaTheme="minorHAnsi" w:hAnsiTheme="minorHAnsi" w:cstheme="minorHAnsi"/>
            <w:color w:val="006A94"/>
            <w:sz w:val="22"/>
          </w:rPr>
          <w:t>Vessel Contacts</w:t>
        </w:r>
      </w:hyperlink>
      <w:r w:rsidR="00054145" w:rsidRPr="00F32D08">
        <w:rPr>
          <w:rStyle w:val="normaltextrun"/>
          <w:rFonts w:asciiTheme="minorHAnsi" w:eastAsiaTheme="minorHAnsi" w:hAnsiTheme="minorHAnsi" w:cstheme="minorHAnsi"/>
          <w:sz w:val="22"/>
          <w:szCs w:val="22"/>
        </w:rPr>
        <w:t>.</w:t>
      </w:r>
    </w:p>
    <w:p w14:paraId="4A982BCC" w14:textId="419CBDDE" w:rsidR="007C799D" w:rsidRPr="007C799D" w:rsidRDefault="007C799D" w:rsidP="007C799D">
      <w:pPr>
        <w:pStyle w:val="Heading2"/>
      </w:pPr>
      <w:r w:rsidRPr="007C799D">
        <w:t xml:space="preserve">Vessel reporting requirements and the </w:t>
      </w:r>
      <w:r w:rsidRPr="007C799D">
        <w:rPr>
          <w:i/>
          <w:iCs/>
        </w:rPr>
        <w:t>Biosecurity Act 2015</w:t>
      </w:r>
    </w:p>
    <w:p w14:paraId="4AD517FC" w14:textId="77777777" w:rsidR="007C799D" w:rsidRPr="003B52DE" w:rsidRDefault="007C799D" w:rsidP="007C799D">
      <w:pPr>
        <w:shd w:val="clear" w:color="auto" w:fill="FFFFFF"/>
        <w:spacing w:after="0" w:line="240" w:lineRule="auto"/>
        <w:rPr>
          <w:rFonts w:eastAsia="Times New Roman" w:cstheme="minorHAnsi"/>
          <w:color w:val="000000"/>
          <w:lang w:eastAsia="en-AU"/>
        </w:rPr>
      </w:pPr>
      <w:r w:rsidRPr="003B52DE">
        <w:rPr>
          <w:rFonts w:eastAsia="Times New Roman" w:cstheme="minorHAnsi"/>
          <w:color w:val="000000"/>
          <w:lang w:eastAsia="en-AU"/>
        </w:rPr>
        <w:t xml:space="preserve">Vessel </w:t>
      </w:r>
      <w:r>
        <w:rPr>
          <w:rFonts w:eastAsia="Times New Roman" w:cstheme="minorHAnsi"/>
          <w:color w:val="000000"/>
          <w:lang w:eastAsia="en-AU"/>
        </w:rPr>
        <w:t>operators</w:t>
      </w:r>
      <w:r w:rsidRPr="003B52DE">
        <w:rPr>
          <w:rFonts w:eastAsia="Times New Roman" w:cstheme="minorHAnsi"/>
          <w:color w:val="000000"/>
          <w:lang w:eastAsia="en-AU"/>
        </w:rPr>
        <w:t xml:space="preserve"> and shipping agents are reminded:</w:t>
      </w:r>
    </w:p>
    <w:p w14:paraId="6C060772" w14:textId="20FEAF9B" w:rsidR="007C799D"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2AFBDA29">
        <w:rPr>
          <w:rFonts w:eastAsia="Times New Roman"/>
          <w:color w:val="000000"/>
          <w:lang w:eastAsia="en-AU"/>
        </w:rPr>
        <w:t>to read and understand the B</w:t>
      </w:r>
      <w:r w:rsidR="00E01B06">
        <w:rPr>
          <w:rFonts w:eastAsia="Times New Roman"/>
          <w:color w:val="000000"/>
          <w:lang w:eastAsia="en-AU"/>
        </w:rPr>
        <w:t>iosecurity Status Document</w:t>
      </w:r>
      <w:r w:rsidRPr="2AFBDA29">
        <w:rPr>
          <w:rFonts w:eastAsia="Times New Roman"/>
          <w:color w:val="000000"/>
          <w:lang w:eastAsia="en-AU"/>
        </w:rPr>
        <w:t xml:space="preserve"> directions and conditions</w:t>
      </w:r>
    </w:p>
    <w:p w14:paraId="3E5885A5" w14:textId="3074C6D5" w:rsidR="007C799D" w:rsidRPr="003B52DE"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2AFBDA29">
        <w:rPr>
          <w:rFonts w:eastAsia="Times New Roman"/>
          <w:color w:val="000000"/>
          <w:lang w:eastAsia="en-AU"/>
        </w:rPr>
        <w:t>keep a copy of the current document on board the vessel for the duration of the voyage in Australia</w:t>
      </w:r>
    </w:p>
    <w:p w14:paraId="650BCDB3" w14:textId="65A388F3" w:rsidR="007C799D" w:rsidRPr="003B52DE" w:rsidRDefault="007C799D" w:rsidP="007C799D">
      <w:pPr>
        <w:numPr>
          <w:ilvl w:val="0"/>
          <w:numId w:val="11"/>
        </w:numPr>
        <w:shd w:val="clear" w:color="auto" w:fill="FFFFFF"/>
        <w:spacing w:before="100" w:beforeAutospacing="1" w:after="100" w:afterAutospacing="1" w:line="240" w:lineRule="auto"/>
        <w:rPr>
          <w:rFonts w:eastAsia="Times New Roman" w:cstheme="minorHAnsi"/>
          <w:color w:val="000000"/>
          <w:lang w:eastAsia="en-AU"/>
        </w:rPr>
      </w:pPr>
      <w:r w:rsidRPr="003B52DE">
        <w:rPr>
          <w:rFonts w:eastAsia="Times New Roman" w:cstheme="minorHAnsi"/>
          <w:color w:val="000000"/>
          <w:lang w:eastAsia="en-AU"/>
        </w:rPr>
        <w:t xml:space="preserve">that any changes in circumstances during the voyage in Australian waters, particularly changes to the health of </w:t>
      </w:r>
      <w:r>
        <w:rPr>
          <w:rFonts w:eastAsia="Times New Roman" w:cstheme="minorHAnsi"/>
          <w:color w:val="000000"/>
          <w:lang w:eastAsia="en-AU"/>
        </w:rPr>
        <w:t>people on board</w:t>
      </w:r>
      <w:r w:rsidRPr="003B52DE">
        <w:rPr>
          <w:rFonts w:eastAsia="Times New Roman" w:cstheme="minorHAnsi"/>
          <w:color w:val="000000"/>
          <w:lang w:eastAsia="en-AU"/>
        </w:rPr>
        <w:t>, must be submitted via MARS or reported to the NMC as soon as practica</w:t>
      </w:r>
      <w:r w:rsidR="00E01B06">
        <w:rPr>
          <w:rFonts w:eastAsia="Times New Roman" w:cstheme="minorHAnsi"/>
          <w:color w:val="000000"/>
          <w:lang w:eastAsia="en-AU"/>
        </w:rPr>
        <w:t>l</w:t>
      </w:r>
      <w:r w:rsidR="00B361B4">
        <w:rPr>
          <w:rFonts w:eastAsia="Times New Roman" w:cstheme="minorHAnsi"/>
          <w:color w:val="000000"/>
          <w:lang w:eastAsia="en-AU"/>
        </w:rPr>
        <w:t xml:space="preserve"> </w:t>
      </w:r>
    </w:p>
    <w:p w14:paraId="10DF462A" w14:textId="77777777" w:rsidR="007C799D"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7F0DD961">
        <w:rPr>
          <w:rFonts w:eastAsia="Times New Roman"/>
          <w:color w:val="000000"/>
          <w:lang w:eastAsia="en-AU"/>
        </w:rPr>
        <w:t xml:space="preserve">that a failure to report accurately or comply with a requirement under the </w:t>
      </w:r>
      <w:r w:rsidRPr="00425530">
        <w:rPr>
          <w:rFonts w:eastAsia="Times New Roman"/>
          <w:i/>
          <w:iCs/>
          <w:color w:val="000000"/>
          <w:lang w:eastAsia="en-AU"/>
        </w:rPr>
        <w:t>Biosecurity Act 2015</w:t>
      </w:r>
      <w:r w:rsidRPr="7F0DD961">
        <w:rPr>
          <w:rFonts w:eastAsia="Times New Roman"/>
          <w:color w:val="000000"/>
          <w:lang w:eastAsia="en-AU"/>
        </w:rPr>
        <w:t xml:space="preserve"> may result in penalties, including infringement notices, civil penalties, or criminal prosecutions.</w:t>
      </w:r>
    </w:p>
    <w:p w14:paraId="2DDB1CBA" w14:textId="77777777" w:rsidR="00B82095" w:rsidRPr="0080517C" w:rsidRDefault="000913B5" w:rsidP="0080517C">
      <w:pPr>
        <w:pStyle w:val="Heading2"/>
      </w:pPr>
      <w:r>
        <w:t>More</w:t>
      </w:r>
      <w:r w:rsidR="00B82095" w:rsidRPr="0080517C">
        <w:t xml:space="preserve"> information</w:t>
      </w:r>
    </w:p>
    <w:p w14:paraId="6B361B35" w14:textId="687641B8" w:rsidR="005D09A2" w:rsidRDefault="005D09A2" w:rsidP="005D09A2">
      <w:pPr>
        <w:spacing w:line="240" w:lineRule="auto"/>
        <w:rPr>
          <w:rFonts w:cstheme="minorHAnsi"/>
          <w:color w:val="000000" w:themeColor="text1"/>
        </w:rPr>
      </w:pPr>
      <w:r>
        <w:rPr>
          <w:rStyle w:val="normaltextrun"/>
          <w:color w:val="000000" w:themeColor="text1"/>
        </w:rPr>
        <w:t xml:space="preserve">Where you do not receive an email or for </w:t>
      </w:r>
      <w:r w:rsidRPr="5C7EFD63">
        <w:rPr>
          <w:rStyle w:val="normaltextrun"/>
          <w:color w:val="000000" w:themeColor="text1"/>
        </w:rPr>
        <w:t xml:space="preserve">urgent </w:t>
      </w:r>
      <w:r>
        <w:rPr>
          <w:rStyle w:val="normaltextrun"/>
          <w:color w:val="000000" w:themeColor="text1"/>
        </w:rPr>
        <w:t xml:space="preserve">arrival </w:t>
      </w:r>
      <w:r w:rsidRPr="5C7EFD63">
        <w:rPr>
          <w:rStyle w:val="normaltextrun"/>
          <w:color w:val="000000" w:themeColor="text1"/>
        </w:rPr>
        <w:t>issues</w:t>
      </w:r>
      <w:r w:rsidR="00545499">
        <w:rPr>
          <w:rStyle w:val="normaltextrun"/>
          <w:color w:val="000000" w:themeColor="text1"/>
        </w:rPr>
        <w:t>,</w:t>
      </w:r>
      <w:r w:rsidRPr="5C7EFD63">
        <w:rPr>
          <w:rStyle w:val="normaltextrun"/>
          <w:color w:val="000000" w:themeColor="text1"/>
        </w:rPr>
        <w:t xml:space="preserve"> contact the National Maritime Centre (NMC). </w:t>
      </w:r>
      <w:r w:rsidRPr="00017ACB">
        <w:rPr>
          <w:lang w:eastAsia="ja-JP"/>
        </w:rPr>
        <w:t xml:space="preserve">Email </w:t>
      </w:r>
      <w:hyperlink r:id="rId16">
        <w:r w:rsidRPr="00A14328">
          <w:rPr>
            <w:rStyle w:val="Hyperlink"/>
            <w:rFonts w:cstheme="minorHAnsi"/>
            <w:color w:val="006A94"/>
          </w:rPr>
          <w:t>maritimenc@aff.gov.au</w:t>
        </w:r>
      </w:hyperlink>
      <w:r w:rsidRPr="00E23AF0">
        <w:rPr>
          <w:rStyle w:val="Hyperlink"/>
          <w:rFonts w:cstheme="minorHAnsi"/>
          <w:color w:val="006A94"/>
          <w:u w:val="none"/>
        </w:rPr>
        <w:t xml:space="preserve"> </w:t>
      </w:r>
      <w:r w:rsidRPr="00A14328">
        <w:rPr>
          <w:rFonts w:cstheme="minorHAnsi"/>
          <w:color w:val="000000" w:themeColor="text1"/>
        </w:rPr>
        <w:t>Phone within Australia: 1300 004 605. Phone outside of Australia: +61 8 8201 6185</w:t>
      </w:r>
      <w:r>
        <w:rPr>
          <w:rFonts w:cstheme="minorHAnsi"/>
          <w:color w:val="000000" w:themeColor="text1"/>
        </w:rPr>
        <w:t>.</w:t>
      </w:r>
    </w:p>
    <w:p w14:paraId="6107BCFD" w14:textId="31024669" w:rsidR="000A5BA0" w:rsidRDefault="0035589A" w:rsidP="004A2EEA">
      <w:pPr>
        <w:spacing w:after="0" w:line="240" w:lineRule="auto"/>
      </w:pPr>
      <w:r>
        <w:rPr>
          <w:rStyle w:val="Strong"/>
        </w:rPr>
        <w:br w:type="page"/>
      </w:r>
      <w:r w:rsidR="000A5BA0">
        <w:rPr>
          <w:rStyle w:val="Strong"/>
        </w:rPr>
        <w:lastRenderedPageBreak/>
        <w:t>Acknowledgement of Country</w:t>
      </w:r>
    </w:p>
    <w:p w14:paraId="00EA312C"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336D10BE" w14:textId="77777777" w:rsidR="00E9781D" w:rsidRDefault="00E9781D" w:rsidP="00E9781D">
      <w:pPr>
        <w:pStyle w:val="Normalsmall"/>
        <w:spacing w:before="360"/>
      </w:pPr>
      <w:r>
        <w:t>© Commonwealth of Australia 202</w:t>
      </w:r>
      <w:r w:rsidR="00A0018B">
        <w:t>3</w:t>
      </w:r>
    </w:p>
    <w:p w14:paraId="7A2825DC"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1415048"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1B1DD3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B106F1">
      <w:headerReference w:type="default" r:id="rId18"/>
      <w:footerReference w:type="default" r:id="rId19"/>
      <w:headerReference w:type="first" r:id="rId20"/>
      <w:footerReference w:type="first" r:id="rId21"/>
      <w:pgSz w:w="11906" w:h="16838" w:code="9"/>
      <w:pgMar w:top="851" w:right="1134" w:bottom="567"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320A" w14:textId="77777777" w:rsidR="00D9577C" w:rsidRDefault="00D9577C">
      <w:r>
        <w:separator/>
      </w:r>
    </w:p>
    <w:p w14:paraId="25178C17" w14:textId="77777777" w:rsidR="00D9577C" w:rsidRDefault="00D9577C"/>
    <w:p w14:paraId="13661BE9" w14:textId="77777777" w:rsidR="00D9577C" w:rsidRDefault="00D9577C"/>
  </w:endnote>
  <w:endnote w:type="continuationSeparator" w:id="0">
    <w:p w14:paraId="4EE93010" w14:textId="77777777" w:rsidR="00D9577C" w:rsidRDefault="00D9577C">
      <w:r>
        <w:continuationSeparator/>
      </w:r>
    </w:p>
    <w:p w14:paraId="62E5B352" w14:textId="77777777" w:rsidR="00D9577C" w:rsidRDefault="00D9577C"/>
    <w:p w14:paraId="211D4501" w14:textId="77777777" w:rsidR="00D9577C" w:rsidRDefault="00D9577C"/>
  </w:endnote>
  <w:endnote w:type="continuationNotice" w:id="1">
    <w:p w14:paraId="72247BCB" w14:textId="77777777" w:rsidR="00D9577C" w:rsidRDefault="00D9577C">
      <w:pPr>
        <w:pStyle w:val="Footer"/>
      </w:pPr>
    </w:p>
    <w:p w14:paraId="7CAE2031" w14:textId="77777777" w:rsidR="00D9577C" w:rsidRDefault="00D9577C"/>
    <w:p w14:paraId="3F15E4F9" w14:textId="77777777" w:rsidR="00D9577C" w:rsidRDefault="00D95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7250" w14:textId="77777777" w:rsidR="00863E83" w:rsidRDefault="00863E83" w:rsidP="00863E83">
    <w:pPr>
      <w:pStyle w:val="Footer"/>
    </w:pPr>
    <w:r w:rsidRPr="007B1F92">
      <w:t>Department of Agriculture, Fisheries and Forestry</w:t>
    </w:r>
  </w:p>
  <w:p w14:paraId="1F1D3F8E" w14:textId="77777777" w:rsidR="000542B4" w:rsidRDefault="006E4724"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0D6417A6"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1515" w14:textId="77777777" w:rsidR="00D9577C" w:rsidRDefault="00D9577C">
      <w:r>
        <w:separator/>
      </w:r>
    </w:p>
    <w:p w14:paraId="26D488B8" w14:textId="77777777" w:rsidR="00D9577C" w:rsidRDefault="00D9577C"/>
    <w:p w14:paraId="428DB644" w14:textId="77777777" w:rsidR="00D9577C" w:rsidRDefault="00D9577C"/>
  </w:footnote>
  <w:footnote w:type="continuationSeparator" w:id="0">
    <w:p w14:paraId="068D45F8" w14:textId="77777777" w:rsidR="00D9577C" w:rsidRDefault="00D9577C">
      <w:r>
        <w:continuationSeparator/>
      </w:r>
    </w:p>
    <w:p w14:paraId="74C1E520" w14:textId="77777777" w:rsidR="00D9577C" w:rsidRDefault="00D9577C"/>
    <w:p w14:paraId="4D7FF901" w14:textId="77777777" w:rsidR="00D9577C" w:rsidRDefault="00D9577C"/>
  </w:footnote>
  <w:footnote w:type="continuationNotice" w:id="1">
    <w:p w14:paraId="7B1F7AE6" w14:textId="77777777" w:rsidR="00D9577C" w:rsidRDefault="00D9577C">
      <w:pPr>
        <w:pStyle w:val="Footer"/>
      </w:pPr>
    </w:p>
    <w:p w14:paraId="01BAD167" w14:textId="77777777" w:rsidR="00D9577C" w:rsidRDefault="00D9577C"/>
    <w:p w14:paraId="77001C07" w14:textId="77777777" w:rsidR="00D9577C" w:rsidRDefault="00D95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6636" w14:textId="228E52B5" w:rsidR="000542B4" w:rsidRDefault="003F63B4">
    <w:pPr>
      <w:pStyle w:val="Header"/>
    </w:pPr>
    <w:r w:rsidRPr="003F63B4">
      <w:t xml:space="preserve">Release from biosecurity control for </w:t>
    </w:r>
    <w:r w:rsidR="00EF5988">
      <w:t>non-</w:t>
    </w:r>
    <w:r w:rsidRPr="003F63B4">
      <w:t xml:space="preserve">commercial vessels </w:t>
    </w:r>
    <w:r w:rsidR="0057340E">
      <w:t>Quick Reference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B37"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19C3A0BE" wp14:editId="00FA555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EC8"/>
    <w:multiLevelType w:val="hybridMultilevel"/>
    <w:tmpl w:val="59B85E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382501"/>
    <w:multiLevelType w:val="hybridMultilevel"/>
    <w:tmpl w:val="C27C8F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1CB001B"/>
    <w:multiLevelType w:val="hybridMultilevel"/>
    <w:tmpl w:val="72D4C5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ED0D2F"/>
    <w:multiLevelType w:val="hybridMultilevel"/>
    <w:tmpl w:val="7124EB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DF75F95"/>
    <w:multiLevelType w:val="multilevel"/>
    <w:tmpl w:val="505E83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3184039"/>
    <w:multiLevelType w:val="hybridMultilevel"/>
    <w:tmpl w:val="170C7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5"/>
  </w:num>
  <w:num w:numId="2" w16cid:durableId="1209954464">
    <w:abstractNumId w:val="3"/>
  </w:num>
  <w:num w:numId="3" w16cid:durableId="211696695">
    <w:abstractNumId w:val="8"/>
  </w:num>
  <w:num w:numId="4" w16cid:durableId="1550148830">
    <w:abstractNumId w:val="9"/>
  </w:num>
  <w:num w:numId="5" w16cid:durableId="1460108156">
    <w:abstractNumId w:val="1"/>
  </w:num>
  <w:num w:numId="6" w16cid:durableId="1934704985">
    <w:abstractNumId w:val="6"/>
  </w:num>
  <w:num w:numId="7" w16cid:durableId="1013073201">
    <w:abstractNumId w:val="7"/>
  </w:num>
  <w:num w:numId="8" w16cid:durableId="524289160">
    <w:abstractNumId w:val="2"/>
  </w:num>
  <w:num w:numId="9" w16cid:durableId="1944653934">
    <w:abstractNumId w:val="13"/>
  </w:num>
  <w:num w:numId="10" w16cid:durableId="1052191053">
    <w:abstractNumId w:val="4"/>
  </w:num>
  <w:num w:numId="11" w16cid:durableId="1988851212">
    <w:abstractNumId w:val="12"/>
  </w:num>
  <w:num w:numId="12" w16cid:durableId="277414565">
    <w:abstractNumId w:val="11"/>
  </w:num>
  <w:num w:numId="13" w16cid:durableId="776412287">
    <w:abstractNumId w:val="10"/>
  </w:num>
  <w:num w:numId="14" w16cid:durableId="14946390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87"/>
    <w:rsid w:val="0000059E"/>
    <w:rsid w:val="0000066F"/>
    <w:rsid w:val="00001B53"/>
    <w:rsid w:val="0000208D"/>
    <w:rsid w:val="00016E25"/>
    <w:rsid w:val="00017ACB"/>
    <w:rsid w:val="00021590"/>
    <w:rsid w:val="00025D1B"/>
    <w:rsid w:val="000266C4"/>
    <w:rsid w:val="00054145"/>
    <w:rsid w:val="000542B4"/>
    <w:rsid w:val="00056153"/>
    <w:rsid w:val="00060081"/>
    <w:rsid w:val="000618F3"/>
    <w:rsid w:val="00066D0B"/>
    <w:rsid w:val="000717D2"/>
    <w:rsid w:val="00074A56"/>
    <w:rsid w:val="00080827"/>
    <w:rsid w:val="0008277A"/>
    <w:rsid w:val="000904C1"/>
    <w:rsid w:val="000913B5"/>
    <w:rsid w:val="000A0E7C"/>
    <w:rsid w:val="000A3947"/>
    <w:rsid w:val="000A5BA0"/>
    <w:rsid w:val="000B3924"/>
    <w:rsid w:val="000B3C44"/>
    <w:rsid w:val="000C0412"/>
    <w:rsid w:val="000C4558"/>
    <w:rsid w:val="000E455C"/>
    <w:rsid w:val="000E4D74"/>
    <w:rsid w:val="000E7803"/>
    <w:rsid w:val="000F0491"/>
    <w:rsid w:val="00102FB8"/>
    <w:rsid w:val="00115EDB"/>
    <w:rsid w:val="001233A8"/>
    <w:rsid w:val="0013173D"/>
    <w:rsid w:val="00144601"/>
    <w:rsid w:val="00190950"/>
    <w:rsid w:val="00190D7E"/>
    <w:rsid w:val="001929D2"/>
    <w:rsid w:val="001A6968"/>
    <w:rsid w:val="001C7584"/>
    <w:rsid w:val="001D0EF3"/>
    <w:rsid w:val="001D59E7"/>
    <w:rsid w:val="001E1E90"/>
    <w:rsid w:val="00201BFB"/>
    <w:rsid w:val="00203DE1"/>
    <w:rsid w:val="00220618"/>
    <w:rsid w:val="0022486E"/>
    <w:rsid w:val="00237A69"/>
    <w:rsid w:val="0025393B"/>
    <w:rsid w:val="00275B58"/>
    <w:rsid w:val="00281B62"/>
    <w:rsid w:val="00282F18"/>
    <w:rsid w:val="00284B53"/>
    <w:rsid w:val="002B1FAF"/>
    <w:rsid w:val="002C567C"/>
    <w:rsid w:val="002D4186"/>
    <w:rsid w:val="002E3FD4"/>
    <w:rsid w:val="002F4595"/>
    <w:rsid w:val="002F58E7"/>
    <w:rsid w:val="00300AFD"/>
    <w:rsid w:val="003032C0"/>
    <w:rsid w:val="003233CD"/>
    <w:rsid w:val="00336B60"/>
    <w:rsid w:val="00346C27"/>
    <w:rsid w:val="0035108D"/>
    <w:rsid w:val="0035589A"/>
    <w:rsid w:val="003569F9"/>
    <w:rsid w:val="00366721"/>
    <w:rsid w:val="00370990"/>
    <w:rsid w:val="00373310"/>
    <w:rsid w:val="0037698A"/>
    <w:rsid w:val="00392124"/>
    <w:rsid w:val="003937B8"/>
    <w:rsid w:val="003A0368"/>
    <w:rsid w:val="003A0755"/>
    <w:rsid w:val="003D4C02"/>
    <w:rsid w:val="003F63B4"/>
    <w:rsid w:val="003F73D7"/>
    <w:rsid w:val="00411260"/>
    <w:rsid w:val="0041241D"/>
    <w:rsid w:val="00442630"/>
    <w:rsid w:val="0044304D"/>
    <w:rsid w:val="00446CB3"/>
    <w:rsid w:val="00451587"/>
    <w:rsid w:val="00457DD2"/>
    <w:rsid w:val="0046724E"/>
    <w:rsid w:val="00472020"/>
    <w:rsid w:val="00474BB1"/>
    <w:rsid w:val="00477888"/>
    <w:rsid w:val="00495068"/>
    <w:rsid w:val="004954CF"/>
    <w:rsid w:val="004A2EEA"/>
    <w:rsid w:val="004A3428"/>
    <w:rsid w:val="004C2DA2"/>
    <w:rsid w:val="004D0888"/>
    <w:rsid w:val="004E3246"/>
    <w:rsid w:val="004E6316"/>
    <w:rsid w:val="005019C1"/>
    <w:rsid w:val="0050206D"/>
    <w:rsid w:val="005070C8"/>
    <w:rsid w:val="00514CEE"/>
    <w:rsid w:val="00515287"/>
    <w:rsid w:val="005157CF"/>
    <w:rsid w:val="0052357D"/>
    <w:rsid w:val="00531B5A"/>
    <w:rsid w:val="00545499"/>
    <w:rsid w:val="00553E9D"/>
    <w:rsid w:val="0055447F"/>
    <w:rsid w:val="00567DFC"/>
    <w:rsid w:val="0057340E"/>
    <w:rsid w:val="0057666D"/>
    <w:rsid w:val="00577F29"/>
    <w:rsid w:val="005A48A6"/>
    <w:rsid w:val="005B35B2"/>
    <w:rsid w:val="005B613F"/>
    <w:rsid w:val="005B656B"/>
    <w:rsid w:val="005C2BFD"/>
    <w:rsid w:val="005C3886"/>
    <w:rsid w:val="005D09A2"/>
    <w:rsid w:val="005D18A7"/>
    <w:rsid w:val="005D5639"/>
    <w:rsid w:val="005E42CC"/>
    <w:rsid w:val="006002DA"/>
    <w:rsid w:val="00607A21"/>
    <w:rsid w:val="00607A36"/>
    <w:rsid w:val="006156DF"/>
    <w:rsid w:val="00625D8D"/>
    <w:rsid w:val="00635CC3"/>
    <w:rsid w:val="006360F9"/>
    <w:rsid w:val="00642F36"/>
    <w:rsid w:val="00646917"/>
    <w:rsid w:val="00656587"/>
    <w:rsid w:val="00696682"/>
    <w:rsid w:val="006B0030"/>
    <w:rsid w:val="006B49DE"/>
    <w:rsid w:val="006C4F75"/>
    <w:rsid w:val="006C7CC3"/>
    <w:rsid w:val="006D413F"/>
    <w:rsid w:val="006E353E"/>
    <w:rsid w:val="006E4724"/>
    <w:rsid w:val="006F6FE8"/>
    <w:rsid w:val="00700A80"/>
    <w:rsid w:val="0070464B"/>
    <w:rsid w:val="00721291"/>
    <w:rsid w:val="007258B1"/>
    <w:rsid w:val="00725C8B"/>
    <w:rsid w:val="00743550"/>
    <w:rsid w:val="00754CA3"/>
    <w:rsid w:val="0076549B"/>
    <w:rsid w:val="00780155"/>
    <w:rsid w:val="007811D8"/>
    <w:rsid w:val="00793E18"/>
    <w:rsid w:val="007B2250"/>
    <w:rsid w:val="007B4C63"/>
    <w:rsid w:val="007C0010"/>
    <w:rsid w:val="007C799D"/>
    <w:rsid w:val="007E1425"/>
    <w:rsid w:val="007E1A7E"/>
    <w:rsid w:val="007E69AF"/>
    <w:rsid w:val="007F4986"/>
    <w:rsid w:val="0080517C"/>
    <w:rsid w:val="00825D4D"/>
    <w:rsid w:val="00832638"/>
    <w:rsid w:val="00837EE6"/>
    <w:rsid w:val="00846B9F"/>
    <w:rsid w:val="00863E83"/>
    <w:rsid w:val="00865130"/>
    <w:rsid w:val="00870785"/>
    <w:rsid w:val="0087535A"/>
    <w:rsid w:val="00892F53"/>
    <w:rsid w:val="00895341"/>
    <w:rsid w:val="008A081F"/>
    <w:rsid w:val="008B1AF5"/>
    <w:rsid w:val="008B7324"/>
    <w:rsid w:val="008E3B54"/>
    <w:rsid w:val="008F1712"/>
    <w:rsid w:val="008F382A"/>
    <w:rsid w:val="00902E92"/>
    <w:rsid w:val="0090743D"/>
    <w:rsid w:val="00911F4A"/>
    <w:rsid w:val="00916FC3"/>
    <w:rsid w:val="009335DD"/>
    <w:rsid w:val="00943779"/>
    <w:rsid w:val="00974CD6"/>
    <w:rsid w:val="009844EA"/>
    <w:rsid w:val="009A1C83"/>
    <w:rsid w:val="009C206F"/>
    <w:rsid w:val="009C37F9"/>
    <w:rsid w:val="009C3FA3"/>
    <w:rsid w:val="009C4A06"/>
    <w:rsid w:val="009C5CE4"/>
    <w:rsid w:val="009D7044"/>
    <w:rsid w:val="009F6E12"/>
    <w:rsid w:val="009F7F58"/>
    <w:rsid w:val="00A0018B"/>
    <w:rsid w:val="00A04AFD"/>
    <w:rsid w:val="00A130F7"/>
    <w:rsid w:val="00A23151"/>
    <w:rsid w:val="00A278A4"/>
    <w:rsid w:val="00A31571"/>
    <w:rsid w:val="00A32860"/>
    <w:rsid w:val="00A43B2B"/>
    <w:rsid w:val="00A545DF"/>
    <w:rsid w:val="00A62CD6"/>
    <w:rsid w:val="00A62F99"/>
    <w:rsid w:val="00A65D84"/>
    <w:rsid w:val="00A77E8E"/>
    <w:rsid w:val="00A8157A"/>
    <w:rsid w:val="00AA1D89"/>
    <w:rsid w:val="00AE1E6E"/>
    <w:rsid w:val="00AE32E7"/>
    <w:rsid w:val="00AE40DE"/>
    <w:rsid w:val="00AE4763"/>
    <w:rsid w:val="00AF775F"/>
    <w:rsid w:val="00B0121B"/>
    <w:rsid w:val="00B023D4"/>
    <w:rsid w:val="00B0455B"/>
    <w:rsid w:val="00B106F1"/>
    <w:rsid w:val="00B11E02"/>
    <w:rsid w:val="00B3476F"/>
    <w:rsid w:val="00B361B4"/>
    <w:rsid w:val="00B404AB"/>
    <w:rsid w:val="00B43568"/>
    <w:rsid w:val="00B76504"/>
    <w:rsid w:val="00B82095"/>
    <w:rsid w:val="00B90975"/>
    <w:rsid w:val="00B93571"/>
    <w:rsid w:val="00B94CBD"/>
    <w:rsid w:val="00BA0324"/>
    <w:rsid w:val="00BA2806"/>
    <w:rsid w:val="00BC321A"/>
    <w:rsid w:val="00BD4F8E"/>
    <w:rsid w:val="00BE345B"/>
    <w:rsid w:val="00C0437B"/>
    <w:rsid w:val="00C549CF"/>
    <w:rsid w:val="00C6128D"/>
    <w:rsid w:val="00C73278"/>
    <w:rsid w:val="00C765C8"/>
    <w:rsid w:val="00C8092A"/>
    <w:rsid w:val="00C82029"/>
    <w:rsid w:val="00C9283A"/>
    <w:rsid w:val="00C9287B"/>
    <w:rsid w:val="00C95039"/>
    <w:rsid w:val="00CA4615"/>
    <w:rsid w:val="00CA7C6F"/>
    <w:rsid w:val="00CD3A6F"/>
    <w:rsid w:val="00CD6263"/>
    <w:rsid w:val="00CE2E49"/>
    <w:rsid w:val="00CE7F36"/>
    <w:rsid w:val="00CF7D08"/>
    <w:rsid w:val="00D04A3C"/>
    <w:rsid w:val="00D06C82"/>
    <w:rsid w:val="00D07148"/>
    <w:rsid w:val="00D22097"/>
    <w:rsid w:val="00D30DC5"/>
    <w:rsid w:val="00D36C41"/>
    <w:rsid w:val="00D4039B"/>
    <w:rsid w:val="00D53A09"/>
    <w:rsid w:val="00D55A85"/>
    <w:rsid w:val="00D61056"/>
    <w:rsid w:val="00D64EB2"/>
    <w:rsid w:val="00D65AA0"/>
    <w:rsid w:val="00D750D0"/>
    <w:rsid w:val="00D85DBB"/>
    <w:rsid w:val="00D87480"/>
    <w:rsid w:val="00D9577C"/>
    <w:rsid w:val="00DA7001"/>
    <w:rsid w:val="00DB621B"/>
    <w:rsid w:val="00DB71FD"/>
    <w:rsid w:val="00DC453F"/>
    <w:rsid w:val="00DC57F0"/>
    <w:rsid w:val="00DC6386"/>
    <w:rsid w:val="00DE546F"/>
    <w:rsid w:val="00DF241E"/>
    <w:rsid w:val="00E01B06"/>
    <w:rsid w:val="00E052AD"/>
    <w:rsid w:val="00E14C71"/>
    <w:rsid w:val="00E25A07"/>
    <w:rsid w:val="00E333DF"/>
    <w:rsid w:val="00E44E91"/>
    <w:rsid w:val="00E65408"/>
    <w:rsid w:val="00E83C41"/>
    <w:rsid w:val="00E87842"/>
    <w:rsid w:val="00E94ED7"/>
    <w:rsid w:val="00E9781D"/>
    <w:rsid w:val="00EA4BDF"/>
    <w:rsid w:val="00EA5D76"/>
    <w:rsid w:val="00EC2925"/>
    <w:rsid w:val="00EC5579"/>
    <w:rsid w:val="00EC5C40"/>
    <w:rsid w:val="00ED774B"/>
    <w:rsid w:val="00EE0118"/>
    <w:rsid w:val="00EE185F"/>
    <w:rsid w:val="00EE49CE"/>
    <w:rsid w:val="00EE7C8D"/>
    <w:rsid w:val="00EF24B1"/>
    <w:rsid w:val="00EF2FA6"/>
    <w:rsid w:val="00EF3918"/>
    <w:rsid w:val="00EF5988"/>
    <w:rsid w:val="00F23AF2"/>
    <w:rsid w:val="00F26BFF"/>
    <w:rsid w:val="00F30857"/>
    <w:rsid w:val="00F330C3"/>
    <w:rsid w:val="00F3602D"/>
    <w:rsid w:val="00F5207F"/>
    <w:rsid w:val="00F75F33"/>
    <w:rsid w:val="00F81BA6"/>
    <w:rsid w:val="00F84236"/>
    <w:rsid w:val="00FC2CB1"/>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9EC79"/>
  <w15:docId w15:val="{0321DA1E-E963-449A-9079-E7A120BA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customStyle="1" w:styleId="paragraph">
    <w:name w:val="paragraph"/>
    <w:basedOn w:val="Normal"/>
    <w:rsid w:val="009A1C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C83"/>
  </w:style>
  <w:style w:type="paragraph" w:styleId="ListParagraph">
    <w:name w:val="List Paragraph"/>
    <w:basedOn w:val="Normal"/>
    <w:uiPriority w:val="34"/>
    <w:qFormat/>
    <w:rsid w:val="007E1425"/>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biosecurity-trade/aircraft-vessels-military/vessels/non-commercial-vesse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aircraft-vessels-military/vessels/non-commercial-vessels" TargetMode="Externa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mailto:maritimenc@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griculture.gov.au/about/contact/phone/vesse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contact/phone/vesse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90525-0EF4-4FC6-ACE3-966B5CD1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81c01dc6-2c49-4730-b140-874c95cac377"/>
    <ds:schemaRef ds:uri="http://schemas.microsoft.com/office/infopath/2007/PartnerControls"/>
    <ds:schemaRef ds:uri="c95b51c2-b2ac-4224-a5b5-069909057829"/>
    <ds:schemaRef ds:uri="2b53c995-2120-4bc0-8922-c25044d37f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QRG02 Non-commercial vessel release from biosecurity control</vt:lpstr>
    </vt:vector>
  </TitlesOfParts>
  <Company/>
  <LinksUpToDate>false</LinksUpToDate>
  <CharactersWithSpaces>7098</CharactersWithSpaces>
  <SharedDoc>false</SharedDoc>
  <HLinks>
    <vt:vector size="36" baseType="variant">
      <vt:variant>
        <vt:i4>5373952</vt:i4>
      </vt:variant>
      <vt:variant>
        <vt:i4>15</vt:i4>
      </vt:variant>
      <vt:variant>
        <vt:i4>0</vt:i4>
      </vt:variant>
      <vt:variant>
        <vt:i4>5</vt:i4>
      </vt:variant>
      <vt:variant>
        <vt:lpwstr>https://creativecommons.org/licenses/by/4.0/legalcode</vt:lpwstr>
      </vt:variant>
      <vt:variant>
        <vt:lpwstr/>
      </vt:variant>
      <vt:variant>
        <vt:i4>3211306</vt:i4>
      </vt:variant>
      <vt:variant>
        <vt:i4>12</vt:i4>
      </vt:variant>
      <vt:variant>
        <vt:i4>0</vt:i4>
      </vt:variant>
      <vt:variant>
        <vt:i4>5</vt:i4>
      </vt:variant>
      <vt:variant>
        <vt:lpwstr>https://www.agriculture.gov.au/biosecurity-trade/aircraft-vessels-military/vessels/mars/communications-training-materials</vt:lpwstr>
      </vt:variant>
      <vt:variant>
        <vt:lpwstr>mars-user-guides--updated-16-march-2017</vt:lpwstr>
      </vt:variant>
      <vt:variant>
        <vt:i4>5046351</vt:i4>
      </vt:variant>
      <vt:variant>
        <vt:i4>9</vt:i4>
      </vt:variant>
      <vt:variant>
        <vt:i4>0</vt:i4>
      </vt:variant>
      <vt:variant>
        <vt:i4>5</vt:i4>
      </vt:variant>
      <vt:variant>
        <vt:lpwstr>http://www.agriculture.gov.au/biosecurity-trade/aircraft-vessels-military/vessels</vt:lpwstr>
      </vt:variant>
      <vt:variant>
        <vt:lpwstr/>
      </vt:variant>
      <vt:variant>
        <vt:i4>3539034</vt:i4>
      </vt:variant>
      <vt:variant>
        <vt:i4>6</vt:i4>
      </vt:variant>
      <vt:variant>
        <vt:i4>0</vt:i4>
      </vt:variant>
      <vt:variant>
        <vt:i4>5</vt:i4>
      </vt:variant>
      <vt:variant>
        <vt:lpwstr>mailto:maritimenc@aff.gov.au</vt:lpwstr>
      </vt:variant>
      <vt:variant>
        <vt:lpwstr/>
      </vt:variant>
      <vt:variant>
        <vt:i4>8126582</vt:i4>
      </vt:variant>
      <vt:variant>
        <vt:i4>3</vt:i4>
      </vt:variant>
      <vt:variant>
        <vt:i4>0</vt:i4>
      </vt:variant>
      <vt:variant>
        <vt:i4>5</vt:i4>
      </vt:variant>
      <vt:variant>
        <vt:lpwstr>https://online.agriculture.gov.au/selfservice/</vt:lpwstr>
      </vt:variant>
      <vt:variant>
        <vt:lpwstr/>
      </vt:variant>
      <vt:variant>
        <vt:i4>8126582</vt:i4>
      </vt:variant>
      <vt:variant>
        <vt:i4>0</vt:i4>
      </vt:variant>
      <vt:variant>
        <vt:i4>0</vt:i4>
      </vt:variant>
      <vt:variant>
        <vt:i4>5</vt:i4>
      </vt:variant>
      <vt:variant>
        <vt:lpwstr>https://online.agriculture.gov.au/selfservice/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QRG02 Non-commercial vessel release from biosecurity control</dc:title>
  <dc:subject/>
  <dc:creator>Department of Agriculture, Fisheries and Forestry</dc:creator>
  <cp:keywords/>
  <cp:lastModifiedBy>Goggins, Fiona</cp:lastModifiedBy>
  <cp:revision>3</cp:revision>
  <cp:lastPrinted>2022-10-26T23:30:00Z</cp:lastPrinted>
  <dcterms:created xsi:type="dcterms:W3CDTF">2023-11-27T21:11:00Z</dcterms:created>
  <dcterms:modified xsi:type="dcterms:W3CDTF">2023-11-28T06:28:00Z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y fmtid="{D5CDD505-2E9C-101B-9397-08002B2CF9AE}" pid="3" name="MediaServiceImageTags">
    <vt:lpwstr/>
  </property>
</Properties>
</file>