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D62F" w14:textId="77777777" w:rsidR="00DC2DA1" w:rsidRDefault="00DC2DA1" w:rsidP="005E6819">
      <w:pPr>
        <w:spacing w:line="583" w:lineRule="exact"/>
        <w:rPr>
          <w:rFonts w:asciiTheme="majorHAnsi" w:hAnsiTheme="majorHAnsi"/>
          <w:b/>
          <w:bCs/>
          <w:spacing w:val="5"/>
          <w:w w:val="113"/>
          <w:sz w:val="48"/>
          <w:szCs w:val="48"/>
        </w:rPr>
      </w:pPr>
    </w:p>
    <w:p w14:paraId="34F258C1" w14:textId="42A0B6F6" w:rsidR="005E6819" w:rsidRPr="004149AE" w:rsidRDefault="005E6819" w:rsidP="005E6819">
      <w:pPr>
        <w:spacing w:line="583" w:lineRule="exact"/>
        <w:rPr>
          <w:rFonts w:asciiTheme="majorHAnsi" w:hAnsiTheme="majorHAnsi"/>
          <w:b/>
          <w:bCs/>
          <w:w w:val="102"/>
          <w:sz w:val="48"/>
          <w:szCs w:val="48"/>
        </w:rPr>
      </w:pPr>
      <w:r w:rsidRPr="004149AE">
        <w:rPr>
          <w:rFonts w:asciiTheme="majorHAnsi" w:hAnsiTheme="majorHAnsi"/>
          <w:b/>
          <w:bCs/>
          <w:spacing w:val="5"/>
          <w:w w:val="113"/>
          <w:sz w:val="48"/>
          <w:szCs w:val="48"/>
        </w:rPr>
        <w:t>Q</w:t>
      </w:r>
      <w:r w:rsidRPr="004149AE">
        <w:rPr>
          <w:rFonts w:asciiTheme="majorHAnsi" w:hAnsiTheme="majorHAnsi"/>
          <w:b/>
          <w:bCs/>
          <w:spacing w:val="-14"/>
          <w:w w:val="111"/>
          <w:sz w:val="48"/>
          <w:szCs w:val="48"/>
        </w:rPr>
        <w:t>u</w:t>
      </w:r>
      <w:r w:rsidRPr="004149AE">
        <w:rPr>
          <w:rFonts w:asciiTheme="majorHAnsi" w:hAnsiTheme="majorHAnsi"/>
          <w:b/>
          <w:bCs/>
          <w:spacing w:val="-12"/>
          <w:w w:val="125"/>
          <w:sz w:val="48"/>
          <w:szCs w:val="48"/>
        </w:rPr>
        <w:t>i</w:t>
      </w:r>
      <w:r w:rsidRPr="004149AE">
        <w:rPr>
          <w:rFonts w:asciiTheme="majorHAnsi" w:hAnsiTheme="majorHAnsi"/>
          <w:b/>
          <w:bCs/>
          <w:spacing w:val="-11"/>
          <w:sz w:val="48"/>
          <w:szCs w:val="48"/>
        </w:rPr>
        <w:t>c</w:t>
      </w:r>
      <w:r w:rsidRPr="004149AE">
        <w:rPr>
          <w:rFonts w:asciiTheme="majorHAnsi" w:hAnsiTheme="majorHAnsi"/>
          <w:b/>
          <w:bCs/>
          <w:w w:val="106"/>
          <w:sz w:val="48"/>
          <w:szCs w:val="48"/>
        </w:rPr>
        <w:t>k</w:t>
      </w:r>
      <w:r w:rsidRPr="004149AE">
        <w:rPr>
          <w:rFonts w:asciiTheme="majorHAnsi" w:hAnsiTheme="majorHAnsi"/>
          <w:b/>
          <w:bCs/>
          <w:spacing w:val="4"/>
          <w:sz w:val="48"/>
          <w:szCs w:val="48"/>
        </w:rPr>
        <w:t xml:space="preserve"> </w:t>
      </w:r>
      <w:r w:rsidRPr="004149AE">
        <w:rPr>
          <w:rFonts w:asciiTheme="majorHAnsi" w:hAnsiTheme="majorHAnsi"/>
          <w:b/>
          <w:bCs/>
          <w:spacing w:val="-12"/>
          <w:w w:val="107"/>
          <w:sz w:val="48"/>
          <w:szCs w:val="48"/>
        </w:rPr>
        <w:t>R</w:t>
      </w:r>
      <w:r w:rsidRPr="004149AE">
        <w:rPr>
          <w:rFonts w:asciiTheme="majorHAnsi" w:hAnsiTheme="majorHAnsi"/>
          <w:b/>
          <w:bCs/>
          <w:spacing w:val="-7"/>
          <w:w w:val="107"/>
          <w:sz w:val="48"/>
          <w:szCs w:val="48"/>
        </w:rPr>
        <w:t>e</w:t>
      </w:r>
      <w:r w:rsidRPr="004149AE">
        <w:rPr>
          <w:rFonts w:asciiTheme="majorHAnsi" w:hAnsiTheme="majorHAnsi"/>
          <w:b/>
          <w:bCs/>
          <w:spacing w:val="-12"/>
          <w:w w:val="110"/>
          <w:sz w:val="48"/>
          <w:szCs w:val="48"/>
        </w:rPr>
        <w:t>f</w:t>
      </w:r>
      <w:r w:rsidRPr="004149AE">
        <w:rPr>
          <w:rFonts w:asciiTheme="majorHAnsi" w:hAnsiTheme="majorHAnsi"/>
          <w:b/>
          <w:bCs/>
          <w:spacing w:val="-10"/>
          <w:w w:val="110"/>
          <w:sz w:val="48"/>
          <w:szCs w:val="48"/>
        </w:rPr>
        <w:t>e</w:t>
      </w:r>
      <w:r w:rsidRPr="004149AE">
        <w:rPr>
          <w:rFonts w:asciiTheme="majorHAnsi" w:hAnsiTheme="majorHAnsi"/>
          <w:b/>
          <w:bCs/>
          <w:spacing w:val="-12"/>
          <w:w w:val="107"/>
          <w:sz w:val="48"/>
          <w:szCs w:val="48"/>
        </w:rPr>
        <w:t>r</w:t>
      </w:r>
      <w:r w:rsidRPr="004149AE">
        <w:rPr>
          <w:rFonts w:asciiTheme="majorHAnsi" w:hAnsiTheme="majorHAnsi"/>
          <w:b/>
          <w:bCs/>
          <w:spacing w:val="-11"/>
          <w:w w:val="107"/>
          <w:sz w:val="48"/>
          <w:szCs w:val="48"/>
        </w:rPr>
        <w:t>e</w:t>
      </w:r>
      <w:r w:rsidRPr="004149AE">
        <w:rPr>
          <w:rFonts w:asciiTheme="majorHAnsi" w:hAnsiTheme="majorHAnsi"/>
          <w:b/>
          <w:bCs/>
          <w:spacing w:val="-8"/>
          <w:w w:val="111"/>
          <w:sz w:val="48"/>
          <w:szCs w:val="48"/>
        </w:rPr>
        <w:t>n</w:t>
      </w:r>
      <w:r w:rsidRPr="004149AE">
        <w:rPr>
          <w:rFonts w:asciiTheme="majorHAnsi" w:hAnsiTheme="majorHAnsi"/>
          <w:b/>
          <w:bCs/>
          <w:spacing w:val="-11"/>
          <w:sz w:val="48"/>
          <w:szCs w:val="48"/>
        </w:rPr>
        <w:t>c</w:t>
      </w:r>
      <w:r w:rsidRPr="004149AE">
        <w:rPr>
          <w:rFonts w:asciiTheme="majorHAnsi" w:hAnsiTheme="majorHAnsi"/>
          <w:b/>
          <w:bCs/>
          <w:w w:val="102"/>
          <w:sz w:val="48"/>
          <w:szCs w:val="48"/>
        </w:rPr>
        <w:t>e</w:t>
      </w:r>
      <w:r w:rsidRPr="004149AE">
        <w:rPr>
          <w:rFonts w:asciiTheme="majorHAnsi" w:hAnsiTheme="majorHAnsi"/>
          <w:b/>
          <w:bCs/>
          <w:spacing w:val="4"/>
          <w:sz w:val="48"/>
          <w:szCs w:val="48"/>
        </w:rPr>
        <w:t xml:space="preserve"> </w:t>
      </w:r>
      <w:r w:rsidRPr="004149AE">
        <w:rPr>
          <w:rFonts w:asciiTheme="majorHAnsi" w:hAnsiTheme="majorHAnsi"/>
          <w:b/>
          <w:bCs/>
          <w:spacing w:val="-9"/>
          <w:w w:val="104"/>
          <w:sz w:val="48"/>
          <w:szCs w:val="48"/>
        </w:rPr>
        <w:t>G</w:t>
      </w:r>
      <w:r w:rsidRPr="004149AE">
        <w:rPr>
          <w:rFonts w:asciiTheme="majorHAnsi" w:hAnsiTheme="majorHAnsi"/>
          <w:b/>
          <w:bCs/>
          <w:spacing w:val="-14"/>
          <w:w w:val="111"/>
          <w:sz w:val="48"/>
          <w:szCs w:val="48"/>
        </w:rPr>
        <w:t>u</w:t>
      </w:r>
      <w:r w:rsidRPr="004149AE">
        <w:rPr>
          <w:rFonts w:asciiTheme="majorHAnsi" w:hAnsiTheme="majorHAnsi"/>
          <w:b/>
          <w:bCs/>
          <w:spacing w:val="-12"/>
          <w:w w:val="125"/>
          <w:sz w:val="48"/>
          <w:szCs w:val="48"/>
        </w:rPr>
        <w:t>i</w:t>
      </w:r>
      <w:r w:rsidRPr="004149AE">
        <w:rPr>
          <w:rFonts w:asciiTheme="majorHAnsi" w:hAnsiTheme="majorHAnsi"/>
          <w:b/>
          <w:bCs/>
          <w:spacing w:val="-8"/>
          <w:w w:val="110"/>
          <w:sz w:val="48"/>
          <w:szCs w:val="48"/>
        </w:rPr>
        <w:t>d</w:t>
      </w:r>
      <w:r w:rsidRPr="004149AE">
        <w:rPr>
          <w:rFonts w:asciiTheme="majorHAnsi" w:hAnsiTheme="majorHAnsi"/>
          <w:b/>
          <w:bCs/>
          <w:w w:val="102"/>
          <w:sz w:val="48"/>
          <w:szCs w:val="48"/>
        </w:rPr>
        <w:t>e</w:t>
      </w:r>
    </w:p>
    <w:p w14:paraId="51D71ED7" w14:textId="774436D3" w:rsidR="005E6819" w:rsidRPr="00DE60D5" w:rsidRDefault="00016390" w:rsidP="006A2BE0">
      <w:pPr>
        <w:pStyle w:val="Title"/>
        <w:rPr>
          <w:rFonts w:eastAsia="Arial Narrow" w:cs="Arial Narrow"/>
        </w:rPr>
      </w:pPr>
      <w:r w:rsidRPr="00DE60D5">
        <w:rPr>
          <w:spacing w:val="-11"/>
          <w:w w:val="101"/>
        </w:rPr>
        <w:t>U</w:t>
      </w:r>
      <w:r w:rsidR="0029534C" w:rsidRPr="00DE60D5">
        <w:rPr>
          <w:spacing w:val="-11"/>
          <w:w w:val="101"/>
        </w:rPr>
        <w:t>nderstanding the Biosecurity Status Document (BSD)</w:t>
      </w:r>
    </w:p>
    <w:p w14:paraId="56EABF47" w14:textId="4B045B50" w:rsidR="005E6819" w:rsidRPr="00DE60D5" w:rsidRDefault="005E6819" w:rsidP="005E6819">
      <w:pPr>
        <w:rPr>
          <w:rFonts w:asciiTheme="minorHAnsi" w:hAnsiTheme="minorHAnsi" w:cstheme="minorHAnsi"/>
        </w:rPr>
      </w:pPr>
    </w:p>
    <w:p w14:paraId="08057A1D" w14:textId="75FEF4A4" w:rsidR="00702DEF" w:rsidRPr="00DE60D5" w:rsidRDefault="00702DEF" w:rsidP="00792F0C">
      <w:pPr>
        <w:pStyle w:val="Heading2"/>
      </w:pPr>
      <w:r w:rsidRPr="00DE60D5">
        <w:t xml:space="preserve">What is a </w:t>
      </w:r>
      <w:r w:rsidR="00FF7D11" w:rsidRPr="00DE60D5">
        <w:t>Biosecurity Status Document?</w:t>
      </w:r>
    </w:p>
    <w:p w14:paraId="0C5DD7DD" w14:textId="5D449CD4" w:rsidR="005F2D7B" w:rsidRPr="00A27BEF" w:rsidRDefault="00702DEF" w:rsidP="004737C2">
      <w:pPr>
        <w:rPr>
          <w:rFonts w:asciiTheme="majorHAnsi" w:hAnsiTheme="majorHAnsi"/>
        </w:rPr>
      </w:pPr>
      <w:r w:rsidRPr="00A27BEF">
        <w:rPr>
          <w:rFonts w:asciiTheme="majorHAnsi" w:hAnsiTheme="majorHAnsi"/>
        </w:rPr>
        <w:t>Biosecurity Status Document</w:t>
      </w:r>
      <w:r w:rsidR="00200BCB" w:rsidRPr="00A27BEF">
        <w:rPr>
          <w:rFonts w:asciiTheme="majorHAnsi" w:hAnsiTheme="majorHAnsi"/>
        </w:rPr>
        <w:t>s</w:t>
      </w:r>
      <w:r w:rsidRPr="00A27BEF">
        <w:rPr>
          <w:rFonts w:asciiTheme="majorHAnsi" w:hAnsiTheme="majorHAnsi"/>
        </w:rPr>
        <w:t xml:space="preserve"> (BSD</w:t>
      </w:r>
      <w:r w:rsidR="00200BCB" w:rsidRPr="00A27BEF">
        <w:rPr>
          <w:rFonts w:asciiTheme="majorHAnsi" w:hAnsiTheme="majorHAnsi"/>
        </w:rPr>
        <w:t>s</w:t>
      </w:r>
      <w:r w:rsidRPr="00A27BEF">
        <w:rPr>
          <w:rFonts w:asciiTheme="majorHAnsi" w:hAnsiTheme="majorHAnsi"/>
        </w:rPr>
        <w:t xml:space="preserve">) </w:t>
      </w:r>
      <w:r w:rsidR="00200BCB" w:rsidRPr="00A27BEF">
        <w:rPr>
          <w:rFonts w:asciiTheme="majorHAnsi" w:hAnsiTheme="majorHAnsi"/>
        </w:rPr>
        <w:t>are</w:t>
      </w:r>
      <w:r w:rsidRPr="00A27BEF">
        <w:rPr>
          <w:rFonts w:asciiTheme="majorHAnsi" w:hAnsiTheme="majorHAnsi"/>
        </w:rPr>
        <w:t xml:space="preserve"> a </w:t>
      </w:r>
      <w:r w:rsidR="005F2D7B" w:rsidRPr="00A27BEF">
        <w:rPr>
          <w:rFonts w:asciiTheme="majorHAnsi" w:hAnsiTheme="majorHAnsi"/>
        </w:rPr>
        <w:t xml:space="preserve">source of information </w:t>
      </w:r>
      <w:r w:rsidRPr="00A27BEF">
        <w:rPr>
          <w:rFonts w:asciiTheme="majorHAnsi" w:hAnsiTheme="majorHAnsi"/>
        </w:rPr>
        <w:t xml:space="preserve">that communicate the department’s biosecurity conditions and </w:t>
      </w:r>
      <w:r w:rsidR="6B4F23DD" w:rsidRPr="00A27BEF">
        <w:rPr>
          <w:rFonts w:asciiTheme="majorHAnsi" w:hAnsiTheme="majorHAnsi"/>
        </w:rPr>
        <w:t>directions</w:t>
      </w:r>
      <w:r w:rsidRPr="00A27BEF">
        <w:rPr>
          <w:rFonts w:asciiTheme="majorHAnsi" w:hAnsiTheme="majorHAnsi"/>
        </w:rPr>
        <w:t xml:space="preserve"> during the period a vessel is on an Australian voyage. </w:t>
      </w:r>
    </w:p>
    <w:p w14:paraId="46D17C1B" w14:textId="77777777" w:rsidR="005F2D7B" w:rsidRPr="00A27BEF" w:rsidRDefault="005F2D7B" w:rsidP="004737C2">
      <w:pPr>
        <w:rPr>
          <w:rFonts w:asciiTheme="majorHAnsi" w:hAnsiTheme="majorHAnsi"/>
        </w:rPr>
      </w:pPr>
    </w:p>
    <w:p w14:paraId="742CD8D4" w14:textId="362BA7ED" w:rsidR="00DA503F" w:rsidRPr="00A27BEF" w:rsidRDefault="005F2D7B" w:rsidP="0D240B1C">
      <w:pPr>
        <w:rPr>
          <w:rFonts w:asciiTheme="majorHAnsi" w:hAnsiTheme="majorHAnsi"/>
        </w:rPr>
      </w:pPr>
      <w:r w:rsidRPr="0D240B1C">
        <w:rPr>
          <w:rFonts w:asciiTheme="majorHAnsi" w:hAnsiTheme="majorHAnsi"/>
        </w:rPr>
        <w:t xml:space="preserve">BSDs are </w:t>
      </w:r>
      <w:r w:rsidR="00702DEF" w:rsidRPr="0D240B1C">
        <w:rPr>
          <w:rFonts w:asciiTheme="majorHAnsi" w:hAnsiTheme="majorHAnsi"/>
        </w:rPr>
        <w:t xml:space="preserve">auto generated by </w:t>
      </w:r>
      <w:r w:rsidR="3C2DFDDB" w:rsidRPr="0D240B1C">
        <w:rPr>
          <w:rFonts w:asciiTheme="majorHAnsi" w:hAnsiTheme="majorHAnsi"/>
        </w:rPr>
        <w:t>the Maritime and Aircraft Reporting System (</w:t>
      </w:r>
      <w:bookmarkStart w:id="0" w:name="_Int_JOhRBY61"/>
      <w:r w:rsidR="00702DEF" w:rsidRPr="0D240B1C">
        <w:rPr>
          <w:rFonts w:asciiTheme="majorHAnsi" w:hAnsiTheme="majorHAnsi"/>
        </w:rPr>
        <w:t>MARS</w:t>
      </w:r>
      <w:r w:rsidR="01A3F18E" w:rsidRPr="0D240B1C">
        <w:rPr>
          <w:rFonts w:asciiTheme="majorHAnsi" w:hAnsiTheme="majorHAnsi"/>
        </w:rPr>
        <w:t>)</w:t>
      </w:r>
      <w:bookmarkEnd w:id="0"/>
      <w:r w:rsidR="00702DEF" w:rsidRPr="0D240B1C">
        <w:rPr>
          <w:rFonts w:asciiTheme="majorHAnsi" w:hAnsiTheme="majorHAnsi"/>
        </w:rPr>
        <w:t xml:space="preserve"> and </w:t>
      </w:r>
      <w:r w:rsidRPr="0D240B1C">
        <w:rPr>
          <w:rFonts w:asciiTheme="majorHAnsi" w:hAnsiTheme="majorHAnsi"/>
        </w:rPr>
        <w:t>version controlled to reflect any reported changes to directions or status occurring during a voyage.</w:t>
      </w:r>
      <w:r w:rsidR="00BB703A" w:rsidRPr="0D240B1C">
        <w:rPr>
          <w:rFonts w:asciiTheme="majorHAnsi" w:hAnsiTheme="majorHAnsi"/>
        </w:rPr>
        <w:t xml:space="preserve"> </w:t>
      </w:r>
    </w:p>
    <w:p w14:paraId="5CB75227" w14:textId="77777777" w:rsidR="00DA503F" w:rsidRPr="00A27BEF" w:rsidRDefault="00DA503F" w:rsidP="00BB703A">
      <w:pPr>
        <w:rPr>
          <w:rFonts w:asciiTheme="majorHAnsi" w:hAnsiTheme="majorHAnsi"/>
        </w:rPr>
      </w:pPr>
    </w:p>
    <w:p w14:paraId="02C7E2F1" w14:textId="2EDFD9E7" w:rsidR="00206AA9" w:rsidRPr="00A27BEF" w:rsidRDefault="00206AA9" w:rsidP="00BB703A">
      <w:pPr>
        <w:rPr>
          <w:rFonts w:asciiTheme="majorHAnsi" w:hAnsiTheme="majorHAnsi"/>
        </w:rPr>
      </w:pPr>
      <w:r w:rsidRPr="00A27BEF">
        <w:rPr>
          <w:rFonts w:asciiTheme="majorHAnsi" w:hAnsiTheme="majorHAnsi"/>
        </w:rPr>
        <w:t>BSDs</w:t>
      </w:r>
      <w:r w:rsidR="00BB703A" w:rsidRPr="00A27BEF">
        <w:rPr>
          <w:rFonts w:asciiTheme="majorHAnsi" w:hAnsiTheme="majorHAnsi"/>
        </w:rPr>
        <w:t xml:space="preserve"> use a traffic light system as a visual cue to alert the user regarding the vessel status and any associated directions or advice issued by the department. </w:t>
      </w:r>
    </w:p>
    <w:p w14:paraId="6D0FA311" w14:textId="77777777" w:rsidR="00206AA9" w:rsidRPr="00A27BEF" w:rsidRDefault="00206AA9" w:rsidP="00BB703A">
      <w:pPr>
        <w:rPr>
          <w:rFonts w:asciiTheme="majorHAnsi" w:hAnsiTheme="majorHAnsi"/>
        </w:rPr>
      </w:pPr>
    </w:p>
    <w:p w14:paraId="51189DB7" w14:textId="1B90C11F" w:rsidR="00702DEF" w:rsidRPr="00A27BEF" w:rsidRDefault="00206AA9" w:rsidP="00BB703A">
      <w:pPr>
        <w:rPr>
          <w:rFonts w:asciiTheme="majorHAnsi" w:hAnsiTheme="majorHAnsi"/>
        </w:rPr>
      </w:pPr>
      <w:r w:rsidRPr="00A27BEF">
        <w:rPr>
          <w:rFonts w:asciiTheme="majorHAnsi" w:hAnsiTheme="majorHAnsi"/>
        </w:rPr>
        <w:t xml:space="preserve">BSDs are </w:t>
      </w:r>
      <w:r w:rsidR="00610E3A" w:rsidRPr="00A27BEF">
        <w:rPr>
          <w:rFonts w:asciiTheme="majorHAnsi" w:hAnsiTheme="majorHAnsi"/>
        </w:rPr>
        <w:t xml:space="preserve">emailed </w:t>
      </w:r>
      <w:r w:rsidR="00702DEF" w:rsidRPr="00A27BEF">
        <w:rPr>
          <w:rFonts w:asciiTheme="majorHAnsi" w:hAnsiTheme="majorHAnsi"/>
        </w:rPr>
        <w:t xml:space="preserve">to the </w:t>
      </w:r>
      <w:r w:rsidR="00A334C2" w:rsidRPr="00A27BEF">
        <w:rPr>
          <w:rFonts w:asciiTheme="majorHAnsi" w:hAnsiTheme="majorHAnsi"/>
        </w:rPr>
        <w:t xml:space="preserve">vessel </w:t>
      </w:r>
      <w:r w:rsidR="00045757" w:rsidRPr="00A27BEF">
        <w:rPr>
          <w:rFonts w:asciiTheme="majorHAnsi" w:hAnsiTheme="majorHAnsi"/>
        </w:rPr>
        <w:t>m</w:t>
      </w:r>
      <w:r w:rsidR="00702DEF" w:rsidRPr="00A27BEF">
        <w:rPr>
          <w:rFonts w:asciiTheme="majorHAnsi" w:hAnsiTheme="majorHAnsi"/>
        </w:rPr>
        <w:t>aster</w:t>
      </w:r>
      <w:r w:rsidR="00045757" w:rsidRPr="00A27BEF">
        <w:rPr>
          <w:rFonts w:asciiTheme="majorHAnsi" w:hAnsiTheme="majorHAnsi"/>
        </w:rPr>
        <w:t xml:space="preserve"> (where </w:t>
      </w:r>
      <w:r w:rsidR="00DA503F" w:rsidRPr="00A27BEF">
        <w:rPr>
          <w:rFonts w:asciiTheme="majorHAnsi" w:hAnsiTheme="majorHAnsi"/>
        </w:rPr>
        <w:t>the master has</w:t>
      </w:r>
      <w:r w:rsidR="00045757" w:rsidRPr="00A27BEF">
        <w:rPr>
          <w:rFonts w:asciiTheme="majorHAnsi" w:hAnsiTheme="majorHAnsi"/>
        </w:rPr>
        <w:t xml:space="preserve"> provided </w:t>
      </w:r>
      <w:r w:rsidR="00DA503F" w:rsidRPr="00A27BEF">
        <w:rPr>
          <w:rFonts w:asciiTheme="majorHAnsi" w:hAnsiTheme="majorHAnsi"/>
        </w:rPr>
        <w:t xml:space="preserve">an email address </w:t>
      </w:r>
      <w:r w:rsidR="00045757" w:rsidRPr="00A27BEF">
        <w:rPr>
          <w:rFonts w:asciiTheme="majorHAnsi" w:hAnsiTheme="majorHAnsi"/>
        </w:rPr>
        <w:t>in the pre-arrival report</w:t>
      </w:r>
      <w:r w:rsidR="00E81A01" w:rsidRPr="00A27BEF">
        <w:rPr>
          <w:rFonts w:asciiTheme="majorHAnsi" w:hAnsiTheme="majorHAnsi"/>
        </w:rPr>
        <w:t>)</w:t>
      </w:r>
      <w:r w:rsidR="007E5DF2" w:rsidRPr="00A27BEF">
        <w:rPr>
          <w:rFonts w:asciiTheme="majorHAnsi" w:hAnsiTheme="majorHAnsi"/>
        </w:rPr>
        <w:t>,</w:t>
      </w:r>
      <w:r w:rsidR="00702DEF" w:rsidRPr="00A27BEF">
        <w:rPr>
          <w:rFonts w:asciiTheme="majorHAnsi" w:hAnsiTheme="majorHAnsi"/>
        </w:rPr>
        <w:t xml:space="preserve"> </w:t>
      </w:r>
      <w:r w:rsidR="00054E23" w:rsidRPr="00A27BEF">
        <w:rPr>
          <w:rFonts w:asciiTheme="majorHAnsi" w:hAnsiTheme="majorHAnsi"/>
        </w:rPr>
        <w:t xml:space="preserve">emailed to </w:t>
      </w:r>
      <w:r w:rsidR="00E81A01" w:rsidRPr="00A27BEF">
        <w:rPr>
          <w:rFonts w:asciiTheme="majorHAnsi" w:hAnsiTheme="majorHAnsi"/>
        </w:rPr>
        <w:t xml:space="preserve">the </w:t>
      </w:r>
      <w:r w:rsidR="00DA503F" w:rsidRPr="00A27BEF">
        <w:rPr>
          <w:rFonts w:asciiTheme="majorHAnsi" w:hAnsiTheme="majorHAnsi"/>
        </w:rPr>
        <w:t>nominated</w:t>
      </w:r>
      <w:r w:rsidR="0045181E" w:rsidRPr="00A27BEF">
        <w:rPr>
          <w:rFonts w:asciiTheme="majorHAnsi" w:hAnsiTheme="majorHAnsi"/>
        </w:rPr>
        <w:t xml:space="preserve"> </w:t>
      </w:r>
      <w:r w:rsidR="00E81A01" w:rsidRPr="00A27BEF">
        <w:rPr>
          <w:rFonts w:asciiTheme="majorHAnsi" w:hAnsiTheme="majorHAnsi"/>
        </w:rPr>
        <w:t xml:space="preserve">shipping </w:t>
      </w:r>
      <w:r w:rsidR="00702DEF" w:rsidRPr="00A27BEF">
        <w:rPr>
          <w:rFonts w:asciiTheme="majorHAnsi" w:hAnsiTheme="majorHAnsi"/>
        </w:rPr>
        <w:t>agent</w:t>
      </w:r>
      <w:r w:rsidR="007E5DF2" w:rsidRPr="00A27BEF">
        <w:rPr>
          <w:rFonts w:asciiTheme="majorHAnsi" w:hAnsiTheme="majorHAnsi"/>
        </w:rPr>
        <w:t xml:space="preserve"> and available in MARS.</w:t>
      </w:r>
    </w:p>
    <w:p w14:paraId="6EE7A81F" w14:textId="50FC3BAD" w:rsidR="00702DEF" w:rsidRPr="00DE60D5" w:rsidRDefault="00702DEF" w:rsidP="004737C2">
      <w:pPr>
        <w:rPr>
          <w:rFonts w:asciiTheme="minorHAnsi" w:hAnsiTheme="minorHAnsi" w:cstheme="minorHAnsi"/>
        </w:rPr>
      </w:pPr>
    </w:p>
    <w:p w14:paraId="778A4A37" w14:textId="3B889E5F" w:rsidR="00FF7D11" w:rsidRPr="00DE60D5" w:rsidRDefault="00FF7D11" w:rsidP="00792F0C">
      <w:pPr>
        <w:pStyle w:val="Heading2"/>
      </w:pPr>
      <w:r w:rsidRPr="00DE60D5">
        <w:t>What do the traffic lights indicate?</w:t>
      </w:r>
    </w:p>
    <w:p w14:paraId="69C35C50" w14:textId="2814D25F" w:rsidR="00E221B4" w:rsidRPr="00A27BEF" w:rsidRDefault="125DDD23" w:rsidP="0D240B1C">
      <w:pPr>
        <w:rPr>
          <w:rFonts w:asciiTheme="majorHAnsi" w:hAnsiTheme="majorHAnsi"/>
        </w:rPr>
      </w:pPr>
      <w:r w:rsidRPr="0D240B1C">
        <w:rPr>
          <w:rFonts w:asciiTheme="majorHAnsi" w:hAnsiTheme="majorHAnsi"/>
        </w:rPr>
        <w:t>The biosecurity risks and resultant legal directions issued for arriving international vessels are grouped into five categories</w:t>
      </w:r>
      <w:r w:rsidR="35285E8D" w:rsidRPr="0D240B1C">
        <w:rPr>
          <w:rFonts w:asciiTheme="majorHAnsi" w:hAnsiTheme="majorHAnsi"/>
        </w:rPr>
        <w:t xml:space="preserve"> </w:t>
      </w:r>
      <w:r w:rsidR="4FF33E06" w:rsidRPr="0D240B1C">
        <w:rPr>
          <w:rFonts w:asciiTheme="majorHAnsi" w:hAnsiTheme="majorHAnsi"/>
        </w:rPr>
        <w:t xml:space="preserve">as </w:t>
      </w:r>
      <w:r w:rsidR="007D4F2C" w:rsidRPr="0D240B1C">
        <w:rPr>
          <w:rFonts w:asciiTheme="majorHAnsi" w:hAnsiTheme="majorHAnsi"/>
        </w:rPr>
        <w:t>displayed</w:t>
      </w:r>
      <w:r w:rsidR="4FF33E06" w:rsidRPr="0D240B1C">
        <w:rPr>
          <w:rFonts w:asciiTheme="majorHAnsi" w:hAnsiTheme="majorHAnsi"/>
        </w:rPr>
        <w:t xml:space="preserve"> in </w:t>
      </w:r>
      <w:bookmarkStart w:id="1" w:name="_Int_O3RcwFcb"/>
      <w:r w:rsidR="4FF33E06" w:rsidRPr="0D240B1C">
        <w:rPr>
          <w:rFonts w:asciiTheme="majorHAnsi" w:hAnsiTheme="majorHAnsi"/>
        </w:rPr>
        <w:t>MARS</w:t>
      </w:r>
      <w:r w:rsidRPr="0D240B1C">
        <w:rPr>
          <w:rFonts w:asciiTheme="majorHAnsi" w:hAnsiTheme="majorHAnsi"/>
        </w:rPr>
        <w:t>,</w:t>
      </w:r>
      <w:bookmarkEnd w:id="1"/>
      <w:r w:rsidRPr="0D240B1C">
        <w:rPr>
          <w:rFonts w:asciiTheme="majorHAnsi" w:hAnsiTheme="majorHAnsi"/>
        </w:rPr>
        <w:t xml:space="preserve"> as shown below. </w:t>
      </w:r>
    </w:p>
    <w:p w14:paraId="0D597D4F" w14:textId="34C8DDA7" w:rsidR="00E221B4" w:rsidRPr="00A27BEF" w:rsidRDefault="00E221B4" w:rsidP="004737C2">
      <w:pPr>
        <w:rPr>
          <w:rFonts w:asciiTheme="majorHAnsi" w:hAnsiTheme="majorHAnsi"/>
        </w:rPr>
      </w:pPr>
    </w:p>
    <w:p w14:paraId="18EC1D26" w14:textId="776D83D8" w:rsidR="005B17C0" w:rsidRPr="00A27BEF" w:rsidRDefault="005B17C0" w:rsidP="004737C2">
      <w:pPr>
        <w:rPr>
          <w:rFonts w:asciiTheme="majorHAnsi" w:hAnsiTheme="majorHAnsi"/>
        </w:rPr>
      </w:pPr>
      <w:r w:rsidRPr="00A27BEF">
        <w:rPr>
          <w:rFonts w:asciiTheme="majorHAnsi" w:hAnsiTheme="majorHAnsi"/>
          <w:noProof/>
        </w:rPr>
        <w:drawing>
          <wp:inline distT="0" distB="0" distL="0" distR="0" wp14:anchorId="3F67DA79" wp14:editId="1E1E684F">
            <wp:extent cx="6479540" cy="1160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9540" cy="1160780"/>
                    </a:xfrm>
                    <a:prstGeom prst="rect">
                      <a:avLst/>
                    </a:prstGeom>
                  </pic:spPr>
                </pic:pic>
              </a:graphicData>
            </a:graphic>
          </wp:inline>
        </w:drawing>
      </w:r>
    </w:p>
    <w:p w14:paraId="3081DDFC" w14:textId="77777777" w:rsidR="005B17C0" w:rsidRPr="00A27BEF" w:rsidRDefault="005B17C0" w:rsidP="004737C2">
      <w:pPr>
        <w:rPr>
          <w:rFonts w:asciiTheme="majorHAnsi" w:hAnsiTheme="majorHAnsi"/>
        </w:rPr>
      </w:pPr>
    </w:p>
    <w:p w14:paraId="4CA595D9" w14:textId="184F011E" w:rsidR="00201B8F" w:rsidRPr="00A27BEF" w:rsidRDefault="00FF7D11" w:rsidP="004737C2">
      <w:pPr>
        <w:rPr>
          <w:rFonts w:asciiTheme="majorHAnsi" w:hAnsiTheme="majorHAnsi"/>
        </w:rPr>
      </w:pPr>
      <w:r w:rsidRPr="00A27BEF">
        <w:rPr>
          <w:rFonts w:asciiTheme="majorHAnsi" w:hAnsiTheme="majorHAnsi"/>
        </w:rPr>
        <w:t xml:space="preserve">To summarise the risks and directions for each category, a traffic light system is displayed.  This represents the risk status of the vessel at the time the BSD is issued. </w:t>
      </w:r>
      <w:r w:rsidR="0008354B" w:rsidRPr="00A27BEF">
        <w:rPr>
          <w:rFonts w:asciiTheme="majorHAnsi" w:hAnsiTheme="majorHAnsi"/>
        </w:rPr>
        <w:t>Generally</w:t>
      </w:r>
      <w:r w:rsidR="00200940" w:rsidRPr="00A27BEF">
        <w:rPr>
          <w:rFonts w:asciiTheme="majorHAnsi" w:hAnsiTheme="majorHAnsi"/>
        </w:rPr>
        <w:t>:</w:t>
      </w:r>
      <w:r w:rsidR="0045181E" w:rsidRPr="00A27BEF">
        <w:rPr>
          <w:rFonts w:asciiTheme="majorHAnsi" w:hAnsiTheme="majorHAnsi"/>
        </w:rPr>
        <w:br/>
      </w:r>
    </w:p>
    <w:p w14:paraId="7A82FC7D" w14:textId="77777777" w:rsidR="00201B8F" w:rsidRPr="00A27BEF" w:rsidRDefault="00E221B4" w:rsidP="00F8727E">
      <w:pPr>
        <w:pStyle w:val="ListParagraph"/>
        <w:numPr>
          <w:ilvl w:val="0"/>
          <w:numId w:val="19"/>
        </w:numPr>
        <w:spacing w:after="0" w:line="360" w:lineRule="auto"/>
        <w:ind w:left="357" w:hanging="357"/>
        <w:rPr>
          <w:rFonts w:asciiTheme="majorHAnsi" w:hAnsiTheme="majorHAnsi"/>
        </w:rPr>
      </w:pPr>
      <w:r w:rsidRPr="00A27BEF">
        <w:rPr>
          <w:rFonts w:asciiTheme="majorHAnsi" w:hAnsiTheme="majorHAnsi"/>
        </w:rPr>
        <w:t xml:space="preserve">a green traffic light means the vessel is compliant and may perform the activity related to the risk category. </w:t>
      </w:r>
    </w:p>
    <w:p w14:paraId="7ABAFAAE" w14:textId="77777777" w:rsidR="005073D5" w:rsidRPr="00A27BEF" w:rsidRDefault="005073D5" w:rsidP="005073D5">
      <w:pPr>
        <w:pStyle w:val="ListParagraph"/>
        <w:numPr>
          <w:ilvl w:val="0"/>
          <w:numId w:val="19"/>
        </w:numPr>
        <w:rPr>
          <w:rFonts w:asciiTheme="majorHAnsi" w:hAnsiTheme="majorHAnsi"/>
        </w:rPr>
      </w:pPr>
      <w:r w:rsidRPr="00A27BEF">
        <w:rPr>
          <w:rFonts w:asciiTheme="majorHAnsi" w:hAnsiTheme="majorHAnsi"/>
        </w:rPr>
        <w:t>a yellow or amber light varies in meaning and the BSD conditions should be thoroughly read to understand what biosecurity measures and controls are required of the vessel to manage biosecurity risk.</w:t>
      </w:r>
    </w:p>
    <w:p w14:paraId="14509C94" w14:textId="04B61C97" w:rsidR="003559FF" w:rsidRPr="00A27BEF" w:rsidRDefault="00201B8F" w:rsidP="003559FF">
      <w:pPr>
        <w:pStyle w:val="ListParagraph"/>
        <w:numPr>
          <w:ilvl w:val="0"/>
          <w:numId w:val="19"/>
        </w:numPr>
        <w:rPr>
          <w:rFonts w:asciiTheme="majorHAnsi" w:hAnsiTheme="majorHAnsi"/>
        </w:rPr>
      </w:pPr>
      <w:r w:rsidRPr="00A27BEF">
        <w:rPr>
          <w:rFonts w:asciiTheme="majorHAnsi" w:hAnsiTheme="majorHAnsi"/>
        </w:rPr>
        <w:t>a</w:t>
      </w:r>
      <w:r w:rsidR="00E221B4" w:rsidRPr="00A27BEF">
        <w:rPr>
          <w:rFonts w:asciiTheme="majorHAnsi" w:hAnsiTheme="majorHAnsi"/>
        </w:rPr>
        <w:t xml:space="preserve"> red traffic light will typically mean the vessel is non-compliant and can</w:t>
      </w:r>
      <w:r w:rsidR="00200940" w:rsidRPr="00A27BEF">
        <w:rPr>
          <w:rFonts w:asciiTheme="majorHAnsi" w:hAnsiTheme="majorHAnsi"/>
        </w:rPr>
        <w:t>not</w:t>
      </w:r>
      <w:r w:rsidR="00E221B4" w:rsidRPr="00A27BEF">
        <w:rPr>
          <w:rFonts w:asciiTheme="majorHAnsi" w:hAnsiTheme="majorHAnsi"/>
        </w:rPr>
        <w:t xml:space="preserve"> perform the activity</w:t>
      </w:r>
      <w:r w:rsidR="00576288" w:rsidRPr="00A27BEF">
        <w:rPr>
          <w:rFonts w:asciiTheme="majorHAnsi" w:hAnsiTheme="majorHAnsi"/>
        </w:rPr>
        <w:t xml:space="preserve"> </w:t>
      </w:r>
      <w:r w:rsidR="00E221B4" w:rsidRPr="00A27BEF">
        <w:rPr>
          <w:rFonts w:asciiTheme="majorHAnsi" w:hAnsiTheme="majorHAnsi"/>
        </w:rPr>
        <w:t xml:space="preserve">or has not requested </w:t>
      </w:r>
      <w:r w:rsidR="00277FDD" w:rsidRPr="00A27BEF">
        <w:rPr>
          <w:rFonts w:asciiTheme="majorHAnsi" w:hAnsiTheme="majorHAnsi"/>
        </w:rPr>
        <w:t xml:space="preserve">or received </w:t>
      </w:r>
      <w:r w:rsidR="00E221B4" w:rsidRPr="00A27BEF">
        <w:rPr>
          <w:rFonts w:asciiTheme="majorHAnsi" w:hAnsiTheme="majorHAnsi"/>
        </w:rPr>
        <w:t>permission to perform the activity.</w:t>
      </w:r>
    </w:p>
    <w:p w14:paraId="7C2B22EF" w14:textId="06134E4A" w:rsidR="001E0001" w:rsidRDefault="00E221B4" w:rsidP="0D240B1C">
      <w:pPr>
        <w:rPr>
          <w:rFonts w:asciiTheme="majorHAnsi" w:hAnsiTheme="majorHAnsi"/>
        </w:rPr>
      </w:pPr>
      <w:r w:rsidRPr="0D240B1C">
        <w:rPr>
          <w:rFonts w:asciiTheme="majorHAnsi" w:hAnsiTheme="majorHAnsi"/>
        </w:rPr>
        <w:t xml:space="preserve">A summary of what each traffic light may represent </w:t>
      </w:r>
      <w:r w:rsidR="00D35CA2" w:rsidRPr="0D240B1C">
        <w:rPr>
          <w:rFonts w:asciiTheme="majorHAnsi" w:hAnsiTheme="majorHAnsi"/>
        </w:rPr>
        <w:t xml:space="preserve">for </w:t>
      </w:r>
      <w:r w:rsidRPr="0D240B1C">
        <w:rPr>
          <w:rFonts w:asciiTheme="majorHAnsi" w:hAnsiTheme="majorHAnsi"/>
        </w:rPr>
        <w:t xml:space="preserve">each section is provided below. </w:t>
      </w:r>
      <w:r w:rsidR="008527BD" w:rsidRPr="0D240B1C">
        <w:rPr>
          <w:rFonts w:asciiTheme="majorHAnsi" w:hAnsiTheme="majorHAnsi"/>
        </w:rPr>
        <w:t>T</w:t>
      </w:r>
      <w:r w:rsidRPr="0D240B1C">
        <w:rPr>
          <w:rFonts w:asciiTheme="majorHAnsi" w:hAnsiTheme="majorHAnsi"/>
        </w:rPr>
        <w:t xml:space="preserve">he text displayed in each BSD section is typically multiple conditions combined and each condition will have its own traffic light colour associated with it based on its risk severity. The traffic light for each BSD section will display the ‘most severe’ colour, </w:t>
      </w:r>
      <w:bookmarkStart w:id="2" w:name="_Int_3p3pQqzh"/>
      <w:proofErr w:type="gramStart"/>
      <w:r w:rsidRPr="0D240B1C">
        <w:rPr>
          <w:rFonts w:asciiTheme="majorHAnsi" w:hAnsiTheme="majorHAnsi"/>
        </w:rPr>
        <w:t>e.g.</w:t>
      </w:r>
      <w:bookmarkEnd w:id="2"/>
      <w:proofErr w:type="gramEnd"/>
      <w:r w:rsidRPr="0D240B1C">
        <w:rPr>
          <w:rFonts w:asciiTheme="majorHAnsi" w:hAnsiTheme="majorHAnsi"/>
        </w:rPr>
        <w:t xml:space="preserve"> if there is a condition with a green light and one with a red, then the </w:t>
      </w:r>
      <w:r w:rsidR="00AD60C6" w:rsidRPr="0D240B1C">
        <w:rPr>
          <w:rFonts w:asciiTheme="majorHAnsi" w:hAnsiTheme="majorHAnsi"/>
        </w:rPr>
        <w:t>BSD section’s</w:t>
      </w:r>
      <w:r w:rsidRPr="0D240B1C">
        <w:rPr>
          <w:rFonts w:asciiTheme="majorHAnsi" w:hAnsiTheme="majorHAnsi"/>
        </w:rPr>
        <w:t xml:space="preserve"> traffic light will display as red.</w:t>
      </w:r>
    </w:p>
    <w:p w14:paraId="24B2693C" w14:textId="6B7BD5E5" w:rsidR="001E0001" w:rsidRDefault="001E0001" w:rsidP="001E0001">
      <w:pPr>
        <w:rPr>
          <w:rFonts w:asciiTheme="majorHAnsi" w:hAnsiTheme="majorHAnsi"/>
          <w:spacing w:val="-6"/>
        </w:rPr>
      </w:pPr>
    </w:p>
    <w:p w14:paraId="023669D4" w14:textId="3F6E50BD" w:rsidR="001E0001" w:rsidRPr="00792F0C" w:rsidRDefault="001E0001" w:rsidP="00792F0C">
      <w:pPr>
        <w:pStyle w:val="Heading2"/>
      </w:pPr>
      <w:r w:rsidRPr="00792F0C">
        <w:t>NEED HELP</w:t>
      </w:r>
      <w:r w:rsidR="003B0595" w:rsidRPr="00792F0C">
        <w:t xml:space="preserve"> or advice</w:t>
      </w:r>
      <w:r w:rsidRPr="00792F0C">
        <w:t>?</w:t>
      </w:r>
    </w:p>
    <w:p w14:paraId="1DE834D8" w14:textId="64296FC9" w:rsidR="001E0001" w:rsidRDefault="001E0001" w:rsidP="001E0001">
      <w:pPr>
        <w:rPr>
          <w:rFonts w:asciiTheme="majorHAnsi" w:hAnsiTheme="majorHAnsi" w:cstheme="minorHAnsi"/>
        </w:rPr>
      </w:pPr>
      <w:r w:rsidRPr="006C0A80">
        <w:rPr>
          <w:rFonts w:asciiTheme="majorHAnsi" w:hAnsiTheme="majorHAnsi"/>
          <w:spacing w:val="-6"/>
        </w:rPr>
        <w:t>For</w:t>
      </w:r>
      <w:r w:rsidRPr="006C0A80">
        <w:rPr>
          <w:rFonts w:asciiTheme="majorHAnsi" w:hAnsiTheme="majorHAnsi"/>
          <w:spacing w:val="-7"/>
        </w:rPr>
        <w:t xml:space="preserve"> </w:t>
      </w:r>
      <w:r>
        <w:rPr>
          <w:rFonts w:asciiTheme="majorHAnsi" w:hAnsiTheme="majorHAnsi"/>
          <w:spacing w:val="-7"/>
        </w:rPr>
        <w:t xml:space="preserve">vessel reporting or arrival </w:t>
      </w:r>
      <w:r w:rsidRPr="006C0A80">
        <w:rPr>
          <w:rFonts w:asciiTheme="majorHAnsi" w:hAnsiTheme="majorHAnsi"/>
          <w:spacing w:val="-4"/>
        </w:rPr>
        <w:t xml:space="preserve">assistance </w:t>
      </w:r>
      <w:r>
        <w:rPr>
          <w:rFonts w:asciiTheme="majorHAnsi" w:hAnsiTheme="majorHAnsi"/>
          <w:spacing w:val="-4"/>
        </w:rPr>
        <w:t>or</w:t>
      </w:r>
      <w:r w:rsidRPr="006C0A80">
        <w:rPr>
          <w:rFonts w:asciiTheme="majorHAnsi" w:hAnsiTheme="majorHAnsi"/>
          <w:spacing w:val="-4"/>
        </w:rPr>
        <w:t xml:space="preserve"> using MARS</w:t>
      </w:r>
      <w:r w:rsidRPr="006C0A80">
        <w:rPr>
          <w:rFonts w:asciiTheme="majorHAnsi" w:hAnsiTheme="majorHAnsi"/>
          <w:spacing w:val="-3"/>
        </w:rPr>
        <w:t>,</w:t>
      </w:r>
      <w:r w:rsidRPr="006C0A80">
        <w:rPr>
          <w:rFonts w:asciiTheme="majorHAnsi" w:hAnsiTheme="majorHAnsi"/>
          <w:spacing w:val="-7"/>
        </w:rPr>
        <w:t xml:space="preserve"> </w:t>
      </w:r>
      <w:r w:rsidRPr="006C0A80">
        <w:rPr>
          <w:rFonts w:asciiTheme="majorHAnsi" w:hAnsiTheme="majorHAnsi"/>
          <w:spacing w:val="-3"/>
        </w:rPr>
        <w:t>contact</w:t>
      </w:r>
      <w:r w:rsidRPr="006C0A80">
        <w:rPr>
          <w:rFonts w:asciiTheme="majorHAnsi" w:hAnsiTheme="majorHAnsi"/>
          <w:spacing w:val="-7"/>
        </w:rPr>
        <w:t xml:space="preserve"> </w:t>
      </w:r>
      <w:r w:rsidRPr="006C0A80">
        <w:rPr>
          <w:rFonts w:asciiTheme="majorHAnsi" w:hAnsiTheme="majorHAnsi"/>
        </w:rPr>
        <w:t xml:space="preserve">the </w:t>
      </w:r>
      <w:r w:rsidRPr="006C0A80">
        <w:rPr>
          <w:rFonts w:asciiTheme="majorHAnsi" w:hAnsiTheme="majorHAnsi" w:cstheme="minorHAnsi"/>
        </w:rPr>
        <w:t>National Maritime Centre (NMC)</w:t>
      </w:r>
    </w:p>
    <w:p w14:paraId="71898AF3" w14:textId="0C5CA1C5" w:rsidR="008527BD" w:rsidRPr="00A27BEF" w:rsidRDefault="001E0001">
      <w:pPr>
        <w:rPr>
          <w:rFonts w:asciiTheme="majorHAnsi" w:hAnsiTheme="majorHAnsi"/>
        </w:rPr>
      </w:pPr>
      <w:r>
        <w:rPr>
          <w:rFonts w:asciiTheme="majorHAnsi" w:hAnsiTheme="majorHAnsi"/>
        </w:rPr>
        <w:t xml:space="preserve">Email: </w:t>
      </w:r>
      <w:hyperlink r:id="rId12" w:history="1">
        <w:r w:rsidR="00517585">
          <w:rPr>
            <w:rStyle w:val="Hyperlink"/>
            <w:rFonts w:asciiTheme="majorHAnsi" w:hAnsiTheme="majorHAnsi" w:cstheme="minorHAnsi"/>
          </w:rPr>
          <w:t>maritimenc@agriculture.gov.au</w:t>
        </w:r>
      </w:hyperlink>
      <w:r w:rsidRPr="00683A76">
        <w:t>;</w:t>
      </w:r>
      <w:r w:rsidR="00792FB9">
        <w:rPr>
          <w:rFonts w:asciiTheme="majorHAnsi" w:hAnsiTheme="majorHAnsi" w:cstheme="minorHAnsi"/>
        </w:rPr>
        <w:t xml:space="preserve"> P</w:t>
      </w:r>
      <w:r w:rsidRPr="006C0A80">
        <w:rPr>
          <w:rFonts w:asciiTheme="majorHAnsi" w:hAnsiTheme="majorHAnsi" w:cstheme="minorHAnsi"/>
        </w:rPr>
        <w:t>hone: 1300 004 605 or +61 8 8201 6185 (outside of Australia)</w:t>
      </w:r>
      <w:r>
        <w:rPr>
          <w:rFonts w:asciiTheme="majorHAnsi" w:hAnsiTheme="majorHAnsi" w:cstheme="minorHAnsi"/>
        </w:rPr>
        <w:t>.</w:t>
      </w:r>
      <w:r w:rsidR="008527BD" w:rsidRPr="00A27BEF">
        <w:rPr>
          <w:rFonts w:asciiTheme="majorHAnsi" w:hAnsiTheme="majorHAnsi"/>
        </w:rPr>
        <w:br w:type="page"/>
      </w:r>
    </w:p>
    <w:p w14:paraId="585BF13B" w14:textId="018E9049" w:rsidR="004F09DC" w:rsidRPr="00A27BEF" w:rsidRDefault="004F09DC" w:rsidP="004737C2">
      <w:pPr>
        <w:rPr>
          <w:rFonts w:asciiTheme="majorHAnsi" w:hAnsiTheme="majorHAnsi"/>
        </w:rPr>
      </w:pPr>
    </w:p>
    <w:tbl>
      <w:tblPr>
        <w:tblW w:w="10206" w:type="dxa"/>
        <w:tblLook w:val="04A0" w:firstRow="1" w:lastRow="0" w:firstColumn="1" w:lastColumn="0" w:noHBand="0" w:noVBand="1"/>
      </w:tblPr>
      <w:tblGrid>
        <w:gridCol w:w="1405"/>
        <w:gridCol w:w="8801"/>
      </w:tblGrid>
      <w:tr w:rsidR="00E91BF9" w:rsidRPr="00A27BEF" w14:paraId="105C5DD3" w14:textId="77777777" w:rsidTr="675C1804">
        <w:trPr>
          <w:trHeight w:val="288"/>
        </w:trPr>
        <w:tc>
          <w:tcPr>
            <w:tcW w:w="10206" w:type="dxa"/>
            <w:gridSpan w:val="2"/>
            <w:tcBorders>
              <w:top w:val="single" w:sz="18" w:space="0" w:color="auto"/>
              <w:left w:val="nil"/>
              <w:bottom w:val="single" w:sz="4" w:space="0" w:color="auto"/>
              <w:right w:val="nil"/>
            </w:tcBorders>
            <w:shd w:val="clear" w:color="auto" w:fill="auto"/>
            <w:noWrap/>
            <w:hideMark/>
          </w:tcPr>
          <w:p w14:paraId="77A8589C" w14:textId="60681602" w:rsidR="00E91BF9" w:rsidRPr="00A27BEF" w:rsidRDefault="00E91BF9" w:rsidP="00E91BF9">
            <w:pPr>
              <w:rPr>
                <w:rFonts w:asciiTheme="majorHAnsi" w:eastAsia="Times New Roman" w:hAnsiTheme="majorHAnsi" w:cs="Tahoma"/>
                <w:b/>
                <w:bCs/>
                <w:color w:val="C00000"/>
                <w:sz w:val="20"/>
                <w:szCs w:val="20"/>
                <w:lang w:eastAsia="en-AU"/>
              </w:rPr>
            </w:pPr>
            <w:r w:rsidRPr="00A27BEF">
              <w:rPr>
                <w:rFonts w:asciiTheme="majorHAnsi" w:eastAsia="Times New Roman" w:hAnsiTheme="majorHAnsi" w:cs="Tahoma"/>
                <w:b/>
                <w:bCs/>
                <w:color w:val="C00000"/>
                <w:sz w:val="20"/>
                <w:szCs w:val="20"/>
                <w:lang w:eastAsia="en-AU"/>
              </w:rPr>
              <w:t xml:space="preserve">Berthing Conditions in Australian First Point of Entry Ports </w:t>
            </w:r>
          </w:p>
        </w:tc>
      </w:tr>
      <w:tr w:rsidR="00E91BF9" w:rsidRPr="00A27BEF" w14:paraId="55FD0F3F" w14:textId="77777777" w:rsidTr="675C1804">
        <w:trPr>
          <w:trHeight w:val="288"/>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42881296"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Green</w:t>
            </w:r>
          </w:p>
        </w:tc>
        <w:tc>
          <w:tcPr>
            <w:tcW w:w="8801" w:type="dxa"/>
            <w:tcBorders>
              <w:top w:val="single" w:sz="4" w:space="0" w:color="auto"/>
              <w:left w:val="nil"/>
              <w:bottom w:val="single" w:sz="4" w:space="0" w:color="auto"/>
              <w:right w:val="nil"/>
            </w:tcBorders>
            <w:shd w:val="clear" w:color="auto" w:fill="auto"/>
            <w:vAlign w:val="bottom"/>
            <w:hideMark/>
          </w:tcPr>
          <w:p w14:paraId="793DE166" w14:textId="7882B1FB"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 xml:space="preserve">he vessel may berth </w:t>
            </w:r>
            <w:r w:rsidR="00C217F4" w:rsidRPr="002F0B99">
              <w:rPr>
                <w:rFonts w:asciiTheme="majorHAnsi" w:eastAsia="Times New Roman" w:hAnsiTheme="majorHAnsi" w:cs="Tahoma"/>
                <w:color w:val="000000"/>
                <w:sz w:val="20"/>
                <w:szCs w:val="20"/>
                <w:lang w:eastAsia="en-AU"/>
              </w:rPr>
              <w:t>at</w:t>
            </w:r>
            <w:r w:rsidR="00E91BF9" w:rsidRPr="002F0B99">
              <w:rPr>
                <w:rFonts w:asciiTheme="majorHAnsi" w:eastAsia="Times New Roman" w:hAnsiTheme="majorHAnsi" w:cs="Tahoma"/>
                <w:color w:val="000000"/>
                <w:sz w:val="20"/>
                <w:szCs w:val="20"/>
                <w:lang w:eastAsia="en-AU"/>
              </w:rPr>
              <w:t xml:space="preserve"> first points of entry; the vessel has been released from biosecurity control.</w:t>
            </w:r>
          </w:p>
        </w:tc>
      </w:tr>
      <w:tr w:rsidR="00E91BF9" w:rsidRPr="00A27BEF" w14:paraId="6B73ED1C" w14:textId="77777777" w:rsidTr="675C1804">
        <w:trPr>
          <w:trHeight w:val="480"/>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683ED434"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Yellow</w:t>
            </w:r>
          </w:p>
        </w:tc>
        <w:tc>
          <w:tcPr>
            <w:tcW w:w="8801" w:type="dxa"/>
            <w:tcBorders>
              <w:top w:val="single" w:sz="4" w:space="0" w:color="auto"/>
              <w:left w:val="nil"/>
              <w:bottom w:val="single" w:sz="4" w:space="0" w:color="auto"/>
              <w:right w:val="nil"/>
            </w:tcBorders>
            <w:shd w:val="clear" w:color="auto" w:fill="auto"/>
            <w:vAlign w:val="bottom"/>
            <w:hideMark/>
          </w:tcPr>
          <w:p w14:paraId="4D5FB372" w14:textId="2F2579C9"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he vessel has been risk assessed and may berth but cannot discharge cargo or can discharge under the specified conditions; the vessel's risks are still being assessed and cannot berth.</w:t>
            </w:r>
          </w:p>
        </w:tc>
      </w:tr>
      <w:tr w:rsidR="00E91BF9" w:rsidRPr="00A27BEF" w14:paraId="79089A21" w14:textId="77777777" w:rsidTr="675C1804">
        <w:trPr>
          <w:trHeight w:val="492"/>
        </w:trPr>
        <w:tc>
          <w:tcPr>
            <w:tcW w:w="1405" w:type="dxa"/>
            <w:tcBorders>
              <w:top w:val="single" w:sz="4" w:space="0" w:color="auto"/>
              <w:left w:val="nil"/>
              <w:bottom w:val="single" w:sz="18" w:space="0" w:color="auto"/>
              <w:right w:val="single" w:sz="4" w:space="0" w:color="auto"/>
            </w:tcBorders>
            <w:shd w:val="clear" w:color="auto" w:fill="auto"/>
            <w:vAlign w:val="center"/>
            <w:hideMark/>
          </w:tcPr>
          <w:p w14:paraId="595C3D10"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Red</w:t>
            </w:r>
          </w:p>
        </w:tc>
        <w:tc>
          <w:tcPr>
            <w:tcW w:w="8801" w:type="dxa"/>
            <w:tcBorders>
              <w:top w:val="single" w:sz="4" w:space="0" w:color="auto"/>
              <w:left w:val="nil"/>
              <w:bottom w:val="single" w:sz="18" w:space="0" w:color="auto"/>
              <w:right w:val="nil"/>
            </w:tcBorders>
            <w:shd w:val="clear" w:color="auto" w:fill="auto"/>
            <w:vAlign w:val="bottom"/>
            <w:hideMark/>
          </w:tcPr>
          <w:p w14:paraId="429F6C40" w14:textId="3B686633"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 xml:space="preserve">he vessel has </w:t>
            </w:r>
            <w:r w:rsidR="00E22CF5" w:rsidRPr="002F0B99">
              <w:rPr>
                <w:rFonts w:asciiTheme="majorHAnsi" w:eastAsia="Times New Roman" w:hAnsiTheme="majorHAnsi" w:cs="Tahoma"/>
                <w:color w:val="000000"/>
                <w:sz w:val="20"/>
                <w:szCs w:val="20"/>
                <w:lang w:eastAsia="en-AU"/>
              </w:rPr>
              <w:t xml:space="preserve">identified </w:t>
            </w:r>
            <w:r w:rsidR="00E91BF9" w:rsidRPr="002F0B99">
              <w:rPr>
                <w:rFonts w:asciiTheme="majorHAnsi" w:eastAsia="Times New Roman" w:hAnsiTheme="majorHAnsi" w:cs="Tahoma"/>
                <w:color w:val="000000"/>
                <w:sz w:val="20"/>
                <w:szCs w:val="20"/>
                <w:lang w:eastAsia="en-AU"/>
              </w:rPr>
              <w:t xml:space="preserve">biosecurity risks </w:t>
            </w:r>
            <w:r w:rsidR="00E22CF5" w:rsidRPr="002F0B99">
              <w:rPr>
                <w:rFonts w:asciiTheme="majorHAnsi" w:eastAsia="Times New Roman" w:hAnsiTheme="majorHAnsi" w:cs="Tahoma"/>
                <w:color w:val="000000"/>
                <w:sz w:val="20"/>
                <w:szCs w:val="20"/>
                <w:lang w:eastAsia="en-AU"/>
              </w:rPr>
              <w:t xml:space="preserve">which </w:t>
            </w:r>
            <w:r w:rsidR="00E91BF9" w:rsidRPr="002F0B99">
              <w:rPr>
                <w:rFonts w:asciiTheme="majorHAnsi" w:eastAsia="Times New Roman" w:hAnsiTheme="majorHAnsi" w:cs="Tahoma"/>
                <w:color w:val="000000"/>
                <w:sz w:val="20"/>
                <w:szCs w:val="20"/>
                <w:lang w:eastAsia="en-AU"/>
              </w:rPr>
              <w:t xml:space="preserve">are still being assessed and cannot berth; the vessel has been risk assessed and cannot berth and may be required to undertake risk management activities at </w:t>
            </w:r>
            <w:r w:rsidR="00DD30B6" w:rsidRPr="002F0B99">
              <w:rPr>
                <w:rFonts w:asciiTheme="majorHAnsi" w:eastAsia="Times New Roman" w:hAnsiTheme="majorHAnsi" w:cs="Tahoma"/>
                <w:color w:val="000000"/>
                <w:sz w:val="20"/>
                <w:szCs w:val="20"/>
                <w:lang w:eastAsia="en-AU"/>
              </w:rPr>
              <w:t xml:space="preserve">berth or </w:t>
            </w:r>
            <w:r w:rsidR="00E91BF9" w:rsidRPr="002F0B99">
              <w:rPr>
                <w:rFonts w:asciiTheme="majorHAnsi" w:eastAsia="Times New Roman" w:hAnsiTheme="majorHAnsi" w:cs="Tahoma"/>
                <w:color w:val="000000"/>
                <w:sz w:val="20"/>
                <w:szCs w:val="20"/>
                <w:lang w:eastAsia="en-AU"/>
              </w:rPr>
              <w:t>anchorage.</w:t>
            </w:r>
          </w:p>
        </w:tc>
      </w:tr>
      <w:tr w:rsidR="00E91BF9" w:rsidRPr="00A27BEF" w14:paraId="6100C8AB" w14:textId="77777777" w:rsidTr="675C1804">
        <w:trPr>
          <w:trHeight w:val="288"/>
        </w:trPr>
        <w:tc>
          <w:tcPr>
            <w:tcW w:w="10206" w:type="dxa"/>
            <w:gridSpan w:val="2"/>
            <w:tcBorders>
              <w:top w:val="single" w:sz="18" w:space="0" w:color="auto"/>
              <w:left w:val="nil"/>
              <w:bottom w:val="nil"/>
              <w:right w:val="nil"/>
            </w:tcBorders>
            <w:shd w:val="clear" w:color="auto" w:fill="auto"/>
            <w:noWrap/>
            <w:hideMark/>
          </w:tcPr>
          <w:p w14:paraId="5A0DDDBF" w14:textId="77777777" w:rsidR="00E91BF9" w:rsidRPr="00A27BEF" w:rsidRDefault="00E91BF9" w:rsidP="0D240B1C">
            <w:pPr>
              <w:rPr>
                <w:rFonts w:asciiTheme="majorHAnsi" w:eastAsia="Times New Roman" w:hAnsiTheme="majorHAnsi" w:cs="Tahoma"/>
                <w:b/>
                <w:bCs/>
                <w:color w:val="C00000"/>
                <w:sz w:val="20"/>
                <w:szCs w:val="20"/>
                <w:lang w:eastAsia="en-AU"/>
              </w:rPr>
            </w:pPr>
            <w:r w:rsidRPr="0D240B1C">
              <w:rPr>
                <w:rFonts w:asciiTheme="majorHAnsi" w:eastAsia="Times New Roman" w:hAnsiTheme="majorHAnsi" w:cs="Tahoma"/>
                <w:b/>
                <w:bCs/>
                <w:color w:val="C00000"/>
                <w:sz w:val="20"/>
                <w:szCs w:val="20"/>
                <w:lang w:eastAsia="en-AU"/>
              </w:rPr>
              <w:t xml:space="preserve">Berthing Conditions in Australian </w:t>
            </w:r>
            <w:bookmarkStart w:id="3" w:name="_Int_gVUOt7FF"/>
            <w:proofErr w:type="gramStart"/>
            <w:r w:rsidRPr="0D240B1C">
              <w:rPr>
                <w:rFonts w:asciiTheme="majorHAnsi" w:eastAsia="Times New Roman" w:hAnsiTheme="majorHAnsi" w:cs="Tahoma"/>
                <w:b/>
                <w:bCs/>
                <w:color w:val="C00000"/>
                <w:sz w:val="20"/>
                <w:szCs w:val="20"/>
                <w:lang w:eastAsia="en-AU"/>
              </w:rPr>
              <w:t>Non First</w:t>
            </w:r>
            <w:bookmarkEnd w:id="3"/>
            <w:proofErr w:type="gramEnd"/>
            <w:r w:rsidRPr="0D240B1C">
              <w:rPr>
                <w:rFonts w:asciiTheme="majorHAnsi" w:eastAsia="Times New Roman" w:hAnsiTheme="majorHAnsi" w:cs="Tahoma"/>
                <w:b/>
                <w:bCs/>
                <w:color w:val="C00000"/>
                <w:sz w:val="20"/>
                <w:szCs w:val="20"/>
                <w:lang w:eastAsia="en-AU"/>
              </w:rPr>
              <w:t xml:space="preserve"> Points of Entry Ports</w:t>
            </w:r>
          </w:p>
        </w:tc>
      </w:tr>
      <w:tr w:rsidR="00E91BF9" w:rsidRPr="00A27BEF" w14:paraId="3C5F483F" w14:textId="77777777" w:rsidTr="675C1804">
        <w:trPr>
          <w:trHeight w:val="288"/>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761F319E"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Green</w:t>
            </w:r>
          </w:p>
        </w:tc>
        <w:tc>
          <w:tcPr>
            <w:tcW w:w="8801" w:type="dxa"/>
            <w:tcBorders>
              <w:top w:val="single" w:sz="4" w:space="0" w:color="auto"/>
              <w:left w:val="nil"/>
              <w:bottom w:val="single" w:sz="4" w:space="0" w:color="auto"/>
              <w:right w:val="nil"/>
            </w:tcBorders>
            <w:shd w:val="clear" w:color="auto" w:fill="auto"/>
            <w:noWrap/>
            <w:vAlign w:val="bottom"/>
            <w:hideMark/>
          </w:tcPr>
          <w:p w14:paraId="25BF7103" w14:textId="174A831E" w:rsidR="00E91BF9" w:rsidRPr="002F0B99" w:rsidRDefault="00D05E5C"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Directions or c</w:t>
            </w:r>
            <w:r w:rsidR="00E91BF9" w:rsidRPr="002F0B99">
              <w:rPr>
                <w:rFonts w:asciiTheme="majorHAnsi" w:eastAsia="Times New Roman" w:hAnsiTheme="majorHAnsi" w:cs="Tahoma"/>
                <w:color w:val="000000"/>
                <w:sz w:val="20"/>
                <w:szCs w:val="20"/>
                <w:lang w:eastAsia="en-AU"/>
              </w:rPr>
              <w:t>onditions not specific to reported risks; the vessel has been released from biosecurity control.</w:t>
            </w:r>
          </w:p>
        </w:tc>
      </w:tr>
      <w:tr w:rsidR="00E91BF9" w:rsidRPr="00A27BEF" w14:paraId="3F1BFD65" w14:textId="77777777" w:rsidTr="675C1804">
        <w:trPr>
          <w:trHeight w:val="288"/>
        </w:trPr>
        <w:tc>
          <w:tcPr>
            <w:tcW w:w="1405" w:type="dxa"/>
            <w:tcBorders>
              <w:top w:val="nil"/>
              <w:left w:val="nil"/>
              <w:bottom w:val="single" w:sz="4" w:space="0" w:color="auto"/>
              <w:right w:val="single" w:sz="4" w:space="0" w:color="auto"/>
            </w:tcBorders>
            <w:shd w:val="clear" w:color="auto" w:fill="auto"/>
            <w:vAlign w:val="center"/>
            <w:hideMark/>
          </w:tcPr>
          <w:p w14:paraId="2E636FA8"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Yellow</w:t>
            </w:r>
          </w:p>
        </w:tc>
        <w:tc>
          <w:tcPr>
            <w:tcW w:w="8801" w:type="dxa"/>
            <w:tcBorders>
              <w:top w:val="nil"/>
              <w:left w:val="nil"/>
              <w:bottom w:val="single" w:sz="4" w:space="0" w:color="auto"/>
              <w:right w:val="nil"/>
            </w:tcBorders>
            <w:shd w:val="clear" w:color="auto" w:fill="auto"/>
            <w:noWrap/>
            <w:vAlign w:val="bottom"/>
            <w:hideMark/>
          </w:tcPr>
          <w:p w14:paraId="37BF408C" w14:textId="0A7DD848"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he vessel's risks are being evaluated.</w:t>
            </w:r>
          </w:p>
        </w:tc>
      </w:tr>
      <w:tr w:rsidR="00E91BF9" w:rsidRPr="00A27BEF" w14:paraId="73B90C08" w14:textId="77777777" w:rsidTr="675C1804">
        <w:trPr>
          <w:trHeight w:val="288"/>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2FD4F0EC"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Red</w:t>
            </w:r>
          </w:p>
        </w:tc>
        <w:tc>
          <w:tcPr>
            <w:tcW w:w="8801" w:type="dxa"/>
            <w:tcBorders>
              <w:top w:val="single" w:sz="4" w:space="0" w:color="auto"/>
              <w:left w:val="nil"/>
              <w:bottom w:val="single" w:sz="4" w:space="0" w:color="auto"/>
              <w:right w:val="nil"/>
            </w:tcBorders>
            <w:shd w:val="clear" w:color="auto" w:fill="auto"/>
            <w:noWrap/>
            <w:vAlign w:val="bottom"/>
            <w:hideMark/>
          </w:tcPr>
          <w:p w14:paraId="172B506C" w14:textId="18DEEE4B"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he vessel's risks are being evaluated and cannot berth.</w:t>
            </w:r>
          </w:p>
        </w:tc>
      </w:tr>
      <w:tr w:rsidR="00E91BF9" w:rsidRPr="00A27BEF" w14:paraId="79FD4AD0" w14:textId="77777777" w:rsidTr="675C1804">
        <w:trPr>
          <w:trHeight w:val="576"/>
        </w:trPr>
        <w:tc>
          <w:tcPr>
            <w:tcW w:w="10206" w:type="dxa"/>
            <w:gridSpan w:val="2"/>
            <w:tcBorders>
              <w:top w:val="single" w:sz="4" w:space="0" w:color="auto"/>
              <w:left w:val="nil"/>
              <w:bottom w:val="single" w:sz="18" w:space="0" w:color="auto"/>
              <w:right w:val="nil"/>
            </w:tcBorders>
            <w:shd w:val="clear" w:color="auto" w:fill="auto"/>
            <w:vAlign w:val="center"/>
            <w:hideMark/>
          </w:tcPr>
          <w:p w14:paraId="1D0F9614" w14:textId="7D637CAD" w:rsidR="00E91BF9" w:rsidRPr="002F0B99" w:rsidRDefault="00E91BF9" w:rsidP="00E91BF9">
            <w:pPr>
              <w:rPr>
                <w:rFonts w:asciiTheme="majorHAnsi" w:eastAsia="Times New Roman" w:hAnsiTheme="majorHAnsi" w:cs="Tahoma"/>
                <w:color w:val="000000"/>
                <w:sz w:val="20"/>
                <w:szCs w:val="20"/>
                <w:lang w:eastAsia="en-AU"/>
              </w:rPr>
            </w:pPr>
            <w:r w:rsidRPr="00EB1DFD">
              <w:rPr>
                <w:rFonts w:asciiTheme="majorHAnsi" w:eastAsia="Times New Roman" w:hAnsiTheme="majorHAnsi" w:cs="Tahoma"/>
                <w:color w:val="000000"/>
                <w:sz w:val="18"/>
                <w:szCs w:val="18"/>
                <w:lang w:eastAsia="en-AU"/>
              </w:rPr>
              <w:t xml:space="preserve">Note: there is an additional condition which lists all </w:t>
            </w:r>
            <w:r w:rsidR="00BC330B" w:rsidRPr="00EB1DFD">
              <w:rPr>
                <w:rFonts w:asciiTheme="majorHAnsi" w:eastAsia="Times New Roman" w:hAnsiTheme="majorHAnsi" w:cs="Tahoma"/>
                <w:color w:val="000000"/>
                <w:sz w:val="18"/>
                <w:szCs w:val="18"/>
                <w:lang w:eastAsia="en-AU"/>
              </w:rPr>
              <w:t xml:space="preserve">non-first </w:t>
            </w:r>
            <w:r w:rsidRPr="00EB1DFD">
              <w:rPr>
                <w:rFonts w:asciiTheme="majorHAnsi" w:eastAsia="Times New Roman" w:hAnsiTheme="majorHAnsi" w:cs="Tahoma"/>
                <w:color w:val="000000"/>
                <w:sz w:val="18"/>
                <w:szCs w:val="18"/>
                <w:lang w:eastAsia="en-AU"/>
              </w:rPr>
              <w:t>port visit application approvals and rejections which does not have a colour assigned. In this instance, the traffic light will show the ‘most severe’ colour of the other conditions displayed.</w:t>
            </w:r>
          </w:p>
        </w:tc>
      </w:tr>
      <w:tr w:rsidR="00E91BF9" w:rsidRPr="00A27BEF" w14:paraId="06160A28" w14:textId="77777777" w:rsidTr="675C1804">
        <w:trPr>
          <w:trHeight w:val="288"/>
        </w:trPr>
        <w:tc>
          <w:tcPr>
            <w:tcW w:w="10206" w:type="dxa"/>
            <w:gridSpan w:val="2"/>
            <w:tcBorders>
              <w:top w:val="single" w:sz="18" w:space="0" w:color="auto"/>
              <w:left w:val="nil"/>
              <w:bottom w:val="nil"/>
              <w:right w:val="nil"/>
            </w:tcBorders>
            <w:shd w:val="clear" w:color="auto" w:fill="auto"/>
            <w:noWrap/>
            <w:hideMark/>
          </w:tcPr>
          <w:p w14:paraId="052C0DB2" w14:textId="77777777" w:rsidR="00E91BF9" w:rsidRPr="00A27BEF" w:rsidRDefault="00E91BF9" w:rsidP="00E91BF9">
            <w:pPr>
              <w:rPr>
                <w:rFonts w:asciiTheme="majorHAnsi" w:eastAsia="Times New Roman" w:hAnsiTheme="majorHAnsi" w:cs="Tahoma"/>
                <w:b/>
                <w:bCs/>
                <w:color w:val="C00000"/>
                <w:sz w:val="20"/>
                <w:szCs w:val="20"/>
                <w:lang w:eastAsia="en-AU"/>
              </w:rPr>
            </w:pPr>
            <w:r w:rsidRPr="00A27BEF">
              <w:rPr>
                <w:rFonts w:asciiTheme="majorHAnsi" w:eastAsia="Times New Roman" w:hAnsiTheme="majorHAnsi" w:cs="Tahoma"/>
                <w:b/>
                <w:bCs/>
                <w:color w:val="C00000"/>
                <w:sz w:val="20"/>
                <w:szCs w:val="20"/>
                <w:lang w:eastAsia="en-AU"/>
              </w:rPr>
              <w:t>Vessel Biosecurity</w:t>
            </w:r>
          </w:p>
        </w:tc>
      </w:tr>
      <w:tr w:rsidR="00E91BF9" w:rsidRPr="00A27BEF" w14:paraId="0D4D30C1" w14:textId="77777777" w:rsidTr="675C1804">
        <w:trPr>
          <w:trHeight w:val="480"/>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1690659E"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Green</w:t>
            </w:r>
          </w:p>
        </w:tc>
        <w:tc>
          <w:tcPr>
            <w:tcW w:w="8801" w:type="dxa"/>
            <w:tcBorders>
              <w:top w:val="single" w:sz="4" w:space="0" w:color="auto"/>
              <w:left w:val="nil"/>
              <w:bottom w:val="single" w:sz="4" w:space="0" w:color="auto"/>
              <w:right w:val="nil"/>
            </w:tcBorders>
            <w:shd w:val="clear" w:color="auto" w:fill="auto"/>
            <w:vAlign w:val="bottom"/>
            <w:hideMark/>
          </w:tcPr>
          <w:p w14:paraId="3C972402" w14:textId="06D69E00"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here are no biosecurity risks on board, or biosecurity risks have been identified and must be managed in the manner described in the condition</w:t>
            </w:r>
            <w:r w:rsidR="00BC330B" w:rsidRPr="002F0B99">
              <w:rPr>
                <w:rFonts w:asciiTheme="majorHAnsi" w:eastAsia="Times New Roman" w:hAnsiTheme="majorHAnsi" w:cs="Tahoma"/>
                <w:color w:val="000000"/>
                <w:sz w:val="20"/>
                <w:szCs w:val="20"/>
                <w:lang w:eastAsia="en-AU"/>
              </w:rPr>
              <w:t>s</w:t>
            </w:r>
            <w:r w:rsidR="00E91BF9" w:rsidRPr="002F0B99">
              <w:rPr>
                <w:rFonts w:asciiTheme="majorHAnsi" w:eastAsia="Times New Roman" w:hAnsiTheme="majorHAnsi" w:cs="Tahoma"/>
                <w:color w:val="000000"/>
                <w:sz w:val="20"/>
                <w:szCs w:val="20"/>
                <w:lang w:eastAsia="en-AU"/>
              </w:rPr>
              <w:t>; general advice about potential biosecurity risks on board and how they should be managed.</w:t>
            </w:r>
          </w:p>
        </w:tc>
      </w:tr>
      <w:tr w:rsidR="00E91BF9" w:rsidRPr="00A27BEF" w14:paraId="4FE69DDE" w14:textId="77777777" w:rsidTr="675C1804">
        <w:trPr>
          <w:trHeight w:val="480"/>
        </w:trPr>
        <w:tc>
          <w:tcPr>
            <w:tcW w:w="1405" w:type="dxa"/>
            <w:tcBorders>
              <w:top w:val="nil"/>
              <w:left w:val="nil"/>
              <w:bottom w:val="single" w:sz="4" w:space="0" w:color="auto"/>
              <w:right w:val="single" w:sz="4" w:space="0" w:color="auto"/>
            </w:tcBorders>
            <w:shd w:val="clear" w:color="auto" w:fill="auto"/>
            <w:vAlign w:val="center"/>
            <w:hideMark/>
          </w:tcPr>
          <w:p w14:paraId="65540F4A"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Yellow</w:t>
            </w:r>
          </w:p>
        </w:tc>
        <w:tc>
          <w:tcPr>
            <w:tcW w:w="8801" w:type="dxa"/>
            <w:tcBorders>
              <w:top w:val="nil"/>
              <w:left w:val="nil"/>
              <w:bottom w:val="single" w:sz="4" w:space="0" w:color="auto"/>
              <w:right w:val="nil"/>
            </w:tcBorders>
            <w:shd w:val="clear" w:color="auto" w:fill="auto"/>
            <w:vAlign w:val="bottom"/>
            <w:hideMark/>
          </w:tcPr>
          <w:p w14:paraId="64DB660B" w14:textId="5D215258"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he vessel's risks are being evaluated; biosecurity risks have been identified and must be managed in the manner described in the condition</w:t>
            </w:r>
            <w:r w:rsidR="00821485" w:rsidRPr="002F0B99">
              <w:rPr>
                <w:rFonts w:asciiTheme="majorHAnsi" w:eastAsia="Times New Roman" w:hAnsiTheme="majorHAnsi" w:cs="Tahoma"/>
                <w:color w:val="000000"/>
                <w:sz w:val="20"/>
                <w:szCs w:val="20"/>
                <w:lang w:eastAsia="en-AU"/>
              </w:rPr>
              <w:t>s</w:t>
            </w:r>
            <w:r w:rsidR="00E91BF9" w:rsidRPr="002F0B99">
              <w:rPr>
                <w:rFonts w:asciiTheme="majorHAnsi" w:eastAsia="Times New Roman" w:hAnsiTheme="majorHAnsi" w:cs="Tahoma"/>
                <w:color w:val="000000"/>
                <w:sz w:val="20"/>
                <w:szCs w:val="20"/>
                <w:lang w:eastAsia="en-AU"/>
              </w:rPr>
              <w:t>.</w:t>
            </w:r>
          </w:p>
        </w:tc>
      </w:tr>
      <w:tr w:rsidR="00E91BF9" w:rsidRPr="00A27BEF" w14:paraId="35AA3C2C" w14:textId="77777777" w:rsidTr="675C1804">
        <w:trPr>
          <w:trHeight w:val="300"/>
        </w:trPr>
        <w:tc>
          <w:tcPr>
            <w:tcW w:w="1405" w:type="dxa"/>
            <w:tcBorders>
              <w:top w:val="single" w:sz="4" w:space="0" w:color="auto"/>
              <w:left w:val="nil"/>
              <w:bottom w:val="single" w:sz="18" w:space="0" w:color="auto"/>
              <w:right w:val="single" w:sz="4" w:space="0" w:color="auto"/>
            </w:tcBorders>
            <w:shd w:val="clear" w:color="auto" w:fill="auto"/>
            <w:vAlign w:val="center"/>
            <w:hideMark/>
          </w:tcPr>
          <w:p w14:paraId="5D4340BD"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Red</w:t>
            </w:r>
          </w:p>
        </w:tc>
        <w:tc>
          <w:tcPr>
            <w:tcW w:w="8801" w:type="dxa"/>
            <w:tcBorders>
              <w:top w:val="single" w:sz="4" w:space="0" w:color="auto"/>
              <w:left w:val="nil"/>
              <w:bottom w:val="single" w:sz="18" w:space="0" w:color="auto"/>
              <w:right w:val="nil"/>
            </w:tcBorders>
            <w:shd w:val="clear" w:color="auto" w:fill="auto"/>
            <w:vAlign w:val="bottom"/>
            <w:hideMark/>
          </w:tcPr>
          <w:p w14:paraId="78176C7F" w14:textId="57170B90" w:rsidR="00E91BF9" w:rsidRPr="002F0B99" w:rsidRDefault="00300F2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 xml:space="preserve">The vessel </w:t>
            </w:r>
            <w:r w:rsidR="003F2611" w:rsidRPr="002F0B99">
              <w:rPr>
                <w:rFonts w:asciiTheme="majorHAnsi" w:eastAsia="Times New Roman" w:hAnsiTheme="majorHAnsi" w:cs="Tahoma"/>
                <w:color w:val="000000"/>
                <w:sz w:val="20"/>
                <w:szCs w:val="20"/>
                <w:lang w:eastAsia="en-AU"/>
              </w:rPr>
              <w:t xml:space="preserve">operator has not submitted the mandatory </w:t>
            </w:r>
            <w:r w:rsidR="00D76D3B" w:rsidRPr="002F0B99">
              <w:rPr>
                <w:rFonts w:asciiTheme="majorHAnsi" w:eastAsia="Times New Roman" w:hAnsiTheme="majorHAnsi" w:cs="Tahoma"/>
                <w:color w:val="000000"/>
                <w:sz w:val="20"/>
                <w:szCs w:val="20"/>
                <w:lang w:eastAsia="en-AU"/>
              </w:rPr>
              <w:t>P</w:t>
            </w:r>
            <w:r w:rsidR="003F2611" w:rsidRPr="002F0B99">
              <w:rPr>
                <w:rFonts w:asciiTheme="majorHAnsi" w:eastAsia="Times New Roman" w:hAnsiTheme="majorHAnsi" w:cs="Tahoma"/>
                <w:color w:val="000000"/>
                <w:sz w:val="20"/>
                <w:szCs w:val="20"/>
                <w:lang w:eastAsia="en-AU"/>
              </w:rPr>
              <w:t>re-</w:t>
            </w:r>
            <w:r w:rsidR="00D76D3B" w:rsidRPr="002F0B99">
              <w:rPr>
                <w:rFonts w:asciiTheme="majorHAnsi" w:eastAsia="Times New Roman" w:hAnsiTheme="majorHAnsi" w:cs="Tahoma"/>
                <w:color w:val="000000"/>
                <w:sz w:val="20"/>
                <w:szCs w:val="20"/>
                <w:lang w:eastAsia="en-AU"/>
              </w:rPr>
              <w:t>A</w:t>
            </w:r>
            <w:r w:rsidR="003F2611" w:rsidRPr="002F0B99">
              <w:rPr>
                <w:rFonts w:asciiTheme="majorHAnsi" w:eastAsia="Times New Roman" w:hAnsiTheme="majorHAnsi" w:cs="Tahoma"/>
                <w:color w:val="000000"/>
                <w:sz w:val="20"/>
                <w:szCs w:val="20"/>
                <w:lang w:eastAsia="en-AU"/>
              </w:rPr>
              <w:t xml:space="preserve">rrival </w:t>
            </w:r>
            <w:r w:rsidR="00D76D3B" w:rsidRPr="002F0B99">
              <w:rPr>
                <w:rFonts w:asciiTheme="majorHAnsi" w:eastAsia="Times New Roman" w:hAnsiTheme="majorHAnsi" w:cs="Tahoma"/>
                <w:color w:val="000000"/>
                <w:sz w:val="20"/>
                <w:szCs w:val="20"/>
                <w:lang w:eastAsia="en-AU"/>
              </w:rPr>
              <w:t>R</w:t>
            </w:r>
            <w:r w:rsidR="003F2611" w:rsidRPr="002F0B99">
              <w:rPr>
                <w:rFonts w:asciiTheme="majorHAnsi" w:eastAsia="Times New Roman" w:hAnsiTheme="majorHAnsi" w:cs="Tahoma"/>
                <w:color w:val="000000"/>
                <w:sz w:val="20"/>
                <w:szCs w:val="20"/>
                <w:lang w:eastAsia="en-AU"/>
              </w:rPr>
              <w:t>eport (PAR)</w:t>
            </w:r>
            <w:r w:rsidR="00E91BF9" w:rsidRPr="002F0B99">
              <w:rPr>
                <w:rFonts w:asciiTheme="majorHAnsi" w:eastAsia="Times New Roman" w:hAnsiTheme="majorHAnsi" w:cs="Tahoma"/>
                <w:color w:val="000000"/>
                <w:sz w:val="20"/>
                <w:szCs w:val="20"/>
                <w:lang w:eastAsia="en-AU"/>
              </w:rPr>
              <w:t>.</w:t>
            </w:r>
          </w:p>
        </w:tc>
      </w:tr>
      <w:tr w:rsidR="00E91BF9" w:rsidRPr="00A27BEF" w14:paraId="68EC19D7" w14:textId="77777777" w:rsidTr="675C1804">
        <w:trPr>
          <w:trHeight w:val="288"/>
        </w:trPr>
        <w:tc>
          <w:tcPr>
            <w:tcW w:w="10206" w:type="dxa"/>
            <w:gridSpan w:val="2"/>
            <w:tcBorders>
              <w:top w:val="single" w:sz="18" w:space="0" w:color="auto"/>
              <w:left w:val="nil"/>
              <w:bottom w:val="nil"/>
              <w:right w:val="nil"/>
            </w:tcBorders>
            <w:shd w:val="clear" w:color="auto" w:fill="auto"/>
            <w:hideMark/>
          </w:tcPr>
          <w:p w14:paraId="5ED33D86" w14:textId="77777777" w:rsidR="00E91BF9" w:rsidRPr="00A27BEF" w:rsidRDefault="00E91BF9" w:rsidP="00E91BF9">
            <w:pPr>
              <w:rPr>
                <w:rFonts w:asciiTheme="majorHAnsi" w:eastAsia="Times New Roman" w:hAnsiTheme="majorHAnsi" w:cs="Tahoma"/>
                <w:b/>
                <w:bCs/>
                <w:color w:val="C00000"/>
                <w:sz w:val="20"/>
                <w:szCs w:val="20"/>
                <w:lang w:eastAsia="en-AU"/>
              </w:rPr>
            </w:pPr>
            <w:r w:rsidRPr="00A27BEF">
              <w:rPr>
                <w:rFonts w:asciiTheme="majorHAnsi" w:eastAsia="Times New Roman" w:hAnsiTheme="majorHAnsi" w:cs="Tahoma"/>
                <w:b/>
                <w:bCs/>
                <w:color w:val="C00000"/>
                <w:sz w:val="20"/>
                <w:szCs w:val="20"/>
                <w:lang w:eastAsia="en-AU"/>
              </w:rPr>
              <w:t>Vessel Pratique and Ship Sanitation</w:t>
            </w:r>
          </w:p>
        </w:tc>
      </w:tr>
      <w:tr w:rsidR="00E91BF9" w:rsidRPr="00A27BEF" w14:paraId="5A064F7B" w14:textId="77777777" w:rsidTr="675C1804">
        <w:trPr>
          <w:trHeight w:val="288"/>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44A836FB"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Green</w:t>
            </w:r>
          </w:p>
        </w:tc>
        <w:tc>
          <w:tcPr>
            <w:tcW w:w="8801" w:type="dxa"/>
            <w:tcBorders>
              <w:top w:val="single" w:sz="4" w:space="0" w:color="auto"/>
              <w:left w:val="nil"/>
              <w:bottom w:val="single" w:sz="4" w:space="0" w:color="auto"/>
              <w:right w:val="nil"/>
            </w:tcBorders>
            <w:shd w:val="clear" w:color="auto" w:fill="auto"/>
            <w:vAlign w:val="bottom"/>
            <w:hideMark/>
          </w:tcPr>
          <w:p w14:paraId="045207EA" w14:textId="313EF050" w:rsidR="00E91BF9" w:rsidRPr="00B85442" w:rsidRDefault="43C5C677" w:rsidP="0D240B1C">
            <w:pPr>
              <w:rPr>
                <w:rFonts w:eastAsia="Times New Roman" w:cs="Tahoma"/>
                <w:color w:val="000000"/>
                <w:sz w:val="20"/>
                <w:szCs w:val="20"/>
                <w:lang w:eastAsia="en-AU"/>
              </w:rPr>
            </w:pPr>
            <w:bookmarkStart w:id="4" w:name="_Int_unMBXdQ6"/>
            <w:r w:rsidRPr="00B85442">
              <w:rPr>
                <w:rFonts w:eastAsia="Times New Roman" w:cs="Tahoma"/>
                <w:color w:val="000000" w:themeColor="text1"/>
                <w:sz w:val="20"/>
                <w:szCs w:val="20"/>
                <w:lang w:eastAsia="en-AU"/>
              </w:rPr>
              <w:t>P</w:t>
            </w:r>
            <w:r w:rsidR="00E91BF9" w:rsidRPr="00B85442">
              <w:rPr>
                <w:rFonts w:eastAsia="Times New Roman" w:cs="Tahoma"/>
                <w:color w:val="000000" w:themeColor="text1"/>
                <w:sz w:val="20"/>
                <w:szCs w:val="20"/>
                <w:lang w:eastAsia="en-AU"/>
              </w:rPr>
              <w:t xml:space="preserve">ratique </w:t>
            </w:r>
            <w:r w:rsidR="58AE8B5A" w:rsidRPr="00B85442">
              <w:rPr>
                <w:rFonts w:eastAsia="Times New Roman" w:cs="Tahoma"/>
                <w:color w:val="000000" w:themeColor="text1"/>
                <w:sz w:val="20"/>
                <w:szCs w:val="20"/>
                <w:lang w:eastAsia="en-AU"/>
              </w:rPr>
              <w:t xml:space="preserve">is </w:t>
            </w:r>
            <w:r w:rsidR="00E91BF9" w:rsidRPr="00B85442">
              <w:rPr>
                <w:rFonts w:eastAsia="Times New Roman" w:cs="Tahoma"/>
                <w:color w:val="000000" w:themeColor="text1"/>
                <w:sz w:val="20"/>
                <w:szCs w:val="20"/>
                <w:lang w:eastAsia="en-AU"/>
              </w:rPr>
              <w:t>granted</w:t>
            </w:r>
            <w:bookmarkEnd w:id="4"/>
            <w:r w:rsidR="00E91BF9" w:rsidRPr="00B85442">
              <w:rPr>
                <w:rFonts w:eastAsia="Times New Roman" w:cs="Tahoma"/>
                <w:color w:val="000000" w:themeColor="text1"/>
                <w:sz w:val="20"/>
                <w:szCs w:val="20"/>
                <w:lang w:eastAsia="en-AU"/>
              </w:rPr>
              <w:t>.</w:t>
            </w:r>
            <w:r w:rsidR="5DCFBC81" w:rsidRPr="00B85442">
              <w:rPr>
                <w:rFonts w:eastAsia="Times New Roman" w:cs="Tahoma"/>
                <w:color w:val="000000" w:themeColor="text1"/>
                <w:sz w:val="20"/>
                <w:szCs w:val="20"/>
                <w:lang w:eastAsia="en-AU"/>
              </w:rPr>
              <w:t xml:space="preserve"> Loading and unloading of goods and persons can occur at the port precinct.</w:t>
            </w:r>
          </w:p>
        </w:tc>
      </w:tr>
      <w:tr w:rsidR="00E91BF9" w:rsidRPr="00A27BEF" w14:paraId="5999A905" w14:textId="77777777" w:rsidTr="675C1804">
        <w:trPr>
          <w:trHeight w:val="480"/>
        </w:trPr>
        <w:tc>
          <w:tcPr>
            <w:tcW w:w="1405" w:type="dxa"/>
            <w:tcBorders>
              <w:top w:val="nil"/>
              <w:left w:val="nil"/>
              <w:bottom w:val="single" w:sz="4" w:space="0" w:color="auto"/>
              <w:right w:val="single" w:sz="4" w:space="0" w:color="auto"/>
            </w:tcBorders>
            <w:shd w:val="clear" w:color="auto" w:fill="auto"/>
            <w:vAlign w:val="center"/>
            <w:hideMark/>
          </w:tcPr>
          <w:p w14:paraId="3F2419B8"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Yellow</w:t>
            </w:r>
          </w:p>
        </w:tc>
        <w:tc>
          <w:tcPr>
            <w:tcW w:w="8801" w:type="dxa"/>
            <w:tcBorders>
              <w:top w:val="nil"/>
              <w:left w:val="nil"/>
              <w:bottom w:val="single" w:sz="4" w:space="0" w:color="auto"/>
              <w:right w:val="nil"/>
            </w:tcBorders>
            <w:shd w:val="clear" w:color="auto" w:fill="auto"/>
            <w:vAlign w:val="bottom"/>
            <w:hideMark/>
          </w:tcPr>
          <w:p w14:paraId="66FB813B" w14:textId="09E6BE40" w:rsidR="00E91BF9" w:rsidRPr="00B85442" w:rsidRDefault="69D8B65C" w:rsidP="675C1804">
            <w:pPr>
              <w:rPr>
                <w:rFonts w:eastAsia="Times New Roman" w:cs="Tahoma"/>
                <w:color w:val="000000"/>
                <w:sz w:val="20"/>
                <w:szCs w:val="20"/>
                <w:lang w:eastAsia="en-AU"/>
              </w:rPr>
            </w:pPr>
            <w:r w:rsidRPr="00B85442">
              <w:rPr>
                <w:rFonts w:eastAsia="Times New Roman" w:cs="Tahoma"/>
                <w:color w:val="000000" w:themeColor="text1"/>
                <w:sz w:val="20"/>
                <w:szCs w:val="20"/>
                <w:lang w:eastAsia="en-AU"/>
              </w:rPr>
              <w:t>Restriction</w:t>
            </w:r>
            <w:r w:rsidR="00663B41" w:rsidRPr="00B85442">
              <w:rPr>
                <w:rFonts w:eastAsia="Times New Roman" w:cs="Tahoma"/>
                <w:color w:val="000000" w:themeColor="text1"/>
                <w:sz w:val="20"/>
                <w:szCs w:val="20"/>
                <w:lang w:eastAsia="en-AU"/>
              </w:rPr>
              <w:t xml:space="preserve">s </w:t>
            </w:r>
            <w:r w:rsidR="00A97215" w:rsidRPr="00B85442">
              <w:rPr>
                <w:rFonts w:eastAsia="Times New Roman" w:cs="Tahoma"/>
                <w:color w:val="000000" w:themeColor="text1"/>
                <w:sz w:val="20"/>
                <w:szCs w:val="20"/>
                <w:lang w:eastAsia="en-AU"/>
              </w:rPr>
              <w:t>apply to</w:t>
            </w:r>
            <w:r w:rsidR="00E91BF9" w:rsidRPr="00B85442">
              <w:rPr>
                <w:rFonts w:eastAsia="Times New Roman" w:cs="Tahoma"/>
                <w:color w:val="000000" w:themeColor="text1"/>
                <w:sz w:val="20"/>
                <w:szCs w:val="20"/>
                <w:lang w:eastAsia="en-AU"/>
              </w:rPr>
              <w:t xml:space="preserve"> </w:t>
            </w:r>
            <w:r w:rsidR="005C79BE" w:rsidRPr="00B85442">
              <w:rPr>
                <w:rFonts w:eastAsia="Times New Roman" w:cs="Tahoma"/>
                <w:color w:val="000000" w:themeColor="text1"/>
                <w:sz w:val="20"/>
                <w:szCs w:val="20"/>
                <w:lang w:eastAsia="en-AU"/>
              </w:rPr>
              <w:t>travellers</w:t>
            </w:r>
            <w:r w:rsidR="00E91BF9" w:rsidRPr="00B85442">
              <w:rPr>
                <w:rFonts w:eastAsia="Times New Roman" w:cs="Tahoma"/>
                <w:color w:val="000000" w:themeColor="text1"/>
                <w:sz w:val="20"/>
                <w:szCs w:val="20"/>
                <w:lang w:eastAsia="en-AU"/>
              </w:rPr>
              <w:t xml:space="preserve"> or cargo movements</w:t>
            </w:r>
            <w:r w:rsidR="5574239B" w:rsidRPr="00B85442">
              <w:rPr>
                <w:rFonts w:eastAsia="Times New Roman" w:cs="Tahoma"/>
                <w:color w:val="000000" w:themeColor="text1"/>
                <w:sz w:val="20"/>
                <w:szCs w:val="20"/>
                <w:lang w:eastAsia="en-AU"/>
              </w:rPr>
              <w:t xml:space="preserve"> due to Human Health</w:t>
            </w:r>
            <w:r w:rsidR="3CC191E4" w:rsidRPr="00B85442">
              <w:rPr>
                <w:rFonts w:eastAsia="Times New Roman" w:cs="Tahoma"/>
                <w:color w:val="000000" w:themeColor="text1"/>
                <w:sz w:val="20"/>
                <w:szCs w:val="20"/>
                <w:lang w:eastAsia="en-AU"/>
              </w:rPr>
              <w:t xml:space="preserve"> concern</w:t>
            </w:r>
            <w:r w:rsidR="00E91BF9" w:rsidRPr="00B85442">
              <w:rPr>
                <w:rFonts w:eastAsia="Times New Roman" w:cs="Tahoma"/>
                <w:color w:val="000000" w:themeColor="text1"/>
                <w:sz w:val="20"/>
                <w:szCs w:val="20"/>
                <w:lang w:eastAsia="en-AU"/>
              </w:rPr>
              <w:t>; a Ship Sanitation Control Certificate is in place to manage risks on board; the vessel's Ship Sanitation Certificate has expired.</w:t>
            </w:r>
          </w:p>
        </w:tc>
      </w:tr>
      <w:tr w:rsidR="00E91BF9" w:rsidRPr="00A27BEF" w14:paraId="32718B82" w14:textId="77777777" w:rsidTr="675C1804">
        <w:trPr>
          <w:trHeight w:val="300"/>
        </w:trPr>
        <w:tc>
          <w:tcPr>
            <w:tcW w:w="1405" w:type="dxa"/>
            <w:tcBorders>
              <w:top w:val="single" w:sz="4" w:space="0" w:color="auto"/>
              <w:left w:val="nil"/>
              <w:bottom w:val="single" w:sz="18" w:space="0" w:color="auto"/>
              <w:right w:val="single" w:sz="4" w:space="0" w:color="auto"/>
            </w:tcBorders>
            <w:shd w:val="clear" w:color="auto" w:fill="auto"/>
            <w:vAlign w:val="center"/>
            <w:hideMark/>
          </w:tcPr>
          <w:p w14:paraId="76F616EE"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Red</w:t>
            </w:r>
          </w:p>
        </w:tc>
        <w:tc>
          <w:tcPr>
            <w:tcW w:w="8801" w:type="dxa"/>
            <w:tcBorders>
              <w:top w:val="single" w:sz="4" w:space="0" w:color="auto"/>
              <w:left w:val="nil"/>
              <w:bottom w:val="single" w:sz="18" w:space="0" w:color="auto"/>
              <w:right w:val="nil"/>
            </w:tcBorders>
            <w:shd w:val="clear" w:color="auto" w:fill="auto"/>
            <w:vAlign w:val="bottom"/>
            <w:hideMark/>
          </w:tcPr>
          <w:p w14:paraId="59DA9ACD" w14:textId="630F2ECC" w:rsidR="00E91BF9" w:rsidRPr="00B85442" w:rsidRDefault="17C712C4" w:rsidP="00E91BF9">
            <w:pPr>
              <w:rPr>
                <w:rFonts w:eastAsia="Times New Roman" w:cs="Tahoma"/>
                <w:color w:val="000000"/>
                <w:sz w:val="20"/>
                <w:szCs w:val="20"/>
                <w:lang w:eastAsia="en-AU"/>
              </w:rPr>
            </w:pPr>
            <w:r w:rsidRPr="00B85442">
              <w:rPr>
                <w:rFonts w:eastAsia="Times New Roman" w:cs="Tahoma"/>
                <w:color w:val="000000" w:themeColor="text1"/>
                <w:sz w:val="20"/>
                <w:szCs w:val="20"/>
                <w:lang w:eastAsia="en-AU"/>
              </w:rPr>
              <w:t>P</w:t>
            </w:r>
            <w:r w:rsidR="00E91BF9" w:rsidRPr="00B85442">
              <w:rPr>
                <w:rFonts w:eastAsia="Times New Roman" w:cs="Tahoma"/>
                <w:color w:val="000000" w:themeColor="text1"/>
                <w:sz w:val="20"/>
                <w:szCs w:val="20"/>
                <w:lang w:eastAsia="en-AU"/>
              </w:rPr>
              <w:t>ratique not</w:t>
            </w:r>
            <w:r w:rsidR="0020161A" w:rsidRPr="00B85442">
              <w:rPr>
                <w:rFonts w:eastAsia="Times New Roman" w:cs="Tahoma"/>
                <w:color w:val="000000" w:themeColor="text1"/>
                <w:sz w:val="20"/>
                <w:szCs w:val="20"/>
                <w:lang w:eastAsia="en-AU"/>
              </w:rPr>
              <w:t xml:space="preserve"> </w:t>
            </w:r>
            <w:r w:rsidR="00E91BF9" w:rsidRPr="00B85442">
              <w:rPr>
                <w:rFonts w:eastAsia="Times New Roman" w:cs="Tahoma"/>
                <w:color w:val="000000" w:themeColor="text1"/>
                <w:sz w:val="20"/>
                <w:szCs w:val="20"/>
                <w:lang w:eastAsia="en-AU"/>
              </w:rPr>
              <w:t>granted</w:t>
            </w:r>
            <w:r w:rsidR="009C5A62" w:rsidRPr="00B85442">
              <w:rPr>
                <w:rFonts w:eastAsia="Times New Roman" w:cs="Tahoma"/>
                <w:color w:val="000000" w:themeColor="text1"/>
                <w:sz w:val="20"/>
                <w:szCs w:val="20"/>
                <w:lang w:eastAsia="en-AU"/>
              </w:rPr>
              <w:t>; a Ship Sanitation Control Certificate is in place to manage risks on board; the vessel's Ship Sanitation Certificate has expired.</w:t>
            </w:r>
          </w:p>
        </w:tc>
      </w:tr>
      <w:tr w:rsidR="00E91BF9" w:rsidRPr="00A27BEF" w14:paraId="61BC3530" w14:textId="77777777" w:rsidTr="675C1804">
        <w:trPr>
          <w:trHeight w:val="288"/>
        </w:trPr>
        <w:tc>
          <w:tcPr>
            <w:tcW w:w="10206" w:type="dxa"/>
            <w:gridSpan w:val="2"/>
            <w:tcBorders>
              <w:top w:val="single" w:sz="18" w:space="0" w:color="auto"/>
              <w:left w:val="nil"/>
              <w:bottom w:val="nil"/>
              <w:right w:val="nil"/>
            </w:tcBorders>
            <w:shd w:val="clear" w:color="auto" w:fill="auto"/>
            <w:hideMark/>
          </w:tcPr>
          <w:p w14:paraId="4901B652" w14:textId="11694866" w:rsidR="00E91BF9" w:rsidRPr="00A27BEF" w:rsidRDefault="00E91BF9" w:rsidP="00E91BF9">
            <w:pPr>
              <w:rPr>
                <w:rFonts w:asciiTheme="majorHAnsi" w:eastAsia="Times New Roman" w:hAnsiTheme="majorHAnsi" w:cs="Tahoma"/>
                <w:b/>
                <w:bCs/>
                <w:color w:val="C00000"/>
                <w:sz w:val="20"/>
                <w:szCs w:val="20"/>
                <w:lang w:eastAsia="en-AU"/>
              </w:rPr>
            </w:pPr>
            <w:r w:rsidRPr="00A27BEF">
              <w:rPr>
                <w:rFonts w:asciiTheme="majorHAnsi" w:eastAsia="Times New Roman" w:hAnsiTheme="majorHAnsi" w:cs="Tahoma"/>
                <w:b/>
                <w:bCs/>
                <w:color w:val="C00000"/>
                <w:sz w:val="20"/>
                <w:szCs w:val="20"/>
                <w:lang w:eastAsia="en-AU"/>
              </w:rPr>
              <w:t xml:space="preserve">Ballast </w:t>
            </w:r>
            <w:r w:rsidR="00997B2D">
              <w:rPr>
                <w:rFonts w:asciiTheme="majorHAnsi" w:eastAsia="Times New Roman" w:hAnsiTheme="majorHAnsi" w:cs="Tahoma"/>
                <w:b/>
                <w:bCs/>
                <w:color w:val="C00000"/>
                <w:sz w:val="20"/>
                <w:szCs w:val="20"/>
                <w:lang w:eastAsia="en-AU"/>
              </w:rPr>
              <w:t xml:space="preserve">and Biofouling </w:t>
            </w:r>
            <w:r w:rsidRPr="00A27BEF">
              <w:rPr>
                <w:rFonts w:asciiTheme="majorHAnsi" w:eastAsia="Times New Roman" w:hAnsiTheme="majorHAnsi" w:cs="Tahoma"/>
                <w:b/>
                <w:bCs/>
                <w:color w:val="C00000"/>
                <w:sz w:val="20"/>
                <w:szCs w:val="20"/>
                <w:lang w:eastAsia="en-AU"/>
              </w:rPr>
              <w:t>Status</w:t>
            </w:r>
          </w:p>
        </w:tc>
      </w:tr>
      <w:tr w:rsidR="00E91BF9" w:rsidRPr="00A27BEF" w14:paraId="52574A16" w14:textId="77777777" w:rsidTr="675C1804">
        <w:trPr>
          <w:trHeight w:val="288"/>
        </w:trPr>
        <w:tc>
          <w:tcPr>
            <w:tcW w:w="1405" w:type="dxa"/>
            <w:tcBorders>
              <w:top w:val="single" w:sz="4" w:space="0" w:color="auto"/>
              <w:left w:val="nil"/>
              <w:bottom w:val="single" w:sz="4" w:space="0" w:color="auto"/>
              <w:right w:val="single" w:sz="4" w:space="0" w:color="auto"/>
            </w:tcBorders>
            <w:shd w:val="clear" w:color="auto" w:fill="auto"/>
            <w:vAlign w:val="center"/>
            <w:hideMark/>
          </w:tcPr>
          <w:p w14:paraId="0C5164A2"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Green</w:t>
            </w:r>
          </w:p>
        </w:tc>
        <w:tc>
          <w:tcPr>
            <w:tcW w:w="8801" w:type="dxa"/>
            <w:tcBorders>
              <w:top w:val="single" w:sz="4" w:space="0" w:color="auto"/>
              <w:left w:val="nil"/>
              <w:bottom w:val="single" w:sz="4" w:space="0" w:color="auto"/>
              <w:right w:val="nil"/>
            </w:tcBorders>
            <w:shd w:val="clear" w:color="auto" w:fill="auto"/>
            <w:vAlign w:val="bottom"/>
            <w:hideMark/>
          </w:tcPr>
          <w:p w14:paraId="298E4770" w14:textId="4388B24F"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T</w:t>
            </w:r>
            <w:r w:rsidR="00E91BF9" w:rsidRPr="002F0B99">
              <w:rPr>
                <w:rFonts w:asciiTheme="majorHAnsi" w:eastAsia="Times New Roman" w:hAnsiTheme="majorHAnsi" w:cs="Tahoma"/>
                <w:color w:val="000000"/>
                <w:sz w:val="20"/>
                <w:szCs w:val="20"/>
                <w:lang w:eastAsia="en-AU"/>
              </w:rPr>
              <w:t>he vessel's ballast tanks listed have been managed appropriately</w:t>
            </w:r>
            <w:r w:rsidR="00D5110D" w:rsidRPr="002F0B99">
              <w:rPr>
                <w:rFonts w:asciiTheme="majorHAnsi" w:eastAsia="Times New Roman" w:hAnsiTheme="majorHAnsi" w:cs="Tahoma"/>
                <w:color w:val="000000"/>
                <w:sz w:val="20"/>
                <w:szCs w:val="20"/>
                <w:lang w:eastAsia="en-AU"/>
              </w:rPr>
              <w:t>; biofouling</w:t>
            </w:r>
            <w:r w:rsidR="00737AF2" w:rsidRPr="002F0B99">
              <w:rPr>
                <w:rFonts w:asciiTheme="majorHAnsi" w:eastAsia="Times New Roman" w:hAnsiTheme="majorHAnsi" w:cs="Tahoma"/>
                <w:color w:val="000000"/>
                <w:sz w:val="20"/>
                <w:szCs w:val="20"/>
                <w:lang w:eastAsia="en-AU"/>
              </w:rPr>
              <w:t xml:space="preserve"> has been managed in accordance with the Australian biofouling management requirements</w:t>
            </w:r>
            <w:r w:rsidR="00E91BF9" w:rsidRPr="002F0B99">
              <w:rPr>
                <w:rFonts w:asciiTheme="majorHAnsi" w:eastAsia="Times New Roman" w:hAnsiTheme="majorHAnsi" w:cs="Tahoma"/>
                <w:color w:val="000000"/>
                <w:sz w:val="20"/>
                <w:szCs w:val="20"/>
                <w:lang w:eastAsia="en-AU"/>
              </w:rPr>
              <w:t>.</w:t>
            </w:r>
          </w:p>
        </w:tc>
      </w:tr>
      <w:tr w:rsidR="00E91BF9" w:rsidRPr="00A27BEF" w14:paraId="41B8A754" w14:textId="77777777" w:rsidTr="675C1804">
        <w:trPr>
          <w:trHeight w:val="288"/>
        </w:trPr>
        <w:tc>
          <w:tcPr>
            <w:tcW w:w="1405" w:type="dxa"/>
            <w:tcBorders>
              <w:top w:val="nil"/>
              <w:left w:val="nil"/>
              <w:bottom w:val="single" w:sz="4" w:space="0" w:color="auto"/>
              <w:right w:val="single" w:sz="4" w:space="0" w:color="auto"/>
            </w:tcBorders>
            <w:shd w:val="clear" w:color="auto" w:fill="auto"/>
            <w:vAlign w:val="center"/>
            <w:hideMark/>
          </w:tcPr>
          <w:p w14:paraId="79C202E2"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Yellow</w:t>
            </w:r>
          </w:p>
        </w:tc>
        <w:tc>
          <w:tcPr>
            <w:tcW w:w="8801" w:type="dxa"/>
            <w:tcBorders>
              <w:top w:val="nil"/>
              <w:left w:val="nil"/>
              <w:bottom w:val="single" w:sz="4" w:space="0" w:color="auto"/>
              <w:right w:val="nil"/>
            </w:tcBorders>
            <w:shd w:val="clear" w:color="auto" w:fill="auto"/>
            <w:vAlign w:val="bottom"/>
            <w:hideMark/>
          </w:tcPr>
          <w:p w14:paraId="22F59097" w14:textId="2E23F44D"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S</w:t>
            </w:r>
            <w:r w:rsidR="00E91BF9" w:rsidRPr="002F0B99">
              <w:rPr>
                <w:rFonts w:asciiTheme="majorHAnsi" w:eastAsia="Times New Roman" w:hAnsiTheme="majorHAnsi" w:cs="Tahoma"/>
                <w:color w:val="000000"/>
                <w:sz w:val="20"/>
                <w:szCs w:val="20"/>
                <w:lang w:eastAsia="en-AU"/>
              </w:rPr>
              <w:t>ome ballast tanks have been managed appropriately and some have not (</w:t>
            </w:r>
            <w:r w:rsidR="00046071" w:rsidRPr="002F0B99">
              <w:rPr>
                <w:rFonts w:asciiTheme="majorHAnsi" w:eastAsia="Times New Roman" w:hAnsiTheme="majorHAnsi" w:cs="Tahoma"/>
                <w:color w:val="000000"/>
                <w:sz w:val="20"/>
                <w:szCs w:val="20"/>
                <w:lang w:eastAsia="en-AU"/>
              </w:rPr>
              <w:t xml:space="preserve">each </w:t>
            </w:r>
            <w:r w:rsidR="00E91BF9" w:rsidRPr="002F0B99">
              <w:rPr>
                <w:rFonts w:asciiTheme="majorHAnsi" w:eastAsia="Times New Roman" w:hAnsiTheme="majorHAnsi" w:cs="Tahoma"/>
                <w:color w:val="000000"/>
                <w:sz w:val="20"/>
                <w:szCs w:val="20"/>
                <w:lang w:eastAsia="en-AU"/>
              </w:rPr>
              <w:t>tank</w:t>
            </w:r>
            <w:r w:rsidR="00046071" w:rsidRPr="002F0B99">
              <w:rPr>
                <w:rFonts w:asciiTheme="majorHAnsi" w:eastAsia="Times New Roman" w:hAnsiTheme="majorHAnsi" w:cs="Tahoma"/>
                <w:color w:val="000000"/>
                <w:sz w:val="20"/>
                <w:szCs w:val="20"/>
                <w:lang w:eastAsia="en-AU"/>
              </w:rPr>
              <w:t>, either</w:t>
            </w:r>
            <w:r w:rsidR="00336533" w:rsidRPr="002F0B99">
              <w:rPr>
                <w:rFonts w:asciiTheme="majorHAnsi" w:eastAsia="Times New Roman" w:hAnsiTheme="majorHAnsi" w:cs="Tahoma"/>
                <w:color w:val="000000"/>
                <w:sz w:val="20"/>
                <w:szCs w:val="20"/>
                <w:lang w:eastAsia="en-AU"/>
              </w:rPr>
              <w:t xml:space="preserve"> managed or approved for discharge</w:t>
            </w:r>
            <w:r w:rsidR="00046071" w:rsidRPr="002F0B99">
              <w:rPr>
                <w:rFonts w:asciiTheme="majorHAnsi" w:eastAsia="Times New Roman" w:hAnsiTheme="majorHAnsi" w:cs="Tahoma"/>
                <w:color w:val="000000"/>
                <w:sz w:val="20"/>
                <w:szCs w:val="20"/>
                <w:lang w:eastAsia="en-AU"/>
              </w:rPr>
              <w:t>,</w:t>
            </w:r>
            <w:r w:rsidR="00336533" w:rsidRPr="002F0B99">
              <w:rPr>
                <w:rFonts w:asciiTheme="majorHAnsi" w:eastAsia="Times New Roman" w:hAnsiTheme="majorHAnsi" w:cs="Tahoma"/>
                <w:color w:val="000000"/>
                <w:sz w:val="20"/>
                <w:szCs w:val="20"/>
                <w:lang w:eastAsia="en-AU"/>
              </w:rPr>
              <w:t xml:space="preserve"> </w:t>
            </w:r>
            <w:r w:rsidR="00E91BF9" w:rsidRPr="002F0B99">
              <w:rPr>
                <w:rFonts w:asciiTheme="majorHAnsi" w:eastAsia="Times New Roman" w:hAnsiTheme="majorHAnsi" w:cs="Tahoma"/>
                <w:color w:val="000000"/>
                <w:sz w:val="20"/>
                <w:szCs w:val="20"/>
                <w:lang w:eastAsia="en-AU"/>
              </w:rPr>
              <w:t xml:space="preserve">is </w:t>
            </w:r>
            <w:r w:rsidR="00046071" w:rsidRPr="002F0B99">
              <w:rPr>
                <w:rFonts w:asciiTheme="majorHAnsi" w:eastAsia="Times New Roman" w:hAnsiTheme="majorHAnsi" w:cs="Tahoma"/>
                <w:color w:val="000000"/>
                <w:sz w:val="20"/>
                <w:szCs w:val="20"/>
                <w:lang w:eastAsia="en-AU"/>
              </w:rPr>
              <w:t>listed</w:t>
            </w:r>
            <w:r w:rsidR="00E91BF9" w:rsidRPr="002F0B99">
              <w:rPr>
                <w:rFonts w:asciiTheme="majorHAnsi" w:eastAsia="Times New Roman" w:hAnsiTheme="majorHAnsi" w:cs="Tahoma"/>
                <w:color w:val="000000"/>
                <w:sz w:val="20"/>
                <w:szCs w:val="20"/>
                <w:lang w:eastAsia="en-AU"/>
              </w:rPr>
              <w:t>)</w:t>
            </w:r>
            <w:r w:rsidR="00D5110D" w:rsidRPr="002F0B99">
              <w:rPr>
                <w:rFonts w:asciiTheme="majorHAnsi" w:eastAsia="Times New Roman" w:hAnsiTheme="majorHAnsi" w:cs="Tahoma"/>
                <w:color w:val="000000"/>
                <w:sz w:val="20"/>
                <w:szCs w:val="20"/>
                <w:lang w:eastAsia="en-AU"/>
              </w:rPr>
              <w:t xml:space="preserve">; biofouling </w:t>
            </w:r>
            <w:r w:rsidR="006E287F" w:rsidRPr="002F0B99">
              <w:rPr>
                <w:rFonts w:asciiTheme="majorHAnsi" w:eastAsia="Times New Roman" w:hAnsiTheme="majorHAnsi" w:cs="Tahoma"/>
                <w:color w:val="000000"/>
                <w:sz w:val="20"/>
                <w:szCs w:val="20"/>
                <w:lang w:eastAsia="en-AU"/>
              </w:rPr>
              <w:t>has not been managed in accordance with the Australian biofouling management requirements</w:t>
            </w:r>
            <w:r w:rsidR="00174F67" w:rsidRPr="002F0B99">
              <w:rPr>
                <w:rFonts w:asciiTheme="majorHAnsi" w:eastAsia="Times New Roman" w:hAnsiTheme="majorHAnsi" w:cs="Tahoma"/>
                <w:color w:val="000000"/>
                <w:sz w:val="20"/>
                <w:szCs w:val="20"/>
                <w:lang w:eastAsia="en-AU"/>
              </w:rPr>
              <w:t xml:space="preserve">; </w:t>
            </w:r>
            <w:r w:rsidR="00305EB8" w:rsidRPr="002F0B99">
              <w:rPr>
                <w:rFonts w:asciiTheme="majorHAnsi" w:eastAsia="Times New Roman" w:hAnsiTheme="majorHAnsi" w:cs="Tahoma"/>
                <w:color w:val="000000"/>
                <w:sz w:val="20"/>
                <w:szCs w:val="20"/>
                <w:lang w:eastAsia="en-AU"/>
              </w:rPr>
              <w:t>a</w:t>
            </w:r>
            <w:r w:rsidR="00174F67" w:rsidRPr="002F0B99">
              <w:rPr>
                <w:rFonts w:asciiTheme="majorHAnsi" w:eastAsia="Times New Roman" w:hAnsiTheme="majorHAnsi" w:cs="Tahoma"/>
                <w:color w:val="000000"/>
                <w:sz w:val="20"/>
                <w:szCs w:val="20"/>
                <w:lang w:eastAsia="en-AU"/>
              </w:rPr>
              <w:t>pproval is required to in-water clean biofouling in Australian territorial sea</w:t>
            </w:r>
            <w:r w:rsidR="00357AA8" w:rsidRPr="002F0B99">
              <w:rPr>
                <w:rFonts w:asciiTheme="majorHAnsi" w:eastAsia="Times New Roman" w:hAnsiTheme="majorHAnsi" w:cs="Tahoma"/>
                <w:color w:val="000000"/>
                <w:sz w:val="20"/>
                <w:szCs w:val="20"/>
                <w:lang w:eastAsia="en-AU"/>
              </w:rPr>
              <w:t>s.</w:t>
            </w:r>
          </w:p>
        </w:tc>
      </w:tr>
      <w:tr w:rsidR="00E91BF9" w:rsidRPr="00A27BEF" w14:paraId="5126615F" w14:textId="77777777" w:rsidTr="675C1804">
        <w:trPr>
          <w:trHeight w:val="300"/>
        </w:trPr>
        <w:tc>
          <w:tcPr>
            <w:tcW w:w="1405" w:type="dxa"/>
            <w:tcBorders>
              <w:top w:val="single" w:sz="4" w:space="0" w:color="auto"/>
              <w:left w:val="nil"/>
              <w:bottom w:val="single" w:sz="18" w:space="0" w:color="auto"/>
              <w:right w:val="single" w:sz="4" w:space="0" w:color="auto"/>
            </w:tcBorders>
            <w:shd w:val="clear" w:color="auto" w:fill="auto"/>
            <w:vAlign w:val="center"/>
            <w:hideMark/>
          </w:tcPr>
          <w:p w14:paraId="63F81D60" w14:textId="77777777" w:rsidR="00E91BF9" w:rsidRPr="002F0B99" w:rsidRDefault="00E91BF9"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Red</w:t>
            </w:r>
          </w:p>
        </w:tc>
        <w:tc>
          <w:tcPr>
            <w:tcW w:w="8801" w:type="dxa"/>
            <w:tcBorders>
              <w:top w:val="single" w:sz="4" w:space="0" w:color="auto"/>
              <w:left w:val="nil"/>
              <w:bottom w:val="single" w:sz="18" w:space="0" w:color="auto"/>
              <w:right w:val="nil"/>
            </w:tcBorders>
            <w:shd w:val="clear" w:color="auto" w:fill="auto"/>
            <w:vAlign w:val="bottom"/>
            <w:hideMark/>
          </w:tcPr>
          <w:p w14:paraId="408BE03D" w14:textId="3937CDD7" w:rsidR="00E91BF9" w:rsidRPr="002F0B99" w:rsidRDefault="00A51670" w:rsidP="00E91BF9">
            <w:pPr>
              <w:rPr>
                <w:rFonts w:asciiTheme="majorHAnsi" w:eastAsia="Times New Roman" w:hAnsiTheme="majorHAnsi" w:cs="Tahoma"/>
                <w:color w:val="000000"/>
                <w:sz w:val="20"/>
                <w:szCs w:val="20"/>
                <w:lang w:eastAsia="en-AU"/>
              </w:rPr>
            </w:pPr>
            <w:r w:rsidRPr="002F0B99">
              <w:rPr>
                <w:rFonts w:asciiTheme="majorHAnsi" w:eastAsia="Times New Roman" w:hAnsiTheme="majorHAnsi" w:cs="Tahoma"/>
                <w:color w:val="000000"/>
                <w:sz w:val="20"/>
                <w:szCs w:val="20"/>
                <w:lang w:eastAsia="en-AU"/>
              </w:rPr>
              <w:t>A</w:t>
            </w:r>
            <w:r w:rsidR="00E91BF9" w:rsidRPr="002F0B99">
              <w:rPr>
                <w:rFonts w:asciiTheme="majorHAnsi" w:eastAsia="Times New Roman" w:hAnsiTheme="majorHAnsi" w:cs="Tahoma"/>
                <w:color w:val="000000"/>
                <w:sz w:val="20"/>
                <w:szCs w:val="20"/>
                <w:lang w:eastAsia="en-AU"/>
              </w:rPr>
              <w:t xml:space="preserve"> ballast water report has not been submitted; the vessel has non-compliant ballast documentation </w:t>
            </w:r>
            <w:r w:rsidR="000F071C" w:rsidRPr="002F0B99">
              <w:rPr>
                <w:rFonts w:asciiTheme="majorHAnsi" w:eastAsia="Times New Roman" w:hAnsiTheme="majorHAnsi" w:cs="Tahoma"/>
                <w:color w:val="000000"/>
                <w:sz w:val="20"/>
                <w:szCs w:val="20"/>
                <w:lang w:eastAsia="en-AU"/>
              </w:rPr>
              <w:t>or tank management issues</w:t>
            </w:r>
            <w:r w:rsidR="00161637" w:rsidRPr="002F0B99">
              <w:rPr>
                <w:rFonts w:asciiTheme="majorHAnsi" w:eastAsia="Times New Roman" w:hAnsiTheme="majorHAnsi" w:cs="Tahoma"/>
                <w:color w:val="000000"/>
                <w:sz w:val="20"/>
                <w:szCs w:val="20"/>
                <w:lang w:eastAsia="en-AU"/>
              </w:rPr>
              <w:t>;</w:t>
            </w:r>
            <w:r w:rsidR="000F071C" w:rsidRPr="002F0B99">
              <w:rPr>
                <w:rFonts w:asciiTheme="majorHAnsi" w:eastAsia="Times New Roman" w:hAnsiTheme="majorHAnsi" w:cs="Tahoma"/>
                <w:color w:val="000000"/>
                <w:sz w:val="20"/>
                <w:szCs w:val="20"/>
                <w:lang w:eastAsia="en-AU"/>
              </w:rPr>
              <w:t xml:space="preserve"> </w:t>
            </w:r>
            <w:r w:rsidR="00E16F09" w:rsidRPr="002F0B99">
              <w:rPr>
                <w:rFonts w:asciiTheme="majorHAnsi" w:eastAsia="Times New Roman" w:hAnsiTheme="majorHAnsi" w:cs="Tahoma"/>
                <w:color w:val="000000"/>
                <w:sz w:val="20"/>
                <w:szCs w:val="20"/>
                <w:lang w:eastAsia="en-AU"/>
              </w:rPr>
              <w:t xml:space="preserve">ballast water </w:t>
            </w:r>
            <w:r w:rsidR="00E91BF9" w:rsidRPr="002F0B99">
              <w:rPr>
                <w:rFonts w:asciiTheme="majorHAnsi" w:eastAsia="Times New Roman" w:hAnsiTheme="majorHAnsi" w:cs="Tahoma"/>
                <w:color w:val="000000"/>
                <w:sz w:val="20"/>
                <w:szCs w:val="20"/>
                <w:lang w:eastAsia="en-AU"/>
              </w:rPr>
              <w:t>discharge</w:t>
            </w:r>
            <w:r w:rsidR="000F071C" w:rsidRPr="002F0B99">
              <w:rPr>
                <w:rFonts w:asciiTheme="majorHAnsi" w:eastAsia="Times New Roman" w:hAnsiTheme="majorHAnsi" w:cs="Tahoma"/>
                <w:color w:val="000000"/>
                <w:sz w:val="20"/>
                <w:szCs w:val="20"/>
                <w:lang w:eastAsia="en-AU"/>
              </w:rPr>
              <w:t xml:space="preserve"> is not permitted</w:t>
            </w:r>
            <w:r w:rsidR="00E16F09" w:rsidRPr="002F0B99">
              <w:rPr>
                <w:rFonts w:asciiTheme="majorHAnsi" w:eastAsia="Times New Roman" w:hAnsiTheme="majorHAnsi" w:cs="Tahoma"/>
                <w:color w:val="000000"/>
                <w:sz w:val="20"/>
                <w:szCs w:val="20"/>
                <w:lang w:eastAsia="en-AU"/>
              </w:rPr>
              <w:t>.</w:t>
            </w:r>
          </w:p>
        </w:tc>
      </w:tr>
    </w:tbl>
    <w:p w14:paraId="70869ECE" w14:textId="5F4F22FF" w:rsidR="002E545C" w:rsidRPr="00A27BEF" w:rsidRDefault="00461955" w:rsidP="005C050A">
      <w:pPr>
        <w:rPr>
          <w:rFonts w:asciiTheme="majorHAnsi" w:hAnsiTheme="majorHAnsi"/>
        </w:rPr>
      </w:pPr>
      <w:r w:rsidRPr="00A27BEF">
        <w:rPr>
          <w:rFonts w:asciiTheme="majorHAnsi" w:hAnsiTheme="majorHAnsi"/>
          <w:b/>
          <w:bCs/>
          <w:spacing w:val="-3"/>
          <w:sz w:val="18"/>
          <w:szCs w:val="18"/>
        </w:rPr>
        <w:t>NOTE:</w:t>
      </w:r>
      <w:r w:rsidRPr="00A27BEF">
        <w:rPr>
          <w:rFonts w:asciiTheme="majorHAnsi" w:hAnsiTheme="majorHAnsi"/>
          <w:spacing w:val="-3"/>
          <w:sz w:val="18"/>
          <w:szCs w:val="18"/>
        </w:rPr>
        <w:t xml:space="preserve"> Screenshots may look slightly different in MARS.</w:t>
      </w:r>
      <w:r w:rsidRPr="00A27BEF">
        <w:rPr>
          <w:rFonts w:asciiTheme="majorHAnsi" w:hAnsiTheme="majorHAnsi"/>
          <w:spacing w:val="-3"/>
          <w:sz w:val="18"/>
          <w:szCs w:val="18"/>
        </w:rPr>
        <w:br/>
      </w:r>
    </w:p>
    <w:p w14:paraId="46D80DA2" w14:textId="04C39587" w:rsidR="004737C2" w:rsidRPr="003A61D8" w:rsidRDefault="00073576" w:rsidP="00792F0C">
      <w:pPr>
        <w:pStyle w:val="Heading2"/>
      </w:pPr>
      <w:r>
        <w:t xml:space="preserve">mars USER </w:t>
      </w:r>
      <w:r w:rsidR="004737C2" w:rsidRPr="003A61D8">
        <w:t xml:space="preserve">confidentiality </w:t>
      </w:r>
      <w:r w:rsidR="00852F6D" w:rsidRPr="003A61D8">
        <w:t>and Vessel reporting requirements</w:t>
      </w:r>
    </w:p>
    <w:p w14:paraId="698FD4BE" w14:textId="7D48569B" w:rsidR="004737C2" w:rsidRPr="001D5943" w:rsidRDefault="004737C2" w:rsidP="004737C2">
      <w:pPr>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 xml:space="preserve">The department provides the </w:t>
      </w:r>
      <w:proofErr w:type="spellStart"/>
      <w:r w:rsidRPr="001D5943">
        <w:rPr>
          <w:rFonts w:asciiTheme="majorHAnsi" w:hAnsiTheme="majorHAnsi" w:cstheme="minorHAnsi"/>
          <w:color w:val="000000"/>
          <w:sz w:val="19"/>
          <w:szCs w:val="19"/>
          <w:lang w:val="en"/>
        </w:rPr>
        <w:t>authorisation</w:t>
      </w:r>
      <w:proofErr w:type="spellEnd"/>
      <w:r w:rsidRPr="001D5943">
        <w:rPr>
          <w:rFonts w:asciiTheme="majorHAnsi" w:hAnsiTheme="majorHAnsi" w:cstheme="minorHAnsi"/>
          <w:color w:val="000000"/>
          <w:sz w:val="19"/>
          <w:szCs w:val="19"/>
          <w:lang w:val="en"/>
        </w:rPr>
        <w:t xml:space="preserve"> to access </w:t>
      </w:r>
      <w:r w:rsidR="00357AA8" w:rsidRPr="001D5943">
        <w:rPr>
          <w:rFonts w:asciiTheme="majorHAnsi" w:hAnsiTheme="majorHAnsi" w:cstheme="minorHAnsi"/>
          <w:color w:val="000000"/>
          <w:sz w:val="19"/>
          <w:szCs w:val="19"/>
          <w:lang w:val="en"/>
        </w:rPr>
        <w:t xml:space="preserve">MARS </w:t>
      </w:r>
      <w:r w:rsidRPr="001D5943">
        <w:rPr>
          <w:rFonts w:asciiTheme="majorHAnsi" w:hAnsiTheme="majorHAnsi" w:cstheme="minorHAnsi"/>
          <w:color w:val="000000"/>
          <w:sz w:val="19"/>
          <w:szCs w:val="19"/>
          <w:lang w:val="en"/>
        </w:rPr>
        <w:t>information for permissible purposes to manage potential biosecurity risk under section 580 of the Biosecurity Act</w:t>
      </w:r>
      <w:r w:rsidR="00FD399B" w:rsidRPr="001D5943">
        <w:rPr>
          <w:rFonts w:asciiTheme="majorHAnsi" w:hAnsiTheme="majorHAnsi" w:cstheme="minorHAnsi"/>
          <w:color w:val="000000"/>
          <w:sz w:val="19"/>
          <w:szCs w:val="19"/>
          <w:lang w:val="en"/>
        </w:rPr>
        <w:t xml:space="preserve"> 2015</w:t>
      </w:r>
      <w:r w:rsidRPr="001D5943">
        <w:rPr>
          <w:rFonts w:asciiTheme="majorHAnsi" w:hAnsiTheme="majorHAnsi" w:cstheme="minorHAnsi"/>
          <w:color w:val="000000"/>
          <w:sz w:val="19"/>
          <w:szCs w:val="19"/>
          <w:lang w:val="en"/>
        </w:rPr>
        <w:t>. MARS users have obligations to manage protected information in accordance with the Act and to only access MARS as part of permissible purposes to manage:</w:t>
      </w:r>
    </w:p>
    <w:p w14:paraId="274516AD" w14:textId="0D87A8DB" w:rsidR="004737C2" w:rsidRPr="001D5943" w:rsidRDefault="004737C2" w:rsidP="00EB1DFD">
      <w:pPr>
        <w:pStyle w:val="ListNumber3"/>
        <w:numPr>
          <w:ilvl w:val="0"/>
          <w:numId w:val="16"/>
        </w:numPr>
        <w:spacing w:after="0"/>
        <w:ind w:left="357" w:hanging="357"/>
        <w:rPr>
          <w:rFonts w:asciiTheme="majorHAnsi" w:hAnsiTheme="majorHAnsi" w:cstheme="minorHAnsi"/>
          <w:color w:val="000000"/>
          <w:sz w:val="19"/>
          <w:szCs w:val="19"/>
          <w:lang w:val="en"/>
        </w:rPr>
      </w:pPr>
      <w:bookmarkStart w:id="5" w:name="_Hlk77947801"/>
      <w:r w:rsidRPr="001D5943">
        <w:rPr>
          <w:rFonts w:asciiTheme="majorHAnsi" w:hAnsiTheme="majorHAnsi" w:cstheme="minorHAnsi"/>
          <w:color w:val="000000"/>
          <w:sz w:val="19"/>
          <w:szCs w:val="19"/>
          <w:lang w:val="en"/>
        </w:rPr>
        <w:t>biosecurity risks</w:t>
      </w:r>
      <w:r w:rsidR="00255867" w:rsidRPr="001D5943">
        <w:rPr>
          <w:rFonts w:asciiTheme="majorHAnsi" w:hAnsiTheme="majorHAnsi" w:cstheme="minorHAnsi"/>
          <w:color w:val="000000"/>
          <w:sz w:val="19"/>
          <w:szCs w:val="19"/>
          <w:lang w:val="en"/>
        </w:rPr>
        <w:t xml:space="preserve"> and </w:t>
      </w:r>
      <w:r w:rsidRPr="001D5943">
        <w:rPr>
          <w:rFonts w:asciiTheme="majorHAnsi" w:hAnsiTheme="majorHAnsi" w:cstheme="minorHAnsi"/>
          <w:color w:val="000000"/>
          <w:sz w:val="19"/>
          <w:szCs w:val="19"/>
          <w:lang w:val="en"/>
        </w:rPr>
        <w:t>the risk of listed human diseases entering Australian territory or a part of Australian territory, or emerging, establishing themselves or spreading in Australian territory or a part of Australian territory</w:t>
      </w:r>
    </w:p>
    <w:p w14:paraId="2083B8DA" w14:textId="77777777" w:rsidR="004737C2" w:rsidRPr="001D5943" w:rsidRDefault="004737C2" w:rsidP="004737C2">
      <w:pPr>
        <w:pStyle w:val="ListNumber3"/>
        <w:numPr>
          <w:ilvl w:val="0"/>
          <w:numId w:val="16"/>
        </w:numPr>
        <w:spacing w:after="0"/>
        <w:ind w:left="357" w:hanging="357"/>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risks relating to ballast water</w:t>
      </w:r>
    </w:p>
    <w:p w14:paraId="78573A0A" w14:textId="77777777" w:rsidR="004737C2" w:rsidRPr="001D5943" w:rsidRDefault="004737C2" w:rsidP="004737C2">
      <w:pPr>
        <w:pStyle w:val="ListNumber3"/>
        <w:numPr>
          <w:ilvl w:val="0"/>
          <w:numId w:val="16"/>
        </w:numPr>
        <w:spacing w:after="0"/>
        <w:ind w:left="357" w:hanging="357"/>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biosecurity emergencies and human biosecurity emergencies</w:t>
      </w:r>
    </w:p>
    <w:p w14:paraId="220D6B25" w14:textId="77777777" w:rsidR="00852F6D" w:rsidRPr="001D5943" w:rsidRDefault="004737C2" w:rsidP="00852F6D">
      <w:pPr>
        <w:pStyle w:val="ListNumber3"/>
        <w:numPr>
          <w:ilvl w:val="0"/>
          <w:numId w:val="16"/>
        </w:numPr>
        <w:spacing w:after="0"/>
        <w:ind w:left="357" w:hanging="357"/>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to give effect to Australia’s international rights and obligations, including under the International Health Regulations, the SPS Agreement and the Biodiversity Convention.</w:t>
      </w:r>
      <w:bookmarkEnd w:id="5"/>
    </w:p>
    <w:p w14:paraId="229D4EBD" w14:textId="77777777" w:rsidR="00852F6D" w:rsidRPr="001D5943" w:rsidRDefault="00852F6D" w:rsidP="00852F6D">
      <w:pPr>
        <w:pStyle w:val="ListNumber3"/>
        <w:numPr>
          <w:ilvl w:val="0"/>
          <w:numId w:val="0"/>
        </w:numPr>
        <w:spacing w:after="0"/>
        <w:rPr>
          <w:rFonts w:asciiTheme="majorHAnsi" w:hAnsiTheme="majorHAnsi" w:cstheme="minorHAnsi"/>
          <w:color w:val="000000"/>
          <w:sz w:val="19"/>
          <w:szCs w:val="19"/>
          <w:lang w:val="en"/>
        </w:rPr>
      </w:pPr>
    </w:p>
    <w:p w14:paraId="773B64D9" w14:textId="4637D94F" w:rsidR="00FD399B" w:rsidRPr="001D5943" w:rsidRDefault="00FD399B" w:rsidP="00316BD9">
      <w:pPr>
        <w:pStyle w:val="ListNumber3"/>
        <w:numPr>
          <w:ilvl w:val="0"/>
          <w:numId w:val="0"/>
        </w:numPr>
        <w:spacing w:after="0"/>
        <w:rPr>
          <w:rFonts w:asciiTheme="majorHAnsi" w:hAnsiTheme="majorHAnsi" w:cstheme="minorHAnsi"/>
          <w:color w:val="000000"/>
          <w:sz w:val="19"/>
          <w:szCs w:val="19"/>
          <w:lang w:val="en"/>
        </w:rPr>
      </w:pPr>
      <w:r w:rsidRPr="001D5943">
        <w:rPr>
          <w:sz w:val="19"/>
          <w:szCs w:val="19"/>
        </w:rPr>
        <w:t>Vessel masters and shipping agents are reminded:</w:t>
      </w:r>
    </w:p>
    <w:p w14:paraId="1C9BDCF4" w14:textId="55115EBE" w:rsidR="003D089E" w:rsidRPr="001D5943" w:rsidRDefault="003D089E" w:rsidP="00CC2B3F">
      <w:pPr>
        <w:pStyle w:val="ListNumber3"/>
        <w:numPr>
          <w:ilvl w:val="0"/>
          <w:numId w:val="16"/>
        </w:numPr>
        <w:spacing w:after="0"/>
        <w:ind w:left="357" w:hanging="357"/>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T</w:t>
      </w:r>
      <w:r w:rsidR="00020C03" w:rsidRPr="001D5943">
        <w:rPr>
          <w:rFonts w:asciiTheme="majorHAnsi" w:hAnsiTheme="majorHAnsi" w:cstheme="minorHAnsi"/>
          <w:color w:val="000000"/>
          <w:sz w:val="19"/>
          <w:szCs w:val="19"/>
          <w:lang w:val="en"/>
        </w:rPr>
        <w:t>hat t</w:t>
      </w:r>
      <w:r w:rsidRPr="001D5943">
        <w:rPr>
          <w:rFonts w:asciiTheme="majorHAnsi" w:hAnsiTheme="majorHAnsi" w:cstheme="minorHAnsi"/>
          <w:color w:val="000000"/>
          <w:sz w:val="19"/>
          <w:szCs w:val="19"/>
          <w:lang w:val="en"/>
        </w:rPr>
        <w:t>he operator of a vessel is obligated to accurately report pre-arrival information in accordance with Section 193 of the Biosecurity Act 2015</w:t>
      </w:r>
      <w:r w:rsidR="003A1878" w:rsidRPr="001D5943">
        <w:rPr>
          <w:rFonts w:asciiTheme="majorHAnsi" w:hAnsiTheme="majorHAnsi" w:cstheme="minorHAnsi"/>
          <w:color w:val="000000"/>
          <w:sz w:val="19"/>
          <w:szCs w:val="19"/>
          <w:lang w:val="en"/>
        </w:rPr>
        <w:t xml:space="preserve"> </w:t>
      </w:r>
      <w:r w:rsidR="00783D05" w:rsidRPr="001D5943">
        <w:rPr>
          <w:rFonts w:asciiTheme="majorHAnsi" w:hAnsiTheme="majorHAnsi" w:cstheme="minorHAnsi"/>
          <w:color w:val="000000"/>
          <w:sz w:val="19"/>
          <w:szCs w:val="19"/>
          <w:lang w:val="en"/>
        </w:rPr>
        <w:t xml:space="preserve">and provide a pre-arrival report </w:t>
      </w:r>
      <w:r w:rsidR="003A1878" w:rsidRPr="001D5943">
        <w:rPr>
          <w:rFonts w:asciiTheme="majorHAnsi" w:hAnsiTheme="majorHAnsi" w:cstheme="minorHAnsi"/>
          <w:color w:val="000000"/>
          <w:sz w:val="19"/>
          <w:szCs w:val="19"/>
          <w:lang w:val="en"/>
        </w:rPr>
        <w:t>no later than 12 hours before arrival in Australian territorial seas</w:t>
      </w:r>
      <w:r w:rsidR="0081390E" w:rsidRPr="001D5943">
        <w:rPr>
          <w:rFonts w:asciiTheme="majorHAnsi" w:hAnsiTheme="majorHAnsi" w:cstheme="minorHAnsi"/>
          <w:color w:val="000000"/>
          <w:sz w:val="19"/>
          <w:szCs w:val="19"/>
          <w:lang w:val="en"/>
        </w:rPr>
        <w:t>.</w:t>
      </w:r>
    </w:p>
    <w:p w14:paraId="60E89D66" w14:textId="77777777" w:rsidR="00076FB8" w:rsidRPr="001D5943" w:rsidRDefault="00FD399B" w:rsidP="00076FB8">
      <w:pPr>
        <w:pStyle w:val="ListNumber3"/>
        <w:numPr>
          <w:ilvl w:val="0"/>
          <w:numId w:val="16"/>
        </w:numPr>
        <w:spacing w:after="0"/>
        <w:ind w:left="357" w:hanging="357"/>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To read and understand the Biosecurity Status Document (BSD) directions and conditions and keep a copy of the current document</w:t>
      </w:r>
      <w:r w:rsidR="0081390E" w:rsidRPr="001D5943">
        <w:rPr>
          <w:rFonts w:asciiTheme="majorHAnsi" w:hAnsiTheme="majorHAnsi" w:cstheme="minorHAnsi"/>
          <w:color w:val="000000"/>
          <w:sz w:val="19"/>
          <w:szCs w:val="19"/>
          <w:lang w:val="en"/>
        </w:rPr>
        <w:t>s</w:t>
      </w:r>
      <w:r w:rsidRPr="001D5943">
        <w:rPr>
          <w:rFonts w:asciiTheme="majorHAnsi" w:hAnsiTheme="majorHAnsi" w:cstheme="minorHAnsi"/>
          <w:color w:val="000000"/>
          <w:sz w:val="19"/>
          <w:szCs w:val="19"/>
          <w:lang w:val="en"/>
        </w:rPr>
        <w:t xml:space="preserve"> on board the vessel for the duration of the voyage in Australia.</w:t>
      </w:r>
    </w:p>
    <w:p w14:paraId="74DF43F8" w14:textId="7ED588A8" w:rsidR="00586A01" w:rsidRPr="001D5943" w:rsidRDefault="00FD399B" w:rsidP="00076FB8">
      <w:pPr>
        <w:pStyle w:val="ListNumber3"/>
        <w:numPr>
          <w:ilvl w:val="0"/>
          <w:numId w:val="16"/>
        </w:numPr>
        <w:spacing w:after="0"/>
        <w:ind w:left="357" w:hanging="357"/>
        <w:rPr>
          <w:rFonts w:asciiTheme="majorHAnsi" w:hAnsiTheme="majorHAnsi" w:cstheme="minorHAnsi"/>
          <w:color w:val="000000"/>
          <w:sz w:val="19"/>
          <w:szCs w:val="19"/>
          <w:lang w:val="en"/>
        </w:rPr>
      </w:pPr>
      <w:r w:rsidRPr="001D5943">
        <w:rPr>
          <w:rFonts w:asciiTheme="majorHAnsi" w:hAnsiTheme="majorHAnsi" w:cstheme="minorHAnsi"/>
          <w:color w:val="000000"/>
          <w:sz w:val="19"/>
          <w:szCs w:val="19"/>
          <w:lang w:val="en"/>
        </w:rPr>
        <w:t xml:space="preserve">Any changes in circumstances during the voyage in Australian waters, particularly changes to the human health of </w:t>
      </w:r>
      <w:proofErr w:type="spellStart"/>
      <w:r w:rsidRPr="001D5943">
        <w:rPr>
          <w:rFonts w:asciiTheme="majorHAnsi" w:hAnsiTheme="majorHAnsi" w:cstheme="minorHAnsi"/>
          <w:color w:val="000000"/>
          <w:sz w:val="19"/>
          <w:szCs w:val="19"/>
          <w:lang w:val="en"/>
        </w:rPr>
        <w:t>travellers</w:t>
      </w:r>
      <w:proofErr w:type="spellEnd"/>
      <w:r w:rsidRPr="001D5943">
        <w:rPr>
          <w:rFonts w:asciiTheme="majorHAnsi" w:hAnsiTheme="majorHAnsi" w:cstheme="minorHAnsi"/>
          <w:color w:val="000000"/>
          <w:sz w:val="19"/>
          <w:szCs w:val="19"/>
          <w:lang w:val="en"/>
        </w:rPr>
        <w:t xml:space="preserve">, must be submitted via MARS or reported to the National Maritime Centre </w:t>
      </w:r>
      <w:r w:rsidR="00472AE8" w:rsidRPr="001D5943">
        <w:rPr>
          <w:rFonts w:asciiTheme="majorHAnsi" w:hAnsiTheme="majorHAnsi" w:cstheme="minorHAnsi"/>
          <w:color w:val="000000"/>
          <w:sz w:val="19"/>
          <w:szCs w:val="19"/>
          <w:lang w:val="en"/>
        </w:rPr>
        <w:t xml:space="preserve">(NMC) </w:t>
      </w:r>
      <w:r w:rsidRPr="001D5943">
        <w:rPr>
          <w:rFonts w:asciiTheme="majorHAnsi" w:hAnsiTheme="majorHAnsi" w:cstheme="minorHAnsi"/>
          <w:color w:val="000000"/>
          <w:sz w:val="19"/>
          <w:szCs w:val="19"/>
          <w:lang w:val="en"/>
        </w:rPr>
        <w:t>as soon as practicable.</w:t>
      </w:r>
    </w:p>
    <w:p w14:paraId="27557469" w14:textId="7FE8B1EA" w:rsidR="000C6DE1" w:rsidRPr="001D5943" w:rsidRDefault="00FD399B" w:rsidP="00EB1DFD">
      <w:pPr>
        <w:pStyle w:val="ListNumber3"/>
        <w:numPr>
          <w:ilvl w:val="0"/>
          <w:numId w:val="16"/>
        </w:numPr>
        <w:spacing w:after="0"/>
        <w:ind w:left="357" w:hanging="357"/>
        <w:rPr>
          <w:rFonts w:asciiTheme="majorHAnsi" w:hAnsiTheme="majorHAnsi"/>
          <w:sz w:val="19"/>
          <w:szCs w:val="19"/>
        </w:rPr>
      </w:pPr>
      <w:r w:rsidRPr="001D5943">
        <w:rPr>
          <w:rFonts w:asciiTheme="majorHAnsi" w:hAnsiTheme="majorHAnsi" w:cstheme="minorHAnsi"/>
          <w:color w:val="000000"/>
          <w:sz w:val="19"/>
          <w:szCs w:val="19"/>
          <w:lang w:val="en"/>
        </w:rPr>
        <w:t>That a failure to report accurately or comply with a requirement under the Biosecurity Act may result in penalties, including infringement notices, civil penalties, or criminal prosecutions.</w:t>
      </w:r>
    </w:p>
    <w:sectPr w:rsidR="000C6DE1" w:rsidRPr="001D5943" w:rsidSect="00641721">
      <w:headerReference w:type="even" r:id="rId13"/>
      <w:footerReference w:type="default" r:id="rId14"/>
      <w:headerReference w:type="first" r:id="rId15"/>
      <w:footerReference w:type="first" r:id="rId16"/>
      <w:pgSz w:w="11906" w:h="16838"/>
      <w:pgMar w:top="567" w:right="567" w:bottom="567" w:left="851"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1592B" w14:textId="77777777" w:rsidR="00C736E7" w:rsidRDefault="00C736E7" w:rsidP="00A60185">
      <w:r>
        <w:separator/>
      </w:r>
    </w:p>
  </w:endnote>
  <w:endnote w:type="continuationSeparator" w:id="0">
    <w:p w14:paraId="7ADAA06C" w14:textId="77777777" w:rsidR="00C736E7" w:rsidRDefault="00C736E7" w:rsidP="00A60185">
      <w:r>
        <w:continuationSeparator/>
      </w:r>
    </w:p>
  </w:endnote>
  <w:endnote w:type="continuationNotice" w:id="1">
    <w:p w14:paraId="07C9C9D1" w14:textId="77777777" w:rsidR="00C736E7" w:rsidRDefault="00C73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460EB55A" w14:textId="15672BC9" w:rsidR="00B00BAC" w:rsidRDefault="00410D32">
        <w:pPr>
          <w:pStyle w:val="Footer"/>
        </w:pPr>
        <w:r>
          <w:fldChar w:fldCharType="begin"/>
        </w:r>
        <w:r>
          <w:instrText xml:space="preserve"> PAGE   \* MERGEFORMAT </w:instrText>
        </w:r>
        <w:r>
          <w:fldChar w:fldCharType="separate"/>
        </w:r>
        <w:r w:rsidR="00B00BAC">
          <w:rPr>
            <w:noProof/>
          </w:rPr>
          <w:t>2</w:t>
        </w:r>
        <w:r>
          <w:rPr>
            <w:noProof/>
          </w:rPr>
          <w:fldChar w:fldCharType="end"/>
        </w:r>
        <w:r w:rsidR="00461955">
          <w:rPr>
            <w:noProof/>
          </w:rPr>
          <w:tab/>
        </w:r>
        <w:r w:rsidR="00461955">
          <w:rPr>
            <w:noProof/>
          </w:rPr>
          <w:tab/>
        </w:r>
        <w:r w:rsidR="009E2F5C">
          <w:rPr>
            <w:noProof/>
          </w:rPr>
          <w:t>Octob</w:t>
        </w:r>
        <w:r w:rsidR="00461955">
          <w:rPr>
            <w:noProof/>
          </w:rPr>
          <w:t>er 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621"/>
      <w:gridCol w:w="2621"/>
      <w:gridCol w:w="2621"/>
    </w:tblGrid>
    <w:tr w:rsidR="00B00BAC" w:rsidRPr="00E85EED" w14:paraId="72FD2DD8" w14:textId="77777777" w:rsidTr="00C33BC1">
      <w:tc>
        <w:tcPr>
          <w:tcW w:w="1250" w:type="pct"/>
          <w:tcBorders>
            <w:left w:val="single" w:sz="4" w:space="0" w:color="auto"/>
            <w:right w:val="single" w:sz="4" w:space="0" w:color="auto"/>
          </w:tcBorders>
        </w:tcPr>
        <w:p w14:paraId="50FC3320"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76422352"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6251F2AE"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18 Marcus Clarke Street</w:t>
          </w:r>
        </w:p>
        <w:p w14:paraId="7CD7DAA5"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7FEBD92F"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GPO Box 858</w:t>
          </w:r>
        </w:p>
        <w:p w14:paraId="15F7D9FC"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0726067" w14:textId="0DBF2AB1" w:rsidR="00B00BAC" w:rsidRPr="00E85EED" w:rsidRDefault="00854C7C" w:rsidP="00E85EED">
          <w:pPr>
            <w:tabs>
              <w:tab w:val="center" w:pos="4320"/>
              <w:tab w:val="right" w:pos="8640"/>
            </w:tabs>
            <w:rPr>
              <w:rFonts w:ascii="Calibri" w:hAnsi="Calibri"/>
              <w:b/>
              <w:sz w:val="16"/>
            </w:rPr>
          </w:pPr>
          <w:r>
            <w:rPr>
              <w:rFonts w:ascii="Calibri" w:hAnsi="Calibri"/>
              <w:b/>
              <w:sz w:val="16"/>
            </w:rPr>
            <w:t>a</w:t>
          </w:r>
          <w:r w:rsidR="00641721">
            <w:rPr>
              <w:rFonts w:ascii="Calibri" w:hAnsi="Calibri"/>
              <w:b/>
              <w:sz w:val="16"/>
            </w:rPr>
            <w:t>gricultur</w:t>
          </w:r>
          <w:r>
            <w:rPr>
              <w:rFonts w:ascii="Calibri" w:hAnsi="Calibri"/>
              <w:b/>
              <w:sz w:val="16"/>
            </w:rPr>
            <w:t>e</w:t>
          </w:r>
          <w:r w:rsidR="00B00BAC" w:rsidRPr="00E85EED">
            <w:rPr>
              <w:rFonts w:ascii="Calibri" w:hAnsi="Calibri"/>
              <w:b/>
              <w:sz w:val="16"/>
            </w:rPr>
            <w:t>.gov.au</w:t>
          </w:r>
        </w:p>
        <w:p w14:paraId="1EE930AD"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 xml:space="preserve">ABN </w:t>
          </w:r>
          <w:r w:rsidR="004F569C" w:rsidRPr="004F569C">
            <w:rPr>
              <w:rFonts w:ascii="Calibri" w:hAnsi="Calibri"/>
              <w:sz w:val="16"/>
            </w:rPr>
            <w:t>34 190 894 983</w:t>
          </w:r>
        </w:p>
      </w:tc>
    </w:tr>
  </w:tbl>
  <w:p w14:paraId="78DF9DF6" w14:textId="77777777" w:rsidR="00AE396D" w:rsidRPr="002D1227" w:rsidRDefault="003F3A24"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8569" w14:textId="77777777" w:rsidR="00C736E7" w:rsidRDefault="00C736E7" w:rsidP="00A60185">
      <w:r>
        <w:separator/>
      </w:r>
    </w:p>
  </w:footnote>
  <w:footnote w:type="continuationSeparator" w:id="0">
    <w:p w14:paraId="431A7878" w14:textId="77777777" w:rsidR="00C736E7" w:rsidRDefault="00C736E7" w:rsidP="00A60185">
      <w:r>
        <w:continuationSeparator/>
      </w:r>
    </w:p>
  </w:footnote>
  <w:footnote w:type="continuationNotice" w:id="1">
    <w:p w14:paraId="49AB5FE1" w14:textId="77777777" w:rsidR="00C736E7" w:rsidRDefault="00C73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1FC" w14:textId="5C990E4D" w:rsidR="00B00BAC" w:rsidRDefault="00B00BAC" w:rsidP="00E45765">
    <w:pPr>
      <w:pStyle w:val="Classification"/>
    </w:pPr>
    <w:r>
      <w:fldChar w:fldCharType="begin"/>
    </w:r>
    <w:r>
      <w:instrText xml:space="preserve"> DOCPROPERTY SecurityClassification \* MERGEFORMAT </w:instrText>
    </w:r>
    <w:r>
      <w:fldChar w:fldCharType="separate"/>
    </w:r>
    <w:r w:rsidR="009F49D6">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D07F" w14:textId="72786802" w:rsidR="00B00BAC" w:rsidRDefault="00B31352" w:rsidP="005E35DC">
    <w:pPr>
      <w:pStyle w:val="Header"/>
      <w:jc w:val="left"/>
    </w:pPr>
    <w:r>
      <w:rPr>
        <w:noProof/>
        <w:lang w:eastAsia="en-AU"/>
      </w:rPr>
      <w:drawing>
        <wp:inline distT="0" distB="0" distL="0" distR="0" wp14:anchorId="15F09932" wp14:editId="45492D0C">
          <wp:extent cx="2083241" cy="600172"/>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00156" cy="6338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Dl/wog3gULLKCe" int2:id="GKiXcwoa">
      <int2:state int2:value="Rejected" int2:type="LegacyProofing"/>
    </int2:textHash>
    <int2:textHash int2:hashCode="C6A+P7x9LYP8Cg" int2:id="OyLG5eWZ">
      <int2:state int2:value="Rejected" int2:type="LegacyProofing"/>
    </int2:textHash>
    <int2:bookmark int2:bookmarkName="_Int_JOhRBY61" int2:invalidationBookmarkName="" int2:hashCode="IsQueceY9r7W1/" int2:id="2QaRlkmW">
      <int2:state int2:value="Rejected" int2:type="AugLoop_Acronyms_AcronymsCritique"/>
    </int2:bookmark>
    <int2:bookmark int2:bookmarkName="_Int_O3RcwFcb" int2:invalidationBookmarkName="" int2:hashCode="LW1iixE3nWoNvz" int2:id="AD5FdCPp">
      <int2:state int2:value="Rejected" int2:type="LegacyProofing"/>
    </int2:bookmark>
    <int2:bookmark int2:bookmarkName="_Int_3p3pQqzh" int2:invalidationBookmarkName="" int2:hashCode="f1OmjTJDRvyEV6" int2:id="Og6FMEGz">
      <int2:state int2:value="Rejected" int2:type="LegacyProofing"/>
    </int2:bookmark>
    <int2:bookmark int2:bookmarkName="_Int_gVUOt7FF" int2:invalidationBookmarkName="" int2:hashCode="xkPqc1P5ree5cB" int2:id="mxEJgpJn">
      <int2:state int2:value="Rejected" int2:type="LegacyProofing"/>
    </int2:bookmark>
    <int2:bookmark int2:bookmarkName="_Int_unMBXdQ6" int2:invalidationBookmarkName="" int2:hashCode="B1EnAgO1JZilkg" int2:id="tTROvUjV">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6E541AD"/>
    <w:multiLevelType w:val="hybridMultilevel"/>
    <w:tmpl w:val="4E662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384751"/>
    <w:multiLevelType w:val="hybridMultilevel"/>
    <w:tmpl w:val="50C8991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15:restartNumberingAfterBreak="0">
    <w:nsid w:val="1662585E"/>
    <w:multiLevelType w:val="hybridMultilevel"/>
    <w:tmpl w:val="9CA6FAA6"/>
    <w:lvl w:ilvl="0" w:tplc="3F3684B4">
      <w:start w:val="1"/>
      <w:numFmt w:val="lowerLetter"/>
      <w:lvlText w:val="%1."/>
      <w:lvlJc w:val="left"/>
      <w:pPr>
        <w:ind w:left="360" w:hanging="360"/>
      </w:pPr>
      <w:rPr>
        <w:color w:val="FF000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BE66E5C"/>
    <w:multiLevelType w:val="hybridMultilevel"/>
    <w:tmpl w:val="1FB25FAA"/>
    <w:lvl w:ilvl="0" w:tplc="918AF1A2">
      <w:start w:val="1"/>
      <w:numFmt w:val="lowerLetter"/>
      <w:lvlText w:val="%1."/>
      <w:lvlJc w:val="left"/>
      <w:pPr>
        <w:ind w:left="360" w:hanging="360"/>
      </w:pPr>
      <w:rPr>
        <w:color w:val="FF000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6" w15:restartNumberingAfterBreak="0">
    <w:nsid w:val="1F442F4C"/>
    <w:multiLevelType w:val="hybridMultilevel"/>
    <w:tmpl w:val="638C505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745BC2"/>
    <w:multiLevelType w:val="multilevel"/>
    <w:tmpl w:val="E5E89F92"/>
    <w:numStyleLink w:val="BulletList"/>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E63180"/>
    <w:multiLevelType w:val="hybridMultilevel"/>
    <w:tmpl w:val="5866C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C96E86"/>
    <w:multiLevelType w:val="hybridMultilevel"/>
    <w:tmpl w:val="A038F218"/>
    <w:lvl w:ilvl="0" w:tplc="25349172">
      <w:start w:val="3"/>
      <w:numFmt w:val="lowerLetter"/>
      <w:lvlText w:val="%1"/>
      <w:lvlJc w:val="left"/>
      <w:pPr>
        <w:ind w:left="2424" w:hanging="284"/>
      </w:pPr>
      <w:rPr>
        <w:rFonts w:ascii="Cambria" w:eastAsia="Cambria" w:hAnsi="Cambria" w:hint="default"/>
        <w:color w:val="EF3829"/>
        <w:w w:val="99"/>
        <w:sz w:val="22"/>
        <w:szCs w:val="22"/>
      </w:rPr>
    </w:lvl>
    <w:lvl w:ilvl="1" w:tplc="5C14C8F2">
      <w:start w:val="1"/>
      <w:numFmt w:val="bullet"/>
      <w:lvlText w:val="•"/>
      <w:lvlJc w:val="left"/>
      <w:pPr>
        <w:ind w:left="3368" w:hanging="284"/>
      </w:pPr>
      <w:rPr>
        <w:rFonts w:hint="default"/>
      </w:rPr>
    </w:lvl>
    <w:lvl w:ilvl="2" w:tplc="82EAE420">
      <w:start w:val="1"/>
      <w:numFmt w:val="bullet"/>
      <w:lvlText w:val="•"/>
      <w:lvlJc w:val="left"/>
      <w:pPr>
        <w:ind w:left="4317" w:hanging="284"/>
      </w:pPr>
      <w:rPr>
        <w:rFonts w:hint="default"/>
      </w:rPr>
    </w:lvl>
    <w:lvl w:ilvl="3" w:tplc="34E47B32">
      <w:start w:val="1"/>
      <w:numFmt w:val="bullet"/>
      <w:lvlText w:val="•"/>
      <w:lvlJc w:val="left"/>
      <w:pPr>
        <w:ind w:left="5265" w:hanging="284"/>
      </w:pPr>
      <w:rPr>
        <w:rFonts w:hint="default"/>
      </w:rPr>
    </w:lvl>
    <w:lvl w:ilvl="4" w:tplc="BCEC1FB4">
      <w:start w:val="1"/>
      <w:numFmt w:val="bullet"/>
      <w:lvlText w:val="•"/>
      <w:lvlJc w:val="left"/>
      <w:pPr>
        <w:ind w:left="6214" w:hanging="284"/>
      </w:pPr>
      <w:rPr>
        <w:rFonts w:hint="default"/>
      </w:rPr>
    </w:lvl>
    <w:lvl w:ilvl="5" w:tplc="87E261F0">
      <w:start w:val="1"/>
      <w:numFmt w:val="bullet"/>
      <w:lvlText w:val="•"/>
      <w:lvlJc w:val="left"/>
      <w:pPr>
        <w:ind w:left="7162" w:hanging="284"/>
      </w:pPr>
      <w:rPr>
        <w:rFonts w:hint="default"/>
      </w:rPr>
    </w:lvl>
    <w:lvl w:ilvl="6" w:tplc="A0DCBBF8">
      <w:start w:val="1"/>
      <w:numFmt w:val="bullet"/>
      <w:lvlText w:val="•"/>
      <w:lvlJc w:val="left"/>
      <w:pPr>
        <w:ind w:left="8111" w:hanging="284"/>
      </w:pPr>
      <w:rPr>
        <w:rFonts w:hint="default"/>
      </w:rPr>
    </w:lvl>
    <w:lvl w:ilvl="7" w:tplc="AA46B92E">
      <w:start w:val="1"/>
      <w:numFmt w:val="bullet"/>
      <w:lvlText w:val="•"/>
      <w:lvlJc w:val="left"/>
      <w:pPr>
        <w:ind w:left="9059" w:hanging="284"/>
      </w:pPr>
      <w:rPr>
        <w:rFonts w:hint="default"/>
      </w:rPr>
    </w:lvl>
    <w:lvl w:ilvl="8" w:tplc="B4825E86">
      <w:start w:val="1"/>
      <w:numFmt w:val="bullet"/>
      <w:lvlText w:val="•"/>
      <w:lvlJc w:val="left"/>
      <w:pPr>
        <w:ind w:left="10008" w:hanging="284"/>
      </w:pPr>
      <w:rPr>
        <w:rFonts w:hint="default"/>
      </w:rPr>
    </w:lvl>
  </w:abstractNum>
  <w:abstractNum w:abstractNumId="12" w15:restartNumberingAfterBreak="0">
    <w:nsid w:val="4E085AE2"/>
    <w:multiLevelType w:val="hybridMultilevel"/>
    <w:tmpl w:val="C18EDEE2"/>
    <w:lvl w:ilvl="0" w:tplc="0FBE5030">
      <w:start w:val="8"/>
      <w:numFmt w:val="decimal"/>
      <w:lvlText w:val="%1"/>
      <w:lvlJc w:val="left"/>
      <w:pPr>
        <w:ind w:left="1303" w:hanging="284"/>
      </w:pPr>
      <w:rPr>
        <w:rFonts w:ascii="Cambria" w:eastAsia="Cambria" w:hAnsi="Cambria" w:hint="default"/>
        <w:color w:val="EF3829"/>
        <w:w w:val="99"/>
        <w:sz w:val="22"/>
        <w:szCs w:val="22"/>
      </w:rPr>
    </w:lvl>
    <w:lvl w:ilvl="1" w:tplc="BCE66000">
      <w:start w:val="1"/>
      <w:numFmt w:val="lowerLetter"/>
      <w:lvlText w:val="%2"/>
      <w:lvlJc w:val="left"/>
      <w:pPr>
        <w:ind w:left="1303" w:hanging="284"/>
      </w:pPr>
      <w:rPr>
        <w:rFonts w:ascii="Cambria" w:eastAsia="Cambria" w:hAnsi="Cambria" w:hint="default"/>
        <w:color w:val="EF3829"/>
        <w:w w:val="100"/>
        <w:sz w:val="22"/>
        <w:szCs w:val="22"/>
      </w:rPr>
    </w:lvl>
    <w:lvl w:ilvl="2" w:tplc="79C2A3CA">
      <w:start w:val="1"/>
      <w:numFmt w:val="bullet"/>
      <w:lvlText w:val="•"/>
      <w:lvlJc w:val="left"/>
      <w:pPr>
        <w:ind w:left="3421" w:hanging="284"/>
      </w:pPr>
      <w:rPr>
        <w:rFonts w:hint="default"/>
      </w:rPr>
    </w:lvl>
    <w:lvl w:ilvl="3" w:tplc="E3C0EA5A">
      <w:start w:val="1"/>
      <w:numFmt w:val="bullet"/>
      <w:lvlText w:val="•"/>
      <w:lvlJc w:val="left"/>
      <w:pPr>
        <w:ind w:left="4481" w:hanging="284"/>
      </w:pPr>
      <w:rPr>
        <w:rFonts w:hint="default"/>
      </w:rPr>
    </w:lvl>
    <w:lvl w:ilvl="4" w:tplc="35266E0E">
      <w:start w:val="1"/>
      <w:numFmt w:val="bullet"/>
      <w:lvlText w:val="•"/>
      <w:lvlJc w:val="left"/>
      <w:pPr>
        <w:ind w:left="5542" w:hanging="284"/>
      </w:pPr>
      <w:rPr>
        <w:rFonts w:hint="default"/>
      </w:rPr>
    </w:lvl>
    <w:lvl w:ilvl="5" w:tplc="9FC0FB88">
      <w:start w:val="1"/>
      <w:numFmt w:val="bullet"/>
      <w:lvlText w:val="•"/>
      <w:lvlJc w:val="left"/>
      <w:pPr>
        <w:ind w:left="6602" w:hanging="284"/>
      </w:pPr>
      <w:rPr>
        <w:rFonts w:hint="default"/>
      </w:rPr>
    </w:lvl>
    <w:lvl w:ilvl="6" w:tplc="1D96677E">
      <w:start w:val="1"/>
      <w:numFmt w:val="bullet"/>
      <w:lvlText w:val="•"/>
      <w:lvlJc w:val="left"/>
      <w:pPr>
        <w:ind w:left="7663" w:hanging="284"/>
      </w:pPr>
      <w:rPr>
        <w:rFonts w:hint="default"/>
      </w:rPr>
    </w:lvl>
    <w:lvl w:ilvl="7" w:tplc="D0781986">
      <w:start w:val="1"/>
      <w:numFmt w:val="bullet"/>
      <w:lvlText w:val="•"/>
      <w:lvlJc w:val="left"/>
      <w:pPr>
        <w:ind w:left="8723" w:hanging="284"/>
      </w:pPr>
      <w:rPr>
        <w:rFonts w:hint="default"/>
      </w:rPr>
    </w:lvl>
    <w:lvl w:ilvl="8" w:tplc="6D54AC18">
      <w:start w:val="1"/>
      <w:numFmt w:val="bullet"/>
      <w:lvlText w:val="•"/>
      <w:lvlJc w:val="left"/>
      <w:pPr>
        <w:ind w:left="9784" w:hanging="284"/>
      </w:pPr>
      <w:rPr>
        <w:rFonts w:hint="default"/>
      </w:rPr>
    </w:lvl>
  </w:abstractNum>
  <w:abstractNum w:abstractNumId="13" w15:restartNumberingAfterBreak="0">
    <w:nsid w:val="5E762383"/>
    <w:multiLevelType w:val="hybridMultilevel"/>
    <w:tmpl w:val="3FAC1D36"/>
    <w:lvl w:ilvl="0" w:tplc="021A1796">
      <w:start w:val="1"/>
      <w:numFmt w:val="lowerLetter"/>
      <w:lvlText w:val="%1"/>
      <w:lvlJc w:val="left"/>
      <w:pPr>
        <w:ind w:left="1303" w:hanging="284"/>
      </w:pPr>
      <w:rPr>
        <w:rFonts w:ascii="Cambria" w:eastAsia="Cambria" w:hAnsi="Cambria" w:hint="default"/>
        <w:color w:val="EF3829"/>
        <w:w w:val="100"/>
        <w:sz w:val="22"/>
        <w:szCs w:val="22"/>
      </w:rPr>
    </w:lvl>
    <w:lvl w:ilvl="1" w:tplc="3F64741C">
      <w:start w:val="1"/>
      <w:numFmt w:val="bullet"/>
      <w:lvlText w:val="•"/>
      <w:lvlJc w:val="left"/>
      <w:pPr>
        <w:ind w:left="2360" w:hanging="284"/>
      </w:pPr>
      <w:rPr>
        <w:rFonts w:hint="default"/>
      </w:rPr>
    </w:lvl>
    <w:lvl w:ilvl="2" w:tplc="D388A6D8">
      <w:start w:val="1"/>
      <w:numFmt w:val="bullet"/>
      <w:lvlText w:val="•"/>
      <w:lvlJc w:val="left"/>
      <w:pPr>
        <w:ind w:left="3421" w:hanging="284"/>
      </w:pPr>
      <w:rPr>
        <w:rFonts w:hint="default"/>
      </w:rPr>
    </w:lvl>
    <w:lvl w:ilvl="3" w:tplc="31364504">
      <w:start w:val="1"/>
      <w:numFmt w:val="bullet"/>
      <w:lvlText w:val="•"/>
      <w:lvlJc w:val="left"/>
      <w:pPr>
        <w:ind w:left="4481" w:hanging="284"/>
      </w:pPr>
      <w:rPr>
        <w:rFonts w:hint="default"/>
      </w:rPr>
    </w:lvl>
    <w:lvl w:ilvl="4" w:tplc="F6FCD9A4">
      <w:start w:val="1"/>
      <w:numFmt w:val="bullet"/>
      <w:lvlText w:val="•"/>
      <w:lvlJc w:val="left"/>
      <w:pPr>
        <w:ind w:left="5542" w:hanging="284"/>
      </w:pPr>
      <w:rPr>
        <w:rFonts w:hint="default"/>
      </w:rPr>
    </w:lvl>
    <w:lvl w:ilvl="5" w:tplc="19E26CBA">
      <w:start w:val="1"/>
      <w:numFmt w:val="bullet"/>
      <w:lvlText w:val="•"/>
      <w:lvlJc w:val="left"/>
      <w:pPr>
        <w:ind w:left="6602" w:hanging="284"/>
      </w:pPr>
      <w:rPr>
        <w:rFonts w:hint="default"/>
      </w:rPr>
    </w:lvl>
    <w:lvl w:ilvl="6" w:tplc="A9BC2F4A">
      <w:start w:val="1"/>
      <w:numFmt w:val="bullet"/>
      <w:lvlText w:val="•"/>
      <w:lvlJc w:val="left"/>
      <w:pPr>
        <w:ind w:left="7663" w:hanging="284"/>
      </w:pPr>
      <w:rPr>
        <w:rFonts w:hint="default"/>
      </w:rPr>
    </w:lvl>
    <w:lvl w:ilvl="7" w:tplc="AB486304">
      <w:start w:val="1"/>
      <w:numFmt w:val="bullet"/>
      <w:lvlText w:val="•"/>
      <w:lvlJc w:val="left"/>
      <w:pPr>
        <w:ind w:left="8723" w:hanging="284"/>
      </w:pPr>
      <w:rPr>
        <w:rFonts w:hint="default"/>
      </w:rPr>
    </w:lvl>
    <w:lvl w:ilvl="8" w:tplc="05840016">
      <w:start w:val="1"/>
      <w:numFmt w:val="bullet"/>
      <w:lvlText w:val="•"/>
      <w:lvlJc w:val="left"/>
      <w:pPr>
        <w:ind w:left="9784" w:hanging="284"/>
      </w:pPr>
      <w:rPr>
        <w:rFonts w:hint="default"/>
      </w:rPr>
    </w:lvl>
  </w:abstractNum>
  <w:abstractNum w:abstractNumId="14"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7"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102261174">
    <w:abstractNumId w:val="18"/>
  </w:num>
  <w:num w:numId="2" w16cid:durableId="1550415430">
    <w:abstractNumId w:val="0"/>
  </w:num>
  <w:num w:numId="3" w16cid:durableId="981543757">
    <w:abstractNumId w:val="16"/>
  </w:num>
  <w:num w:numId="4" w16cid:durableId="1344554189">
    <w:abstractNumId w:val="15"/>
  </w:num>
  <w:num w:numId="5" w16cid:durableId="1861317150">
    <w:abstractNumId w:val="10"/>
  </w:num>
  <w:num w:numId="6" w16cid:durableId="1693528381">
    <w:abstractNumId w:val="8"/>
  </w:num>
  <w:num w:numId="7" w16cid:durableId="2126533666">
    <w:abstractNumId w:val="14"/>
  </w:num>
  <w:num w:numId="8" w16cid:durableId="24257375">
    <w:abstractNumId w:val="7"/>
  </w:num>
  <w:num w:numId="9" w16cid:durableId="1595283162">
    <w:abstractNumId w:val="5"/>
  </w:num>
  <w:num w:numId="10" w16cid:durableId="1306278531">
    <w:abstractNumId w:val="17"/>
  </w:num>
  <w:num w:numId="11" w16cid:durableId="860822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0103529">
    <w:abstractNumId w:val="11"/>
  </w:num>
  <w:num w:numId="13" w16cid:durableId="1602182210">
    <w:abstractNumId w:val="2"/>
  </w:num>
  <w:num w:numId="14" w16cid:durableId="1803764108">
    <w:abstractNumId w:val="12"/>
  </w:num>
  <w:num w:numId="15" w16cid:durableId="252781548">
    <w:abstractNumId w:val="13"/>
  </w:num>
  <w:num w:numId="16" w16cid:durableId="1732578169">
    <w:abstractNumId w:val="6"/>
  </w:num>
  <w:num w:numId="17" w16cid:durableId="1778136168">
    <w:abstractNumId w:val="3"/>
  </w:num>
  <w:num w:numId="18" w16cid:durableId="292060872">
    <w:abstractNumId w:val="4"/>
  </w:num>
  <w:num w:numId="19" w16cid:durableId="1133137087">
    <w:abstractNumId w:val="1"/>
  </w:num>
  <w:num w:numId="20" w16cid:durableId="1445730052">
    <w:abstractNumId w:val="9"/>
  </w:num>
  <w:num w:numId="21" w16cid:durableId="1530678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44501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5E6819"/>
    <w:rsid w:val="00004AEE"/>
    <w:rsid w:val="00004DAD"/>
    <w:rsid w:val="00005CAA"/>
    <w:rsid w:val="00010210"/>
    <w:rsid w:val="00014060"/>
    <w:rsid w:val="00015ADA"/>
    <w:rsid w:val="00016390"/>
    <w:rsid w:val="00017BB8"/>
    <w:rsid w:val="00020C03"/>
    <w:rsid w:val="00020C99"/>
    <w:rsid w:val="00020DEC"/>
    <w:rsid w:val="000260F8"/>
    <w:rsid w:val="0002707B"/>
    <w:rsid w:val="00027369"/>
    <w:rsid w:val="00031219"/>
    <w:rsid w:val="00045757"/>
    <w:rsid w:val="00046071"/>
    <w:rsid w:val="0005148E"/>
    <w:rsid w:val="00051BA2"/>
    <w:rsid w:val="0005270A"/>
    <w:rsid w:val="00053EAC"/>
    <w:rsid w:val="00054E23"/>
    <w:rsid w:val="00063AF2"/>
    <w:rsid w:val="000642C0"/>
    <w:rsid w:val="00070D9E"/>
    <w:rsid w:val="00073576"/>
    <w:rsid w:val="000759E5"/>
    <w:rsid w:val="00076FB8"/>
    <w:rsid w:val="00080377"/>
    <w:rsid w:val="00080A47"/>
    <w:rsid w:val="0008354B"/>
    <w:rsid w:val="0008356A"/>
    <w:rsid w:val="0008410F"/>
    <w:rsid w:val="00084AC6"/>
    <w:rsid w:val="00085C49"/>
    <w:rsid w:val="00085C82"/>
    <w:rsid w:val="000860E7"/>
    <w:rsid w:val="00087B76"/>
    <w:rsid w:val="00091608"/>
    <w:rsid w:val="0009257B"/>
    <w:rsid w:val="0009333C"/>
    <w:rsid w:val="0009704F"/>
    <w:rsid w:val="000A0F11"/>
    <w:rsid w:val="000A125A"/>
    <w:rsid w:val="000A4D95"/>
    <w:rsid w:val="000A57CD"/>
    <w:rsid w:val="000B0BCB"/>
    <w:rsid w:val="000B3758"/>
    <w:rsid w:val="000B7681"/>
    <w:rsid w:val="000B7B42"/>
    <w:rsid w:val="000C02B7"/>
    <w:rsid w:val="000C5342"/>
    <w:rsid w:val="000C5CF0"/>
    <w:rsid w:val="000C5DFC"/>
    <w:rsid w:val="000C63ED"/>
    <w:rsid w:val="000C6DE1"/>
    <w:rsid w:val="000C706A"/>
    <w:rsid w:val="000D2887"/>
    <w:rsid w:val="000D61D0"/>
    <w:rsid w:val="000D6D63"/>
    <w:rsid w:val="000E0081"/>
    <w:rsid w:val="000E07CF"/>
    <w:rsid w:val="000E0B31"/>
    <w:rsid w:val="000F071C"/>
    <w:rsid w:val="0011498E"/>
    <w:rsid w:val="00114A4E"/>
    <w:rsid w:val="00115BF1"/>
    <w:rsid w:val="00115FEE"/>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56C88"/>
    <w:rsid w:val="00160262"/>
    <w:rsid w:val="00160AD3"/>
    <w:rsid w:val="00161637"/>
    <w:rsid w:val="001631ED"/>
    <w:rsid w:val="0016616A"/>
    <w:rsid w:val="001662D6"/>
    <w:rsid w:val="0016689C"/>
    <w:rsid w:val="0016780A"/>
    <w:rsid w:val="00173EBF"/>
    <w:rsid w:val="00174F67"/>
    <w:rsid w:val="0018112F"/>
    <w:rsid w:val="001842A2"/>
    <w:rsid w:val="001860BA"/>
    <w:rsid w:val="00187FA8"/>
    <w:rsid w:val="00191C5D"/>
    <w:rsid w:val="00192F5E"/>
    <w:rsid w:val="00193033"/>
    <w:rsid w:val="00197772"/>
    <w:rsid w:val="001A51C8"/>
    <w:rsid w:val="001A65F4"/>
    <w:rsid w:val="001A6852"/>
    <w:rsid w:val="001A76BB"/>
    <w:rsid w:val="001B4CA8"/>
    <w:rsid w:val="001C1D95"/>
    <w:rsid w:val="001C4F3D"/>
    <w:rsid w:val="001D0CDC"/>
    <w:rsid w:val="001D1B03"/>
    <w:rsid w:val="001D1D82"/>
    <w:rsid w:val="001D32FB"/>
    <w:rsid w:val="001D5943"/>
    <w:rsid w:val="001E0001"/>
    <w:rsid w:val="001E0274"/>
    <w:rsid w:val="001E1182"/>
    <w:rsid w:val="001E1CE4"/>
    <w:rsid w:val="001E25B3"/>
    <w:rsid w:val="001F4075"/>
    <w:rsid w:val="00200940"/>
    <w:rsid w:val="00200BCB"/>
    <w:rsid w:val="0020161A"/>
    <w:rsid w:val="00201B8F"/>
    <w:rsid w:val="00202C90"/>
    <w:rsid w:val="00206AA9"/>
    <w:rsid w:val="002121BC"/>
    <w:rsid w:val="00212E75"/>
    <w:rsid w:val="00213DE8"/>
    <w:rsid w:val="00214B4E"/>
    <w:rsid w:val="00216118"/>
    <w:rsid w:val="00220721"/>
    <w:rsid w:val="002209AB"/>
    <w:rsid w:val="00224D4E"/>
    <w:rsid w:val="002251E3"/>
    <w:rsid w:val="00225C83"/>
    <w:rsid w:val="00227A95"/>
    <w:rsid w:val="00231F57"/>
    <w:rsid w:val="0023654A"/>
    <w:rsid w:val="002473FC"/>
    <w:rsid w:val="00252E3C"/>
    <w:rsid w:val="00255867"/>
    <w:rsid w:val="00260ECA"/>
    <w:rsid w:val="00261931"/>
    <w:rsid w:val="00261EFE"/>
    <w:rsid w:val="00262198"/>
    <w:rsid w:val="00272607"/>
    <w:rsid w:val="00277FDD"/>
    <w:rsid w:val="00281D85"/>
    <w:rsid w:val="00285F1B"/>
    <w:rsid w:val="00292B81"/>
    <w:rsid w:val="0029534C"/>
    <w:rsid w:val="00297270"/>
    <w:rsid w:val="002A11A4"/>
    <w:rsid w:val="002B18AE"/>
    <w:rsid w:val="002B3674"/>
    <w:rsid w:val="002C1C93"/>
    <w:rsid w:val="002C2FB1"/>
    <w:rsid w:val="002C4ABA"/>
    <w:rsid w:val="002C5066"/>
    <w:rsid w:val="002D022C"/>
    <w:rsid w:val="002D1227"/>
    <w:rsid w:val="002D160A"/>
    <w:rsid w:val="002D419A"/>
    <w:rsid w:val="002D4AAC"/>
    <w:rsid w:val="002D5702"/>
    <w:rsid w:val="002E3BAF"/>
    <w:rsid w:val="002E545C"/>
    <w:rsid w:val="002E5D24"/>
    <w:rsid w:val="002E7914"/>
    <w:rsid w:val="002F045A"/>
    <w:rsid w:val="002F0B99"/>
    <w:rsid w:val="002F18F8"/>
    <w:rsid w:val="002F747C"/>
    <w:rsid w:val="0030039D"/>
    <w:rsid w:val="00300F20"/>
    <w:rsid w:val="0030171F"/>
    <w:rsid w:val="00302B2F"/>
    <w:rsid w:val="0030326F"/>
    <w:rsid w:val="00305EB8"/>
    <w:rsid w:val="00310701"/>
    <w:rsid w:val="00315980"/>
    <w:rsid w:val="00316BD9"/>
    <w:rsid w:val="00316F7F"/>
    <w:rsid w:val="00320DFB"/>
    <w:rsid w:val="00321276"/>
    <w:rsid w:val="003218E8"/>
    <w:rsid w:val="0032311B"/>
    <w:rsid w:val="00330DCE"/>
    <w:rsid w:val="00331E11"/>
    <w:rsid w:val="00334761"/>
    <w:rsid w:val="00335A95"/>
    <w:rsid w:val="00336533"/>
    <w:rsid w:val="00341DCD"/>
    <w:rsid w:val="00342C4A"/>
    <w:rsid w:val="00343C9A"/>
    <w:rsid w:val="00344897"/>
    <w:rsid w:val="0034563E"/>
    <w:rsid w:val="003518D6"/>
    <w:rsid w:val="0035460C"/>
    <w:rsid w:val="003556BD"/>
    <w:rsid w:val="003559FF"/>
    <w:rsid w:val="00357AA8"/>
    <w:rsid w:val="00361164"/>
    <w:rsid w:val="00365147"/>
    <w:rsid w:val="0037016E"/>
    <w:rsid w:val="00371AAE"/>
    <w:rsid w:val="00372908"/>
    <w:rsid w:val="003764B0"/>
    <w:rsid w:val="00377900"/>
    <w:rsid w:val="0038031C"/>
    <w:rsid w:val="00381549"/>
    <w:rsid w:val="00383020"/>
    <w:rsid w:val="00386937"/>
    <w:rsid w:val="00390691"/>
    <w:rsid w:val="003968BA"/>
    <w:rsid w:val="00396D6E"/>
    <w:rsid w:val="003975FD"/>
    <w:rsid w:val="003A0EB2"/>
    <w:rsid w:val="003A0F88"/>
    <w:rsid w:val="003A1878"/>
    <w:rsid w:val="003A61D8"/>
    <w:rsid w:val="003B0595"/>
    <w:rsid w:val="003B6068"/>
    <w:rsid w:val="003B60CC"/>
    <w:rsid w:val="003B69AF"/>
    <w:rsid w:val="003B6EE4"/>
    <w:rsid w:val="003C09B7"/>
    <w:rsid w:val="003C2443"/>
    <w:rsid w:val="003C5DA3"/>
    <w:rsid w:val="003D089E"/>
    <w:rsid w:val="003D4BCD"/>
    <w:rsid w:val="003D5140"/>
    <w:rsid w:val="003E2100"/>
    <w:rsid w:val="003E4A3B"/>
    <w:rsid w:val="003F0900"/>
    <w:rsid w:val="003F1273"/>
    <w:rsid w:val="003F2611"/>
    <w:rsid w:val="003F3A24"/>
    <w:rsid w:val="003F5A8C"/>
    <w:rsid w:val="003F6F5B"/>
    <w:rsid w:val="0040342D"/>
    <w:rsid w:val="00410D32"/>
    <w:rsid w:val="0041192D"/>
    <w:rsid w:val="0041221E"/>
    <w:rsid w:val="004125FC"/>
    <w:rsid w:val="00413D8E"/>
    <w:rsid w:val="00413EE1"/>
    <w:rsid w:val="004149AE"/>
    <w:rsid w:val="0041526A"/>
    <w:rsid w:val="0042128E"/>
    <w:rsid w:val="00421FEC"/>
    <w:rsid w:val="00430252"/>
    <w:rsid w:val="00432B60"/>
    <w:rsid w:val="00434A49"/>
    <w:rsid w:val="00440698"/>
    <w:rsid w:val="0045181E"/>
    <w:rsid w:val="004540E2"/>
    <w:rsid w:val="00455A78"/>
    <w:rsid w:val="0046116B"/>
    <w:rsid w:val="0046173C"/>
    <w:rsid w:val="00461955"/>
    <w:rsid w:val="00464930"/>
    <w:rsid w:val="00465A5D"/>
    <w:rsid w:val="004663E6"/>
    <w:rsid w:val="00470438"/>
    <w:rsid w:val="004712A5"/>
    <w:rsid w:val="0047266F"/>
    <w:rsid w:val="00472AE8"/>
    <w:rsid w:val="004737C2"/>
    <w:rsid w:val="00476BD7"/>
    <w:rsid w:val="00476D6B"/>
    <w:rsid w:val="00477C9F"/>
    <w:rsid w:val="00485FF0"/>
    <w:rsid w:val="00492C16"/>
    <w:rsid w:val="00497D8C"/>
    <w:rsid w:val="004A0678"/>
    <w:rsid w:val="004A4393"/>
    <w:rsid w:val="004A48A3"/>
    <w:rsid w:val="004A635A"/>
    <w:rsid w:val="004A7646"/>
    <w:rsid w:val="004B0D92"/>
    <w:rsid w:val="004B0EC0"/>
    <w:rsid w:val="004B249A"/>
    <w:rsid w:val="004B4500"/>
    <w:rsid w:val="004B66F1"/>
    <w:rsid w:val="004B798E"/>
    <w:rsid w:val="004C21E7"/>
    <w:rsid w:val="004C2D49"/>
    <w:rsid w:val="004C3EA0"/>
    <w:rsid w:val="004D05BC"/>
    <w:rsid w:val="004D2555"/>
    <w:rsid w:val="004D42A8"/>
    <w:rsid w:val="004F09DC"/>
    <w:rsid w:val="004F569C"/>
    <w:rsid w:val="004F5D93"/>
    <w:rsid w:val="004F60AC"/>
    <w:rsid w:val="004F7169"/>
    <w:rsid w:val="00500D66"/>
    <w:rsid w:val="00506F1B"/>
    <w:rsid w:val="005073D5"/>
    <w:rsid w:val="00514C8E"/>
    <w:rsid w:val="00517585"/>
    <w:rsid w:val="005217B7"/>
    <w:rsid w:val="00521C1F"/>
    <w:rsid w:val="00522537"/>
    <w:rsid w:val="00525EF4"/>
    <w:rsid w:val="0052681E"/>
    <w:rsid w:val="00527851"/>
    <w:rsid w:val="00531DBF"/>
    <w:rsid w:val="00534C79"/>
    <w:rsid w:val="00543215"/>
    <w:rsid w:val="00545759"/>
    <w:rsid w:val="00545BE0"/>
    <w:rsid w:val="00551AE4"/>
    <w:rsid w:val="00553F2A"/>
    <w:rsid w:val="00562E85"/>
    <w:rsid w:val="0056332F"/>
    <w:rsid w:val="00566906"/>
    <w:rsid w:val="005675AE"/>
    <w:rsid w:val="00571E97"/>
    <w:rsid w:val="00576288"/>
    <w:rsid w:val="00581C39"/>
    <w:rsid w:val="00585198"/>
    <w:rsid w:val="00586A01"/>
    <w:rsid w:val="00586CB3"/>
    <w:rsid w:val="005903B6"/>
    <w:rsid w:val="005931E7"/>
    <w:rsid w:val="005A0247"/>
    <w:rsid w:val="005B0747"/>
    <w:rsid w:val="005B140D"/>
    <w:rsid w:val="005B17C0"/>
    <w:rsid w:val="005C050A"/>
    <w:rsid w:val="005C1FEA"/>
    <w:rsid w:val="005C2672"/>
    <w:rsid w:val="005C3495"/>
    <w:rsid w:val="005C3C39"/>
    <w:rsid w:val="005C5DA7"/>
    <w:rsid w:val="005C79BE"/>
    <w:rsid w:val="005D2AF2"/>
    <w:rsid w:val="005D4BC6"/>
    <w:rsid w:val="005D616F"/>
    <w:rsid w:val="005E35DC"/>
    <w:rsid w:val="005E3DFC"/>
    <w:rsid w:val="005E5D52"/>
    <w:rsid w:val="005E60AF"/>
    <w:rsid w:val="005E6819"/>
    <w:rsid w:val="005E7286"/>
    <w:rsid w:val="005F026B"/>
    <w:rsid w:val="005F1DEA"/>
    <w:rsid w:val="005F2D7B"/>
    <w:rsid w:val="0060462F"/>
    <w:rsid w:val="0060602D"/>
    <w:rsid w:val="00607FC9"/>
    <w:rsid w:val="0061002D"/>
    <w:rsid w:val="00610D5E"/>
    <w:rsid w:val="00610E3A"/>
    <w:rsid w:val="00620961"/>
    <w:rsid w:val="00622FE1"/>
    <w:rsid w:val="0062521C"/>
    <w:rsid w:val="00630A2B"/>
    <w:rsid w:val="00632DC7"/>
    <w:rsid w:val="006357FB"/>
    <w:rsid w:val="00635C5E"/>
    <w:rsid w:val="006400E5"/>
    <w:rsid w:val="006406FC"/>
    <w:rsid w:val="00641721"/>
    <w:rsid w:val="00642075"/>
    <w:rsid w:val="00643B47"/>
    <w:rsid w:val="00645CB8"/>
    <w:rsid w:val="00653E16"/>
    <w:rsid w:val="00653F7B"/>
    <w:rsid w:val="00657220"/>
    <w:rsid w:val="0066104B"/>
    <w:rsid w:val="00663B41"/>
    <w:rsid w:val="0066485C"/>
    <w:rsid w:val="006655EE"/>
    <w:rsid w:val="00667C10"/>
    <w:rsid w:val="00667EF4"/>
    <w:rsid w:val="00670006"/>
    <w:rsid w:val="00671A63"/>
    <w:rsid w:val="00674AAE"/>
    <w:rsid w:val="00676FCA"/>
    <w:rsid w:val="00677177"/>
    <w:rsid w:val="00683A76"/>
    <w:rsid w:val="0068612E"/>
    <w:rsid w:val="00687C92"/>
    <w:rsid w:val="0069534E"/>
    <w:rsid w:val="0069669C"/>
    <w:rsid w:val="00697065"/>
    <w:rsid w:val="006A074A"/>
    <w:rsid w:val="006A1200"/>
    <w:rsid w:val="006A19D6"/>
    <w:rsid w:val="006A1AE4"/>
    <w:rsid w:val="006A2BE0"/>
    <w:rsid w:val="006A4F4E"/>
    <w:rsid w:val="006B14DB"/>
    <w:rsid w:val="006B1612"/>
    <w:rsid w:val="006B1FFD"/>
    <w:rsid w:val="006B21C4"/>
    <w:rsid w:val="006B4FD2"/>
    <w:rsid w:val="006B5134"/>
    <w:rsid w:val="006B6B0E"/>
    <w:rsid w:val="006C0A80"/>
    <w:rsid w:val="006C1A92"/>
    <w:rsid w:val="006C4A1A"/>
    <w:rsid w:val="006D0393"/>
    <w:rsid w:val="006D1A83"/>
    <w:rsid w:val="006D3B30"/>
    <w:rsid w:val="006E1CFE"/>
    <w:rsid w:val="006E287F"/>
    <w:rsid w:val="006E3EB2"/>
    <w:rsid w:val="006E6B38"/>
    <w:rsid w:val="006F10C4"/>
    <w:rsid w:val="006F5051"/>
    <w:rsid w:val="006F5603"/>
    <w:rsid w:val="006F662C"/>
    <w:rsid w:val="00701400"/>
    <w:rsid w:val="007019B4"/>
    <w:rsid w:val="00702DEF"/>
    <w:rsid w:val="007037CF"/>
    <w:rsid w:val="00713FA2"/>
    <w:rsid w:val="0071623C"/>
    <w:rsid w:val="00716663"/>
    <w:rsid w:val="007167C0"/>
    <w:rsid w:val="00720481"/>
    <w:rsid w:val="00720E46"/>
    <w:rsid w:val="00721885"/>
    <w:rsid w:val="0073057B"/>
    <w:rsid w:val="00733193"/>
    <w:rsid w:val="007336D5"/>
    <w:rsid w:val="00734867"/>
    <w:rsid w:val="0073521C"/>
    <w:rsid w:val="00737AF2"/>
    <w:rsid w:val="00741051"/>
    <w:rsid w:val="007432CE"/>
    <w:rsid w:val="00744429"/>
    <w:rsid w:val="007470BF"/>
    <w:rsid w:val="007518B2"/>
    <w:rsid w:val="00751C97"/>
    <w:rsid w:val="00753A80"/>
    <w:rsid w:val="0075732A"/>
    <w:rsid w:val="00757539"/>
    <w:rsid w:val="00760262"/>
    <w:rsid w:val="007602A0"/>
    <w:rsid w:val="0076310C"/>
    <w:rsid w:val="0076744F"/>
    <w:rsid w:val="00767BCE"/>
    <w:rsid w:val="007707DE"/>
    <w:rsid w:val="00770B5D"/>
    <w:rsid w:val="007752F1"/>
    <w:rsid w:val="00775583"/>
    <w:rsid w:val="00775DF7"/>
    <w:rsid w:val="00776768"/>
    <w:rsid w:val="00783D05"/>
    <w:rsid w:val="00790F1F"/>
    <w:rsid w:val="00792F0C"/>
    <w:rsid w:val="00792FB9"/>
    <w:rsid w:val="007953DA"/>
    <w:rsid w:val="00795934"/>
    <w:rsid w:val="00795EA3"/>
    <w:rsid w:val="007975EA"/>
    <w:rsid w:val="007A2573"/>
    <w:rsid w:val="007A570A"/>
    <w:rsid w:val="007A6A1A"/>
    <w:rsid w:val="007B106C"/>
    <w:rsid w:val="007B1A4E"/>
    <w:rsid w:val="007B3617"/>
    <w:rsid w:val="007B3D05"/>
    <w:rsid w:val="007C0C81"/>
    <w:rsid w:val="007C114B"/>
    <w:rsid w:val="007C1328"/>
    <w:rsid w:val="007C27F4"/>
    <w:rsid w:val="007D14B4"/>
    <w:rsid w:val="007D2191"/>
    <w:rsid w:val="007D2FC3"/>
    <w:rsid w:val="007D4F2C"/>
    <w:rsid w:val="007D5962"/>
    <w:rsid w:val="007E24F6"/>
    <w:rsid w:val="007E33AF"/>
    <w:rsid w:val="007E5DF2"/>
    <w:rsid w:val="007F2EED"/>
    <w:rsid w:val="007F2EF8"/>
    <w:rsid w:val="007F3498"/>
    <w:rsid w:val="00800F64"/>
    <w:rsid w:val="00802F0B"/>
    <w:rsid w:val="00810A67"/>
    <w:rsid w:val="00813868"/>
    <w:rsid w:val="0081390E"/>
    <w:rsid w:val="00821485"/>
    <w:rsid w:val="00821A31"/>
    <w:rsid w:val="00821AC5"/>
    <w:rsid w:val="00831030"/>
    <w:rsid w:val="008316C6"/>
    <w:rsid w:val="008320EB"/>
    <w:rsid w:val="00833CF7"/>
    <w:rsid w:val="008351A3"/>
    <w:rsid w:val="00836622"/>
    <w:rsid w:val="00837D61"/>
    <w:rsid w:val="00843089"/>
    <w:rsid w:val="00843C14"/>
    <w:rsid w:val="00845601"/>
    <w:rsid w:val="00847BD2"/>
    <w:rsid w:val="008527BD"/>
    <w:rsid w:val="00852F6D"/>
    <w:rsid w:val="00853978"/>
    <w:rsid w:val="00854C7C"/>
    <w:rsid w:val="00855C5C"/>
    <w:rsid w:val="00856953"/>
    <w:rsid w:val="0086185F"/>
    <w:rsid w:val="00882459"/>
    <w:rsid w:val="0089105C"/>
    <w:rsid w:val="0089560F"/>
    <w:rsid w:val="00895DF7"/>
    <w:rsid w:val="008A2B4A"/>
    <w:rsid w:val="008A3C96"/>
    <w:rsid w:val="008A5063"/>
    <w:rsid w:val="008B4019"/>
    <w:rsid w:val="008B413F"/>
    <w:rsid w:val="008B65C9"/>
    <w:rsid w:val="008C2D4A"/>
    <w:rsid w:val="008C49DA"/>
    <w:rsid w:val="008D3900"/>
    <w:rsid w:val="008D6E1D"/>
    <w:rsid w:val="008E4A26"/>
    <w:rsid w:val="008E611A"/>
    <w:rsid w:val="008F17B5"/>
    <w:rsid w:val="008F39B4"/>
    <w:rsid w:val="008F4162"/>
    <w:rsid w:val="00903E02"/>
    <w:rsid w:val="009120E4"/>
    <w:rsid w:val="00913175"/>
    <w:rsid w:val="00916EDB"/>
    <w:rsid w:val="009240A6"/>
    <w:rsid w:val="009242EF"/>
    <w:rsid w:val="00932291"/>
    <w:rsid w:val="0093408E"/>
    <w:rsid w:val="0094172A"/>
    <w:rsid w:val="009433EA"/>
    <w:rsid w:val="0094682D"/>
    <w:rsid w:val="00947CBC"/>
    <w:rsid w:val="00952DDF"/>
    <w:rsid w:val="009611B7"/>
    <w:rsid w:val="0096170E"/>
    <w:rsid w:val="009700F2"/>
    <w:rsid w:val="00976E4A"/>
    <w:rsid w:val="00990922"/>
    <w:rsid w:val="00992454"/>
    <w:rsid w:val="00997B2D"/>
    <w:rsid w:val="009A0AF4"/>
    <w:rsid w:val="009A41A6"/>
    <w:rsid w:val="009B38BE"/>
    <w:rsid w:val="009B563B"/>
    <w:rsid w:val="009C333F"/>
    <w:rsid w:val="009C3D0F"/>
    <w:rsid w:val="009C5A62"/>
    <w:rsid w:val="009D00A2"/>
    <w:rsid w:val="009D2FDC"/>
    <w:rsid w:val="009D4AD3"/>
    <w:rsid w:val="009E2913"/>
    <w:rsid w:val="009E2F5C"/>
    <w:rsid w:val="009E6872"/>
    <w:rsid w:val="009E7DAC"/>
    <w:rsid w:val="009F35E2"/>
    <w:rsid w:val="009F49D6"/>
    <w:rsid w:val="009F5BEB"/>
    <w:rsid w:val="009F65F9"/>
    <w:rsid w:val="009F68BA"/>
    <w:rsid w:val="009F7C99"/>
    <w:rsid w:val="00A05947"/>
    <w:rsid w:val="00A061A8"/>
    <w:rsid w:val="00A06277"/>
    <w:rsid w:val="00A06B15"/>
    <w:rsid w:val="00A079DC"/>
    <w:rsid w:val="00A111C2"/>
    <w:rsid w:val="00A17D0F"/>
    <w:rsid w:val="00A23425"/>
    <w:rsid w:val="00A27314"/>
    <w:rsid w:val="00A27BEF"/>
    <w:rsid w:val="00A334C2"/>
    <w:rsid w:val="00A338E7"/>
    <w:rsid w:val="00A343B2"/>
    <w:rsid w:val="00A35CAA"/>
    <w:rsid w:val="00A36E7F"/>
    <w:rsid w:val="00A37E9D"/>
    <w:rsid w:val="00A41E65"/>
    <w:rsid w:val="00A43E0A"/>
    <w:rsid w:val="00A45659"/>
    <w:rsid w:val="00A47107"/>
    <w:rsid w:val="00A51670"/>
    <w:rsid w:val="00A539B1"/>
    <w:rsid w:val="00A55F5B"/>
    <w:rsid w:val="00A57FB9"/>
    <w:rsid w:val="00A60185"/>
    <w:rsid w:val="00A62C88"/>
    <w:rsid w:val="00A65959"/>
    <w:rsid w:val="00A661EA"/>
    <w:rsid w:val="00A6706F"/>
    <w:rsid w:val="00A6717B"/>
    <w:rsid w:val="00A70809"/>
    <w:rsid w:val="00A76E17"/>
    <w:rsid w:val="00A81EBF"/>
    <w:rsid w:val="00A830E5"/>
    <w:rsid w:val="00A84C1A"/>
    <w:rsid w:val="00A86618"/>
    <w:rsid w:val="00A87135"/>
    <w:rsid w:val="00A919A4"/>
    <w:rsid w:val="00A93280"/>
    <w:rsid w:val="00A95269"/>
    <w:rsid w:val="00A971AD"/>
    <w:rsid w:val="00A97215"/>
    <w:rsid w:val="00AA2548"/>
    <w:rsid w:val="00AA58C4"/>
    <w:rsid w:val="00AA6A40"/>
    <w:rsid w:val="00AB11C8"/>
    <w:rsid w:val="00AB60CF"/>
    <w:rsid w:val="00AC08A8"/>
    <w:rsid w:val="00AC73E5"/>
    <w:rsid w:val="00AD3C83"/>
    <w:rsid w:val="00AD56C8"/>
    <w:rsid w:val="00AD58F2"/>
    <w:rsid w:val="00AD5BA0"/>
    <w:rsid w:val="00AD60C6"/>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31352"/>
    <w:rsid w:val="00B3229F"/>
    <w:rsid w:val="00B32F8F"/>
    <w:rsid w:val="00B3355B"/>
    <w:rsid w:val="00B404DC"/>
    <w:rsid w:val="00B41D3C"/>
    <w:rsid w:val="00B53FEC"/>
    <w:rsid w:val="00B54DE9"/>
    <w:rsid w:val="00B553EC"/>
    <w:rsid w:val="00B6037F"/>
    <w:rsid w:val="00B62B98"/>
    <w:rsid w:val="00B65E27"/>
    <w:rsid w:val="00B66EBE"/>
    <w:rsid w:val="00B70ED4"/>
    <w:rsid w:val="00B71229"/>
    <w:rsid w:val="00B748DF"/>
    <w:rsid w:val="00B774CD"/>
    <w:rsid w:val="00B85442"/>
    <w:rsid w:val="00B93B9D"/>
    <w:rsid w:val="00B93DD0"/>
    <w:rsid w:val="00B97732"/>
    <w:rsid w:val="00BA2D86"/>
    <w:rsid w:val="00BA65A8"/>
    <w:rsid w:val="00BA6D19"/>
    <w:rsid w:val="00BA7461"/>
    <w:rsid w:val="00BA7DA9"/>
    <w:rsid w:val="00BB3FA0"/>
    <w:rsid w:val="00BB703A"/>
    <w:rsid w:val="00BC295D"/>
    <w:rsid w:val="00BC330B"/>
    <w:rsid w:val="00BC3696"/>
    <w:rsid w:val="00BC4215"/>
    <w:rsid w:val="00BC473A"/>
    <w:rsid w:val="00BD1A6F"/>
    <w:rsid w:val="00BD5DB8"/>
    <w:rsid w:val="00BD5F54"/>
    <w:rsid w:val="00BE033E"/>
    <w:rsid w:val="00BE4871"/>
    <w:rsid w:val="00BE6D3C"/>
    <w:rsid w:val="00BE7852"/>
    <w:rsid w:val="00BE7E91"/>
    <w:rsid w:val="00BF1612"/>
    <w:rsid w:val="00BF1664"/>
    <w:rsid w:val="00BF3F7C"/>
    <w:rsid w:val="00BF671B"/>
    <w:rsid w:val="00BF7CEE"/>
    <w:rsid w:val="00C03880"/>
    <w:rsid w:val="00C132E3"/>
    <w:rsid w:val="00C135CF"/>
    <w:rsid w:val="00C173B0"/>
    <w:rsid w:val="00C17F88"/>
    <w:rsid w:val="00C216C3"/>
    <w:rsid w:val="00C217F4"/>
    <w:rsid w:val="00C22E15"/>
    <w:rsid w:val="00C2683F"/>
    <w:rsid w:val="00C3184D"/>
    <w:rsid w:val="00C320B0"/>
    <w:rsid w:val="00C33BC1"/>
    <w:rsid w:val="00C41A88"/>
    <w:rsid w:val="00C43020"/>
    <w:rsid w:val="00C4714E"/>
    <w:rsid w:val="00C52BD4"/>
    <w:rsid w:val="00C5366B"/>
    <w:rsid w:val="00C546A5"/>
    <w:rsid w:val="00C5504F"/>
    <w:rsid w:val="00C57715"/>
    <w:rsid w:val="00C6104A"/>
    <w:rsid w:val="00C63376"/>
    <w:rsid w:val="00C634DE"/>
    <w:rsid w:val="00C653A5"/>
    <w:rsid w:val="00C736E7"/>
    <w:rsid w:val="00C74F97"/>
    <w:rsid w:val="00C76FBD"/>
    <w:rsid w:val="00C8276E"/>
    <w:rsid w:val="00C83DEB"/>
    <w:rsid w:val="00C842AC"/>
    <w:rsid w:val="00C85444"/>
    <w:rsid w:val="00C86DC8"/>
    <w:rsid w:val="00C90E71"/>
    <w:rsid w:val="00C91088"/>
    <w:rsid w:val="00C96D41"/>
    <w:rsid w:val="00CA0723"/>
    <w:rsid w:val="00CA36FE"/>
    <w:rsid w:val="00CB1690"/>
    <w:rsid w:val="00CB21D2"/>
    <w:rsid w:val="00CB2EF8"/>
    <w:rsid w:val="00CC1AE6"/>
    <w:rsid w:val="00CC2B3F"/>
    <w:rsid w:val="00CC4365"/>
    <w:rsid w:val="00CD11B0"/>
    <w:rsid w:val="00CD3A95"/>
    <w:rsid w:val="00CD7E72"/>
    <w:rsid w:val="00CE5111"/>
    <w:rsid w:val="00CE5812"/>
    <w:rsid w:val="00CE71C2"/>
    <w:rsid w:val="00CF3163"/>
    <w:rsid w:val="00CF42D5"/>
    <w:rsid w:val="00CF4EDA"/>
    <w:rsid w:val="00D021CB"/>
    <w:rsid w:val="00D0237F"/>
    <w:rsid w:val="00D0562E"/>
    <w:rsid w:val="00D05A2D"/>
    <w:rsid w:val="00D05A34"/>
    <w:rsid w:val="00D05E5C"/>
    <w:rsid w:val="00D1086A"/>
    <w:rsid w:val="00D10ACD"/>
    <w:rsid w:val="00D10F1A"/>
    <w:rsid w:val="00D116F8"/>
    <w:rsid w:val="00D14BE2"/>
    <w:rsid w:val="00D17596"/>
    <w:rsid w:val="00D2323D"/>
    <w:rsid w:val="00D26D3A"/>
    <w:rsid w:val="00D31545"/>
    <w:rsid w:val="00D33350"/>
    <w:rsid w:val="00D3508B"/>
    <w:rsid w:val="00D35CA2"/>
    <w:rsid w:val="00D374CF"/>
    <w:rsid w:val="00D401E1"/>
    <w:rsid w:val="00D40655"/>
    <w:rsid w:val="00D45EE3"/>
    <w:rsid w:val="00D50618"/>
    <w:rsid w:val="00D509E9"/>
    <w:rsid w:val="00D50A8A"/>
    <w:rsid w:val="00D5110D"/>
    <w:rsid w:val="00D53B1C"/>
    <w:rsid w:val="00D5575B"/>
    <w:rsid w:val="00D64914"/>
    <w:rsid w:val="00D657A6"/>
    <w:rsid w:val="00D76D3B"/>
    <w:rsid w:val="00D77A30"/>
    <w:rsid w:val="00D809E5"/>
    <w:rsid w:val="00D80F3B"/>
    <w:rsid w:val="00DA1B12"/>
    <w:rsid w:val="00DA3946"/>
    <w:rsid w:val="00DA4D3D"/>
    <w:rsid w:val="00DA503F"/>
    <w:rsid w:val="00DA54C9"/>
    <w:rsid w:val="00DA6739"/>
    <w:rsid w:val="00DA6CAE"/>
    <w:rsid w:val="00DB1A9E"/>
    <w:rsid w:val="00DB31D6"/>
    <w:rsid w:val="00DB4005"/>
    <w:rsid w:val="00DC0967"/>
    <w:rsid w:val="00DC2DA1"/>
    <w:rsid w:val="00DC34EB"/>
    <w:rsid w:val="00DC781A"/>
    <w:rsid w:val="00DD0B04"/>
    <w:rsid w:val="00DD220A"/>
    <w:rsid w:val="00DD30B6"/>
    <w:rsid w:val="00DD6329"/>
    <w:rsid w:val="00DE60D5"/>
    <w:rsid w:val="00DE633A"/>
    <w:rsid w:val="00DF1E5B"/>
    <w:rsid w:val="00DF2275"/>
    <w:rsid w:val="00DF3F5E"/>
    <w:rsid w:val="00DF6211"/>
    <w:rsid w:val="00DF7BCD"/>
    <w:rsid w:val="00E0596E"/>
    <w:rsid w:val="00E06F66"/>
    <w:rsid w:val="00E136BA"/>
    <w:rsid w:val="00E138B9"/>
    <w:rsid w:val="00E16F09"/>
    <w:rsid w:val="00E221B4"/>
    <w:rsid w:val="00E22AD5"/>
    <w:rsid w:val="00E22CF5"/>
    <w:rsid w:val="00E33BF8"/>
    <w:rsid w:val="00E35436"/>
    <w:rsid w:val="00E356E5"/>
    <w:rsid w:val="00E36F81"/>
    <w:rsid w:val="00E43F26"/>
    <w:rsid w:val="00E44648"/>
    <w:rsid w:val="00E452FA"/>
    <w:rsid w:val="00E45765"/>
    <w:rsid w:val="00E45E10"/>
    <w:rsid w:val="00E5098C"/>
    <w:rsid w:val="00E50DC9"/>
    <w:rsid w:val="00E518EF"/>
    <w:rsid w:val="00E522C6"/>
    <w:rsid w:val="00E60213"/>
    <w:rsid w:val="00E74D29"/>
    <w:rsid w:val="00E81A01"/>
    <w:rsid w:val="00E83C74"/>
    <w:rsid w:val="00E83CEE"/>
    <w:rsid w:val="00E85EED"/>
    <w:rsid w:val="00E86DB3"/>
    <w:rsid w:val="00E86EFA"/>
    <w:rsid w:val="00E8776C"/>
    <w:rsid w:val="00E91BF9"/>
    <w:rsid w:val="00E9226D"/>
    <w:rsid w:val="00E923D6"/>
    <w:rsid w:val="00EA337A"/>
    <w:rsid w:val="00EA5941"/>
    <w:rsid w:val="00EB02BE"/>
    <w:rsid w:val="00EB1DFD"/>
    <w:rsid w:val="00EB4974"/>
    <w:rsid w:val="00EB4DFB"/>
    <w:rsid w:val="00EB60CE"/>
    <w:rsid w:val="00EB65D0"/>
    <w:rsid w:val="00EB7D53"/>
    <w:rsid w:val="00EC0C66"/>
    <w:rsid w:val="00EC24FD"/>
    <w:rsid w:val="00EC6C1B"/>
    <w:rsid w:val="00ED2725"/>
    <w:rsid w:val="00EE0E36"/>
    <w:rsid w:val="00EE1E28"/>
    <w:rsid w:val="00EE2A2B"/>
    <w:rsid w:val="00EE2EE7"/>
    <w:rsid w:val="00EE3146"/>
    <w:rsid w:val="00EF50BB"/>
    <w:rsid w:val="00EF634C"/>
    <w:rsid w:val="00EF746E"/>
    <w:rsid w:val="00EF7DAD"/>
    <w:rsid w:val="00F00192"/>
    <w:rsid w:val="00F002B5"/>
    <w:rsid w:val="00F01DF6"/>
    <w:rsid w:val="00F02BA9"/>
    <w:rsid w:val="00F0340D"/>
    <w:rsid w:val="00F03B90"/>
    <w:rsid w:val="00F1263A"/>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0522"/>
    <w:rsid w:val="00F82FF8"/>
    <w:rsid w:val="00F8330D"/>
    <w:rsid w:val="00F84305"/>
    <w:rsid w:val="00F8485C"/>
    <w:rsid w:val="00F87149"/>
    <w:rsid w:val="00F87239"/>
    <w:rsid w:val="00F8727E"/>
    <w:rsid w:val="00F87998"/>
    <w:rsid w:val="00F87FFE"/>
    <w:rsid w:val="00F91335"/>
    <w:rsid w:val="00F940DB"/>
    <w:rsid w:val="00F954C9"/>
    <w:rsid w:val="00F96718"/>
    <w:rsid w:val="00F970B5"/>
    <w:rsid w:val="00F977DD"/>
    <w:rsid w:val="00FA1E48"/>
    <w:rsid w:val="00FA4ED8"/>
    <w:rsid w:val="00FA61AA"/>
    <w:rsid w:val="00FA62B5"/>
    <w:rsid w:val="00FA69A4"/>
    <w:rsid w:val="00FB1279"/>
    <w:rsid w:val="00FB1495"/>
    <w:rsid w:val="00FB6171"/>
    <w:rsid w:val="00FC64AE"/>
    <w:rsid w:val="00FC779B"/>
    <w:rsid w:val="00FD1694"/>
    <w:rsid w:val="00FD26AA"/>
    <w:rsid w:val="00FD2FE0"/>
    <w:rsid w:val="00FD399B"/>
    <w:rsid w:val="00FD476C"/>
    <w:rsid w:val="00FD7636"/>
    <w:rsid w:val="00FE3229"/>
    <w:rsid w:val="00FE4477"/>
    <w:rsid w:val="00FE74C3"/>
    <w:rsid w:val="00FF07D9"/>
    <w:rsid w:val="00FF215C"/>
    <w:rsid w:val="00FF31E2"/>
    <w:rsid w:val="00FF49E8"/>
    <w:rsid w:val="00FF4C20"/>
    <w:rsid w:val="00FF672F"/>
    <w:rsid w:val="00FF7D11"/>
    <w:rsid w:val="01A3F18E"/>
    <w:rsid w:val="079FEB27"/>
    <w:rsid w:val="0D240B1C"/>
    <w:rsid w:val="0E0F2CAB"/>
    <w:rsid w:val="1147CA87"/>
    <w:rsid w:val="125DDD23"/>
    <w:rsid w:val="17C712C4"/>
    <w:rsid w:val="21965D35"/>
    <w:rsid w:val="2A4CA1DE"/>
    <w:rsid w:val="2AF6A885"/>
    <w:rsid w:val="2F86FA90"/>
    <w:rsid w:val="33F16D7E"/>
    <w:rsid w:val="35285E8D"/>
    <w:rsid w:val="3C2DFDDB"/>
    <w:rsid w:val="3CC191E4"/>
    <w:rsid w:val="3EDDCE6A"/>
    <w:rsid w:val="41BF0C84"/>
    <w:rsid w:val="43C5C677"/>
    <w:rsid w:val="4CFA2038"/>
    <w:rsid w:val="4DE7DF8C"/>
    <w:rsid w:val="4FF33E06"/>
    <w:rsid w:val="5574239B"/>
    <w:rsid w:val="5616EC39"/>
    <w:rsid w:val="58AE8B5A"/>
    <w:rsid w:val="59C74D00"/>
    <w:rsid w:val="5A7BBBBF"/>
    <w:rsid w:val="5C56AD2A"/>
    <w:rsid w:val="5DCFBC81"/>
    <w:rsid w:val="61BEA76D"/>
    <w:rsid w:val="644896B2"/>
    <w:rsid w:val="66B23159"/>
    <w:rsid w:val="67155F29"/>
    <w:rsid w:val="675C1804"/>
    <w:rsid w:val="69D8B65C"/>
    <w:rsid w:val="6B4F23DD"/>
    <w:rsid w:val="6C671BE8"/>
    <w:rsid w:val="703FEB42"/>
    <w:rsid w:val="707F0C4C"/>
    <w:rsid w:val="76027863"/>
    <w:rsid w:val="7E28CF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64F8B"/>
  <w15:docId w15:val="{C24DE9BD-E494-4410-BBFE-FFB025FB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E0"/>
    <w:rPr>
      <w:rFonts w:ascii="Cambria" w:hAnsi="Cambria"/>
      <w:lang w:eastAsia="en-US"/>
    </w:rPr>
  </w:style>
  <w:style w:type="paragraph" w:styleId="Heading1">
    <w:name w:val="heading 1"/>
    <w:next w:val="Normal"/>
    <w:link w:val="Heading1Char"/>
    <w:autoRedefine/>
    <w:uiPriority w:val="9"/>
    <w:qFormat/>
    <w:rsid w:val="00A27BEF"/>
    <w:pPr>
      <w:keepNext/>
      <w:spacing w:after="200"/>
      <w:outlineLvl w:val="0"/>
    </w:pPr>
    <w:rPr>
      <w:rFonts w:asciiTheme="majorHAnsi" w:hAnsiTheme="majorHAnsi" w:cs="Arial"/>
      <w:b/>
      <w:caps/>
      <w:sz w:val="24"/>
      <w:lang w:eastAsia="en-US"/>
    </w:rPr>
  </w:style>
  <w:style w:type="paragraph" w:styleId="Heading2">
    <w:name w:val="heading 2"/>
    <w:basedOn w:val="Normal"/>
    <w:next w:val="Normal"/>
    <w:link w:val="Heading2Char"/>
    <w:autoRedefine/>
    <w:uiPriority w:val="9"/>
    <w:qFormat/>
    <w:rsid w:val="00792F0C"/>
    <w:pPr>
      <w:keepNext/>
      <w:spacing w:after="200"/>
      <w:outlineLvl w:val="1"/>
    </w:pPr>
    <w:rPr>
      <w:rFonts w:asciiTheme="minorHAnsi" w:hAnsiTheme="minorHAnsi" w:cstheme="minorHAnsi"/>
      <w:b/>
      <w:caps/>
      <w:sz w:val="24"/>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A27BEF"/>
    <w:rPr>
      <w:rFonts w:asciiTheme="majorHAnsi" w:hAnsiTheme="majorHAnsi" w:cs="Arial"/>
      <w:b/>
      <w:caps/>
      <w:sz w:val="24"/>
      <w:lang w:eastAsia="en-US"/>
    </w:rPr>
  </w:style>
  <w:style w:type="character" w:customStyle="1" w:styleId="Heading2Char">
    <w:name w:val="Heading 2 Char"/>
    <w:basedOn w:val="DefaultParagraphFont"/>
    <w:link w:val="Heading2"/>
    <w:uiPriority w:val="9"/>
    <w:rsid w:val="00792F0C"/>
    <w:rPr>
      <w:rFonts w:asciiTheme="minorHAnsi" w:hAnsiTheme="minorHAnsi" w:cstheme="minorHAnsi"/>
      <w:b/>
      <w:caps/>
      <w:sz w:val="24"/>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22"/>
      </w:numPr>
      <w:spacing w:after="200"/>
    </w:pPr>
  </w:style>
  <w:style w:type="paragraph" w:styleId="ListNumber2">
    <w:name w:val="List Number 2"/>
    <w:basedOn w:val="Normal"/>
    <w:autoRedefine/>
    <w:uiPriority w:val="99"/>
    <w:rsid w:val="00C33BC1"/>
    <w:pPr>
      <w:numPr>
        <w:ilvl w:val="1"/>
        <w:numId w:val="22"/>
      </w:numPr>
      <w:spacing w:after="200" w:line="276" w:lineRule="auto"/>
    </w:pPr>
  </w:style>
  <w:style w:type="paragraph" w:styleId="ListNumber3">
    <w:name w:val="List Number 3"/>
    <w:basedOn w:val="Normal"/>
    <w:autoRedefine/>
    <w:uiPriority w:val="99"/>
    <w:rsid w:val="00160AD3"/>
    <w:pPr>
      <w:numPr>
        <w:ilvl w:val="2"/>
        <w:numId w:val="22"/>
      </w:numPr>
      <w:spacing w:after="200"/>
    </w:pPr>
  </w:style>
  <w:style w:type="paragraph" w:styleId="ListNumber4">
    <w:name w:val="List Number 4"/>
    <w:basedOn w:val="Normal"/>
    <w:uiPriority w:val="99"/>
    <w:rsid w:val="00005CAA"/>
    <w:pPr>
      <w:numPr>
        <w:ilvl w:val="3"/>
        <w:numId w:val="22"/>
      </w:numPr>
    </w:pPr>
  </w:style>
  <w:style w:type="paragraph" w:styleId="ListNumber5">
    <w:name w:val="List Number 5"/>
    <w:basedOn w:val="Normal"/>
    <w:uiPriority w:val="99"/>
    <w:rsid w:val="00005CAA"/>
    <w:pPr>
      <w:numPr>
        <w:ilvl w:val="4"/>
        <w:numId w:val="22"/>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1"/>
    <w:qFormat/>
    <w:rsid w:val="005E6819"/>
    <w:pPr>
      <w:spacing w:after="200"/>
      <w:ind w:left="369" w:hanging="369"/>
    </w:pPr>
  </w:style>
  <w:style w:type="paragraph" w:styleId="BodyText">
    <w:name w:val="Body Text"/>
    <w:basedOn w:val="Normal"/>
    <w:link w:val="BodyTextChar"/>
    <w:uiPriority w:val="1"/>
    <w:qFormat/>
    <w:rsid w:val="005E6819"/>
    <w:pPr>
      <w:widowControl w:val="0"/>
      <w:spacing w:before="119"/>
      <w:ind w:left="1303" w:hanging="283"/>
    </w:pPr>
    <w:rPr>
      <w:rFonts w:eastAsia="Cambria" w:cstheme="minorBidi"/>
      <w:lang w:val="en-US"/>
    </w:rPr>
  </w:style>
  <w:style w:type="character" w:customStyle="1" w:styleId="BodyTextChar">
    <w:name w:val="Body Text Char"/>
    <w:basedOn w:val="DefaultParagraphFont"/>
    <w:link w:val="BodyText"/>
    <w:uiPriority w:val="1"/>
    <w:rsid w:val="005E6819"/>
    <w:rPr>
      <w:rFonts w:ascii="Cambria" w:eastAsia="Cambria" w:hAnsi="Cambria" w:cstheme="minorBidi"/>
      <w:lang w:val="en-US" w:eastAsia="en-US"/>
    </w:rPr>
  </w:style>
  <w:style w:type="character" w:styleId="Hyperlink">
    <w:name w:val="Hyperlink"/>
    <w:basedOn w:val="DefaultParagraphFont"/>
    <w:uiPriority w:val="99"/>
    <w:unhideWhenUsed/>
    <w:qFormat/>
    <w:rsid w:val="005E6819"/>
    <w:rPr>
      <w:color w:val="0000FF" w:themeColor="hyperlink"/>
      <w:u w:val="single"/>
    </w:rPr>
  </w:style>
  <w:style w:type="paragraph" w:styleId="Title">
    <w:name w:val="Title"/>
    <w:basedOn w:val="Normal"/>
    <w:next w:val="Normal"/>
    <w:link w:val="TitleChar"/>
    <w:uiPriority w:val="10"/>
    <w:semiHidden/>
    <w:rsid w:val="006A2BE0"/>
    <w:pPr>
      <w:spacing w:line="583" w:lineRule="exact"/>
    </w:pPr>
    <w:rPr>
      <w:rFonts w:asciiTheme="majorHAnsi" w:hAnsiTheme="majorHAnsi"/>
      <w:b/>
      <w:bCs/>
      <w:spacing w:val="11"/>
      <w:sz w:val="36"/>
      <w:szCs w:val="36"/>
    </w:rPr>
  </w:style>
  <w:style w:type="character" w:customStyle="1" w:styleId="TitleChar">
    <w:name w:val="Title Char"/>
    <w:basedOn w:val="DefaultParagraphFont"/>
    <w:link w:val="Title"/>
    <w:uiPriority w:val="10"/>
    <w:semiHidden/>
    <w:rsid w:val="006A2BE0"/>
    <w:rPr>
      <w:rFonts w:asciiTheme="majorHAnsi" w:hAnsiTheme="majorHAnsi"/>
      <w:b/>
      <w:bCs/>
      <w:spacing w:val="11"/>
      <w:sz w:val="36"/>
      <w:szCs w:val="36"/>
      <w:lang w:eastAsia="en-US"/>
    </w:rPr>
  </w:style>
  <w:style w:type="character" w:styleId="CommentReference">
    <w:name w:val="annotation reference"/>
    <w:basedOn w:val="DefaultParagraphFont"/>
    <w:uiPriority w:val="99"/>
    <w:semiHidden/>
    <w:unhideWhenUsed/>
    <w:rsid w:val="00016390"/>
    <w:rPr>
      <w:sz w:val="16"/>
      <w:szCs w:val="16"/>
    </w:rPr>
  </w:style>
  <w:style w:type="paragraph" w:styleId="CommentText">
    <w:name w:val="annotation text"/>
    <w:basedOn w:val="Normal"/>
    <w:link w:val="CommentTextChar"/>
    <w:uiPriority w:val="99"/>
    <w:semiHidden/>
    <w:unhideWhenUsed/>
    <w:rsid w:val="00016390"/>
    <w:rPr>
      <w:sz w:val="20"/>
      <w:szCs w:val="20"/>
    </w:rPr>
  </w:style>
  <w:style w:type="character" w:customStyle="1" w:styleId="CommentTextChar">
    <w:name w:val="Comment Text Char"/>
    <w:basedOn w:val="DefaultParagraphFont"/>
    <w:link w:val="CommentText"/>
    <w:uiPriority w:val="99"/>
    <w:semiHidden/>
    <w:rsid w:val="00016390"/>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016390"/>
    <w:rPr>
      <w:b/>
      <w:bCs/>
    </w:rPr>
  </w:style>
  <w:style w:type="character" w:customStyle="1" w:styleId="CommentSubjectChar">
    <w:name w:val="Comment Subject Char"/>
    <w:basedOn w:val="CommentTextChar"/>
    <w:link w:val="CommentSubject"/>
    <w:uiPriority w:val="99"/>
    <w:semiHidden/>
    <w:rsid w:val="00016390"/>
    <w:rPr>
      <w:rFonts w:ascii="Cambria" w:hAnsi="Cambria"/>
      <w:b/>
      <w:bCs/>
      <w:sz w:val="20"/>
      <w:szCs w:val="20"/>
      <w:lang w:eastAsia="en-US"/>
    </w:rPr>
  </w:style>
  <w:style w:type="paragraph" w:styleId="Revision">
    <w:name w:val="Revision"/>
    <w:hidden/>
    <w:uiPriority w:val="99"/>
    <w:semiHidden/>
    <w:rsid w:val="0029534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7471">
      <w:bodyDiv w:val="1"/>
      <w:marLeft w:val="0"/>
      <w:marRight w:val="0"/>
      <w:marTop w:val="0"/>
      <w:marBottom w:val="0"/>
      <w:divBdr>
        <w:top w:val="none" w:sz="0" w:space="0" w:color="auto"/>
        <w:left w:val="none" w:sz="0" w:space="0" w:color="auto"/>
        <w:bottom w:val="none" w:sz="0" w:space="0" w:color="auto"/>
        <w:right w:val="none" w:sz="0" w:space="0" w:color="auto"/>
      </w:divBdr>
    </w:div>
    <w:div w:id="290017230">
      <w:bodyDiv w:val="1"/>
      <w:marLeft w:val="0"/>
      <w:marRight w:val="0"/>
      <w:marTop w:val="0"/>
      <w:marBottom w:val="0"/>
      <w:divBdr>
        <w:top w:val="none" w:sz="0" w:space="0" w:color="auto"/>
        <w:left w:val="none" w:sz="0" w:space="0" w:color="auto"/>
        <w:bottom w:val="none" w:sz="0" w:space="0" w:color="auto"/>
        <w:right w:val="none" w:sz="0" w:space="0" w:color="auto"/>
      </w:divBdr>
    </w:div>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589586007">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777064525">
      <w:bodyDiv w:val="1"/>
      <w:marLeft w:val="0"/>
      <w:marRight w:val="0"/>
      <w:marTop w:val="0"/>
      <w:marBottom w:val="0"/>
      <w:divBdr>
        <w:top w:val="none" w:sz="0" w:space="0" w:color="auto"/>
        <w:left w:val="none" w:sz="0" w:space="0" w:color="auto"/>
        <w:bottom w:val="none" w:sz="0" w:space="0" w:color="auto"/>
        <w:right w:val="none" w:sz="0" w:space="0" w:color="auto"/>
      </w:divBdr>
    </w:div>
    <w:div w:id="838156908">
      <w:bodyDiv w:val="1"/>
      <w:marLeft w:val="0"/>
      <w:marRight w:val="0"/>
      <w:marTop w:val="0"/>
      <w:marBottom w:val="0"/>
      <w:divBdr>
        <w:top w:val="none" w:sz="0" w:space="0" w:color="auto"/>
        <w:left w:val="none" w:sz="0" w:space="0" w:color="auto"/>
        <w:bottom w:val="none" w:sz="0" w:space="0" w:color="auto"/>
        <w:right w:val="none" w:sz="0" w:space="0" w:color="auto"/>
      </w:divBdr>
    </w:div>
    <w:div w:id="841549981">
      <w:bodyDiv w:val="1"/>
      <w:marLeft w:val="0"/>
      <w:marRight w:val="0"/>
      <w:marTop w:val="0"/>
      <w:marBottom w:val="0"/>
      <w:divBdr>
        <w:top w:val="none" w:sz="0" w:space="0" w:color="auto"/>
        <w:left w:val="none" w:sz="0" w:space="0" w:color="auto"/>
        <w:bottom w:val="none" w:sz="0" w:space="0" w:color="auto"/>
        <w:right w:val="none" w:sz="0" w:space="0" w:color="auto"/>
      </w:divBdr>
    </w:div>
    <w:div w:id="951060476">
      <w:bodyDiv w:val="1"/>
      <w:marLeft w:val="0"/>
      <w:marRight w:val="0"/>
      <w:marTop w:val="0"/>
      <w:marBottom w:val="0"/>
      <w:divBdr>
        <w:top w:val="none" w:sz="0" w:space="0" w:color="auto"/>
        <w:left w:val="none" w:sz="0" w:space="0" w:color="auto"/>
        <w:bottom w:val="none" w:sz="0" w:space="0" w:color="auto"/>
        <w:right w:val="none" w:sz="0" w:space="0" w:color="auto"/>
      </w:divBdr>
    </w:div>
    <w:div w:id="1522275658">
      <w:bodyDiv w:val="1"/>
      <w:marLeft w:val="0"/>
      <w:marRight w:val="0"/>
      <w:marTop w:val="0"/>
      <w:marBottom w:val="0"/>
      <w:divBdr>
        <w:top w:val="none" w:sz="0" w:space="0" w:color="auto"/>
        <w:left w:val="none" w:sz="0" w:space="0" w:color="auto"/>
        <w:bottom w:val="none" w:sz="0" w:space="0" w:color="auto"/>
        <w:right w:val="none" w:sz="0" w:space="0" w:color="auto"/>
      </w:divBdr>
    </w:div>
    <w:div w:id="1567063582">
      <w:bodyDiv w:val="1"/>
      <w:marLeft w:val="0"/>
      <w:marRight w:val="0"/>
      <w:marTop w:val="0"/>
      <w:marBottom w:val="0"/>
      <w:divBdr>
        <w:top w:val="none" w:sz="0" w:space="0" w:color="auto"/>
        <w:left w:val="none" w:sz="0" w:space="0" w:color="auto"/>
        <w:bottom w:val="none" w:sz="0" w:space="0" w:color="auto"/>
        <w:right w:val="none" w:sz="0" w:space="0" w:color="auto"/>
      </w:divBdr>
    </w:div>
    <w:div w:id="1575508613">
      <w:bodyDiv w:val="1"/>
      <w:marLeft w:val="0"/>
      <w:marRight w:val="0"/>
      <w:marTop w:val="0"/>
      <w:marBottom w:val="0"/>
      <w:divBdr>
        <w:top w:val="none" w:sz="0" w:space="0" w:color="auto"/>
        <w:left w:val="none" w:sz="0" w:space="0" w:color="auto"/>
        <w:bottom w:val="none" w:sz="0" w:space="0" w:color="auto"/>
        <w:right w:val="none" w:sz="0" w:space="0" w:color="auto"/>
      </w:divBdr>
    </w:div>
    <w:div w:id="1694114951">
      <w:bodyDiv w:val="1"/>
      <w:marLeft w:val="0"/>
      <w:marRight w:val="0"/>
      <w:marTop w:val="0"/>
      <w:marBottom w:val="0"/>
      <w:divBdr>
        <w:top w:val="none" w:sz="0" w:space="0" w:color="auto"/>
        <w:left w:val="none" w:sz="0" w:space="0" w:color="auto"/>
        <w:bottom w:val="none" w:sz="0" w:space="0" w:color="auto"/>
        <w:right w:val="none" w:sz="0" w:space="0" w:color="auto"/>
      </w:divBdr>
    </w:div>
    <w:div w:id="192364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timenc@agricultur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2.xml><?xml version="1.0" encoding="utf-8"?>
<ds:datastoreItem xmlns:ds="http://schemas.openxmlformats.org/officeDocument/2006/customXml" ds:itemID="{7D266660-EDDD-4A44-9401-01BDA3C1F0B9}">
  <ds:schemaRefs>
    <ds:schemaRef ds:uri="http://schemas.openxmlformats.org/officeDocument/2006/bibliography"/>
  </ds:schemaRefs>
</ds:datastoreItem>
</file>

<file path=customXml/itemProps3.xml><?xml version="1.0" encoding="utf-8"?>
<ds:datastoreItem xmlns:ds="http://schemas.openxmlformats.org/officeDocument/2006/customXml" ds:itemID="{3F56445C-DA4E-47BB-B750-940F669DDC4C}">
  <ds:schemaRefs>
    <ds:schemaRef ds:uri="http://schemas.microsoft.com/office/2006/metadata/properties"/>
    <ds:schemaRef ds:uri="http://purl.org/dc/terms/"/>
    <ds:schemaRef ds:uri="f1c38eb8-c0da-4bda-8fe2-4c84918aee3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1c01dc6-2c49-4730-b140-874c95cac377"/>
    <ds:schemaRef ds:uri="7cc651ec-25ff-4303-ac03-0e5d726c6f27"/>
    <ds:schemaRef ds:uri="http://www.w3.org/XML/1998/namespace"/>
    <ds:schemaRef ds:uri="http://purl.org/dc/dcmitype/"/>
  </ds:schemaRefs>
</ds:datastoreItem>
</file>

<file path=customXml/itemProps4.xml><?xml version="1.0" encoding="utf-8"?>
<ds:datastoreItem xmlns:ds="http://schemas.openxmlformats.org/officeDocument/2006/customXml" ds:itemID="{A68B04E9-9846-4878-8DD8-38EC4B874FC2}"/>
</file>

<file path=docProps/app.xml><?xml version="1.0" encoding="utf-8"?>
<Properties xmlns="http://schemas.openxmlformats.org/officeDocument/2006/extended-properties" xmlns:vt="http://schemas.openxmlformats.org/officeDocument/2006/docPropsVTypes">
  <Template>Normal.dotm</Template>
  <TotalTime>11</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Quick Reference Guide: Understanding the BSD</vt:lpstr>
    </vt:vector>
  </TitlesOfParts>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Understanding the BSD</dc:title>
  <dc:subject/>
  <dc:creator>Department of Agriculture, Fisheries and Forestry</dc:creator>
  <cp:keywords/>
  <dc:description/>
  <cp:lastModifiedBy>Davies, Megan</cp:lastModifiedBy>
  <cp:revision>3</cp:revision>
  <cp:lastPrinted>2022-10-11T21:54:00Z</cp:lastPrinted>
  <dcterms:created xsi:type="dcterms:W3CDTF">2022-10-11T22:03:00Z</dcterms:created>
  <dcterms:modified xsi:type="dcterms:W3CDTF">2022-10-11T23:00:00Z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0x0101000C1D118FCCA26C42BA38E406B0DCFF0A</vt:lpwstr>
  </property>
  <property fmtid="{D5CDD505-2E9C-101B-9397-08002B2CF9AE}" pid="3" name="Publishing Section">
    <vt:lpwstr>Information Management Division</vt:lpwstr>
  </property>
  <property fmtid="{D5CDD505-2E9C-101B-9397-08002B2CF9AE}" pid="4" name="MediaServiceImageTags">
    <vt:lpwstr/>
  </property>
</Properties>
</file>